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bookmarkStart w:id="427" w:name="_GoBack"/>
      <w:bookmarkEnd w:id="427"/>
    </w:p>
    <w:p w14:paraId="717EE0D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健康大脑专病数据库建设项目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编号:HZZFCG-2024-190</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杭州市卫生健康委员会</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二十八</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6"/>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健康大脑专病数据库建设项目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HZZFCG-2024-190</w:t>
      </w:r>
    </w:p>
    <w:p w14:paraId="13E3A8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健康大脑专病数据库建设项目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预算金额（元）：4680000</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最高限价（元）：4680000</w:t>
      </w:r>
    </w:p>
    <w:p w14:paraId="1588D7D9">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健康大脑专病数据库建设项目主要建设内容为：</w:t>
      </w:r>
      <w:r>
        <w:rPr>
          <w:rFonts w:hint="eastAsia" w:hAnsi="宋体" w:cs="仿宋_GB2312"/>
          <w:color w:val="auto"/>
          <w:sz w:val="24"/>
          <w:highlight w:val="none"/>
        </w:rPr>
        <w:t>1、市级专病库：采集疾病发生、发展的过程信息，获取疾病诊断、治疗和预后的全流程数据，基于全市统一的专病数据库数据集标准，建立杭州市专病数据库。2、统一访问服务门户：该门户将整合外部用户端、外部管理端和内部管理端三大模块，以实现资源的高效管理和用户需求的精准对接。通过此门户，旨在提升用户体验，优化管理流程，保障数据安全，并促进医疗资产与科研项目的有效结合。3、区域临床科研协作管理子系统：构建区域临床科研协作管理机制，实现区域多中心课题临床科研协作管理应用。基于市级专病数据库中的两大数据域，搭建区域临床科研协作管理子系统，包括病例检索、科研全景视图、科研队列管理、统计建模分析等功能。4、区域医疗数据资产目录管理子系统：实现区域医疗数据资产化管理。基于区域医疗数据资产目录管理子系统实现资产概览、资产目录、资产管理和资产检索等业务功能，全面提升医疗数据的管理效率。5、云资源服务租赁。提供本项目所需的云资源服务，满足系统正常运行。6、安全建设。提供第三方测评和相关安全测评整改服务等安全建设工作</w:t>
      </w:r>
      <w:r>
        <w:rPr>
          <w:rFonts w:hint="eastAsia" w:hAnsi="宋体" w:cs="宋体"/>
          <w:bCs/>
          <w:color w:val="auto"/>
          <w:sz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olor w:val="auto"/>
          <w:highlight w:val="none"/>
        </w:rPr>
        <w:t>2024年</w:t>
      </w:r>
      <w:r>
        <w:rPr>
          <w:rFonts w:hint="eastAsia" w:ascii="宋体" w:hAnsi="宋体"/>
          <w:color w:val="auto"/>
          <w:highlight w:val="none"/>
        </w:rPr>
        <w:t>12</w:t>
      </w:r>
      <w:r>
        <w:rPr>
          <w:rFonts w:ascii="宋体" w:hAnsi="宋体"/>
          <w:color w:val="auto"/>
          <w:highlight w:val="none"/>
        </w:rPr>
        <w:t>月</w:t>
      </w:r>
      <w:r>
        <w:rPr>
          <w:rFonts w:hint="eastAsia" w:ascii="宋体" w:hAnsi="宋体"/>
          <w:color w:val="auto"/>
          <w:highlight w:val="none"/>
        </w:rPr>
        <w:t>10日前</w:t>
      </w:r>
      <w:r>
        <w:rPr>
          <w:rFonts w:ascii="宋体" w:hAnsi="宋体"/>
          <w:color w:val="auto"/>
          <w:highlight w:val="none"/>
        </w:rPr>
        <w:t>完成</w:t>
      </w:r>
      <w:r>
        <w:rPr>
          <w:rFonts w:hint="eastAsia" w:ascii="宋体" w:hAnsi="宋体"/>
          <w:color w:val="auto"/>
          <w:highlight w:val="none"/>
        </w:rPr>
        <w:t>阶段性验收，2025年5月底完成</w:t>
      </w:r>
      <w:r>
        <w:rPr>
          <w:rFonts w:ascii="宋体" w:hAnsi="宋体"/>
          <w:color w:val="auto"/>
          <w:highlight w:val="none"/>
        </w:rPr>
        <w:t>初验，202</w:t>
      </w:r>
      <w:r>
        <w:rPr>
          <w:rFonts w:hint="eastAsia" w:ascii="宋体" w:hAnsi="宋体"/>
          <w:color w:val="auto"/>
          <w:highlight w:val="none"/>
        </w:rPr>
        <w:t>5</w:t>
      </w:r>
      <w:r>
        <w:rPr>
          <w:rFonts w:ascii="宋体" w:hAnsi="宋体"/>
          <w:color w:val="auto"/>
          <w:highlight w:val="none"/>
        </w:rPr>
        <w:t>年</w:t>
      </w:r>
      <w:r>
        <w:rPr>
          <w:rFonts w:hint="eastAsia" w:ascii="宋体" w:hAnsi="宋体"/>
          <w:color w:val="auto"/>
          <w:highlight w:val="none"/>
        </w:rPr>
        <w:t>8月底完成终验</w:t>
      </w:r>
      <w:r>
        <w:rPr>
          <w:rFonts w:hint="eastAsia" w:hAnsi="宋体" w:cs="宋体"/>
          <w:bCs/>
          <w:color w:val="auto"/>
          <w:szCs w:val="24"/>
          <w:highlight w:val="none"/>
        </w:rPr>
        <w:t>。</w:t>
      </w:r>
      <w:r>
        <w:rPr>
          <w:rFonts w:ascii="宋体" w:hAnsi="宋体" w:cs="宋体"/>
          <w:color w:val="auto"/>
          <w:highlight w:val="none"/>
        </w:rPr>
        <w:t xml:space="preserve"> </w:t>
      </w:r>
    </w:p>
    <w:p w14:paraId="6DFCB626">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901" w:firstLineChars="374"/>
        <w:rPr>
          <w:rFonts w:ascii="宋体" w:hAnsi="宋体" w:cs="宋体"/>
          <w:b/>
          <w:bCs/>
          <w:color w:val="auto"/>
          <w:sz w:val="24"/>
          <w:highlight w:val="none"/>
          <w:u w:val="single"/>
        </w:rPr>
      </w:pPr>
      <w:sdt>
        <w:sdtPr>
          <w:rPr>
            <w:rFonts w:hint="eastAsia" w:ascii="宋体" w:hAnsi="宋体" w:cs="宋体"/>
            <w:b/>
            <w:bCs/>
            <w:color w:val="auto"/>
            <w:kern w:val="0"/>
            <w:sz w:val="24"/>
            <w:highlight w:val="none"/>
            <w:u w:val="singl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b/>
              <w:bCs/>
              <w:color w:val="auto"/>
              <w:kern w:val="0"/>
              <w:sz w:val="24"/>
              <w:highlight w:val="none"/>
              <w:u w:val="single"/>
            </w:rPr>
            <w:t>þ</w:t>
          </w:r>
        </w:sdtContent>
      </w:sdt>
      <w:r>
        <w:rPr>
          <w:rFonts w:hint="eastAsia" w:ascii="宋体" w:hAnsi="宋体" w:cs="宋体"/>
          <w:b/>
          <w:bCs/>
          <w:color w:val="auto"/>
          <w:sz w:val="24"/>
          <w:highlight w:val="none"/>
          <w:u w:val="single"/>
        </w:rPr>
        <w:t>服务全部由符合政策要求的中小微企业承接，按要求提供中小企业声明函；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称：杭州市卫生健康委员会 </w:t>
      </w:r>
    </w:p>
    <w:p w14:paraId="48C27A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址：杭州市市民中心D座1</w:t>
      </w:r>
      <w:r>
        <w:rPr>
          <w:rFonts w:ascii="宋体" w:hAnsi="宋体" w:cs="宋体"/>
          <w:color w:val="auto"/>
          <w:sz w:val="24"/>
          <w:highlight w:val="none"/>
        </w:rPr>
        <w:t>6</w:t>
      </w:r>
      <w:r>
        <w:rPr>
          <w:rFonts w:hint="eastAsia" w:ascii="宋体" w:hAnsi="宋体" w:cs="宋体"/>
          <w:color w:val="auto"/>
          <w:sz w:val="24"/>
          <w:highlight w:val="none"/>
        </w:rPr>
        <w:t>楼</w:t>
      </w:r>
    </w:p>
    <w:p w14:paraId="178A30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真：0571-87062874</w:t>
      </w:r>
    </w:p>
    <w:p w14:paraId="675502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项目联系人（询问）：陈玺 </w:t>
      </w:r>
    </w:p>
    <w:p w14:paraId="124890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ascii="宋体" w:hAnsi="宋体" w:cs="宋体"/>
          <w:color w:val="auto"/>
          <w:sz w:val="24"/>
          <w:highlight w:val="none"/>
        </w:rPr>
        <w:t>87386887</w:t>
      </w:r>
      <w:r>
        <w:rPr>
          <w:rFonts w:hint="eastAsia" w:ascii="宋体" w:hAnsi="宋体" w:cs="宋体"/>
          <w:color w:val="auto"/>
          <w:sz w:val="24"/>
          <w:highlight w:val="none"/>
        </w:rPr>
        <w:t xml:space="preserve"> </w:t>
      </w:r>
    </w:p>
    <w:p w14:paraId="5A9A9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质疑联系人：葛全胜 </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质疑联系方式：0571-85255349 （请通过以下路径在线提起质疑：政采云-项目采购-询问质疑投诉-质疑列表）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7E894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谢栋华</w:t>
      </w:r>
    </w:p>
    <w:p w14:paraId="4EB519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753394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A8A83">
            <w:pPr>
              <w:snapToGrid w:val="0"/>
              <w:spacing w:line="360" w:lineRule="auto"/>
              <w:rPr>
                <w:color w:val="auto"/>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健康大脑专病数据库建设项目</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kern w:val="0"/>
                <w:sz w:val="24"/>
                <w:highlight w:val="none"/>
              </w:rPr>
              <w:t>行业；</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第三方软件测评、信息安全风险评估、信创测评、云资源服务租赁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E4B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B1CB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81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68C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6DE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22AB">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711F1C6">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734C6D0">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995B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F8304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681603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50332C">
            <w:pPr>
              <w:spacing w:line="360" w:lineRule="auto"/>
              <w:rPr>
                <w:rFonts w:ascii="宋体" w:hAnsi="宋体" w:cs="Arial"/>
                <w:color w:val="auto"/>
                <w:kern w:val="0"/>
                <w:sz w:val="24"/>
                <w:highlight w:val="none"/>
                <w:lang w:val="en"/>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bl>
    <w:p w14:paraId="48F4E9D7">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E7D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6D43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3F6E214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4498C45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75A54FB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3342DB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337F333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298074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668C61A4">
      <w:pPr>
        <w:pStyle w:val="888"/>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04251152">
      <w:pPr>
        <w:pStyle w:val="130"/>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AD1C3D2">
      <w:pPr>
        <w:snapToGrid w:val="0"/>
        <w:spacing w:line="360" w:lineRule="auto"/>
        <w:ind w:firstLine="482" w:firstLineChars="200"/>
        <w:rPr>
          <w:rFonts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747ED9">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45CE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报价情况说明（如果有）（如供应商报价低于项目预算50%的，应当提交本文档，详细阐述不影响产品质量或者诚信履约的具体原因）。</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46260C">
      <w:pPr>
        <w:spacing w:line="360" w:lineRule="auto"/>
        <w:ind w:firstLine="723" w:firstLineChars="300"/>
        <w:rPr>
          <w:rFonts w:ascii="宋体" w:hAnsi="宋体" w:cs="宋体"/>
          <w:b/>
          <w:color w:val="auto"/>
          <w:sz w:val="24"/>
          <w:szCs w:val="21"/>
          <w:highlight w:val="none"/>
        </w:rPr>
      </w:pPr>
      <w:r>
        <w:rPr>
          <w:rFonts w:hint="eastAsia"/>
          <w:b/>
          <w:bCs/>
          <w:color w:val="auto"/>
          <w:sz w:val="24"/>
          <w:highlight w:val="none"/>
          <w:shd w:val="clear" w:color="auto" w:fill="FFFFFF"/>
        </w:rPr>
        <w:t>投标人应对投标文件中材料的真实性、合法性负责。</w:t>
      </w:r>
    </w:p>
    <w:p w14:paraId="0A1DAC36">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0"/>
        <w:spacing w:before="0"/>
        <w:ind w:firstLine="643"/>
        <w:rPr>
          <w:rFonts w:ascii="宋体" w:hAnsi="宋体" w:cs="宋体"/>
          <w:b/>
          <w:color w:val="auto"/>
          <w:sz w:val="32"/>
          <w:highlight w:val="none"/>
        </w:rPr>
      </w:pPr>
    </w:p>
    <w:p w14:paraId="073117D4">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00EE5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085FB1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A7B472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456CA8">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0C6A03B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0"/>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40B0F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3F1CBF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B0E3511">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409EE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D530C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199FD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9C4C99">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75CE4A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color w:val="auto"/>
          <w:sz w:val="24"/>
          <w:highlight w:val="none"/>
          <w:lang w:val="en-US"/>
        </w:rPr>
        <w:t>27.预付款</w:t>
      </w:r>
    </w:p>
    <w:p w14:paraId="106C66F6">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B9EB8B4">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E3F3F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221D65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311285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E4870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6F4081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B374507">
      <w:pPr>
        <w:pStyle w:val="24"/>
        <w:spacing w:line="360" w:lineRule="auto"/>
        <w:ind w:firstLine="0" w:firstLineChars="0"/>
        <w:rPr>
          <w:rFonts w:cs="宋体"/>
          <w:b/>
          <w:color w:val="auto"/>
          <w:highlight w:val="none"/>
        </w:rPr>
      </w:pPr>
      <w:r>
        <w:rPr>
          <w:rFonts w:hint="eastAsia" w:cs="宋体"/>
          <w:b/>
          <w:color w:val="auto"/>
          <w:highlight w:val="none"/>
        </w:rPr>
        <w:t>30.验收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79"/>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3AA44B4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29768"/>
      <w:bookmarkEnd w:id="16"/>
      <w:bookmarkStart w:id="17" w:name="_Hlt74730295"/>
      <w:bookmarkEnd w:id="17"/>
      <w:bookmarkStart w:id="18" w:name="_Hlt68072998"/>
      <w:bookmarkEnd w:id="18"/>
      <w:bookmarkStart w:id="19" w:name="_Hlt68073093"/>
      <w:bookmarkEnd w:id="19"/>
      <w:bookmarkStart w:id="20" w:name="_Hlt68403820"/>
      <w:bookmarkEnd w:id="20"/>
      <w:bookmarkStart w:id="21" w:name="_Hlt68072990"/>
      <w:bookmarkEnd w:id="21"/>
      <w:bookmarkStart w:id="22" w:name="_Hlt75236101"/>
      <w:bookmarkEnd w:id="22"/>
      <w:bookmarkStart w:id="23" w:name="_Hlt68057669"/>
      <w:bookmarkEnd w:id="23"/>
      <w:bookmarkStart w:id="24" w:name="_Hlt74707468"/>
      <w:bookmarkEnd w:id="24"/>
      <w:bookmarkStart w:id="25" w:name="_Hlt75236290"/>
      <w:bookmarkEnd w:id="25"/>
      <w:bookmarkStart w:id="26" w:name="_Hlt74714665"/>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9E317BB">
      <w:pPr>
        <w:pStyle w:val="2"/>
        <w:spacing w:line="360" w:lineRule="auto"/>
        <w:rPr>
          <w:color w:val="auto"/>
          <w:highlight w:val="none"/>
        </w:rPr>
      </w:pPr>
      <w:r>
        <w:rPr>
          <w:rFonts w:hint="eastAsia"/>
          <w:color w:val="auto"/>
          <w:highlight w:val="none"/>
        </w:rPr>
        <w:t>1.1 项目总体目标</w:t>
      </w:r>
    </w:p>
    <w:p w14:paraId="4A8CD925">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立足杭州市临床医学高峰学科、重点学科等优势学科，优先聚焦肺恶性肿瘤、儿童特应性皮炎、抑郁症、IgA肾病、女性盆底疾病（尿失禁）5类严重影响人群健康的疾病，充分发挥市属医院的建设主体作用和市医疗健康大数据中心的支撑作用，建立杭州市专病数据库。利用专病数据库深入挖掘优势专科和优势病种相关价值信息，指导临床持续改进诊疗质量，促进专科联盟单位专病诊疗的同质化、规范化和标准化，最终形成杭州市专病特色学科群，全面提升市属医院特色专病临床质量和临床科研水平。</w:t>
      </w:r>
    </w:p>
    <w:p w14:paraId="00711645">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1、专病数据库建设目标</w:t>
      </w:r>
    </w:p>
    <w:p w14:paraId="4F494C97">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通过健康大脑数据高铁，采集疾病发生、发展的过程信息，获取疾病诊断、治疗和预后的全流程数据，实现专病数据全量全要素归集，通过深度治理工具，实现数据达标入库，加快构建高质量数据集。通过专病数据库建设，为提升全链条数据流通能力，为后续打造纵深领域应用模型打下良好的基础。</w:t>
      </w:r>
    </w:p>
    <w:p w14:paraId="772D03A0">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2、统一访问服务门户建设目标</w:t>
      </w:r>
    </w:p>
    <w:p w14:paraId="4E24F9C7">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为各类用户提供数据供需对接渠道，实现数据需求的精准收集，数据产品的精准推送，数据供需高效对接，推进医疗健康数据要素的高效配置和流通，持续壮大数据要素产业。</w:t>
      </w:r>
    </w:p>
    <w:p w14:paraId="67F548C1">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3、区域临床科研协作管理系统建设目标</w:t>
      </w:r>
    </w:p>
    <w:p w14:paraId="14F501D8">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构建区域临床科研协作管理机制，建立多中心专病队列数据库管理规范和数据共享开放机制，有效解决单一医院数据研究样本不够，市级医疗科研协助机制缺乏、专病队列无法协作等痛点难点，支持实现区域多中心课题临床科研协作管理应用场景。助力区域各级医疗机构开展科研协作和科研成果共享，有效提升杭州市各医疗机构科研工作效率。</w:t>
      </w:r>
    </w:p>
    <w:p w14:paraId="3CA5851F">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4、区域医疗数据资产目录管理系统建设目标</w:t>
      </w:r>
    </w:p>
    <w:p w14:paraId="6951653C">
      <w:pPr>
        <w:tabs>
          <w:tab w:val="center" w:pos="4393"/>
          <w:tab w:val="left" w:pos="6267"/>
        </w:tabs>
        <w:snapToGrid w:val="0"/>
        <w:spacing w:line="360" w:lineRule="auto"/>
        <w:ind w:firstLine="480" w:firstLineChars="200"/>
        <w:jc w:val="left"/>
        <w:rPr>
          <w:color w:val="auto"/>
          <w:highlight w:val="none"/>
        </w:rPr>
      </w:pPr>
      <w:r>
        <w:rPr>
          <w:rFonts w:ascii="宋体" w:hAnsi="宋体" w:cs="宋体"/>
          <w:color w:val="auto"/>
          <w:sz w:val="24"/>
          <w:highlight w:val="none"/>
        </w:rPr>
        <w:t>以数据安全为前提，以资产目录化管理为工具，基于全市统一的数据集规范，实现区域医疗数据资产化管理，全面提升数据资产可视化管理能力，提升数据资产利用效率。</w:t>
      </w:r>
    </w:p>
    <w:p w14:paraId="6883597F">
      <w:pPr>
        <w:pStyle w:val="2"/>
        <w:spacing w:line="360" w:lineRule="auto"/>
        <w:rPr>
          <w:color w:val="auto"/>
          <w:highlight w:val="none"/>
        </w:rPr>
      </w:pPr>
      <w:r>
        <w:rPr>
          <w:rFonts w:hint="eastAsia"/>
          <w:color w:val="auto"/>
          <w:highlight w:val="none"/>
        </w:rPr>
        <w:t>1.2 建设原则</w:t>
      </w:r>
    </w:p>
    <w:p w14:paraId="4A3A15FD">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1、总体规划、分步实施</w:t>
      </w:r>
    </w:p>
    <w:p w14:paraId="09F64CFA">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考虑到项目的规模和实施的复杂性，分阶段实施，循序渐进。根据实际情况，确立整体的目标，制订统一的规划，保证工程实现各方目标一致，标准统一，系统有机衔接。在统一规划的基础上分阶段，有步骤地推进实施。先互联互通，再逐步统一；先建框架，再逐步深化；先行试点，再全面推广。以保证项目经费筹措、多部门协作、项目风险控制、复杂业务实现、项目实效达成等多方面的可靠程度。</w:t>
      </w:r>
    </w:p>
    <w:p w14:paraId="74969CA5">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2、顶层设计、遵循标准</w:t>
      </w:r>
    </w:p>
    <w:p w14:paraId="0E887087">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设计和开发应符合国际、国家及杭州市医疗卫生行业的相关信息化和数据标准或规范，遵循中国卫生信息标准，项目采用标准的、开放的通讯接口和数据标准，允许不同厂商的信息系统有机地整合。遵循国际及国家标准，不但能够使医疗工作者更加集中精力在业务方面，也能够提高平台的层次，使开发应用不仅和外部进行有效的交流，还能够预期将来的业务的发展。系统部署方案需符合①国家卫健委信息化建设相关规范；②杭州市卫健委全民健康信息平台技术白皮书要求，方案内容完整、详实、切合实际。</w:t>
      </w:r>
    </w:p>
    <w:p w14:paraId="16DB82B9">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3、承前继后、科学发展</w:t>
      </w:r>
    </w:p>
    <w:p w14:paraId="48ECB50F">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在设计过程中要充分考虑继承和利用已有的建设基础、硬件设备和应用中的软件系统，充分利用前期建设成果，在原有基础上进行整合、扩展、新建，促使杭州智慧健康事业不断迈向更高的台阶及科学可持续发展。</w:t>
      </w:r>
    </w:p>
    <w:p w14:paraId="29762C50">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4、数据驱动、质量优先</w:t>
      </w:r>
    </w:p>
    <w:p w14:paraId="149DC55C">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高质量的数据是业务处理的基础，系统是围绕业务进行设计，业务是基于数据进行展开，数据的变化和不稳定性对于系统设计来说代价是高昂的，遵循“以数据为中心”的原则，全面注重数据质量的有效提升，提炼和抽象出能够不断扩展的元数据体系统与核心数据模型，保证系统的无缝集成和可持续发展。</w:t>
      </w:r>
    </w:p>
    <w:p w14:paraId="321B7C72">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5、创新驱动、协调发展</w:t>
      </w:r>
    </w:p>
    <w:p w14:paraId="14E90788">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在兼顾成熟技术的同时充分利用创新技术和理念，围绕单一业务、业务联动性、业务协同性、业务整体性等方面积极打造创新应用，不断驱动项目高效出彩和协调可持续发展。</w:t>
      </w:r>
    </w:p>
    <w:p w14:paraId="179155D8">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6、安全保密、稳定可靠</w:t>
      </w:r>
    </w:p>
    <w:p w14:paraId="101B6E3D">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按照《信息安全技术网络安全等级保护基本要求》（GB/T 22239-2019）文件第三级安全要求，着重加强防病毒、网络态势感知、终端接入管理、身份认证密码、数据资源安全等网络安全体系建设，保障信息系统安全可靠运行。项目遵循商用密码应用安全体系框架建设，所有应用系统应能满足商用密码应用安全评估要求。根据《浙江省公共数据条例》《浙江省公共数据安全管理总则》《浙江省电子政务外网安全评估指标体系》等文件精神，落实数据安全分级分类、脱敏、加密、安全评估要求。所有建设应用系统应能支持在信创云上部署和运行，满足安全可靠要求。</w:t>
      </w:r>
    </w:p>
    <w:p w14:paraId="4B42A014">
      <w:pPr>
        <w:pStyle w:val="2"/>
        <w:spacing w:line="360" w:lineRule="auto"/>
        <w:rPr>
          <w:color w:val="auto"/>
          <w:highlight w:val="none"/>
        </w:rPr>
      </w:pPr>
      <w:r>
        <w:rPr>
          <w:rFonts w:hint="eastAsia"/>
          <w:color w:val="auto"/>
          <w:highlight w:val="none"/>
        </w:rPr>
        <w:t>1.3 项目建设需求</w:t>
      </w:r>
    </w:p>
    <w:p w14:paraId="0C79C4B2">
      <w:pPr>
        <w:spacing w:line="360" w:lineRule="auto"/>
        <w:ind w:firstLine="480" w:firstLineChars="200"/>
        <w:rPr>
          <w:color w:val="auto"/>
          <w:highlight w:val="none"/>
        </w:rPr>
      </w:pPr>
      <w:r>
        <w:rPr>
          <w:rFonts w:hint="eastAsia" w:ascii="宋体" w:hAnsi="宋体" w:cs="仿宋_GB2312"/>
          <w:color w:val="auto"/>
          <w:sz w:val="24"/>
          <w:highlight w:val="none"/>
        </w:rPr>
        <w:t>1、市级专病库：针对肺恶性肿瘤、儿童特应性皮炎、抑郁症、IgA肾病、女性盆底疾病（尿失禁）等5类专病，采集疾病发生、发展的过程信息，获取疾病诊断、治疗和预后的全流程数据，基于全市统一的专病数据库数据集标准，建立杭州市专病数据库。市级专病数据库分为区域医疗数据资源库和专病数据库。其中区域医疗数据资源库通过现有医疗大数据中心获取数据，通过患者关联处理和数据结构转换而形成。专病数据库通过市属医疗机构获取数据，并在医院环境下通过专病数据结构化插件完成部分数据自动抓取和人工录入完善之后，通过数据高铁上报，由专人质控通过后而形成。2、统一访问服务门户：该门户将整合外部用户端、外部管理端和内部管理端三大模块，以实现资源的高效管理和用户需求的精准对接。通过此门户，旨在提升用户体验，优化管理流程，保障数据安全，并促进医疗资产与科研项目的有效结合。3、区域临床科研协作管理子系统：构建区域临床科研协作管理机制，实现区域多中心课题临床科研协作管理应用。基于市级专病数据库中的两大数据域，搭建区域临床科研协作管理子系统，包括病例检索、科研全景视图、科研队列管理、统计建模分析等功能，面向市属医疗机构科研人员提供基于卫健专网访问的便捷式科研课题协作数字化应用服务，支持科研人员通过系统开展IIT课题、回顾性课题和多中心课题研究工作，快速响应科研人员的疾病人群探查和数据分析挖掘需求，助力区域重点疾病对应科室的临床科研能力提升。4、区域医疗数据资产目录管理子系统：实现区域医疗数据资产化管理。基于区域医疗数据资产目录管理子系统实现资产概览、资产目录、资产管理和资产检索等业务功能，全面提升医疗数据的管理效率。资产概况提供全局视图，帮助管理者了解数据资源的整体状态，如各个专病入组的病例人数、各项数据的完整度等；资产目录实现数据的结构化分类，便于系统化管理；资产管理确保数据每个指标项全生命周期管理，如部分专病数据集需要增加或变更指标内容，则可以通过标准化流程确保指标定义清晰，便于后续进行数据生产；资产检索则是为了优化数据访问，支持用户快速定位指标，查看相关记录。5、云资源服务租赁。提供本项目所需的云资源服务，满足系统正常运行。6、安全建设。提供第三方测评和相关安全测评整改服务等安全建设工作</w:t>
      </w:r>
      <w:r>
        <w:rPr>
          <w:rFonts w:hint="eastAsia" w:hAnsi="宋体" w:cs="宋体"/>
          <w:bCs/>
          <w:color w:val="auto"/>
          <w:sz w:val="24"/>
          <w:highlight w:val="none"/>
        </w:rPr>
        <w:t>。</w:t>
      </w:r>
    </w:p>
    <w:p w14:paraId="25F96D04">
      <w:pPr>
        <w:pStyle w:val="5"/>
        <w:spacing w:line="360" w:lineRule="auto"/>
        <w:rPr>
          <w:color w:val="auto"/>
          <w:highlight w:val="none"/>
        </w:rPr>
      </w:pPr>
      <w:bookmarkStart w:id="28" w:name="_Toc163754690"/>
      <w:r>
        <w:rPr>
          <w:rFonts w:hint="eastAsia"/>
          <w:color w:val="auto"/>
          <w:highlight w:val="none"/>
        </w:rPr>
        <w:t>（一）市级专病数据库</w:t>
      </w:r>
      <w:bookmarkEnd w:id="28"/>
    </w:p>
    <w:p w14:paraId="786BF890">
      <w:pPr>
        <w:pStyle w:val="6"/>
        <w:spacing w:line="360" w:lineRule="auto"/>
        <w:rPr>
          <w:color w:val="auto"/>
          <w:highlight w:val="none"/>
        </w:rPr>
      </w:pPr>
      <w:r>
        <w:rPr>
          <w:rFonts w:hint="eastAsia"/>
          <w:color w:val="auto"/>
          <w:highlight w:val="none"/>
        </w:rPr>
        <w:t>1.1 数据深度治理工具</w:t>
      </w:r>
    </w:p>
    <w:p w14:paraId="57CB6B51">
      <w:pPr>
        <w:pStyle w:val="7"/>
        <w:spacing w:line="360" w:lineRule="auto"/>
        <w:rPr>
          <w:color w:val="auto"/>
          <w:highlight w:val="none"/>
        </w:rPr>
      </w:pPr>
      <w:r>
        <w:rPr>
          <w:rFonts w:hint="eastAsia"/>
          <w:color w:val="auto"/>
          <w:highlight w:val="none"/>
        </w:rPr>
        <w:t>1.1.1 NLP工具</w:t>
      </w:r>
    </w:p>
    <w:p w14:paraId="0C9F3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1.配置管理</w:t>
      </w:r>
      <w:r>
        <w:rPr>
          <w:rFonts w:hint="eastAsia" w:ascii="宋体" w:hAnsi="宋体" w:cs="宋体"/>
          <w:color w:val="auto"/>
          <w:sz w:val="24"/>
          <w:highlight w:val="none"/>
        </w:rPr>
        <w:tab/>
      </w:r>
    </w:p>
    <w:p w14:paraId="3EC9CA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支持查看已创建的NLP配置，支持新建、导出、删除配置；</w:t>
      </w:r>
    </w:p>
    <w:p w14:paraId="08882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支持基于过往配置复制生成新的配置。</w:t>
      </w:r>
    </w:p>
    <w:p w14:paraId="2AF91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2.原文管理</w:t>
      </w:r>
      <w:r>
        <w:rPr>
          <w:rFonts w:hint="eastAsia" w:ascii="宋体" w:hAnsi="宋体" w:cs="宋体"/>
          <w:color w:val="auto"/>
          <w:sz w:val="24"/>
          <w:highlight w:val="none"/>
        </w:rPr>
        <w:tab/>
      </w:r>
    </w:p>
    <w:p w14:paraId="22EB0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支持针对配置设置相应的原文类别和原文节点，支持新增、编辑和删除原文类别、原文节点；</w:t>
      </w:r>
    </w:p>
    <w:p w14:paraId="369B1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支持导入原文，支持通过excel批量导入用于调试的原文数据；</w:t>
      </w:r>
    </w:p>
    <w:p w14:paraId="21133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支持通过关键词和原文类型检索已导入的原文；</w:t>
      </w:r>
    </w:p>
    <w:p w14:paraId="12450E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支持编辑已导入的原文内容，包含原文节点，原文别名和原文内容；</w:t>
      </w:r>
    </w:p>
    <w:p w14:paraId="3DF7D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支持批量设置原文别名；</w:t>
      </w:r>
    </w:p>
    <w:p w14:paraId="16A16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支持批量删除已导入的原文。</w:t>
      </w:r>
    </w:p>
    <w:p w14:paraId="4D799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3.NLP调试</w:t>
      </w:r>
      <w:r>
        <w:rPr>
          <w:rFonts w:hint="eastAsia" w:ascii="宋体" w:hAnsi="宋体" w:cs="宋体"/>
          <w:color w:val="auto"/>
          <w:sz w:val="24"/>
          <w:highlight w:val="none"/>
        </w:rPr>
        <w:tab/>
      </w:r>
    </w:p>
    <w:p w14:paraId="67B73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支持从原文管理中选择相应的原文进行NLP调试，也支持自定义原文内容进行NLP调试；</w:t>
      </w:r>
    </w:p>
    <w:p w14:paraId="5C3BB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支持通过数据元规则从原文中实时提取相应的数据元结果；</w:t>
      </w:r>
    </w:p>
    <w:p w14:paraId="1C406E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支持点击数据元结果查看溯源信息，溯源信息会在原文高亮展示；</w:t>
      </w:r>
    </w:p>
    <w:p w14:paraId="5AB7C4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支持查看调试日志，包含原文处理、实体识别、关系识别、事件识别；</w:t>
      </w:r>
    </w:p>
    <w:p w14:paraId="75CFF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支持批量生成后结构化结果，批量将原文管理中全部原文生成后结构化结果，并以列表形式展示原文类型、原文内容以及相应的后结构化数据元结果。</w:t>
      </w:r>
    </w:p>
    <w:p w14:paraId="3FEA82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4.数据元规则配置</w:t>
      </w:r>
      <w:r>
        <w:rPr>
          <w:rFonts w:hint="eastAsia" w:ascii="宋体" w:hAnsi="宋体" w:cs="宋体"/>
          <w:color w:val="auto"/>
          <w:sz w:val="24"/>
          <w:highlight w:val="none"/>
        </w:rPr>
        <w:tab/>
      </w:r>
    </w:p>
    <w:p w14:paraId="260521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支持新增后结构化数据源，包含数据源编码和名称；</w:t>
      </w:r>
    </w:p>
    <w:p w14:paraId="2FBCE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支持创建数据元的普通主体信息，支持关联术语平台获取相关术语；</w:t>
      </w:r>
    </w:p>
    <w:p w14:paraId="15E8D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支持创建数据元的超级主体信息，支持关联术语平台获取多个术语，并支持二次操作，包含去除术语部分层级内容，增加特定术语或减去特定术语；</w:t>
      </w:r>
    </w:p>
    <w:p w14:paraId="25BE13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支持维护主体之间两者关系，预设不低于20种关系类型，如包含A跟B在同一分句中等；</w:t>
      </w:r>
    </w:p>
    <w:p w14:paraId="274CF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支持维护主体之间三者关系，在两者关系基础上支持新增两者关系中需要包含哪些主体，或者不包含哪些主体；</w:t>
      </w:r>
    </w:p>
    <w:p w14:paraId="7D2261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支持维护数据元事件配置，支持配置多个关系之间的是否满足，满足命中条件则输出相应的内容；</w:t>
      </w:r>
    </w:p>
    <w:p w14:paraId="36AC72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支持设置输出函数，支持调用输出固定值、输出原始词、输出归一词、输出最大值、输出最小值等函数；</w:t>
      </w:r>
    </w:p>
    <w:p w14:paraId="4ED1E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支持维护输出值规则，包含输出全部值、输出首个值、输出去重多值；</w:t>
      </w:r>
    </w:p>
    <w:p w14:paraId="38EB6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支持设置默认值，如未命中任何事件则自动输出默认值；</w:t>
      </w:r>
    </w:p>
    <w:p w14:paraId="395B1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支持基于已有规则配置复制成新的规则，支持编辑和删除规则。</w:t>
      </w:r>
    </w:p>
    <w:p w14:paraId="7EAEB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5.文本预处理</w:t>
      </w:r>
      <w:r>
        <w:rPr>
          <w:rFonts w:hint="eastAsia" w:ascii="宋体" w:hAnsi="宋体" w:cs="宋体"/>
          <w:color w:val="auto"/>
          <w:sz w:val="24"/>
          <w:highlight w:val="none"/>
        </w:rPr>
        <w:tab/>
      </w:r>
    </w:p>
    <w:p w14:paraId="65D0CA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支持词替换，支持识别出原文特定词转换成处理后的文本；</w:t>
      </w:r>
    </w:p>
    <w:p w14:paraId="2F95E8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支持正则替换，支持维护正则语句，将原文特定格式或数字转成处理后的文本；</w:t>
      </w:r>
    </w:p>
    <w:p w14:paraId="45903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支持函数处理，支持调用函数处理特殊的文本，如肝段处理。</w:t>
      </w:r>
    </w:p>
    <w:p w14:paraId="0135C7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6.数据下载</w:t>
      </w:r>
      <w:r>
        <w:rPr>
          <w:rFonts w:hint="eastAsia" w:ascii="宋体" w:hAnsi="宋体" w:cs="宋体"/>
          <w:color w:val="auto"/>
          <w:sz w:val="24"/>
          <w:highlight w:val="none"/>
        </w:rPr>
        <w:tab/>
      </w:r>
    </w:p>
    <w:p w14:paraId="4E882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对于已执行批量生成后结构化结果，支持勾选相应结果下载或者下载全部结果；</w:t>
      </w:r>
    </w:p>
    <w:p w14:paraId="78CF61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支持查看下载记录，并支持下载excel文件。</w:t>
      </w:r>
    </w:p>
    <w:p w14:paraId="27B88A4A">
      <w:pPr>
        <w:pStyle w:val="7"/>
        <w:spacing w:line="360" w:lineRule="auto"/>
        <w:rPr>
          <w:color w:val="auto"/>
          <w:highlight w:val="none"/>
        </w:rPr>
      </w:pPr>
      <w:r>
        <w:rPr>
          <w:rFonts w:hint="eastAsia"/>
          <w:color w:val="auto"/>
          <w:highlight w:val="none"/>
        </w:rPr>
        <w:t>1.1.2 科研归一工具</w:t>
      </w:r>
    </w:p>
    <w:p w14:paraId="577099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1.标准词管理</w:t>
      </w:r>
      <w:r>
        <w:rPr>
          <w:rFonts w:hint="eastAsia" w:ascii="宋体" w:hAnsi="宋体" w:cs="宋体"/>
          <w:color w:val="auto"/>
          <w:sz w:val="24"/>
          <w:highlight w:val="none"/>
        </w:rPr>
        <w:tab/>
      </w:r>
    </w:p>
    <w:p w14:paraId="468AD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支持基于不同专病库维护标准词，也支持不同指标项维护标准词；</w:t>
      </w:r>
    </w:p>
    <w:p w14:paraId="6D4EDA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支持新增标准词值域，支持单个或批量新增标准词；</w:t>
      </w:r>
    </w:p>
    <w:p w14:paraId="6C7767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支持通过excel批量导入标准词；</w:t>
      </w:r>
    </w:p>
    <w:p w14:paraId="4BAC01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支持通过术语平台关联术语导入标准词；</w:t>
      </w:r>
    </w:p>
    <w:p w14:paraId="32E105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支持维护标准词层级结构，支持添加标准词下级；</w:t>
      </w:r>
    </w:p>
    <w:p w14:paraId="76155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支持编辑标准词名称和所属上级；</w:t>
      </w:r>
    </w:p>
    <w:p w14:paraId="7B234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支持维护标准词状态，设置启用和禁用两种状态；</w:t>
      </w:r>
    </w:p>
    <w:p w14:paraId="783D8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支持设置标准词是否常用标识。</w:t>
      </w:r>
    </w:p>
    <w:p w14:paraId="6DABA2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2.归一设置</w:t>
      </w:r>
      <w:r>
        <w:rPr>
          <w:rFonts w:hint="eastAsia" w:ascii="宋体" w:hAnsi="宋体" w:cs="宋体"/>
          <w:color w:val="auto"/>
          <w:sz w:val="24"/>
          <w:highlight w:val="none"/>
        </w:rPr>
        <w:tab/>
      </w:r>
    </w:p>
    <w:p w14:paraId="35DAEE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支持维护标准词与专病原始词库的归一映射关系；</w:t>
      </w:r>
    </w:p>
    <w:p w14:paraId="15D910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支持多个关键词用特殊符号间隔检索，支持全部关键词满足或任一满足进行检索原始词；</w:t>
      </w:r>
    </w:p>
    <w:p w14:paraId="736B3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支持同步其他专病的归一设置，支持选择特定专病和特定指标项进行同步，并支持替换和追加两种同步方式。</w:t>
      </w:r>
    </w:p>
    <w:p w14:paraId="2B52DE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3.归一可视化</w:t>
      </w:r>
      <w:r>
        <w:rPr>
          <w:rFonts w:hint="eastAsia" w:ascii="宋体" w:hAnsi="宋体" w:cs="宋体"/>
          <w:color w:val="auto"/>
          <w:sz w:val="24"/>
          <w:highlight w:val="none"/>
        </w:rPr>
        <w:tab/>
      </w:r>
    </w:p>
    <w:p w14:paraId="4ED66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支持通过桑基图展示已经维护好的归一映射关系；</w:t>
      </w:r>
    </w:p>
    <w:p w14:paraId="34EBFE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支持下钻到指定层级展示该层级相关的归一映射关系；</w:t>
      </w:r>
    </w:p>
    <w:p w14:paraId="6D2B6E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支持统计该指标项涉及到的原始词量以及标准化覆盖率。</w:t>
      </w:r>
    </w:p>
    <w:p w14:paraId="79B4B973">
      <w:pPr>
        <w:pStyle w:val="7"/>
        <w:spacing w:line="360" w:lineRule="auto"/>
        <w:rPr>
          <w:color w:val="auto"/>
          <w:highlight w:val="none"/>
        </w:rPr>
      </w:pPr>
      <w:r>
        <w:rPr>
          <w:rFonts w:hint="eastAsia"/>
          <w:color w:val="auto"/>
          <w:highlight w:val="none"/>
        </w:rPr>
        <w:t>1.1.3 医学术语管理工具</w:t>
      </w:r>
    </w:p>
    <w:p w14:paraId="22D71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1.术语库</w:t>
      </w:r>
      <w:r>
        <w:rPr>
          <w:rFonts w:hint="eastAsia" w:ascii="宋体" w:hAnsi="宋体" w:cs="宋体"/>
          <w:color w:val="auto"/>
          <w:sz w:val="24"/>
          <w:highlight w:val="none"/>
        </w:rPr>
        <w:tab/>
      </w:r>
    </w:p>
    <w:p w14:paraId="1B2B6A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支持构建多个术语库，并支持切换术语库查看不同术语库的内容；</w:t>
      </w:r>
    </w:p>
    <w:p w14:paraId="21196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支持查看术语库概览，会展示部分节点的数据预览，以及统计已积累的总节点数。</w:t>
      </w:r>
    </w:p>
    <w:p w14:paraId="3924D0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2.术语导入</w:t>
      </w:r>
      <w:r>
        <w:rPr>
          <w:rFonts w:hint="eastAsia" w:ascii="宋体" w:hAnsi="宋体" w:cs="宋体"/>
          <w:color w:val="auto"/>
          <w:sz w:val="24"/>
          <w:highlight w:val="none"/>
        </w:rPr>
        <w:tab/>
      </w:r>
    </w:p>
    <w:p w14:paraId="2B6B0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支持查看批量导入记录，并支持在线预览导入的数据详情；</w:t>
      </w:r>
    </w:p>
    <w:p w14:paraId="4DDEE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支持通过excel文件批量导入术语数据；</w:t>
      </w:r>
    </w:p>
    <w:p w14:paraId="6C2ECC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支持对批量导入记录进行审批，审批通过后正式入库。</w:t>
      </w:r>
    </w:p>
    <w:p w14:paraId="073668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3.术语管理</w:t>
      </w:r>
      <w:r>
        <w:rPr>
          <w:rFonts w:hint="eastAsia" w:ascii="宋体" w:hAnsi="宋体" w:cs="宋体"/>
          <w:color w:val="auto"/>
          <w:sz w:val="24"/>
          <w:highlight w:val="none"/>
        </w:rPr>
        <w:tab/>
      </w:r>
    </w:p>
    <w:p w14:paraId="3B6903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支持维护术语名称、术语标签、术语上位词、术语同义词；</w:t>
      </w:r>
    </w:p>
    <w:p w14:paraId="741D4D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支持查看术语主页，支持查看术语相关的操作日志；</w:t>
      </w:r>
    </w:p>
    <w:p w14:paraId="5F156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支持选择特定术语新增下位词，支持单个或批量新增；</w:t>
      </w:r>
    </w:p>
    <w:p w14:paraId="7221B2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支持删除特定术语。</w:t>
      </w:r>
    </w:p>
    <w:p w14:paraId="11271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4.术语检索</w:t>
      </w:r>
      <w:r>
        <w:rPr>
          <w:rFonts w:hint="eastAsia" w:ascii="宋体" w:hAnsi="宋体" w:cs="宋体"/>
          <w:color w:val="auto"/>
          <w:sz w:val="24"/>
          <w:highlight w:val="none"/>
        </w:rPr>
        <w:tab/>
      </w:r>
    </w:p>
    <w:p w14:paraId="30DA0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支持多维度的展示术语，包括树状结构、术语卡片、术语主页；</w:t>
      </w:r>
    </w:p>
    <w:p w14:paraId="1D68C0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支持通过关键词检索术语，选中术语后快速定位到术语树状结构位置。</w:t>
      </w:r>
    </w:p>
    <w:p w14:paraId="254F6077">
      <w:pPr>
        <w:pStyle w:val="7"/>
        <w:spacing w:line="360" w:lineRule="auto"/>
        <w:rPr>
          <w:color w:val="auto"/>
          <w:highlight w:val="none"/>
        </w:rPr>
      </w:pPr>
      <w:r>
        <w:rPr>
          <w:rFonts w:hint="eastAsia"/>
          <w:color w:val="auto"/>
          <w:highlight w:val="none"/>
        </w:rPr>
        <w:t>1.1.4 数据作业调度工具</w:t>
      </w:r>
    </w:p>
    <w:p w14:paraId="64D76E5B">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1.ES抽数管理</w:t>
      </w:r>
    </w:p>
    <w:p w14:paraId="05136593">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支持最小值设置，支持设置最小抽数日期和最小抽取执行日期前的天数；</w:t>
      </w:r>
    </w:p>
    <w:p w14:paraId="2D25600D">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支持批量处理设置，支持设置最大连接数、批处理缓冲区大小，并发执行数；</w:t>
      </w:r>
    </w:p>
    <w:p w14:paraId="20BE9AEF">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支持关联表设置，支持设置患者表名及主键，就诊表名和关联外键以及主键，支持设置抽数获取日期字段等；</w:t>
      </w:r>
    </w:p>
    <w:p w14:paraId="4C383D6C">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支持查看不同专病当前的抽数明细，包含索引名称、抽数范围、抽数开始时间、抽数结束时间、抽数耗时、抽数类型、状态；</w:t>
      </w:r>
    </w:p>
    <w:p w14:paraId="24FC75C7">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支持查看当前数据库所用的ES索引名称，以及当前索引最新数据时间；</w:t>
      </w:r>
    </w:p>
    <w:p w14:paraId="46CD5F9D">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支持新增全量抽数，支持设置抽数日期范围，并会生成新的索引；</w:t>
      </w:r>
    </w:p>
    <w:p w14:paraId="24761695">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支持配置增量抽数，支持设置增量抽数频率，以及增量抽泣执行日期前X天的数据，开启增量后即为根据设定频率自动增量抽数；</w:t>
      </w:r>
    </w:p>
    <w:p w14:paraId="6AB99D35">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支持手动切换ES索引；</w:t>
      </w:r>
    </w:p>
    <w:p w14:paraId="0BF75002">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支持查看每次抽数日期以及抽数详情，包含各个业务域增量统计，抽数开始时间，抽数结束时间，抽数时间，以及抽数数据的开始日期和结束日期。</w:t>
      </w:r>
    </w:p>
    <w:p w14:paraId="301B31B3">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2.后结构化任务调度</w:t>
      </w:r>
      <w:r>
        <w:rPr>
          <w:rFonts w:hint="eastAsia" w:ascii="宋体" w:hAnsi="宋体"/>
          <w:color w:val="auto"/>
          <w:sz w:val="24"/>
          <w:szCs w:val="28"/>
          <w:highlight w:val="none"/>
        </w:rPr>
        <w:tab/>
      </w:r>
    </w:p>
    <w:p w14:paraId="2DF4CF77">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支持查看后结构化任务列表，包含任务名称、NLP配置名称、最近编辑者、状态等；</w:t>
      </w:r>
    </w:p>
    <w:p w14:paraId="18B7F820">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支持新建任务，支持输入任务名称，选择词典文件和NLP配置文件创建任务；</w:t>
      </w:r>
    </w:p>
    <w:p w14:paraId="0FC24466">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支持编辑任务详情和删除任务；</w:t>
      </w:r>
    </w:p>
    <w:p w14:paraId="55834D17">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支持执行任务，执行任务分为全量执行与增量执行，全量执行会清除原有后结构化指标项结果重新生成，增量执行则会自动生成每日增量数据生成后结构化结果；</w:t>
      </w:r>
    </w:p>
    <w:p w14:paraId="0AAFAD7A">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支持查看任务操作状态，包括创建任务，编辑任务，开始执行任务等；</w:t>
      </w:r>
    </w:p>
    <w:p w14:paraId="56A55669">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支持配置后结构化任务所用的词典文件和NLP配置文件；</w:t>
      </w:r>
    </w:p>
    <w:p w14:paraId="122AAB71">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支持配置NLP规则所需要的原文来源，支持关联专病和关联特定指标项；</w:t>
      </w:r>
    </w:p>
    <w:p w14:paraId="36970F89">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支持查看每次后结构化任务日期和详情，包含各个后结构化数据元产生结果的数量，任务执行开始时间和结束时间以及执行时长。</w:t>
      </w:r>
    </w:p>
    <w:p w14:paraId="68A69555">
      <w:pPr>
        <w:pStyle w:val="6"/>
        <w:spacing w:line="360" w:lineRule="auto"/>
        <w:rPr>
          <w:color w:val="auto"/>
          <w:highlight w:val="none"/>
        </w:rPr>
      </w:pPr>
      <w:r>
        <w:rPr>
          <w:rFonts w:hint="eastAsia"/>
          <w:color w:val="auto"/>
          <w:highlight w:val="none"/>
        </w:rPr>
        <w:t>1.2 区域医疗数据资源库</w:t>
      </w:r>
    </w:p>
    <w:p w14:paraId="3CF910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为盘活全民健康信息平台医疗大数据中心的优质数据资产并与区域临床科研协助管理系统、区域医疗数据资产管理系统进行应用适配，本项目需对全民健康信息平台医疗大数据中心的市属医院数据进行清洗处理，形成区域医疗数据资源库。</w:t>
      </w:r>
    </w:p>
    <w:p w14:paraId="43C95A0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全民健康信息平台</w:t>
      </w:r>
      <w:r>
        <w:rPr>
          <w:rFonts w:hint="eastAsia" w:ascii="宋体" w:hAnsi="宋体" w:cs="宋体"/>
          <w:color w:val="auto"/>
          <w:sz w:val="24"/>
          <w:highlight w:val="none"/>
        </w:rPr>
        <w:t>医疗大数据中心现有历史数据</w:t>
      </w:r>
      <w:r>
        <w:rPr>
          <w:rFonts w:ascii="宋体" w:hAnsi="宋体" w:cs="宋体"/>
          <w:color w:val="auto"/>
          <w:sz w:val="24"/>
          <w:highlight w:val="none"/>
        </w:rPr>
        <w:t>（包含门诊就诊人次和住院就诊人次）约6000万人次，预估未来三年增量数据约2000万人次</w:t>
      </w:r>
      <w:r>
        <w:rPr>
          <w:rFonts w:hint="eastAsia" w:ascii="宋体" w:hAnsi="宋体" w:cs="宋体"/>
          <w:color w:val="auto"/>
          <w:sz w:val="24"/>
          <w:highlight w:val="none"/>
        </w:rPr>
        <w:t>，</w:t>
      </w:r>
      <w:r>
        <w:rPr>
          <w:rFonts w:ascii="宋体" w:hAnsi="宋体" w:cs="宋体"/>
          <w:color w:val="auto"/>
          <w:sz w:val="24"/>
          <w:highlight w:val="none"/>
        </w:rPr>
        <w:t>总计</w:t>
      </w:r>
      <w:r>
        <w:rPr>
          <w:rFonts w:hint="eastAsia" w:ascii="宋体" w:hAnsi="宋体" w:cs="宋体"/>
          <w:color w:val="auto"/>
          <w:sz w:val="24"/>
          <w:highlight w:val="none"/>
        </w:rPr>
        <w:t>估</w:t>
      </w:r>
      <w:r>
        <w:rPr>
          <w:rFonts w:ascii="宋体" w:hAnsi="宋体" w:cs="宋体"/>
          <w:color w:val="auto"/>
          <w:sz w:val="24"/>
          <w:highlight w:val="none"/>
        </w:rPr>
        <w:t>算约8000万人次的基础数据（最终以当时实际数量为准）</w:t>
      </w:r>
      <w:r>
        <w:rPr>
          <w:rFonts w:hint="eastAsia" w:ascii="宋体" w:hAnsi="宋体" w:cs="宋体"/>
          <w:color w:val="auto"/>
          <w:sz w:val="24"/>
          <w:highlight w:val="none"/>
        </w:rPr>
        <w:t>。</w:t>
      </w:r>
    </w:p>
    <w:p w14:paraId="76C5FA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具体的数据处理工作包括通用数据建模服务、患者关联处理数据服务和数据结构转换服务。</w:t>
      </w:r>
    </w:p>
    <w:p w14:paraId="2B80428A">
      <w:pPr>
        <w:pStyle w:val="7"/>
        <w:spacing w:line="360" w:lineRule="auto"/>
        <w:rPr>
          <w:color w:val="auto"/>
          <w:highlight w:val="none"/>
        </w:rPr>
      </w:pPr>
      <w:r>
        <w:rPr>
          <w:rFonts w:hint="eastAsia"/>
          <w:color w:val="auto"/>
          <w:highlight w:val="none"/>
        </w:rPr>
        <w:t>1.2.1 通用数据建模服务</w:t>
      </w:r>
    </w:p>
    <w:p w14:paraId="7844A0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参考5类专病数据库数据标准（如人口学信息、就诊信息、诊断信息等），对全民健康信息平台技术白皮书中的数据集进行梳理，筛选纳入</w:t>
      </w:r>
      <w:r>
        <w:rPr>
          <w:rFonts w:hint="eastAsia" w:ascii="宋体" w:hAnsi="宋体" w:cs="宋体"/>
          <w:color w:val="auto"/>
          <w:sz w:val="24"/>
          <w:highlight w:val="none"/>
        </w:rPr>
        <w:t>不少于80个数据集</w:t>
      </w:r>
      <w:r>
        <w:rPr>
          <w:rFonts w:ascii="宋体" w:hAnsi="宋体" w:cs="宋体"/>
          <w:color w:val="auto"/>
          <w:sz w:val="24"/>
          <w:highlight w:val="none"/>
        </w:rPr>
        <w:t>进行通用数据模型构建</w:t>
      </w:r>
      <w:r>
        <w:rPr>
          <w:rFonts w:hint="eastAsia" w:ascii="宋体" w:hAnsi="宋体" w:cs="宋体"/>
          <w:color w:val="auto"/>
          <w:sz w:val="24"/>
          <w:highlight w:val="none"/>
        </w:rPr>
        <w:t>。</w:t>
      </w:r>
    </w:p>
    <w:p w14:paraId="58BF83FC">
      <w:pPr>
        <w:pStyle w:val="7"/>
        <w:spacing w:line="360" w:lineRule="auto"/>
        <w:rPr>
          <w:color w:val="auto"/>
          <w:highlight w:val="none"/>
        </w:rPr>
      </w:pPr>
      <w:r>
        <w:rPr>
          <w:rFonts w:hint="eastAsia"/>
          <w:color w:val="auto"/>
          <w:highlight w:val="none"/>
        </w:rPr>
        <w:t>1.2.2 患者关联处理数据服务</w:t>
      </w:r>
    </w:p>
    <w:p w14:paraId="67947DE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以患者身份证号码为核心进行患者关联匹配，匹配成功则将匹配上的患者数据合并成同一个，形成患者唯一主索引，匹配不成功则等待下一次轮循判断，循环往复，直至判定最终的唯一识别为止。</w:t>
      </w:r>
    </w:p>
    <w:p w14:paraId="36283477">
      <w:pPr>
        <w:pStyle w:val="7"/>
        <w:spacing w:line="360" w:lineRule="auto"/>
        <w:rPr>
          <w:color w:val="auto"/>
          <w:highlight w:val="none"/>
        </w:rPr>
      </w:pPr>
      <w:r>
        <w:rPr>
          <w:rFonts w:hint="eastAsia"/>
          <w:color w:val="auto"/>
          <w:highlight w:val="none"/>
        </w:rPr>
        <w:t>1.2.3 数据结构转换服务</w:t>
      </w:r>
    </w:p>
    <w:p w14:paraId="424A09B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根据杭州市卫健委相关业务处室审核确认后的通用数据结构，对全民健康信息平台医疗大数据中心的市属医院数据进行统一结构转换处理，形成区域医疗数据资源库，支持区域临床科研协作管理子系统和区域医疗数据资产目录管理子系统的应用适配</w:t>
      </w:r>
      <w:r>
        <w:rPr>
          <w:rFonts w:hint="eastAsia" w:ascii="宋体" w:hAnsi="宋体" w:cs="宋体"/>
          <w:color w:val="auto"/>
          <w:sz w:val="24"/>
          <w:highlight w:val="none"/>
        </w:rPr>
        <w:t>。</w:t>
      </w:r>
    </w:p>
    <w:p w14:paraId="58DA7CC6">
      <w:pPr>
        <w:pStyle w:val="6"/>
        <w:spacing w:line="360" w:lineRule="auto"/>
        <w:rPr>
          <w:color w:val="auto"/>
          <w:highlight w:val="none"/>
        </w:rPr>
      </w:pPr>
      <w:r>
        <w:rPr>
          <w:rFonts w:hint="eastAsia"/>
          <w:color w:val="auto"/>
          <w:highlight w:val="none"/>
        </w:rPr>
        <w:t>1.3 专病数据库</w:t>
      </w:r>
    </w:p>
    <w:p w14:paraId="24E45C3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专病数据库建设包括市级平台端和市属医院端两大块组成</w:t>
      </w:r>
      <w:r>
        <w:rPr>
          <w:rFonts w:hint="eastAsia" w:ascii="宋体" w:hAnsi="宋体" w:cs="宋体"/>
          <w:color w:val="auto"/>
          <w:sz w:val="24"/>
          <w:highlight w:val="none"/>
        </w:rPr>
        <w:t>。</w:t>
      </w:r>
    </w:p>
    <w:p w14:paraId="61AFFBEF">
      <w:pPr>
        <w:pStyle w:val="7"/>
        <w:spacing w:line="360" w:lineRule="auto"/>
        <w:rPr>
          <w:color w:val="auto"/>
          <w:highlight w:val="none"/>
        </w:rPr>
      </w:pPr>
      <w:r>
        <w:rPr>
          <w:rFonts w:hint="eastAsia"/>
          <w:color w:val="auto"/>
          <w:highlight w:val="none"/>
        </w:rPr>
        <w:t>1.3.1 市级平台端</w:t>
      </w:r>
    </w:p>
    <w:p w14:paraId="788BE2BA">
      <w:pPr>
        <w:pStyle w:val="8"/>
        <w:spacing w:line="360" w:lineRule="auto"/>
        <w:rPr>
          <w:color w:val="auto"/>
          <w:highlight w:val="none"/>
        </w:rPr>
      </w:pPr>
      <w:r>
        <w:rPr>
          <w:rFonts w:hint="eastAsia"/>
          <w:color w:val="auto"/>
          <w:highlight w:val="none"/>
        </w:rPr>
        <w:t>1.3.1.1 专病数据治理服务</w:t>
      </w:r>
    </w:p>
    <w:p w14:paraId="1C209C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专病数据治理服务的主要服务内容是在区域医疗数据资源库对2019年后批量历史数据治理的基础上，纳入符合</w:t>
      </w:r>
      <w:r>
        <w:rPr>
          <w:rFonts w:ascii="宋体" w:hAnsi="宋体" w:cs="宋体"/>
          <w:color w:val="auto"/>
          <w:sz w:val="24"/>
          <w:highlight w:val="none"/>
        </w:rPr>
        <w:t>5</w:t>
      </w:r>
      <w:r>
        <w:rPr>
          <w:rFonts w:hint="eastAsia" w:ascii="宋体" w:hAnsi="宋体" w:cs="宋体"/>
          <w:color w:val="auto"/>
          <w:sz w:val="24"/>
          <w:highlight w:val="none"/>
        </w:rPr>
        <w:t>类专病数据库</w:t>
      </w:r>
      <w:r>
        <w:rPr>
          <w:rFonts w:ascii="宋体" w:hAnsi="宋体" w:cs="宋体"/>
          <w:color w:val="auto"/>
          <w:sz w:val="24"/>
          <w:highlight w:val="none"/>
        </w:rPr>
        <w:t>入组条件</w:t>
      </w:r>
      <w:r>
        <w:rPr>
          <w:rFonts w:hint="eastAsia" w:ascii="宋体" w:hAnsi="宋体" w:cs="宋体"/>
          <w:color w:val="auto"/>
          <w:sz w:val="24"/>
          <w:highlight w:val="none"/>
        </w:rPr>
        <w:t>的专病患者数据进行专项治理，数据治理需要依照市卫健委确定的专病数据集标准执行，因数据集小部分数据调整造成的数据治理范围调整包含在本项目数据治理范围内，具体的治理服务内容包括专病数据清洗、后结构化处理、科研归一处理、医学术语维护和专病数据关联。</w:t>
      </w:r>
    </w:p>
    <w:p w14:paraId="2DBBE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数据治理范围包括市级平台端的专病数据和在市属医院端的专病数据。并可将后续确定的专病联盟成员医院对应数据拓展纳入数据治理范围。</w:t>
      </w:r>
    </w:p>
    <w:p w14:paraId="1B3A85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数据治理的时间从项目建设期开始至项目免费运维期结束止。</w:t>
      </w:r>
    </w:p>
    <w:p w14:paraId="57092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数据治理的范围以杭州市卫建委与本项目5类专病牵头市属医院</w:t>
      </w:r>
      <w:r>
        <w:rPr>
          <w:rFonts w:ascii="宋体" w:hAnsi="宋体" w:cs="宋体"/>
          <w:color w:val="auto"/>
          <w:sz w:val="24"/>
          <w:highlight w:val="none"/>
        </w:rPr>
        <w:t>（杭州市第一人民医院集团吴山院区、杭州市第三人民医院、杭州市第七人民医院、杭州市中医院、杭州市妇产科医院）</w:t>
      </w:r>
      <w:r>
        <w:rPr>
          <w:rFonts w:hint="eastAsia" w:ascii="宋体" w:hAnsi="宋体" w:cs="宋体"/>
          <w:color w:val="auto"/>
          <w:sz w:val="24"/>
          <w:highlight w:val="none"/>
        </w:rPr>
        <w:t>共同确认的下列专病数据库数据标准为准：</w:t>
      </w:r>
    </w:p>
    <w:p w14:paraId="7EAD83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1、IgA肾病专病库数据标准；</w:t>
      </w:r>
    </w:p>
    <w:p w14:paraId="54CCB1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2、女性盆底疾病(尿失禁)专病库数据标准；</w:t>
      </w:r>
    </w:p>
    <w:p w14:paraId="5EE507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3、肺肿瘤专病库数据标准；</w:t>
      </w:r>
    </w:p>
    <w:p w14:paraId="4294F5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4、儿童特应性皮炎专病库数据标准；</w:t>
      </w:r>
    </w:p>
    <w:p w14:paraId="5520A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5、抑郁症专病库数据标准。</w:t>
      </w:r>
    </w:p>
    <w:p w14:paraId="22B13CB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专病数据治理服务工作内容包括专病数据清洗、专病数据关联、后结构化处理、科研归一处理和医学术语维护5大块</w:t>
      </w:r>
      <w:r>
        <w:rPr>
          <w:rFonts w:hint="eastAsia" w:ascii="宋体" w:hAnsi="宋体" w:cs="宋体"/>
          <w:color w:val="auto"/>
          <w:sz w:val="24"/>
          <w:highlight w:val="none"/>
        </w:rPr>
        <w:t>：</w:t>
      </w:r>
    </w:p>
    <w:p w14:paraId="298AF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1、专病数据清洗：</w:t>
      </w:r>
      <w:r>
        <w:rPr>
          <w:rFonts w:ascii="宋体" w:hAnsi="宋体" w:cs="宋体"/>
          <w:color w:val="auto"/>
          <w:sz w:val="24"/>
          <w:highlight w:val="none"/>
        </w:rPr>
        <w:t>对符合5大专病入组条件的专病数据进行抽取和清洗，具体处理工作包括：数据去重处理、数据类型转换、异常值清洗、缺失值处理、数据格式统一和数据整合处理</w:t>
      </w:r>
      <w:r>
        <w:rPr>
          <w:rFonts w:hint="eastAsia" w:ascii="宋体" w:hAnsi="宋体" w:cs="宋体"/>
          <w:color w:val="auto"/>
          <w:sz w:val="24"/>
          <w:highlight w:val="none"/>
        </w:rPr>
        <w:t>；</w:t>
      </w:r>
    </w:p>
    <w:p w14:paraId="76D5FC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2、后结构化处理：</w:t>
      </w:r>
      <w:r>
        <w:rPr>
          <w:rFonts w:ascii="宋体" w:hAnsi="宋体" w:cs="宋体"/>
          <w:color w:val="auto"/>
          <w:sz w:val="24"/>
          <w:highlight w:val="none"/>
        </w:rPr>
        <w:t>基于NLP工具，按照5类专病数据库数据标准中定义好的后结构化数据项，对符合5大专病入组条件的专病数据内容进行后结构化处理</w:t>
      </w:r>
      <w:r>
        <w:rPr>
          <w:rFonts w:hint="eastAsia" w:ascii="宋体" w:hAnsi="宋体" w:cs="宋体"/>
          <w:color w:val="auto"/>
          <w:sz w:val="24"/>
          <w:highlight w:val="none"/>
        </w:rPr>
        <w:t>；</w:t>
      </w:r>
    </w:p>
    <w:p w14:paraId="57300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3、科研归一处理：</w:t>
      </w:r>
      <w:r>
        <w:rPr>
          <w:rFonts w:ascii="宋体" w:hAnsi="宋体" w:cs="宋体"/>
          <w:color w:val="auto"/>
          <w:sz w:val="24"/>
          <w:highlight w:val="none"/>
        </w:rPr>
        <w:t>基于科研归一工具，对首批5个专病数据库的患者基本信息、诊断名称、手术名称、药品名称、检验名称和检查名称等进行归一维护处理，提高市级专病数据库平台病例检索的精确度</w:t>
      </w:r>
      <w:r>
        <w:rPr>
          <w:rFonts w:hint="eastAsia" w:ascii="宋体" w:hAnsi="宋体" w:cs="宋体"/>
          <w:color w:val="auto"/>
          <w:sz w:val="24"/>
          <w:highlight w:val="none"/>
        </w:rPr>
        <w:t>；</w:t>
      </w:r>
    </w:p>
    <w:p w14:paraId="77B33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4、医学术语维护：</w:t>
      </w:r>
      <w:r>
        <w:rPr>
          <w:rFonts w:ascii="宋体" w:hAnsi="宋体" w:cs="宋体"/>
          <w:color w:val="auto"/>
          <w:sz w:val="24"/>
          <w:highlight w:val="none"/>
        </w:rPr>
        <w:t>基于医学术语管理工具，对5类专病诊疗数据对应的特色医学术语进行维护处理，为后结构化处理提供术语库支撑</w:t>
      </w:r>
      <w:r>
        <w:rPr>
          <w:rFonts w:hint="eastAsia" w:ascii="宋体" w:hAnsi="宋体" w:cs="宋体"/>
          <w:color w:val="auto"/>
          <w:sz w:val="24"/>
          <w:highlight w:val="none"/>
        </w:rPr>
        <w:t>；</w:t>
      </w:r>
    </w:p>
    <w:p w14:paraId="156A9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5、专病数据关联：</w:t>
      </w:r>
      <w:r>
        <w:rPr>
          <w:rFonts w:ascii="宋体" w:hAnsi="宋体" w:cs="宋体"/>
          <w:color w:val="auto"/>
          <w:sz w:val="24"/>
          <w:highlight w:val="none"/>
        </w:rPr>
        <w:t>对市级平台端治理后的专病数据和市属医院端上报的专病数据进行数据关联处理：主要以患者身份证号码为核心进行同一患者判别，判定成功则对同一患者的不同诊疗人次数据进行关联合并，形成患者唯一主索引。</w:t>
      </w:r>
    </w:p>
    <w:p w14:paraId="30864A57">
      <w:pPr>
        <w:pStyle w:val="8"/>
        <w:spacing w:line="360" w:lineRule="auto"/>
        <w:rPr>
          <w:color w:val="auto"/>
          <w:highlight w:val="none"/>
        </w:rPr>
      </w:pPr>
      <w:r>
        <w:rPr>
          <w:rFonts w:hint="eastAsia"/>
          <w:color w:val="auto"/>
          <w:highlight w:val="none"/>
        </w:rPr>
        <w:t>1.3.1.2 专病数据质控工具</w:t>
      </w:r>
    </w:p>
    <w:p w14:paraId="5003E96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（1）质控规则管理</w:t>
      </w:r>
    </w:p>
    <w:p w14:paraId="2B39FC4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1.规则维护</w:t>
      </w:r>
      <w:r>
        <w:rPr>
          <w:rFonts w:ascii="宋体" w:hAnsi="宋体" w:cs="宋体"/>
          <w:color w:val="auto"/>
          <w:sz w:val="24"/>
          <w:highlight w:val="none"/>
        </w:rPr>
        <w:tab/>
      </w:r>
    </w:p>
    <w:p w14:paraId="48A294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支持查看平台已维护好的质控规则，并支持编辑、删除、禁用、启用操作；</w:t>
      </w:r>
    </w:p>
    <w:p w14:paraId="1F40F6C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支持基于内置规则或者自定义规则创建质控规则。</w:t>
      </w:r>
    </w:p>
    <w:p w14:paraId="3C0383E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2.内置规则</w:t>
      </w:r>
      <w:r>
        <w:rPr>
          <w:rFonts w:ascii="宋体" w:hAnsi="宋体" w:cs="宋体"/>
          <w:color w:val="auto"/>
          <w:sz w:val="24"/>
          <w:highlight w:val="none"/>
        </w:rPr>
        <w:tab/>
      </w:r>
    </w:p>
    <w:p w14:paraId="08B575D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空值校验：数据列中空值的行视为问题数据；</w:t>
      </w:r>
    </w:p>
    <w:p w14:paraId="232111E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值域校验：在使用规则时需要配套定义好正确值域的范围，不在此范围的数据行视为问题数据；</w:t>
      </w:r>
    </w:p>
    <w:p w14:paraId="16B842E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特殊格式校验：如手机号，身份证号、邮编等；</w:t>
      </w:r>
    </w:p>
    <w:p w14:paraId="5B20A3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长度校验：设定一个长度范围，长度在此范围以外的数据视为问题数据；</w:t>
      </w:r>
    </w:p>
    <w:p w14:paraId="747ACFB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唯一约束校验：检测范围内多次出现的数据视为问题数据；</w:t>
      </w:r>
    </w:p>
    <w:p w14:paraId="3D68600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合理校验：设定一个数值区间范围，数值在此范围以外的数据视为问题数据。</w:t>
      </w:r>
    </w:p>
    <w:p w14:paraId="129AD6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3.自定义规则</w:t>
      </w:r>
      <w:r>
        <w:rPr>
          <w:rFonts w:ascii="宋体" w:hAnsi="宋体" w:cs="宋体"/>
          <w:color w:val="auto"/>
          <w:sz w:val="24"/>
          <w:highlight w:val="none"/>
        </w:rPr>
        <w:tab/>
      </w:r>
    </w:p>
    <w:p w14:paraId="7D5B34E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置规则模型不能满足的数据质量检测需求，数据质量支持用户创建自定义规则模型。通过编写自定义的sql查询语句，预留待检测表和待检测字段的作为参数，根据业务场景定义检测查询逻辑即可形成自定义规则模型。对于自定义的sql系统会做基础语义校验，提高自定义sql的可执行性。自定义规则模型的使用方法与内置规则模型一样，所以说自定义规则模型为数据质量检测方法库，提供了无限扩充的能力。</w:t>
      </w:r>
    </w:p>
    <w:p w14:paraId="495629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（2）指标质控管理</w:t>
      </w:r>
    </w:p>
    <w:p w14:paraId="5CF9828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1.指标质控规则</w:t>
      </w:r>
      <w:r>
        <w:rPr>
          <w:rFonts w:ascii="宋体" w:hAnsi="宋体" w:cs="宋体"/>
          <w:color w:val="auto"/>
          <w:sz w:val="24"/>
          <w:highlight w:val="none"/>
        </w:rPr>
        <w:tab/>
      </w:r>
    </w:p>
    <w:p w14:paraId="516F500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支持查看专病库指标项中已预设好的质控规则列表，并支持编辑、删除操作；</w:t>
      </w:r>
    </w:p>
    <w:p w14:paraId="7BBD8D8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支持选择专病库指标项关联质控规则创建指标质控。</w:t>
      </w:r>
    </w:p>
    <w:p w14:paraId="41D5443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2.指标质控版本管理</w:t>
      </w:r>
      <w:r>
        <w:rPr>
          <w:rFonts w:ascii="宋体" w:hAnsi="宋体" w:cs="宋体"/>
          <w:color w:val="auto"/>
          <w:sz w:val="24"/>
          <w:highlight w:val="none"/>
        </w:rPr>
        <w:tab/>
      </w:r>
    </w:p>
    <w:p w14:paraId="64FC7A4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支持查看指标质控不同版本记录以及详情。</w:t>
      </w:r>
    </w:p>
    <w:p w14:paraId="3C9210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（3）质控任务</w:t>
      </w:r>
    </w:p>
    <w:p w14:paraId="6E0ABA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1.质控任务管理</w:t>
      </w:r>
      <w:r>
        <w:rPr>
          <w:rFonts w:ascii="宋体" w:hAnsi="宋体" w:cs="宋体"/>
          <w:color w:val="auto"/>
          <w:sz w:val="24"/>
          <w:highlight w:val="none"/>
        </w:rPr>
        <w:tab/>
      </w:r>
    </w:p>
    <w:p w14:paraId="2C8AD5A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支持查看质控任务列表，包含任务名称、参与质控指标以及所用的质控规则、任务状态、质控任务涉及数据日期范围、任务执行时间等；</w:t>
      </w:r>
    </w:p>
    <w:p w14:paraId="7BE9AA5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支持新建质控任务，输入任务名称，选择质控指标和质控数据范围创建质控任务；</w:t>
      </w:r>
    </w:p>
    <w:p w14:paraId="2412A26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支持执行质控任务，执行任务分为全量执行与增量执行，全量执行会根据设定的质控数据范围进行质控，增量执行会根据每日增量数据进行自动质控。</w:t>
      </w:r>
    </w:p>
    <w:p w14:paraId="5E4BCCD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2.质控结果</w:t>
      </w:r>
      <w:r>
        <w:rPr>
          <w:rFonts w:ascii="宋体" w:hAnsi="宋体" w:cs="宋体"/>
          <w:color w:val="auto"/>
          <w:sz w:val="24"/>
          <w:highlight w:val="none"/>
        </w:rPr>
        <w:tab/>
      </w:r>
    </w:p>
    <w:p w14:paraId="0E244E9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支持质控任务执行完毕查看质控结果，会根据预设好的质控规则生成各个指标项有问题的数据量和占比；</w:t>
      </w:r>
    </w:p>
    <w:p w14:paraId="3E2D178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支持查看有问题数据的明细。</w:t>
      </w:r>
    </w:p>
    <w:p w14:paraId="38D9A12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3.质控结果审核</w:t>
      </w:r>
      <w:r>
        <w:rPr>
          <w:rFonts w:ascii="宋体" w:hAnsi="宋体" w:cs="宋体"/>
          <w:color w:val="auto"/>
          <w:sz w:val="24"/>
          <w:highlight w:val="none"/>
        </w:rPr>
        <w:tab/>
      </w:r>
    </w:p>
    <w:p w14:paraId="05B05F7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支持对质控结果进行审核，审核通过数据将会纳入至RDR数据层，审核不通过数据则可以选择不纳入；</w:t>
      </w:r>
    </w:p>
    <w:p w14:paraId="719B845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支持批量对质控任务结果进行审核处理。</w:t>
      </w:r>
    </w:p>
    <w:p w14:paraId="1B3893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（4）数据质量报告</w:t>
      </w:r>
    </w:p>
    <w:p w14:paraId="394A55B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1.业务域质量报告</w:t>
      </w:r>
    </w:p>
    <w:p w14:paraId="613F002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支持以业务域的维度，汇总展示同一个业务域下所有指标质控规则最新一个批次的执行结果。</w:t>
      </w:r>
    </w:p>
    <w:p w14:paraId="343B703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2.指标项质量报告</w:t>
      </w:r>
    </w:p>
    <w:p w14:paraId="657C949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支持以单个指标项的维度，展示单个指标左右执行批次结果，并支持以时间为横坐标展示质控结果变化趋势。</w:t>
      </w:r>
    </w:p>
    <w:p w14:paraId="527C33AC">
      <w:pPr>
        <w:pStyle w:val="7"/>
        <w:spacing w:line="360" w:lineRule="auto"/>
        <w:rPr>
          <w:color w:val="auto"/>
          <w:highlight w:val="none"/>
        </w:rPr>
      </w:pPr>
      <w:r>
        <w:rPr>
          <w:rFonts w:hint="eastAsia"/>
          <w:color w:val="auto"/>
          <w:highlight w:val="none"/>
        </w:rPr>
        <w:t>1.3.2 市属医院端</w:t>
      </w:r>
    </w:p>
    <w:p w14:paraId="079449A0">
      <w:pPr>
        <w:pStyle w:val="8"/>
        <w:spacing w:line="360" w:lineRule="auto"/>
        <w:rPr>
          <w:color w:val="auto"/>
          <w:highlight w:val="none"/>
        </w:rPr>
      </w:pPr>
      <w:r>
        <w:rPr>
          <w:rFonts w:hint="eastAsia"/>
          <w:color w:val="auto"/>
          <w:highlight w:val="none"/>
        </w:rPr>
        <w:t>1.3.2.1 专病数据结构化插件</w:t>
      </w:r>
    </w:p>
    <w:p w14:paraId="4D626C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该工具需支持部署在5类专病联盟单位中的市属医院，并与对应部署市属医院的院内相关核心业务系统进行对接，实现相关数据的获取，并通过NLP工具实现结构化处理后自动回填，剩下未填写的专病数据项将通过弹窗的方式提醒临床医生，由临床医生进行数据补录，实现市属医院高质量专病数据采集。</w:t>
      </w:r>
    </w:p>
    <w:p w14:paraId="06C71DB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（1）病例录入管理</w:t>
      </w:r>
    </w:p>
    <w:p w14:paraId="66EFC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院内书写病历并提交时，若病例符合专病数据库入组条件，则弹窗跳转至病例录入界面，医生可查看原始病历以及结构化指标，进行数据核对和补充。提交后进行实时质控，未通过的会在具体指标高亮提示；可选择暂存未完整病例；支持查看待提交、待整改病例数量统计，点击可跳转查看明细。</w:t>
      </w:r>
    </w:p>
    <w:p w14:paraId="6C67C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浏览器登录插件，查看待提交、已提交、待整改和已整改病例列表。医生可编辑和提交待提交与待整改病例，其中待提交病例提交后经由平台质控后展示质控结果。支持查看未入组患者列表及原因，可手动修改患者入组状态并说明理由。</w:t>
      </w:r>
    </w:p>
    <w:p w14:paraId="5745B0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（2）基础配置管理</w:t>
      </w:r>
    </w:p>
    <w:p w14:paraId="2588EF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级平台管理人员可维护使用插件的医生用户及查看数据上报情况，并支持统一更新病种、表单模板及实时质控规则，并同步至市属医院院内环境，也支持直接访问院内环境进行管理，包含病种管理：维护疾病类型及与表单模板的关联关系；表单模板管理：使用内置编辑器基于标准数据集维护模板内容；质控规则配置：可设定指标项的必填、合理范围及格式校验规则。</w:t>
      </w:r>
    </w:p>
    <w:p w14:paraId="09CF1711">
      <w:pPr>
        <w:pStyle w:val="6"/>
        <w:spacing w:line="360" w:lineRule="auto"/>
        <w:rPr>
          <w:color w:val="auto"/>
          <w:highlight w:val="none"/>
        </w:rPr>
      </w:pPr>
      <w:bookmarkStart w:id="29" w:name="_Toc16073"/>
      <w:bookmarkEnd w:id="29"/>
      <w:bookmarkStart w:id="30" w:name="_Toc3390"/>
      <w:bookmarkEnd w:id="30"/>
      <w:bookmarkStart w:id="31" w:name="_Toc8074"/>
      <w:bookmarkEnd w:id="31"/>
      <w:r>
        <w:rPr>
          <w:rFonts w:hint="eastAsia"/>
          <w:color w:val="auto"/>
          <w:highlight w:val="none"/>
        </w:rPr>
        <w:t>1.4 区域诊疗数据扩展对接</w:t>
      </w:r>
    </w:p>
    <w:p w14:paraId="5B8764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市级专病数据库支持并预设特殊区域诊疗数据标准协议，该数据标准协议范围包括区域生物样本信息和区域病理信息两块数据内容。</w:t>
      </w:r>
    </w:p>
    <w:p w14:paraId="5F172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参考区域生物样本库管理系统和区域病理平台报告中的常规文本字段内容，初始数据标准协议的字段信息包括以下内容，支持后续拓展：</w:t>
      </w:r>
    </w:p>
    <w:p w14:paraId="55279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1、区域生物样本库管理系统</w:t>
      </w:r>
    </w:p>
    <w:p w14:paraId="4D55AE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常规字段列表：</w:t>
      </w:r>
    </w:p>
    <w:tbl>
      <w:tblPr>
        <w:tblStyle w:val="6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9"/>
        <w:gridCol w:w="2977"/>
        <w:gridCol w:w="2765"/>
        <w:gridCol w:w="1425"/>
      </w:tblGrid>
      <w:tr w14:paraId="5E52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1129" w:type="dxa"/>
            <w:vAlign w:val="center"/>
          </w:tcPr>
          <w:p w14:paraId="37FDE4FE">
            <w:pPr>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2977" w:type="dxa"/>
            <w:noWrap/>
            <w:vAlign w:val="center"/>
          </w:tcPr>
          <w:p w14:paraId="4758159A">
            <w:pPr>
              <w:spacing w:line="360" w:lineRule="auto"/>
              <w:jc w:val="center"/>
              <w:rPr>
                <w:rFonts w:ascii="宋体" w:hAnsi="宋体"/>
                <w:b/>
                <w:bCs/>
                <w:color w:val="auto"/>
                <w:sz w:val="24"/>
                <w:highlight w:val="none"/>
              </w:rPr>
            </w:pPr>
            <w:r>
              <w:rPr>
                <w:rFonts w:hint="eastAsia" w:ascii="宋体" w:hAnsi="宋体"/>
                <w:b/>
                <w:bCs/>
                <w:color w:val="auto"/>
                <w:sz w:val="24"/>
                <w:highlight w:val="none"/>
              </w:rPr>
              <w:t>业务域子表</w:t>
            </w:r>
          </w:p>
        </w:tc>
        <w:tc>
          <w:tcPr>
            <w:tcW w:w="2765" w:type="dxa"/>
            <w:noWrap/>
            <w:vAlign w:val="center"/>
          </w:tcPr>
          <w:p w14:paraId="4EC62C9D">
            <w:pPr>
              <w:spacing w:line="360" w:lineRule="auto"/>
              <w:jc w:val="center"/>
              <w:rPr>
                <w:rFonts w:ascii="宋体" w:hAnsi="宋体"/>
                <w:b/>
                <w:bCs/>
                <w:color w:val="auto"/>
                <w:sz w:val="24"/>
                <w:highlight w:val="none"/>
              </w:rPr>
            </w:pPr>
            <w:r>
              <w:rPr>
                <w:rFonts w:hint="eastAsia" w:ascii="宋体" w:hAnsi="宋体"/>
                <w:b/>
                <w:bCs/>
                <w:color w:val="auto"/>
                <w:sz w:val="24"/>
                <w:highlight w:val="none"/>
              </w:rPr>
              <w:t>指标名称</w:t>
            </w:r>
          </w:p>
        </w:tc>
        <w:tc>
          <w:tcPr>
            <w:tcW w:w="1425" w:type="dxa"/>
            <w:noWrap/>
            <w:vAlign w:val="center"/>
          </w:tcPr>
          <w:p w14:paraId="48129EF8">
            <w:pPr>
              <w:spacing w:line="360" w:lineRule="auto"/>
              <w:jc w:val="center"/>
              <w:rPr>
                <w:rFonts w:ascii="宋体" w:hAnsi="宋体"/>
                <w:b/>
                <w:bCs/>
                <w:color w:val="auto"/>
                <w:sz w:val="24"/>
                <w:highlight w:val="none"/>
              </w:rPr>
            </w:pPr>
            <w:r>
              <w:rPr>
                <w:rFonts w:hint="eastAsia" w:ascii="宋体" w:hAnsi="宋体"/>
                <w:b/>
                <w:bCs/>
                <w:color w:val="auto"/>
                <w:sz w:val="24"/>
                <w:highlight w:val="none"/>
              </w:rPr>
              <w:t>数据类型</w:t>
            </w:r>
          </w:p>
        </w:tc>
      </w:tr>
      <w:tr w14:paraId="1FD1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468F34F6">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977" w:type="dxa"/>
            <w:noWrap/>
            <w:vAlign w:val="center"/>
          </w:tcPr>
          <w:p w14:paraId="1DFA3AE5">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3AEA011C">
            <w:pPr>
              <w:spacing w:line="360" w:lineRule="auto"/>
              <w:jc w:val="center"/>
              <w:rPr>
                <w:rFonts w:ascii="宋体" w:hAnsi="宋体"/>
                <w:color w:val="auto"/>
                <w:sz w:val="24"/>
                <w:highlight w:val="none"/>
              </w:rPr>
            </w:pPr>
            <w:r>
              <w:rPr>
                <w:rFonts w:hint="eastAsia" w:ascii="宋体" w:hAnsi="宋体"/>
                <w:color w:val="auto"/>
                <w:sz w:val="24"/>
                <w:highlight w:val="none"/>
              </w:rPr>
              <w:t>样本编号</w:t>
            </w:r>
          </w:p>
        </w:tc>
        <w:tc>
          <w:tcPr>
            <w:tcW w:w="1425" w:type="dxa"/>
            <w:noWrap/>
            <w:vAlign w:val="center"/>
          </w:tcPr>
          <w:p w14:paraId="24DCD5A6">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189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5F0DBB4E">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977" w:type="dxa"/>
            <w:noWrap/>
            <w:vAlign w:val="center"/>
          </w:tcPr>
          <w:p w14:paraId="024B7C38">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4BFE9D3F">
            <w:pPr>
              <w:spacing w:line="360" w:lineRule="auto"/>
              <w:jc w:val="center"/>
              <w:rPr>
                <w:rFonts w:ascii="宋体" w:hAnsi="宋体"/>
                <w:color w:val="auto"/>
                <w:sz w:val="24"/>
                <w:highlight w:val="none"/>
              </w:rPr>
            </w:pPr>
            <w:r>
              <w:rPr>
                <w:rFonts w:hint="eastAsia" w:ascii="宋体" w:hAnsi="宋体"/>
                <w:color w:val="auto"/>
                <w:sz w:val="24"/>
                <w:highlight w:val="none"/>
              </w:rPr>
              <w:t>样本类型</w:t>
            </w:r>
          </w:p>
        </w:tc>
        <w:tc>
          <w:tcPr>
            <w:tcW w:w="1425" w:type="dxa"/>
            <w:noWrap/>
            <w:vAlign w:val="center"/>
          </w:tcPr>
          <w:p w14:paraId="4712EBE4">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2CBE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56ED1F82">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977" w:type="dxa"/>
            <w:noWrap/>
            <w:vAlign w:val="center"/>
          </w:tcPr>
          <w:p w14:paraId="517FD75B">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14274975">
            <w:pPr>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25" w:type="dxa"/>
            <w:noWrap/>
            <w:vAlign w:val="center"/>
          </w:tcPr>
          <w:p w14:paraId="6DE4A5B6">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7662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4E9C1DE4">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977" w:type="dxa"/>
            <w:noWrap/>
            <w:vAlign w:val="center"/>
          </w:tcPr>
          <w:p w14:paraId="08BC9577">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7BFCF784">
            <w:pPr>
              <w:spacing w:line="360" w:lineRule="auto"/>
              <w:jc w:val="center"/>
              <w:rPr>
                <w:rFonts w:ascii="宋体" w:hAnsi="宋体"/>
                <w:color w:val="auto"/>
                <w:sz w:val="24"/>
                <w:highlight w:val="none"/>
              </w:rPr>
            </w:pPr>
            <w:r>
              <w:rPr>
                <w:rFonts w:hint="eastAsia" w:ascii="宋体" w:hAnsi="宋体"/>
                <w:color w:val="auto"/>
                <w:sz w:val="24"/>
                <w:highlight w:val="none"/>
              </w:rPr>
              <w:t>初次存入时间</w:t>
            </w:r>
          </w:p>
        </w:tc>
        <w:tc>
          <w:tcPr>
            <w:tcW w:w="1425" w:type="dxa"/>
            <w:noWrap/>
            <w:vAlign w:val="center"/>
          </w:tcPr>
          <w:p w14:paraId="286CB03C">
            <w:pPr>
              <w:spacing w:line="360" w:lineRule="auto"/>
              <w:jc w:val="center"/>
              <w:rPr>
                <w:rFonts w:ascii="宋体" w:hAnsi="宋体"/>
                <w:color w:val="auto"/>
                <w:sz w:val="24"/>
                <w:highlight w:val="none"/>
              </w:rPr>
            </w:pPr>
            <w:r>
              <w:rPr>
                <w:rFonts w:hint="eastAsia" w:ascii="宋体" w:hAnsi="宋体"/>
                <w:color w:val="auto"/>
                <w:sz w:val="24"/>
                <w:highlight w:val="none"/>
              </w:rPr>
              <w:t>datetime</w:t>
            </w:r>
          </w:p>
        </w:tc>
      </w:tr>
      <w:tr w14:paraId="0E20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41F3D0B9">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977" w:type="dxa"/>
            <w:noWrap/>
            <w:vAlign w:val="center"/>
          </w:tcPr>
          <w:p w14:paraId="53F5176C">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63E7C438">
            <w:pPr>
              <w:spacing w:line="360" w:lineRule="auto"/>
              <w:jc w:val="center"/>
              <w:rPr>
                <w:rFonts w:ascii="宋体" w:hAnsi="宋体"/>
                <w:color w:val="auto"/>
                <w:sz w:val="24"/>
                <w:highlight w:val="none"/>
              </w:rPr>
            </w:pPr>
            <w:r>
              <w:rPr>
                <w:rFonts w:hint="eastAsia" w:ascii="宋体" w:hAnsi="宋体"/>
                <w:color w:val="auto"/>
                <w:sz w:val="24"/>
                <w:highlight w:val="none"/>
              </w:rPr>
              <w:t>采集器类型</w:t>
            </w:r>
          </w:p>
        </w:tc>
        <w:tc>
          <w:tcPr>
            <w:tcW w:w="1425" w:type="dxa"/>
            <w:noWrap/>
            <w:vAlign w:val="center"/>
          </w:tcPr>
          <w:p w14:paraId="5C98E075">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2652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52C8D80D">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2977" w:type="dxa"/>
            <w:noWrap/>
            <w:vAlign w:val="center"/>
          </w:tcPr>
          <w:p w14:paraId="6382870A">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611E11D1">
            <w:pPr>
              <w:spacing w:line="360" w:lineRule="auto"/>
              <w:jc w:val="center"/>
              <w:rPr>
                <w:rFonts w:ascii="宋体" w:hAnsi="宋体"/>
                <w:color w:val="auto"/>
                <w:sz w:val="24"/>
                <w:highlight w:val="none"/>
              </w:rPr>
            </w:pPr>
            <w:r>
              <w:rPr>
                <w:rFonts w:hint="eastAsia" w:ascii="宋体" w:hAnsi="宋体"/>
                <w:color w:val="auto"/>
                <w:sz w:val="24"/>
                <w:highlight w:val="none"/>
              </w:rPr>
              <w:t>样本源编号</w:t>
            </w:r>
          </w:p>
        </w:tc>
        <w:tc>
          <w:tcPr>
            <w:tcW w:w="1425" w:type="dxa"/>
            <w:noWrap/>
            <w:vAlign w:val="center"/>
          </w:tcPr>
          <w:p w14:paraId="3E8D7D5A">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4963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2D76EE44">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2977" w:type="dxa"/>
            <w:noWrap/>
            <w:vAlign w:val="center"/>
          </w:tcPr>
          <w:p w14:paraId="1B5EF098">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74E0F7AD">
            <w:pPr>
              <w:spacing w:line="360" w:lineRule="auto"/>
              <w:jc w:val="center"/>
              <w:rPr>
                <w:rFonts w:ascii="宋体" w:hAnsi="宋体"/>
                <w:color w:val="auto"/>
                <w:sz w:val="24"/>
                <w:highlight w:val="none"/>
              </w:rPr>
            </w:pPr>
            <w:r>
              <w:rPr>
                <w:rFonts w:hint="eastAsia" w:ascii="宋体" w:hAnsi="宋体"/>
                <w:color w:val="auto"/>
                <w:sz w:val="24"/>
                <w:highlight w:val="none"/>
              </w:rPr>
              <w:t>患者姓名</w:t>
            </w:r>
          </w:p>
        </w:tc>
        <w:tc>
          <w:tcPr>
            <w:tcW w:w="1425" w:type="dxa"/>
            <w:noWrap/>
            <w:vAlign w:val="center"/>
          </w:tcPr>
          <w:p w14:paraId="1BC2F83E">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61CD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73422941">
            <w:pPr>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2977" w:type="dxa"/>
            <w:noWrap/>
            <w:vAlign w:val="center"/>
          </w:tcPr>
          <w:p w14:paraId="3E2F93A8">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05EEDEBD">
            <w:pPr>
              <w:spacing w:line="360" w:lineRule="auto"/>
              <w:jc w:val="center"/>
              <w:rPr>
                <w:rFonts w:ascii="宋体" w:hAnsi="宋体"/>
                <w:color w:val="auto"/>
                <w:sz w:val="24"/>
                <w:highlight w:val="none"/>
              </w:rPr>
            </w:pPr>
            <w:r>
              <w:rPr>
                <w:rFonts w:hint="eastAsia" w:ascii="宋体" w:hAnsi="宋体"/>
                <w:color w:val="auto"/>
                <w:sz w:val="24"/>
                <w:highlight w:val="none"/>
              </w:rPr>
              <w:t>患者性别</w:t>
            </w:r>
          </w:p>
        </w:tc>
        <w:tc>
          <w:tcPr>
            <w:tcW w:w="1425" w:type="dxa"/>
            <w:noWrap/>
            <w:vAlign w:val="center"/>
          </w:tcPr>
          <w:p w14:paraId="0739FA3C">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4AC8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366057E4">
            <w:pPr>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2977" w:type="dxa"/>
            <w:noWrap/>
            <w:vAlign w:val="center"/>
          </w:tcPr>
          <w:p w14:paraId="152CB819">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474D8BA2">
            <w:pPr>
              <w:spacing w:line="360" w:lineRule="auto"/>
              <w:jc w:val="center"/>
              <w:rPr>
                <w:rFonts w:ascii="宋体" w:hAnsi="宋体"/>
                <w:color w:val="auto"/>
                <w:sz w:val="24"/>
                <w:highlight w:val="none"/>
              </w:rPr>
            </w:pPr>
            <w:r>
              <w:rPr>
                <w:rFonts w:hint="eastAsia" w:ascii="宋体" w:hAnsi="宋体"/>
                <w:color w:val="auto"/>
                <w:sz w:val="24"/>
                <w:highlight w:val="none"/>
              </w:rPr>
              <w:t>患者年龄</w:t>
            </w:r>
          </w:p>
        </w:tc>
        <w:tc>
          <w:tcPr>
            <w:tcW w:w="1425" w:type="dxa"/>
            <w:noWrap/>
            <w:vAlign w:val="center"/>
          </w:tcPr>
          <w:p w14:paraId="2455933B">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55D5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60697610">
            <w:pPr>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2977" w:type="dxa"/>
            <w:noWrap/>
            <w:vAlign w:val="center"/>
          </w:tcPr>
          <w:p w14:paraId="750325BA">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1DD70C71">
            <w:pPr>
              <w:spacing w:line="360" w:lineRule="auto"/>
              <w:jc w:val="center"/>
              <w:rPr>
                <w:rFonts w:ascii="宋体" w:hAnsi="宋体"/>
                <w:color w:val="auto"/>
                <w:sz w:val="24"/>
                <w:highlight w:val="none"/>
              </w:rPr>
            </w:pPr>
            <w:r>
              <w:rPr>
                <w:rFonts w:hint="eastAsia" w:ascii="宋体" w:hAnsi="宋体"/>
                <w:color w:val="auto"/>
                <w:sz w:val="24"/>
                <w:highlight w:val="none"/>
              </w:rPr>
              <w:t>病入ID</w:t>
            </w:r>
          </w:p>
        </w:tc>
        <w:tc>
          <w:tcPr>
            <w:tcW w:w="1425" w:type="dxa"/>
            <w:noWrap/>
            <w:vAlign w:val="center"/>
          </w:tcPr>
          <w:p w14:paraId="6D802FF4">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415A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440B85EC">
            <w:pPr>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2977" w:type="dxa"/>
            <w:noWrap/>
            <w:vAlign w:val="center"/>
          </w:tcPr>
          <w:p w14:paraId="30B61166">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589165DC">
            <w:pPr>
              <w:spacing w:line="360" w:lineRule="auto"/>
              <w:jc w:val="center"/>
              <w:rPr>
                <w:rFonts w:ascii="宋体" w:hAnsi="宋体"/>
                <w:color w:val="auto"/>
                <w:sz w:val="24"/>
                <w:highlight w:val="none"/>
              </w:rPr>
            </w:pPr>
            <w:r>
              <w:rPr>
                <w:rFonts w:hint="eastAsia" w:ascii="宋体" w:hAnsi="宋体"/>
                <w:color w:val="auto"/>
                <w:sz w:val="24"/>
                <w:highlight w:val="none"/>
              </w:rPr>
              <w:t>病人唯一号</w:t>
            </w:r>
          </w:p>
        </w:tc>
        <w:tc>
          <w:tcPr>
            <w:tcW w:w="1425" w:type="dxa"/>
            <w:noWrap/>
            <w:vAlign w:val="center"/>
          </w:tcPr>
          <w:p w14:paraId="0CFBF4D0">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5DD5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0230FF72">
            <w:pPr>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2977" w:type="dxa"/>
            <w:noWrap/>
            <w:vAlign w:val="center"/>
          </w:tcPr>
          <w:p w14:paraId="2E0887D5">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7F29D047">
            <w:pPr>
              <w:spacing w:line="360" w:lineRule="auto"/>
              <w:jc w:val="center"/>
              <w:rPr>
                <w:rFonts w:ascii="宋体" w:hAnsi="宋体"/>
                <w:color w:val="auto"/>
                <w:sz w:val="24"/>
                <w:highlight w:val="none"/>
              </w:rPr>
            </w:pPr>
            <w:r>
              <w:rPr>
                <w:rFonts w:hint="eastAsia" w:ascii="宋体" w:hAnsi="宋体"/>
                <w:color w:val="auto"/>
                <w:sz w:val="24"/>
                <w:highlight w:val="none"/>
              </w:rPr>
              <w:t>临床诊断</w:t>
            </w:r>
          </w:p>
        </w:tc>
        <w:tc>
          <w:tcPr>
            <w:tcW w:w="1425" w:type="dxa"/>
            <w:noWrap/>
            <w:vAlign w:val="center"/>
          </w:tcPr>
          <w:p w14:paraId="2410D24C">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01D6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7D3B521D">
            <w:pPr>
              <w:spacing w:line="360" w:lineRule="auto"/>
              <w:jc w:val="center"/>
              <w:rPr>
                <w:rFonts w:ascii="宋体" w:hAnsi="宋体"/>
                <w:color w:val="auto"/>
                <w:sz w:val="24"/>
                <w:highlight w:val="none"/>
              </w:rPr>
            </w:pPr>
            <w:r>
              <w:rPr>
                <w:rFonts w:hint="eastAsia" w:ascii="宋体" w:hAnsi="宋体"/>
                <w:color w:val="auto"/>
                <w:sz w:val="24"/>
                <w:highlight w:val="none"/>
              </w:rPr>
              <w:t>13</w:t>
            </w:r>
          </w:p>
        </w:tc>
        <w:tc>
          <w:tcPr>
            <w:tcW w:w="2977" w:type="dxa"/>
            <w:noWrap/>
            <w:vAlign w:val="center"/>
          </w:tcPr>
          <w:p w14:paraId="4964C885">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57AA93B8">
            <w:pPr>
              <w:spacing w:line="360" w:lineRule="auto"/>
              <w:jc w:val="center"/>
              <w:rPr>
                <w:rFonts w:ascii="宋体" w:hAnsi="宋体"/>
                <w:color w:val="auto"/>
                <w:sz w:val="24"/>
                <w:highlight w:val="none"/>
              </w:rPr>
            </w:pPr>
            <w:r>
              <w:rPr>
                <w:rFonts w:hint="eastAsia" w:ascii="宋体" w:hAnsi="宋体"/>
                <w:color w:val="auto"/>
                <w:sz w:val="24"/>
                <w:highlight w:val="none"/>
              </w:rPr>
              <w:t>科别</w:t>
            </w:r>
          </w:p>
        </w:tc>
        <w:tc>
          <w:tcPr>
            <w:tcW w:w="1425" w:type="dxa"/>
            <w:noWrap/>
            <w:vAlign w:val="center"/>
          </w:tcPr>
          <w:p w14:paraId="42AF32BC">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7622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03F6EF1F">
            <w:pPr>
              <w:spacing w:line="360" w:lineRule="auto"/>
              <w:jc w:val="center"/>
              <w:rPr>
                <w:rFonts w:ascii="宋体" w:hAnsi="宋体"/>
                <w:color w:val="auto"/>
                <w:sz w:val="24"/>
                <w:highlight w:val="none"/>
              </w:rPr>
            </w:pPr>
            <w:r>
              <w:rPr>
                <w:rFonts w:hint="eastAsia" w:ascii="宋体" w:hAnsi="宋体"/>
                <w:color w:val="auto"/>
                <w:sz w:val="24"/>
                <w:highlight w:val="none"/>
              </w:rPr>
              <w:t>14</w:t>
            </w:r>
          </w:p>
        </w:tc>
        <w:tc>
          <w:tcPr>
            <w:tcW w:w="2977" w:type="dxa"/>
            <w:noWrap/>
            <w:vAlign w:val="center"/>
          </w:tcPr>
          <w:p w14:paraId="057FA99C">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4B7E89D4">
            <w:pPr>
              <w:spacing w:line="360" w:lineRule="auto"/>
              <w:jc w:val="center"/>
              <w:rPr>
                <w:rFonts w:ascii="宋体" w:hAnsi="宋体"/>
                <w:color w:val="auto"/>
                <w:sz w:val="24"/>
                <w:highlight w:val="none"/>
              </w:rPr>
            </w:pPr>
            <w:r>
              <w:rPr>
                <w:rFonts w:hint="eastAsia" w:ascii="宋体" w:hAnsi="宋体"/>
                <w:color w:val="auto"/>
                <w:sz w:val="24"/>
                <w:highlight w:val="none"/>
              </w:rPr>
              <w:t>床位</w:t>
            </w:r>
          </w:p>
        </w:tc>
        <w:tc>
          <w:tcPr>
            <w:tcW w:w="1425" w:type="dxa"/>
            <w:noWrap/>
            <w:vAlign w:val="center"/>
          </w:tcPr>
          <w:p w14:paraId="64C8B907">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0088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7B0A6D86">
            <w:pPr>
              <w:spacing w:line="360" w:lineRule="auto"/>
              <w:jc w:val="center"/>
              <w:rPr>
                <w:rFonts w:ascii="宋体" w:hAnsi="宋体"/>
                <w:color w:val="auto"/>
                <w:sz w:val="24"/>
                <w:highlight w:val="none"/>
              </w:rPr>
            </w:pPr>
            <w:r>
              <w:rPr>
                <w:rFonts w:hint="eastAsia" w:ascii="宋体" w:hAnsi="宋体"/>
                <w:color w:val="auto"/>
                <w:sz w:val="24"/>
                <w:highlight w:val="none"/>
              </w:rPr>
              <w:t>15</w:t>
            </w:r>
          </w:p>
        </w:tc>
        <w:tc>
          <w:tcPr>
            <w:tcW w:w="2977" w:type="dxa"/>
            <w:noWrap/>
            <w:vAlign w:val="center"/>
          </w:tcPr>
          <w:p w14:paraId="24F5A16F">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64CBF903">
            <w:pPr>
              <w:spacing w:line="360" w:lineRule="auto"/>
              <w:jc w:val="center"/>
              <w:rPr>
                <w:rFonts w:ascii="宋体" w:hAnsi="宋体"/>
                <w:color w:val="auto"/>
                <w:sz w:val="24"/>
                <w:highlight w:val="none"/>
              </w:rPr>
            </w:pPr>
            <w:r>
              <w:rPr>
                <w:rFonts w:hint="eastAsia" w:ascii="宋体" w:hAnsi="宋体"/>
                <w:color w:val="auto"/>
                <w:sz w:val="24"/>
                <w:highlight w:val="none"/>
              </w:rPr>
              <w:t>开单日期</w:t>
            </w:r>
          </w:p>
        </w:tc>
        <w:tc>
          <w:tcPr>
            <w:tcW w:w="1425" w:type="dxa"/>
            <w:noWrap/>
            <w:vAlign w:val="center"/>
          </w:tcPr>
          <w:p w14:paraId="15A778A7">
            <w:pPr>
              <w:spacing w:line="360" w:lineRule="auto"/>
              <w:jc w:val="center"/>
              <w:rPr>
                <w:rFonts w:ascii="宋体" w:hAnsi="宋体"/>
                <w:color w:val="auto"/>
                <w:sz w:val="24"/>
                <w:highlight w:val="none"/>
              </w:rPr>
            </w:pPr>
            <w:r>
              <w:rPr>
                <w:rFonts w:hint="eastAsia" w:ascii="宋体" w:hAnsi="宋体"/>
                <w:color w:val="auto"/>
                <w:sz w:val="24"/>
                <w:highlight w:val="none"/>
              </w:rPr>
              <w:t>datetime</w:t>
            </w:r>
          </w:p>
        </w:tc>
      </w:tr>
      <w:tr w14:paraId="05D1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4A86A27F">
            <w:pPr>
              <w:spacing w:line="360" w:lineRule="auto"/>
              <w:jc w:val="center"/>
              <w:rPr>
                <w:rFonts w:ascii="宋体" w:hAnsi="宋体"/>
                <w:color w:val="auto"/>
                <w:sz w:val="24"/>
                <w:highlight w:val="none"/>
              </w:rPr>
            </w:pPr>
            <w:r>
              <w:rPr>
                <w:rFonts w:hint="eastAsia" w:ascii="宋体" w:hAnsi="宋体"/>
                <w:color w:val="auto"/>
                <w:sz w:val="24"/>
                <w:highlight w:val="none"/>
              </w:rPr>
              <w:t>16</w:t>
            </w:r>
          </w:p>
        </w:tc>
        <w:tc>
          <w:tcPr>
            <w:tcW w:w="2977" w:type="dxa"/>
            <w:noWrap/>
            <w:vAlign w:val="center"/>
          </w:tcPr>
          <w:p w14:paraId="2648659D">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48F5305B">
            <w:pPr>
              <w:spacing w:line="360" w:lineRule="auto"/>
              <w:jc w:val="center"/>
              <w:rPr>
                <w:rFonts w:ascii="宋体" w:hAnsi="宋体"/>
                <w:color w:val="auto"/>
                <w:sz w:val="24"/>
                <w:highlight w:val="none"/>
              </w:rPr>
            </w:pPr>
            <w:r>
              <w:rPr>
                <w:rFonts w:hint="eastAsia" w:ascii="宋体" w:hAnsi="宋体"/>
                <w:color w:val="auto"/>
                <w:sz w:val="24"/>
                <w:highlight w:val="none"/>
              </w:rPr>
              <w:t>开单人</w:t>
            </w:r>
          </w:p>
        </w:tc>
        <w:tc>
          <w:tcPr>
            <w:tcW w:w="1425" w:type="dxa"/>
            <w:noWrap/>
            <w:vAlign w:val="center"/>
          </w:tcPr>
          <w:p w14:paraId="56DCE4A4">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08C3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15C337F2">
            <w:pPr>
              <w:spacing w:line="360" w:lineRule="auto"/>
              <w:jc w:val="center"/>
              <w:rPr>
                <w:rFonts w:ascii="宋体" w:hAnsi="宋体"/>
                <w:color w:val="auto"/>
                <w:sz w:val="24"/>
                <w:highlight w:val="none"/>
              </w:rPr>
            </w:pPr>
            <w:r>
              <w:rPr>
                <w:rFonts w:hint="eastAsia" w:ascii="宋体" w:hAnsi="宋体"/>
                <w:color w:val="auto"/>
                <w:sz w:val="24"/>
                <w:highlight w:val="none"/>
              </w:rPr>
              <w:t>17</w:t>
            </w:r>
          </w:p>
        </w:tc>
        <w:tc>
          <w:tcPr>
            <w:tcW w:w="2977" w:type="dxa"/>
            <w:noWrap/>
            <w:vAlign w:val="center"/>
          </w:tcPr>
          <w:p w14:paraId="4CCCB769">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10ADCF20">
            <w:pPr>
              <w:spacing w:line="360" w:lineRule="auto"/>
              <w:jc w:val="center"/>
              <w:rPr>
                <w:rFonts w:ascii="宋体" w:hAnsi="宋体"/>
                <w:color w:val="auto"/>
                <w:sz w:val="24"/>
                <w:highlight w:val="none"/>
              </w:rPr>
            </w:pPr>
            <w:r>
              <w:rPr>
                <w:rFonts w:hint="eastAsia" w:ascii="宋体" w:hAnsi="宋体"/>
                <w:color w:val="auto"/>
                <w:sz w:val="24"/>
                <w:highlight w:val="none"/>
              </w:rPr>
              <w:t>采集日期</w:t>
            </w:r>
          </w:p>
        </w:tc>
        <w:tc>
          <w:tcPr>
            <w:tcW w:w="1425" w:type="dxa"/>
            <w:noWrap/>
            <w:vAlign w:val="center"/>
          </w:tcPr>
          <w:p w14:paraId="4A6B157D">
            <w:pPr>
              <w:spacing w:line="360" w:lineRule="auto"/>
              <w:jc w:val="center"/>
              <w:rPr>
                <w:rFonts w:ascii="宋体" w:hAnsi="宋体"/>
                <w:color w:val="auto"/>
                <w:sz w:val="24"/>
                <w:highlight w:val="none"/>
              </w:rPr>
            </w:pPr>
            <w:r>
              <w:rPr>
                <w:rFonts w:hint="eastAsia" w:ascii="宋体" w:hAnsi="宋体"/>
                <w:color w:val="auto"/>
                <w:sz w:val="24"/>
                <w:highlight w:val="none"/>
              </w:rPr>
              <w:t>datetime</w:t>
            </w:r>
          </w:p>
        </w:tc>
      </w:tr>
      <w:tr w14:paraId="5A72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1129" w:type="dxa"/>
            <w:vAlign w:val="center"/>
          </w:tcPr>
          <w:p w14:paraId="3659DBF2">
            <w:pPr>
              <w:spacing w:line="360" w:lineRule="auto"/>
              <w:jc w:val="center"/>
              <w:rPr>
                <w:rFonts w:ascii="宋体" w:hAnsi="宋体"/>
                <w:color w:val="auto"/>
                <w:sz w:val="24"/>
                <w:highlight w:val="none"/>
              </w:rPr>
            </w:pPr>
            <w:r>
              <w:rPr>
                <w:rFonts w:hint="eastAsia" w:ascii="宋体" w:hAnsi="宋体"/>
                <w:color w:val="auto"/>
                <w:sz w:val="24"/>
                <w:highlight w:val="none"/>
              </w:rPr>
              <w:t>18</w:t>
            </w:r>
          </w:p>
        </w:tc>
        <w:tc>
          <w:tcPr>
            <w:tcW w:w="2977" w:type="dxa"/>
            <w:noWrap/>
            <w:vAlign w:val="center"/>
          </w:tcPr>
          <w:p w14:paraId="76648372">
            <w:pPr>
              <w:spacing w:line="360" w:lineRule="auto"/>
              <w:jc w:val="center"/>
              <w:rPr>
                <w:rFonts w:ascii="宋体" w:hAnsi="宋体"/>
                <w:color w:val="auto"/>
                <w:sz w:val="24"/>
                <w:highlight w:val="none"/>
              </w:rPr>
            </w:pPr>
            <w:r>
              <w:rPr>
                <w:rFonts w:hint="eastAsia" w:ascii="宋体" w:hAnsi="宋体"/>
                <w:color w:val="auto"/>
                <w:sz w:val="24"/>
                <w:highlight w:val="none"/>
              </w:rPr>
              <w:t>样本信息</w:t>
            </w:r>
          </w:p>
        </w:tc>
        <w:tc>
          <w:tcPr>
            <w:tcW w:w="2765" w:type="dxa"/>
            <w:noWrap/>
            <w:vAlign w:val="center"/>
          </w:tcPr>
          <w:p w14:paraId="27B0854D">
            <w:pPr>
              <w:spacing w:line="360" w:lineRule="auto"/>
              <w:jc w:val="center"/>
              <w:rPr>
                <w:rFonts w:ascii="宋体" w:hAnsi="宋体"/>
                <w:color w:val="auto"/>
                <w:sz w:val="24"/>
                <w:highlight w:val="none"/>
              </w:rPr>
            </w:pPr>
            <w:r>
              <w:rPr>
                <w:rFonts w:hint="eastAsia" w:ascii="宋体" w:hAnsi="宋体"/>
                <w:color w:val="auto"/>
                <w:sz w:val="24"/>
                <w:highlight w:val="none"/>
              </w:rPr>
              <w:t>报告文件</w:t>
            </w:r>
          </w:p>
        </w:tc>
        <w:tc>
          <w:tcPr>
            <w:tcW w:w="1425" w:type="dxa"/>
            <w:noWrap/>
            <w:vAlign w:val="center"/>
          </w:tcPr>
          <w:p w14:paraId="079BD137">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bl>
    <w:p w14:paraId="29CD44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2、区域病理报告</w:t>
      </w:r>
    </w:p>
    <w:p w14:paraId="59749A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常规字段列表：</w:t>
      </w:r>
    </w:p>
    <w:tbl>
      <w:tblPr>
        <w:tblStyle w:val="6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9"/>
        <w:gridCol w:w="2977"/>
        <w:gridCol w:w="2765"/>
        <w:gridCol w:w="1425"/>
      </w:tblGrid>
      <w:tr w14:paraId="33FC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035D1AE4">
            <w:pPr>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2977" w:type="dxa"/>
            <w:noWrap/>
            <w:vAlign w:val="bottom"/>
          </w:tcPr>
          <w:p w14:paraId="68365D57">
            <w:pPr>
              <w:spacing w:line="360" w:lineRule="auto"/>
              <w:jc w:val="center"/>
              <w:rPr>
                <w:rFonts w:ascii="宋体" w:hAnsi="宋体"/>
                <w:b/>
                <w:bCs/>
                <w:color w:val="auto"/>
                <w:sz w:val="24"/>
                <w:highlight w:val="none"/>
              </w:rPr>
            </w:pPr>
            <w:r>
              <w:rPr>
                <w:rFonts w:hint="eastAsia" w:ascii="宋体" w:hAnsi="宋体"/>
                <w:b/>
                <w:bCs/>
                <w:color w:val="auto"/>
                <w:sz w:val="24"/>
                <w:highlight w:val="none"/>
              </w:rPr>
              <w:t>业务域子表</w:t>
            </w:r>
          </w:p>
        </w:tc>
        <w:tc>
          <w:tcPr>
            <w:tcW w:w="2765" w:type="dxa"/>
            <w:noWrap/>
            <w:vAlign w:val="bottom"/>
          </w:tcPr>
          <w:p w14:paraId="4A215128">
            <w:pPr>
              <w:spacing w:line="360" w:lineRule="auto"/>
              <w:jc w:val="center"/>
              <w:rPr>
                <w:rFonts w:ascii="宋体" w:hAnsi="宋体"/>
                <w:b/>
                <w:bCs/>
                <w:color w:val="auto"/>
                <w:sz w:val="24"/>
                <w:highlight w:val="none"/>
              </w:rPr>
            </w:pPr>
            <w:r>
              <w:rPr>
                <w:rFonts w:hint="eastAsia" w:ascii="宋体" w:hAnsi="宋体"/>
                <w:b/>
                <w:bCs/>
                <w:color w:val="auto"/>
                <w:sz w:val="24"/>
                <w:highlight w:val="none"/>
              </w:rPr>
              <w:t>指标名称</w:t>
            </w:r>
          </w:p>
        </w:tc>
        <w:tc>
          <w:tcPr>
            <w:tcW w:w="1425" w:type="dxa"/>
            <w:noWrap/>
            <w:vAlign w:val="bottom"/>
          </w:tcPr>
          <w:p w14:paraId="3386DE06">
            <w:pPr>
              <w:spacing w:line="360" w:lineRule="auto"/>
              <w:jc w:val="center"/>
              <w:rPr>
                <w:rFonts w:ascii="宋体" w:hAnsi="宋体"/>
                <w:b/>
                <w:bCs/>
                <w:color w:val="auto"/>
                <w:sz w:val="24"/>
                <w:highlight w:val="none"/>
              </w:rPr>
            </w:pPr>
            <w:r>
              <w:rPr>
                <w:rFonts w:hint="eastAsia" w:ascii="宋体" w:hAnsi="宋体"/>
                <w:b/>
                <w:bCs/>
                <w:color w:val="auto"/>
                <w:sz w:val="24"/>
                <w:highlight w:val="none"/>
              </w:rPr>
              <w:t>数据类型</w:t>
            </w:r>
          </w:p>
        </w:tc>
      </w:tr>
      <w:tr w14:paraId="4C5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5A850F63">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977" w:type="dxa"/>
            <w:noWrap/>
            <w:vAlign w:val="bottom"/>
          </w:tcPr>
          <w:p w14:paraId="02478E3E">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center"/>
          </w:tcPr>
          <w:p w14:paraId="05A5E247">
            <w:pPr>
              <w:spacing w:line="360" w:lineRule="auto"/>
              <w:jc w:val="center"/>
              <w:rPr>
                <w:rFonts w:ascii="宋体" w:hAnsi="宋体"/>
                <w:color w:val="auto"/>
                <w:sz w:val="24"/>
                <w:highlight w:val="none"/>
              </w:rPr>
            </w:pPr>
            <w:r>
              <w:rPr>
                <w:rFonts w:hint="eastAsia" w:ascii="宋体" w:hAnsi="宋体"/>
                <w:color w:val="auto"/>
                <w:sz w:val="24"/>
                <w:highlight w:val="none"/>
              </w:rPr>
              <w:t>流水号</w:t>
            </w:r>
          </w:p>
        </w:tc>
        <w:tc>
          <w:tcPr>
            <w:tcW w:w="1425" w:type="dxa"/>
            <w:noWrap/>
            <w:vAlign w:val="center"/>
          </w:tcPr>
          <w:p w14:paraId="04F1D5D2">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3D5D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2CEE97DE">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977" w:type="dxa"/>
            <w:noWrap/>
            <w:vAlign w:val="bottom"/>
          </w:tcPr>
          <w:p w14:paraId="1722F863">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407FE973">
            <w:pPr>
              <w:spacing w:line="360" w:lineRule="auto"/>
              <w:jc w:val="center"/>
              <w:rPr>
                <w:rFonts w:ascii="宋体" w:hAnsi="宋体"/>
                <w:color w:val="auto"/>
                <w:sz w:val="24"/>
                <w:highlight w:val="none"/>
              </w:rPr>
            </w:pPr>
            <w:r>
              <w:rPr>
                <w:rFonts w:hint="eastAsia" w:ascii="宋体" w:hAnsi="宋体"/>
                <w:color w:val="auto"/>
                <w:sz w:val="24"/>
                <w:highlight w:val="none"/>
              </w:rPr>
              <w:t>病理申请单号</w:t>
            </w:r>
          </w:p>
        </w:tc>
        <w:tc>
          <w:tcPr>
            <w:tcW w:w="1425" w:type="dxa"/>
            <w:noWrap/>
            <w:vAlign w:val="bottom"/>
          </w:tcPr>
          <w:p w14:paraId="1FD7F199">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0BC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2233E687">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977" w:type="dxa"/>
            <w:noWrap/>
            <w:vAlign w:val="bottom"/>
          </w:tcPr>
          <w:p w14:paraId="3A86D17D">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414CEAA6">
            <w:pPr>
              <w:spacing w:line="360" w:lineRule="auto"/>
              <w:jc w:val="center"/>
              <w:rPr>
                <w:rFonts w:ascii="宋体" w:hAnsi="宋体"/>
                <w:color w:val="auto"/>
                <w:sz w:val="24"/>
                <w:highlight w:val="none"/>
              </w:rPr>
            </w:pPr>
            <w:r>
              <w:rPr>
                <w:rFonts w:hint="eastAsia" w:ascii="宋体" w:hAnsi="宋体"/>
                <w:color w:val="auto"/>
                <w:sz w:val="24"/>
                <w:highlight w:val="none"/>
              </w:rPr>
              <w:t>病理报告单号</w:t>
            </w:r>
          </w:p>
        </w:tc>
        <w:tc>
          <w:tcPr>
            <w:tcW w:w="1425" w:type="dxa"/>
            <w:noWrap/>
            <w:vAlign w:val="bottom"/>
          </w:tcPr>
          <w:p w14:paraId="432AAB6E">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6CCE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71431125">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977" w:type="dxa"/>
            <w:noWrap/>
            <w:vAlign w:val="bottom"/>
          </w:tcPr>
          <w:p w14:paraId="7D911E29">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0502ED34">
            <w:pPr>
              <w:spacing w:line="360" w:lineRule="auto"/>
              <w:jc w:val="center"/>
              <w:rPr>
                <w:rFonts w:ascii="宋体" w:hAnsi="宋体"/>
                <w:color w:val="auto"/>
                <w:sz w:val="24"/>
                <w:highlight w:val="none"/>
              </w:rPr>
            </w:pPr>
            <w:r>
              <w:rPr>
                <w:rFonts w:hint="eastAsia" w:ascii="宋体" w:hAnsi="宋体"/>
                <w:color w:val="auto"/>
                <w:sz w:val="24"/>
                <w:highlight w:val="none"/>
              </w:rPr>
              <w:t>病理号</w:t>
            </w:r>
          </w:p>
        </w:tc>
        <w:tc>
          <w:tcPr>
            <w:tcW w:w="1425" w:type="dxa"/>
            <w:noWrap/>
            <w:vAlign w:val="bottom"/>
          </w:tcPr>
          <w:p w14:paraId="392AE64D">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489E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43DE1F0A">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977" w:type="dxa"/>
            <w:noWrap/>
            <w:vAlign w:val="bottom"/>
          </w:tcPr>
          <w:p w14:paraId="0946993B">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474BDDF4">
            <w:pPr>
              <w:spacing w:line="360" w:lineRule="auto"/>
              <w:jc w:val="center"/>
              <w:rPr>
                <w:rFonts w:ascii="宋体" w:hAnsi="宋体"/>
                <w:color w:val="auto"/>
                <w:sz w:val="24"/>
                <w:highlight w:val="none"/>
              </w:rPr>
            </w:pPr>
            <w:r>
              <w:rPr>
                <w:rFonts w:hint="eastAsia" w:ascii="宋体" w:hAnsi="宋体"/>
                <w:color w:val="auto"/>
                <w:sz w:val="24"/>
                <w:highlight w:val="none"/>
              </w:rPr>
              <w:t>检查日期</w:t>
            </w:r>
          </w:p>
        </w:tc>
        <w:tc>
          <w:tcPr>
            <w:tcW w:w="1425" w:type="dxa"/>
            <w:noWrap/>
            <w:vAlign w:val="bottom"/>
          </w:tcPr>
          <w:p w14:paraId="61C29D12">
            <w:pPr>
              <w:spacing w:line="360" w:lineRule="auto"/>
              <w:jc w:val="center"/>
              <w:rPr>
                <w:rFonts w:ascii="宋体" w:hAnsi="宋体"/>
                <w:color w:val="auto"/>
                <w:sz w:val="24"/>
                <w:highlight w:val="none"/>
              </w:rPr>
            </w:pPr>
            <w:r>
              <w:rPr>
                <w:rFonts w:hint="eastAsia" w:ascii="宋体" w:hAnsi="宋体"/>
                <w:color w:val="auto"/>
                <w:sz w:val="24"/>
                <w:highlight w:val="none"/>
              </w:rPr>
              <w:t>datetime</w:t>
            </w:r>
          </w:p>
        </w:tc>
      </w:tr>
      <w:tr w14:paraId="280F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101566D6">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2977" w:type="dxa"/>
            <w:noWrap/>
            <w:vAlign w:val="bottom"/>
          </w:tcPr>
          <w:p w14:paraId="56C432B7">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1EEC6378">
            <w:pPr>
              <w:spacing w:line="360" w:lineRule="auto"/>
              <w:jc w:val="center"/>
              <w:rPr>
                <w:rFonts w:ascii="宋体" w:hAnsi="宋体"/>
                <w:color w:val="auto"/>
                <w:sz w:val="24"/>
                <w:highlight w:val="none"/>
              </w:rPr>
            </w:pPr>
            <w:r>
              <w:rPr>
                <w:rFonts w:hint="eastAsia" w:ascii="宋体" w:hAnsi="宋体"/>
                <w:color w:val="auto"/>
                <w:sz w:val="24"/>
                <w:highlight w:val="none"/>
              </w:rPr>
              <w:t>检查名称</w:t>
            </w:r>
          </w:p>
        </w:tc>
        <w:tc>
          <w:tcPr>
            <w:tcW w:w="1425" w:type="dxa"/>
            <w:noWrap/>
            <w:vAlign w:val="bottom"/>
          </w:tcPr>
          <w:p w14:paraId="2C739938">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5216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737AB4FF">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2977" w:type="dxa"/>
            <w:noWrap/>
            <w:vAlign w:val="bottom"/>
          </w:tcPr>
          <w:p w14:paraId="52BAD0E4">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61883917">
            <w:pPr>
              <w:spacing w:line="360" w:lineRule="auto"/>
              <w:jc w:val="center"/>
              <w:rPr>
                <w:rFonts w:ascii="宋体" w:hAnsi="宋体"/>
                <w:color w:val="auto"/>
                <w:sz w:val="24"/>
                <w:highlight w:val="none"/>
              </w:rPr>
            </w:pPr>
            <w:r>
              <w:rPr>
                <w:rFonts w:hint="eastAsia" w:ascii="宋体" w:hAnsi="宋体"/>
                <w:color w:val="auto"/>
                <w:sz w:val="24"/>
                <w:highlight w:val="none"/>
              </w:rPr>
              <w:t>检查医生</w:t>
            </w:r>
          </w:p>
        </w:tc>
        <w:tc>
          <w:tcPr>
            <w:tcW w:w="1425" w:type="dxa"/>
            <w:noWrap/>
            <w:vAlign w:val="bottom"/>
          </w:tcPr>
          <w:p w14:paraId="79AD15A3">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0225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6D07BDB7">
            <w:pPr>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2977" w:type="dxa"/>
            <w:noWrap/>
            <w:vAlign w:val="bottom"/>
          </w:tcPr>
          <w:p w14:paraId="62644C5A">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7977F014">
            <w:pPr>
              <w:spacing w:line="360" w:lineRule="auto"/>
              <w:jc w:val="center"/>
              <w:rPr>
                <w:rFonts w:ascii="宋体" w:hAnsi="宋体"/>
                <w:color w:val="auto"/>
                <w:sz w:val="24"/>
                <w:highlight w:val="none"/>
              </w:rPr>
            </w:pPr>
            <w:r>
              <w:rPr>
                <w:rFonts w:hint="eastAsia" w:ascii="宋体" w:hAnsi="宋体"/>
                <w:color w:val="auto"/>
                <w:sz w:val="24"/>
                <w:highlight w:val="none"/>
              </w:rPr>
              <w:t>标本类型</w:t>
            </w:r>
          </w:p>
        </w:tc>
        <w:tc>
          <w:tcPr>
            <w:tcW w:w="1425" w:type="dxa"/>
            <w:noWrap/>
            <w:vAlign w:val="bottom"/>
          </w:tcPr>
          <w:p w14:paraId="55FEE437">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4B5A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6D96AF38">
            <w:pPr>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2977" w:type="dxa"/>
            <w:noWrap/>
            <w:vAlign w:val="bottom"/>
          </w:tcPr>
          <w:p w14:paraId="1384723A">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27031E44">
            <w:pPr>
              <w:spacing w:line="360" w:lineRule="auto"/>
              <w:jc w:val="center"/>
              <w:rPr>
                <w:rFonts w:ascii="宋体" w:hAnsi="宋体"/>
                <w:color w:val="auto"/>
                <w:sz w:val="24"/>
                <w:highlight w:val="none"/>
              </w:rPr>
            </w:pPr>
            <w:r>
              <w:rPr>
                <w:rFonts w:hint="eastAsia" w:ascii="宋体" w:hAnsi="宋体"/>
                <w:color w:val="auto"/>
                <w:sz w:val="24"/>
                <w:highlight w:val="none"/>
              </w:rPr>
              <w:t>标本来源</w:t>
            </w:r>
          </w:p>
        </w:tc>
        <w:tc>
          <w:tcPr>
            <w:tcW w:w="1425" w:type="dxa"/>
            <w:noWrap/>
            <w:vAlign w:val="bottom"/>
          </w:tcPr>
          <w:p w14:paraId="34564D34">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3C73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66933B80">
            <w:pPr>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2977" w:type="dxa"/>
            <w:noWrap/>
            <w:vAlign w:val="bottom"/>
          </w:tcPr>
          <w:p w14:paraId="43D21C63">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0F3D3EFA">
            <w:pPr>
              <w:spacing w:line="360" w:lineRule="auto"/>
              <w:jc w:val="center"/>
              <w:rPr>
                <w:rFonts w:ascii="宋体" w:hAnsi="宋体"/>
                <w:color w:val="auto"/>
                <w:sz w:val="24"/>
                <w:highlight w:val="none"/>
              </w:rPr>
            </w:pPr>
            <w:r>
              <w:rPr>
                <w:rFonts w:hint="eastAsia" w:ascii="宋体" w:hAnsi="宋体"/>
                <w:color w:val="auto"/>
                <w:sz w:val="24"/>
                <w:highlight w:val="none"/>
              </w:rPr>
              <w:t>肉眼所见</w:t>
            </w:r>
          </w:p>
        </w:tc>
        <w:tc>
          <w:tcPr>
            <w:tcW w:w="1425" w:type="dxa"/>
            <w:noWrap/>
            <w:vAlign w:val="bottom"/>
          </w:tcPr>
          <w:p w14:paraId="53CC5BD1">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17D9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3C602A64">
            <w:pPr>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2977" w:type="dxa"/>
            <w:noWrap/>
            <w:vAlign w:val="bottom"/>
          </w:tcPr>
          <w:p w14:paraId="6D582BC1">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5C73681E">
            <w:pPr>
              <w:spacing w:line="360" w:lineRule="auto"/>
              <w:jc w:val="center"/>
              <w:rPr>
                <w:rFonts w:ascii="宋体" w:hAnsi="宋体"/>
                <w:color w:val="auto"/>
                <w:sz w:val="24"/>
                <w:highlight w:val="none"/>
              </w:rPr>
            </w:pPr>
            <w:r>
              <w:rPr>
                <w:rFonts w:hint="eastAsia" w:ascii="宋体" w:hAnsi="宋体"/>
                <w:color w:val="auto"/>
                <w:sz w:val="24"/>
                <w:highlight w:val="none"/>
              </w:rPr>
              <w:t>病理诊断</w:t>
            </w:r>
          </w:p>
        </w:tc>
        <w:tc>
          <w:tcPr>
            <w:tcW w:w="1425" w:type="dxa"/>
            <w:noWrap/>
            <w:vAlign w:val="bottom"/>
          </w:tcPr>
          <w:p w14:paraId="323C84C1">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r w14:paraId="1BE2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29" w:type="dxa"/>
          </w:tcPr>
          <w:p w14:paraId="652F9263">
            <w:pPr>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2977" w:type="dxa"/>
            <w:noWrap/>
            <w:vAlign w:val="bottom"/>
          </w:tcPr>
          <w:p w14:paraId="47D4A2A6">
            <w:pPr>
              <w:spacing w:line="360" w:lineRule="auto"/>
              <w:jc w:val="center"/>
              <w:rPr>
                <w:rFonts w:ascii="宋体" w:hAnsi="宋体"/>
                <w:color w:val="auto"/>
                <w:sz w:val="24"/>
                <w:highlight w:val="none"/>
              </w:rPr>
            </w:pPr>
            <w:r>
              <w:rPr>
                <w:rFonts w:hint="eastAsia" w:ascii="宋体" w:hAnsi="宋体"/>
                <w:color w:val="auto"/>
                <w:sz w:val="24"/>
                <w:highlight w:val="none"/>
              </w:rPr>
              <w:t>病理报告</w:t>
            </w:r>
          </w:p>
        </w:tc>
        <w:tc>
          <w:tcPr>
            <w:tcW w:w="2765" w:type="dxa"/>
            <w:noWrap/>
            <w:vAlign w:val="bottom"/>
          </w:tcPr>
          <w:p w14:paraId="68EA5B45">
            <w:pPr>
              <w:spacing w:line="360" w:lineRule="auto"/>
              <w:jc w:val="center"/>
              <w:rPr>
                <w:rFonts w:ascii="宋体" w:hAnsi="宋体"/>
                <w:color w:val="auto"/>
                <w:sz w:val="24"/>
                <w:highlight w:val="none"/>
              </w:rPr>
            </w:pPr>
            <w:r>
              <w:rPr>
                <w:rFonts w:hint="eastAsia" w:ascii="宋体" w:hAnsi="宋体"/>
                <w:color w:val="auto"/>
                <w:sz w:val="24"/>
                <w:highlight w:val="none"/>
              </w:rPr>
              <w:t>免疫组化描述</w:t>
            </w:r>
          </w:p>
        </w:tc>
        <w:tc>
          <w:tcPr>
            <w:tcW w:w="1425" w:type="dxa"/>
            <w:noWrap/>
            <w:vAlign w:val="bottom"/>
          </w:tcPr>
          <w:p w14:paraId="3F9B0D2C">
            <w:pPr>
              <w:spacing w:line="360" w:lineRule="auto"/>
              <w:jc w:val="center"/>
              <w:rPr>
                <w:rFonts w:ascii="宋体" w:hAnsi="宋体"/>
                <w:color w:val="auto"/>
                <w:sz w:val="24"/>
                <w:highlight w:val="none"/>
              </w:rPr>
            </w:pPr>
            <w:r>
              <w:rPr>
                <w:rFonts w:hint="eastAsia" w:ascii="宋体" w:hAnsi="宋体"/>
                <w:color w:val="auto"/>
                <w:sz w:val="24"/>
                <w:highlight w:val="none"/>
              </w:rPr>
              <w:t>string</w:t>
            </w:r>
          </w:p>
        </w:tc>
      </w:tr>
    </w:tbl>
    <w:p w14:paraId="6E0480B4">
      <w:pPr>
        <w:spacing w:line="360" w:lineRule="auto"/>
        <w:ind w:firstLine="482"/>
        <w:rPr>
          <w:rFonts w:ascii="宋体" w:hAnsi="宋体"/>
          <w:color w:val="auto"/>
          <w:highlight w:val="none"/>
        </w:rPr>
      </w:pPr>
    </w:p>
    <w:p w14:paraId="033F7335">
      <w:pPr>
        <w:pStyle w:val="5"/>
        <w:spacing w:line="360" w:lineRule="auto"/>
        <w:rPr>
          <w:color w:val="auto"/>
          <w:highlight w:val="none"/>
        </w:rPr>
      </w:pPr>
      <w:bookmarkStart w:id="32" w:name="_Toc163754693"/>
      <w:r>
        <w:rPr>
          <w:rFonts w:hint="eastAsia"/>
          <w:color w:val="auto"/>
          <w:highlight w:val="none"/>
        </w:rPr>
        <w:t>（二）统一访问服务门户</w:t>
      </w:r>
    </w:p>
    <w:p w14:paraId="33D86CF2">
      <w:pPr>
        <w:spacing w:line="360" w:lineRule="auto"/>
        <w:ind w:firstLine="480" w:firstLineChars="200"/>
        <w:rPr>
          <w:rFonts w:ascii="宋体" w:hAnsi="宋体" w:cs="宋体"/>
          <w:color w:val="auto"/>
          <w:sz w:val="24"/>
          <w:highlight w:val="none"/>
        </w:rPr>
      </w:pPr>
      <w:bookmarkStart w:id="33" w:name="OLE_LINK8"/>
      <w:r>
        <w:rPr>
          <w:rFonts w:ascii="宋体" w:hAnsi="宋体" w:cs="宋体"/>
          <w:color w:val="auto"/>
          <w:sz w:val="24"/>
          <w:highlight w:val="none"/>
        </w:rPr>
        <w:t>本项目搭建统一访问服务门户，包括外部用户端、外部管理端和内部管理端三大块。</w:t>
      </w:r>
    </w:p>
    <w:p w14:paraId="61E3592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使用角色</w:t>
      </w:r>
      <w:r>
        <w:rPr>
          <w:rFonts w:hint="eastAsia" w:ascii="宋体" w:hAnsi="宋体" w:cs="宋体"/>
          <w:color w:val="auto"/>
          <w:sz w:val="24"/>
          <w:highlight w:val="none"/>
        </w:rPr>
        <w:t>如下：</w:t>
      </w:r>
    </w:p>
    <w:p w14:paraId="5A807F4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1.外部用户：指以企业为主体单位在门户上注册、在杭州数据交易所认证通过后的用户，如生物医药研发企业</w:t>
      </w:r>
      <w:r>
        <w:rPr>
          <w:rFonts w:hint="eastAsia" w:ascii="宋体" w:hAnsi="宋体" w:cs="宋体"/>
          <w:color w:val="auto"/>
          <w:sz w:val="24"/>
          <w:highlight w:val="none"/>
        </w:rPr>
        <w:t>；</w:t>
      </w:r>
    </w:p>
    <w:p w14:paraId="5C24E2F7">
      <w:pPr>
        <w:spacing w:line="360" w:lineRule="auto"/>
        <w:ind w:firstLine="480" w:firstLineChars="200"/>
        <w:rPr>
          <w:rFonts w:ascii="宋体" w:hAnsi="宋体" w:cs="宋体"/>
          <w:color w:val="auto"/>
          <w:sz w:val="24"/>
          <w:highlight w:val="none"/>
        </w:rPr>
      </w:pPr>
      <w:bookmarkStart w:id="34" w:name="_Hlk178237480"/>
      <w:r>
        <w:rPr>
          <w:rFonts w:ascii="宋体" w:hAnsi="宋体" w:cs="宋体"/>
          <w:color w:val="auto"/>
          <w:sz w:val="24"/>
          <w:highlight w:val="none"/>
        </w:rPr>
        <w:t>2.内部用户：指由内部管理用户维护的用户，主要为市属医疗机构科研人员、质控人员、系统管理人员</w:t>
      </w:r>
      <w:r>
        <w:rPr>
          <w:rFonts w:hint="eastAsia" w:ascii="宋体" w:hAnsi="宋体" w:cs="宋体"/>
          <w:color w:val="auto"/>
          <w:sz w:val="24"/>
          <w:highlight w:val="none"/>
        </w:rPr>
        <w:t>；</w:t>
      </w:r>
    </w:p>
    <w:bookmarkEnd w:id="34"/>
    <w:p w14:paraId="2DECE37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3.内部管理用户：指杭州市卫健委指定相关部门的职能人员，主要执行企业用户管理、资产专区中临床专家内容维护和数据需求反馈事宜。</w:t>
      </w:r>
    </w:p>
    <w:p w14:paraId="77458070">
      <w:pPr>
        <w:pStyle w:val="6"/>
        <w:spacing w:line="360" w:lineRule="auto"/>
        <w:rPr>
          <w:color w:val="auto"/>
          <w:highlight w:val="none"/>
        </w:rPr>
      </w:pPr>
      <w:r>
        <w:rPr>
          <w:rFonts w:hint="eastAsia"/>
          <w:color w:val="auto"/>
          <w:highlight w:val="none"/>
        </w:rPr>
        <w:t>2.1 外部用户端</w:t>
      </w:r>
    </w:p>
    <w:p w14:paraId="7F0245C1">
      <w:pPr>
        <w:pStyle w:val="7"/>
        <w:spacing w:line="360" w:lineRule="auto"/>
        <w:rPr>
          <w:color w:val="auto"/>
          <w:highlight w:val="none"/>
        </w:rPr>
      </w:pPr>
      <w:r>
        <w:rPr>
          <w:rFonts w:hint="eastAsia"/>
          <w:color w:val="auto"/>
          <w:highlight w:val="none"/>
        </w:rPr>
        <w:t>2.1.1 医疗资产专区</w:t>
      </w:r>
    </w:p>
    <w:p w14:paraId="786EB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1.临床专家专区</w:t>
      </w:r>
    </w:p>
    <w:p w14:paraId="002CB4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在临床专家专区可以检索目前与平台合作的临床专家资源，可以查看到临床专家团队统计数量以及研究成果如论文、专利、研究报告等统计数量。外部用户可以按照研究领域、医院或研究所进行分类查看相应的临床专家团队目录，并可以点击某个临床专家了解到更多信息，包含每个团队的详细介绍页面，包含团队成员、研究方向、主要成果和合作联系方式。</w:t>
      </w:r>
    </w:p>
    <w:p w14:paraId="2C34F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2.科研项目专区</w:t>
      </w:r>
    </w:p>
    <w:p w14:paraId="5EB204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在科研项目专区可以检索平台目前已开展的课题概况，可以查看到基于区域医疗数据资源库和5大专病数据库已开展的科研项目数量统计，并且可以查看科研项目相关信息，包含科研项目名称、科研项目负责人，已入组患者例数，课题简介，研究成果展示。</w:t>
      </w:r>
    </w:p>
    <w:p w14:paraId="2B324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3.数据资源目录专区</w:t>
      </w:r>
    </w:p>
    <w:p w14:paraId="66E5A19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外部用户在数据资源目录专区可以查看区域医疗数据资源库和5大专病数据库所涉及的标准数据集，可以选择查看明细了解平台能够提供哪些数据字段。</w:t>
      </w:r>
    </w:p>
    <w:p w14:paraId="0ADDF635">
      <w:pPr>
        <w:pStyle w:val="7"/>
        <w:spacing w:line="360" w:lineRule="auto"/>
        <w:rPr>
          <w:color w:val="auto"/>
          <w:highlight w:val="none"/>
        </w:rPr>
      </w:pPr>
      <w:r>
        <w:rPr>
          <w:rFonts w:hint="eastAsia"/>
          <w:color w:val="auto"/>
          <w:highlight w:val="none"/>
        </w:rPr>
        <w:t>2.1.2 数据检索及需求发布申请</w:t>
      </w:r>
    </w:p>
    <w:p w14:paraId="2AE932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1.数据检索申请</w:t>
      </w:r>
    </w:p>
    <w:p w14:paraId="7826B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对于认证通过的外部用户可以提交数据检索申请，具体流程为：第一步写明数据检索申请理由；第二步</w:t>
      </w:r>
      <w:r>
        <w:rPr>
          <w:rFonts w:ascii="宋体" w:hAnsi="宋体" w:cs="宋体"/>
          <w:color w:val="auto"/>
          <w:sz w:val="24"/>
          <w:highlight w:val="none"/>
        </w:rPr>
        <w:t>设置纳排条件，可以基于资产目录已有的指标项自由按照与、或、非三种运算逻辑自行组合条件树进行检索</w:t>
      </w:r>
      <w:r>
        <w:rPr>
          <w:rFonts w:hint="eastAsia" w:ascii="宋体" w:hAnsi="宋体" w:cs="宋体"/>
          <w:color w:val="auto"/>
          <w:sz w:val="24"/>
          <w:highlight w:val="none"/>
        </w:rPr>
        <w:t>；第三步确认无误提交数据检索申请；第四步可在我的需求中查看申请结果，如申请通过则会在我的需求中展示符合条件的病例统计数量，如病例数达到样本预期，则可以进一步提交数据需求申请；如申请不通过则会显示不通过理由。</w:t>
      </w:r>
    </w:p>
    <w:p w14:paraId="5D63DE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2.需求发布申请</w:t>
      </w:r>
    </w:p>
    <w:p w14:paraId="446AE1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在数据检索之后，如病例数量达到预期样本量，可以进一步提交需求发布申请，具体操作为第一步设置纳排条件；第二步选择所需要的指标项，可通过资产目录自行勾选所需要的指标项，如资产目录没有想要的指标项，可自定义指标项，并要求撰写相应的指标定义与数据来源；第三步选择所需要的临床专家团队；第四步提交需求。</w:t>
      </w:r>
    </w:p>
    <w:p w14:paraId="3DA17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3.我的需求</w:t>
      </w:r>
      <w:r>
        <w:rPr>
          <w:rFonts w:hint="eastAsia" w:ascii="宋体" w:hAnsi="宋体" w:cs="宋体"/>
          <w:color w:val="auto"/>
          <w:sz w:val="24"/>
          <w:highlight w:val="none"/>
        </w:rPr>
        <w:tab/>
      </w:r>
    </w:p>
    <w:p w14:paraId="4B7DC61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在我的需求可以查看本人创建的数据检索申请列表和数据需求列表，需求会按照草稿状态、已提交状态、评估通过、评估不通过状态分类。外部用户对于草稿状态的需求可以继续编辑并提交需求，对于已提交状态的需求可以选择撤回，对于评估通过的需求如数据检索申请可查看符合条件的病例数，如数据需求可以查看后续对接人的联系方式，对于评估不通过的需求可以重新编辑后再次提交。</w:t>
      </w:r>
    </w:p>
    <w:p w14:paraId="36796AB4">
      <w:pPr>
        <w:pStyle w:val="7"/>
        <w:spacing w:line="360" w:lineRule="auto"/>
        <w:rPr>
          <w:color w:val="auto"/>
          <w:highlight w:val="none"/>
        </w:rPr>
      </w:pPr>
      <w:r>
        <w:rPr>
          <w:rFonts w:hint="eastAsia"/>
          <w:color w:val="auto"/>
          <w:highlight w:val="none"/>
        </w:rPr>
        <w:t>2.1.3 个人中心</w:t>
      </w:r>
    </w:p>
    <w:p w14:paraId="0F84663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外部用户可以在个人中心进行账号注册认证和查看个人信息。第一步需要账号注册，可以通过手机验证码方式注册；第二步注册成功后进行机构认证，需要上传机构名称、统一社会信用代码，系统同步杭州数据交易所认证结果；第三步认证通过后即可登录。</w:t>
      </w:r>
    </w:p>
    <w:p w14:paraId="22BAF4A2">
      <w:pPr>
        <w:pStyle w:val="6"/>
        <w:spacing w:line="360" w:lineRule="auto"/>
        <w:rPr>
          <w:color w:val="auto"/>
          <w:highlight w:val="none"/>
        </w:rPr>
      </w:pPr>
      <w:r>
        <w:rPr>
          <w:rFonts w:hint="eastAsia"/>
          <w:color w:val="auto"/>
          <w:highlight w:val="none"/>
        </w:rPr>
        <w:t>2.2 外部管理端</w:t>
      </w:r>
    </w:p>
    <w:p w14:paraId="22DBBBD2">
      <w:pPr>
        <w:pStyle w:val="7"/>
        <w:spacing w:line="360" w:lineRule="auto"/>
        <w:rPr>
          <w:color w:val="auto"/>
          <w:highlight w:val="none"/>
        </w:rPr>
      </w:pPr>
      <w:r>
        <w:rPr>
          <w:rFonts w:hint="eastAsia"/>
          <w:color w:val="auto"/>
          <w:highlight w:val="none"/>
        </w:rPr>
        <w:t>2.2.1 注册机构管理</w:t>
      </w:r>
      <w:r>
        <w:rPr>
          <w:rFonts w:hint="eastAsia"/>
          <w:color w:val="auto"/>
          <w:highlight w:val="none"/>
        </w:rPr>
        <w:tab/>
      </w:r>
    </w:p>
    <w:p w14:paraId="1754FFDC">
      <w:pPr>
        <w:spacing w:line="360" w:lineRule="auto"/>
        <w:ind w:firstLine="480" w:firstLineChars="200"/>
        <w:rPr>
          <w:rFonts w:ascii="宋体" w:hAnsi="宋体" w:cs="宋体"/>
          <w:color w:val="auto"/>
          <w:sz w:val="24"/>
          <w:highlight w:val="none"/>
        </w:rPr>
      </w:pPr>
      <w:bookmarkStart w:id="35" w:name="OLE_LINK7"/>
      <w:r>
        <w:rPr>
          <w:rFonts w:ascii="宋体" w:hAnsi="宋体" w:cs="宋体"/>
          <w:color w:val="auto"/>
          <w:sz w:val="24"/>
          <w:highlight w:val="none"/>
        </w:rPr>
        <w:t>内部管理用户在注册机构管理中可以查看已认证的机构，可以查看详情，包含从杭州数据交易所同步过来的企业认证资料。对于已认证的机构，内部用户管理员可以查看该机构下的成员列表，并可以注销机构或注销对应成员的账号，注销后该成员则无法再登录。</w:t>
      </w:r>
    </w:p>
    <w:bookmarkEnd w:id="35"/>
    <w:p w14:paraId="68729050">
      <w:pPr>
        <w:pStyle w:val="7"/>
        <w:spacing w:line="360" w:lineRule="auto"/>
        <w:rPr>
          <w:color w:val="auto"/>
          <w:highlight w:val="none"/>
        </w:rPr>
      </w:pPr>
      <w:r>
        <w:rPr>
          <w:rFonts w:hint="eastAsia"/>
          <w:color w:val="auto"/>
          <w:highlight w:val="none"/>
        </w:rPr>
        <w:t>2.2.2 注册人员管理</w:t>
      </w:r>
      <w:r>
        <w:rPr>
          <w:rFonts w:hint="eastAsia"/>
          <w:color w:val="auto"/>
          <w:highlight w:val="none"/>
        </w:rPr>
        <w:tab/>
      </w:r>
    </w:p>
    <w:p w14:paraId="2CEE0C7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内部管理用户在注册人员管理可以查看所有已经注册的人员列表，包含名称、所属机构、认证信息、账号等，并可以对已注册人员注销账号，注销后该成员则无法再登录。</w:t>
      </w:r>
    </w:p>
    <w:p w14:paraId="3B7CA3B5">
      <w:pPr>
        <w:pStyle w:val="7"/>
        <w:spacing w:line="360" w:lineRule="auto"/>
        <w:rPr>
          <w:color w:val="auto"/>
          <w:highlight w:val="none"/>
        </w:rPr>
      </w:pPr>
      <w:r>
        <w:rPr>
          <w:rFonts w:hint="eastAsia"/>
          <w:color w:val="auto"/>
          <w:highlight w:val="none"/>
        </w:rPr>
        <w:t>2.2.3 临床专家管理</w:t>
      </w:r>
      <w:r>
        <w:rPr>
          <w:rFonts w:hint="eastAsia"/>
          <w:color w:val="auto"/>
          <w:highlight w:val="none"/>
        </w:rPr>
        <w:tab/>
      </w:r>
    </w:p>
    <w:p w14:paraId="39530A67">
      <w:pPr>
        <w:spacing w:line="360" w:lineRule="auto"/>
        <w:ind w:firstLine="420" w:firstLineChars="200"/>
        <w:rPr>
          <w:rFonts w:ascii="宋体" w:hAnsi="宋体" w:cs="宋体"/>
          <w:color w:val="auto"/>
          <w:sz w:val="24"/>
          <w:highlight w:val="none"/>
        </w:rPr>
      </w:pPr>
      <w:r>
        <w:rPr>
          <w:rFonts w:ascii="MS Gothic" w:hAnsi="MS Gothic" w:eastAsia="MS Gothic" w:cs="MS Gothic"/>
          <w:color w:val="auto"/>
          <w:kern w:val="0"/>
          <w:szCs w:val="21"/>
          <w:highlight w:val="none"/>
        </w:rPr>
        <w:t>✱</w:t>
      </w:r>
      <w:r>
        <w:rPr>
          <w:rFonts w:ascii="宋体" w:hAnsi="宋体" w:cs="宋体"/>
          <w:color w:val="auto"/>
          <w:sz w:val="24"/>
          <w:highlight w:val="none"/>
        </w:rPr>
        <w:t>内部管理用户可以在临床专家管理中维护临床专家专区中展示的信息。对临床专家目录维护，包含专家名称、所属机构、擅长领域、个人荣誉、带领团队名称等，对团队可以维护团队档案，包含团队擅长领域、经验、荣誉、简介、研究成果等信息，并支持对专家团队成员维护，支持维护成员个人信息，包含姓名、职称、所属机构、擅长技能、荣誉、经验等信息。内部管理用户可以进行单个临床专家目录、团队档案、专家团队或成员进行人工修正，也可通过文件导入的方式进行批量维护</w:t>
      </w:r>
      <w:r>
        <w:rPr>
          <w:rFonts w:hint="eastAsia" w:ascii="宋体" w:hAnsi="宋体" w:cs="宋体"/>
          <w:color w:val="auto"/>
          <w:sz w:val="24"/>
          <w:highlight w:val="none"/>
        </w:rPr>
        <w:t>，需提供系统功能截图证明</w:t>
      </w:r>
      <w:r>
        <w:rPr>
          <w:rFonts w:ascii="宋体" w:hAnsi="宋体" w:cs="宋体"/>
          <w:color w:val="auto"/>
          <w:sz w:val="24"/>
          <w:highlight w:val="none"/>
        </w:rPr>
        <w:t>。</w:t>
      </w:r>
    </w:p>
    <w:p w14:paraId="21D319D1">
      <w:pPr>
        <w:pStyle w:val="7"/>
        <w:spacing w:line="360" w:lineRule="auto"/>
        <w:rPr>
          <w:color w:val="auto"/>
          <w:highlight w:val="none"/>
        </w:rPr>
      </w:pPr>
      <w:r>
        <w:rPr>
          <w:rFonts w:hint="eastAsia"/>
          <w:color w:val="auto"/>
          <w:highlight w:val="none"/>
        </w:rPr>
        <w:t>2.2.4 需求管理</w:t>
      </w:r>
      <w:r>
        <w:rPr>
          <w:rFonts w:hint="eastAsia"/>
          <w:color w:val="auto"/>
          <w:highlight w:val="none"/>
        </w:rPr>
        <w:tab/>
      </w:r>
    </w:p>
    <w:p w14:paraId="0E1785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内部管理用户可以查看外部用户提交的全部需求列表，包含数据检索申请和数据需求，可以对待评估需求进行需求评估，对已评估需求可以修改评估内容。</w:t>
      </w:r>
    </w:p>
    <w:p w14:paraId="2C701ED1">
      <w:pPr>
        <w:pStyle w:val="7"/>
        <w:spacing w:line="360" w:lineRule="auto"/>
        <w:rPr>
          <w:color w:val="auto"/>
          <w:highlight w:val="none"/>
        </w:rPr>
      </w:pPr>
      <w:r>
        <w:rPr>
          <w:rFonts w:hint="eastAsia"/>
          <w:color w:val="auto"/>
          <w:highlight w:val="none"/>
        </w:rPr>
        <w:t>2.2.5 需求评估</w:t>
      </w:r>
    </w:p>
    <w:p w14:paraId="62BB37D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管理用户根据管理权限可以点击需求查看需求详情，可以查看需求中的纳排条件，所需要的指标项，以及意向合作的临床专家。具体评估流程为第一步使用需求详情中的纳排条件进行检索，平台会返回符合条件的患者例数，并可以跳转查看患者明细数据，可以基于此查看大概涉及哪些患者数据；第二步对所需要的指标项进行完整度统计，平台会返回各个指标项的完整度，可以基于此判断数据完整度；第三步对最终需求撰写评估结论，如通过则可以撰写联系方式便于外部用户查看联系，未通过则可以撰写不通过理由反馈给外部用户。</w:t>
      </w:r>
    </w:p>
    <w:p w14:paraId="68166066">
      <w:pPr>
        <w:pStyle w:val="7"/>
        <w:spacing w:line="360" w:lineRule="auto"/>
        <w:rPr>
          <w:color w:val="auto"/>
          <w:highlight w:val="none"/>
        </w:rPr>
      </w:pPr>
      <w:r>
        <w:rPr>
          <w:rFonts w:hint="eastAsia"/>
          <w:color w:val="auto"/>
          <w:highlight w:val="none"/>
        </w:rPr>
        <w:t>2.2.6 数据检索申请评估</w:t>
      </w:r>
    </w:p>
    <w:p w14:paraId="6621A68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管理用户根据管理权限可以点击需求查看数据检索申请详情，可以查看外部用户申请理由和申请检索的条件树，如评估通过则系统会自动基于条件树进行检索，并返回符合条件的具体病例数量，并确认后会将具体病例数量反馈给外部用户，外部用户可在我的需求中查看；如未评估通过，则可以填写不通过理由，外部用户可在我的需求中查看。</w:t>
      </w:r>
    </w:p>
    <w:p w14:paraId="5A31CC3E">
      <w:pPr>
        <w:pStyle w:val="6"/>
        <w:spacing w:line="360" w:lineRule="auto"/>
        <w:rPr>
          <w:color w:val="auto"/>
          <w:highlight w:val="none"/>
        </w:rPr>
      </w:pPr>
      <w:r>
        <w:rPr>
          <w:rFonts w:hint="eastAsia"/>
          <w:color w:val="auto"/>
          <w:highlight w:val="none"/>
        </w:rPr>
        <w:t>2.3 内部管理端</w:t>
      </w:r>
    </w:p>
    <w:p w14:paraId="4A1DC21A">
      <w:pPr>
        <w:pStyle w:val="7"/>
        <w:spacing w:line="360" w:lineRule="auto"/>
        <w:rPr>
          <w:color w:val="auto"/>
          <w:highlight w:val="none"/>
        </w:rPr>
      </w:pPr>
      <w:r>
        <w:rPr>
          <w:rFonts w:hint="eastAsia"/>
          <w:color w:val="auto"/>
          <w:highlight w:val="none"/>
        </w:rPr>
        <w:t>2.3.1 用户管理</w:t>
      </w:r>
    </w:p>
    <w:p w14:paraId="0040A29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在用户管理可以统一维护市属医疗机构的用户，可以按照医疗机构、用户角色、用户名称进行筛选，并可以按需添加用户账号和分配用户权限，以及停用账号，停用后内部用户则无法登录内部门户。</w:t>
      </w:r>
    </w:p>
    <w:p w14:paraId="289ABB71">
      <w:pPr>
        <w:pStyle w:val="7"/>
        <w:spacing w:line="360" w:lineRule="auto"/>
        <w:rPr>
          <w:color w:val="auto"/>
          <w:highlight w:val="none"/>
        </w:rPr>
      </w:pPr>
      <w:r>
        <w:rPr>
          <w:rFonts w:hint="eastAsia"/>
          <w:color w:val="auto"/>
          <w:highlight w:val="none"/>
        </w:rPr>
        <w:t>2.3.2 角色管理</w:t>
      </w:r>
    </w:p>
    <w:p w14:paraId="521D5AB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内部用户管理员在角色管理可以统一维护角色，可以自定义添加角色和管理角色状态。</w:t>
      </w:r>
    </w:p>
    <w:p w14:paraId="6B1EEA57">
      <w:pPr>
        <w:pStyle w:val="7"/>
        <w:spacing w:line="360" w:lineRule="auto"/>
        <w:rPr>
          <w:color w:val="auto"/>
          <w:highlight w:val="none"/>
        </w:rPr>
      </w:pPr>
      <w:r>
        <w:rPr>
          <w:rFonts w:hint="eastAsia"/>
          <w:color w:val="auto"/>
          <w:highlight w:val="none"/>
        </w:rPr>
        <w:t>2.3.3 访问权限</w:t>
      </w:r>
    </w:p>
    <w:p w14:paraId="53AB8B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内部用户管理员在角色管理可以统一维护访问权限，可以维护所能访问的平台以及对应平台的菜单资源。</w:t>
      </w:r>
    </w:p>
    <w:p w14:paraId="1253D36C">
      <w:pPr>
        <w:pStyle w:val="7"/>
        <w:spacing w:line="360" w:lineRule="auto"/>
        <w:rPr>
          <w:color w:val="auto"/>
          <w:highlight w:val="none"/>
        </w:rPr>
      </w:pPr>
      <w:r>
        <w:rPr>
          <w:rFonts w:hint="eastAsia"/>
          <w:color w:val="auto"/>
          <w:highlight w:val="none"/>
        </w:rPr>
        <w:t>2.3.4 角色权限</w:t>
      </w:r>
    </w:p>
    <w:p w14:paraId="1D512361">
      <w:pPr>
        <w:spacing w:line="360" w:lineRule="auto"/>
        <w:ind w:firstLine="420" w:firstLineChars="200"/>
        <w:rPr>
          <w:rFonts w:ascii="宋体" w:hAnsi="宋体" w:cs="宋体"/>
          <w:color w:val="auto"/>
          <w:sz w:val="24"/>
          <w:highlight w:val="none"/>
        </w:rPr>
      </w:pPr>
      <w:r>
        <w:rPr>
          <w:rFonts w:ascii="MS Gothic" w:hAnsi="MS Gothic" w:eastAsia="MS Gothic" w:cs="MS Gothic"/>
          <w:color w:val="auto"/>
          <w:kern w:val="0"/>
          <w:szCs w:val="21"/>
          <w:highlight w:val="none"/>
        </w:rPr>
        <w:t>✱</w:t>
      </w:r>
      <w:r>
        <w:rPr>
          <w:rFonts w:ascii="宋体" w:hAnsi="宋体" w:cs="宋体"/>
          <w:color w:val="auto"/>
          <w:sz w:val="24"/>
          <w:highlight w:val="none"/>
        </w:rPr>
        <w:t>内部用户管理员在角色权限中可以维护对内部用户在区域临床科研协作管理子系统中所能看见医疗数据，支持按照医疗机构设置，内部用户只能看到所分配的医疗机构的数据，未分配的则无法查看，并支持对可见部分进一步设置是明文可见或是脱敏可见</w:t>
      </w:r>
      <w:r>
        <w:rPr>
          <w:rFonts w:hint="eastAsia" w:ascii="宋体" w:hAnsi="宋体" w:cs="宋体"/>
          <w:color w:val="auto"/>
          <w:sz w:val="24"/>
          <w:highlight w:val="none"/>
        </w:rPr>
        <w:t>，需提供系统功能截图证明</w:t>
      </w:r>
      <w:r>
        <w:rPr>
          <w:rFonts w:ascii="宋体" w:hAnsi="宋体" w:cs="宋体"/>
          <w:color w:val="auto"/>
          <w:sz w:val="24"/>
          <w:highlight w:val="none"/>
        </w:rPr>
        <w:t>。</w:t>
      </w:r>
    </w:p>
    <w:p w14:paraId="439F446A">
      <w:pPr>
        <w:pStyle w:val="7"/>
        <w:spacing w:line="360" w:lineRule="auto"/>
        <w:rPr>
          <w:color w:val="auto"/>
          <w:highlight w:val="none"/>
        </w:rPr>
      </w:pPr>
      <w:r>
        <w:rPr>
          <w:rFonts w:hint="eastAsia"/>
          <w:color w:val="auto"/>
          <w:highlight w:val="none"/>
        </w:rPr>
        <w:t>2.3.5 资源管理</w:t>
      </w:r>
    </w:p>
    <w:p w14:paraId="78A9140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内部用户管理员支持在资源管理中维护各个系统所包含的</w:t>
      </w:r>
      <w:bookmarkStart w:id="36" w:name="OLE_LINK6"/>
      <w:r>
        <w:rPr>
          <w:rFonts w:ascii="宋体" w:hAnsi="宋体" w:cs="宋体"/>
          <w:color w:val="auto"/>
          <w:sz w:val="24"/>
          <w:highlight w:val="none"/>
        </w:rPr>
        <w:t>功能菜单、页面、按钮和接口权限</w:t>
      </w:r>
      <w:bookmarkEnd w:id="36"/>
      <w:r>
        <w:rPr>
          <w:rFonts w:ascii="宋体" w:hAnsi="宋体" w:cs="宋体"/>
          <w:color w:val="auto"/>
          <w:sz w:val="24"/>
          <w:highlight w:val="none"/>
        </w:rPr>
        <w:t>，如需新增需要权限控制的功能则可以在资源管理中自行添加，添加后可通过角色权限中对该功能进行权限控制。</w:t>
      </w:r>
    </w:p>
    <w:p w14:paraId="07F60282">
      <w:pPr>
        <w:pStyle w:val="7"/>
        <w:spacing w:line="360" w:lineRule="auto"/>
        <w:rPr>
          <w:color w:val="auto"/>
          <w:highlight w:val="none"/>
        </w:rPr>
      </w:pPr>
      <w:r>
        <w:rPr>
          <w:rFonts w:hint="eastAsia"/>
          <w:color w:val="auto"/>
          <w:highlight w:val="none"/>
        </w:rPr>
        <w:t>2.3.6 医院管理</w:t>
      </w:r>
    </w:p>
    <w:p w14:paraId="511F077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内部用户管理员支持在医院管理中维护医疗机构信息，并支持维护医疗机构信息下的科室，后续该信息会被用于用户管理，对用户所属机构和所属科室进行维护。</w:t>
      </w:r>
    </w:p>
    <w:p w14:paraId="0FDCFB40">
      <w:pPr>
        <w:pStyle w:val="7"/>
        <w:spacing w:line="360" w:lineRule="auto"/>
        <w:rPr>
          <w:color w:val="auto"/>
          <w:highlight w:val="none"/>
        </w:rPr>
      </w:pPr>
      <w:r>
        <w:rPr>
          <w:rFonts w:hint="eastAsia"/>
          <w:color w:val="auto"/>
          <w:highlight w:val="none"/>
        </w:rPr>
        <w:t>2.3.7 审批流程配置</w:t>
      </w:r>
    </w:p>
    <w:p w14:paraId="162367F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支持在审批流程配置中对各个审批流程进行配置，单个流程中可以设置多个审批节点，每个审批节点可以设置会签、或签二选一，以及对应审批者。其中会签方式支持在同一审批节点所有审批者均审批通过方可进入下个节点，或签方式支持在同一审批节点任意审批者审批通过即可进入下个节点；内部用户管理开启审批流程后，对应业务场景则会通知对应审批者进行审批。</w:t>
      </w:r>
    </w:p>
    <w:p w14:paraId="5CA8A965">
      <w:pPr>
        <w:pStyle w:val="7"/>
        <w:spacing w:line="360" w:lineRule="auto"/>
        <w:rPr>
          <w:color w:val="auto"/>
          <w:highlight w:val="none"/>
        </w:rPr>
      </w:pPr>
      <w:r>
        <w:rPr>
          <w:rFonts w:hint="eastAsia"/>
          <w:color w:val="auto"/>
          <w:highlight w:val="none"/>
        </w:rPr>
        <w:t>2.3.8 申请中心</w:t>
      </w:r>
    </w:p>
    <w:p w14:paraId="5FFCB14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内部用户可以在申请中心中查看本人提交的申请，并可以查看该申请完整的审批流程和当前所处审批节点，便于用户查看审批进度，也可按需撤销申请记录。</w:t>
      </w:r>
    </w:p>
    <w:p w14:paraId="1C62C51A">
      <w:pPr>
        <w:pStyle w:val="7"/>
        <w:spacing w:line="360" w:lineRule="auto"/>
        <w:rPr>
          <w:color w:val="auto"/>
          <w:highlight w:val="none"/>
        </w:rPr>
      </w:pPr>
      <w:r>
        <w:rPr>
          <w:rFonts w:hint="eastAsia"/>
          <w:color w:val="auto"/>
          <w:highlight w:val="none"/>
        </w:rPr>
        <w:t>2.3.9 审批中心</w:t>
      </w:r>
    </w:p>
    <w:p w14:paraId="23E5224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可以在审批中心中查看关于本人需要审批的申请记录，可以按照实际情况选择审批通过或不通过，通过后会按照审批流程进入下一个流程节点，如流程均完成则申请者可以进行后续操作；不通过则可以填写拒绝原因，反馈给申请者查看。</w:t>
      </w:r>
    </w:p>
    <w:p w14:paraId="1155E12A">
      <w:pPr>
        <w:pStyle w:val="7"/>
        <w:spacing w:line="360" w:lineRule="auto"/>
        <w:rPr>
          <w:color w:val="auto"/>
          <w:highlight w:val="none"/>
        </w:rPr>
      </w:pPr>
      <w:r>
        <w:rPr>
          <w:rFonts w:hint="eastAsia"/>
          <w:color w:val="auto"/>
          <w:highlight w:val="none"/>
        </w:rPr>
        <w:t>2.3.10 密码安全管理与用户认证</w:t>
      </w:r>
    </w:p>
    <w:p w14:paraId="436E44C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可以在密码安全管理维护内部用户登录时，关于密码的强度、时效性、重试约束等配置，对于密码强度支持设置是否要有大写英文字母，是否要有小写英文字母，是否要有数字，是否要有特殊字符以及最短长度设置；</w:t>
      </w:r>
    </w:p>
    <w:p w14:paraId="025A2DF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对于时效性支持设置限制密码在设置时间范围内失效要求重置密码，以及限制新密码与旧密码是否可重复；</w:t>
      </w:r>
    </w:p>
    <w:p w14:paraId="180DBE8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对于重试约束支持设置限定时间范围内连续输错多少次则锁定多少分钟；</w:t>
      </w:r>
    </w:p>
    <w:p w14:paraId="711F1D6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支持采用浙政钉</w:t>
      </w:r>
      <w:r>
        <w:rPr>
          <w:rFonts w:hint="eastAsia" w:ascii="宋体" w:hAnsi="宋体" w:cs="宋体"/>
          <w:color w:val="auto"/>
          <w:sz w:val="24"/>
          <w:highlight w:val="none"/>
        </w:rPr>
        <w:t>或</w:t>
      </w:r>
      <w:r>
        <w:rPr>
          <w:rFonts w:ascii="宋体" w:hAnsi="宋体" w:cs="宋体"/>
          <w:color w:val="auto"/>
          <w:sz w:val="24"/>
          <w:highlight w:val="none"/>
        </w:rPr>
        <w:t>浙里办扫码认证登录方式。在扫描认证后，发送一条浙政钉</w:t>
      </w:r>
      <w:r>
        <w:rPr>
          <w:rFonts w:hint="eastAsia" w:ascii="宋体" w:hAnsi="宋体" w:cs="宋体"/>
          <w:color w:val="auto"/>
          <w:sz w:val="24"/>
          <w:highlight w:val="none"/>
        </w:rPr>
        <w:t>或</w:t>
      </w:r>
      <w:r>
        <w:rPr>
          <w:rFonts w:ascii="宋体" w:hAnsi="宋体" w:cs="宋体"/>
          <w:color w:val="auto"/>
          <w:sz w:val="24"/>
          <w:highlight w:val="none"/>
        </w:rPr>
        <w:t>浙里办消息通知，用户输入手机号和密码，验证通过后，后期也可采用输入账号/密码方式进行登录。</w:t>
      </w:r>
    </w:p>
    <w:p w14:paraId="04C9A9D1">
      <w:pPr>
        <w:pStyle w:val="7"/>
        <w:spacing w:line="360" w:lineRule="auto"/>
        <w:rPr>
          <w:color w:val="auto"/>
          <w:highlight w:val="none"/>
        </w:rPr>
      </w:pPr>
      <w:r>
        <w:rPr>
          <w:rFonts w:hint="eastAsia"/>
          <w:color w:val="auto"/>
          <w:highlight w:val="none"/>
        </w:rPr>
        <w:t>2.3.11 日志管理</w:t>
      </w:r>
    </w:p>
    <w:p w14:paraId="13C70A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内部用户管理员可以在日志管理中查看系统运行日志记录，可以看到全部用户在不同功能模块中的操作记录，便于跟踪是否有异常行为，以及关键日志内容（如用户账号、权限分配等）</w:t>
      </w:r>
      <w:r>
        <w:rPr>
          <w:rFonts w:hint="eastAsia" w:ascii="宋体" w:hAnsi="宋体" w:cs="宋体"/>
          <w:color w:val="auto"/>
          <w:sz w:val="24"/>
          <w:highlight w:val="none"/>
        </w:rPr>
        <w:t>。</w:t>
      </w:r>
    </w:p>
    <w:bookmarkEnd w:id="33"/>
    <w:p w14:paraId="2B846AA2">
      <w:pPr>
        <w:pStyle w:val="5"/>
        <w:spacing w:line="360" w:lineRule="auto"/>
        <w:rPr>
          <w:color w:val="auto"/>
          <w:highlight w:val="none"/>
        </w:rPr>
      </w:pPr>
      <w:r>
        <w:rPr>
          <w:rFonts w:hint="eastAsia"/>
          <w:color w:val="auto"/>
          <w:highlight w:val="none"/>
        </w:rPr>
        <w:t>（三）区域临床科研协作管理子系统</w:t>
      </w:r>
    </w:p>
    <w:p w14:paraId="29E2FCA7">
      <w:pPr>
        <w:pStyle w:val="6"/>
        <w:spacing w:line="360" w:lineRule="auto"/>
        <w:rPr>
          <w:color w:val="auto"/>
          <w:highlight w:val="none"/>
        </w:rPr>
      </w:pPr>
      <w:r>
        <w:rPr>
          <w:rFonts w:hint="eastAsia"/>
          <w:color w:val="auto"/>
          <w:highlight w:val="none"/>
        </w:rPr>
        <w:t>3.1 病例检索中心</w:t>
      </w:r>
    </w:p>
    <w:p w14:paraId="5CC57C50">
      <w:pPr>
        <w:pStyle w:val="7"/>
        <w:spacing w:line="360" w:lineRule="auto"/>
        <w:rPr>
          <w:color w:val="auto"/>
          <w:highlight w:val="none"/>
        </w:rPr>
      </w:pPr>
      <w:r>
        <w:rPr>
          <w:rFonts w:hint="eastAsia"/>
          <w:color w:val="auto"/>
          <w:highlight w:val="none"/>
        </w:rPr>
        <w:t>3.1.1 条件树检索</w:t>
      </w:r>
    </w:p>
    <w:p w14:paraId="56BF81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支持以患者人口学信息、就诊信息、诊断信息、病历文书、护理信息、手术信息、病理信息、检查信息、检验信息、医嘱信息医疗场景构建检索业务域；</w:t>
      </w:r>
    </w:p>
    <w:p w14:paraId="76A38E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支持通过输入任意文字内容进行模糊搜索，定位并展示与检索内容具有相关性的数据元所在业务域，方便用户快捷找到所需要的数据元；</w:t>
      </w:r>
    </w:p>
    <w:p w14:paraId="2E04BC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支持患者维度检索：当患者的任意一条就诊记录符合对应检索条件的要求，则将该患者的所有就诊记录的数据进行查询和展示；</w:t>
      </w:r>
    </w:p>
    <w:p w14:paraId="4A8032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支持就诊维度检索：将符合对应检索条件的所有患者对应的就诊记录的数据进行查询和展示；</w:t>
      </w:r>
    </w:p>
    <w:p w14:paraId="2802D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支持将数据检索业务域中的任意数据元添加至检索条件列表中，复杂条件树检索支持在同一树状样式下结合与或非三种逻辑关系进行多条件组合式检索；</w:t>
      </w:r>
    </w:p>
    <w:p w14:paraId="66A71E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支持不同类型数据不同搜索规则，数值型指标采用大于、小于、等于等规则，文本型指标采用等于、包含、不包含等规则；</w:t>
      </w:r>
    </w:p>
    <w:p w14:paraId="3E1319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支持一键清空添加的检索条件，恢复检索功能初始视图；</w:t>
      </w:r>
    </w:p>
    <w:p w14:paraId="78CF7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支持有值域的数据元可下拉选择具体值域进行精准检索。</w:t>
      </w:r>
    </w:p>
    <w:p w14:paraId="43B7DF63">
      <w:pPr>
        <w:pStyle w:val="7"/>
        <w:spacing w:line="360" w:lineRule="auto"/>
        <w:rPr>
          <w:color w:val="auto"/>
          <w:highlight w:val="none"/>
        </w:rPr>
      </w:pPr>
      <w:r>
        <w:rPr>
          <w:rFonts w:hint="eastAsia"/>
          <w:color w:val="auto"/>
          <w:highlight w:val="none"/>
        </w:rPr>
        <w:t>3.1.2 原文检索</w:t>
      </w:r>
    </w:p>
    <w:p w14:paraId="0CC39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支持输入任意文本内容进行全文模糊检索；</w:t>
      </w:r>
    </w:p>
    <w:p w14:paraId="355D1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支持通过用药名称、检验名称、手术名称进行快速搜索找到目标患者。</w:t>
      </w:r>
    </w:p>
    <w:p w14:paraId="40EB652D">
      <w:pPr>
        <w:pStyle w:val="7"/>
        <w:spacing w:line="360" w:lineRule="auto"/>
        <w:rPr>
          <w:color w:val="auto"/>
          <w:highlight w:val="none"/>
        </w:rPr>
      </w:pPr>
      <w:r>
        <w:rPr>
          <w:rFonts w:hint="eastAsia"/>
          <w:color w:val="auto"/>
          <w:highlight w:val="none"/>
        </w:rPr>
        <w:t>3.1.3 事件检索</w:t>
      </w:r>
    </w:p>
    <w:p w14:paraId="3A98EE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支持基于手术、用药、检验等多种医疗事件场景进行检索；</w:t>
      </w:r>
    </w:p>
    <w:p w14:paraId="362D7F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支持用户自定义事件时间节点；</w:t>
      </w:r>
    </w:p>
    <w:p w14:paraId="519FA7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支持选择事件检索条件，支持设置第一次事件发生、最后一次事件发生还是任意事件发生，并支持根据数据元检索具体事件；</w:t>
      </w:r>
    </w:p>
    <w:p w14:paraId="07F42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支持设置事件发生时间范围，并支持选择按年、月、日不同时间粒度检索；</w:t>
      </w:r>
    </w:p>
    <w:p w14:paraId="18DC6A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支持设置事件发生时间范围内患者所需要满足的条件，支持与或非三种逻辑关系任一进行检索；</w:t>
      </w:r>
    </w:p>
    <w:p w14:paraId="216AF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支持调用已经收藏的事件检索条件。</w:t>
      </w:r>
    </w:p>
    <w:p w14:paraId="6B8E2094">
      <w:pPr>
        <w:pStyle w:val="7"/>
        <w:spacing w:line="360" w:lineRule="auto"/>
        <w:rPr>
          <w:color w:val="auto"/>
          <w:highlight w:val="none"/>
        </w:rPr>
      </w:pPr>
      <w:r>
        <w:rPr>
          <w:rFonts w:hint="eastAsia"/>
          <w:color w:val="auto"/>
          <w:highlight w:val="none"/>
        </w:rPr>
        <w:t>3.1.4 归一检索</w:t>
      </w:r>
    </w:p>
    <w:p w14:paraId="7B6F2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支持按照归一后的标准医学术语开展病例数据检索；</w:t>
      </w:r>
    </w:p>
    <w:p w14:paraId="00B44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归一检索的范围包括诊断名称、手术名称、药品名称、检验名称、检查名称五大类。</w:t>
      </w:r>
    </w:p>
    <w:p w14:paraId="05281ED3">
      <w:pPr>
        <w:pStyle w:val="7"/>
        <w:spacing w:line="360" w:lineRule="auto"/>
        <w:rPr>
          <w:color w:val="auto"/>
          <w:highlight w:val="none"/>
        </w:rPr>
      </w:pPr>
      <w:r>
        <w:rPr>
          <w:rFonts w:hint="eastAsia"/>
          <w:color w:val="auto"/>
          <w:highlight w:val="none"/>
        </w:rPr>
        <w:t>3.1.5 数据解锁</w:t>
      </w:r>
    </w:p>
    <w:p w14:paraId="4A9CE3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支持用户发起数据解锁申请，选择需要查看的数据所属医院及对应的数据业务域，填写申请理由，提交给管理人员进行审批。</w:t>
      </w:r>
    </w:p>
    <w:p w14:paraId="24A8B3F3">
      <w:pPr>
        <w:pStyle w:val="7"/>
        <w:spacing w:line="360" w:lineRule="auto"/>
        <w:rPr>
          <w:color w:val="auto"/>
          <w:highlight w:val="none"/>
        </w:rPr>
      </w:pPr>
      <w:r>
        <w:rPr>
          <w:rFonts w:hint="eastAsia"/>
          <w:color w:val="auto"/>
          <w:highlight w:val="none"/>
        </w:rPr>
        <w:t>3.1.6 检索收藏</w:t>
      </w:r>
    </w:p>
    <w:p w14:paraId="60C29F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支持将感兴趣或最近在做课题的任意条件树检索条件进行收藏，并进行列表展示和管理；</w:t>
      </w:r>
    </w:p>
    <w:p w14:paraId="677523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支持展示收藏的条件树检索名称、收藏的时间、条件树类型、具体的检索条件等内容；</w:t>
      </w:r>
    </w:p>
    <w:p w14:paraId="272F39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支持对已收藏的检索条件内容进行取消收藏、名称修改等维护操作，也可直接调用收藏好的检索条件进行人群队列检索。</w:t>
      </w:r>
    </w:p>
    <w:p w14:paraId="30F3F78A">
      <w:pPr>
        <w:pStyle w:val="7"/>
        <w:spacing w:line="360" w:lineRule="auto"/>
        <w:rPr>
          <w:color w:val="auto"/>
          <w:highlight w:val="none"/>
        </w:rPr>
      </w:pPr>
      <w:r>
        <w:rPr>
          <w:rFonts w:hint="eastAsia"/>
          <w:color w:val="auto"/>
          <w:highlight w:val="none"/>
        </w:rPr>
        <w:t>3.1.7 历史检索</w:t>
      </w:r>
    </w:p>
    <w:p w14:paraId="3F891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支持对用户的所有历史检索条件进行记录和展示，用户可以点击查看任意检索记录下的检索信息，内容包括检索时间、检索条件；</w:t>
      </w:r>
    </w:p>
    <w:p w14:paraId="5ECD8F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历史检索记录支持根据医院的需求进行动态保存，超过时限的检索记录将支持自动删除，最低保存时限为3个月；</w:t>
      </w:r>
    </w:p>
    <w:p w14:paraId="4CD53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用户不可对历史检索记录的内容进行修改和删除操作，支持用户进行快捷调用和检索收藏操作。</w:t>
      </w:r>
    </w:p>
    <w:p w14:paraId="380047FA">
      <w:pPr>
        <w:pStyle w:val="7"/>
        <w:spacing w:line="360" w:lineRule="auto"/>
        <w:rPr>
          <w:color w:val="auto"/>
          <w:highlight w:val="none"/>
        </w:rPr>
      </w:pPr>
      <w:r>
        <w:rPr>
          <w:rFonts w:hint="eastAsia"/>
          <w:color w:val="auto"/>
          <w:highlight w:val="none"/>
        </w:rPr>
        <w:t>3.1.8 检索结果详情</w:t>
      </w:r>
    </w:p>
    <w:p w14:paraId="0BD2865D">
      <w:pPr>
        <w:spacing w:line="360" w:lineRule="auto"/>
        <w:ind w:firstLine="420" w:firstLineChars="200"/>
        <w:rPr>
          <w:rFonts w:ascii="宋体" w:hAnsi="宋体" w:cs="宋体"/>
          <w:color w:val="auto"/>
          <w:sz w:val="24"/>
          <w:highlight w:val="none"/>
        </w:rPr>
      </w:pPr>
      <w:r>
        <w:rPr>
          <w:rFonts w:ascii="MS Gothic" w:hAnsi="MS Gothic" w:eastAsia="MS Gothic" w:cs="MS Gothic"/>
          <w:color w:val="auto"/>
          <w:kern w:val="0"/>
          <w:szCs w:val="21"/>
          <w:highlight w:val="none"/>
        </w:rPr>
        <w:t>✱</w:t>
      </w:r>
      <w:r>
        <w:rPr>
          <w:rFonts w:hint="eastAsia" w:ascii="宋体" w:hAnsi="宋体" w:cs="宋体"/>
          <w:color w:val="auto"/>
          <w:sz w:val="24"/>
          <w:highlight w:val="none"/>
        </w:rPr>
        <w:t>支持以二维表的形式批量展示符合检索条件的多个患者全部医疗数据，支持用户通过切换业务域进行患者数据查看，支持对单个/多个/全量患者执行个体全景、纳入队列等操作，需提供系统功能截图证明；</w:t>
      </w:r>
    </w:p>
    <w:p w14:paraId="62798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支持查看检索出患者的统计概览视图，包括患者总数、男女性别占比、就诊分布基础统计指标；</w:t>
      </w:r>
    </w:p>
    <w:p w14:paraId="2A6BD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支持按患者维度和就诊维度对单个/多个/全量患者进行队列入组操作；</w:t>
      </w:r>
    </w:p>
    <w:p w14:paraId="24347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支持对检索结果人群队列的展示项内容进行设置，用户可将自己关心的数据域内容进行前置展示或将自己不关心的数据进行展示屏蔽操作；</w:t>
      </w:r>
    </w:p>
    <w:p w14:paraId="604303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支持对检索出来的患者数据结果进行二次字段检索，通过点击任意展示列即可开展更为精细化的数据筛选和二次检索操作，如实现到具体字段数值范围或值域范围的筛选，并支持查看全部二次检索；</w:t>
      </w:r>
    </w:p>
    <w:p w14:paraId="137462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支持对检索结果实时统计各数据元的完整度，并支持按照就诊日期和就诊类型进行筛选查看；</w:t>
      </w:r>
    </w:p>
    <w:p w14:paraId="4AE734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支持对检索结果实时统计出门诊人次、住院人次、门诊人数、住院人数、总人次、总人数、男女比例、年龄分布、地域分布、就诊人次趋势、各科室就诊人次柱状图、诊断频次柱状图、药品频次柱状图。</w:t>
      </w:r>
    </w:p>
    <w:p w14:paraId="12119FC9">
      <w:pPr>
        <w:pStyle w:val="6"/>
        <w:spacing w:line="360" w:lineRule="auto"/>
        <w:rPr>
          <w:color w:val="auto"/>
          <w:highlight w:val="none"/>
        </w:rPr>
      </w:pPr>
      <w:r>
        <w:rPr>
          <w:rFonts w:hint="eastAsia"/>
          <w:color w:val="auto"/>
          <w:highlight w:val="none"/>
        </w:rPr>
        <w:t>3.2 科研全景视图</w:t>
      </w:r>
    </w:p>
    <w:p w14:paraId="45463737">
      <w:pPr>
        <w:pStyle w:val="7"/>
        <w:spacing w:line="360" w:lineRule="auto"/>
        <w:rPr>
          <w:color w:val="auto"/>
          <w:highlight w:val="none"/>
        </w:rPr>
      </w:pPr>
      <w:r>
        <w:rPr>
          <w:rFonts w:hint="eastAsia"/>
          <w:color w:val="auto"/>
          <w:highlight w:val="none"/>
        </w:rPr>
        <w:t>3.2.1 病历信息视图</w:t>
      </w:r>
    </w:p>
    <w:p w14:paraId="711B37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支持按照患者的门诊、住院就诊时序，逐个展示单个就诊时序下的相关病历文书记录，如入院记录、出院小结等，支持提供原始文书内容查看，并支持展示病历相关的后结构化数据。</w:t>
      </w:r>
    </w:p>
    <w:p w14:paraId="49633E77">
      <w:pPr>
        <w:pStyle w:val="7"/>
        <w:spacing w:line="360" w:lineRule="auto"/>
        <w:rPr>
          <w:color w:val="auto"/>
          <w:highlight w:val="none"/>
        </w:rPr>
      </w:pPr>
      <w:r>
        <w:rPr>
          <w:rFonts w:hint="eastAsia"/>
          <w:color w:val="auto"/>
          <w:highlight w:val="none"/>
        </w:rPr>
        <w:t>3.2.2 医嘱信息视图</w:t>
      </w:r>
    </w:p>
    <w:p w14:paraId="6AE1D9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支持按照患者的门诊、住院就诊时序，逐个展示单个就诊时序下的所有患者的医嘱信息，包含药品（西药、中草药）、治疗、护理、耗材等在内，支持按医嘱类型进行筛选查看。</w:t>
      </w:r>
    </w:p>
    <w:p w14:paraId="29478889">
      <w:pPr>
        <w:pStyle w:val="7"/>
        <w:spacing w:line="360" w:lineRule="auto"/>
        <w:rPr>
          <w:color w:val="auto"/>
          <w:highlight w:val="none"/>
        </w:rPr>
      </w:pPr>
      <w:r>
        <w:rPr>
          <w:rFonts w:hint="eastAsia"/>
          <w:color w:val="auto"/>
          <w:highlight w:val="none"/>
        </w:rPr>
        <w:t>3.2.3 检验信息视图</w:t>
      </w:r>
    </w:p>
    <w:p w14:paraId="4FEED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支持按照患者的门诊、住院就诊时序，逐个展示单个就诊时序下的所有患者的检验项目，支持查看检验报告详情。</w:t>
      </w:r>
    </w:p>
    <w:p w14:paraId="19C27B6A">
      <w:pPr>
        <w:pStyle w:val="7"/>
        <w:spacing w:line="360" w:lineRule="auto"/>
        <w:rPr>
          <w:color w:val="auto"/>
          <w:highlight w:val="none"/>
        </w:rPr>
      </w:pPr>
      <w:r>
        <w:rPr>
          <w:rFonts w:hint="eastAsia"/>
          <w:color w:val="auto"/>
          <w:highlight w:val="none"/>
        </w:rPr>
        <w:t>3.2.4 检查信息视图</w:t>
      </w:r>
    </w:p>
    <w:p w14:paraId="7A5C1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支持按照患者的门诊、住院就诊时序，逐个展示单个就诊时序下的所有患者的检查项目，支持查看检查报告详情。</w:t>
      </w:r>
    </w:p>
    <w:p w14:paraId="3F18F0A6">
      <w:pPr>
        <w:pStyle w:val="7"/>
        <w:spacing w:line="360" w:lineRule="auto"/>
        <w:rPr>
          <w:color w:val="auto"/>
          <w:highlight w:val="none"/>
        </w:rPr>
      </w:pPr>
      <w:r>
        <w:rPr>
          <w:rFonts w:hint="eastAsia"/>
          <w:color w:val="auto"/>
          <w:highlight w:val="none"/>
        </w:rPr>
        <w:t>3.2.5 护理信息视图</w:t>
      </w:r>
    </w:p>
    <w:p w14:paraId="520C6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支持按照患者的门诊、住院就诊时序，逐个展示单个就诊时序下患者的血压情况、呼吸情况、体温情况、体重情况、脉搏情况等生命体征数据进行图表可视化展示。</w:t>
      </w:r>
    </w:p>
    <w:p w14:paraId="3042CD75">
      <w:pPr>
        <w:pStyle w:val="7"/>
        <w:spacing w:line="360" w:lineRule="auto"/>
        <w:rPr>
          <w:color w:val="auto"/>
          <w:highlight w:val="none"/>
        </w:rPr>
      </w:pPr>
      <w:r>
        <w:rPr>
          <w:rFonts w:hint="eastAsia"/>
          <w:color w:val="auto"/>
          <w:highlight w:val="none"/>
        </w:rPr>
        <w:t>3.2.6 手术信息视图</w:t>
      </w:r>
    </w:p>
    <w:p w14:paraId="6BBF5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支持按照患者的门诊、住院就诊时序，逐个展示单个就诊时序下患者的手术记录、手麻系统数据及术中监测数据。</w:t>
      </w:r>
    </w:p>
    <w:p w14:paraId="073EBFE8">
      <w:pPr>
        <w:pStyle w:val="7"/>
        <w:spacing w:line="360" w:lineRule="auto"/>
        <w:rPr>
          <w:color w:val="auto"/>
          <w:highlight w:val="none"/>
        </w:rPr>
      </w:pPr>
      <w:r>
        <w:rPr>
          <w:rFonts w:hint="eastAsia"/>
          <w:color w:val="auto"/>
          <w:highlight w:val="none"/>
        </w:rPr>
        <w:t>3.2.7 病理信息视图</w:t>
      </w:r>
    </w:p>
    <w:p w14:paraId="77D1D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支持按照患者的门诊、住院就诊时序，逐个展示单个就诊时序下患者的病理结果报告数据，内容包括报告单号、标本来源、病理诊断、免疫组化描述等。</w:t>
      </w:r>
    </w:p>
    <w:p w14:paraId="3E8613E3">
      <w:pPr>
        <w:pStyle w:val="7"/>
        <w:spacing w:line="360" w:lineRule="auto"/>
        <w:rPr>
          <w:color w:val="auto"/>
          <w:highlight w:val="none"/>
        </w:rPr>
      </w:pPr>
      <w:r>
        <w:rPr>
          <w:rFonts w:hint="eastAsia"/>
          <w:color w:val="auto"/>
          <w:highlight w:val="none"/>
        </w:rPr>
        <w:t>3.2.8 后结构化视图</w:t>
      </w:r>
    </w:p>
    <w:p w14:paraId="638FF7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支持按照患者的门诊、住院就诊时序，逐个展示单个就诊次序下的患者全量后结构化数据，支持后结构化数据溯源，可查看后结构化数据来源的具体病历或具体检查报告，并高亮显示对应具体原文句子。</w:t>
      </w:r>
    </w:p>
    <w:p w14:paraId="3406A271">
      <w:pPr>
        <w:pStyle w:val="7"/>
        <w:spacing w:line="360" w:lineRule="auto"/>
        <w:rPr>
          <w:color w:val="auto"/>
          <w:highlight w:val="none"/>
        </w:rPr>
      </w:pPr>
      <w:r>
        <w:rPr>
          <w:rFonts w:hint="eastAsia"/>
          <w:color w:val="auto"/>
          <w:highlight w:val="none"/>
        </w:rPr>
        <w:t>3.2.9 时间轴视图</w:t>
      </w:r>
    </w:p>
    <w:p w14:paraId="0F3446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将患者的所有门诊、住院就诊记录、检验记录、用药记录、检查记录、生命体征记录等数据内容按统一时间线进行可视化展示；</w:t>
      </w:r>
    </w:p>
    <w:p w14:paraId="27A17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用户可按时间进行筛选，支持用户鼠标移动到对应的时间线标识上自动显示该项标识的代表含义内容；</w:t>
      </w:r>
    </w:p>
    <w:p w14:paraId="3E274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诊疗时间轴标识会将该次患者的就诊类型、就诊科室、就诊时间、诊断、就诊医生等信息进行展示；</w:t>
      </w:r>
    </w:p>
    <w:p w14:paraId="016C8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检验时间轴标识会将检验项目名称、检验时间、具体数值等信息进行展示；</w:t>
      </w:r>
    </w:p>
    <w:p w14:paraId="2C631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用药数据时间轴标识会将医嘱类别、药品名称、规格、每次用量、频次、用法、开始用药时间和结束用药时间等信息进行展示；</w:t>
      </w:r>
    </w:p>
    <w:p w14:paraId="058CB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检查项目时间轴标识会将该项检测项目的名称、报告时间、影像所见、影像诊断/结论等信息进行展示；</w:t>
      </w:r>
    </w:p>
    <w:p w14:paraId="0BD62C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生命体征时间轴标识会将该患者的所有体征数据进行趋势图展示，用户鼠标移动上去可查看该标识下所记录的具体体征项目名称和数值，此外用户还可通过勾选的方式切换相应生命体征的趋势图展示；</w:t>
      </w:r>
    </w:p>
    <w:p w14:paraId="1D7696C6">
      <w:pPr>
        <w:spacing w:line="360" w:lineRule="auto"/>
        <w:ind w:firstLine="420" w:firstLineChars="200"/>
        <w:rPr>
          <w:rFonts w:ascii="宋体" w:hAnsi="宋体" w:cs="宋体"/>
          <w:color w:val="auto"/>
          <w:highlight w:val="none"/>
        </w:rPr>
      </w:pPr>
      <w:r>
        <w:rPr>
          <w:rFonts w:ascii="MS Gothic" w:hAnsi="MS Gothic" w:eastAsia="MS Gothic" w:cs="MS Gothic"/>
          <w:color w:val="auto"/>
          <w:kern w:val="0"/>
          <w:szCs w:val="21"/>
          <w:highlight w:val="none"/>
        </w:rPr>
        <w:t>✱</w:t>
      </w:r>
      <w:r>
        <w:rPr>
          <w:rFonts w:hint="eastAsia" w:ascii="宋体" w:hAnsi="宋体" w:cs="宋体"/>
          <w:color w:val="auto"/>
          <w:sz w:val="24"/>
          <w:highlight w:val="none"/>
        </w:rPr>
        <w:t>用户可对展示在时间轴上的检验项目、检查项目、用药数据和生命体征内容进行配置，实现个性化患者Timeline视图展示，帮助临床科研人员查看自身所关心的指标项目内容，需提供系统功能截图证明</w:t>
      </w:r>
      <w:r>
        <w:rPr>
          <w:rFonts w:hint="eastAsia" w:ascii="宋体" w:hAnsi="宋体" w:cs="宋体"/>
          <w:color w:val="auto"/>
          <w:highlight w:val="none"/>
        </w:rPr>
        <w:t>。</w:t>
      </w:r>
    </w:p>
    <w:p w14:paraId="158101E1">
      <w:pPr>
        <w:pStyle w:val="6"/>
        <w:spacing w:line="360" w:lineRule="auto"/>
        <w:rPr>
          <w:color w:val="auto"/>
          <w:highlight w:val="none"/>
        </w:rPr>
      </w:pPr>
      <w:r>
        <w:rPr>
          <w:rFonts w:hint="eastAsia"/>
          <w:color w:val="auto"/>
          <w:highlight w:val="none"/>
        </w:rPr>
        <w:t>3.3 科研队列管理</w:t>
      </w:r>
    </w:p>
    <w:p w14:paraId="2B0149F9">
      <w:pPr>
        <w:pStyle w:val="7"/>
        <w:spacing w:line="360" w:lineRule="auto"/>
        <w:rPr>
          <w:color w:val="auto"/>
          <w:highlight w:val="none"/>
        </w:rPr>
      </w:pPr>
      <w:r>
        <w:rPr>
          <w:rFonts w:hint="eastAsia"/>
          <w:color w:val="auto"/>
          <w:highlight w:val="none"/>
        </w:rPr>
        <w:t>3.3.1 队列管理</w:t>
      </w:r>
    </w:p>
    <w:p w14:paraId="65E16E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科研人员可通过创建符合自己科研需求方向的科研队列并进行同一管理，系统支持以卡片或列表的形式对所有队列进行集中展示，展示的内容包括队列名称、纳入病例数、创建人和创建时间；</w:t>
      </w:r>
    </w:p>
    <w:p w14:paraId="3ABB2B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用户可对自己创建的队列的状态进行维护，当队列处于结题状态时，项目中的任何信息都不可修改，任何操作都不可进行，所有消息都不再通知；</w:t>
      </w:r>
    </w:p>
    <w:p w14:paraId="15D5A1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支持在同一项目中创建多个队列，并支持创建多个子队列；</w:t>
      </w:r>
    </w:p>
    <w:p w14:paraId="1B81A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支持队列切换查看：归属同一项目下的不同分类队列的研究人员可以在查看时进行快捷队列切换；</w:t>
      </w:r>
    </w:p>
    <w:p w14:paraId="0E5A37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支持队列权限配置，队列的创建者及更高权限的用户可以对现有科研队列的功能操作权限进行分配与管理；</w:t>
      </w:r>
    </w:p>
    <w:p w14:paraId="5A6B53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具备相应权限的用户可以对队列视图中的队列进行删除操作；</w:t>
      </w:r>
    </w:p>
    <w:p w14:paraId="31B606C0">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用户可通过创建时间、队列名称和创建人进行队列查找操作。</w:t>
      </w:r>
    </w:p>
    <w:p w14:paraId="4156E474">
      <w:pPr>
        <w:pStyle w:val="7"/>
        <w:spacing w:line="360" w:lineRule="auto"/>
        <w:rPr>
          <w:color w:val="auto"/>
          <w:highlight w:val="none"/>
        </w:rPr>
      </w:pPr>
      <w:r>
        <w:rPr>
          <w:rFonts w:hint="eastAsia"/>
          <w:color w:val="auto"/>
          <w:highlight w:val="none"/>
        </w:rPr>
        <w:t>3.3.2 队列病例管理</w:t>
      </w:r>
    </w:p>
    <w:p w14:paraId="271EA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支持按队列的形式展示该队列下的全量病例数据，展示的格式与检索中心保持一致，同时用户可在此页面中对病例进行打标签、查看个体全息、删除病例等操作；</w:t>
      </w:r>
    </w:p>
    <w:p w14:paraId="5A2ED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支持对队列中的患者数据进行人工补录操作。</w:t>
      </w:r>
    </w:p>
    <w:p w14:paraId="24332AE3">
      <w:pPr>
        <w:pStyle w:val="7"/>
        <w:spacing w:line="360" w:lineRule="auto"/>
        <w:rPr>
          <w:color w:val="auto"/>
          <w:highlight w:val="none"/>
        </w:rPr>
      </w:pPr>
      <w:r>
        <w:rPr>
          <w:rFonts w:hint="eastAsia"/>
          <w:color w:val="auto"/>
          <w:highlight w:val="none"/>
        </w:rPr>
        <w:t>3.3.3 队列信息管理</w:t>
      </w:r>
    </w:p>
    <w:p w14:paraId="4A7BD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用户在此模块中可以查看所有队列情况，并支持对队列基本信息、科研子队列进行维护操作，方便管理人员开展相应追溯事宜；</w:t>
      </w:r>
    </w:p>
    <w:p w14:paraId="6EE984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支持用户对队列的基本信息进行维护，内容包括队列名称和队列概况描述在内。</w:t>
      </w:r>
    </w:p>
    <w:p w14:paraId="441667D1">
      <w:pPr>
        <w:pStyle w:val="7"/>
        <w:spacing w:line="360" w:lineRule="auto"/>
        <w:rPr>
          <w:color w:val="auto"/>
          <w:highlight w:val="none"/>
        </w:rPr>
      </w:pPr>
      <w:r>
        <w:rPr>
          <w:rFonts w:hint="eastAsia"/>
          <w:color w:val="auto"/>
          <w:highlight w:val="none"/>
        </w:rPr>
        <w:t>3.3.4 队列成员管理</w:t>
      </w:r>
    </w:p>
    <w:p w14:paraId="0AA992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队列管理员可对科研队列的成员进行统一管理，包括添加新成员、编辑成员信息、删除成员、设置成员所属科研队列、设置成员角色等操作。</w:t>
      </w:r>
    </w:p>
    <w:p w14:paraId="411A0D6F">
      <w:pPr>
        <w:pStyle w:val="7"/>
        <w:spacing w:line="360" w:lineRule="auto"/>
        <w:rPr>
          <w:color w:val="auto"/>
          <w:highlight w:val="none"/>
        </w:rPr>
      </w:pPr>
      <w:r>
        <w:rPr>
          <w:rFonts w:hint="eastAsia"/>
          <w:color w:val="auto"/>
          <w:highlight w:val="none"/>
        </w:rPr>
        <w:t>3.3.5 队列角色管理</w:t>
      </w:r>
    </w:p>
    <w:p w14:paraId="4852F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具备权限的管理员用户可对科研队列中的功能权限进行设置，自定义功能对应的用户角色并保存；</w:t>
      </w:r>
    </w:p>
    <w:p w14:paraId="53F6C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具备权限的管理员用户可对用户角色的数据权限进行设置，实现用户角色与科研队列之间的关联与管理。</w:t>
      </w:r>
    </w:p>
    <w:p w14:paraId="18111731">
      <w:pPr>
        <w:pStyle w:val="7"/>
        <w:spacing w:line="360" w:lineRule="auto"/>
        <w:rPr>
          <w:color w:val="auto"/>
          <w:highlight w:val="none"/>
        </w:rPr>
      </w:pPr>
      <w:r>
        <w:rPr>
          <w:rFonts w:hint="eastAsia"/>
          <w:color w:val="auto"/>
          <w:highlight w:val="none"/>
        </w:rPr>
        <w:t>3.3.6 队列文件管理</w:t>
      </w:r>
    </w:p>
    <w:p w14:paraId="5FB20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队列成员可对队列的各类文件资料进行统一列表管理，支持查看、上传、下载和删除文件资料等操作，上传的文件格式支持PDF、JPEG、PNG常见文件格式在内。</w:t>
      </w:r>
    </w:p>
    <w:p w14:paraId="7025A88E">
      <w:pPr>
        <w:pStyle w:val="7"/>
        <w:spacing w:line="360" w:lineRule="auto"/>
        <w:rPr>
          <w:color w:val="auto"/>
          <w:highlight w:val="none"/>
        </w:rPr>
      </w:pPr>
      <w:r>
        <w:rPr>
          <w:rFonts w:hint="eastAsia"/>
          <w:color w:val="auto"/>
          <w:highlight w:val="none"/>
        </w:rPr>
        <w:t>3.3.7 队列入组管理</w:t>
      </w:r>
    </w:p>
    <w:p w14:paraId="0277F5B9">
      <w:pPr>
        <w:spacing w:line="360" w:lineRule="auto"/>
        <w:ind w:firstLine="420" w:firstLineChars="200"/>
        <w:rPr>
          <w:rFonts w:ascii="宋体" w:hAnsi="宋体" w:cs="宋体"/>
          <w:color w:val="auto"/>
          <w:sz w:val="24"/>
          <w:highlight w:val="none"/>
        </w:rPr>
      </w:pPr>
      <w:r>
        <w:rPr>
          <w:rFonts w:ascii="MS Gothic" w:hAnsi="MS Gothic" w:eastAsia="MS Gothic" w:cs="MS Gothic"/>
          <w:color w:val="auto"/>
          <w:kern w:val="0"/>
          <w:szCs w:val="21"/>
          <w:highlight w:val="none"/>
        </w:rPr>
        <w:t>✱</w:t>
      </w:r>
      <w:r>
        <w:rPr>
          <w:rFonts w:hint="eastAsia" w:ascii="宋体" w:hAnsi="宋体" w:cs="宋体"/>
          <w:color w:val="auto"/>
          <w:sz w:val="24"/>
          <w:highlight w:val="none"/>
        </w:rPr>
        <w:t>支持设置条件自动入组：研究人员可通过条件树设置入组条件，有增量数据时符合条件的患者将会自动入组，并且已入组的患者数据有增量数据时也会同步更新，需提供系统功能截图证明；</w:t>
      </w:r>
    </w:p>
    <w:p w14:paraId="26051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支持查看历史入组条件：研究人员可查看历次入组条件，并可一键引用过完历史条件进行病例检索，并可通过历史入组记录批量删除当时入组的病例数据。</w:t>
      </w:r>
    </w:p>
    <w:p w14:paraId="45E3E86E">
      <w:pPr>
        <w:pStyle w:val="7"/>
        <w:spacing w:line="360" w:lineRule="auto"/>
        <w:rPr>
          <w:color w:val="auto"/>
          <w:highlight w:val="none"/>
        </w:rPr>
      </w:pPr>
      <w:r>
        <w:rPr>
          <w:rFonts w:hint="eastAsia"/>
          <w:color w:val="auto"/>
          <w:highlight w:val="none"/>
        </w:rPr>
        <w:t>3.3.8 队列标签管理</w:t>
      </w:r>
    </w:p>
    <w:p w14:paraId="19B37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支持维护队列标签，标签分为通用标签和私人标签，具备该队列研究人员角色的用户可以对标签进行自定义设置，保存为私人标签并可将私人标签转换成通用标签，通用标签将不支持回退私人标签； </w:t>
      </w:r>
    </w:p>
    <w:p w14:paraId="23260A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拥有同一标签的患者将默认进行关联，在队列级的检索、删除和数据导出时，可以直接通过患者标签进行操作。</w:t>
      </w:r>
    </w:p>
    <w:p w14:paraId="6085DD8E">
      <w:pPr>
        <w:pStyle w:val="6"/>
        <w:spacing w:line="360" w:lineRule="auto"/>
        <w:rPr>
          <w:color w:val="auto"/>
          <w:highlight w:val="none"/>
        </w:rPr>
      </w:pPr>
      <w:r>
        <w:rPr>
          <w:rFonts w:hint="eastAsia"/>
          <w:color w:val="auto"/>
          <w:highlight w:val="none"/>
        </w:rPr>
        <w:t>3.4 科研随访管理</w:t>
      </w:r>
    </w:p>
    <w:p w14:paraId="57615F08">
      <w:pPr>
        <w:pStyle w:val="7"/>
        <w:spacing w:line="360" w:lineRule="auto"/>
        <w:rPr>
          <w:color w:val="auto"/>
          <w:highlight w:val="none"/>
        </w:rPr>
      </w:pPr>
      <w:r>
        <w:rPr>
          <w:rFonts w:hint="eastAsia"/>
          <w:color w:val="auto"/>
          <w:highlight w:val="none"/>
        </w:rPr>
        <w:t>3.4.1 随访项目管理</w:t>
      </w:r>
    </w:p>
    <w:p w14:paraId="3A9C6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支持创建新的随访项目，支持对具有管理权限的随访项目进行管理，包括修改名称、删除项目、终止、结题等操作；</w:t>
      </w:r>
    </w:p>
    <w:p w14:paraId="16CD4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支持根据随访为项目内不同队列生成入组二维码，患者可通过扫描二维码进入该随访队列；</w:t>
      </w:r>
    </w:p>
    <w:p w14:paraId="7D75BB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支持对项目的课题方案、课题统计信息的录入，支持课题相关文档的上传/搜索/预览/下载/删除；</w:t>
      </w:r>
    </w:p>
    <w:p w14:paraId="4244D4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支持项目成员邀请和删除；支持对项目成员进行功能权限配置；</w:t>
      </w:r>
    </w:p>
    <w:p w14:paraId="11500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支持对项目数据下载的审批流程、审批人员进行设置；</w:t>
      </w:r>
    </w:p>
    <w:p w14:paraId="375D1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支持对项目逾期、失访的提醒周期进行设置；</w:t>
      </w:r>
    </w:p>
    <w:p w14:paraId="70CE90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支持对项目待办如我的申请信息、待审批申请等信息进行查看或处理；</w:t>
      </w:r>
    </w:p>
    <w:p w14:paraId="62FD5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支持对项目内的操作记录进行查询和导出。</w:t>
      </w:r>
    </w:p>
    <w:p w14:paraId="1679C128">
      <w:pPr>
        <w:pStyle w:val="7"/>
        <w:spacing w:line="360" w:lineRule="auto"/>
        <w:rPr>
          <w:color w:val="auto"/>
          <w:highlight w:val="none"/>
        </w:rPr>
      </w:pPr>
      <w:r>
        <w:rPr>
          <w:rFonts w:hint="eastAsia"/>
          <w:color w:val="auto"/>
          <w:highlight w:val="none"/>
        </w:rPr>
        <w:t>3.4.2 随访队列管理</w:t>
      </w:r>
    </w:p>
    <w:p w14:paraId="13157E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支持在项目队列之外创建二级队列；</w:t>
      </w:r>
    </w:p>
    <w:p w14:paraId="0E319C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支持邀请项目成员进入队列，不邀请成员时仅自己可见；支持对队列进行重命名、审批流程和成员设置；</w:t>
      </w:r>
    </w:p>
    <w:p w14:paraId="17EE39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支持为队列添加队列任务，患者入组队列后自动绑定队列任务；</w:t>
      </w:r>
    </w:p>
    <w:p w14:paraId="2DDA8F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支持为队列设置智能入组条件，与专病数据库和区域医疗数据资源库进行对接，自动抓取两大数据域内符合条件的新增患者到项目内，供医生选择入组；</w:t>
      </w:r>
    </w:p>
    <w:p w14:paraId="164409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支持查看队列内的队列任务和患者任务；</w:t>
      </w:r>
    </w:p>
    <w:p w14:paraId="6F6D0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支持对未产生随访数据的队列和患者进行删除。</w:t>
      </w:r>
    </w:p>
    <w:p w14:paraId="5C957449">
      <w:pPr>
        <w:pStyle w:val="7"/>
        <w:spacing w:line="360" w:lineRule="auto"/>
        <w:rPr>
          <w:color w:val="auto"/>
          <w:highlight w:val="none"/>
        </w:rPr>
      </w:pPr>
      <w:r>
        <w:rPr>
          <w:rFonts w:hint="eastAsia"/>
          <w:color w:val="auto"/>
          <w:highlight w:val="none"/>
        </w:rPr>
        <w:t>3.4.3 随访患者管理</w:t>
      </w:r>
    </w:p>
    <w:p w14:paraId="44392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支持患者扫码入组或单个患者人工录入；</w:t>
      </w:r>
    </w:p>
    <w:p w14:paraId="23A31A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支持为单/多个患者添加随访任务，支持选择手动启动、定期启动对任务进行启动；</w:t>
      </w:r>
    </w:p>
    <w:p w14:paraId="05FA2C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支持手工录入患者信息，支持以excel模版形式批量导入患者信息；</w:t>
      </w:r>
    </w:p>
    <w:p w14:paraId="39E57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支持在随访患者全息页查看患者基本信息和全部随访任务信息，支持以时间轴形式展示随访任务内容和进度。</w:t>
      </w:r>
    </w:p>
    <w:p w14:paraId="0972E4DC">
      <w:pPr>
        <w:pStyle w:val="7"/>
        <w:spacing w:line="360" w:lineRule="auto"/>
        <w:rPr>
          <w:color w:val="auto"/>
          <w:highlight w:val="none"/>
        </w:rPr>
      </w:pPr>
      <w:r>
        <w:rPr>
          <w:rFonts w:hint="eastAsia"/>
          <w:color w:val="auto"/>
          <w:highlight w:val="none"/>
        </w:rPr>
        <w:t>3.4.4 随访任务管理</w:t>
      </w:r>
    </w:p>
    <w:p w14:paraId="28CFF4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支持创建两种类型的随访任务（患者随访任务和队列随访任务），支持对任务节点和内容进行增删，支持为任务内患者选择统一的启动方式，如手动启动、择期启动等；</w:t>
      </w:r>
    </w:p>
    <w:p w14:paraId="73BCF5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支持对随访任务进行暂停、终止和重新运行等操作；</w:t>
      </w:r>
    </w:p>
    <w:p w14:paraId="54B1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支持通过任务状态管理统一管理任务内的患者随访状态；</w:t>
      </w:r>
    </w:p>
    <w:p w14:paraId="2DDA5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支持查看患者各次随访节点的问卷完成状态。</w:t>
      </w:r>
    </w:p>
    <w:p w14:paraId="6AF7C2D8">
      <w:pPr>
        <w:pStyle w:val="7"/>
        <w:spacing w:line="360" w:lineRule="auto"/>
        <w:rPr>
          <w:color w:val="auto"/>
          <w:highlight w:val="none"/>
        </w:rPr>
      </w:pPr>
      <w:r>
        <w:rPr>
          <w:rFonts w:hint="eastAsia"/>
          <w:color w:val="auto"/>
          <w:highlight w:val="none"/>
        </w:rPr>
        <w:t>3.4.5 随访进度管理</w:t>
      </w:r>
    </w:p>
    <w:p w14:paraId="78E8FC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支持以报表形式汇总项目内全部任务的随访进度，支持对各种状态和节点下的患者进行统计和展示；</w:t>
      </w:r>
    </w:p>
    <w:p w14:paraId="5A3BA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支持对不同随访状态下的患者进行启动、终止、暂停、标为失访等操作；</w:t>
      </w:r>
    </w:p>
    <w:p w14:paraId="3FCE41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支持将节点逾期、即将失访的患者提醒给医生，支持对患者进行失访标记；</w:t>
      </w:r>
    </w:p>
    <w:p w14:paraId="64322B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支持以不同颜色对患者的节点完成情况进行区分，支持查看患者未完成问卷；</w:t>
      </w:r>
    </w:p>
    <w:p w14:paraId="75CE2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支持查看患者下期随访时间，支持筛选今日、三天内、一周内、一月内随访的患者。</w:t>
      </w:r>
    </w:p>
    <w:p w14:paraId="04C00BD7">
      <w:pPr>
        <w:pStyle w:val="7"/>
        <w:spacing w:line="360" w:lineRule="auto"/>
        <w:rPr>
          <w:color w:val="auto"/>
          <w:highlight w:val="none"/>
        </w:rPr>
      </w:pPr>
      <w:r>
        <w:rPr>
          <w:rFonts w:hint="eastAsia"/>
          <w:color w:val="auto"/>
          <w:highlight w:val="none"/>
        </w:rPr>
        <w:t>3.4.6 随访数据全览</w:t>
      </w:r>
    </w:p>
    <w:p w14:paraId="5C582E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支持以结构化表格形式储存随访数据，支持展开全览单张问卷内全部患者提交的数据，支持多种题型数据的结构化展示，如单选题/多选题/填空题/表格题/卡尺题等；</w:t>
      </w:r>
    </w:p>
    <w:p w14:paraId="331BE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支持对问卷数据进行修改和审核；</w:t>
      </w:r>
    </w:p>
    <w:p w14:paraId="3EF63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支持在通过授权审批后，开展随访数据的下载。</w:t>
      </w:r>
    </w:p>
    <w:p w14:paraId="51F85A6A">
      <w:pPr>
        <w:pStyle w:val="7"/>
        <w:spacing w:line="360" w:lineRule="auto"/>
        <w:rPr>
          <w:color w:val="auto"/>
          <w:highlight w:val="none"/>
        </w:rPr>
      </w:pPr>
      <w:r>
        <w:rPr>
          <w:rFonts w:hint="eastAsia"/>
          <w:color w:val="auto"/>
          <w:highlight w:val="none"/>
        </w:rPr>
        <w:t>3.4.7 随访数据审阅</w:t>
      </w:r>
    </w:p>
    <w:p w14:paraId="11926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支持在随访过程中同步查看问卷数据的选项人数分布情况，支持对各选项下的患者进行下钻探查；</w:t>
      </w:r>
    </w:p>
    <w:p w14:paraId="415EB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支持对同一随访任务、同一队列、同一节点、同一问卷、同一题目下的连续型数据进行离群值探查，如存在离群值，则将会以红点的形式进行提醒，并支持以箱线图形式展示连续型变量类型数据，支持图表下钻；</w:t>
      </w:r>
    </w:p>
    <w:p w14:paraId="0757D6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支持对问卷内异常数据进行提醒，如“总分过高/过低、预警选项、数值范围超出”等类型数据。</w:t>
      </w:r>
    </w:p>
    <w:p w14:paraId="12A0C8B2">
      <w:pPr>
        <w:pStyle w:val="7"/>
        <w:spacing w:line="360" w:lineRule="auto"/>
        <w:rPr>
          <w:color w:val="auto"/>
          <w:highlight w:val="none"/>
        </w:rPr>
      </w:pPr>
      <w:r>
        <w:rPr>
          <w:rFonts w:hint="eastAsia"/>
          <w:color w:val="auto"/>
          <w:highlight w:val="none"/>
        </w:rPr>
        <w:t>3.4.8 问卷模板库</w:t>
      </w:r>
    </w:p>
    <w:p w14:paraId="40ABE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支持对个人问卷进行增删改查、预览、重命名等操作；</w:t>
      </w:r>
    </w:p>
    <w:p w14:paraId="63A67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支持在问卷编辑器内添加各种题型模版，如单选题/填空题/多选题/表格题/卡尺题/总分等，支持对空白模版进行内容编辑；</w:t>
      </w:r>
    </w:p>
    <w:p w14:paraId="1EF8D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支持对题目进行风险设置，支持进行数值范围、高危选项的预警提醒设置，识别到相应的预警数据时，将推送给医生进行处理；</w:t>
      </w:r>
    </w:p>
    <w:p w14:paraId="015CFA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支持在题目间设置逻辑跳转顺序和规则，支持根据患者选择的选项进行不同的题目跳转或显示；</w:t>
      </w:r>
    </w:p>
    <w:p w14:paraId="02321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支持添加多个总分，支持对不同总分进行不同的逻辑计分设置、风险预警设置，支持对总分进行数值范围分级。</w:t>
      </w:r>
    </w:p>
    <w:p w14:paraId="296BC4D1">
      <w:pPr>
        <w:pStyle w:val="7"/>
        <w:spacing w:line="360" w:lineRule="auto"/>
        <w:rPr>
          <w:color w:val="auto"/>
          <w:highlight w:val="none"/>
        </w:rPr>
      </w:pPr>
      <w:r>
        <w:rPr>
          <w:rFonts w:hint="eastAsia"/>
          <w:color w:val="auto"/>
          <w:highlight w:val="none"/>
        </w:rPr>
        <w:t>3.4.9 计划模板库</w:t>
      </w:r>
    </w:p>
    <w:p w14:paraId="0B45C2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支持创建新的计划模版，支持循环计划、非循环等类型的计划创建；</w:t>
      </w:r>
    </w:p>
    <w:p w14:paraId="09B0C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支持对模版库内的进行删改查、重命名等操作；</w:t>
      </w:r>
    </w:p>
    <w:p w14:paraId="5DBA4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支持给计划设置不同的随访日期节点，可选择对应节点时间，支持给每个节点添加多个问卷，系统将在对应时间节点提醒用户进行随访数据录入；</w:t>
      </w:r>
    </w:p>
    <w:p w14:paraId="1A4F3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支持根据随访需求，开启或关闭知情同意书环节；</w:t>
      </w:r>
    </w:p>
    <w:p w14:paraId="5DB267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支持添加“返院随访事项”内容，根据患者节点时间告知医生该患者本次返院需要完成的事项。</w:t>
      </w:r>
    </w:p>
    <w:p w14:paraId="11E0AA80">
      <w:pPr>
        <w:pStyle w:val="6"/>
        <w:spacing w:line="360" w:lineRule="auto"/>
        <w:rPr>
          <w:color w:val="auto"/>
          <w:highlight w:val="none"/>
        </w:rPr>
      </w:pPr>
      <w:r>
        <w:rPr>
          <w:rFonts w:hint="eastAsia"/>
          <w:color w:val="auto"/>
          <w:highlight w:val="none"/>
        </w:rPr>
        <w:t>3.5 统计分析建模</w:t>
      </w:r>
    </w:p>
    <w:p w14:paraId="53948C1C">
      <w:pPr>
        <w:pStyle w:val="7"/>
        <w:spacing w:line="360" w:lineRule="auto"/>
        <w:rPr>
          <w:color w:val="auto"/>
          <w:highlight w:val="none"/>
        </w:rPr>
      </w:pPr>
      <w:r>
        <w:rPr>
          <w:rFonts w:hint="eastAsia"/>
          <w:color w:val="auto"/>
          <w:highlight w:val="none"/>
        </w:rPr>
        <w:t>3.5.1 智能数据清洗</w:t>
      </w:r>
    </w:p>
    <w:p w14:paraId="2AB232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支持设置变量信息：对变量的名称、变量类型、目标变量进行设定，对进入分析的所有变量进行定性操作；</w:t>
      </w:r>
    </w:p>
    <w:p w14:paraId="1AA623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支持修改异常记录：对连续型变量中非数值型的记录进行修改、删除操作，使所有记录转换为适用于统计建模分析的格式；</w:t>
      </w:r>
    </w:p>
    <w:p w14:paraId="16880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校正变量类型：对于数据的变量，系统会自动检测变量类型，若系统检测变量类型与用户之前设定的变量类型不一致，则需要对用户设定的变量类型进行修改或对具体的数据值进行批量修改，使系统检测变量类型与用户设定类型一致；</w:t>
      </w:r>
    </w:p>
    <w:p w14:paraId="33246C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支持处理极端分布变量：支持删除极端分布变量，避免对统计分析或建模结果产生负面影响；</w:t>
      </w:r>
    </w:p>
    <w:p w14:paraId="14A3A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处理异常值：实现对连续变量数据自动进行异常值检测，根据变量数据，使用统计学方法自动检测该变量的符合统计学分布的正常范围，并将变量中超出该范围的数值视为异常值，用户可选择修改异常值检测上下界或使用系统检测的异常值检测范围，并对检测的异常值进行删除，亦可选择某个变量不进行异常值检测，保留异常值数据；</w:t>
      </w:r>
    </w:p>
    <w:p w14:paraId="42F64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支持填补缺失值：通过一定的统计学方法对缺失值进行自动填补，以减少样本信息量的损失，优化统计分析、建模分析的结果；</w:t>
      </w:r>
    </w:p>
    <w:p w14:paraId="051C78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支持添加分析衍生变量：本模块提供变量组合计算，衍生新变量的功能，如BMI变量的衍生。</w:t>
      </w:r>
    </w:p>
    <w:p w14:paraId="2F30E4AD">
      <w:pPr>
        <w:pStyle w:val="7"/>
        <w:spacing w:line="360" w:lineRule="auto"/>
        <w:rPr>
          <w:color w:val="auto"/>
          <w:highlight w:val="none"/>
        </w:rPr>
      </w:pPr>
      <w:r>
        <w:rPr>
          <w:rFonts w:hint="eastAsia"/>
          <w:color w:val="auto"/>
          <w:highlight w:val="none"/>
        </w:rPr>
        <w:t>3.5.2 数据探查</w:t>
      </w:r>
    </w:p>
    <w:p w14:paraId="436F1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支持数据完整度探查：对数据文件中的各个字段数据的完整度进行探查，可通过图形和表格两种方式进行探查结果展示；</w:t>
      </w:r>
    </w:p>
    <w:p w14:paraId="25A102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单变量和双变量之间的数据探查：提供相应的关联分析图表并根据变量之间的关系类型进行统计检验，如变量关系类型为“二分类VS二分类”，则使用卡方检验进行变量间关联性分析，使用柱状图呈现变量间的关联性。</w:t>
      </w:r>
    </w:p>
    <w:p w14:paraId="12261A48">
      <w:pPr>
        <w:pStyle w:val="7"/>
        <w:spacing w:line="360" w:lineRule="auto"/>
        <w:rPr>
          <w:color w:val="auto"/>
          <w:highlight w:val="none"/>
        </w:rPr>
      </w:pPr>
      <w:r>
        <w:rPr>
          <w:rFonts w:hint="eastAsia"/>
          <w:color w:val="auto"/>
          <w:highlight w:val="none"/>
        </w:rPr>
        <w:t>3.5.3 回归算法</w:t>
      </w:r>
    </w:p>
    <w:p w14:paraId="02648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支持以下回归分析算法：一元线性回归、多元线性回归、COX回归、决策树回归、SVM回归、深度神经网络回归、随机森林回归、XGBoost回归、lgb回归，需提供系统功能截图证明。</w:t>
      </w:r>
    </w:p>
    <w:p w14:paraId="5C76FF08">
      <w:pPr>
        <w:pStyle w:val="7"/>
        <w:spacing w:line="360" w:lineRule="auto"/>
        <w:rPr>
          <w:color w:val="auto"/>
          <w:highlight w:val="none"/>
        </w:rPr>
      </w:pPr>
      <w:r>
        <w:rPr>
          <w:rFonts w:hint="eastAsia"/>
          <w:color w:val="auto"/>
          <w:highlight w:val="none"/>
        </w:rPr>
        <w:t>3.5.4 分类算法</w:t>
      </w:r>
    </w:p>
    <w:p w14:paraId="0BC081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支持以下分类统计算法：一元logistic回归、多元logistic回归、决策树分类、SVM分类、深度神经网络分类、随机森林分类、XGBoost分类、lgb分类，需提供系统功能截图证明。</w:t>
      </w:r>
    </w:p>
    <w:p w14:paraId="69EFA544">
      <w:pPr>
        <w:pStyle w:val="7"/>
        <w:spacing w:line="360" w:lineRule="auto"/>
        <w:rPr>
          <w:color w:val="auto"/>
          <w:highlight w:val="none"/>
        </w:rPr>
      </w:pPr>
      <w:r>
        <w:rPr>
          <w:rFonts w:hint="eastAsia"/>
          <w:color w:val="auto"/>
          <w:highlight w:val="none"/>
        </w:rPr>
        <w:t>3.5.5 基础统计算法</w:t>
      </w:r>
    </w:p>
    <w:p w14:paraId="2CF515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支持以下基础统计分析算法：一般线性相关系数、卡方检验、单因素方差分析、两独立样本T检验、两独立样本秩和检验、配对样本T检验、正态检验，需提供系统功能截图证明。</w:t>
      </w:r>
    </w:p>
    <w:p w14:paraId="57B80101">
      <w:pPr>
        <w:pStyle w:val="7"/>
        <w:spacing w:line="360" w:lineRule="auto"/>
        <w:rPr>
          <w:bCs w:val="0"/>
          <w:color w:val="auto"/>
          <w:highlight w:val="none"/>
        </w:rPr>
      </w:pPr>
      <w:r>
        <w:rPr>
          <w:rFonts w:hint="eastAsia"/>
          <w:color w:val="auto"/>
          <w:highlight w:val="none"/>
        </w:rPr>
        <w:t>3.5.6 流程建模算法</w:t>
      </w:r>
    </w:p>
    <w:p w14:paraId="7A590E5F">
      <w:pPr>
        <w:spacing w:line="360" w:lineRule="auto"/>
        <w:ind w:firstLine="420" w:firstLineChars="200"/>
        <w:rPr>
          <w:rFonts w:ascii="宋体" w:hAnsi="宋体" w:cs="宋体"/>
          <w:color w:val="auto"/>
          <w:sz w:val="24"/>
          <w:highlight w:val="none"/>
        </w:rPr>
      </w:pPr>
      <w:r>
        <w:rPr>
          <w:rFonts w:ascii="MS Gothic" w:hAnsi="MS Gothic" w:eastAsia="MS Gothic" w:cs="MS Gothic"/>
          <w:color w:val="auto"/>
          <w:kern w:val="0"/>
          <w:szCs w:val="21"/>
          <w:highlight w:val="none"/>
        </w:rPr>
        <w:t>✱</w:t>
      </w:r>
      <w:r>
        <w:rPr>
          <w:rFonts w:hint="eastAsia" w:ascii="宋体" w:hAnsi="宋体" w:cs="宋体"/>
          <w:color w:val="auto"/>
          <w:sz w:val="24"/>
          <w:highlight w:val="none"/>
        </w:rPr>
        <w:t>支持以下建模流程：LR、SVM、GNB、RF、GBM、ANN、ADA，需提供系统功能截图证明；</w:t>
      </w:r>
    </w:p>
    <w:p w14:paraId="0A80C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用户可开展全流程建模分析，系统将自动对数据进行：①自变量与目标变量的单因素统计检验，其中连续变量使用T检验或Mann-Whitney U 检验，分类变量使用卡方检验，选择显著变量（P&lt;0.05）进入后续建模分析；②使用显著的变量集和目标变量数据按7:3进行训练集和测试集划分，并对连续变量进行标准差标准化处理；③使用RFECV算法对变量进一步筛选，选出使基线模型AUC最优的变量集；④使用训练集对用户选择的机器学习模型建模，并使用测试集对模型进行性能测试，并使用bootstrap方法对模型进行1000次测试；⑤最后建立SHAP解释器，SHAP将基于博弈论知识，实现各变量对模型预测结果的正负相关性及重要程度进行解释。</w:t>
      </w:r>
    </w:p>
    <w:p w14:paraId="047B59C6">
      <w:pPr>
        <w:pStyle w:val="6"/>
        <w:spacing w:line="360" w:lineRule="auto"/>
        <w:rPr>
          <w:color w:val="auto"/>
          <w:highlight w:val="none"/>
        </w:rPr>
      </w:pPr>
      <w:r>
        <w:rPr>
          <w:rFonts w:hint="eastAsia"/>
          <w:color w:val="auto"/>
          <w:highlight w:val="none"/>
        </w:rPr>
        <w:t>3.6 数据授权管理</w:t>
      </w:r>
    </w:p>
    <w:p w14:paraId="5FA164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支持对科研人员执行以下操作时进行授权管理，授权审批通过后才可执行相应操作：</w:t>
      </w:r>
    </w:p>
    <w:p w14:paraId="4828A2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1）对统计分析建模功能模块输出的统计图表进行下载或导出；</w:t>
      </w:r>
    </w:p>
    <w:p w14:paraId="56E5E2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2）对统计分析建模功能模块输出的PDF建模报告进行下载或导出；</w:t>
      </w:r>
    </w:p>
    <w:p w14:paraId="004E4C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3）在科研队列管理功能模块中导出xlsx/pdf格式的文件；</w:t>
      </w:r>
    </w:p>
    <w:p w14:paraId="5C8427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4）在科研队列管理功能模块中按数据项进行数据导出；</w:t>
      </w:r>
    </w:p>
    <w:p w14:paraId="425BFA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5）支持科研队列管理功能模块中进行原文导出：观测指标依次多行进行展示便于数据浏览与观察；</w:t>
      </w:r>
    </w:p>
    <w:p w14:paraId="6F84D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6）支持科研队列管理功能模块中按照医学事件进行数据导出；</w:t>
      </w:r>
    </w:p>
    <w:p w14:paraId="09AADC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7）支持科研队列管理功能模块中以固定表单样式进行数据导出；</w:t>
      </w:r>
    </w:p>
    <w:p w14:paraId="0B8793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8）支持科研队列管理功能模块中选定勾选患者或科研队列全部患者进行数据导出。</w:t>
      </w:r>
    </w:p>
    <w:p w14:paraId="7560FBD2">
      <w:pPr>
        <w:pStyle w:val="6"/>
        <w:spacing w:line="360" w:lineRule="auto"/>
        <w:rPr>
          <w:color w:val="auto"/>
          <w:highlight w:val="none"/>
        </w:rPr>
      </w:pPr>
      <w:r>
        <w:rPr>
          <w:rFonts w:hint="eastAsia"/>
          <w:color w:val="auto"/>
          <w:highlight w:val="none"/>
        </w:rPr>
        <w:t>3.7 数据概览展示</w:t>
      </w:r>
    </w:p>
    <w:p w14:paraId="10C59A01">
      <w:pPr>
        <w:pStyle w:val="7"/>
        <w:spacing w:line="360" w:lineRule="auto"/>
        <w:rPr>
          <w:color w:val="auto"/>
          <w:highlight w:val="none"/>
        </w:rPr>
      </w:pPr>
      <w:r>
        <w:rPr>
          <w:rFonts w:hint="eastAsia"/>
          <w:color w:val="auto"/>
          <w:highlight w:val="none"/>
        </w:rPr>
        <w:t>3.7.1 市级专病数据库概览</w:t>
      </w:r>
    </w:p>
    <w:p w14:paraId="058CB8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支持对市级专病数据库的数据情况进行概览展示，包括纳入患者总数、门诊人数、住院人数、门诊人次、住院人次、门诊/住院就诊人次趋势、就诊患者地域来源、性别占比、年龄分布基础数据统计图表在内；</w:t>
      </w:r>
    </w:p>
    <w:p w14:paraId="1DF62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支持对市级专病数据库底层数据归一的情况进行展示：通过桑基图的的方式对原始术语词和标准术语词进行映射关系可视化。</w:t>
      </w:r>
    </w:p>
    <w:p w14:paraId="6A802487">
      <w:pPr>
        <w:pStyle w:val="7"/>
        <w:spacing w:line="360" w:lineRule="auto"/>
        <w:rPr>
          <w:color w:val="auto"/>
          <w:highlight w:val="none"/>
        </w:rPr>
      </w:pPr>
      <w:r>
        <w:rPr>
          <w:rFonts w:hint="eastAsia"/>
          <w:color w:val="auto"/>
          <w:highlight w:val="none"/>
        </w:rPr>
        <w:t>3.7.2 区域医疗数据资源库概览</w:t>
      </w:r>
    </w:p>
    <w:p w14:paraId="2447D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区域医疗数据资源库的数据情况进行概览展示，包括纳入患者总数、门诊人数、住院人数、门诊人次、住院人次、门诊/住院就诊人次趋势、就诊患者地域来源、性别占比、年龄分布基础数据统计图表在内。</w:t>
      </w:r>
    </w:p>
    <w:p w14:paraId="20CD1FFE">
      <w:pPr>
        <w:pStyle w:val="5"/>
        <w:spacing w:line="360" w:lineRule="auto"/>
        <w:rPr>
          <w:color w:val="auto"/>
          <w:highlight w:val="none"/>
        </w:rPr>
      </w:pPr>
      <w:r>
        <w:rPr>
          <w:rFonts w:hint="eastAsia"/>
          <w:color w:val="auto"/>
          <w:highlight w:val="none"/>
        </w:rPr>
        <w:t>（四）区域医疗数据资产目录管理子系统</w:t>
      </w:r>
    </w:p>
    <w:p w14:paraId="090C8D2F">
      <w:pPr>
        <w:pStyle w:val="6"/>
        <w:spacing w:line="360" w:lineRule="auto"/>
        <w:rPr>
          <w:color w:val="auto"/>
          <w:highlight w:val="none"/>
        </w:rPr>
      </w:pPr>
      <w:r>
        <w:rPr>
          <w:rFonts w:hint="eastAsia"/>
          <w:color w:val="auto"/>
          <w:highlight w:val="none"/>
        </w:rPr>
        <w:t>4.1 区域资产概览</w:t>
      </w:r>
    </w:p>
    <w:p w14:paraId="6CA068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支持根据本次建设的市级专病数据库接入的数据内容，从疾病特色数据出发对下述内容进行图表概览展示：</w:t>
      </w:r>
    </w:p>
    <w:p w14:paraId="49521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1、肺恶性肿瘤：性别比，年龄层分层，TNM分期的人数，行手术的人数，放疗人数、位点，不同化疗周期人数比，五年生存率，肿瘤标记物；</w:t>
      </w:r>
    </w:p>
    <w:p w14:paraId="0E077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2、IgA肾病：性别比，年龄分层，肾穿刺人数、病理牛津分型、核心方，中成药；</w:t>
      </w:r>
    </w:p>
    <w:p w14:paraId="475C4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3、儿童特应性皮炎：年龄分层，性别比，过敏源分类，合并过敏性哮喘人数；</w:t>
      </w:r>
    </w:p>
    <w:p w14:paraId="0FCDC1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4、抑郁症：性别比，年龄层分层，抑郁量表填写人数、抑郁量表平均分数，不同药物治疗方案人数，不同行为治疗方案人数；</w:t>
      </w:r>
    </w:p>
    <w:p w14:paraId="543607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5、女性盆底疾病(尿失禁)：年龄分层、婚育史分层、盆底疾病亚分类计数、行手术分类、尿动力学检查核心指标分布情况、盆底肌力分类计数。</w:t>
      </w:r>
    </w:p>
    <w:p w14:paraId="422FAEA3">
      <w:pPr>
        <w:pStyle w:val="6"/>
        <w:spacing w:line="360" w:lineRule="auto"/>
        <w:rPr>
          <w:color w:val="auto"/>
          <w:highlight w:val="none"/>
        </w:rPr>
      </w:pPr>
      <w:r>
        <w:rPr>
          <w:rFonts w:hint="eastAsia"/>
          <w:color w:val="auto"/>
          <w:highlight w:val="none"/>
        </w:rPr>
        <w:t>4.2 数据资产目录</w:t>
      </w:r>
    </w:p>
    <w:p w14:paraId="13DCDD70">
      <w:pPr>
        <w:pStyle w:val="7"/>
        <w:spacing w:line="360" w:lineRule="auto"/>
        <w:rPr>
          <w:color w:val="auto"/>
          <w:highlight w:val="none"/>
        </w:rPr>
      </w:pPr>
      <w:r>
        <w:rPr>
          <w:rFonts w:hint="eastAsia"/>
          <w:color w:val="auto"/>
          <w:highlight w:val="none"/>
        </w:rPr>
        <w:t>4.2.1 原始数据资产目录</w:t>
      </w:r>
      <w:r>
        <w:rPr>
          <w:rFonts w:hint="eastAsia"/>
          <w:color w:val="auto"/>
          <w:highlight w:val="none"/>
        </w:rPr>
        <w:tab/>
      </w:r>
    </w:p>
    <w:p w14:paraId="64600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系统采集到的原生数据进行展示与管理功能，可展示目前系统对于全量数据采集的数据来源、来自哪个原生系统、数据的系统厂家是哪家、采集到的表与字段的数量、数据的时间跨度、采集数据总量等详细信息。</w:t>
      </w:r>
    </w:p>
    <w:p w14:paraId="07707905">
      <w:pPr>
        <w:pStyle w:val="7"/>
        <w:spacing w:line="360" w:lineRule="auto"/>
        <w:rPr>
          <w:color w:val="auto"/>
          <w:highlight w:val="none"/>
        </w:rPr>
      </w:pPr>
      <w:r>
        <w:rPr>
          <w:rFonts w:hint="eastAsia"/>
          <w:color w:val="auto"/>
          <w:highlight w:val="none"/>
        </w:rPr>
        <w:t>4.2.2 治理数据资产目录</w:t>
      </w:r>
      <w:r>
        <w:rPr>
          <w:rFonts w:hint="eastAsia"/>
          <w:color w:val="auto"/>
          <w:highlight w:val="none"/>
        </w:rPr>
        <w:tab/>
      </w:r>
    </w:p>
    <w:p w14:paraId="77FFF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支持可对治理后的数据资产进行统一的概况和详情描述，包括可展示目前治理数据来源系统、数据的治理的表与字段的数量、治理的时间跨度、治理数据的总量等详细信息；</w:t>
      </w:r>
    </w:p>
    <w:p w14:paraId="790FA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支持查看对治理后数据的单表字段的业务定义名称、以及与治理前原生数据资产映射关系。</w:t>
      </w:r>
    </w:p>
    <w:p w14:paraId="1F616251">
      <w:pPr>
        <w:pStyle w:val="7"/>
        <w:spacing w:line="360" w:lineRule="auto"/>
        <w:rPr>
          <w:color w:val="auto"/>
          <w:highlight w:val="none"/>
        </w:rPr>
      </w:pPr>
      <w:r>
        <w:rPr>
          <w:rFonts w:hint="eastAsia"/>
          <w:color w:val="auto"/>
          <w:highlight w:val="none"/>
        </w:rPr>
        <w:t>4.2.3 专病库数据资产目录</w:t>
      </w:r>
      <w:r>
        <w:rPr>
          <w:rFonts w:hint="eastAsia"/>
          <w:color w:val="auto"/>
          <w:highlight w:val="none"/>
        </w:rPr>
        <w:tab/>
      </w:r>
    </w:p>
    <w:p w14:paraId="57DA5B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支持对专病库数据资产进行统一的概况和详情描述，包括可展示各专题库数据的数据表与字段的数量、时间跨度、数据的总量等详细信息；</w:t>
      </w:r>
    </w:p>
    <w:p w14:paraId="59E07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支持查看专病库数据的单表字段的业务定义名称、以及与治理层或原生数据资产映射关系、字段目前完整度详细情况查看。</w:t>
      </w:r>
    </w:p>
    <w:p w14:paraId="500D5ED3">
      <w:pPr>
        <w:pStyle w:val="7"/>
        <w:spacing w:line="360" w:lineRule="auto"/>
        <w:rPr>
          <w:color w:val="auto"/>
          <w:highlight w:val="none"/>
        </w:rPr>
      </w:pPr>
      <w:r>
        <w:rPr>
          <w:rFonts w:hint="eastAsia"/>
          <w:color w:val="auto"/>
          <w:highlight w:val="none"/>
        </w:rPr>
        <w:t>4.2.4 专病数据集</w:t>
      </w:r>
      <w:r>
        <w:rPr>
          <w:rFonts w:hint="eastAsia"/>
          <w:color w:val="auto"/>
          <w:highlight w:val="none"/>
        </w:rPr>
        <w:tab/>
      </w:r>
    </w:p>
    <w:p w14:paraId="03C8E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支持查看专病库数据集；</w:t>
      </w:r>
    </w:p>
    <w:p w14:paraId="18100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支持查看专病库数据集历史版本记录。</w:t>
      </w:r>
    </w:p>
    <w:p w14:paraId="78CD84C3">
      <w:pPr>
        <w:pStyle w:val="6"/>
        <w:spacing w:line="360" w:lineRule="auto"/>
        <w:rPr>
          <w:color w:val="auto"/>
          <w:highlight w:val="none"/>
        </w:rPr>
      </w:pPr>
      <w:r>
        <w:rPr>
          <w:rFonts w:hint="eastAsia"/>
          <w:color w:val="auto"/>
          <w:highlight w:val="none"/>
        </w:rPr>
        <w:t>4.3 数据资产管理</w:t>
      </w:r>
    </w:p>
    <w:p w14:paraId="14189D45">
      <w:pPr>
        <w:pStyle w:val="7"/>
        <w:spacing w:line="360" w:lineRule="auto"/>
        <w:rPr>
          <w:color w:val="auto"/>
          <w:highlight w:val="none"/>
        </w:rPr>
      </w:pPr>
      <w:r>
        <w:rPr>
          <w:rFonts w:hint="eastAsia"/>
          <w:color w:val="auto"/>
          <w:highlight w:val="none"/>
        </w:rPr>
        <w:t>4.3.1 资产注册</w:t>
      </w:r>
      <w:r>
        <w:rPr>
          <w:rFonts w:hint="eastAsia"/>
          <w:color w:val="auto"/>
          <w:highlight w:val="none"/>
        </w:rPr>
        <w:tab/>
      </w:r>
    </w:p>
    <w:p w14:paraId="30CDAF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支持编辑数据元的基础信息，包括数据元的名称、描述、数据类型，所属分类，支持编辑数据元值域的表现形式和允许值；</w:t>
      </w:r>
    </w:p>
    <w:p w14:paraId="7DD56D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支持编辑数据元的治理信息，包括来源表和字段，治理方式；</w:t>
      </w:r>
    </w:p>
    <w:p w14:paraId="3C9C43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支持资产注册纳入审批流程，审批通过方可注册成功。</w:t>
      </w:r>
    </w:p>
    <w:p w14:paraId="0573C047">
      <w:pPr>
        <w:pStyle w:val="7"/>
        <w:spacing w:line="360" w:lineRule="auto"/>
        <w:rPr>
          <w:color w:val="auto"/>
          <w:highlight w:val="none"/>
        </w:rPr>
      </w:pPr>
      <w:r>
        <w:rPr>
          <w:rFonts w:hint="eastAsia"/>
          <w:color w:val="auto"/>
          <w:highlight w:val="none"/>
        </w:rPr>
        <w:t>4.3.2 资产变更</w:t>
      </w:r>
      <w:r>
        <w:rPr>
          <w:rFonts w:hint="eastAsia"/>
          <w:color w:val="auto"/>
          <w:highlight w:val="none"/>
        </w:rPr>
        <w:tab/>
      </w:r>
    </w:p>
    <w:p w14:paraId="1990FD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支持编辑资产信息，保存成功后自动生成新的版本记录；</w:t>
      </w:r>
    </w:p>
    <w:p w14:paraId="067D8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支持记录数据资产的变更历史，支持查看历史版本记录；</w:t>
      </w:r>
    </w:p>
    <w:p w14:paraId="523F99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支持资产变更纳入审批流程，审批通过方可变更成功。</w:t>
      </w:r>
    </w:p>
    <w:p w14:paraId="60B97104">
      <w:pPr>
        <w:pStyle w:val="7"/>
        <w:spacing w:line="360" w:lineRule="auto"/>
        <w:rPr>
          <w:color w:val="auto"/>
          <w:highlight w:val="none"/>
        </w:rPr>
      </w:pPr>
      <w:r>
        <w:rPr>
          <w:rFonts w:hint="eastAsia"/>
          <w:color w:val="auto"/>
          <w:highlight w:val="none"/>
        </w:rPr>
        <w:t>4.3.3 资产注销</w:t>
      </w:r>
      <w:r>
        <w:rPr>
          <w:rFonts w:hint="eastAsia"/>
          <w:color w:val="auto"/>
          <w:highlight w:val="none"/>
        </w:rPr>
        <w:tab/>
      </w:r>
    </w:p>
    <w:p w14:paraId="05DF9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支持删除资产信息，说明注销原因并提交注销申请；</w:t>
      </w:r>
    </w:p>
    <w:p w14:paraId="7C159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支持资产注销纳入审批流程，审批通过方可注销成功。</w:t>
      </w:r>
    </w:p>
    <w:p w14:paraId="74C1DAD7">
      <w:pPr>
        <w:pStyle w:val="7"/>
        <w:spacing w:line="360" w:lineRule="auto"/>
        <w:rPr>
          <w:color w:val="auto"/>
          <w:highlight w:val="none"/>
        </w:rPr>
      </w:pPr>
      <w:r>
        <w:rPr>
          <w:rFonts w:hint="eastAsia"/>
          <w:color w:val="auto"/>
          <w:highlight w:val="none"/>
        </w:rPr>
        <w:t>4.3.4 资产分类</w:t>
      </w:r>
      <w:r>
        <w:rPr>
          <w:rFonts w:hint="eastAsia"/>
          <w:color w:val="auto"/>
          <w:highlight w:val="none"/>
        </w:rPr>
        <w:tab/>
      </w:r>
    </w:p>
    <w:p w14:paraId="431CE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支持根据业务需求创建和管理分类标准，灵活地对数据资产进行分组和标记。</w:t>
      </w:r>
    </w:p>
    <w:p w14:paraId="2D5629CA">
      <w:pPr>
        <w:pStyle w:val="7"/>
        <w:spacing w:line="360" w:lineRule="auto"/>
        <w:rPr>
          <w:color w:val="auto"/>
          <w:highlight w:val="none"/>
        </w:rPr>
      </w:pPr>
      <w:r>
        <w:rPr>
          <w:rFonts w:hint="eastAsia"/>
          <w:color w:val="auto"/>
          <w:highlight w:val="none"/>
        </w:rPr>
        <w:t>4.3.5 资产权限</w:t>
      </w:r>
      <w:r>
        <w:rPr>
          <w:rFonts w:hint="eastAsia"/>
          <w:color w:val="auto"/>
          <w:highlight w:val="none"/>
        </w:rPr>
        <w:tab/>
      </w:r>
    </w:p>
    <w:p w14:paraId="74655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支持配置角色可访问控制的资产。</w:t>
      </w:r>
    </w:p>
    <w:p w14:paraId="7D47EBA3">
      <w:pPr>
        <w:pStyle w:val="6"/>
        <w:spacing w:line="360" w:lineRule="auto"/>
        <w:rPr>
          <w:color w:val="auto"/>
          <w:highlight w:val="none"/>
        </w:rPr>
      </w:pPr>
      <w:r>
        <w:rPr>
          <w:rFonts w:hint="eastAsia"/>
          <w:color w:val="auto"/>
          <w:highlight w:val="none"/>
        </w:rPr>
        <w:t>4.4 数据资产检索</w:t>
      </w:r>
    </w:p>
    <w:p w14:paraId="4A82E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支持模糊匹配搜索和搜索历史功能，支持多维度过滤搜索结果，帮助用户快速定位所需数据。</w:t>
      </w:r>
    </w:p>
    <w:p w14:paraId="72B54229">
      <w:pPr>
        <w:pStyle w:val="6"/>
        <w:spacing w:line="360" w:lineRule="auto"/>
        <w:rPr>
          <w:color w:val="auto"/>
          <w:highlight w:val="none"/>
        </w:rPr>
      </w:pPr>
      <w:r>
        <w:rPr>
          <w:rFonts w:hint="eastAsia"/>
          <w:color w:val="auto"/>
          <w:highlight w:val="none"/>
        </w:rPr>
        <w:t>4.5 数据贡献度</w:t>
      </w:r>
    </w:p>
    <w:p w14:paraId="7A1ED1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支持按照数据量进行统计：每家机构提供的数据条目数量，包括患者数、病例数等；</w:t>
      </w:r>
    </w:p>
    <w:p w14:paraId="7F6C7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支持按照数据质量进行统计：每家机构提供的数据标准化程度、完整性、有效性进行测算数据质量；</w:t>
      </w:r>
    </w:p>
    <w:p w14:paraId="44263D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支持按照数据使用频率进行统计：每家机构提供的数据被用户使用的次数，包括入组次数、导出次数；</w:t>
      </w:r>
    </w:p>
    <w:p w14:paraId="09362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支持按照数据稀缺性进行统计：每家机构提供的数据稀缺病例，包括罕见病病例等；</w:t>
      </w:r>
    </w:p>
    <w:p w14:paraId="53584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支持为每个贡献度指标设定权重。例如，数据量占30%，数据质量占40%，数据的使用频率占20%，数据的稀缺性占10%；</w:t>
      </w:r>
    </w:p>
    <w:p w14:paraId="2A503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支持根据设定的权重和贡献度指标，为每家机构进行贡献度评分；</w:t>
      </w:r>
    </w:p>
    <w:p w14:paraId="3F455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支持展示所有机构的贡献度总分和排名以及各项明细得分。</w:t>
      </w:r>
      <w:bookmarkEnd w:id="32"/>
    </w:p>
    <w:p w14:paraId="37BF353F">
      <w:pPr>
        <w:pStyle w:val="5"/>
        <w:spacing w:line="360" w:lineRule="auto"/>
        <w:rPr>
          <w:color w:val="auto"/>
          <w:highlight w:val="none"/>
        </w:rPr>
      </w:pPr>
      <w:r>
        <w:rPr>
          <w:rFonts w:hint="eastAsia"/>
          <w:color w:val="auto"/>
          <w:highlight w:val="none"/>
        </w:rPr>
        <w:t>（五）云资源服务租赁</w:t>
      </w:r>
    </w:p>
    <w:p w14:paraId="2DA9FBFC">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本项目中标单位须向符合杭州市政务云服务要求的云资源运营商租赁本项目所需的云资源服务（包括对应服务器的</w:t>
      </w:r>
      <w:r>
        <w:rPr>
          <w:rFonts w:ascii="宋体" w:hAnsi="宋体" w:cs="宋体"/>
          <w:color w:val="auto"/>
          <w:sz w:val="24"/>
          <w:highlight w:val="none"/>
        </w:rPr>
        <w:t>政务云操作系统</w:t>
      </w:r>
      <w:r>
        <w:rPr>
          <w:rFonts w:hint="eastAsia" w:ascii="宋体" w:hAnsi="宋体" w:cs="宋体"/>
          <w:color w:val="auto"/>
          <w:sz w:val="24"/>
          <w:highlight w:val="none"/>
        </w:rPr>
        <w:t>和</w:t>
      </w:r>
      <w:r>
        <w:rPr>
          <w:rFonts w:ascii="宋体" w:hAnsi="宋体" w:cs="宋体"/>
          <w:color w:val="auto"/>
          <w:sz w:val="24"/>
          <w:highlight w:val="none"/>
        </w:rPr>
        <w:t>数据库服务</w:t>
      </w:r>
      <w:r>
        <w:rPr>
          <w:rFonts w:hint="eastAsia" w:ascii="宋体" w:hAnsi="宋体" w:cs="宋体"/>
          <w:color w:val="auto"/>
          <w:sz w:val="24"/>
          <w:highlight w:val="none"/>
        </w:rPr>
        <w:t>），租赁周期为一年，租赁费用包含在项目总报价内，以满足系统正常运行。</w:t>
      </w:r>
    </w:p>
    <w:p w14:paraId="6D151918">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所需云资源清单如下：</w:t>
      </w:r>
    </w:p>
    <w:tbl>
      <w:tblPr>
        <w:tblStyle w:val="6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62"/>
        <w:gridCol w:w="1104"/>
        <w:gridCol w:w="1129"/>
        <w:gridCol w:w="1130"/>
        <w:gridCol w:w="1157"/>
      </w:tblGrid>
      <w:tr w14:paraId="310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vMerge w:val="restart"/>
            <w:shd w:val="clear" w:color="auto" w:fill="auto"/>
            <w:noWrap/>
            <w:vAlign w:val="center"/>
          </w:tcPr>
          <w:p w14:paraId="2B70050B">
            <w:pPr>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2662" w:type="dxa"/>
            <w:vMerge w:val="restart"/>
            <w:shd w:val="clear" w:color="auto" w:fill="auto"/>
            <w:vAlign w:val="center"/>
          </w:tcPr>
          <w:p w14:paraId="5550ED45">
            <w:pPr>
              <w:spacing w:line="360" w:lineRule="auto"/>
              <w:rPr>
                <w:rFonts w:ascii="宋体" w:hAnsi="宋体"/>
                <w:b/>
                <w:bCs/>
                <w:color w:val="auto"/>
                <w:sz w:val="24"/>
                <w:highlight w:val="none"/>
              </w:rPr>
            </w:pPr>
            <w:r>
              <w:rPr>
                <w:rFonts w:hint="eastAsia" w:ascii="宋体" w:hAnsi="宋体"/>
                <w:b/>
                <w:bCs/>
                <w:color w:val="auto"/>
                <w:sz w:val="24"/>
                <w:highlight w:val="none"/>
              </w:rPr>
              <w:t>服务器类型</w:t>
            </w:r>
          </w:p>
        </w:tc>
        <w:tc>
          <w:tcPr>
            <w:tcW w:w="4520" w:type="dxa"/>
            <w:gridSpan w:val="4"/>
            <w:shd w:val="clear" w:color="auto" w:fill="auto"/>
            <w:noWrap/>
            <w:vAlign w:val="center"/>
          </w:tcPr>
          <w:p w14:paraId="5824D947">
            <w:pPr>
              <w:spacing w:line="360" w:lineRule="auto"/>
              <w:jc w:val="center"/>
              <w:rPr>
                <w:rFonts w:ascii="宋体" w:hAnsi="宋体"/>
                <w:b/>
                <w:bCs/>
                <w:color w:val="auto"/>
                <w:sz w:val="24"/>
                <w:highlight w:val="none"/>
              </w:rPr>
            </w:pPr>
            <w:r>
              <w:rPr>
                <w:rFonts w:hint="eastAsia" w:ascii="宋体" w:hAnsi="宋体"/>
                <w:b/>
                <w:bCs/>
                <w:color w:val="auto"/>
                <w:sz w:val="24"/>
                <w:highlight w:val="none"/>
              </w:rPr>
              <w:t>主机信息</w:t>
            </w:r>
          </w:p>
        </w:tc>
      </w:tr>
      <w:tr w14:paraId="6FD1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vMerge w:val="continue"/>
            <w:shd w:val="clear" w:color="auto" w:fill="auto"/>
            <w:vAlign w:val="center"/>
          </w:tcPr>
          <w:p w14:paraId="108372B2">
            <w:pPr>
              <w:spacing w:line="360" w:lineRule="auto"/>
              <w:ind w:firstLine="480"/>
              <w:rPr>
                <w:rFonts w:ascii="宋体" w:hAnsi="宋体"/>
                <w:b/>
                <w:bCs/>
                <w:color w:val="auto"/>
                <w:sz w:val="24"/>
                <w:highlight w:val="none"/>
              </w:rPr>
            </w:pPr>
          </w:p>
        </w:tc>
        <w:tc>
          <w:tcPr>
            <w:tcW w:w="2662" w:type="dxa"/>
            <w:vMerge w:val="continue"/>
            <w:shd w:val="clear" w:color="auto" w:fill="auto"/>
            <w:vAlign w:val="center"/>
          </w:tcPr>
          <w:p w14:paraId="4A6C5ED6">
            <w:pPr>
              <w:spacing w:line="360" w:lineRule="auto"/>
              <w:ind w:firstLine="480"/>
              <w:rPr>
                <w:rFonts w:ascii="宋体" w:hAnsi="宋体"/>
                <w:b/>
                <w:bCs/>
                <w:color w:val="auto"/>
                <w:sz w:val="24"/>
                <w:highlight w:val="none"/>
              </w:rPr>
            </w:pPr>
          </w:p>
        </w:tc>
        <w:tc>
          <w:tcPr>
            <w:tcW w:w="1104" w:type="dxa"/>
            <w:shd w:val="clear" w:color="auto" w:fill="auto"/>
            <w:vAlign w:val="center"/>
          </w:tcPr>
          <w:p w14:paraId="7DFFB4F5">
            <w:pPr>
              <w:spacing w:line="360" w:lineRule="auto"/>
              <w:jc w:val="center"/>
              <w:rPr>
                <w:rFonts w:ascii="宋体" w:hAnsi="宋体"/>
                <w:b/>
                <w:bCs/>
                <w:color w:val="auto"/>
                <w:sz w:val="24"/>
                <w:highlight w:val="none"/>
              </w:rPr>
            </w:pPr>
            <w:r>
              <w:rPr>
                <w:rFonts w:hint="eastAsia" w:ascii="宋体" w:hAnsi="宋体"/>
                <w:b/>
                <w:bCs/>
                <w:color w:val="auto"/>
                <w:sz w:val="24"/>
                <w:highlight w:val="none"/>
              </w:rPr>
              <w:t>CPU</w:t>
            </w:r>
          </w:p>
          <w:p w14:paraId="25B115C4">
            <w:pPr>
              <w:spacing w:line="360" w:lineRule="auto"/>
              <w:jc w:val="center"/>
              <w:rPr>
                <w:rFonts w:ascii="宋体" w:hAnsi="宋体"/>
                <w:b/>
                <w:bCs/>
                <w:color w:val="auto"/>
                <w:sz w:val="24"/>
                <w:highlight w:val="none"/>
              </w:rPr>
            </w:pPr>
            <w:r>
              <w:rPr>
                <w:rFonts w:hint="eastAsia" w:ascii="宋体" w:hAnsi="宋体"/>
                <w:b/>
                <w:bCs/>
                <w:color w:val="auto"/>
                <w:sz w:val="24"/>
                <w:highlight w:val="none"/>
              </w:rPr>
              <w:t>(核)</w:t>
            </w:r>
          </w:p>
        </w:tc>
        <w:tc>
          <w:tcPr>
            <w:tcW w:w="1129" w:type="dxa"/>
            <w:shd w:val="clear" w:color="auto" w:fill="auto"/>
            <w:vAlign w:val="center"/>
          </w:tcPr>
          <w:p w14:paraId="192112FB">
            <w:pPr>
              <w:spacing w:line="360" w:lineRule="auto"/>
              <w:jc w:val="center"/>
              <w:rPr>
                <w:rFonts w:ascii="宋体" w:hAnsi="宋体"/>
                <w:b/>
                <w:bCs/>
                <w:color w:val="auto"/>
                <w:sz w:val="24"/>
                <w:highlight w:val="none"/>
              </w:rPr>
            </w:pPr>
            <w:r>
              <w:rPr>
                <w:rFonts w:hint="eastAsia" w:ascii="宋体" w:hAnsi="宋体"/>
                <w:b/>
                <w:bCs/>
                <w:color w:val="auto"/>
                <w:sz w:val="24"/>
                <w:highlight w:val="none"/>
              </w:rPr>
              <w:t>内存</w:t>
            </w:r>
          </w:p>
          <w:p w14:paraId="6C1B4FEA">
            <w:pPr>
              <w:spacing w:line="360" w:lineRule="auto"/>
              <w:jc w:val="center"/>
              <w:rPr>
                <w:rFonts w:ascii="宋体" w:hAnsi="宋体"/>
                <w:b/>
                <w:bCs/>
                <w:color w:val="auto"/>
                <w:sz w:val="24"/>
                <w:highlight w:val="none"/>
              </w:rPr>
            </w:pPr>
            <w:r>
              <w:rPr>
                <w:rFonts w:hint="eastAsia" w:ascii="宋体" w:hAnsi="宋体"/>
                <w:b/>
                <w:bCs/>
                <w:color w:val="auto"/>
                <w:sz w:val="24"/>
                <w:highlight w:val="none"/>
              </w:rPr>
              <w:t>(GB)</w:t>
            </w:r>
          </w:p>
        </w:tc>
        <w:tc>
          <w:tcPr>
            <w:tcW w:w="1130" w:type="dxa"/>
            <w:shd w:val="clear" w:color="auto" w:fill="auto"/>
            <w:vAlign w:val="center"/>
          </w:tcPr>
          <w:p w14:paraId="68F76E8B">
            <w:pPr>
              <w:spacing w:line="360" w:lineRule="auto"/>
              <w:jc w:val="center"/>
              <w:rPr>
                <w:rFonts w:ascii="宋体" w:hAnsi="宋体"/>
                <w:b/>
                <w:bCs/>
                <w:color w:val="auto"/>
                <w:sz w:val="24"/>
                <w:highlight w:val="none"/>
              </w:rPr>
            </w:pPr>
            <w:r>
              <w:rPr>
                <w:rFonts w:hint="eastAsia" w:ascii="宋体" w:hAnsi="宋体"/>
                <w:b/>
                <w:bCs/>
                <w:color w:val="auto"/>
                <w:sz w:val="24"/>
                <w:highlight w:val="none"/>
              </w:rPr>
              <w:t>系统盘</w:t>
            </w:r>
          </w:p>
          <w:p w14:paraId="349159C5">
            <w:pPr>
              <w:spacing w:line="360" w:lineRule="auto"/>
              <w:jc w:val="center"/>
              <w:rPr>
                <w:rFonts w:ascii="宋体" w:hAnsi="宋体"/>
                <w:b/>
                <w:bCs/>
                <w:color w:val="auto"/>
                <w:sz w:val="24"/>
                <w:highlight w:val="none"/>
              </w:rPr>
            </w:pPr>
            <w:r>
              <w:rPr>
                <w:rFonts w:hint="eastAsia" w:ascii="宋体" w:hAnsi="宋体"/>
                <w:b/>
                <w:bCs/>
                <w:color w:val="auto"/>
                <w:sz w:val="24"/>
                <w:highlight w:val="none"/>
              </w:rPr>
              <w:t>(GB)</w:t>
            </w:r>
          </w:p>
        </w:tc>
        <w:tc>
          <w:tcPr>
            <w:tcW w:w="1157" w:type="dxa"/>
            <w:shd w:val="clear" w:color="auto" w:fill="auto"/>
            <w:vAlign w:val="center"/>
          </w:tcPr>
          <w:p w14:paraId="5973CFEC">
            <w:pPr>
              <w:spacing w:line="360" w:lineRule="auto"/>
              <w:jc w:val="center"/>
              <w:rPr>
                <w:rFonts w:ascii="宋体" w:hAnsi="宋体"/>
                <w:b/>
                <w:bCs/>
                <w:color w:val="auto"/>
                <w:sz w:val="24"/>
                <w:highlight w:val="none"/>
              </w:rPr>
            </w:pPr>
            <w:r>
              <w:rPr>
                <w:rFonts w:hint="eastAsia" w:ascii="宋体" w:hAnsi="宋体"/>
                <w:b/>
                <w:bCs/>
                <w:color w:val="auto"/>
                <w:sz w:val="24"/>
                <w:highlight w:val="none"/>
              </w:rPr>
              <w:t>数据盘</w:t>
            </w:r>
          </w:p>
          <w:p w14:paraId="19DE54E6">
            <w:pPr>
              <w:spacing w:line="360" w:lineRule="auto"/>
              <w:jc w:val="center"/>
              <w:rPr>
                <w:rFonts w:ascii="宋体" w:hAnsi="宋体"/>
                <w:b/>
                <w:bCs/>
                <w:color w:val="auto"/>
                <w:sz w:val="24"/>
                <w:highlight w:val="none"/>
              </w:rPr>
            </w:pPr>
            <w:r>
              <w:rPr>
                <w:rFonts w:hint="eastAsia" w:ascii="宋体" w:hAnsi="宋体"/>
                <w:b/>
                <w:bCs/>
                <w:color w:val="auto"/>
                <w:sz w:val="24"/>
                <w:highlight w:val="none"/>
              </w:rPr>
              <w:t>(TB)</w:t>
            </w:r>
          </w:p>
        </w:tc>
      </w:tr>
      <w:tr w14:paraId="2494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vAlign w:val="center"/>
          </w:tcPr>
          <w:p w14:paraId="29E7CCCF">
            <w:pPr>
              <w:snapToGrid w:val="0"/>
              <w:spacing w:line="360" w:lineRule="auto"/>
              <w:rPr>
                <w:rFonts w:ascii="宋体" w:hAnsi="宋体"/>
                <w:color w:val="auto"/>
                <w:sz w:val="24"/>
                <w:highlight w:val="none"/>
              </w:rPr>
            </w:pPr>
            <w:r>
              <w:rPr>
                <w:rFonts w:hint="eastAsia" w:ascii="宋体" w:hAnsi="宋体"/>
                <w:color w:val="auto"/>
                <w:sz w:val="24"/>
                <w:highlight w:val="none"/>
              </w:rPr>
              <w:t>1</w:t>
            </w:r>
          </w:p>
        </w:tc>
        <w:tc>
          <w:tcPr>
            <w:tcW w:w="2662" w:type="dxa"/>
            <w:shd w:val="clear" w:color="auto" w:fill="auto"/>
            <w:vAlign w:val="center"/>
          </w:tcPr>
          <w:p w14:paraId="3C8E26F0">
            <w:pPr>
              <w:spacing w:line="360" w:lineRule="auto"/>
              <w:rPr>
                <w:rFonts w:ascii="宋体" w:hAnsi="宋体"/>
                <w:color w:val="auto"/>
                <w:sz w:val="24"/>
                <w:highlight w:val="none"/>
              </w:rPr>
            </w:pPr>
            <w:r>
              <w:rPr>
                <w:rFonts w:hint="eastAsia" w:ascii="宋体" w:hAnsi="宋体"/>
                <w:color w:val="auto"/>
                <w:sz w:val="24"/>
                <w:highlight w:val="none"/>
              </w:rPr>
              <w:t>数据备份服务器</w:t>
            </w:r>
          </w:p>
        </w:tc>
        <w:tc>
          <w:tcPr>
            <w:tcW w:w="1104" w:type="dxa"/>
            <w:shd w:val="clear" w:color="auto" w:fill="auto"/>
            <w:vAlign w:val="center"/>
          </w:tcPr>
          <w:p w14:paraId="1AF29481">
            <w:pPr>
              <w:spacing w:line="360" w:lineRule="auto"/>
              <w:rPr>
                <w:rFonts w:ascii="宋体" w:hAnsi="宋体"/>
                <w:color w:val="auto"/>
                <w:sz w:val="24"/>
                <w:highlight w:val="none"/>
              </w:rPr>
            </w:pPr>
            <w:r>
              <w:rPr>
                <w:rFonts w:hint="eastAsia" w:ascii="宋体" w:hAnsi="宋体"/>
                <w:color w:val="auto"/>
                <w:sz w:val="24"/>
                <w:highlight w:val="none"/>
              </w:rPr>
              <w:t>8</w:t>
            </w:r>
          </w:p>
        </w:tc>
        <w:tc>
          <w:tcPr>
            <w:tcW w:w="1129" w:type="dxa"/>
            <w:shd w:val="clear" w:color="auto" w:fill="auto"/>
            <w:vAlign w:val="center"/>
          </w:tcPr>
          <w:p w14:paraId="1186969B">
            <w:pPr>
              <w:spacing w:line="360" w:lineRule="auto"/>
              <w:rPr>
                <w:rFonts w:ascii="宋体" w:hAnsi="宋体"/>
                <w:color w:val="auto"/>
                <w:sz w:val="24"/>
                <w:highlight w:val="none"/>
              </w:rPr>
            </w:pPr>
            <w:r>
              <w:rPr>
                <w:rFonts w:hint="eastAsia" w:ascii="宋体" w:hAnsi="宋体"/>
                <w:color w:val="auto"/>
                <w:sz w:val="24"/>
                <w:highlight w:val="none"/>
              </w:rPr>
              <w:t>32</w:t>
            </w:r>
          </w:p>
        </w:tc>
        <w:tc>
          <w:tcPr>
            <w:tcW w:w="1130" w:type="dxa"/>
            <w:shd w:val="clear" w:color="auto" w:fill="auto"/>
            <w:vAlign w:val="center"/>
          </w:tcPr>
          <w:p w14:paraId="2851C891">
            <w:pPr>
              <w:spacing w:line="360" w:lineRule="auto"/>
              <w:rPr>
                <w:rFonts w:ascii="宋体" w:hAnsi="宋体"/>
                <w:color w:val="auto"/>
                <w:sz w:val="24"/>
                <w:highlight w:val="none"/>
              </w:rPr>
            </w:pPr>
            <w:r>
              <w:rPr>
                <w:rFonts w:hint="eastAsia" w:ascii="宋体" w:hAnsi="宋体"/>
                <w:color w:val="auto"/>
                <w:sz w:val="24"/>
                <w:highlight w:val="none"/>
              </w:rPr>
              <w:t>200</w:t>
            </w:r>
          </w:p>
        </w:tc>
        <w:tc>
          <w:tcPr>
            <w:tcW w:w="1157" w:type="dxa"/>
            <w:shd w:val="clear" w:color="auto" w:fill="auto"/>
            <w:vAlign w:val="center"/>
          </w:tcPr>
          <w:p w14:paraId="5DAED78A">
            <w:pPr>
              <w:spacing w:line="360" w:lineRule="auto"/>
              <w:rPr>
                <w:rFonts w:ascii="宋体" w:hAnsi="宋体"/>
                <w:color w:val="auto"/>
                <w:sz w:val="24"/>
                <w:highlight w:val="none"/>
              </w:rPr>
            </w:pPr>
            <w:r>
              <w:rPr>
                <w:rFonts w:hint="eastAsia" w:ascii="宋体" w:hAnsi="宋体"/>
                <w:color w:val="auto"/>
                <w:sz w:val="24"/>
                <w:highlight w:val="none"/>
              </w:rPr>
              <w:t>2</w:t>
            </w:r>
          </w:p>
        </w:tc>
      </w:tr>
      <w:tr w14:paraId="0B8A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55C4E362">
            <w:pPr>
              <w:snapToGrid w:val="0"/>
              <w:spacing w:line="360" w:lineRule="auto"/>
              <w:rPr>
                <w:rFonts w:ascii="宋体" w:hAnsi="宋体"/>
                <w:color w:val="auto"/>
                <w:sz w:val="24"/>
                <w:highlight w:val="none"/>
              </w:rPr>
            </w:pPr>
            <w:r>
              <w:rPr>
                <w:rFonts w:hint="eastAsia" w:ascii="宋体" w:hAnsi="宋体"/>
                <w:color w:val="auto"/>
                <w:sz w:val="24"/>
                <w:highlight w:val="none"/>
              </w:rPr>
              <w:t>2</w:t>
            </w:r>
          </w:p>
        </w:tc>
        <w:tc>
          <w:tcPr>
            <w:tcW w:w="2662" w:type="dxa"/>
            <w:shd w:val="clear" w:color="auto" w:fill="auto"/>
            <w:vAlign w:val="center"/>
          </w:tcPr>
          <w:p w14:paraId="50BDE272">
            <w:pPr>
              <w:spacing w:line="360" w:lineRule="auto"/>
              <w:rPr>
                <w:rFonts w:ascii="宋体" w:hAnsi="宋体"/>
                <w:color w:val="auto"/>
                <w:sz w:val="24"/>
                <w:highlight w:val="none"/>
              </w:rPr>
            </w:pPr>
            <w:r>
              <w:rPr>
                <w:rFonts w:hint="eastAsia" w:ascii="宋体" w:hAnsi="宋体"/>
                <w:color w:val="auto"/>
                <w:sz w:val="24"/>
                <w:highlight w:val="none"/>
              </w:rPr>
              <w:t>数据仓库服务器</w:t>
            </w:r>
          </w:p>
        </w:tc>
        <w:tc>
          <w:tcPr>
            <w:tcW w:w="1104" w:type="dxa"/>
            <w:shd w:val="clear" w:color="auto" w:fill="auto"/>
            <w:vAlign w:val="center"/>
          </w:tcPr>
          <w:p w14:paraId="796E9A90">
            <w:pPr>
              <w:spacing w:line="360" w:lineRule="auto"/>
              <w:rPr>
                <w:rFonts w:ascii="宋体" w:hAnsi="宋体"/>
                <w:color w:val="auto"/>
                <w:sz w:val="24"/>
                <w:highlight w:val="none"/>
              </w:rPr>
            </w:pPr>
            <w:r>
              <w:rPr>
                <w:rFonts w:hint="eastAsia" w:ascii="宋体" w:hAnsi="宋体"/>
                <w:color w:val="auto"/>
                <w:sz w:val="24"/>
                <w:highlight w:val="none"/>
              </w:rPr>
              <w:t>64</w:t>
            </w:r>
          </w:p>
        </w:tc>
        <w:tc>
          <w:tcPr>
            <w:tcW w:w="1129" w:type="dxa"/>
            <w:shd w:val="clear" w:color="auto" w:fill="auto"/>
            <w:vAlign w:val="center"/>
          </w:tcPr>
          <w:p w14:paraId="1A0BCA2C">
            <w:pPr>
              <w:spacing w:line="360" w:lineRule="auto"/>
              <w:rPr>
                <w:rFonts w:ascii="宋体" w:hAnsi="宋体"/>
                <w:color w:val="auto"/>
                <w:sz w:val="24"/>
                <w:highlight w:val="none"/>
              </w:rPr>
            </w:pPr>
            <w:r>
              <w:rPr>
                <w:rFonts w:hint="eastAsia" w:ascii="宋体" w:hAnsi="宋体"/>
                <w:color w:val="auto"/>
                <w:sz w:val="24"/>
                <w:highlight w:val="none"/>
              </w:rPr>
              <w:t>128</w:t>
            </w:r>
          </w:p>
        </w:tc>
        <w:tc>
          <w:tcPr>
            <w:tcW w:w="1130" w:type="dxa"/>
            <w:shd w:val="clear" w:color="auto" w:fill="auto"/>
            <w:vAlign w:val="center"/>
          </w:tcPr>
          <w:p w14:paraId="4BA01A81">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2692A8D2">
            <w:pPr>
              <w:spacing w:line="360" w:lineRule="auto"/>
              <w:rPr>
                <w:rFonts w:ascii="宋体" w:hAnsi="宋体"/>
                <w:color w:val="auto"/>
                <w:sz w:val="24"/>
                <w:highlight w:val="none"/>
              </w:rPr>
            </w:pPr>
            <w:r>
              <w:rPr>
                <w:rFonts w:hint="eastAsia" w:ascii="宋体" w:hAnsi="宋体"/>
                <w:color w:val="auto"/>
                <w:sz w:val="24"/>
                <w:highlight w:val="none"/>
              </w:rPr>
              <w:t>10</w:t>
            </w:r>
          </w:p>
        </w:tc>
      </w:tr>
      <w:tr w14:paraId="4846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719E3288">
            <w:pPr>
              <w:snapToGrid w:val="0"/>
              <w:spacing w:line="360" w:lineRule="auto"/>
              <w:rPr>
                <w:rFonts w:ascii="宋体" w:hAnsi="宋体"/>
                <w:color w:val="auto"/>
                <w:sz w:val="24"/>
                <w:highlight w:val="none"/>
              </w:rPr>
            </w:pPr>
            <w:r>
              <w:rPr>
                <w:rFonts w:hint="eastAsia" w:ascii="宋体" w:hAnsi="宋体"/>
                <w:color w:val="auto"/>
                <w:sz w:val="24"/>
                <w:highlight w:val="none"/>
              </w:rPr>
              <w:t>3</w:t>
            </w:r>
          </w:p>
        </w:tc>
        <w:tc>
          <w:tcPr>
            <w:tcW w:w="2662" w:type="dxa"/>
            <w:shd w:val="clear" w:color="auto" w:fill="auto"/>
            <w:vAlign w:val="center"/>
          </w:tcPr>
          <w:p w14:paraId="1234B5B2">
            <w:pPr>
              <w:spacing w:line="360" w:lineRule="auto"/>
              <w:rPr>
                <w:rFonts w:ascii="宋体" w:hAnsi="宋体"/>
                <w:color w:val="auto"/>
                <w:sz w:val="24"/>
                <w:highlight w:val="none"/>
              </w:rPr>
            </w:pPr>
            <w:r>
              <w:rPr>
                <w:rFonts w:hint="eastAsia" w:ascii="宋体" w:hAnsi="宋体"/>
                <w:color w:val="auto"/>
                <w:sz w:val="24"/>
                <w:highlight w:val="none"/>
              </w:rPr>
              <w:t>业务数据库服务器</w:t>
            </w:r>
          </w:p>
        </w:tc>
        <w:tc>
          <w:tcPr>
            <w:tcW w:w="1104" w:type="dxa"/>
            <w:shd w:val="clear" w:color="auto" w:fill="auto"/>
            <w:vAlign w:val="center"/>
          </w:tcPr>
          <w:p w14:paraId="1DD3F86D">
            <w:pPr>
              <w:spacing w:line="360" w:lineRule="auto"/>
              <w:rPr>
                <w:rFonts w:ascii="宋体" w:hAnsi="宋体"/>
                <w:color w:val="auto"/>
                <w:sz w:val="24"/>
                <w:highlight w:val="none"/>
              </w:rPr>
            </w:pPr>
            <w:r>
              <w:rPr>
                <w:rFonts w:hint="eastAsia" w:ascii="宋体" w:hAnsi="宋体"/>
                <w:color w:val="auto"/>
                <w:sz w:val="24"/>
                <w:highlight w:val="none"/>
              </w:rPr>
              <w:t>8</w:t>
            </w:r>
          </w:p>
        </w:tc>
        <w:tc>
          <w:tcPr>
            <w:tcW w:w="1129" w:type="dxa"/>
            <w:shd w:val="clear" w:color="auto" w:fill="auto"/>
            <w:vAlign w:val="center"/>
          </w:tcPr>
          <w:p w14:paraId="5921CBB3">
            <w:pPr>
              <w:spacing w:line="360" w:lineRule="auto"/>
              <w:rPr>
                <w:rFonts w:ascii="宋体" w:hAnsi="宋体"/>
                <w:color w:val="auto"/>
                <w:sz w:val="24"/>
                <w:highlight w:val="none"/>
              </w:rPr>
            </w:pPr>
            <w:r>
              <w:rPr>
                <w:rFonts w:hint="eastAsia" w:ascii="宋体" w:hAnsi="宋体"/>
                <w:color w:val="auto"/>
                <w:sz w:val="24"/>
                <w:highlight w:val="none"/>
              </w:rPr>
              <w:t>32</w:t>
            </w:r>
          </w:p>
        </w:tc>
        <w:tc>
          <w:tcPr>
            <w:tcW w:w="1130" w:type="dxa"/>
            <w:shd w:val="clear" w:color="auto" w:fill="auto"/>
            <w:vAlign w:val="center"/>
          </w:tcPr>
          <w:p w14:paraId="7A52075D">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430EA0FB">
            <w:pPr>
              <w:spacing w:line="360" w:lineRule="auto"/>
              <w:rPr>
                <w:rFonts w:ascii="宋体" w:hAnsi="宋体"/>
                <w:color w:val="auto"/>
                <w:sz w:val="24"/>
                <w:highlight w:val="none"/>
              </w:rPr>
            </w:pPr>
            <w:r>
              <w:rPr>
                <w:rFonts w:hint="eastAsia" w:ascii="宋体" w:hAnsi="宋体"/>
                <w:color w:val="auto"/>
                <w:sz w:val="24"/>
                <w:highlight w:val="none"/>
              </w:rPr>
              <w:t>2</w:t>
            </w:r>
          </w:p>
        </w:tc>
      </w:tr>
      <w:tr w14:paraId="51AF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64683E30">
            <w:pPr>
              <w:snapToGrid w:val="0"/>
              <w:spacing w:line="360" w:lineRule="auto"/>
              <w:rPr>
                <w:rFonts w:ascii="宋体" w:hAnsi="宋体"/>
                <w:color w:val="auto"/>
                <w:sz w:val="24"/>
                <w:highlight w:val="none"/>
              </w:rPr>
            </w:pPr>
            <w:r>
              <w:rPr>
                <w:rFonts w:hint="eastAsia" w:ascii="宋体" w:hAnsi="宋体"/>
                <w:color w:val="auto"/>
                <w:sz w:val="24"/>
                <w:highlight w:val="none"/>
              </w:rPr>
              <w:t>4</w:t>
            </w:r>
          </w:p>
        </w:tc>
        <w:tc>
          <w:tcPr>
            <w:tcW w:w="2662" w:type="dxa"/>
            <w:shd w:val="clear" w:color="auto" w:fill="auto"/>
            <w:vAlign w:val="center"/>
          </w:tcPr>
          <w:p w14:paraId="12578BF3">
            <w:pPr>
              <w:spacing w:line="360" w:lineRule="auto"/>
              <w:rPr>
                <w:rFonts w:ascii="宋体" w:hAnsi="宋体"/>
                <w:color w:val="auto"/>
                <w:sz w:val="24"/>
                <w:highlight w:val="none"/>
              </w:rPr>
            </w:pPr>
            <w:r>
              <w:rPr>
                <w:rFonts w:hint="eastAsia" w:ascii="宋体" w:hAnsi="宋体"/>
                <w:color w:val="auto"/>
                <w:sz w:val="24"/>
                <w:highlight w:val="none"/>
              </w:rPr>
              <w:t>检索集群数据节点1</w:t>
            </w:r>
          </w:p>
        </w:tc>
        <w:tc>
          <w:tcPr>
            <w:tcW w:w="1104" w:type="dxa"/>
            <w:shd w:val="clear" w:color="auto" w:fill="auto"/>
            <w:vAlign w:val="center"/>
          </w:tcPr>
          <w:p w14:paraId="06124690">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0AA42443">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4C164ADC">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3100FF02">
            <w:pPr>
              <w:spacing w:line="360" w:lineRule="auto"/>
              <w:rPr>
                <w:rFonts w:ascii="宋体" w:hAnsi="宋体"/>
                <w:color w:val="auto"/>
                <w:sz w:val="24"/>
                <w:highlight w:val="none"/>
              </w:rPr>
            </w:pPr>
            <w:r>
              <w:rPr>
                <w:rFonts w:hint="eastAsia" w:ascii="宋体" w:hAnsi="宋体"/>
                <w:color w:val="auto"/>
                <w:sz w:val="24"/>
                <w:highlight w:val="none"/>
              </w:rPr>
              <w:t>2</w:t>
            </w:r>
          </w:p>
        </w:tc>
      </w:tr>
      <w:tr w14:paraId="3087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79CA3799">
            <w:pPr>
              <w:snapToGrid w:val="0"/>
              <w:spacing w:line="360" w:lineRule="auto"/>
              <w:rPr>
                <w:rFonts w:ascii="宋体" w:hAnsi="宋体"/>
                <w:color w:val="auto"/>
                <w:sz w:val="24"/>
                <w:highlight w:val="none"/>
              </w:rPr>
            </w:pPr>
            <w:r>
              <w:rPr>
                <w:rFonts w:hint="eastAsia" w:ascii="宋体" w:hAnsi="宋体"/>
                <w:color w:val="auto"/>
                <w:sz w:val="24"/>
                <w:highlight w:val="none"/>
              </w:rPr>
              <w:t>5</w:t>
            </w:r>
          </w:p>
        </w:tc>
        <w:tc>
          <w:tcPr>
            <w:tcW w:w="2662" w:type="dxa"/>
            <w:shd w:val="clear" w:color="auto" w:fill="auto"/>
            <w:vAlign w:val="center"/>
          </w:tcPr>
          <w:p w14:paraId="40CA8619">
            <w:pPr>
              <w:spacing w:line="360" w:lineRule="auto"/>
              <w:rPr>
                <w:rFonts w:ascii="宋体" w:hAnsi="宋体"/>
                <w:color w:val="auto"/>
                <w:sz w:val="24"/>
                <w:highlight w:val="none"/>
              </w:rPr>
            </w:pPr>
            <w:r>
              <w:rPr>
                <w:rFonts w:hint="eastAsia" w:ascii="宋体" w:hAnsi="宋体"/>
                <w:color w:val="auto"/>
                <w:sz w:val="24"/>
                <w:highlight w:val="none"/>
              </w:rPr>
              <w:t>检索集群数据节点2</w:t>
            </w:r>
          </w:p>
        </w:tc>
        <w:tc>
          <w:tcPr>
            <w:tcW w:w="1104" w:type="dxa"/>
            <w:shd w:val="clear" w:color="auto" w:fill="auto"/>
            <w:vAlign w:val="center"/>
          </w:tcPr>
          <w:p w14:paraId="35DFFD0A">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67369FF1">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4FF95B6B">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1C89C10C">
            <w:pPr>
              <w:spacing w:line="360" w:lineRule="auto"/>
              <w:rPr>
                <w:rFonts w:ascii="宋体" w:hAnsi="宋体"/>
                <w:color w:val="auto"/>
                <w:sz w:val="24"/>
                <w:highlight w:val="none"/>
              </w:rPr>
            </w:pPr>
            <w:r>
              <w:rPr>
                <w:rFonts w:hint="eastAsia" w:ascii="宋体" w:hAnsi="宋体"/>
                <w:color w:val="auto"/>
                <w:sz w:val="24"/>
                <w:highlight w:val="none"/>
              </w:rPr>
              <w:t>2</w:t>
            </w:r>
          </w:p>
        </w:tc>
      </w:tr>
      <w:tr w14:paraId="7B98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64A0DBAF">
            <w:pPr>
              <w:snapToGrid w:val="0"/>
              <w:spacing w:line="360" w:lineRule="auto"/>
              <w:rPr>
                <w:rFonts w:ascii="宋体" w:hAnsi="宋体"/>
                <w:color w:val="auto"/>
                <w:sz w:val="24"/>
                <w:highlight w:val="none"/>
              </w:rPr>
            </w:pPr>
            <w:r>
              <w:rPr>
                <w:rFonts w:hint="eastAsia" w:ascii="宋体" w:hAnsi="宋体"/>
                <w:color w:val="auto"/>
                <w:sz w:val="24"/>
                <w:highlight w:val="none"/>
              </w:rPr>
              <w:t>6</w:t>
            </w:r>
          </w:p>
        </w:tc>
        <w:tc>
          <w:tcPr>
            <w:tcW w:w="2662" w:type="dxa"/>
            <w:shd w:val="clear" w:color="auto" w:fill="auto"/>
            <w:vAlign w:val="center"/>
          </w:tcPr>
          <w:p w14:paraId="0BD0E879">
            <w:pPr>
              <w:spacing w:line="360" w:lineRule="auto"/>
              <w:rPr>
                <w:rFonts w:ascii="宋体" w:hAnsi="宋体"/>
                <w:color w:val="auto"/>
                <w:sz w:val="24"/>
                <w:highlight w:val="none"/>
              </w:rPr>
            </w:pPr>
            <w:r>
              <w:rPr>
                <w:rFonts w:hint="eastAsia" w:ascii="宋体" w:hAnsi="宋体"/>
                <w:color w:val="auto"/>
                <w:sz w:val="24"/>
                <w:highlight w:val="none"/>
              </w:rPr>
              <w:t>检索集群数据节点3</w:t>
            </w:r>
          </w:p>
        </w:tc>
        <w:tc>
          <w:tcPr>
            <w:tcW w:w="1104" w:type="dxa"/>
            <w:shd w:val="clear" w:color="auto" w:fill="auto"/>
            <w:vAlign w:val="center"/>
          </w:tcPr>
          <w:p w14:paraId="6D600085">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5D2F320D">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453166F8">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62CE60A1">
            <w:pPr>
              <w:spacing w:line="360" w:lineRule="auto"/>
              <w:rPr>
                <w:rFonts w:ascii="宋体" w:hAnsi="宋体"/>
                <w:color w:val="auto"/>
                <w:sz w:val="24"/>
                <w:highlight w:val="none"/>
              </w:rPr>
            </w:pPr>
            <w:r>
              <w:rPr>
                <w:rFonts w:hint="eastAsia" w:ascii="宋体" w:hAnsi="宋体"/>
                <w:color w:val="auto"/>
                <w:sz w:val="24"/>
                <w:highlight w:val="none"/>
              </w:rPr>
              <w:t>2</w:t>
            </w:r>
          </w:p>
        </w:tc>
      </w:tr>
      <w:tr w14:paraId="2ECB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585AC08E">
            <w:pPr>
              <w:snapToGrid w:val="0"/>
              <w:spacing w:line="360" w:lineRule="auto"/>
              <w:rPr>
                <w:rFonts w:ascii="宋体" w:hAnsi="宋体"/>
                <w:color w:val="auto"/>
                <w:sz w:val="24"/>
                <w:highlight w:val="none"/>
              </w:rPr>
            </w:pPr>
            <w:r>
              <w:rPr>
                <w:rFonts w:hint="eastAsia" w:ascii="宋体" w:hAnsi="宋体"/>
                <w:color w:val="auto"/>
                <w:sz w:val="24"/>
                <w:highlight w:val="none"/>
              </w:rPr>
              <w:t>7</w:t>
            </w:r>
          </w:p>
        </w:tc>
        <w:tc>
          <w:tcPr>
            <w:tcW w:w="2662" w:type="dxa"/>
            <w:shd w:val="clear" w:color="auto" w:fill="auto"/>
            <w:vAlign w:val="center"/>
          </w:tcPr>
          <w:p w14:paraId="0967ADA9">
            <w:pPr>
              <w:spacing w:line="360" w:lineRule="auto"/>
              <w:rPr>
                <w:rFonts w:ascii="宋体" w:hAnsi="宋体"/>
                <w:color w:val="auto"/>
                <w:sz w:val="24"/>
                <w:highlight w:val="none"/>
              </w:rPr>
            </w:pPr>
            <w:r>
              <w:rPr>
                <w:rFonts w:hint="eastAsia" w:ascii="宋体" w:hAnsi="宋体"/>
                <w:color w:val="auto"/>
                <w:sz w:val="24"/>
                <w:highlight w:val="none"/>
              </w:rPr>
              <w:t>检索集群数据节点4</w:t>
            </w:r>
          </w:p>
        </w:tc>
        <w:tc>
          <w:tcPr>
            <w:tcW w:w="1104" w:type="dxa"/>
            <w:shd w:val="clear" w:color="auto" w:fill="auto"/>
            <w:vAlign w:val="center"/>
          </w:tcPr>
          <w:p w14:paraId="4277D8B4">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370B4EE5">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594DE7BC">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5B4C358C">
            <w:pPr>
              <w:spacing w:line="360" w:lineRule="auto"/>
              <w:rPr>
                <w:rFonts w:ascii="宋体" w:hAnsi="宋体"/>
                <w:color w:val="auto"/>
                <w:sz w:val="24"/>
                <w:highlight w:val="none"/>
              </w:rPr>
            </w:pPr>
            <w:r>
              <w:rPr>
                <w:rFonts w:hint="eastAsia" w:ascii="宋体" w:hAnsi="宋体"/>
                <w:color w:val="auto"/>
                <w:sz w:val="24"/>
                <w:highlight w:val="none"/>
              </w:rPr>
              <w:t>2</w:t>
            </w:r>
          </w:p>
        </w:tc>
      </w:tr>
      <w:tr w14:paraId="42ED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1FCA5A83">
            <w:pPr>
              <w:snapToGrid w:val="0"/>
              <w:spacing w:line="360" w:lineRule="auto"/>
              <w:rPr>
                <w:rFonts w:ascii="宋体" w:hAnsi="宋体"/>
                <w:color w:val="auto"/>
                <w:sz w:val="24"/>
                <w:highlight w:val="none"/>
              </w:rPr>
            </w:pPr>
            <w:r>
              <w:rPr>
                <w:rFonts w:hint="eastAsia" w:ascii="宋体" w:hAnsi="宋体"/>
                <w:color w:val="auto"/>
                <w:sz w:val="24"/>
                <w:highlight w:val="none"/>
              </w:rPr>
              <w:t>8</w:t>
            </w:r>
          </w:p>
        </w:tc>
        <w:tc>
          <w:tcPr>
            <w:tcW w:w="2662" w:type="dxa"/>
            <w:shd w:val="clear" w:color="auto" w:fill="auto"/>
            <w:vAlign w:val="center"/>
          </w:tcPr>
          <w:p w14:paraId="5855B219">
            <w:pPr>
              <w:spacing w:line="360" w:lineRule="auto"/>
              <w:rPr>
                <w:rFonts w:ascii="宋体" w:hAnsi="宋体"/>
                <w:color w:val="auto"/>
                <w:sz w:val="24"/>
                <w:highlight w:val="none"/>
              </w:rPr>
            </w:pPr>
            <w:r>
              <w:rPr>
                <w:rFonts w:hint="eastAsia" w:ascii="宋体" w:hAnsi="宋体"/>
                <w:color w:val="auto"/>
                <w:sz w:val="24"/>
                <w:highlight w:val="none"/>
              </w:rPr>
              <w:t>检索集群数据节点5</w:t>
            </w:r>
          </w:p>
        </w:tc>
        <w:tc>
          <w:tcPr>
            <w:tcW w:w="1104" w:type="dxa"/>
            <w:shd w:val="clear" w:color="auto" w:fill="auto"/>
            <w:vAlign w:val="center"/>
          </w:tcPr>
          <w:p w14:paraId="2F08E2F4">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3728A766">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4320DEE5">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18B2F574">
            <w:pPr>
              <w:spacing w:line="360" w:lineRule="auto"/>
              <w:rPr>
                <w:rFonts w:ascii="宋体" w:hAnsi="宋体"/>
                <w:color w:val="auto"/>
                <w:sz w:val="24"/>
                <w:highlight w:val="none"/>
              </w:rPr>
            </w:pPr>
            <w:r>
              <w:rPr>
                <w:rFonts w:hint="eastAsia" w:ascii="宋体" w:hAnsi="宋体"/>
                <w:color w:val="auto"/>
                <w:sz w:val="24"/>
                <w:highlight w:val="none"/>
              </w:rPr>
              <w:t>2</w:t>
            </w:r>
          </w:p>
        </w:tc>
      </w:tr>
      <w:tr w14:paraId="1D5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7342FF64">
            <w:pPr>
              <w:snapToGrid w:val="0"/>
              <w:spacing w:line="360" w:lineRule="auto"/>
              <w:rPr>
                <w:rFonts w:ascii="宋体" w:hAnsi="宋体"/>
                <w:color w:val="auto"/>
                <w:sz w:val="24"/>
                <w:highlight w:val="none"/>
              </w:rPr>
            </w:pPr>
            <w:r>
              <w:rPr>
                <w:rFonts w:hint="eastAsia" w:ascii="宋体" w:hAnsi="宋体"/>
                <w:color w:val="auto"/>
                <w:sz w:val="24"/>
                <w:highlight w:val="none"/>
              </w:rPr>
              <w:t>9</w:t>
            </w:r>
          </w:p>
        </w:tc>
        <w:tc>
          <w:tcPr>
            <w:tcW w:w="2662" w:type="dxa"/>
            <w:shd w:val="clear" w:color="auto" w:fill="auto"/>
            <w:vAlign w:val="center"/>
          </w:tcPr>
          <w:p w14:paraId="6E265E5C">
            <w:pPr>
              <w:spacing w:line="360" w:lineRule="auto"/>
              <w:rPr>
                <w:rFonts w:ascii="宋体" w:hAnsi="宋体"/>
                <w:color w:val="auto"/>
                <w:sz w:val="24"/>
                <w:highlight w:val="none"/>
              </w:rPr>
            </w:pPr>
            <w:r>
              <w:rPr>
                <w:rFonts w:hint="eastAsia" w:ascii="宋体" w:hAnsi="宋体"/>
                <w:color w:val="auto"/>
                <w:sz w:val="24"/>
                <w:highlight w:val="none"/>
              </w:rPr>
              <w:t>列式存储集群服务器</w:t>
            </w:r>
          </w:p>
        </w:tc>
        <w:tc>
          <w:tcPr>
            <w:tcW w:w="1104" w:type="dxa"/>
            <w:shd w:val="clear" w:color="auto" w:fill="auto"/>
            <w:vAlign w:val="center"/>
          </w:tcPr>
          <w:p w14:paraId="2FD55564">
            <w:pPr>
              <w:spacing w:line="360" w:lineRule="auto"/>
              <w:rPr>
                <w:rFonts w:ascii="宋体" w:hAnsi="宋体"/>
                <w:color w:val="auto"/>
                <w:sz w:val="24"/>
                <w:highlight w:val="none"/>
              </w:rPr>
            </w:pPr>
            <w:r>
              <w:rPr>
                <w:rFonts w:hint="eastAsia" w:ascii="宋体" w:hAnsi="宋体"/>
                <w:color w:val="auto"/>
                <w:sz w:val="24"/>
                <w:highlight w:val="none"/>
              </w:rPr>
              <w:t>32</w:t>
            </w:r>
          </w:p>
        </w:tc>
        <w:tc>
          <w:tcPr>
            <w:tcW w:w="1129" w:type="dxa"/>
            <w:shd w:val="clear" w:color="auto" w:fill="auto"/>
            <w:vAlign w:val="center"/>
          </w:tcPr>
          <w:p w14:paraId="1F662E9B">
            <w:pPr>
              <w:spacing w:line="360" w:lineRule="auto"/>
              <w:rPr>
                <w:rFonts w:ascii="宋体" w:hAnsi="宋体"/>
                <w:color w:val="auto"/>
                <w:sz w:val="24"/>
                <w:highlight w:val="none"/>
              </w:rPr>
            </w:pPr>
            <w:r>
              <w:rPr>
                <w:rFonts w:hint="eastAsia" w:ascii="宋体" w:hAnsi="宋体"/>
                <w:color w:val="auto"/>
                <w:sz w:val="24"/>
                <w:highlight w:val="none"/>
              </w:rPr>
              <w:t>128</w:t>
            </w:r>
          </w:p>
        </w:tc>
        <w:tc>
          <w:tcPr>
            <w:tcW w:w="1130" w:type="dxa"/>
            <w:shd w:val="clear" w:color="auto" w:fill="auto"/>
            <w:vAlign w:val="center"/>
          </w:tcPr>
          <w:p w14:paraId="720AD537">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2E1A8FCE">
            <w:pPr>
              <w:spacing w:line="360" w:lineRule="auto"/>
              <w:rPr>
                <w:rFonts w:ascii="宋体" w:hAnsi="宋体"/>
                <w:color w:val="auto"/>
                <w:sz w:val="24"/>
                <w:highlight w:val="none"/>
              </w:rPr>
            </w:pPr>
            <w:r>
              <w:rPr>
                <w:rFonts w:hint="eastAsia" w:ascii="宋体" w:hAnsi="宋体"/>
                <w:color w:val="auto"/>
                <w:sz w:val="24"/>
                <w:highlight w:val="none"/>
              </w:rPr>
              <w:t>8</w:t>
            </w:r>
          </w:p>
        </w:tc>
      </w:tr>
      <w:tr w14:paraId="2441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4EA644D4">
            <w:pPr>
              <w:snapToGrid w:val="0"/>
              <w:spacing w:line="360" w:lineRule="auto"/>
              <w:rPr>
                <w:rFonts w:ascii="宋体" w:hAnsi="宋体"/>
                <w:color w:val="auto"/>
                <w:sz w:val="24"/>
                <w:highlight w:val="none"/>
              </w:rPr>
            </w:pPr>
            <w:r>
              <w:rPr>
                <w:rFonts w:hint="eastAsia" w:ascii="宋体" w:hAnsi="宋体"/>
                <w:color w:val="auto"/>
                <w:sz w:val="24"/>
                <w:highlight w:val="none"/>
              </w:rPr>
              <w:t>10</w:t>
            </w:r>
          </w:p>
        </w:tc>
        <w:tc>
          <w:tcPr>
            <w:tcW w:w="2662" w:type="dxa"/>
            <w:shd w:val="clear" w:color="auto" w:fill="auto"/>
            <w:vAlign w:val="center"/>
          </w:tcPr>
          <w:p w14:paraId="257BF563">
            <w:pPr>
              <w:spacing w:line="360" w:lineRule="auto"/>
              <w:rPr>
                <w:rFonts w:ascii="宋体" w:hAnsi="宋体"/>
                <w:color w:val="auto"/>
                <w:sz w:val="24"/>
                <w:highlight w:val="none"/>
              </w:rPr>
            </w:pPr>
            <w:r>
              <w:rPr>
                <w:rFonts w:hint="eastAsia" w:ascii="宋体" w:hAnsi="宋体"/>
                <w:color w:val="auto"/>
                <w:sz w:val="24"/>
                <w:highlight w:val="none"/>
              </w:rPr>
              <w:t>NLP模型服务器</w:t>
            </w:r>
          </w:p>
        </w:tc>
        <w:tc>
          <w:tcPr>
            <w:tcW w:w="1104" w:type="dxa"/>
            <w:shd w:val="clear" w:color="auto" w:fill="auto"/>
            <w:vAlign w:val="center"/>
          </w:tcPr>
          <w:p w14:paraId="5F9A916E">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6A4A2381">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65B3B73A">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41101C86">
            <w:pPr>
              <w:spacing w:line="360" w:lineRule="auto"/>
              <w:rPr>
                <w:rFonts w:ascii="宋体" w:hAnsi="宋体"/>
                <w:color w:val="auto"/>
                <w:sz w:val="24"/>
                <w:highlight w:val="none"/>
              </w:rPr>
            </w:pPr>
            <w:r>
              <w:rPr>
                <w:rFonts w:hint="eastAsia" w:ascii="宋体" w:hAnsi="宋体"/>
                <w:color w:val="auto"/>
                <w:sz w:val="24"/>
                <w:highlight w:val="none"/>
              </w:rPr>
              <w:t>2</w:t>
            </w:r>
          </w:p>
        </w:tc>
      </w:tr>
      <w:tr w14:paraId="333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6A592D32">
            <w:pPr>
              <w:snapToGrid w:val="0"/>
              <w:spacing w:line="360" w:lineRule="auto"/>
              <w:rPr>
                <w:rFonts w:ascii="宋体" w:hAnsi="宋体"/>
                <w:color w:val="auto"/>
                <w:sz w:val="24"/>
                <w:highlight w:val="none"/>
              </w:rPr>
            </w:pPr>
            <w:r>
              <w:rPr>
                <w:rFonts w:hint="eastAsia" w:ascii="宋体" w:hAnsi="宋体"/>
                <w:color w:val="auto"/>
                <w:sz w:val="24"/>
                <w:highlight w:val="none"/>
              </w:rPr>
              <w:t>11</w:t>
            </w:r>
          </w:p>
        </w:tc>
        <w:tc>
          <w:tcPr>
            <w:tcW w:w="2662" w:type="dxa"/>
            <w:shd w:val="clear" w:color="auto" w:fill="auto"/>
            <w:vAlign w:val="center"/>
          </w:tcPr>
          <w:p w14:paraId="6DE29489">
            <w:pPr>
              <w:spacing w:line="360" w:lineRule="auto"/>
              <w:rPr>
                <w:rFonts w:ascii="宋体" w:hAnsi="宋体"/>
                <w:color w:val="auto"/>
                <w:sz w:val="24"/>
                <w:highlight w:val="none"/>
              </w:rPr>
            </w:pPr>
            <w:r>
              <w:rPr>
                <w:rFonts w:hint="eastAsia" w:ascii="宋体" w:hAnsi="宋体"/>
                <w:color w:val="auto"/>
                <w:sz w:val="24"/>
                <w:highlight w:val="none"/>
              </w:rPr>
              <w:t>数据门户应用服务器</w:t>
            </w:r>
          </w:p>
        </w:tc>
        <w:tc>
          <w:tcPr>
            <w:tcW w:w="1104" w:type="dxa"/>
            <w:shd w:val="clear" w:color="auto" w:fill="auto"/>
            <w:vAlign w:val="center"/>
          </w:tcPr>
          <w:p w14:paraId="5029B850">
            <w:pPr>
              <w:spacing w:line="360" w:lineRule="auto"/>
              <w:rPr>
                <w:rFonts w:ascii="宋体" w:hAnsi="宋体"/>
                <w:color w:val="auto"/>
                <w:sz w:val="24"/>
                <w:highlight w:val="none"/>
              </w:rPr>
            </w:pPr>
            <w:r>
              <w:rPr>
                <w:rFonts w:hint="eastAsia" w:ascii="宋体" w:hAnsi="宋体"/>
                <w:color w:val="auto"/>
                <w:sz w:val="24"/>
                <w:highlight w:val="none"/>
              </w:rPr>
              <w:t>8</w:t>
            </w:r>
          </w:p>
        </w:tc>
        <w:tc>
          <w:tcPr>
            <w:tcW w:w="1129" w:type="dxa"/>
            <w:shd w:val="clear" w:color="auto" w:fill="auto"/>
            <w:vAlign w:val="center"/>
          </w:tcPr>
          <w:p w14:paraId="7E9044B5">
            <w:pPr>
              <w:spacing w:line="360" w:lineRule="auto"/>
              <w:rPr>
                <w:rFonts w:ascii="宋体" w:hAnsi="宋体"/>
                <w:color w:val="auto"/>
                <w:sz w:val="24"/>
                <w:highlight w:val="none"/>
              </w:rPr>
            </w:pPr>
            <w:r>
              <w:rPr>
                <w:rFonts w:hint="eastAsia" w:ascii="宋体" w:hAnsi="宋体"/>
                <w:color w:val="auto"/>
                <w:sz w:val="24"/>
                <w:highlight w:val="none"/>
              </w:rPr>
              <w:t>16</w:t>
            </w:r>
          </w:p>
        </w:tc>
        <w:tc>
          <w:tcPr>
            <w:tcW w:w="1130" w:type="dxa"/>
            <w:shd w:val="clear" w:color="auto" w:fill="auto"/>
            <w:vAlign w:val="center"/>
          </w:tcPr>
          <w:p w14:paraId="452B210E">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1C664DB3">
            <w:pPr>
              <w:spacing w:line="360" w:lineRule="auto"/>
              <w:rPr>
                <w:rFonts w:ascii="宋体" w:hAnsi="宋体"/>
                <w:color w:val="auto"/>
                <w:sz w:val="24"/>
                <w:highlight w:val="none"/>
              </w:rPr>
            </w:pPr>
            <w:r>
              <w:rPr>
                <w:rFonts w:hint="eastAsia" w:ascii="宋体" w:hAnsi="宋体"/>
                <w:color w:val="auto"/>
                <w:sz w:val="24"/>
                <w:highlight w:val="none"/>
              </w:rPr>
              <w:t>1</w:t>
            </w:r>
          </w:p>
        </w:tc>
      </w:tr>
      <w:tr w14:paraId="71A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26055464">
            <w:pPr>
              <w:snapToGrid w:val="0"/>
              <w:spacing w:line="360" w:lineRule="auto"/>
              <w:rPr>
                <w:rFonts w:ascii="宋体" w:hAnsi="宋体"/>
                <w:color w:val="auto"/>
                <w:sz w:val="24"/>
                <w:highlight w:val="none"/>
              </w:rPr>
            </w:pPr>
            <w:r>
              <w:rPr>
                <w:rFonts w:hint="eastAsia" w:ascii="宋体" w:hAnsi="宋体"/>
                <w:color w:val="auto"/>
                <w:sz w:val="24"/>
                <w:highlight w:val="none"/>
              </w:rPr>
              <w:t>12</w:t>
            </w:r>
          </w:p>
        </w:tc>
        <w:tc>
          <w:tcPr>
            <w:tcW w:w="2662" w:type="dxa"/>
            <w:shd w:val="clear" w:color="auto" w:fill="auto"/>
            <w:vAlign w:val="center"/>
          </w:tcPr>
          <w:p w14:paraId="2720C7C5">
            <w:pPr>
              <w:spacing w:line="360" w:lineRule="auto"/>
              <w:rPr>
                <w:rFonts w:ascii="宋体" w:hAnsi="宋体"/>
                <w:color w:val="auto"/>
                <w:sz w:val="24"/>
                <w:highlight w:val="none"/>
              </w:rPr>
            </w:pPr>
            <w:r>
              <w:rPr>
                <w:rFonts w:hint="eastAsia" w:ascii="宋体" w:hAnsi="宋体"/>
                <w:color w:val="auto"/>
                <w:sz w:val="24"/>
                <w:highlight w:val="none"/>
              </w:rPr>
              <w:t>分析应用服务器1</w:t>
            </w:r>
          </w:p>
        </w:tc>
        <w:tc>
          <w:tcPr>
            <w:tcW w:w="1104" w:type="dxa"/>
            <w:shd w:val="clear" w:color="auto" w:fill="auto"/>
            <w:vAlign w:val="center"/>
          </w:tcPr>
          <w:p w14:paraId="0A787B9A">
            <w:pPr>
              <w:spacing w:line="360" w:lineRule="auto"/>
              <w:rPr>
                <w:rFonts w:ascii="宋体" w:hAnsi="宋体"/>
                <w:color w:val="auto"/>
                <w:sz w:val="24"/>
                <w:highlight w:val="none"/>
              </w:rPr>
            </w:pPr>
            <w:r>
              <w:rPr>
                <w:rFonts w:hint="eastAsia" w:ascii="宋体" w:hAnsi="宋体"/>
                <w:color w:val="auto"/>
                <w:sz w:val="24"/>
                <w:highlight w:val="none"/>
              </w:rPr>
              <w:t>2</w:t>
            </w:r>
          </w:p>
        </w:tc>
        <w:tc>
          <w:tcPr>
            <w:tcW w:w="1129" w:type="dxa"/>
            <w:shd w:val="clear" w:color="auto" w:fill="auto"/>
            <w:vAlign w:val="center"/>
          </w:tcPr>
          <w:p w14:paraId="4ABF84B4">
            <w:pPr>
              <w:spacing w:line="360" w:lineRule="auto"/>
              <w:rPr>
                <w:rFonts w:ascii="宋体" w:hAnsi="宋体"/>
                <w:color w:val="auto"/>
                <w:sz w:val="24"/>
                <w:highlight w:val="none"/>
              </w:rPr>
            </w:pPr>
            <w:r>
              <w:rPr>
                <w:rFonts w:hint="eastAsia" w:ascii="宋体" w:hAnsi="宋体"/>
                <w:color w:val="auto"/>
                <w:sz w:val="24"/>
                <w:highlight w:val="none"/>
              </w:rPr>
              <w:t>8</w:t>
            </w:r>
          </w:p>
        </w:tc>
        <w:tc>
          <w:tcPr>
            <w:tcW w:w="1130" w:type="dxa"/>
            <w:shd w:val="clear" w:color="auto" w:fill="auto"/>
            <w:vAlign w:val="center"/>
          </w:tcPr>
          <w:p w14:paraId="2FC712D8">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29CDE112">
            <w:pPr>
              <w:spacing w:line="360" w:lineRule="auto"/>
              <w:rPr>
                <w:rFonts w:ascii="宋体" w:hAnsi="宋体"/>
                <w:color w:val="auto"/>
                <w:sz w:val="24"/>
                <w:highlight w:val="none"/>
              </w:rPr>
            </w:pPr>
            <w:r>
              <w:rPr>
                <w:rFonts w:hint="eastAsia" w:ascii="宋体" w:hAnsi="宋体"/>
                <w:color w:val="auto"/>
                <w:sz w:val="24"/>
                <w:highlight w:val="none"/>
              </w:rPr>
              <w:t>0.5</w:t>
            </w:r>
          </w:p>
        </w:tc>
      </w:tr>
      <w:tr w14:paraId="3CD6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2BE283CB">
            <w:pPr>
              <w:snapToGrid w:val="0"/>
              <w:spacing w:line="360" w:lineRule="auto"/>
              <w:rPr>
                <w:rFonts w:ascii="宋体" w:hAnsi="宋体"/>
                <w:color w:val="auto"/>
                <w:sz w:val="24"/>
                <w:highlight w:val="none"/>
              </w:rPr>
            </w:pPr>
            <w:r>
              <w:rPr>
                <w:rFonts w:hint="eastAsia" w:ascii="宋体" w:hAnsi="宋体"/>
                <w:color w:val="auto"/>
                <w:sz w:val="24"/>
                <w:highlight w:val="none"/>
              </w:rPr>
              <w:t>13</w:t>
            </w:r>
          </w:p>
        </w:tc>
        <w:tc>
          <w:tcPr>
            <w:tcW w:w="2662" w:type="dxa"/>
            <w:shd w:val="clear" w:color="auto" w:fill="auto"/>
            <w:vAlign w:val="center"/>
          </w:tcPr>
          <w:p w14:paraId="7F7F1269">
            <w:pPr>
              <w:spacing w:line="360" w:lineRule="auto"/>
              <w:rPr>
                <w:rFonts w:ascii="宋体" w:hAnsi="宋体"/>
                <w:color w:val="auto"/>
                <w:sz w:val="24"/>
                <w:highlight w:val="none"/>
              </w:rPr>
            </w:pPr>
            <w:r>
              <w:rPr>
                <w:rFonts w:hint="eastAsia" w:ascii="宋体" w:hAnsi="宋体"/>
                <w:color w:val="auto"/>
                <w:sz w:val="24"/>
                <w:highlight w:val="none"/>
              </w:rPr>
              <w:t>分析应用服务器2</w:t>
            </w:r>
          </w:p>
        </w:tc>
        <w:tc>
          <w:tcPr>
            <w:tcW w:w="1104" w:type="dxa"/>
            <w:shd w:val="clear" w:color="auto" w:fill="auto"/>
            <w:vAlign w:val="center"/>
          </w:tcPr>
          <w:p w14:paraId="4CF3446D">
            <w:pPr>
              <w:spacing w:line="360" w:lineRule="auto"/>
              <w:rPr>
                <w:rFonts w:ascii="宋体" w:hAnsi="宋体"/>
                <w:color w:val="auto"/>
                <w:sz w:val="24"/>
                <w:highlight w:val="none"/>
              </w:rPr>
            </w:pPr>
            <w:r>
              <w:rPr>
                <w:rFonts w:hint="eastAsia" w:ascii="宋体" w:hAnsi="宋体"/>
                <w:color w:val="auto"/>
                <w:sz w:val="24"/>
                <w:highlight w:val="none"/>
              </w:rPr>
              <w:t>2</w:t>
            </w:r>
          </w:p>
        </w:tc>
        <w:tc>
          <w:tcPr>
            <w:tcW w:w="1129" w:type="dxa"/>
            <w:shd w:val="clear" w:color="auto" w:fill="auto"/>
            <w:vAlign w:val="center"/>
          </w:tcPr>
          <w:p w14:paraId="3277C1EA">
            <w:pPr>
              <w:spacing w:line="360" w:lineRule="auto"/>
              <w:rPr>
                <w:rFonts w:ascii="宋体" w:hAnsi="宋体"/>
                <w:color w:val="auto"/>
                <w:sz w:val="24"/>
                <w:highlight w:val="none"/>
              </w:rPr>
            </w:pPr>
            <w:r>
              <w:rPr>
                <w:rFonts w:hint="eastAsia" w:ascii="宋体" w:hAnsi="宋体"/>
                <w:color w:val="auto"/>
                <w:sz w:val="24"/>
                <w:highlight w:val="none"/>
              </w:rPr>
              <w:t>8</w:t>
            </w:r>
          </w:p>
        </w:tc>
        <w:tc>
          <w:tcPr>
            <w:tcW w:w="1130" w:type="dxa"/>
            <w:shd w:val="clear" w:color="auto" w:fill="auto"/>
            <w:vAlign w:val="center"/>
          </w:tcPr>
          <w:p w14:paraId="27142009">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6D88173B">
            <w:pPr>
              <w:spacing w:line="360" w:lineRule="auto"/>
              <w:rPr>
                <w:rFonts w:ascii="宋体" w:hAnsi="宋体"/>
                <w:color w:val="auto"/>
                <w:sz w:val="24"/>
                <w:highlight w:val="none"/>
              </w:rPr>
            </w:pPr>
            <w:r>
              <w:rPr>
                <w:rFonts w:hint="eastAsia" w:ascii="宋体" w:hAnsi="宋体"/>
                <w:color w:val="auto"/>
                <w:sz w:val="24"/>
                <w:highlight w:val="none"/>
              </w:rPr>
              <w:t>0.5</w:t>
            </w:r>
          </w:p>
        </w:tc>
      </w:tr>
      <w:tr w14:paraId="49E8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763B5855">
            <w:pPr>
              <w:snapToGrid w:val="0"/>
              <w:spacing w:line="360" w:lineRule="auto"/>
              <w:rPr>
                <w:rFonts w:ascii="宋体" w:hAnsi="宋体"/>
                <w:color w:val="auto"/>
                <w:sz w:val="24"/>
                <w:highlight w:val="none"/>
              </w:rPr>
            </w:pPr>
            <w:r>
              <w:rPr>
                <w:rFonts w:hint="eastAsia" w:ascii="宋体" w:hAnsi="宋体"/>
                <w:color w:val="auto"/>
                <w:sz w:val="24"/>
                <w:highlight w:val="none"/>
              </w:rPr>
              <w:t>14</w:t>
            </w:r>
          </w:p>
        </w:tc>
        <w:tc>
          <w:tcPr>
            <w:tcW w:w="2662" w:type="dxa"/>
            <w:shd w:val="clear" w:color="auto" w:fill="auto"/>
            <w:vAlign w:val="center"/>
          </w:tcPr>
          <w:p w14:paraId="7FFA6C56">
            <w:pPr>
              <w:spacing w:line="360" w:lineRule="auto"/>
              <w:rPr>
                <w:rFonts w:ascii="宋体" w:hAnsi="宋体"/>
                <w:color w:val="auto"/>
                <w:sz w:val="24"/>
                <w:highlight w:val="none"/>
              </w:rPr>
            </w:pPr>
            <w:r>
              <w:rPr>
                <w:rFonts w:hint="eastAsia" w:ascii="宋体" w:hAnsi="宋体"/>
                <w:color w:val="auto"/>
                <w:sz w:val="24"/>
                <w:highlight w:val="none"/>
              </w:rPr>
              <w:t>专病库应用服务器</w:t>
            </w:r>
          </w:p>
        </w:tc>
        <w:tc>
          <w:tcPr>
            <w:tcW w:w="1104" w:type="dxa"/>
            <w:shd w:val="clear" w:color="auto" w:fill="auto"/>
            <w:vAlign w:val="center"/>
          </w:tcPr>
          <w:p w14:paraId="32E67783">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3931547B">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03AAD877">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72C8A5ED">
            <w:pPr>
              <w:spacing w:line="360" w:lineRule="auto"/>
              <w:rPr>
                <w:rFonts w:ascii="宋体" w:hAnsi="宋体"/>
                <w:color w:val="auto"/>
                <w:sz w:val="24"/>
                <w:highlight w:val="none"/>
              </w:rPr>
            </w:pPr>
            <w:r>
              <w:rPr>
                <w:rFonts w:hint="eastAsia" w:ascii="宋体" w:hAnsi="宋体"/>
                <w:color w:val="auto"/>
                <w:sz w:val="24"/>
                <w:highlight w:val="none"/>
              </w:rPr>
              <w:t>2</w:t>
            </w:r>
          </w:p>
        </w:tc>
      </w:tr>
      <w:tr w14:paraId="3FD5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shd w:val="clear" w:color="auto" w:fill="auto"/>
            <w:noWrap/>
            <w:vAlign w:val="center"/>
          </w:tcPr>
          <w:p w14:paraId="51F499E0">
            <w:pPr>
              <w:snapToGrid w:val="0"/>
              <w:spacing w:line="360" w:lineRule="auto"/>
              <w:rPr>
                <w:rFonts w:ascii="宋体" w:hAnsi="宋体"/>
                <w:color w:val="auto"/>
                <w:sz w:val="24"/>
                <w:highlight w:val="none"/>
              </w:rPr>
            </w:pPr>
            <w:r>
              <w:rPr>
                <w:rFonts w:hint="eastAsia" w:ascii="宋体" w:hAnsi="宋体"/>
                <w:color w:val="auto"/>
                <w:sz w:val="24"/>
                <w:highlight w:val="none"/>
              </w:rPr>
              <w:t>15</w:t>
            </w:r>
          </w:p>
        </w:tc>
        <w:tc>
          <w:tcPr>
            <w:tcW w:w="2662" w:type="dxa"/>
            <w:shd w:val="clear" w:color="auto" w:fill="auto"/>
            <w:vAlign w:val="center"/>
          </w:tcPr>
          <w:p w14:paraId="35216401">
            <w:pPr>
              <w:spacing w:line="360" w:lineRule="auto"/>
              <w:rPr>
                <w:rFonts w:ascii="宋体" w:hAnsi="宋体"/>
                <w:color w:val="auto"/>
                <w:sz w:val="24"/>
                <w:highlight w:val="none"/>
              </w:rPr>
            </w:pPr>
            <w:r>
              <w:rPr>
                <w:rFonts w:hint="eastAsia" w:ascii="宋体" w:hAnsi="宋体"/>
                <w:color w:val="auto"/>
                <w:sz w:val="24"/>
                <w:highlight w:val="none"/>
              </w:rPr>
              <w:t>统计分析应用服务器</w:t>
            </w:r>
          </w:p>
        </w:tc>
        <w:tc>
          <w:tcPr>
            <w:tcW w:w="1104" w:type="dxa"/>
            <w:shd w:val="clear" w:color="auto" w:fill="auto"/>
            <w:vAlign w:val="center"/>
          </w:tcPr>
          <w:p w14:paraId="44BCAF2B">
            <w:pPr>
              <w:spacing w:line="360" w:lineRule="auto"/>
              <w:rPr>
                <w:rFonts w:ascii="宋体" w:hAnsi="宋体"/>
                <w:color w:val="auto"/>
                <w:sz w:val="24"/>
                <w:highlight w:val="none"/>
              </w:rPr>
            </w:pPr>
            <w:r>
              <w:rPr>
                <w:rFonts w:hint="eastAsia" w:ascii="宋体" w:hAnsi="宋体"/>
                <w:color w:val="auto"/>
                <w:sz w:val="24"/>
                <w:highlight w:val="none"/>
              </w:rPr>
              <w:t>16</w:t>
            </w:r>
          </w:p>
        </w:tc>
        <w:tc>
          <w:tcPr>
            <w:tcW w:w="1129" w:type="dxa"/>
            <w:shd w:val="clear" w:color="auto" w:fill="auto"/>
            <w:vAlign w:val="center"/>
          </w:tcPr>
          <w:p w14:paraId="227969A5">
            <w:pPr>
              <w:spacing w:line="360" w:lineRule="auto"/>
              <w:rPr>
                <w:rFonts w:ascii="宋体" w:hAnsi="宋体"/>
                <w:color w:val="auto"/>
                <w:sz w:val="24"/>
                <w:highlight w:val="none"/>
              </w:rPr>
            </w:pPr>
            <w:r>
              <w:rPr>
                <w:rFonts w:hint="eastAsia" w:ascii="宋体" w:hAnsi="宋体"/>
                <w:color w:val="auto"/>
                <w:sz w:val="24"/>
                <w:highlight w:val="none"/>
              </w:rPr>
              <w:t>64</w:t>
            </w:r>
          </w:p>
        </w:tc>
        <w:tc>
          <w:tcPr>
            <w:tcW w:w="1130" w:type="dxa"/>
            <w:shd w:val="clear" w:color="auto" w:fill="auto"/>
            <w:vAlign w:val="center"/>
          </w:tcPr>
          <w:p w14:paraId="607DC63D">
            <w:pPr>
              <w:spacing w:line="360" w:lineRule="auto"/>
              <w:rPr>
                <w:rFonts w:ascii="宋体" w:hAnsi="宋体"/>
                <w:color w:val="auto"/>
                <w:sz w:val="24"/>
                <w:highlight w:val="none"/>
              </w:rPr>
            </w:pPr>
            <w:r>
              <w:rPr>
                <w:rFonts w:hint="eastAsia" w:ascii="宋体" w:hAnsi="宋体"/>
                <w:color w:val="auto"/>
                <w:sz w:val="24"/>
                <w:highlight w:val="none"/>
              </w:rPr>
              <w:t>100</w:t>
            </w:r>
          </w:p>
        </w:tc>
        <w:tc>
          <w:tcPr>
            <w:tcW w:w="1157" w:type="dxa"/>
            <w:shd w:val="clear" w:color="auto" w:fill="auto"/>
            <w:vAlign w:val="center"/>
          </w:tcPr>
          <w:p w14:paraId="58FCB61E">
            <w:pPr>
              <w:spacing w:line="360" w:lineRule="auto"/>
              <w:rPr>
                <w:rFonts w:ascii="宋体" w:hAnsi="宋体"/>
                <w:color w:val="auto"/>
                <w:sz w:val="24"/>
                <w:highlight w:val="none"/>
              </w:rPr>
            </w:pPr>
            <w:r>
              <w:rPr>
                <w:rFonts w:hint="eastAsia" w:ascii="宋体" w:hAnsi="宋体"/>
                <w:color w:val="auto"/>
                <w:sz w:val="24"/>
                <w:highlight w:val="none"/>
              </w:rPr>
              <w:t>2</w:t>
            </w:r>
          </w:p>
        </w:tc>
      </w:tr>
      <w:tr w14:paraId="1C8D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0" w:type="dxa"/>
            <w:gridSpan w:val="2"/>
            <w:shd w:val="clear" w:color="auto" w:fill="auto"/>
            <w:noWrap/>
            <w:vAlign w:val="center"/>
          </w:tcPr>
          <w:p w14:paraId="6D2DCC70">
            <w:pPr>
              <w:spacing w:line="360" w:lineRule="auto"/>
              <w:jc w:val="center"/>
              <w:rPr>
                <w:rFonts w:ascii="宋体" w:hAnsi="宋体"/>
                <w:b/>
                <w:bCs/>
                <w:color w:val="auto"/>
                <w:sz w:val="24"/>
                <w:highlight w:val="none"/>
              </w:rPr>
            </w:pPr>
            <w:r>
              <w:rPr>
                <w:rFonts w:hint="eastAsia" w:ascii="宋体" w:hAnsi="宋体"/>
                <w:b/>
                <w:bCs/>
                <w:color w:val="auto"/>
                <w:sz w:val="24"/>
                <w:highlight w:val="none"/>
              </w:rPr>
              <w:t>合计</w:t>
            </w:r>
          </w:p>
        </w:tc>
        <w:tc>
          <w:tcPr>
            <w:tcW w:w="1104" w:type="dxa"/>
            <w:shd w:val="clear" w:color="auto" w:fill="auto"/>
            <w:noWrap/>
            <w:vAlign w:val="center"/>
          </w:tcPr>
          <w:p w14:paraId="436C5455">
            <w:pPr>
              <w:spacing w:line="360" w:lineRule="auto"/>
              <w:rPr>
                <w:rFonts w:ascii="宋体" w:hAnsi="宋体"/>
                <w:b/>
                <w:bCs/>
                <w:color w:val="auto"/>
                <w:sz w:val="24"/>
                <w:highlight w:val="none"/>
              </w:rPr>
            </w:pPr>
            <w:r>
              <w:rPr>
                <w:rFonts w:hint="eastAsia" w:ascii="宋体" w:hAnsi="宋体"/>
                <w:b/>
                <w:bCs/>
                <w:color w:val="auto"/>
                <w:sz w:val="24"/>
                <w:highlight w:val="none"/>
              </w:rPr>
              <w:t>252</w:t>
            </w:r>
          </w:p>
        </w:tc>
        <w:tc>
          <w:tcPr>
            <w:tcW w:w="1129" w:type="dxa"/>
            <w:shd w:val="clear" w:color="auto" w:fill="auto"/>
            <w:noWrap/>
            <w:vAlign w:val="center"/>
          </w:tcPr>
          <w:p w14:paraId="4C28DA8A">
            <w:pPr>
              <w:spacing w:line="360" w:lineRule="auto"/>
              <w:rPr>
                <w:rFonts w:ascii="宋体" w:hAnsi="宋体"/>
                <w:b/>
                <w:bCs/>
                <w:color w:val="auto"/>
                <w:sz w:val="24"/>
                <w:highlight w:val="none"/>
              </w:rPr>
            </w:pPr>
            <w:r>
              <w:rPr>
                <w:rFonts w:hint="eastAsia" w:ascii="宋体" w:hAnsi="宋体"/>
                <w:b/>
                <w:bCs/>
                <w:color w:val="auto"/>
                <w:sz w:val="24"/>
                <w:highlight w:val="none"/>
              </w:rPr>
              <w:t>864</w:t>
            </w:r>
          </w:p>
        </w:tc>
        <w:tc>
          <w:tcPr>
            <w:tcW w:w="1130" w:type="dxa"/>
            <w:shd w:val="clear" w:color="auto" w:fill="auto"/>
            <w:noWrap/>
            <w:vAlign w:val="center"/>
          </w:tcPr>
          <w:p w14:paraId="08E45ABF">
            <w:pPr>
              <w:spacing w:line="360" w:lineRule="auto"/>
              <w:rPr>
                <w:rFonts w:ascii="宋体" w:hAnsi="宋体"/>
                <w:b/>
                <w:bCs/>
                <w:color w:val="auto"/>
                <w:sz w:val="24"/>
                <w:highlight w:val="none"/>
              </w:rPr>
            </w:pPr>
            <w:r>
              <w:rPr>
                <w:rFonts w:hint="eastAsia" w:ascii="宋体" w:hAnsi="宋体"/>
                <w:b/>
                <w:bCs/>
                <w:color w:val="auto"/>
                <w:sz w:val="24"/>
                <w:highlight w:val="none"/>
              </w:rPr>
              <w:t>1500</w:t>
            </w:r>
          </w:p>
        </w:tc>
        <w:tc>
          <w:tcPr>
            <w:tcW w:w="1157" w:type="dxa"/>
            <w:shd w:val="clear" w:color="auto" w:fill="auto"/>
            <w:noWrap/>
            <w:vAlign w:val="center"/>
          </w:tcPr>
          <w:p w14:paraId="46045DD6">
            <w:pPr>
              <w:spacing w:line="360" w:lineRule="auto"/>
              <w:rPr>
                <w:rFonts w:ascii="宋体" w:hAnsi="宋体"/>
                <w:b/>
                <w:bCs/>
                <w:color w:val="auto"/>
                <w:sz w:val="24"/>
                <w:highlight w:val="none"/>
              </w:rPr>
            </w:pPr>
            <w:r>
              <w:rPr>
                <w:rFonts w:hint="eastAsia" w:ascii="宋体" w:hAnsi="宋体"/>
                <w:b/>
                <w:bCs/>
                <w:color w:val="auto"/>
                <w:sz w:val="24"/>
                <w:highlight w:val="none"/>
              </w:rPr>
              <w:t>40</w:t>
            </w:r>
          </w:p>
        </w:tc>
      </w:tr>
    </w:tbl>
    <w:p w14:paraId="5B4B1B10">
      <w:pPr>
        <w:tabs>
          <w:tab w:val="center" w:pos="4393"/>
          <w:tab w:val="left" w:pos="6267"/>
        </w:tabs>
        <w:snapToGrid w:val="0"/>
        <w:spacing w:line="360" w:lineRule="auto"/>
        <w:ind w:firstLine="482"/>
        <w:jc w:val="left"/>
        <w:rPr>
          <w:color w:val="auto"/>
          <w:highlight w:val="none"/>
        </w:rPr>
      </w:pPr>
    </w:p>
    <w:p w14:paraId="0F1B60D6">
      <w:pPr>
        <w:pStyle w:val="5"/>
        <w:spacing w:line="360" w:lineRule="auto"/>
        <w:rPr>
          <w:color w:val="auto"/>
          <w:highlight w:val="none"/>
        </w:rPr>
      </w:pPr>
      <w:r>
        <w:rPr>
          <w:rFonts w:hint="eastAsia"/>
          <w:color w:val="auto"/>
          <w:highlight w:val="none"/>
        </w:rPr>
        <w:t>（六）安全建设</w:t>
      </w:r>
    </w:p>
    <w:p w14:paraId="62F72D66">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本系统应遵循的信息系统等级保护2.0等级为：三级。系统的设计、实施必须遵照和满足信创相关标准规范，以及相应等级的信息系统等级保护2.0应用安全、数据安全等相关要求，落实安全可靠建设任务。</w:t>
      </w:r>
    </w:p>
    <w:p w14:paraId="22DCEBEC">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中标人需在软件系统方案设计中包含《商用密码应用方案》，内容包括密码应用需求分析环节、密码设计技术方案以及依据《GB/T 39786-2021信息安全技术 信息系统密码应用基本要求》密码应用合理规性自评。系统实施环节需出具《商用密码应用方案》。系统在建设完成后，中标人需配合采购人做好等保测评、商用密码测评以及系统整改等相关工作。</w:t>
      </w:r>
    </w:p>
    <w:p w14:paraId="7447FF7F">
      <w:pPr>
        <w:pStyle w:val="2"/>
        <w:spacing w:line="360" w:lineRule="auto"/>
        <w:rPr>
          <w:color w:val="auto"/>
          <w:highlight w:val="none"/>
        </w:rPr>
      </w:pPr>
      <w:r>
        <w:rPr>
          <w:rFonts w:hint="eastAsia"/>
          <w:color w:val="auto"/>
          <w:highlight w:val="none"/>
        </w:rPr>
        <w:t>1.4 系统部署要求</w:t>
      </w:r>
    </w:p>
    <w:p w14:paraId="495BF15C">
      <w:pPr>
        <w:tabs>
          <w:tab w:val="center" w:pos="4393"/>
          <w:tab w:val="left" w:pos="6267"/>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本项目系统建设需要按照杭州市数据资源管理局等相关部门的信创要求，完成系统部署实施。</w:t>
      </w:r>
    </w:p>
    <w:p w14:paraId="528B16D1">
      <w:pPr>
        <w:pStyle w:val="2"/>
        <w:spacing w:line="360" w:lineRule="auto"/>
        <w:rPr>
          <w:color w:val="auto"/>
          <w:highlight w:val="none"/>
        </w:rPr>
      </w:pPr>
      <w:r>
        <w:rPr>
          <w:rFonts w:hint="eastAsia"/>
          <w:color w:val="auto"/>
          <w:highlight w:val="none"/>
        </w:rPr>
        <w:t>1.5 技术要求</w:t>
      </w:r>
    </w:p>
    <w:p w14:paraId="18F2EB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1、系统可靠性 </w:t>
      </w:r>
    </w:p>
    <w:p w14:paraId="64B5A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系统可以保证 7*24 小时不间断运行； </w:t>
      </w:r>
    </w:p>
    <w:p w14:paraId="5F42C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系统平均故障间隔时间应不低于 5000 小时，故障平均修复时间不高于 1 小时； </w:t>
      </w:r>
    </w:p>
    <w:p w14:paraId="31D763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具有完善的备份与恢复机制，保证系统数据不因灾难情况而丢失；</w:t>
      </w:r>
    </w:p>
    <w:p w14:paraId="6EF038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系统提供定期安全备份、数据恢复方案及相应工具；</w:t>
      </w:r>
    </w:p>
    <w:p w14:paraId="6F817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软件运行异常情况可记录。</w:t>
      </w:r>
    </w:p>
    <w:p w14:paraId="4959FF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2、系统健壮性 </w:t>
      </w:r>
    </w:p>
    <w:p w14:paraId="250B9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所有操作必须返回成功或失败信息（要求返回原因的，系统能返回失败原因）；</w:t>
      </w:r>
    </w:p>
    <w:p w14:paraId="00EB0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某个应用进程或模块的故障不能导致其他进程或模块不可用，不会导致系统崩溃；</w:t>
      </w:r>
    </w:p>
    <w:p w14:paraId="794A9D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发生用户操作错误或失败的情况下，系统能够继续运行，功能不受影响。</w:t>
      </w:r>
    </w:p>
    <w:p w14:paraId="44C67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3、系统合规性 </w:t>
      </w:r>
    </w:p>
    <w:p w14:paraId="3554D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系统开发测试应符合相关行业规范，软件代码应满足甲方审查规范；</w:t>
      </w:r>
    </w:p>
    <w:p w14:paraId="06396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除本文专门约定外，系统开发实施及最终产品应符合最新国家标准或更高的国际工业标准；</w:t>
      </w:r>
    </w:p>
    <w:p w14:paraId="32D32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系统需要满足服务器、操作系统、数据库、安全机制等方面的国产化要求。 </w:t>
      </w:r>
    </w:p>
    <w:p w14:paraId="2E78A2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4、系统可维护性 </w:t>
      </w:r>
    </w:p>
    <w:p w14:paraId="489148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系统备份数据视数据量而定，一般不超过 4 个小时；</w:t>
      </w:r>
    </w:p>
    <w:p w14:paraId="0623F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系统停机重新部署数据模型的时间不超过 4 小时；</w:t>
      </w:r>
    </w:p>
    <w:p w14:paraId="1C73B6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系统停机部署除数据模型以外配置的时间不超过半小时；</w:t>
      </w:r>
    </w:p>
    <w:p w14:paraId="2B49EC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系统重启所有相关服务的时间不超过半小时；</w:t>
      </w:r>
    </w:p>
    <w:p w14:paraId="03D44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个掌握基本的数据库和操作系统知识、技能的专职系统管理员，成功解决一个系统故障或技术问题的时间平均不超过2小时（硬件更换、系统停机部署、操作系统重装等操作时间可能较长，一般会超过2小时，可不包括在该需求的限制之内），不包含需要修改程序代码的问题。 </w:t>
      </w:r>
    </w:p>
    <w:p w14:paraId="4D6A15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5、系统易用性 </w:t>
      </w:r>
    </w:p>
    <w:p w14:paraId="42074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中文用户界面，交互和视觉设计符合甲方相关规范；</w:t>
      </w:r>
    </w:p>
    <w:p w14:paraId="7531CF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系统支持 Windows风格的客户端操作方式，如对象的复制、粘贴、多选、 鼠标拖拽、框选，右键菜单操作丰富；对于一般操作，系统应立即响应，速度快、无迟滞等待；</w:t>
      </w:r>
    </w:p>
    <w:p w14:paraId="5A4D9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系统支持 WEB 客户端形式，以适应不同角色、场地、用户和业务扩展需要；</w:t>
      </w:r>
    </w:p>
    <w:p w14:paraId="2E51F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系统支持界面灵活的多视图组合，每个用户可以根据需要将数据信息等视图灵活对照查看；</w:t>
      </w:r>
    </w:p>
    <w:p w14:paraId="104FA5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系统支持数据对象的结构化管理和显示，能够层级方式快速查看各类相关 对象，保证信息的完整性和规范性；</w:t>
      </w:r>
    </w:p>
    <w:p w14:paraId="267DC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系统人机交互必须运行在高效、美观、整洁和易于理解的图形界面中，可以根据不同的角色支持不同的访问界面；</w:t>
      </w:r>
    </w:p>
    <w:p w14:paraId="02A9C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用户掌握基本操作的培训时间应该在8个工时之内，其他操作，可通过系统帮助在2个小时内掌握（无需专人讲解）。</w:t>
      </w:r>
    </w:p>
    <w:p w14:paraId="15CA6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6、系统开放性 </w:t>
      </w:r>
    </w:p>
    <w:p w14:paraId="570F82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系统具有适应性和可扩展性，扩充、维护和使用方便；</w:t>
      </w:r>
    </w:p>
    <w:p w14:paraId="4E612D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系统具有良好的灵活性，自定义功能齐全、根据企业需求提供二次开发环 境与工具，并按用户需求进行二次开发；</w:t>
      </w:r>
    </w:p>
    <w:p w14:paraId="51DE8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系统具有与其他异构系统集成的能力；</w:t>
      </w:r>
    </w:p>
    <w:p w14:paraId="42482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系统基于成熟的技术架构（例如 J2EE 等），具有可伸缩、可靠并与其他 企业级应用兼容的特性；</w:t>
      </w:r>
    </w:p>
    <w:p w14:paraId="4C678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允许跨平台部署的构架。</w:t>
      </w:r>
    </w:p>
    <w:p w14:paraId="7E9E10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7、系统兼容性 </w:t>
      </w:r>
    </w:p>
    <w:p w14:paraId="50209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系统与集成要求中相关环境、系统和工具兼容；</w:t>
      </w:r>
    </w:p>
    <w:p w14:paraId="4B9AD1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系统与各类硬件、操作系统、数据库等运行环境兼容，系统与 Office、 浏览器等工具类软件集成兼容。</w:t>
      </w:r>
    </w:p>
    <w:p w14:paraId="7155D5CD">
      <w:pPr>
        <w:spacing w:line="360" w:lineRule="auto"/>
        <w:ind w:firstLine="482"/>
        <w:rPr>
          <w:rFonts w:ascii="宋体" w:hAnsi="宋体"/>
          <w:color w:val="auto"/>
          <w:highlight w:val="none"/>
        </w:rPr>
      </w:pPr>
    </w:p>
    <w:p w14:paraId="0D49A72B">
      <w:pPr>
        <w:pStyle w:val="2"/>
        <w:spacing w:line="360" w:lineRule="auto"/>
        <w:rPr>
          <w:color w:val="auto"/>
          <w:highlight w:val="none"/>
        </w:rPr>
      </w:pPr>
      <w:r>
        <w:rPr>
          <w:rFonts w:hint="eastAsia"/>
          <w:color w:val="auto"/>
          <w:highlight w:val="none"/>
        </w:rPr>
        <w:t>1.6 付款条件</w:t>
      </w:r>
    </w:p>
    <w:p w14:paraId="2743C6FD">
      <w:pPr>
        <w:spacing w:line="360" w:lineRule="auto"/>
        <w:ind w:firstLine="480" w:firstLineChars="200"/>
        <w:rPr>
          <w:rFonts w:ascii="宋体" w:hAnsi="宋体" w:cs="Lucida Sans"/>
          <w:color w:val="auto"/>
          <w:sz w:val="24"/>
          <w:highlight w:val="none"/>
        </w:rPr>
      </w:pPr>
      <w:r>
        <w:rPr>
          <w:rFonts w:hint="eastAsia" w:ascii="宋体" w:hAnsi="宋体" w:cs="Lucida Sans"/>
          <w:color w:val="auto"/>
          <w:sz w:val="24"/>
          <w:highlight w:val="none"/>
        </w:rPr>
        <w:t>第一期付款：合同签订生效具备实施条件后5个工作日内，中标人凭发票向采购人办理合同总价40%的预付款结算手续；</w:t>
      </w:r>
    </w:p>
    <w:p w14:paraId="00F78FD8">
      <w:pPr>
        <w:spacing w:line="360" w:lineRule="auto"/>
        <w:ind w:firstLine="480" w:firstLineChars="200"/>
        <w:rPr>
          <w:rFonts w:ascii="宋体" w:hAnsi="宋体" w:cs="Lucida Sans"/>
          <w:color w:val="auto"/>
          <w:sz w:val="24"/>
          <w:highlight w:val="none"/>
        </w:rPr>
      </w:pPr>
      <w:r>
        <w:rPr>
          <w:rFonts w:hint="eastAsia" w:ascii="宋体" w:hAnsi="宋体" w:cs="Lucida Sans"/>
          <w:color w:val="auto"/>
          <w:sz w:val="24"/>
          <w:highlight w:val="none"/>
        </w:rPr>
        <w:t>第二期付款：完成项目阶段性验收合格后，中标人凭发票、采购人签字盖章的支付意见及阶段性验收意见向采购人办理合同总价25%的合同款结算手续；</w:t>
      </w:r>
    </w:p>
    <w:p w14:paraId="753F676E">
      <w:pPr>
        <w:spacing w:line="360" w:lineRule="auto"/>
        <w:ind w:firstLine="480" w:firstLineChars="200"/>
        <w:rPr>
          <w:rFonts w:ascii="宋体" w:hAnsi="宋体" w:cs="Lucida Sans"/>
          <w:color w:val="auto"/>
          <w:sz w:val="24"/>
          <w:highlight w:val="none"/>
        </w:rPr>
      </w:pPr>
      <w:r>
        <w:rPr>
          <w:rFonts w:hint="eastAsia" w:ascii="宋体" w:hAnsi="宋体" w:cs="Lucida Sans"/>
          <w:color w:val="auto"/>
          <w:sz w:val="24"/>
          <w:highlight w:val="none"/>
        </w:rPr>
        <w:t>第三期付款：完成项目初验合格后进入试运行，中标人凭发票、采购人签字盖章的支付意见及初验意见向采购人办理合同总价15%的合同款结算手续；</w:t>
      </w:r>
    </w:p>
    <w:p w14:paraId="5FD386F1">
      <w:pPr>
        <w:spacing w:line="360" w:lineRule="auto"/>
        <w:ind w:firstLine="480" w:firstLineChars="200"/>
        <w:rPr>
          <w:rFonts w:ascii="宋体" w:hAnsi="宋体"/>
          <w:color w:val="auto"/>
          <w:highlight w:val="none"/>
        </w:rPr>
      </w:pPr>
      <w:r>
        <w:rPr>
          <w:rFonts w:hint="eastAsia" w:ascii="宋体" w:hAnsi="宋体" w:cs="Lucida Sans"/>
          <w:color w:val="auto"/>
          <w:sz w:val="24"/>
          <w:highlight w:val="none"/>
        </w:rPr>
        <w:t>第四期付款：完成项目终验合格后，中标人凭发票、采购人签字盖章的支付意见及验收意见向采购人办理合同总价20%的合同款结算手续。</w:t>
      </w:r>
    </w:p>
    <w:p w14:paraId="71C91AC1">
      <w:pPr>
        <w:pStyle w:val="2"/>
        <w:spacing w:line="360" w:lineRule="auto"/>
        <w:rPr>
          <w:color w:val="auto"/>
          <w:highlight w:val="none"/>
        </w:rPr>
      </w:pPr>
      <w:r>
        <w:rPr>
          <w:rFonts w:hint="eastAsia"/>
          <w:color w:val="auto"/>
          <w:highlight w:val="none"/>
        </w:rPr>
        <w:t>1.7 服务与验收</w:t>
      </w:r>
    </w:p>
    <w:p w14:paraId="5A8EF553">
      <w:pPr>
        <w:pStyle w:val="5"/>
        <w:spacing w:line="360" w:lineRule="auto"/>
        <w:rPr>
          <w:b w:val="0"/>
          <w:bCs w:val="0"/>
          <w:color w:val="auto"/>
          <w:highlight w:val="none"/>
        </w:rPr>
      </w:pPr>
      <w:r>
        <w:rPr>
          <w:rFonts w:hint="eastAsia"/>
          <w:color w:val="auto"/>
          <w:highlight w:val="none"/>
        </w:rPr>
        <w:t>1.7.1 项目实施地点</w:t>
      </w:r>
    </w:p>
    <w:p w14:paraId="620A7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采购人指定地点。</w:t>
      </w:r>
    </w:p>
    <w:p w14:paraId="029B3AD0">
      <w:pPr>
        <w:pStyle w:val="5"/>
        <w:spacing w:line="360" w:lineRule="auto"/>
        <w:rPr>
          <w:color w:val="auto"/>
          <w:highlight w:val="none"/>
        </w:rPr>
      </w:pPr>
      <w:r>
        <w:rPr>
          <w:rFonts w:hint="eastAsia"/>
          <w:color w:val="auto"/>
          <w:highlight w:val="none"/>
        </w:rPr>
        <w:t>1.7.2 项目进度要求</w:t>
      </w:r>
    </w:p>
    <w:p w14:paraId="5D19B7A8">
      <w:pPr>
        <w:spacing w:line="360" w:lineRule="auto"/>
        <w:ind w:firstLine="480" w:firstLineChars="200"/>
        <w:rPr>
          <w:rFonts w:ascii="宋体" w:hAnsi="宋体"/>
          <w:color w:val="auto"/>
          <w:highlight w:val="none"/>
        </w:rPr>
      </w:pPr>
      <w:r>
        <w:rPr>
          <w:rFonts w:hint="eastAsia" w:ascii="宋体" w:hAnsi="宋体"/>
          <w:color w:val="auto"/>
          <w:sz w:val="24"/>
          <w:highlight w:val="none"/>
        </w:rPr>
        <w:t>2024年12月10日前完成阶段性验收，2025年5月底完成初验，2025年8月底完成终验。</w:t>
      </w:r>
    </w:p>
    <w:p w14:paraId="1DF6CFD3">
      <w:pPr>
        <w:pStyle w:val="5"/>
        <w:spacing w:line="360" w:lineRule="auto"/>
        <w:rPr>
          <w:color w:val="auto"/>
          <w:highlight w:val="none"/>
        </w:rPr>
      </w:pPr>
      <w:r>
        <w:rPr>
          <w:rFonts w:hint="eastAsia"/>
          <w:color w:val="auto"/>
          <w:highlight w:val="none"/>
        </w:rPr>
        <w:t>1.7.3 项目实施要求</w:t>
      </w:r>
    </w:p>
    <w:p w14:paraId="75341C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1、投标人应在投标文件中提交项目实施计划。项目实施计划要根据系统的特点和要求确定，包括需求调研、系统开发、测试、部署、培训等。</w:t>
      </w:r>
    </w:p>
    <w:p w14:paraId="1A760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2、质量保证要求：在项目建设实施过程中，应建立完善的质量管理体系和完整的项目质量保证计划，确保系统设计、开发、定制工作的顺利实施。</w:t>
      </w:r>
    </w:p>
    <w:p w14:paraId="71D96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用户需求在开发期和试运行期内，仍有可能不断完善，中标人须承诺在采购需求和政策法规范围内，随着用户需求的变动随时做出响应，修改应用软件。正式验收通过后，若有需求变动，在免费维护期内，仍应免费按用户需求对整个系统做出相应修改，以满足用户的需求。</w:t>
      </w:r>
    </w:p>
    <w:p w14:paraId="029817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4、实施人员要求：项目组开发团队不少于</w:t>
      </w:r>
      <w:r>
        <w:rPr>
          <w:rFonts w:ascii="宋体" w:hAnsi="宋体" w:cs="宋体"/>
          <w:color w:val="auto"/>
          <w:sz w:val="24"/>
          <w:highlight w:val="none"/>
        </w:rPr>
        <w:t>10</w:t>
      </w:r>
      <w:r>
        <w:rPr>
          <w:rFonts w:hint="eastAsia" w:ascii="宋体" w:hAnsi="宋体" w:cs="宋体"/>
          <w:color w:val="auto"/>
          <w:sz w:val="24"/>
          <w:highlight w:val="none"/>
        </w:rPr>
        <w:t>人，项目负责人、技术负责人、需要具备专业素质、技能能力和经验，并提供相关证书。须提供项目团队人员在投标单位的社保缴纳记录。</w:t>
      </w:r>
    </w:p>
    <w:p w14:paraId="3384881C">
      <w:pPr>
        <w:pStyle w:val="5"/>
        <w:spacing w:line="360" w:lineRule="auto"/>
        <w:rPr>
          <w:color w:val="auto"/>
          <w:highlight w:val="none"/>
        </w:rPr>
      </w:pPr>
      <w:r>
        <w:rPr>
          <w:rFonts w:hint="eastAsia"/>
          <w:color w:val="auto"/>
          <w:highlight w:val="none"/>
        </w:rPr>
        <w:t>1.7.4 培训要求</w:t>
      </w:r>
    </w:p>
    <w:p w14:paraId="415C2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投标人需制定完整的培训方案，并编制培训教材，对系统普通用户及管理员开展培训，确保相关人员熟练掌握系统的使用与管理。</w:t>
      </w:r>
    </w:p>
    <w:p w14:paraId="5557E8B5">
      <w:pPr>
        <w:pStyle w:val="5"/>
        <w:spacing w:line="360" w:lineRule="auto"/>
        <w:rPr>
          <w:color w:val="auto"/>
          <w:highlight w:val="none"/>
        </w:rPr>
      </w:pPr>
      <w:r>
        <w:rPr>
          <w:rFonts w:hint="eastAsia"/>
          <w:color w:val="auto"/>
          <w:highlight w:val="none"/>
        </w:rPr>
        <w:t>1.7.5 售后质保要求</w:t>
      </w:r>
    </w:p>
    <w:p w14:paraId="37B4B8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1、提供</w:t>
      </w:r>
      <w:r>
        <w:rPr>
          <w:rFonts w:ascii="宋体" w:hAnsi="宋体" w:cs="宋体"/>
          <w:color w:val="auto"/>
          <w:sz w:val="24"/>
          <w:highlight w:val="none"/>
        </w:rPr>
        <w:t>3</w:t>
      </w:r>
      <w:r>
        <w:rPr>
          <w:rFonts w:hint="eastAsia" w:ascii="宋体" w:hAnsi="宋体" w:cs="宋体"/>
          <w:color w:val="auto"/>
          <w:sz w:val="24"/>
          <w:highlight w:val="none"/>
        </w:rPr>
        <w:t>年7x</w:t>
      </w:r>
      <w:r>
        <w:rPr>
          <w:rFonts w:ascii="宋体" w:hAnsi="宋体" w:cs="宋体"/>
          <w:color w:val="auto"/>
          <w:sz w:val="24"/>
          <w:highlight w:val="none"/>
        </w:rPr>
        <w:t>24</w:t>
      </w:r>
      <w:r>
        <w:rPr>
          <w:rFonts w:hint="eastAsia" w:ascii="宋体" w:hAnsi="宋体" w:cs="宋体"/>
          <w:color w:val="auto"/>
          <w:sz w:val="24"/>
          <w:highlight w:val="none"/>
        </w:rPr>
        <w:t>小时软件质保服务。1小时内做出明确响应和安排，现场响应时间要求是接到用户需求电话后4小时内到达。包括免费升级、功能完善、故障排除、性能调优、技术咨询等，并负责系统的问题处理、协调与各系统软件等供应商的关系。</w:t>
      </w:r>
    </w:p>
    <w:p w14:paraId="7F2EE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2、投标人应按照以上要求，规划设计合理可行的售后服务方案。</w:t>
      </w:r>
    </w:p>
    <w:p w14:paraId="2B21CB5A">
      <w:pPr>
        <w:pStyle w:val="5"/>
        <w:spacing w:line="360" w:lineRule="auto"/>
        <w:rPr>
          <w:color w:val="auto"/>
          <w:highlight w:val="none"/>
        </w:rPr>
      </w:pPr>
      <w:r>
        <w:rPr>
          <w:rFonts w:hint="eastAsia"/>
          <w:color w:val="auto"/>
          <w:highlight w:val="none"/>
        </w:rPr>
        <w:t>1.7.6 项目知识产权</w:t>
      </w:r>
    </w:p>
    <w:p w14:paraId="25CA6A1F">
      <w:pPr>
        <w:spacing w:line="360" w:lineRule="auto"/>
        <w:ind w:firstLine="480" w:firstLineChars="200"/>
        <w:rPr>
          <w:rFonts w:ascii="宋体" w:hAnsi="宋体" w:cs="宋体"/>
          <w:color w:val="auto"/>
          <w:sz w:val="24"/>
          <w:highlight w:val="none"/>
        </w:rPr>
      </w:pPr>
      <w:bookmarkStart w:id="37" w:name="_Hlk137050997"/>
      <w:r>
        <w:rPr>
          <w:rFonts w:hint="eastAsia" w:ascii="宋体" w:hAnsi="宋体" w:cs="宋体"/>
          <w:color w:val="auto"/>
          <w:sz w:val="24"/>
          <w:highlight w:val="none"/>
        </w:rPr>
        <w:t>1、本项目所产生的系统、组件（可解耦）、文档、软件代码、数据及衍生数据等数字资源成果的知识产权采购人独享</w:t>
      </w:r>
      <w:bookmarkEnd w:id="37"/>
      <w:r>
        <w:rPr>
          <w:rFonts w:hint="eastAsia" w:ascii="宋体" w:hAnsi="宋体" w:cs="宋体"/>
          <w:color w:val="auto"/>
          <w:sz w:val="24"/>
          <w:highlight w:val="none"/>
        </w:rPr>
        <w:t>。</w:t>
      </w:r>
    </w:p>
    <w:p w14:paraId="62720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2、中标人保证采购人不受到第三方关于侵犯知识产权（包括版权和专利权、商标权等）的指控，任何第三方如果提出指控，中标人与第三方交涉，承担可能发生的一切法律责任、费用和后果。</w:t>
      </w:r>
    </w:p>
    <w:p w14:paraId="408892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 xml:space="preserve">、中标人须无条件配合采购人做好相应系统软件著作权申请相关工作，中标人及其团队个人不得以本项目类似名称申请软件著作权，不得以本项目相关内容申请软件著作权。 </w:t>
      </w:r>
    </w:p>
    <w:p w14:paraId="4E6CBBEA">
      <w:pPr>
        <w:pStyle w:val="5"/>
        <w:spacing w:line="360" w:lineRule="auto"/>
        <w:rPr>
          <w:color w:val="auto"/>
          <w:highlight w:val="none"/>
        </w:rPr>
      </w:pPr>
      <w:r>
        <w:rPr>
          <w:rFonts w:hint="eastAsia"/>
          <w:color w:val="auto"/>
          <w:highlight w:val="none"/>
        </w:rPr>
        <w:t>1.7.7 验收要求</w:t>
      </w:r>
    </w:p>
    <w:p w14:paraId="42CA05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1、项目分为阶段性验收、初验和终验。中标人完成儿童特应性皮炎专病的数据采集</w:t>
      </w:r>
      <w:r>
        <w:rPr>
          <w:rFonts w:ascii="宋体" w:hAnsi="宋体" w:cs="宋体"/>
          <w:color w:val="auto"/>
          <w:sz w:val="24"/>
          <w:highlight w:val="none"/>
        </w:rPr>
        <w:t>和治理</w:t>
      </w:r>
      <w:r>
        <w:rPr>
          <w:rFonts w:hint="eastAsia" w:ascii="宋体" w:hAnsi="宋体" w:cs="宋体"/>
          <w:color w:val="auto"/>
          <w:sz w:val="24"/>
          <w:highlight w:val="none"/>
        </w:rPr>
        <w:t>，完成统一访问服务门户中内部管理端和区域临床科研协作管理系统开发应用部署后，采购人组织阶段性验收，阶段性验收通过且中标人完成所有建设内容后，采购人组织初步验收，初步验收通过并在系统试运行3</w:t>
      </w:r>
      <w:r>
        <w:rPr>
          <w:rFonts w:ascii="宋体" w:hAnsi="宋体" w:cs="宋体"/>
          <w:color w:val="auto"/>
          <w:sz w:val="24"/>
          <w:highlight w:val="none"/>
        </w:rPr>
        <w:t>个月</w:t>
      </w:r>
      <w:r>
        <w:rPr>
          <w:rFonts w:hint="eastAsia" w:ascii="宋体" w:hAnsi="宋体" w:cs="宋体"/>
          <w:color w:val="auto"/>
          <w:sz w:val="24"/>
          <w:highlight w:val="none"/>
        </w:rPr>
        <w:t>后无重大故障，方可进行系统整体验收。</w:t>
      </w:r>
    </w:p>
    <w:p w14:paraId="79FC7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终验前，中标人必须提交包含不限于源代码、系统安装部署手册、软件需求规格说明书、数据库设计说明书、详细设计说明书、系统测试报告、操作手册、运行维护手册、试运行报告、项目总结报告、项目用户报告等成果资料。</w:t>
      </w:r>
    </w:p>
    <w:p w14:paraId="6C530C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3、中标人对项目内的数据没有任何处置权和使用权。</w:t>
      </w:r>
    </w:p>
    <w:p w14:paraId="7FA82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4、项目验收前，中标人须提供第三方软件测试报告（含功能、性能，测试依据必须包含招标文件）、信息安全风险评估报告、信创测评报告，相应测评费用由中标人承担。</w:t>
      </w:r>
    </w:p>
    <w:p w14:paraId="671B6ED4">
      <w:pPr>
        <w:pStyle w:val="5"/>
        <w:spacing w:line="360" w:lineRule="auto"/>
        <w:rPr>
          <w:color w:val="auto"/>
          <w:highlight w:val="none"/>
        </w:rPr>
      </w:pPr>
      <w:r>
        <w:rPr>
          <w:rFonts w:hint="eastAsia"/>
          <w:color w:val="auto"/>
          <w:highlight w:val="none"/>
        </w:rPr>
        <w:t>1.7.8 项目监理</w:t>
      </w:r>
    </w:p>
    <w:p w14:paraId="041FB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本项目执行监理制度，中标单位需承诺服从建设单位和监理单位要求，配合开展相应项目监理工作。</w:t>
      </w:r>
    </w:p>
    <w:p w14:paraId="60FD95DC">
      <w:pPr>
        <w:pStyle w:val="2"/>
        <w:spacing w:line="360" w:lineRule="auto"/>
        <w:rPr>
          <w:color w:val="auto"/>
          <w:highlight w:val="none"/>
        </w:rPr>
      </w:pPr>
      <w:r>
        <w:rPr>
          <w:rFonts w:hint="eastAsia"/>
          <w:color w:val="auto"/>
          <w:highlight w:val="none"/>
        </w:rPr>
        <w:t>1.8 其他</w:t>
      </w:r>
    </w:p>
    <w:p w14:paraId="59A227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1、本系统建设须符合</w:t>
      </w:r>
      <w:r>
        <w:rPr>
          <w:rFonts w:ascii="宋体" w:hAnsi="宋体" w:cs="宋体"/>
          <w:color w:val="auto"/>
          <w:sz w:val="24"/>
          <w:highlight w:val="none"/>
        </w:rPr>
        <w:t>《杭州市本级电子政务项目建设指南（第二版）》</w:t>
      </w:r>
      <w:r>
        <w:rPr>
          <w:rFonts w:hint="eastAsia" w:ascii="宋体" w:hAnsi="宋体" w:cs="宋体"/>
          <w:color w:val="auto"/>
          <w:sz w:val="24"/>
          <w:highlight w:val="none"/>
        </w:rPr>
        <w:t>(杭智办〔2023〕9号)</w:t>
      </w:r>
      <w:r>
        <w:rPr>
          <w:rFonts w:ascii="宋体" w:hAnsi="宋体" w:cs="宋体"/>
          <w:color w:val="auto"/>
          <w:sz w:val="24"/>
          <w:highlight w:val="none"/>
        </w:rPr>
        <w:t>以及</w:t>
      </w:r>
      <w:r>
        <w:rPr>
          <w:rFonts w:hint="eastAsia" w:ascii="宋体" w:hAnsi="宋体" w:cs="宋体"/>
          <w:color w:val="auto"/>
          <w:sz w:val="24"/>
          <w:highlight w:val="none"/>
        </w:rPr>
        <w:t>《杭州市本级政务信息化项目验收管理工作指引（试行）》</w:t>
      </w:r>
      <w:r>
        <w:rPr>
          <w:rFonts w:ascii="宋体" w:hAnsi="宋体" w:cs="宋体"/>
          <w:color w:val="auto"/>
          <w:sz w:val="24"/>
          <w:highlight w:val="none"/>
        </w:rPr>
        <w:t>相关要求</w:t>
      </w:r>
      <w:r>
        <w:rPr>
          <w:rFonts w:hint="eastAsia" w:ascii="宋体" w:hAnsi="宋体" w:cs="宋体"/>
          <w:color w:val="auto"/>
          <w:sz w:val="24"/>
          <w:highlight w:val="none"/>
        </w:rPr>
        <w:t>。</w:t>
      </w:r>
    </w:p>
    <w:p w14:paraId="503350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中标</w:t>
      </w:r>
      <w:r>
        <w:rPr>
          <w:rFonts w:hint="eastAsia" w:ascii="宋体" w:hAnsi="宋体" w:cs="宋体"/>
          <w:color w:val="auto"/>
          <w:sz w:val="24"/>
          <w:highlight w:val="none"/>
        </w:rPr>
        <w:t>人</w:t>
      </w:r>
      <w:r>
        <w:rPr>
          <w:rFonts w:ascii="宋体" w:hAnsi="宋体" w:cs="宋体"/>
          <w:color w:val="auto"/>
          <w:sz w:val="24"/>
          <w:highlight w:val="none"/>
        </w:rPr>
        <w:t>须保证所提供产品符合国家有关规定，在系统建设过程中如遇到与标准相关的内容须按照国家标准、行业标准、企业标准等方面考虑系统建设。</w:t>
      </w:r>
    </w:p>
    <w:p w14:paraId="1966A3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中标</w:t>
      </w:r>
      <w:r>
        <w:rPr>
          <w:rFonts w:hint="eastAsia" w:ascii="宋体" w:hAnsi="宋体" w:cs="宋体"/>
          <w:color w:val="auto"/>
          <w:sz w:val="24"/>
          <w:highlight w:val="none"/>
        </w:rPr>
        <w:t>人</w:t>
      </w:r>
      <w:r>
        <w:rPr>
          <w:rFonts w:ascii="宋体" w:hAnsi="宋体" w:cs="宋体"/>
          <w:color w:val="auto"/>
          <w:sz w:val="24"/>
          <w:highlight w:val="none"/>
        </w:rPr>
        <w:t>须保证解决项目所涉及的技术问题，如因技术原因无法满足用户需求，由此产生的风险由中标</w:t>
      </w:r>
      <w:r>
        <w:rPr>
          <w:rFonts w:hint="eastAsia" w:ascii="宋体" w:hAnsi="宋体" w:cs="宋体"/>
          <w:color w:val="auto"/>
          <w:sz w:val="24"/>
          <w:highlight w:val="none"/>
        </w:rPr>
        <w:t>人</w:t>
      </w:r>
      <w:r>
        <w:rPr>
          <w:rFonts w:ascii="宋体" w:hAnsi="宋体" w:cs="宋体"/>
          <w:color w:val="auto"/>
          <w:sz w:val="24"/>
          <w:highlight w:val="none"/>
        </w:rPr>
        <w:t>承担。</w:t>
      </w:r>
    </w:p>
    <w:p w14:paraId="07875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如中标</w:t>
      </w:r>
      <w:r>
        <w:rPr>
          <w:rFonts w:hint="eastAsia" w:ascii="宋体" w:hAnsi="宋体" w:cs="宋体"/>
          <w:color w:val="auto"/>
          <w:sz w:val="24"/>
          <w:highlight w:val="none"/>
        </w:rPr>
        <w:t>人</w:t>
      </w:r>
      <w:r>
        <w:rPr>
          <w:rFonts w:ascii="宋体" w:hAnsi="宋体" w:cs="宋体"/>
          <w:color w:val="auto"/>
          <w:sz w:val="24"/>
          <w:highlight w:val="none"/>
        </w:rPr>
        <w:t>对本次项目建设内容范围理解不全面，要以采购人的要求为准。</w:t>
      </w:r>
    </w:p>
    <w:p w14:paraId="50F1AD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建设过程中</w:t>
      </w:r>
      <w:r>
        <w:rPr>
          <w:rFonts w:hint="eastAsia" w:ascii="宋体" w:hAnsi="宋体" w:cs="宋体"/>
          <w:color w:val="auto"/>
          <w:sz w:val="24"/>
          <w:highlight w:val="none"/>
        </w:rPr>
        <w:t>如主管部门有新的要求，应满足相应要求。</w:t>
      </w:r>
    </w:p>
    <w:p w14:paraId="48F444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6、招标文件第四部分评分办法中评审因素相应的其它要求及第五部分采购合同中相应的其他要求。</w:t>
      </w: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12127"/>
      <w:bookmarkEnd w:id="38"/>
      <w:bookmarkStart w:id="39" w:name="_Toc184314458"/>
      <w:bookmarkEnd w:id="39"/>
      <w:bookmarkStart w:id="40" w:name="_Toc184308057"/>
      <w:bookmarkEnd w:id="40"/>
      <w:bookmarkStart w:id="41" w:name="_Toc184308085"/>
      <w:bookmarkEnd w:id="41"/>
      <w:bookmarkStart w:id="42" w:name="_Toc184308046"/>
      <w:bookmarkEnd w:id="42"/>
      <w:bookmarkStart w:id="43" w:name="_Toc184314479"/>
      <w:bookmarkEnd w:id="43"/>
      <w:bookmarkStart w:id="44" w:name="_Toc184308042"/>
      <w:bookmarkEnd w:id="44"/>
      <w:bookmarkStart w:id="45" w:name="_Toc184310324"/>
      <w:bookmarkEnd w:id="45"/>
      <w:bookmarkStart w:id="46" w:name="_Toc184308090"/>
      <w:bookmarkEnd w:id="46"/>
      <w:bookmarkStart w:id="47" w:name="_Toc184314461"/>
      <w:bookmarkEnd w:id="47"/>
      <w:bookmarkStart w:id="48" w:name="_Toc184313261"/>
      <w:bookmarkEnd w:id="48"/>
      <w:bookmarkStart w:id="49" w:name="_Toc184313246"/>
      <w:bookmarkEnd w:id="49"/>
      <w:bookmarkStart w:id="50" w:name="_Toc184310277"/>
      <w:bookmarkEnd w:id="50"/>
      <w:bookmarkStart w:id="51" w:name="_Toc184308063"/>
      <w:bookmarkEnd w:id="51"/>
      <w:bookmarkStart w:id="52" w:name="_Toc184308045"/>
      <w:bookmarkEnd w:id="52"/>
      <w:bookmarkStart w:id="53" w:name="_Toc184310279"/>
      <w:bookmarkEnd w:id="53"/>
      <w:bookmarkStart w:id="54" w:name="_Toc184313294"/>
      <w:bookmarkEnd w:id="54"/>
      <w:bookmarkStart w:id="55" w:name="_Toc184308082"/>
      <w:bookmarkEnd w:id="55"/>
      <w:bookmarkStart w:id="56" w:name="_Toc184313252"/>
      <w:bookmarkEnd w:id="56"/>
      <w:bookmarkStart w:id="57" w:name="_Toc184313248"/>
      <w:bookmarkEnd w:id="57"/>
      <w:bookmarkStart w:id="58" w:name="_Toc184313290"/>
      <w:bookmarkEnd w:id="58"/>
      <w:bookmarkStart w:id="59" w:name="_Toc184310339"/>
      <w:bookmarkEnd w:id="59"/>
      <w:bookmarkStart w:id="60" w:name="_Toc184310300"/>
      <w:bookmarkEnd w:id="60"/>
      <w:bookmarkStart w:id="61" w:name="_Toc184313270"/>
      <w:bookmarkEnd w:id="61"/>
      <w:bookmarkStart w:id="62" w:name="_Toc184308068"/>
      <w:bookmarkEnd w:id="62"/>
      <w:bookmarkStart w:id="63" w:name="_Toc184310325"/>
      <w:bookmarkEnd w:id="63"/>
      <w:bookmarkStart w:id="64" w:name="_Toc184310287"/>
      <w:bookmarkEnd w:id="64"/>
      <w:bookmarkStart w:id="65" w:name="_Toc184312113"/>
      <w:bookmarkEnd w:id="65"/>
      <w:bookmarkStart w:id="66" w:name="_Toc184314419"/>
      <w:bookmarkEnd w:id="66"/>
      <w:bookmarkStart w:id="67" w:name="_Toc184313264"/>
      <w:bookmarkEnd w:id="67"/>
      <w:bookmarkStart w:id="68" w:name="_Toc184314412"/>
      <w:bookmarkEnd w:id="68"/>
      <w:bookmarkStart w:id="69" w:name="_Toc184308103"/>
      <w:bookmarkEnd w:id="69"/>
      <w:bookmarkStart w:id="70" w:name="_Toc184312088"/>
      <w:bookmarkEnd w:id="70"/>
      <w:bookmarkStart w:id="71" w:name="_Toc184313273"/>
      <w:bookmarkEnd w:id="71"/>
      <w:bookmarkStart w:id="72" w:name="_Toc184308104"/>
      <w:bookmarkEnd w:id="72"/>
      <w:bookmarkStart w:id="73" w:name="_Toc184310308"/>
      <w:bookmarkEnd w:id="73"/>
      <w:bookmarkStart w:id="74" w:name="_Toc184314429"/>
      <w:bookmarkEnd w:id="74"/>
      <w:bookmarkStart w:id="75" w:name="_Toc184313280"/>
      <w:bookmarkEnd w:id="75"/>
      <w:bookmarkStart w:id="76" w:name="_Toc184314477"/>
      <w:bookmarkEnd w:id="76"/>
      <w:bookmarkStart w:id="77" w:name="_Toc184312071"/>
      <w:bookmarkEnd w:id="77"/>
      <w:bookmarkStart w:id="78" w:name="_Toc184310332"/>
      <w:bookmarkEnd w:id="78"/>
      <w:bookmarkStart w:id="79" w:name="_Toc184314410"/>
      <w:bookmarkEnd w:id="79"/>
      <w:bookmarkStart w:id="80" w:name="_Toc184312076"/>
      <w:bookmarkEnd w:id="80"/>
      <w:bookmarkStart w:id="81" w:name="_Toc184313271"/>
      <w:bookmarkEnd w:id="81"/>
      <w:bookmarkStart w:id="82" w:name="_Toc184308064"/>
      <w:bookmarkEnd w:id="82"/>
      <w:bookmarkStart w:id="83" w:name="_Toc184308081"/>
      <w:bookmarkEnd w:id="83"/>
      <w:bookmarkStart w:id="84" w:name="_Toc184310330"/>
      <w:bookmarkEnd w:id="84"/>
      <w:bookmarkStart w:id="85" w:name="_Toc184314422"/>
      <w:bookmarkEnd w:id="85"/>
      <w:bookmarkStart w:id="86" w:name="_Toc184308106"/>
      <w:bookmarkEnd w:id="86"/>
      <w:bookmarkStart w:id="87" w:name="_Toc184313285"/>
      <w:bookmarkEnd w:id="87"/>
      <w:bookmarkStart w:id="88" w:name="_Toc184313245"/>
      <w:bookmarkEnd w:id="88"/>
      <w:bookmarkStart w:id="89" w:name="_Toc184310292"/>
      <w:bookmarkEnd w:id="89"/>
      <w:bookmarkStart w:id="90" w:name="_Toc184313238"/>
      <w:bookmarkEnd w:id="90"/>
      <w:bookmarkStart w:id="91" w:name="_Toc184312132"/>
      <w:bookmarkEnd w:id="91"/>
      <w:bookmarkStart w:id="92" w:name="_Toc184312072"/>
      <w:bookmarkEnd w:id="92"/>
      <w:bookmarkStart w:id="93" w:name="_Toc184314430"/>
      <w:bookmarkEnd w:id="93"/>
      <w:bookmarkStart w:id="94" w:name="_Toc184314413"/>
      <w:bookmarkEnd w:id="94"/>
      <w:bookmarkStart w:id="95" w:name="_Toc184314438"/>
      <w:bookmarkEnd w:id="95"/>
      <w:bookmarkStart w:id="96" w:name="_Toc184314416"/>
      <w:bookmarkEnd w:id="96"/>
      <w:bookmarkStart w:id="97" w:name="_Toc184313309"/>
      <w:bookmarkEnd w:id="97"/>
      <w:bookmarkStart w:id="98" w:name="_Toc184314433"/>
      <w:bookmarkEnd w:id="98"/>
      <w:bookmarkStart w:id="99" w:name="_Toc184308099"/>
      <w:bookmarkEnd w:id="99"/>
      <w:bookmarkStart w:id="100" w:name="_Toc184308054"/>
      <w:bookmarkEnd w:id="100"/>
      <w:bookmarkStart w:id="101" w:name="_Toc184310331"/>
      <w:bookmarkEnd w:id="101"/>
      <w:bookmarkStart w:id="102" w:name="_Toc184314459"/>
      <w:bookmarkEnd w:id="102"/>
      <w:bookmarkStart w:id="103" w:name="_Toc184308059"/>
      <w:bookmarkEnd w:id="103"/>
      <w:bookmarkStart w:id="104" w:name="_Toc184312117"/>
      <w:bookmarkEnd w:id="104"/>
      <w:bookmarkStart w:id="105" w:name="_Toc184313256"/>
      <w:bookmarkEnd w:id="105"/>
      <w:bookmarkStart w:id="106" w:name="_Toc184313298"/>
      <w:bookmarkEnd w:id="106"/>
      <w:bookmarkStart w:id="107" w:name="_Toc184310305"/>
      <w:bookmarkEnd w:id="107"/>
      <w:bookmarkStart w:id="108" w:name="_Toc184308076"/>
      <w:bookmarkEnd w:id="108"/>
      <w:bookmarkStart w:id="109" w:name="_Toc184308041"/>
      <w:bookmarkEnd w:id="109"/>
      <w:bookmarkStart w:id="110" w:name="_Toc184310322"/>
      <w:bookmarkEnd w:id="110"/>
      <w:bookmarkStart w:id="111" w:name="_Toc184310280"/>
      <w:bookmarkEnd w:id="111"/>
      <w:bookmarkStart w:id="112" w:name="_Toc184314457"/>
      <w:bookmarkEnd w:id="112"/>
      <w:bookmarkStart w:id="113" w:name="_Toc184312130"/>
      <w:bookmarkEnd w:id="113"/>
      <w:bookmarkStart w:id="114" w:name="_Toc184312069"/>
      <w:bookmarkEnd w:id="114"/>
      <w:bookmarkStart w:id="115" w:name="_Toc184314470"/>
      <w:bookmarkEnd w:id="115"/>
      <w:bookmarkStart w:id="116" w:name="_Toc184310329"/>
      <w:bookmarkEnd w:id="116"/>
      <w:bookmarkStart w:id="117" w:name="_Toc184310303"/>
      <w:bookmarkEnd w:id="117"/>
      <w:bookmarkStart w:id="118" w:name="_Toc184308061"/>
      <w:bookmarkEnd w:id="118"/>
      <w:bookmarkStart w:id="119" w:name="_Toc184308096"/>
      <w:bookmarkEnd w:id="119"/>
      <w:bookmarkStart w:id="120" w:name="_Toc184312112"/>
      <w:bookmarkEnd w:id="120"/>
      <w:bookmarkStart w:id="121" w:name="_Toc184312125"/>
      <w:bookmarkEnd w:id="121"/>
      <w:bookmarkStart w:id="122" w:name="_Toc184308074"/>
      <w:bookmarkEnd w:id="122"/>
      <w:bookmarkStart w:id="123" w:name="_Toc184313253"/>
      <w:bookmarkEnd w:id="123"/>
      <w:bookmarkStart w:id="124" w:name="_Toc184312097"/>
      <w:bookmarkEnd w:id="124"/>
      <w:bookmarkStart w:id="125" w:name="_Toc184310334"/>
      <w:bookmarkEnd w:id="125"/>
      <w:bookmarkStart w:id="126" w:name="_Toc184308043"/>
      <w:bookmarkEnd w:id="126"/>
      <w:bookmarkStart w:id="127" w:name="_Toc184313243"/>
      <w:bookmarkEnd w:id="127"/>
      <w:bookmarkStart w:id="128" w:name="_Toc184310328"/>
      <w:bookmarkEnd w:id="128"/>
      <w:bookmarkStart w:id="129" w:name="_Toc184312102"/>
      <w:bookmarkEnd w:id="129"/>
      <w:bookmarkStart w:id="130" w:name="_Toc184314467"/>
      <w:bookmarkEnd w:id="130"/>
      <w:bookmarkStart w:id="131" w:name="_Toc184312075"/>
      <w:bookmarkEnd w:id="131"/>
      <w:bookmarkStart w:id="132" w:name="_Toc184308037"/>
      <w:bookmarkEnd w:id="132"/>
      <w:bookmarkStart w:id="133" w:name="_Toc184314476"/>
      <w:bookmarkEnd w:id="133"/>
      <w:bookmarkStart w:id="134" w:name="_Toc184310307"/>
      <w:bookmarkEnd w:id="134"/>
      <w:bookmarkStart w:id="135" w:name="_Toc184312111"/>
      <w:bookmarkEnd w:id="135"/>
      <w:bookmarkStart w:id="136" w:name="_Toc184308062"/>
      <w:bookmarkEnd w:id="136"/>
      <w:bookmarkStart w:id="137" w:name="_Toc184313263"/>
      <w:bookmarkEnd w:id="137"/>
      <w:bookmarkStart w:id="138" w:name="_Toc184308088"/>
      <w:bookmarkEnd w:id="138"/>
      <w:bookmarkStart w:id="139" w:name="_Toc184308087"/>
      <w:bookmarkEnd w:id="139"/>
      <w:bookmarkStart w:id="140" w:name="_Toc184312084"/>
      <w:bookmarkEnd w:id="140"/>
      <w:bookmarkStart w:id="141" w:name="_Toc184314454"/>
      <w:bookmarkEnd w:id="141"/>
      <w:bookmarkStart w:id="142" w:name="_Toc184314451"/>
      <w:bookmarkEnd w:id="142"/>
      <w:bookmarkStart w:id="143" w:name="_Toc184313247"/>
      <w:bookmarkEnd w:id="143"/>
      <w:bookmarkStart w:id="144" w:name="_Toc184312105"/>
      <w:bookmarkEnd w:id="144"/>
      <w:bookmarkStart w:id="145" w:name="_Toc184314423"/>
      <w:bookmarkEnd w:id="145"/>
      <w:bookmarkStart w:id="146" w:name="_Toc184310275"/>
      <w:bookmarkEnd w:id="146"/>
      <w:bookmarkStart w:id="147" w:name="_Toc184310326"/>
      <w:bookmarkEnd w:id="147"/>
      <w:bookmarkStart w:id="148" w:name="_Toc184312137"/>
      <w:bookmarkEnd w:id="148"/>
      <w:bookmarkStart w:id="149" w:name="_Toc184310315"/>
      <w:bookmarkEnd w:id="149"/>
      <w:bookmarkStart w:id="150" w:name="_Toc184314465"/>
      <w:bookmarkEnd w:id="150"/>
      <w:bookmarkStart w:id="151" w:name="_Toc184313240"/>
      <w:bookmarkEnd w:id="151"/>
      <w:bookmarkStart w:id="152" w:name="_Toc184308071"/>
      <w:bookmarkEnd w:id="152"/>
      <w:bookmarkStart w:id="153" w:name="_Toc184310312"/>
      <w:bookmarkEnd w:id="153"/>
      <w:bookmarkStart w:id="154" w:name="_Toc184313310"/>
      <w:bookmarkEnd w:id="154"/>
      <w:bookmarkStart w:id="155" w:name="_Toc184310342"/>
      <w:bookmarkEnd w:id="155"/>
      <w:bookmarkStart w:id="156" w:name="_Toc184314435"/>
      <w:bookmarkEnd w:id="156"/>
      <w:bookmarkStart w:id="157" w:name="_Toc184312129"/>
      <w:bookmarkEnd w:id="157"/>
      <w:bookmarkStart w:id="158" w:name="_Toc184308102"/>
      <w:bookmarkEnd w:id="158"/>
      <w:bookmarkStart w:id="159" w:name="_Toc184310278"/>
      <w:bookmarkEnd w:id="159"/>
      <w:bookmarkStart w:id="160" w:name="_Toc184313301"/>
      <w:bookmarkEnd w:id="160"/>
      <w:bookmarkStart w:id="161" w:name="_Toc184308067"/>
      <w:bookmarkEnd w:id="161"/>
      <w:bookmarkStart w:id="162" w:name="_Toc184314442"/>
      <w:bookmarkEnd w:id="162"/>
      <w:bookmarkStart w:id="163" w:name="_Toc184314472"/>
      <w:bookmarkEnd w:id="163"/>
      <w:bookmarkStart w:id="164" w:name="_Toc184314441"/>
      <w:bookmarkEnd w:id="164"/>
      <w:bookmarkStart w:id="165" w:name="_Toc184312134"/>
      <w:bookmarkEnd w:id="165"/>
      <w:bookmarkStart w:id="166" w:name="_Toc184308080"/>
      <w:bookmarkEnd w:id="166"/>
      <w:bookmarkStart w:id="167" w:name="_Toc184312119"/>
      <w:bookmarkEnd w:id="167"/>
      <w:bookmarkStart w:id="168" w:name="_Toc184310276"/>
      <w:bookmarkEnd w:id="168"/>
      <w:bookmarkStart w:id="169" w:name="_Toc184310281"/>
      <w:bookmarkEnd w:id="169"/>
      <w:bookmarkStart w:id="170" w:name="_Toc184308036"/>
      <w:bookmarkEnd w:id="170"/>
      <w:bookmarkStart w:id="171" w:name="_Toc184312085"/>
      <w:bookmarkEnd w:id="171"/>
      <w:bookmarkStart w:id="172" w:name="_Toc184308079"/>
      <w:bookmarkEnd w:id="172"/>
      <w:bookmarkStart w:id="173" w:name="_Toc184312096"/>
      <w:bookmarkEnd w:id="173"/>
      <w:bookmarkStart w:id="174" w:name="_Toc184312116"/>
      <w:bookmarkEnd w:id="174"/>
      <w:bookmarkStart w:id="175" w:name="_Toc184312135"/>
      <w:bookmarkEnd w:id="175"/>
      <w:bookmarkStart w:id="176" w:name="_Toc184314463"/>
      <w:bookmarkEnd w:id="176"/>
      <w:bookmarkStart w:id="177" w:name="_Toc184312078"/>
      <w:bookmarkEnd w:id="177"/>
      <w:bookmarkStart w:id="178" w:name="_Toc184308092"/>
      <w:bookmarkEnd w:id="178"/>
      <w:bookmarkStart w:id="179" w:name="_Toc184312139"/>
      <w:bookmarkEnd w:id="179"/>
      <w:bookmarkStart w:id="180" w:name="_Toc184310341"/>
      <w:bookmarkEnd w:id="180"/>
      <w:bookmarkStart w:id="181" w:name="_Toc184314462"/>
      <w:bookmarkEnd w:id="181"/>
      <w:bookmarkStart w:id="182" w:name="_Toc184314440"/>
      <w:bookmarkEnd w:id="182"/>
      <w:bookmarkStart w:id="183" w:name="_Toc184313262"/>
      <w:bookmarkEnd w:id="183"/>
      <w:bookmarkStart w:id="184" w:name="_Toc184313241"/>
      <w:bookmarkEnd w:id="184"/>
      <w:bookmarkStart w:id="185" w:name="_Toc184314436"/>
      <w:bookmarkEnd w:id="185"/>
      <w:bookmarkStart w:id="186" w:name="_Toc184314411"/>
      <w:bookmarkEnd w:id="186"/>
      <w:bookmarkStart w:id="187" w:name="_Toc184308056"/>
      <w:bookmarkEnd w:id="187"/>
      <w:bookmarkStart w:id="188" w:name="_Toc184312082"/>
      <w:bookmarkEnd w:id="188"/>
      <w:bookmarkStart w:id="189" w:name="_Toc184314456"/>
      <w:bookmarkEnd w:id="189"/>
      <w:bookmarkStart w:id="190" w:name="_Toc184313281"/>
      <w:bookmarkEnd w:id="190"/>
      <w:bookmarkStart w:id="191" w:name="_Toc184314434"/>
      <w:bookmarkEnd w:id="191"/>
      <w:bookmarkStart w:id="192" w:name="_Toc184312092"/>
      <w:bookmarkEnd w:id="192"/>
      <w:bookmarkStart w:id="193" w:name="_Toc184313275"/>
      <w:bookmarkEnd w:id="193"/>
      <w:bookmarkStart w:id="194" w:name="_Toc184312101"/>
      <w:bookmarkEnd w:id="194"/>
      <w:bookmarkStart w:id="195" w:name="_Toc184308050"/>
      <w:bookmarkEnd w:id="195"/>
      <w:bookmarkStart w:id="196" w:name="_Toc184312120"/>
      <w:bookmarkEnd w:id="196"/>
      <w:bookmarkStart w:id="197" w:name="_Toc184308072"/>
      <w:bookmarkEnd w:id="197"/>
      <w:bookmarkStart w:id="198" w:name="_Toc184314417"/>
      <w:bookmarkEnd w:id="198"/>
      <w:bookmarkStart w:id="199" w:name="_Toc184313267"/>
      <w:bookmarkEnd w:id="199"/>
      <w:bookmarkStart w:id="200" w:name="_Toc184310304"/>
      <w:bookmarkEnd w:id="200"/>
      <w:bookmarkStart w:id="201" w:name="_Toc184310321"/>
      <w:bookmarkEnd w:id="201"/>
      <w:bookmarkStart w:id="202" w:name="_Toc184314418"/>
      <w:bookmarkEnd w:id="202"/>
      <w:bookmarkStart w:id="203" w:name="_Toc184310335"/>
      <w:bookmarkEnd w:id="203"/>
      <w:bookmarkStart w:id="204" w:name="_Toc184310295"/>
      <w:bookmarkEnd w:id="204"/>
      <w:bookmarkStart w:id="205" w:name="_Toc184308083"/>
      <w:bookmarkEnd w:id="205"/>
      <w:bookmarkStart w:id="206" w:name="_Toc184310311"/>
      <w:bookmarkEnd w:id="206"/>
      <w:bookmarkStart w:id="207" w:name="_Toc184310293"/>
      <w:bookmarkEnd w:id="207"/>
      <w:bookmarkStart w:id="208" w:name="_Toc184308049"/>
      <w:bookmarkEnd w:id="208"/>
      <w:bookmarkStart w:id="209" w:name="_Toc184314452"/>
      <w:bookmarkEnd w:id="209"/>
      <w:bookmarkStart w:id="210" w:name="_Toc184314425"/>
      <w:bookmarkEnd w:id="210"/>
      <w:bookmarkStart w:id="211" w:name="_Toc184310285"/>
      <w:bookmarkEnd w:id="211"/>
      <w:bookmarkStart w:id="212" w:name="_Toc184310337"/>
      <w:bookmarkEnd w:id="212"/>
      <w:bookmarkStart w:id="213" w:name="_Toc184314437"/>
      <w:bookmarkEnd w:id="213"/>
      <w:bookmarkStart w:id="214" w:name="_Toc184312121"/>
      <w:bookmarkEnd w:id="214"/>
      <w:bookmarkStart w:id="215" w:name="_Toc184308089"/>
      <w:bookmarkEnd w:id="215"/>
      <w:bookmarkStart w:id="216" w:name="_Toc184310290"/>
      <w:bookmarkEnd w:id="216"/>
      <w:bookmarkStart w:id="217" w:name="_Toc184310333"/>
      <w:bookmarkEnd w:id="217"/>
      <w:bookmarkStart w:id="218" w:name="_Toc184310294"/>
      <w:bookmarkEnd w:id="218"/>
      <w:bookmarkStart w:id="219" w:name="_Toc184308077"/>
      <w:bookmarkEnd w:id="219"/>
      <w:bookmarkStart w:id="220" w:name="_Toc184313260"/>
      <w:bookmarkEnd w:id="220"/>
      <w:bookmarkStart w:id="221" w:name="_Toc184312087"/>
      <w:bookmarkEnd w:id="221"/>
      <w:bookmarkStart w:id="222" w:name="_Toc184312067"/>
      <w:bookmarkEnd w:id="222"/>
      <w:bookmarkStart w:id="223" w:name="_Toc184312136"/>
      <w:bookmarkEnd w:id="223"/>
      <w:bookmarkStart w:id="224" w:name="_Toc184314466"/>
      <w:bookmarkEnd w:id="224"/>
      <w:bookmarkStart w:id="225" w:name="_Toc184313297"/>
      <w:bookmarkEnd w:id="225"/>
      <w:bookmarkStart w:id="226" w:name="_Toc184310319"/>
      <w:bookmarkEnd w:id="226"/>
      <w:bookmarkStart w:id="227" w:name="_Toc184314428"/>
      <w:bookmarkEnd w:id="227"/>
      <w:bookmarkStart w:id="228" w:name="_Toc184314478"/>
      <w:bookmarkEnd w:id="228"/>
      <w:bookmarkStart w:id="229" w:name="_Toc184313286"/>
      <w:bookmarkEnd w:id="229"/>
      <w:bookmarkStart w:id="230" w:name="_Toc184310314"/>
      <w:bookmarkEnd w:id="230"/>
      <w:bookmarkStart w:id="231" w:name="_Toc184308098"/>
      <w:bookmarkEnd w:id="231"/>
      <w:bookmarkStart w:id="232" w:name="_Toc184312098"/>
      <w:bookmarkEnd w:id="232"/>
      <w:bookmarkStart w:id="233" w:name="_Toc184308066"/>
      <w:bookmarkEnd w:id="233"/>
      <w:bookmarkStart w:id="234" w:name="_Toc184310283"/>
      <w:bookmarkEnd w:id="234"/>
      <w:bookmarkStart w:id="235" w:name="_Toc184312126"/>
      <w:bookmarkEnd w:id="235"/>
      <w:bookmarkStart w:id="236" w:name="_Toc184313258"/>
      <w:bookmarkEnd w:id="236"/>
      <w:bookmarkStart w:id="237" w:name="_Toc184310297"/>
      <w:bookmarkEnd w:id="237"/>
      <w:bookmarkStart w:id="238" w:name="_Toc184313295"/>
      <w:bookmarkEnd w:id="238"/>
      <w:bookmarkStart w:id="239" w:name="_Toc184310301"/>
      <w:bookmarkEnd w:id="239"/>
      <w:bookmarkStart w:id="240" w:name="_Toc184312073"/>
      <w:bookmarkEnd w:id="240"/>
      <w:bookmarkStart w:id="241" w:name="_Toc184312103"/>
      <w:bookmarkEnd w:id="241"/>
      <w:bookmarkStart w:id="242" w:name="_Toc184310313"/>
      <w:bookmarkEnd w:id="242"/>
      <w:bookmarkStart w:id="243" w:name="_Toc184310272"/>
      <w:bookmarkEnd w:id="243"/>
      <w:bookmarkStart w:id="244" w:name="_Toc184310296"/>
      <w:bookmarkEnd w:id="244"/>
      <w:bookmarkStart w:id="245" w:name="_Toc184312093"/>
      <w:bookmarkEnd w:id="245"/>
      <w:bookmarkStart w:id="246" w:name="_Toc184312122"/>
      <w:bookmarkEnd w:id="246"/>
      <w:bookmarkStart w:id="247" w:name="_Toc184308038"/>
      <w:bookmarkEnd w:id="247"/>
      <w:bookmarkStart w:id="248" w:name="_Toc184312128"/>
      <w:bookmarkEnd w:id="248"/>
      <w:bookmarkStart w:id="249" w:name="_Toc184314471"/>
      <w:bookmarkEnd w:id="249"/>
      <w:bookmarkStart w:id="250" w:name="_Toc184314480"/>
      <w:bookmarkEnd w:id="250"/>
      <w:bookmarkStart w:id="251" w:name="_Toc184310309"/>
      <w:bookmarkEnd w:id="251"/>
      <w:bookmarkStart w:id="252" w:name="_Toc184313283"/>
      <w:bookmarkEnd w:id="252"/>
      <w:bookmarkStart w:id="253" w:name="_Toc184308053"/>
      <w:bookmarkEnd w:id="253"/>
      <w:bookmarkStart w:id="254" w:name="_Toc184310323"/>
      <w:bookmarkEnd w:id="254"/>
      <w:bookmarkStart w:id="255" w:name="_Toc184314424"/>
      <w:bookmarkEnd w:id="255"/>
      <w:bookmarkStart w:id="256" w:name="_Toc184312138"/>
      <w:bookmarkEnd w:id="256"/>
      <w:bookmarkStart w:id="257" w:name="_Toc184308105"/>
      <w:bookmarkEnd w:id="257"/>
      <w:bookmarkStart w:id="258" w:name="_Toc184308058"/>
      <w:bookmarkEnd w:id="258"/>
      <w:bookmarkStart w:id="259" w:name="_Toc184313277"/>
      <w:bookmarkEnd w:id="259"/>
      <w:bookmarkStart w:id="260" w:name="_Toc184310338"/>
      <w:bookmarkEnd w:id="260"/>
      <w:bookmarkStart w:id="261" w:name="_Toc184310317"/>
      <w:bookmarkEnd w:id="261"/>
      <w:bookmarkStart w:id="262" w:name="_Toc184310291"/>
      <w:bookmarkEnd w:id="262"/>
      <w:bookmarkStart w:id="263" w:name="_Toc184308107"/>
      <w:bookmarkEnd w:id="263"/>
      <w:bookmarkStart w:id="264" w:name="_Toc184308084"/>
      <w:bookmarkEnd w:id="264"/>
      <w:bookmarkStart w:id="265" w:name="_Toc184313305"/>
      <w:bookmarkEnd w:id="265"/>
      <w:bookmarkStart w:id="266" w:name="_Toc184313244"/>
      <w:bookmarkEnd w:id="266"/>
      <w:bookmarkStart w:id="267" w:name="_Toc184312074"/>
      <w:bookmarkEnd w:id="267"/>
      <w:bookmarkStart w:id="268" w:name="_Toc184310288"/>
      <w:bookmarkEnd w:id="268"/>
      <w:bookmarkStart w:id="269" w:name="_Toc184313242"/>
      <w:bookmarkEnd w:id="269"/>
      <w:bookmarkStart w:id="270" w:name="_Toc184313250"/>
      <w:bookmarkEnd w:id="270"/>
      <w:bookmarkStart w:id="271" w:name="_Toc184312100"/>
      <w:bookmarkEnd w:id="271"/>
      <w:bookmarkStart w:id="272" w:name="_Toc184314439"/>
      <w:bookmarkEnd w:id="272"/>
      <w:bookmarkStart w:id="273" w:name="_Toc184310318"/>
      <w:bookmarkEnd w:id="273"/>
      <w:bookmarkStart w:id="274" w:name="_Toc184310344"/>
      <w:bookmarkEnd w:id="274"/>
      <w:bookmarkStart w:id="275" w:name="_Toc184312094"/>
      <w:bookmarkEnd w:id="275"/>
      <w:bookmarkStart w:id="276" w:name="_Toc184313287"/>
      <w:bookmarkEnd w:id="276"/>
      <w:bookmarkStart w:id="277" w:name="_Toc184308101"/>
      <w:bookmarkEnd w:id="277"/>
      <w:bookmarkStart w:id="278" w:name="_Toc184312118"/>
      <w:bookmarkEnd w:id="278"/>
      <w:bookmarkStart w:id="279" w:name="_Toc184310273"/>
      <w:bookmarkEnd w:id="279"/>
      <w:bookmarkStart w:id="280" w:name="_Toc184312109"/>
      <w:bookmarkEnd w:id="280"/>
      <w:bookmarkStart w:id="281" w:name="_Toc184310289"/>
      <w:bookmarkEnd w:id="281"/>
      <w:bookmarkStart w:id="282" w:name="_Toc184308040"/>
      <w:bookmarkEnd w:id="282"/>
      <w:bookmarkStart w:id="283" w:name="_Toc184313239"/>
      <w:bookmarkEnd w:id="283"/>
      <w:bookmarkStart w:id="284" w:name="_Toc184313284"/>
      <w:bookmarkEnd w:id="284"/>
      <w:bookmarkStart w:id="285" w:name="_Toc184312115"/>
      <w:bookmarkEnd w:id="285"/>
      <w:bookmarkStart w:id="286" w:name="_Toc184313293"/>
      <w:bookmarkEnd w:id="286"/>
      <w:bookmarkStart w:id="287" w:name="_Toc184312107"/>
      <w:bookmarkEnd w:id="287"/>
      <w:bookmarkStart w:id="288" w:name="_Toc184313307"/>
      <w:bookmarkEnd w:id="288"/>
      <w:bookmarkStart w:id="289" w:name="_Toc184313272"/>
      <w:bookmarkEnd w:id="289"/>
      <w:bookmarkStart w:id="290" w:name="_Toc184314432"/>
      <w:bookmarkEnd w:id="290"/>
      <w:bookmarkStart w:id="291" w:name="_Toc184313251"/>
      <w:bookmarkEnd w:id="291"/>
      <w:bookmarkStart w:id="292" w:name="_Toc184314420"/>
      <w:bookmarkEnd w:id="292"/>
      <w:bookmarkStart w:id="293" w:name="_Toc184308078"/>
      <w:bookmarkEnd w:id="293"/>
      <w:bookmarkStart w:id="294" w:name="_Toc184313296"/>
      <w:bookmarkEnd w:id="294"/>
      <w:bookmarkStart w:id="295" w:name="_Toc184314444"/>
      <w:bookmarkEnd w:id="295"/>
      <w:bookmarkStart w:id="296" w:name="_Toc184310298"/>
      <w:bookmarkEnd w:id="296"/>
      <w:bookmarkStart w:id="297" w:name="_Toc184312131"/>
      <w:bookmarkEnd w:id="297"/>
      <w:bookmarkStart w:id="298" w:name="_Toc184310343"/>
      <w:bookmarkEnd w:id="298"/>
      <w:bookmarkStart w:id="299" w:name="_Toc184308065"/>
      <w:bookmarkEnd w:id="299"/>
      <w:bookmarkStart w:id="300" w:name="_Toc184312123"/>
      <w:bookmarkEnd w:id="300"/>
      <w:bookmarkStart w:id="301" w:name="_Toc184313269"/>
      <w:bookmarkEnd w:id="301"/>
      <w:bookmarkStart w:id="302" w:name="_Toc184313299"/>
      <w:bookmarkEnd w:id="302"/>
      <w:bookmarkStart w:id="303" w:name="_Toc184312081"/>
      <w:bookmarkEnd w:id="303"/>
      <w:bookmarkStart w:id="304" w:name="_Toc184313300"/>
      <w:bookmarkEnd w:id="304"/>
      <w:bookmarkStart w:id="305" w:name="_Toc184313289"/>
      <w:bookmarkEnd w:id="305"/>
      <w:bookmarkStart w:id="306" w:name="_Toc184308047"/>
      <w:bookmarkEnd w:id="306"/>
      <w:bookmarkStart w:id="307" w:name="_Toc184314431"/>
      <w:bookmarkEnd w:id="307"/>
      <w:bookmarkStart w:id="308" w:name="_Toc184308100"/>
      <w:bookmarkEnd w:id="308"/>
      <w:bookmarkStart w:id="309" w:name="_Toc184313274"/>
      <w:bookmarkEnd w:id="309"/>
      <w:bookmarkStart w:id="310" w:name="_Toc184312108"/>
      <w:bookmarkEnd w:id="310"/>
      <w:bookmarkStart w:id="311" w:name="_Toc184314427"/>
      <w:bookmarkEnd w:id="311"/>
      <w:bookmarkStart w:id="312" w:name="_Toc184312077"/>
      <w:bookmarkEnd w:id="312"/>
      <w:bookmarkStart w:id="313" w:name="_Toc184310320"/>
      <w:bookmarkEnd w:id="313"/>
      <w:bookmarkStart w:id="314" w:name="_Toc184312079"/>
      <w:bookmarkEnd w:id="314"/>
      <w:bookmarkStart w:id="315" w:name="_Toc184310302"/>
      <w:bookmarkEnd w:id="315"/>
      <w:bookmarkStart w:id="316" w:name="_Toc184310299"/>
      <w:bookmarkEnd w:id="316"/>
      <w:bookmarkStart w:id="317" w:name="_Toc184313255"/>
      <w:bookmarkEnd w:id="317"/>
      <w:bookmarkStart w:id="318" w:name="_Toc184310284"/>
      <w:bookmarkEnd w:id="318"/>
      <w:bookmarkStart w:id="319" w:name="_Toc184308094"/>
      <w:bookmarkEnd w:id="319"/>
      <w:bookmarkStart w:id="320" w:name="_Toc184313291"/>
      <w:bookmarkEnd w:id="320"/>
      <w:bookmarkStart w:id="321" w:name="_Toc184313282"/>
      <w:bookmarkEnd w:id="321"/>
      <w:bookmarkStart w:id="322" w:name="_Toc184310336"/>
      <w:bookmarkEnd w:id="322"/>
      <w:bookmarkStart w:id="323" w:name="_Toc184314468"/>
      <w:bookmarkEnd w:id="323"/>
      <w:bookmarkStart w:id="324" w:name="_Toc184308039"/>
      <w:bookmarkEnd w:id="324"/>
      <w:bookmarkStart w:id="325" w:name="_Toc184313254"/>
      <w:bookmarkEnd w:id="325"/>
      <w:bookmarkStart w:id="326" w:name="_Toc184313278"/>
      <w:bookmarkEnd w:id="326"/>
      <w:bookmarkStart w:id="327" w:name="_Toc184308075"/>
      <w:bookmarkEnd w:id="327"/>
      <w:bookmarkStart w:id="328" w:name="_Toc184313265"/>
      <w:bookmarkEnd w:id="328"/>
      <w:bookmarkStart w:id="329" w:name="_Toc184312104"/>
      <w:bookmarkEnd w:id="329"/>
      <w:bookmarkStart w:id="330" w:name="_Toc184308069"/>
      <w:bookmarkEnd w:id="330"/>
      <w:bookmarkStart w:id="331" w:name="_Toc184314453"/>
      <w:bookmarkEnd w:id="331"/>
      <w:bookmarkStart w:id="332" w:name="_Toc184312106"/>
      <w:bookmarkEnd w:id="332"/>
      <w:bookmarkStart w:id="333" w:name="_Toc184314443"/>
      <w:bookmarkEnd w:id="333"/>
      <w:bookmarkStart w:id="334" w:name="_Toc184308070"/>
      <w:bookmarkEnd w:id="334"/>
      <w:bookmarkStart w:id="335" w:name="_Toc184308055"/>
      <w:bookmarkEnd w:id="335"/>
      <w:bookmarkStart w:id="336" w:name="_Toc184313292"/>
      <w:bookmarkEnd w:id="336"/>
      <w:bookmarkStart w:id="337" w:name="_Toc184314447"/>
      <w:bookmarkEnd w:id="337"/>
      <w:bookmarkStart w:id="338" w:name="_Toc184314445"/>
      <w:bookmarkEnd w:id="338"/>
      <w:bookmarkStart w:id="339" w:name="_Toc184308097"/>
      <w:bookmarkEnd w:id="339"/>
      <w:bookmarkStart w:id="340" w:name="_Toc184308060"/>
      <w:bookmarkEnd w:id="340"/>
      <w:bookmarkStart w:id="341" w:name="_Toc184314475"/>
      <w:bookmarkEnd w:id="341"/>
      <w:bookmarkStart w:id="342" w:name="_Toc184308108"/>
      <w:bookmarkEnd w:id="342"/>
      <w:bookmarkStart w:id="343" w:name="_Toc184308093"/>
      <w:bookmarkEnd w:id="343"/>
      <w:bookmarkStart w:id="344" w:name="_Toc184308051"/>
      <w:bookmarkEnd w:id="344"/>
      <w:bookmarkStart w:id="345" w:name="_Toc184312095"/>
      <w:bookmarkEnd w:id="345"/>
      <w:bookmarkStart w:id="346" w:name="_Toc184314450"/>
      <w:bookmarkEnd w:id="346"/>
      <w:bookmarkStart w:id="347" w:name="_Toc184314455"/>
      <w:bookmarkEnd w:id="347"/>
      <w:bookmarkStart w:id="348" w:name="_Toc184314473"/>
      <w:bookmarkEnd w:id="348"/>
      <w:bookmarkStart w:id="349" w:name="_Toc184310286"/>
      <w:bookmarkEnd w:id="349"/>
      <w:bookmarkStart w:id="350" w:name="_Toc184308044"/>
      <w:bookmarkEnd w:id="350"/>
      <w:bookmarkStart w:id="351" w:name="_Toc184310274"/>
      <w:bookmarkEnd w:id="351"/>
      <w:bookmarkStart w:id="352" w:name="_Toc184314469"/>
      <w:bookmarkEnd w:id="352"/>
      <w:bookmarkStart w:id="353" w:name="_Toc184312080"/>
      <w:bookmarkEnd w:id="353"/>
      <w:bookmarkStart w:id="354" w:name="_Toc184308073"/>
      <w:bookmarkEnd w:id="354"/>
      <w:bookmarkStart w:id="355" w:name="_Toc184308086"/>
      <w:bookmarkEnd w:id="355"/>
      <w:bookmarkStart w:id="356" w:name="_Toc184314426"/>
      <w:bookmarkEnd w:id="356"/>
      <w:bookmarkStart w:id="357" w:name="_Toc184312083"/>
      <w:bookmarkEnd w:id="357"/>
      <w:bookmarkStart w:id="358" w:name="_Toc184312090"/>
      <w:bookmarkEnd w:id="358"/>
      <w:bookmarkStart w:id="359" w:name="_Toc184312099"/>
      <w:bookmarkEnd w:id="359"/>
      <w:bookmarkStart w:id="360" w:name="_Toc184312133"/>
      <w:bookmarkEnd w:id="360"/>
      <w:bookmarkStart w:id="361" w:name="_Toc184308095"/>
      <w:bookmarkEnd w:id="361"/>
      <w:bookmarkStart w:id="362" w:name="_Toc184312070"/>
      <w:bookmarkEnd w:id="362"/>
      <w:bookmarkStart w:id="363" w:name="_Toc184314482"/>
      <w:bookmarkEnd w:id="363"/>
      <w:bookmarkStart w:id="364" w:name="_Toc184313249"/>
      <w:bookmarkEnd w:id="364"/>
      <w:bookmarkStart w:id="365" w:name="_Toc184312124"/>
      <w:bookmarkEnd w:id="365"/>
      <w:bookmarkStart w:id="366" w:name="_Toc184314446"/>
      <w:bookmarkEnd w:id="366"/>
      <w:bookmarkStart w:id="367" w:name="_Toc184313276"/>
      <w:bookmarkEnd w:id="367"/>
      <w:bookmarkStart w:id="368" w:name="_Toc184313257"/>
      <w:bookmarkEnd w:id="368"/>
      <w:bookmarkStart w:id="369" w:name="_Toc184314448"/>
      <w:bookmarkEnd w:id="369"/>
      <w:bookmarkStart w:id="370" w:name="_Toc184312086"/>
      <w:bookmarkEnd w:id="370"/>
      <w:bookmarkStart w:id="371" w:name="_Toc184314460"/>
      <w:bookmarkEnd w:id="371"/>
      <w:bookmarkStart w:id="372" w:name="_Toc184310306"/>
      <w:bookmarkEnd w:id="372"/>
      <w:bookmarkStart w:id="373" w:name="_Toc184314414"/>
      <w:bookmarkEnd w:id="373"/>
      <w:bookmarkStart w:id="374" w:name="_Toc184314421"/>
      <w:bookmarkEnd w:id="374"/>
      <w:bookmarkStart w:id="375" w:name="_Toc184310310"/>
      <w:bookmarkEnd w:id="375"/>
      <w:bookmarkStart w:id="376" w:name="_Toc184314415"/>
      <w:bookmarkEnd w:id="376"/>
      <w:bookmarkStart w:id="377" w:name="_Toc184313268"/>
      <w:bookmarkEnd w:id="377"/>
      <w:bookmarkStart w:id="378" w:name="_Toc184310340"/>
      <w:bookmarkEnd w:id="378"/>
      <w:bookmarkStart w:id="379" w:name="_Toc184312089"/>
      <w:bookmarkEnd w:id="379"/>
      <w:bookmarkStart w:id="380" w:name="_Toc184312114"/>
      <w:bookmarkEnd w:id="380"/>
      <w:bookmarkStart w:id="381" w:name="_Toc184312091"/>
      <w:bookmarkEnd w:id="381"/>
      <w:bookmarkStart w:id="382" w:name="_Toc184314449"/>
      <w:bookmarkEnd w:id="382"/>
      <w:bookmarkStart w:id="383" w:name="_Toc184310316"/>
      <w:bookmarkEnd w:id="383"/>
      <w:bookmarkStart w:id="384" w:name="_Toc184314481"/>
      <w:bookmarkEnd w:id="384"/>
      <w:bookmarkStart w:id="385" w:name="_Toc184310282"/>
      <w:bookmarkEnd w:id="385"/>
      <w:bookmarkStart w:id="386" w:name="_Toc184308091"/>
      <w:bookmarkEnd w:id="386"/>
      <w:bookmarkStart w:id="387" w:name="_Toc184313279"/>
      <w:bookmarkEnd w:id="387"/>
      <w:bookmarkStart w:id="388" w:name="_Toc184313308"/>
      <w:bookmarkEnd w:id="388"/>
      <w:bookmarkStart w:id="389" w:name="_Toc184313303"/>
      <w:bookmarkEnd w:id="389"/>
      <w:bookmarkStart w:id="390" w:name="_Toc184312068"/>
      <w:bookmarkEnd w:id="390"/>
      <w:bookmarkStart w:id="391" w:name="_Toc184308052"/>
      <w:bookmarkEnd w:id="391"/>
      <w:bookmarkStart w:id="392" w:name="_Toc184313304"/>
      <w:bookmarkEnd w:id="392"/>
      <w:bookmarkStart w:id="393" w:name="_Toc184313302"/>
      <w:bookmarkEnd w:id="393"/>
      <w:bookmarkStart w:id="394" w:name="_Toc184314464"/>
      <w:bookmarkEnd w:id="394"/>
      <w:bookmarkStart w:id="395" w:name="_Toc184313306"/>
      <w:bookmarkEnd w:id="395"/>
      <w:bookmarkStart w:id="396" w:name="_Toc184313288"/>
      <w:bookmarkEnd w:id="396"/>
      <w:bookmarkStart w:id="397" w:name="_Toc184313259"/>
      <w:bookmarkEnd w:id="397"/>
      <w:bookmarkStart w:id="398" w:name="_Toc184313266"/>
      <w:bookmarkEnd w:id="398"/>
      <w:bookmarkStart w:id="399" w:name="_Toc184314474"/>
      <w:bookmarkEnd w:id="399"/>
      <w:bookmarkStart w:id="400" w:name="_Toc184310327"/>
      <w:bookmarkEnd w:id="400"/>
      <w:bookmarkStart w:id="401" w:name="_Toc184312110"/>
      <w:bookmarkEnd w:id="401"/>
      <w:bookmarkStart w:id="402" w:name="_Toc184308048"/>
      <w:bookmarkEnd w:id="402"/>
      <w:r>
        <w:rPr>
          <w:rFonts w:hint="eastAsia" w:ascii="宋体" w:hAnsi="宋体" w:cs="宋体"/>
          <w:b/>
          <w:color w:val="auto"/>
          <w:sz w:val="36"/>
          <w:szCs w:val="36"/>
          <w:highlight w:val="none"/>
        </w:rPr>
        <w:t>评标办法</w:t>
      </w:r>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495" w:type="dxa"/>
        <w:tblInd w:w="0" w:type="dxa"/>
        <w:tblLayout w:type="fixed"/>
        <w:tblCellMar>
          <w:top w:w="0" w:type="dxa"/>
          <w:left w:w="108" w:type="dxa"/>
          <w:bottom w:w="0" w:type="dxa"/>
          <w:right w:w="108" w:type="dxa"/>
        </w:tblCellMar>
      </w:tblPr>
      <w:tblGrid>
        <w:gridCol w:w="938"/>
        <w:gridCol w:w="4893"/>
        <w:gridCol w:w="642"/>
        <w:gridCol w:w="1012"/>
        <w:gridCol w:w="1010"/>
      </w:tblGrid>
      <w:tr w14:paraId="208DFE58">
        <w:tblPrEx>
          <w:tblCellMar>
            <w:top w:w="0" w:type="dxa"/>
            <w:left w:w="108" w:type="dxa"/>
            <w:bottom w:w="0" w:type="dxa"/>
            <w:right w:w="108" w:type="dxa"/>
          </w:tblCellMar>
        </w:tblPrEx>
        <w:trPr>
          <w:trHeight w:val="94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1D3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C42B">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评标标准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6F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最高分值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17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主观分/客观分属性</w:t>
            </w:r>
          </w:p>
        </w:tc>
        <w:tc>
          <w:tcPr>
            <w:tcW w:w="1010" w:type="dxa"/>
            <w:tcBorders>
              <w:top w:val="single" w:color="000000" w:sz="4" w:space="0"/>
              <w:left w:val="single" w:color="000000" w:sz="4" w:space="0"/>
              <w:bottom w:val="single" w:color="000000" w:sz="4" w:space="0"/>
              <w:right w:val="single" w:color="000000" w:sz="4" w:space="0"/>
            </w:tcBorders>
            <w:vAlign w:val="center"/>
          </w:tcPr>
          <w:p w14:paraId="2E9E5CA5">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14:paraId="5ED27C27">
        <w:tblPrEx>
          <w:tblCellMar>
            <w:top w:w="0" w:type="dxa"/>
            <w:left w:w="108" w:type="dxa"/>
            <w:bottom w:w="0" w:type="dxa"/>
            <w:right w:w="108" w:type="dxa"/>
          </w:tblCellMar>
        </w:tblPrEx>
        <w:trPr>
          <w:trHeight w:val="3939"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8869">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8468">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1.投标人具有信息安全管理体系认证且认证范围包含医疗信息行业相关的管理软件的设计、开发服务，得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rPr>
              <w:t>,不包含的得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rPr>
              <w:t>未提供相关证书的或超出有效期的证书不计分。</w:t>
            </w:r>
          </w:p>
          <w:p w14:paraId="61E5C71C">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2.投标人具有质量管理体系认证且认证范围包含医疗信息行业相关的管理软件的设计、开发服务，</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分,不包含的得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rPr>
              <w:t xml:space="preserve">未提供相关证书的或超出有效期的证书不计分。                                </w:t>
            </w:r>
          </w:p>
          <w:p w14:paraId="4D8314E0">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证明材料：以上证书须都在有效期内，提供以上证书扫描件及全国认证认可信息公共服务平台（http://cx.cnca.cn/）查询记录截图并加盖投标人单位公章，否则不得分。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094">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7101">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4BCB077B">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资信证明文件</w:t>
            </w:r>
          </w:p>
        </w:tc>
      </w:tr>
      <w:tr w14:paraId="729B8CE0">
        <w:tblPrEx>
          <w:tblCellMar>
            <w:top w:w="0" w:type="dxa"/>
            <w:left w:w="108" w:type="dxa"/>
            <w:bottom w:w="0" w:type="dxa"/>
            <w:right w:w="108" w:type="dxa"/>
          </w:tblCellMar>
        </w:tblPrEx>
        <w:trPr>
          <w:trHeight w:val="63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60A">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AAD5">
            <w:pPr>
              <w:widowControl/>
              <w:textAlignment w:val="center"/>
              <w:rPr>
                <w:rFonts w:ascii="宋体" w:hAnsi="宋体" w:cs="宋体"/>
                <w:color w:val="auto"/>
                <w:kern w:val="0"/>
                <w:sz w:val="24"/>
                <w:highlight w:val="none"/>
              </w:rPr>
            </w:pPr>
            <w:r>
              <w:rPr>
                <w:rFonts w:hint="eastAsia" w:ascii="宋体" w:hAnsi="宋体" w:cs="宋体"/>
                <w:color w:val="auto"/>
                <w:kern w:val="0"/>
                <w:sz w:val="24"/>
                <w:highlight w:val="none"/>
              </w:rPr>
              <w:t>提交投标文件截止时间前三年内，投标人为主体承建的类似专病数据库（软件开发类）信息化项目，提供合同关键页扫描件（关键页包括签约时间、项目名称、服务内容、金额页、双方盖章）和验收报告完整复印件。每提供1份项目案例证明材料得0.5分，最高得1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F81">
            <w:pPr>
              <w:widowControl/>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331">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4F52F65F">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项目业绩</w:t>
            </w:r>
          </w:p>
        </w:tc>
      </w:tr>
      <w:tr w14:paraId="687CCB91">
        <w:tblPrEx>
          <w:tblCellMar>
            <w:top w:w="0" w:type="dxa"/>
            <w:left w:w="108" w:type="dxa"/>
            <w:bottom w:w="0" w:type="dxa"/>
            <w:right w:w="108" w:type="dxa"/>
          </w:tblCellMar>
        </w:tblPrEx>
        <w:trPr>
          <w:trHeight w:val="1787"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E0F">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A20">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1.项目经理每具有以下1项资质得1分：（1）本科</w:t>
            </w:r>
            <w:r>
              <w:rPr>
                <w:rFonts w:hint="eastAsia" w:ascii="宋体" w:hAnsi="宋体" w:cs="宋体"/>
                <w:color w:val="auto"/>
                <w:kern w:val="0"/>
                <w:sz w:val="24"/>
                <w:highlight w:val="none"/>
              </w:rPr>
              <w:t>及</w:t>
            </w:r>
            <w:r>
              <w:rPr>
                <w:rFonts w:hint="eastAsia" w:ascii="宋体" w:hAnsi="宋体" w:cs="宋体"/>
                <w:color w:val="auto"/>
                <w:kern w:val="0"/>
                <w:sz w:val="24"/>
                <w:highlight w:val="none"/>
              </w:rPr>
              <w:t>以上学历；（2）具有10年</w:t>
            </w:r>
            <w:r>
              <w:rPr>
                <w:rFonts w:hint="eastAsia" w:ascii="宋体" w:hAnsi="宋体" w:cs="宋体"/>
                <w:color w:val="auto"/>
                <w:kern w:val="0"/>
                <w:sz w:val="24"/>
                <w:highlight w:val="none"/>
              </w:rPr>
              <w:t>及</w:t>
            </w:r>
            <w:r>
              <w:rPr>
                <w:rFonts w:hint="eastAsia" w:ascii="宋体" w:hAnsi="宋体" w:cs="宋体"/>
                <w:color w:val="auto"/>
                <w:kern w:val="0"/>
                <w:sz w:val="24"/>
                <w:highlight w:val="none"/>
              </w:rPr>
              <w:t>以上工作经验；最高得2分，不满足不得分。</w:t>
            </w:r>
          </w:p>
          <w:p w14:paraId="49F9DD1B">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2.技术负责人每具有以下1项资质得1分：（1）毕业证书上的专业为计算机相关专业；（2）具有信息系统项目管理师证书；（</w:t>
            </w:r>
            <w:r>
              <w:rPr>
                <w:rFonts w:hint="eastAsia" w:ascii="宋体" w:hAnsi="宋体" w:cs="宋体"/>
                <w:color w:val="auto"/>
                <w:kern w:val="0"/>
                <w:sz w:val="24"/>
                <w:highlight w:val="none"/>
              </w:rPr>
              <w:t>3</w:t>
            </w:r>
            <w:r>
              <w:rPr>
                <w:rFonts w:hint="eastAsia" w:ascii="宋体" w:hAnsi="宋体" w:cs="宋体"/>
                <w:color w:val="auto"/>
                <w:kern w:val="0"/>
                <w:sz w:val="24"/>
                <w:highlight w:val="none"/>
              </w:rPr>
              <w:t>）具有10年</w:t>
            </w:r>
            <w:r>
              <w:rPr>
                <w:rFonts w:hint="eastAsia" w:ascii="宋体" w:hAnsi="宋体" w:cs="宋体"/>
                <w:color w:val="auto"/>
                <w:kern w:val="0"/>
                <w:sz w:val="24"/>
                <w:highlight w:val="none"/>
              </w:rPr>
              <w:t>及</w:t>
            </w:r>
            <w:r>
              <w:rPr>
                <w:rFonts w:hint="eastAsia" w:ascii="宋体" w:hAnsi="宋体" w:cs="宋体"/>
                <w:color w:val="auto"/>
                <w:kern w:val="0"/>
                <w:sz w:val="24"/>
                <w:highlight w:val="none"/>
              </w:rPr>
              <w:t>以上工作经验；最高得3分，不满足不得分。</w:t>
            </w:r>
          </w:p>
          <w:p w14:paraId="394A483C">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3.项目组其他成员具备软件设计师证书</w:t>
            </w:r>
            <w:r>
              <w:rPr>
                <w:rFonts w:hint="eastAsia" w:ascii="宋体" w:hAnsi="宋体" w:cs="宋体"/>
                <w:color w:val="auto"/>
                <w:kern w:val="0"/>
                <w:sz w:val="24"/>
                <w:highlight w:val="none"/>
              </w:rPr>
              <w:t>的</w:t>
            </w:r>
            <w:r>
              <w:rPr>
                <w:rFonts w:hint="eastAsia" w:ascii="宋体" w:hAnsi="宋体" w:cs="宋体"/>
                <w:color w:val="auto"/>
                <w:kern w:val="0"/>
                <w:sz w:val="24"/>
                <w:highlight w:val="none"/>
              </w:rPr>
              <w:t>得1分、</w:t>
            </w:r>
            <w:r>
              <w:rPr>
                <w:rFonts w:hint="eastAsia" w:ascii="宋体" w:hAnsi="宋体" w:cs="宋体"/>
                <w:color w:val="auto"/>
                <w:kern w:val="0"/>
                <w:sz w:val="24"/>
                <w:highlight w:val="none"/>
              </w:rPr>
              <w:t>具有</w:t>
            </w:r>
            <w:r>
              <w:rPr>
                <w:rFonts w:hint="eastAsia" w:ascii="宋体" w:hAnsi="宋体" w:cs="宋体"/>
                <w:color w:val="auto"/>
                <w:kern w:val="0"/>
                <w:sz w:val="24"/>
                <w:highlight w:val="none"/>
              </w:rPr>
              <w:t>数据库工程师证书</w:t>
            </w:r>
            <w:r>
              <w:rPr>
                <w:rFonts w:hint="eastAsia" w:ascii="宋体" w:hAnsi="宋体" w:cs="宋体"/>
                <w:color w:val="auto"/>
                <w:kern w:val="0"/>
                <w:sz w:val="24"/>
                <w:highlight w:val="none"/>
              </w:rPr>
              <w:t>的</w:t>
            </w:r>
            <w:r>
              <w:rPr>
                <w:rFonts w:hint="eastAsia" w:ascii="宋体" w:hAnsi="宋体" w:cs="宋体"/>
                <w:color w:val="auto"/>
                <w:kern w:val="0"/>
                <w:sz w:val="24"/>
                <w:highlight w:val="none"/>
              </w:rPr>
              <w:t>得2分，最高得3分（除项目经理、技术负责人外成员）一人具有多个证书不重复计分。</w:t>
            </w:r>
          </w:p>
          <w:p w14:paraId="170340D7">
            <w:pPr>
              <w:widowControl/>
              <w:ind w:firstLine="482"/>
              <w:textAlignment w:val="center"/>
              <w:rPr>
                <w:rFonts w:ascii="宋体" w:hAnsi="宋体" w:cs="宋体"/>
                <w:color w:val="auto"/>
                <w:sz w:val="24"/>
                <w:highlight w:val="none"/>
              </w:rPr>
            </w:pPr>
            <w:r>
              <w:rPr>
                <w:rFonts w:hint="eastAsia" w:ascii="宋体" w:hAnsi="宋体" w:cs="宋体"/>
                <w:color w:val="auto"/>
                <w:kern w:val="0"/>
                <w:sz w:val="24"/>
                <w:highlight w:val="none"/>
              </w:rPr>
              <w:t>证明材料：须提供有效期内的相应的证明材料</w:t>
            </w:r>
            <w:r>
              <w:rPr>
                <w:rFonts w:hint="eastAsia" w:ascii="宋体" w:hAnsi="宋体" w:cs="宋体"/>
                <w:color w:val="auto"/>
                <w:kern w:val="0"/>
                <w:sz w:val="24"/>
                <w:highlight w:val="none"/>
              </w:rPr>
              <w:t>，包括毕业证书复印件、资质证书复印件</w:t>
            </w:r>
            <w:r>
              <w:rPr>
                <w:rFonts w:hint="eastAsia" w:ascii="宋体" w:hAnsi="宋体" w:cs="宋体"/>
                <w:color w:val="auto"/>
                <w:kern w:val="0"/>
                <w:sz w:val="24"/>
                <w:highlight w:val="none"/>
              </w:rPr>
              <w:t>（工作经验以提供的学历证书毕业时间为准计算）以及在职社保缴纳证明加盖投标人单位公章，否则不得分。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531">
            <w:pPr>
              <w:widowControl/>
              <w:textAlignment w:val="center"/>
              <w:rPr>
                <w:rFonts w:ascii="宋体" w:hAnsi="宋体" w:cs="宋体"/>
                <w:color w:val="auto"/>
                <w:sz w:val="24"/>
                <w:highlight w:val="none"/>
              </w:rPr>
            </w:pPr>
            <w:r>
              <w:rPr>
                <w:rFonts w:hint="eastAsia" w:ascii="宋体" w:hAnsi="宋体" w:cs="宋体"/>
                <w:color w:val="auto"/>
                <w:sz w:val="24"/>
                <w:highlight w:val="none"/>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906">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6A24B75B">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人员资质</w:t>
            </w:r>
          </w:p>
        </w:tc>
      </w:tr>
      <w:tr w14:paraId="269CC3A2">
        <w:tblPrEx>
          <w:tblCellMar>
            <w:top w:w="0" w:type="dxa"/>
            <w:left w:w="108" w:type="dxa"/>
            <w:bottom w:w="0" w:type="dxa"/>
            <w:right w:w="108" w:type="dxa"/>
          </w:tblCellMar>
        </w:tblPrEx>
        <w:trPr>
          <w:trHeight w:val="132"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6F67">
            <w:pPr>
              <w:widowControl/>
              <w:ind w:firstLine="482"/>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5EAC">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投标人技术开发能力评价：</w:t>
            </w:r>
          </w:p>
          <w:p w14:paraId="049491A5">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投标人具有与本项目需求相关的技术开发能力，能分别提供：1、专病数据库；2、医学检索；</w:t>
            </w:r>
            <w:r>
              <w:rPr>
                <w:rFonts w:hint="eastAsia" w:ascii="宋体" w:hAnsi="宋体" w:cs="宋体"/>
                <w:color w:val="auto"/>
                <w:kern w:val="0"/>
                <w:sz w:val="24"/>
                <w:highlight w:val="none"/>
              </w:rPr>
              <w:t>3</w:t>
            </w:r>
            <w:r>
              <w:rPr>
                <w:rFonts w:hint="eastAsia" w:ascii="宋体" w:hAnsi="宋体" w:cs="宋体"/>
                <w:color w:val="auto"/>
                <w:kern w:val="0"/>
                <w:sz w:val="24"/>
                <w:highlight w:val="none"/>
              </w:rPr>
              <w:t>、科研</w:t>
            </w:r>
            <w:r>
              <w:rPr>
                <w:rFonts w:hint="eastAsia" w:ascii="宋体" w:hAnsi="宋体" w:cs="宋体"/>
                <w:color w:val="auto"/>
                <w:kern w:val="0"/>
                <w:sz w:val="24"/>
                <w:highlight w:val="none"/>
              </w:rPr>
              <w:t>应用或</w:t>
            </w:r>
            <w:r>
              <w:rPr>
                <w:rFonts w:hint="eastAsia" w:ascii="宋体" w:hAnsi="宋体" w:cs="宋体"/>
                <w:color w:val="auto"/>
                <w:kern w:val="0"/>
                <w:sz w:val="24"/>
                <w:highlight w:val="none"/>
              </w:rPr>
              <w:t>随访；</w:t>
            </w:r>
            <w:r>
              <w:rPr>
                <w:rFonts w:hint="eastAsia" w:ascii="宋体" w:hAnsi="宋体" w:cs="宋体"/>
                <w:color w:val="auto"/>
                <w:kern w:val="0"/>
                <w:sz w:val="24"/>
                <w:highlight w:val="none"/>
              </w:rPr>
              <w:t>4</w:t>
            </w:r>
            <w:r>
              <w:rPr>
                <w:rFonts w:hint="eastAsia" w:ascii="宋体" w:hAnsi="宋体" w:cs="宋体"/>
                <w:color w:val="auto"/>
                <w:kern w:val="0"/>
                <w:sz w:val="24"/>
                <w:highlight w:val="none"/>
              </w:rPr>
              <w:t>、数据挖掘分析 共</w:t>
            </w:r>
            <w:r>
              <w:rPr>
                <w:rFonts w:hint="eastAsia" w:ascii="宋体" w:hAnsi="宋体" w:cs="宋体"/>
                <w:color w:val="auto"/>
                <w:kern w:val="0"/>
                <w:sz w:val="24"/>
                <w:highlight w:val="none"/>
              </w:rPr>
              <w:t>4</w:t>
            </w:r>
            <w:r>
              <w:rPr>
                <w:rFonts w:hint="eastAsia" w:ascii="宋体" w:hAnsi="宋体" w:cs="宋体"/>
                <w:color w:val="auto"/>
                <w:kern w:val="0"/>
                <w:sz w:val="24"/>
                <w:highlight w:val="none"/>
              </w:rPr>
              <w:t>个方面的计算机软件著作权登记证书。需提供相应软件著作权证书复印件并加盖投标人单位公章，且证书必须为投标人“原始取得”并拥有全部权利才可得分，每满足一项得</w:t>
            </w:r>
            <w:r>
              <w:rPr>
                <w:rFonts w:hint="eastAsia" w:ascii="宋体" w:hAnsi="宋体" w:cs="宋体"/>
                <w:color w:val="auto"/>
                <w:kern w:val="0"/>
                <w:sz w:val="24"/>
                <w:highlight w:val="none"/>
              </w:rPr>
              <w:t>0.5</w:t>
            </w:r>
            <w:r>
              <w:rPr>
                <w:rFonts w:hint="eastAsia" w:ascii="宋体" w:hAnsi="宋体" w:cs="宋体"/>
                <w:color w:val="auto"/>
                <w:kern w:val="0"/>
                <w:sz w:val="24"/>
                <w:highlight w:val="none"/>
              </w:rPr>
              <w:t>分，最高得</w:t>
            </w:r>
            <w:r>
              <w:rPr>
                <w:rFonts w:hint="eastAsia" w:ascii="宋体" w:hAnsi="宋体" w:cs="宋体"/>
                <w:color w:val="auto"/>
                <w:kern w:val="0"/>
                <w:sz w:val="24"/>
                <w:highlight w:val="none"/>
              </w:rPr>
              <w:t>2</w:t>
            </w:r>
            <w:r>
              <w:rPr>
                <w:rFonts w:hint="eastAsia" w:ascii="宋体" w:hAnsi="宋体" w:cs="宋体"/>
                <w:color w:val="auto"/>
                <w:kern w:val="0"/>
                <w:sz w:val="24"/>
                <w:highlight w:val="none"/>
              </w:rPr>
              <w:t>分，不提供或不按上述要求提供不得分。（提供的软件著作权登记证证书的软件名称不要求完整包含以上关键词原文，但需包含切合以上关键词含义的描述，如“1、专病数据库”，符合的描述可以是“某一病种名称”+“专病数据库”、“专病数据平台”等）。</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51F">
            <w:pPr>
              <w:widowControl/>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A52A">
            <w:pPr>
              <w:widowControl/>
              <w:textAlignment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1407E5A8">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资信证明文件</w:t>
            </w:r>
          </w:p>
        </w:tc>
      </w:tr>
      <w:tr w14:paraId="3C7C0543">
        <w:tblPrEx>
          <w:tblCellMar>
            <w:top w:w="0" w:type="dxa"/>
            <w:left w:w="108" w:type="dxa"/>
            <w:bottom w:w="0" w:type="dxa"/>
            <w:right w:w="108" w:type="dxa"/>
          </w:tblCellMar>
        </w:tblPrEx>
        <w:trPr>
          <w:trHeight w:val="220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F0F">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BC1">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项目需求分析和总体方案设计：</w:t>
            </w:r>
          </w:p>
          <w:p w14:paraId="32F3FAB7">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1.投标人对项目建设背景、建设目标、业务流程等内容的理解和分析，符合采购需求得4分；</w:t>
            </w:r>
            <w:r>
              <w:rPr>
                <w:rFonts w:hint="eastAsia" w:ascii="宋体" w:hAnsi="宋体" w:cs="宋体"/>
                <w:color w:val="auto"/>
                <w:kern w:val="0"/>
                <w:sz w:val="24"/>
                <w:highlight w:val="none"/>
              </w:rPr>
              <w:t>部分</w:t>
            </w:r>
            <w:r>
              <w:rPr>
                <w:rFonts w:hint="eastAsia" w:ascii="宋体" w:hAnsi="宋体" w:cs="宋体"/>
                <w:color w:val="auto"/>
                <w:kern w:val="0"/>
                <w:sz w:val="24"/>
                <w:highlight w:val="none"/>
              </w:rPr>
              <w:t>符合得2分；不符合</w:t>
            </w:r>
            <w:r>
              <w:rPr>
                <w:rFonts w:hint="eastAsia" w:ascii="宋体" w:hAnsi="宋体" w:cs="宋体"/>
                <w:color w:val="auto"/>
                <w:kern w:val="0"/>
                <w:sz w:val="24"/>
                <w:highlight w:val="none"/>
              </w:rPr>
              <w:t>或不提供</w:t>
            </w:r>
            <w:r>
              <w:rPr>
                <w:rFonts w:hint="eastAsia" w:ascii="宋体" w:hAnsi="宋体" w:cs="宋体"/>
                <w:color w:val="auto"/>
                <w:kern w:val="0"/>
                <w:sz w:val="24"/>
                <w:highlight w:val="none"/>
              </w:rPr>
              <w:t>不得分。</w:t>
            </w:r>
          </w:p>
          <w:p w14:paraId="4982CC1C">
            <w:pPr>
              <w:widowControl/>
              <w:ind w:firstLine="482"/>
              <w:textAlignment w:val="center"/>
              <w:rPr>
                <w:rFonts w:ascii="宋体" w:hAnsi="宋体" w:cs="宋体"/>
                <w:color w:val="auto"/>
                <w:sz w:val="24"/>
                <w:highlight w:val="none"/>
              </w:rPr>
            </w:pPr>
            <w:r>
              <w:rPr>
                <w:rFonts w:hint="eastAsia" w:ascii="宋体" w:hAnsi="宋体" w:cs="宋体"/>
                <w:color w:val="auto"/>
                <w:kern w:val="0"/>
                <w:sz w:val="24"/>
                <w:highlight w:val="none"/>
              </w:rPr>
              <w:t>2.投标人对项目总体方案的设计，设计覆盖项目建设需求要点，要求具有系统整体架构图、网络拓扑图等。符合采购需求得4分；</w:t>
            </w:r>
            <w:r>
              <w:rPr>
                <w:rFonts w:hint="eastAsia" w:ascii="宋体" w:hAnsi="宋体" w:cs="宋体"/>
                <w:color w:val="auto"/>
                <w:kern w:val="0"/>
                <w:sz w:val="24"/>
                <w:highlight w:val="none"/>
              </w:rPr>
              <w:t>部分</w:t>
            </w:r>
            <w:r>
              <w:rPr>
                <w:rFonts w:hint="eastAsia" w:ascii="宋体" w:hAnsi="宋体" w:cs="宋体"/>
                <w:color w:val="auto"/>
                <w:kern w:val="0"/>
                <w:sz w:val="24"/>
                <w:highlight w:val="none"/>
              </w:rPr>
              <w:t>符合得2分；不符合</w:t>
            </w:r>
            <w:r>
              <w:rPr>
                <w:rFonts w:hint="eastAsia" w:ascii="宋体" w:hAnsi="宋体" w:cs="宋体"/>
                <w:color w:val="auto"/>
                <w:kern w:val="0"/>
                <w:sz w:val="24"/>
                <w:highlight w:val="none"/>
              </w:rPr>
              <w:t>或不提供</w:t>
            </w:r>
            <w:r>
              <w:rPr>
                <w:rFonts w:hint="eastAsia" w:ascii="宋体" w:hAnsi="宋体" w:cs="宋体"/>
                <w:color w:val="auto"/>
                <w:kern w:val="0"/>
                <w:sz w:val="24"/>
                <w:highlight w:val="none"/>
              </w:rPr>
              <w:t>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DDE">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62B">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3E35BFB2">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项目需求分析和总体方案设计</w:t>
            </w:r>
          </w:p>
        </w:tc>
      </w:tr>
      <w:tr w14:paraId="105D697B">
        <w:tblPrEx>
          <w:tblCellMar>
            <w:top w:w="0" w:type="dxa"/>
            <w:left w:w="108" w:type="dxa"/>
            <w:bottom w:w="0" w:type="dxa"/>
            <w:right w:w="108" w:type="dxa"/>
          </w:tblCellMar>
        </w:tblPrEx>
        <w:trPr>
          <w:trHeight w:val="346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DA4">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C6FA">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项目具体建设方案：</w:t>
            </w:r>
          </w:p>
          <w:p w14:paraId="2910B778">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1.市级专病数据库。包括①数据深度治理工具；②区域医疗数据资源库；③专病数据库；④区域诊疗数据扩展对接；共4个部分。分别详细阐述以上4个部分功能实现的具体建设思路，要求具有业务流程图。能够按照功能需求完全实现的得4分，部分实现得2分，不能实现不得分。（4分）</w:t>
            </w:r>
          </w:p>
          <w:p w14:paraId="5A9F5E02">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2.统一访问服务门户。包括①外部用户端；②外部管理端；③内部管理端；共3个部分。分别详细阐述以上3个部分功能实现的具体建设思路，要求具有业务流程图。能够按照功能需求完全实现的得4分，部分实现得2分，不能实现不得分。（4分）</w:t>
            </w:r>
          </w:p>
          <w:p w14:paraId="0329E0CD">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3.区域临床科研协作管理子系统。详细阐述本部分功能实现的具体建设思路，要求具有业务流程图。能够按照功能需求完全实现的得4分，部分实现得2分，不能实现不得分。（4分）</w:t>
            </w:r>
          </w:p>
          <w:p w14:paraId="29BE2D23">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4.区域医疗数据资产目录管理子系统。详细阐述本部分功能实现的具体建设思路，要求具有业务流程图。能够按照功能需求完全实现的得4分，部分实现得2分，不能实现不得分。（4分）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07C">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822">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5A91CE0C">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项目具体建设方案</w:t>
            </w:r>
          </w:p>
        </w:tc>
      </w:tr>
      <w:tr w14:paraId="0DA76BA8">
        <w:tblPrEx>
          <w:tblCellMar>
            <w:top w:w="0" w:type="dxa"/>
            <w:left w:w="108" w:type="dxa"/>
            <w:bottom w:w="0" w:type="dxa"/>
            <w:right w:w="108" w:type="dxa"/>
          </w:tblCellMar>
        </w:tblPrEx>
        <w:trPr>
          <w:trHeight w:val="157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012">
            <w:pPr>
              <w:widowControl/>
              <w:ind w:firstLine="482"/>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0B8">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重点技术参数响应情况：</w:t>
            </w:r>
          </w:p>
          <w:p w14:paraId="05E74A82">
            <w:pPr>
              <w:widowControl/>
              <w:ind w:firstLine="482"/>
              <w:textAlignment w:val="center"/>
              <w:rPr>
                <w:rFonts w:ascii="宋体" w:hAnsi="宋体" w:cs="宋体"/>
                <w:color w:val="auto"/>
                <w:sz w:val="24"/>
                <w:highlight w:val="none"/>
              </w:rPr>
            </w:pPr>
            <w:r>
              <w:rPr>
                <w:rFonts w:hint="eastAsia" w:ascii="宋体" w:hAnsi="宋体" w:cs="宋体"/>
                <w:color w:val="auto"/>
                <w:kern w:val="0"/>
                <w:sz w:val="24"/>
                <w:highlight w:val="none"/>
              </w:rPr>
              <w:t>每项技术参数条款不响应或负偏离的扣 0.5 分；需求中带“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”的技术参数条款不响应或负偏离的扣 1 分，</w:t>
            </w:r>
            <w:r>
              <w:rPr>
                <w:rFonts w:hint="eastAsia" w:ascii="宋体" w:hAnsi="宋体" w:cs="宋体"/>
                <w:color w:val="auto"/>
                <w:kern w:val="0"/>
                <w:sz w:val="24"/>
                <w:highlight w:val="none"/>
                <w:lang w:val="en-US" w:eastAsia="zh-CN"/>
              </w:rPr>
              <w:t>扣完为止。</w:t>
            </w:r>
            <w:r>
              <w:rPr>
                <w:rFonts w:hint="eastAsia" w:ascii="宋体" w:hAnsi="宋体" w:cs="宋体"/>
                <w:color w:val="auto"/>
                <w:kern w:val="0"/>
                <w:sz w:val="24"/>
                <w:highlight w:val="none"/>
              </w:rPr>
              <w:t>需根据招标文件要求提供证明材料，不提供视为不响应。本项最高2</w:t>
            </w:r>
            <w:r>
              <w:rPr>
                <w:rFonts w:hint="eastAsia" w:ascii="宋体" w:hAnsi="宋体" w:cs="宋体"/>
                <w:color w:val="auto"/>
                <w:kern w:val="0"/>
                <w:sz w:val="24"/>
                <w:highlight w:val="none"/>
              </w:rPr>
              <w:t>3</w:t>
            </w:r>
            <w:r>
              <w:rPr>
                <w:rFonts w:hint="eastAsia" w:ascii="宋体" w:hAnsi="宋体" w:cs="宋体"/>
                <w:color w:val="auto"/>
                <w:kern w:val="0"/>
                <w:sz w:val="24"/>
                <w:highlight w:val="none"/>
              </w:rPr>
              <w:t>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C2A">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57F5">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34FA749C">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商务技术偏离表</w:t>
            </w:r>
          </w:p>
        </w:tc>
      </w:tr>
      <w:tr w14:paraId="099D9BA9">
        <w:tblPrEx>
          <w:tblCellMar>
            <w:top w:w="0" w:type="dxa"/>
            <w:left w:w="108" w:type="dxa"/>
            <w:bottom w:w="0" w:type="dxa"/>
            <w:right w:w="108" w:type="dxa"/>
          </w:tblCellMar>
        </w:tblPrEx>
        <w:trPr>
          <w:trHeight w:val="558"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9BF">
            <w:pPr>
              <w:widowControl/>
              <w:ind w:firstLine="482"/>
              <w:jc w:val="center"/>
              <w:textAlignment w:val="center"/>
              <w:rPr>
                <w:rFonts w:ascii="宋体" w:hAnsi="宋体" w:cs="宋体"/>
                <w:color w:val="auto"/>
                <w:sz w:val="24"/>
                <w:highlight w:val="none"/>
              </w:rPr>
            </w:pPr>
            <w:r>
              <w:rPr>
                <w:rFonts w:hint="eastAsia" w:ascii="宋体" w:hAnsi="宋体" w:cs="宋体"/>
                <w:color w:val="auto"/>
                <w:sz w:val="24"/>
                <w:highlight w:val="none"/>
              </w:rPr>
              <w:t>8</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F4A7">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项目组织实施方案：</w:t>
            </w:r>
          </w:p>
          <w:p w14:paraId="26DAB3A0">
            <w:pPr>
              <w:widowControl/>
              <w:ind w:firstLine="482"/>
              <w:textAlignment w:val="center"/>
              <w:rPr>
                <w:rFonts w:ascii="宋体" w:hAnsi="宋体" w:cs="宋体"/>
                <w:color w:val="auto"/>
                <w:sz w:val="24"/>
                <w:highlight w:val="none"/>
              </w:rPr>
            </w:pPr>
            <w:r>
              <w:rPr>
                <w:rFonts w:hint="eastAsia" w:ascii="宋体" w:hAnsi="宋体" w:cs="宋体"/>
                <w:color w:val="auto"/>
                <w:sz w:val="24"/>
                <w:highlight w:val="none"/>
              </w:rPr>
              <w:t>针对投标人提供的项目实施方案（包括但不限于实施规划、实施步骤、详细进度计划）进行评价。方案完全保证项目正常稳定实施、结构清晰、科学合理、可行性强</w:t>
            </w:r>
            <w:r>
              <w:rPr>
                <w:rFonts w:hint="eastAsia" w:ascii="宋体" w:hAnsi="宋体" w:cs="宋体"/>
                <w:color w:val="auto"/>
                <w:sz w:val="24"/>
                <w:highlight w:val="none"/>
              </w:rPr>
              <w:t>的视为符合。符合</w:t>
            </w:r>
            <w:r>
              <w:rPr>
                <w:rFonts w:hint="eastAsia" w:ascii="宋体" w:hAnsi="宋体" w:cs="宋体"/>
                <w:color w:val="auto"/>
                <w:sz w:val="24"/>
                <w:highlight w:val="none"/>
              </w:rPr>
              <w:t>得4分，</w:t>
            </w:r>
            <w:r>
              <w:rPr>
                <w:rFonts w:hint="eastAsia" w:ascii="宋体" w:hAnsi="宋体" w:cs="宋体"/>
                <w:color w:val="auto"/>
                <w:sz w:val="24"/>
                <w:highlight w:val="none"/>
              </w:rPr>
              <w:t>部分符合</w:t>
            </w:r>
            <w:r>
              <w:rPr>
                <w:rFonts w:hint="eastAsia" w:ascii="宋体" w:hAnsi="宋体" w:cs="宋体"/>
                <w:color w:val="auto"/>
                <w:sz w:val="24"/>
                <w:highlight w:val="none"/>
              </w:rPr>
              <w:t>得2分，</w:t>
            </w:r>
            <w:r>
              <w:rPr>
                <w:rFonts w:hint="eastAsia" w:ascii="宋体" w:hAnsi="宋体" w:cs="宋体"/>
                <w:color w:val="auto"/>
                <w:sz w:val="24"/>
                <w:highlight w:val="none"/>
              </w:rPr>
              <w:t>不符合或</w:t>
            </w:r>
            <w:r>
              <w:rPr>
                <w:rFonts w:hint="eastAsia" w:ascii="宋体" w:hAnsi="宋体" w:cs="宋体"/>
                <w:color w:val="auto"/>
                <w:sz w:val="24"/>
                <w:highlight w:val="none"/>
              </w:rPr>
              <w:t>不提供不得分。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6536">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6A8">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4A68E964">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组织实施方案</w:t>
            </w:r>
          </w:p>
        </w:tc>
      </w:tr>
      <w:tr w14:paraId="30C06A92">
        <w:tblPrEx>
          <w:tblCellMar>
            <w:top w:w="0" w:type="dxa"/>
            <w:left w:w="108" w:type="dxa"/>
            <w:bottom w:w="0" w:type="dxa"/>
            <w:right w:w="108" w:type="dxa"/>
          </w:tblCellMar>
        </w:tblPrEx>
        <w:trPr>
          <w:trHeight w:val="41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239">
            <w:pPr>
              <w:widowControl/>
              <w:ind w:firstLine="482"/>
              <w:jc w:val="center"/>
              <w:textAlignment w:val="center"/>
              <w:rPr>
                <w:rFonts w:ascii="宋体" w:hAnsi="宋体" w:cs="宋体"/>
                <w:color w:val="auto"/>
                <w:sz w:val="24"/>
                <w:highlight w:val="none"/>
              </w:rPr>
            </w:pPr>
            <w:r>
              <w:rPr>
                <w:rFonts w:hint="eastAsia" w:ascii="宋体" w:hAnsi="宋体" w:cs="宋体"/>
                <w:color w:val="auto"/>
                <w:sz w:val="24"/>
                <w:highlight w:val="none"/>
              </w:rPr>
              <w:t>9</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30CB">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培训方案：</w:t>
            </w:r>
          </w:p>
          <w:p w14:paraId="631C5D31">
            <w:pPr>
              <w:widowControl/>
              <w:ind w:firstLine="482"/>
              <w:textAlignment w:val="center"/>
              <w:rPr>
                <w:rFonts w:ascii="宋体" w:hAnsi="宋体" w:cs="宋体"/>
                <w:color w:val="auto"/>
                <w:kern w:val="0"/>
                <w:sz w:val="24"/>
                <w:highlight w:val="none"/>
              </w:rPr>
            </w:pPr>
            <w:r>
              <w:rPr>
                <w:rFonts w:hint="eastAsia" w:ascii="宋体" w:hAnsi="宋体" w:cs="宋体"/>
                <w:color w:val="auto"/>
                <w:kern w:val="0"/>
                <w:sz w:val="24"/>
                <w:highlight w:val="none"/>
              </w:rPr>
              <w:t>针对投标人提供的培训方案（包括但不限于</w:t>
            </w:r>
            <w:r>
              <w:rPr>
                <w:rFonts w:ascii="宋体" w:hAnsi="宋体" w:cs="宋体"/>
                <w:color w:val="auto"/>
                <w:kern w:val="0"/>
                <w:sz w:val="24"/>
                <w:highlight w:val="none"/>
              </w:rPr>
              <w:t>培训内容、培训组织形式、培训课程和时间安排</w:t>
            </w:r>
            <w:r>
              <w:rPr>
                <w:rFonts w:hint="eastAsia" w:ascii="宋体" w:hAnsi="宋体" w:cs="宋体"/>
                <w:color w:val="auto"/>
                <w:kern w:val="0"/>
                <w:sz w:val="24"/>
                <w:highlight w:val="none"/>
              </w:rPr>
              <w:t>）进行评价。培训方案科学合理、详尽</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要求的</w:t>
            </w:r>
            <w:r>
              <w:rPr>
                <w:rFonts w:hint="eastAsia" w:ascii="宋体" w:hAnsi="宋体" w:cs="宋体"/>
                <w:color w:val="auto"/>
                <w:sz w:val="24"/>
                <w:highlight w:val="none"/>
              </w:rPr>
              <w:t>视为符合。符合得4分，部分符合得2分，不符合或不提供不得分</w:t>
            </w:r>
            <w:r>
              <w:rPr>
                <w:rFonts w:hint="eastAsia" w:ascii="宋体" w:hAnsi="宋体" w:cs="宋体"/>
                <w:color w:val="auto"/>
                <w:kern w:val="0"/>
                <w:sz w:val="24"/>
                <w:highlight w:val="none"/>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7C5">
            <w:pPr>
              <w:widowControl/>
              <w:textAlignment w:val="center"/>
              <w:rPr>
                <w:rFonts w:ascii="宋体" w:hAnsi="宋体" w:cs="仿宋"/>
                <w:color w:val="auto"/>
                <w:sz w:val="24"/>
                <w:highlight w:val="none"/>
              </w:rPr>
            </w:pPr>
            <w:r>
              <w:rPr>
                <w:rFonts w:hint="eastAsia" w:ascii="宋体" w:hAnsi="宋体" w:cs="仿宋"/>
                <w:color w:val="auto"/>
                <w:kern w:val="0"/>
                <w:sz w:val="24"/>
                <w:highlight w:val="none"/>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6C4">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2E87D2E9">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培训方案</w:t>
            </w:r>
          </w:p>
        </w:tc>
      </w:tr>
      <w:tr w14:paraId="52AF8419">
        <w:tblPrEx>
          <w:tblCellMar>
            <w:top w:w="0" w:type="dxa"/>
            <w:left w:w="108" w:type="dxa"/>
            <w:bottom w:w="0" w:type="dxa"/>
            <w:right w:w="108" w:type="dxa"/>
          </w:tblCellMar>
        </w:tblPrEx>
        <w:trPr>
          <w:trHeight w:val="274"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2EB8">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E6F">
            <w:pPr>
              <w:widowControl/>
              <w:ind w:firstLine="482"/>
              <w:textAlignment w:val="top"/>
              <w:rPr>
                <w:rFonts w:ascii="宋体" w:hAnsi="宋体" w:cs="宋体"/>
                <w:color w:val="auto"/>
                <w:kern w:val="0"/>
                <w:sz w:val="24"/>
                <w:highlight w:val="none"/>
              </w:rPr>
            </w:pPr>
            <w:r>
              <w:rPr>
                <w:rFonts w:hint="eastAsia" w:ascii="宋体" w:hAnsi="宋体" w:cs="宋体"/>
                <w:color w:val="auto"/>
                <w:kern w:val="0"/>
                <w:sz w:val="24"/>
                <w:highlight w:val="none"/>
              </w:rPr>
              <w:t>售后服务方案：</w:t>
            </w:r>
          </w:p>
          <w:p w14:paraId="19467110">
            <w:pPr>
              <w:widowControl/>
              <w:ind w:firstLine="482"/>
              <w:textAlignment w:val="top"/>
              <w:rPr>
                <w:rFonts w:ascii="宋体" w:hAnsi="宋体" w:cs="宋体"/>
                <w:color w:val="auto"/>
                <w:sz w:val="24"/>
                <w:highlight w:val="none"/>
              </w:rPr>
            </w:pPr>
            <w:r>
              <w:rPr>
                <w:rFonts w:hint="eastAsia" w:ascii="宋体" w:hAnsi="宋体" w:cs="宋体"/>
                <w:color w:val="auto"/>
                <w:kern w:val="0"/>
                <w:sz w:val="24"/>
                <w:highlight w:val="none"/>
              </w:rPr>
              <w:t>针对投标人提供的售后服务方案（包括但不限于质量保证期、响应时间、修复时间、故障解决办法等方面）进行评价。服务方式丰富、售后服务质量保障充足</w:t>
            </w:r>
            <w:r>
              <w:rPr>
                <w:rFonts w:hint="eastAsia" w:ascii="宋体" w:hAnsi="宋体" w:cs="宋体"/>
                <w:color w:val="auto"/>
                <w:kern w:val="0"/>
                <w:sz w:val="24"/>
                <w:highlight w:val="none"/>
              </w:rPr>
              <w:t>的</w:t>
            </w:r>
            <w:r>
              <w:rPr>
                <w:rFonts w:hint="eastAsia" w:ascii="宋体" w:hAnsi="宋体" w:cs="宋体"/>
                <w:color w:val="auto"/>
                <w:sz w:val="24"/>
                <w:highlight w:val="none"/>
              </w:rPr>
              <w:t>视为符合。符合得4分，部分符合得2分，不符合或不提供不得分</w:t>
            </w:r>
            <w:r>
              <w:rPr>
                <w:rFonts w:hint="eastAsia" w:ascii="宋体" w:hAnsi="宋体" w:cs="宋体"/>
                <w:color w:val="auto"/>
                <w:kern w:val="0"/>
                <w:sz w:val="24"/>
                <w:highlight w:val="none"/>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2E9">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726">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0A6D11A4">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售后服务方案</w:t>
            </w:r>
          </w:p>
        </w:tc>
      </w:tr>
      <w:tr w14:paraId="3616D70C">
        <w:tblPrEx>
          <w:tblCellMar>
            <w:top w:w="0" w:type="dxa"/>
            <w:left w:w="108" w:type="dxa"/>
            <w:bottom w:w="0" w:type="dxa"/>
            <w:right w:w="108" w:type="dxa"/>
          </w:tblCellMar>
        </w:tblPrEx>
        <w:trPr>
          <w:trHeight w:val="3534"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4C32">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F9DA">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投标人</w:t>
            </w:r>
            <w:r>
              <w:rPr>
                <w:rStyle w:val="313"/>
                <w:rFonts w:cs="宋体"/>
                <w:color w:val="auto"/>
                <w:sz w:val="24"/>
                <w:szCs w:val="24"/>
                <w:highlight w:val="none"/>
              </w:rPr>
              <w:t>方案讲解</w:t>
            </w:r>
            <w:r>
              <w:rPr>
                <w:rStyle w:val="313"/>
                <w:rFonts w:hint="default" w:cs="宋体"/>
                <w:color w:val="auto"/>
                <w:sz w:val="24"/>
                <w:szCs w:val="24"/>
                <w:highlight w:val="none"/>
              </w:rPr>
              <w:t>演示</w:t>
            </w:r>
            <w:r>
              <w:rPr>
                <w:rStyle w:val="313"/>
                <w:rFonts w:cs="宋体"/>
                <w:color w:val="auto"/>
                <w:sz w:val="24"/>
                <w:szCs w:val="24"/>
                <w:highlight w:val="none"/>
              </w:rPr>
              <w:t>情况</w:t>
            </w:r>
            <w:r>
              <w:rPr>
                <w:rStyle w:val="313"/>
                <w:rFonts w:hint="default" w:cs="宋体"/>
                <w:color w:val="auto"/>
                <w:sz w:val="24"/>
                <w:szCs w:val="24"/>
                <w:highlight w:val="none"/>
              </w:rPr>
              <w:t>，演示需要有如下功能点：</w:t>
            </w:r>
          </w:p>
          <w:p w14:paraId="17BB3C8D">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1.市级专病数据库（10分）：</w:t>
            </w:r>
          </w:p>
          <w:p w14:paraId="6A194B6B">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①提供NLP工具中以下两部分功能演示：1.NLP调试；2.数据元规则配置。每块完全满足分别得3分，每块部分满足得1分，否则不得分，共6分。</w:t>
            </w:r>
          </w:p>
          <w:p w14:paraId="215DEC5C">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②提供科研归一工具中的归一可视化功能演示。完全满足得2分，否则不得分。</w:t>
            </w:r>
          </w:p>
          <w:p w14:paraId="2D16DDB8">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③提供专病数据结构化插件中的病例录入管理功能演示。完全满足得2分，否则不得分。</w:t>
            </w:r>
          </w:p>
          <w:p w14:paraId="2DDD9872">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2.区域临床科研协作管理子系统（6分）：</w:t>
            </w:r>
          </w:p>
          <w:p w14:paraId="0D4DDA4E">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①提供病例检索中心中的事件检索功能演示。完全满足得2分，否则不得分。</w:t>
            </w:r>
          </w:p>
          <w:p w14:paraId="1DD67972">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②提供科研随访管理中的随访数据审阅功能演示。完全满足得2分，否则不得分。</w:t>
            </w:r>
          </w:p>
          <w:p w14:paraId="135D8260">
            <w:pPr>
              <w:widowControl/>
              <w:ind w:firstLine="482"/>
              <w:textAlignment w:val="top"/>
              <w:rPr>
                <w:rStyle w:val="313"/>
                <w:rFonts w:hint="default" w:cs="宋体"/>
                <w:color w:val="auto"/>
                <w:sz w:val="24"/>
                <w:szCs w:val="24"/>
                <w:highlight w:val="none"/>
              </w:rPr>
            </w:pPr>
            <w:r>
              <w:rPr>
                <w:rStyle w:val="313"/>
                <w:rFonts w:hint="default" w:cs="宋体"/>
                <w:color w:val="auto"/>
                <w:sz w:val="24"/>
                <w:szCs w:val="24"/>
                <w:highlight w:val="none"/>
              </w:rPr>
              <w:t>③提供统计分析建模中的智能数据清洗功能演示。完全满足得2分，否则不得分。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9AC">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F96">
            <w:pPr>
              <w:widowControl/>
              <w:textAlignment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13B04DCF">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030F73F6">
        <w:tblPrEx>
          <w:tblCellMar>
            <w:top w:w="0" w:type="dxa"/>
            <w:left w:w="108" w:type="dxa"/>
            <w:bottom w:w="0" w:type="dxa"/>
            <w:right w:w="108" w:type="dxa"/>
          </w:tblCellMar>
        </w:tblPrEx>
        <w:trPr>
          <w:trHeight w:val="1542"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368">
            <w:pPr>
              <w:widowControl/>
              <w:ind w:firstLine="482"/>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E14">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631A8038">
            <w:pPr>
              <w:widowControl/>
              <w:ind w:firstLine="482"/>
              <w:textAlignment w:val="top"/>
              <w:rPr>
                <w:rFonts w:ascii="宋体" w:hAnsi="宋体" w:cs="宋体"/>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5C0E">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36D">
            <w:pPr>
              <w:widowControl/>
              <w:textAlignment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1010" w:type="dxa"/>
            <w:tcBorders>
              <w:top w:val="single" w:color="000000" w:sz="4" w:space="0"/>
              <w:left w:val="single" w:color="000000" w:sz="4" w:space="0"/>
              <w:bottom w:val="single" w:color="000000" w:sz="4" w:space="0"/>
              <w:right w:val="single" w:color="000000" w:sz="4" w:space="0"/>
            </w:tcBorders>
            <w:vAlign w:val="center"/>
          </w:tcPr>
          <w:p w14:paraId="1FE50C9B">
            <w:pPr>
              <w:widowControl/>
              <w:ind w:firstLine="482"/>
              <w:textAlignment w:val="top"/>
              <w:rPr>
                <w:rFonts w:ascii="宋体" w:hAnsi="宋体" w:cs="宋体"/>
                <w:color w:val="auto"/>
                <w:kern w:val="0"/>
                <w:sz w:val="24"/>
                <w:highlight w:val="none"/>
              </w:rPr>
            </w:pPr>
            <w:r>
              <w:rPr>
                <w:rFonts w:hint="eastAsia" w:ascii="宋体" w:hAnsi="宋体" w:cs="宋体"/>
                <w:color w:val="auto"/>
                <w:kern w:val="0"/>
                <w:sz w:val="24"/>
                <w:highlight w:val="none"/>
              </w:rPr>
              <w:t>/</w:t>
            </w:r>
          </w:p>
        </w:tc>
      </w:tr>
    </w:tbl>
    <w:p w14:paraId="2D3E1667">
      <w:pPr>
        <w:rPr>
          <w:rFonts w:ascii="宋体" w:hAnsi="宋体" w:cs="宋体"/>
          <w:b/>
          <w:color w:val="auto"/>
          <w:sz w:val="32"/>
          <w:szCs w:val="20"/>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EB0814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403" w:name="第五部分"/>
      <w:bookmarkStart w:id="40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4"/>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8"/>
        <w:spacing w:before="120" w:line="22" w:lineRule="atLeast"/>
        <w:rPr>
          <w:rFonts w:ascii="宋体" w:hAnsi="宋体" w:eastAsia="宋体" w:cs="宋体"/>
          <w:color w:val="auto"/>
          <w:szCs w:val="24"/>
          <w:highlight w:val="none"/>
        </w:rPr>
      </w:pPr>
    </w:p>
    <w:p w14:paraId="638952B6">
      <w:pPr>
        <w:pStyle w:val="598"/>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01D1C6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杭州市卫生健康委员会</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健康大脑专病数据库建设项目（招标编号：HZZFCG-2024-190）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杭州市卫生健康委员会</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19"/>
              <w:spacing w:line="560" w:lineRule="exact"/>
              <w:ind w:firstLine="200"/>
              <w:jc w:val="center"/>
              <w:rPr>
                <w:rFonts w:hAnsi="宋体"/>
                <w:color w:val="auto"/>
                <w:sz w:val="24"/>
                <w:szCs w:val="24"/>
                <w:highlight w:val="none"/>
              </w:rPr>
            </w:pPr>
          </w:p>
        </w:tc>
        <w:tc>
          <w:tcPr>
            <w:tcW w:w="3402" w:type="dxa"/>
            <w:vAlign w:val="center"/>
          </w:tcPr>
          <w:p w14:paraId="4C99124E">
            <w:pPr>
              <w:pStyle w:val="319"/>
              <w:spacing w:line="560" w:lineRule="exact"/>
              <w:ind w:firstLine="200"/>
              <w:jc w:val="center"/>
              <w:rPr>
                <w:rFonts w:hAnsi="宋体"/>
                <w:color w:val="auto"/>
                <w:sz w:val="24"/>
                <w:szCs w:val="24"/>
                <w:highlight w:val="none"/>
              </w:rPr>
            </w:pPr>
          </w:p>
        </w:tc>
        <w:tc>
          <w:tcPr>
            <w:tcW w:w="2552" w:type="dxa"/>
            <w:vAlign w:val="center"/>
          </w:tcPr>
          <w:p w14:paraId="2FFC4230">
            <w:pPr>
              <w:pStyle w:val="319"/>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19"/>
              <w:spacing w:line="560" w:lineRule="exact"/>
              <w:ind w:firstLine="200"/>
              <w:jc w:val="center"/>
              <w:rPr>
                <w:rFonts w:hAnsi="宋体"/>
                <w:color w:val="auto"/>
                <w:sz w:val="24"/>
                <w:szCs w:val="24"/>
                <w:highlight w:val="none"/>
              </w:rPr>
            </w:pPr>
          </w:p>
        </w:tc>
        <w:tc>
          <w:tcPr>
            <w:tcW w:w="3402" w:type="dxa"/>
            <w:vAlign w:val="center"/>
          </w:tcPr>
          <w:p w14:paraId="390FE6C0">
            <w:pPr>
              <w:pStyle w:val="319"/>
              <w:spacing w:line="560" w:lineRule="exact"/>
              <w:ind w:firstLine="200"/>
              <w:jc w:val="center"/>
              <w:rPr>
                <w:rFonts w:hAnsi="宋体"/>
                <w:color w:val="auto"/>
                <w:sz w:val="24"/>
                <w:szCs w:val="24"/>
                <w:highlight w:val="none"/>
              </w:rPr>
            </w:pPr>
          </w:p>
        </w:tc>
        <w:tc>
          <w:tcPr>
            <w:tcW w:w="2552" w:type="dxa"/>
            <w:vAlign w:val="center"/>
          </w:tcPr>
          <w:p w14:paraId="62A77FBE">
            <w:pPr>
              <w:pStyle w:val="319"/>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19"/>
              <w:spacing w:line="560" w:lineRule="exact"/>
              <w:ind w:firstLine="200"/>
              <w:jc w:val="center"/>
              <w:rPr>
                <w:rFonts w:hAnsi="宋体"/>
                <w:color w:val="auto"/>
                <w:sz w:val="24"/>
                <w:szCs w:val="24"/>
                <w:highlight w:val="none"/>
              </w:rPr>
            </w:pPr>
          </w:p>
        </w:tc>
        <w:tc>
          <w:tcPr>
            <w:tcW w:w="3402" w:type="dxa"/>
            <w:vAlign w:val="center"/>
          </w:tcPr>
          <w:p w14:paraId="47C71381">
            <w:pPr>
              <w:pStyle w:val="319"/>
              <w:spacing w:line="560" w:lineRule="exact"/>
              <w:ind w:firstLine="200"/>
              <w:jc w:val="center"/>
              <w:rPr>
                <w:rFonts w:hAnsi="宋体"/>
                <w:color w:val="auto"/>
                <w:sz w:val="24"/>
                <w:szCs w:val="24"/>
                <w:highlight w:val="none"/>
              </w:rPr>
            </w:pPr>
          </w:p>
        </w:tc>
        <w:tc>
          <w:tcPr>
            <w:tcW w:w="2552" w:type="dxa"/>
            <w:vAlign w:val="center"/>
          </w:tcPr>
          <w:p w14:paraId="623A9A79">
            <w:pPr>
              <w:pStyle w:val="319"/>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19"/>
              <w:spacing w:line="560" w:lineRule="exact"/>
              <w:ind w:firstLine="200"/>
              <w:jc w:val="center"/>
              <w:rPr>
                <w:rFonts w:hAnsi="宋体"/>
                <w:color w:val="auto"/>
                <w:sz w:val="24"/>
                <w:szCs w:val="24"/>
                <w:highlight w:val="none"/>
              </w:rPr>
            </w:pPr>
          </w:p>
        </w:tc>
        <w:tc>
          <w:tcPr>
            <w:tcW w:w="3402" w:type="dxa"/>
            <w:vAlign w:val="center"/>
          </w:tcPr>
          <w:p w14:paraId="19CE426B">
            <w:pPr>
              <w:pStyle w:val="319"/>
              <w:spacing w:line="560" w:lineRule="exact"/>
              <w:ind w:firstLine="200"/>
              <w:jc w:val="center"/>
              <w:rPr>
                <w:rFonts w:hAnsi="宋体"/>
                <w:color w:val="auto"/>
                <w:sz w:val="24"/>
                <w:szCs w:val="24"/>
                <w:highlight w:val="none"/>
              </w:rPr>
            </w:pPr>
          </w:p>
        </w:tc>
        <w:tc>
          <w:tcPr>
            <w:tcW w:w="2552" w:type="dxa"/>
            <w:vAlign w:val="center"/>
          </w:tcPr>
          <w:p w14:paraId="32B217E6">
            <w:pPr>
              <w:pStyle w:val="319"/>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19"/>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79"/>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5221FD37">
      <w:pPr>
        <w:pStyle w:val="959"/>
        <w:spacing w:before="0" w:beforeAutospacing="0" w:after="240" w:afterLines="100" w:afterAutospacing="0" w:line="360" w:lineRule="auto"/>
        <w:ind w:firstLine="480"/>
        <w:rPr>
          <w:b/>
          <w:color w:val="auto"/>
          <w:highlight w:val="none"/>
        </w:rPr>
      </w:pPr>
      <w:bookmarkStart w:id="405" w:name="_Toc10340"/>
      <w:bookmarkStart w:id="406" w:name="_Toc1814"/>
      <w:bookmarkStart w:id="407" w:name="_Toc22618"/>
      <w:r>
        <w:rPr>
          <w:rFonts w:hint="eastAsia"/>
          <w:b/>
          <w:color w:val="auto"/>
          <w:highlight w:val="none"/>
        </w:rPr>
        <w:t>1.4履约保证金</w:t>
      </w:r>
    </w:p>
    <w:p w14:paraId="003D9F36">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14:paraId="66F437B7">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408" w:name="_Toc15583"/>
      <w:bookmarkStart w:id="409" w:name="_Toc28375"/>
      <w:bookmarkStart w:id="410" w:name="_Toc16021"/>
      <w:r>
        <w:rPr>
          <w:rFonts w:hint="eastAsia" w:ascii="宋体" w:hAnsi="宋体" w:cs="宋体"/>
          <w:b/>
          <w:color w:val="auto"/>
          <w:sz w:val="24"/>
          <w:highlight w:val="none"/>
        </w:rPr>
        <w:t>1.9合同争议的解决</w:t>
      </w:r>
      <w:bookmarkEnd w:id="408"/>
      <w:bookmarkEnd w:id="409"/>
      <w:bookmarkEnd w:id="41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11" w:name="_Toc15322"/>
      <w:bookmarkStart w:id="412" w:name="_Toc7245"/>
      <w:bookmarkStart w:id="413" w:name="_Toc11173"/>
      <w:r>
        <w:rPr>
          <w:rFonts w:hint="eastAsia" w:ascii="宋体" w:hAnsi="宋体" w:cs="宋体"/>
          <w:b/>
          <w:color w:val="auto"/>
          <w:sz w:val="24"/>
          <w:highlight w:val="none"/>
        </w:rPr>
        <w:t>1.10 合同生效</w:t>
      </w:r>
      <w:bookmarkEnd w:id="411"/>
      <w:bookmarkEnd w:id="412"/>
      <w:bookmarkEnd w:id="41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14" w:name="_Toc4355"/>
      <w:bookmarkStart w:id="415" w:name="_Toc18540"/>
      <w:bookmarkStart w:id="416" w:name="_Toc30599"/>
      <w:r>
        <w:rPr>
          <w:rFonts w:hint="eastAsia" w:ascii="宋体" w:hAnsi="宋体" w:cs="宋体"/>
          <w:b/>
          <w:color w:val="auto"/>
          <w:sz w:val="24"/>
          <w:highlight w:val="none"/>
        </w:rPr>
        <w:t>2.18 计量单位</w:t>
      </w:r>
      <w:bookmarkEnd w:id="414"/>
      <w:bookmarkEnd w:id="415"/>
      <w:bookmarkEnd w:id="41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102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8"/>
        <w:gridCol w:w="8891"/>
      </w:tblGrid>
      <w:tr w14:paraId="14EB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378" w:type="dxa"/>
            <w:tcBorders>
              <w:left w:val="single" w:color="auto" w:sz="4" w:space="0"/>
            </w:tcBorders>
            <w:vAlign w:val="center"/>
          </w:tcPr>
          <w:p w14:paraId="535CFC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891" w:type="dxa"/>
            <w:vAlign w:val="center"/>
          </w:tcPr>
          <w:p w14:paraId="218AC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556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7FE80E8">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1.3</w:t>
            </w:r>
          </w:p>
        </w:tc>
        <w:tc>
          <w:tcPr>
            <w:tcW w:w="8891" w:type="dxa"/>
            <w:vAlign w:val="center"/>
          </w:tcPr>
          <w:p w14:paraId="5EB71D2D">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1.3.1</w:t>
            </w:r>
          </w:p>
        </w:tc>
      </w:tr>
      <w:tr w14:paraId="40D8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shd w:val="clear" w:color="auto" w:fill="auto"/>
            <w:vAlign w:val="center"/>
          </w:tcPr>
          <w:p w14:paraId="1BDDD1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8891" w:type="dxa"/>
            <w:shd w:val="clear" w:color="auto" w:fill="auto"/>
            <w:vAlign w:val="center"/>
          </w:tcPr>
          <w:p w14:paraId="6A501CD7">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04AB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B4DA5FB">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1.4</w:t>
            </w:r>
          </w:p>
        </w:tc>
        <w:tc>
          <w:tcPr>
            <w:tcW w:w="8891" w:type="dxa"/>
            <w:vAlign w:val="center"/>
          </w:tcPr>
          <w:p w14:paraId="09A69520">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是</w:t>
            </w:r>
          </w:p>
        </w:tc>
      </w:tr>
      <w:tr w14:paraId="6A173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48C5E3BE">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1.4.1</w:t>
            </w:r>
          </w:p>
        </w:tc>
        <w:tc>
          <w:tcPr>
            <w:tcW w:w="8891" w:type="dxa"/>
            <w:vAlign w:val="center"/>
          </w:tcPr>
          <w:p w14:paraId="467968DF">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w:t>
            </w:r>
          </w:p>
        </w:tc>
      </w:tr>
      <w:tr w14:paraId="6FB9E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B218BD7">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1.4.2</w:t>
            </w:r>
          </w:p>
        </w:tc>
        <w:tc>
          <w:tcPr>
            <w:tcW w:w="8891" w:type="dxa"/>
            <w:vAlign w:val="center"/>
          </w:tcPr>
          <w:p w14:paraId="68D2AD4D">
            <w:pPr>
              <w:pStyle w:val="959"/>
              <w:spacing w:line="360" w:lineRule="auto"/>
              <w:rPr>
                <w:color w:val="auto"/>
                <w:highlight w:val="none"/>
              </w:rPr>
            </w:pPr>
            <w:r>
              <w:rPr>
                <w:rFonts w:hint="eastAsia"/>
                <w:color w:val="auto"/>
                <w:highlight w:val="none"/>
              </w:rPr>
              <w:t>金融机构、担保机构出具的保函等非现金形式</w:t>
            </w:r>
          </w:p>
        </w:tc>
      </w:tr>
      <w:tr w14:paraId="2E0AA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2713B03E">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1.5</w:t>
            </w:r>
          </w:p>
        </w:tc>
        <w:tc>
          <w:tcPr>
            <w:tcW w:w="8891" w:type="dxa"/>
            <w:vAlign w:val="center"/>
          </w:tcPr>
          <w:p w14:paraId="62514030">
            <w:pPr>
              <w:spacing w:line="360" w:lineRule="auto"/>
              <w:ind w:firstLine="482"/>
              <w:rPr>
                <w:rFonts w:ascii="宋体" w:hAnsi="宋体" w:cs="宋体"/>
                <w:bCs/>
                <w:color w:val="auto"/>
                <w:sz w:val="24"/>
                <w:highlight w:val="none"/>
              </w:rPr>
            </w:pPr>
            <w:r>
              <w:rPr>
                <w:rFonts w:hint="eastAsia" w:ascii="宋体" w:hAnsi="宋体" w:cs="宋体"/>
                <w:color w:val="auto"/>
                <w:sz w:val="24"/>
                <w:highlight w:val="none"/>
              </w:rPr>
              <w:t>是</w:t>
            </w:r>
          </w:p>
        </w:tc>
      </w:tr>
      <w:tr w14:paraId="2FD7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1DD2DC1E">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1.5.1 </w:t>
            </w:r>
          </w:p>
        </w:tc>
        <w:tc>
          <w:tcPr>
            <w:tcW w:w="8891" w:type="dxa"/>
            <w:vAlign w:val="center"/>
          </w:tcPr>
          <w:p w14:paraId="23E9FFFA">
            <w:pPr>
              <w:spacing w:line="360" w:lineRule="auto"/>
              <w:ind w:firstLine="482"/>
              <w:rPr>
                <w:rFonts w:ascii="宋体" w:hAnsi="宋体" w:cs="宋体"/>
                <w:color w:val="auto"/>
                <w:sz w:val="24"/>
                <w:highlight w:val="none"/>
              </w:rPr>
            </w:pPr>
            <w:r>
              <w:rPr>
                <w:rFonts w:hint="eastAsia" w:cs="宋体" w:asciiTheme="minorEastAsia" w:hAnsiTheme="minorEastAsia" w:eastAsiaTheme="minorEastAsia"/>
                <w:color w:val="auto"/>
                <w:sz w:val="24"/>
                <w:highlight w:val="none"/>
              </w:rPr>
              <w:t>本次项目合同总价为大写人民币_</w:t>
            </w:r>
            <w:r>
              <w:rPr>
                <w:rFonts w:cs="宋体" w:asciiTheme="minorEastAsia" w:hAnsiTheme="minorEastAsia" w:eastAsiaTheme="minorEastAsia"/>
                <w:color w:val="auto"/>
                <w:sz w:val="24"/>
                <w:highlight w:val="none"/>
                <w:u w:val="single"/>
              </w:rPr>
              <w:t>_</w:t>
            </w:r>
            <w:r>
              <w:rPr>
                <w:rFonts w:hint="eastAsia" w:cs="宋体" w:asciiTheme="minorEastAsia" w:hAnsiTheme="minorEastAsia" w:eastAsiaTheme="minorEastAsia"/>
                <w:color w:val="auto"/>
                <w:sz w:val="24"/>
                <w:highlight w:val="none"/>
              </w:rPr>
              <w:t>元整 ，采用分期付款方式。预付款比例为合同总价的40%，合同签订生效具备实施条件后5个工作日内，乙方凭发票向甲方办理合同总价40%的预付款结算手续。</w:t>
            </w:r>
          </w:p>
        </w:tc>
      </w:tr>
      <w:tr w14:paraId="46B46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7599F100">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1.5.2</w:t>
            </w:r>
          </w:p>
        </w:tc>
        <w:tc>
          <w:tcPr>
            <w:tcW w:w="8891" w:type="dxa"/>
            <w:vAlign w:val="center"/>
          </w:tcPr>
          <w:p w14:paraId="37D84B48">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不扣回</w:t>
            </w:r>
          </w:p>
        </w:tc>
      </w:tr>
      <w:tr w14:paraId="6FA1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08CABC0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1.5.3 </w:t>
            </w:r>
          </w:p>
        </w:tc>
        <w:tc>
          <w:tcPr>
            <w:tcW w:w="8891" w:type="dxa"/>
            <w:vAlign w:val="center"/>
          </w:tcPr>
          <w:p w14:paraId="7DD42FCE">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502B2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3ADC1F7F">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1.6.2</w:t>
            </w:r>
          </w:p>
        </w:tc>
        <w:tc>
          <w:tcPr>
            <w:tcW w:w="8891" w:type="dxa"/>
            <w:vAlign w:val="center"/>
          </w:tcPr>
          <w:p w14:paraId="30D4B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余款分三期支付</w:t>
            </w:r>
          </w:p>
          <w:p w14:paraId="37A447E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【阶段性验收】付款：完成项目阶段性验收合格后，乙方凭发票、甲方签字盖章的支付意见及阶段性验收意见向甲方办理合同总价25%的合同款结算手续。</w:t>
            </w:r>
          </w:p>
          <w:p w14:paraId="34683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【初验合格】付款：完成项目初验合格后进入试运行，乙方凭发票、甲方签字盖章的支付意见及初验意见向甲方办理合同总价15%的合同款结算手续。</w:t>
            </w:r>
          </w:p>
          <w:p w14:paraId="3AC2E4F0">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【终验合格】付款：完成项目终验合格后，乙方凭发票、甲方签字盖章的支付意见及验收意见向甲方办理合同总价20%的合同款结算手续。</w:t>
            </w:r>
          </w:p>
        </w:tc>
      </w:tr>
      <w:tr w14:paraId="3DD0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1378" w:type="dxa"/>
            <w:tcBorders>
              <w:left w:val="single" w:color="auto" w:sz="4" w:space="0"/>
            </w:tcBorders>
            <w:vAlign w:val="center"/>
          </w:tcPr>
          <w:p w14:paraId="5400EE70">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1.7.1</w:t>
            </w:r>
          </w:p>
        </w:tc>
        <w:tc>
          <w:tcPr>
            <w:tcW w:w="8891" w:type="dxa"/>
            <w:vAlign w:val="center"/>
          </w:tcPr>
          <w:p w14:paraId="7D42DAB7">
            <w:pPr>
              <w:spacing w:line="360" w:lineRule="auto"/>
              <w:rPr>
                <w:rFonts w:ascii="宋体" w:hAnsi="宋体"/>
                <w:color w:val="auto"/>
                <w:highlight w:val="none"/>
              </w:rPr>
            </w:pPr>
            <w:r>
              <w:rPr>
                <w:rFonts w:hint="eastAsia" w:ascii="宋体" w:hAnsi="宋体" w:cs="宋体"/>
                <w:color w:val="auto"/>
                <w:sz w:val="24"/>
                <w:highlight w:val="none"/>
              </w:rPr>
              <w:t>2024年12月10日前完成阶段性验收，2025年5月底完成初验，2025年8月底完成终验。</w:t>
            </w:r>
          </w:p>
        </w:tc>
      </w:tr>
      <w:tr w14:paraId="4D4F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EC34F5D">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1.7.2</w:t>
            </w:r>
          </w:p>
        </w:tc>
        <w:tc>
          <w:tcPr>
            <w:tcW w:w="8891" w:type="dxa"/>
            <w:vAlign w:val="center"/>
          </w:tcPr>
          <w:p w14:paraId="1E4B10A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甲方指定地点。</w:t>
            </w:r>
          </w:p>
        </w:tc>
      </w:tr>
      <w:tr w14:paraId="5573D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145DD63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1.7.3</w:t>
            </w:r>
          </w:p>
        </w:tc>
        <w:tc>
          <w:tcPr>
            <w:tcW w:w="8891" w:type="dxa"/>
            <w:vAlign w:val="center"/>
          </w:tcPr>
          <w:p w14:paraId="327D581B">
            <w:pPr>
              <w:spacing w:line="360" w:lineRule="auto"/>
              <w:ind w:firstLine="482"/>
              <w:rPr>
                <w:rFonts w:ascii="宋体" w:hAnsi="宋体" w:cs="宋体"/>
                <w:color w:val="auto"/>
                <w:sz w:val="24"/>
                <w:highlight w:val="none"/>
              </w:rPr>
            </w:pPr>
            <w:r>
              <w:rPr>
                <w:rFonts w:hint="eastAsia" w:ascii="宋体" w:hAnsi="宋体"/>
                <w:color w:val="auto"/>
                <w:sz w:val="24"/>
                <w:highlight w:val="none"/>
              </w:rPr>
              <w:t>依招标文件（含澄清或者说明文件）、投标文件（含澄清或者说明文件）、本合同及其补充合同、变更协议及其他相关文件、甲方的要求提供现场服务。</w:t>
            </w:r>
          </w:p>
        </w:tc>
      </w:tr>
      <w:tr w14:paraId="12B2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09D9B631">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1.7.4.1</w:t>
            </w:r>
          </w:p>
        </w:tc>
        <w:tc>
          <w:tcPr>
            <w:tcW w:w="8891" w:type="dxa"/>
            <w:vAlign w:val="center"/>
          </w:tcPr>
          <w:p w14:paraId="40610E8F">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48EB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6EB2D5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1.7.4.2</w:t>
            </w:r>
          </w:p>
        </w:tc>
        <w:tc>
          <w:tcPr>
            <w:tcW w:w="8891" w:type="dxa"/>
            <w:vAlign w:val="center"/>
          </w:tcPr>
          <w:p w14:paraId="051EF613">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5550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35A5268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1.7.4.3</w:t>
            </w:r>
          </w:p>
        </w:tc>
        <w:tc>
          <w:tcPr>
            <w:tcW w:w="8891" w:type="dxa"/>
            <w:vAlign w:val="center"/>
          </w:tcPr>
          <w:p w14:paraId="55E43E2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76E3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1F79B2FA">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1.8.7</w:t>
            </w:r>
          </w:p>
        </w:tc>
        <w:tc>
          <w:tcPr>
            <w:tcW w:w="8891" w:type="dxa"/>
            <w:vAlign w:val="center"/>
          </w:tcPr>
          <w:p w14:paraId="0FB4E36F">
            <w:pPr>
              <w:numPr>
                <w:ilvl w:val="0"/>
                <w:numId w:val="1"/>
              </w:num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如因乙方未按承诺及时响应甲方需求导致甲方系统不能正常使用超过24小时，乙方应按合同总额的5%/次承担违约责任，若甲方实际损失超过违约金数额，超出部分由乙方另行承担。若乙方累计</w:t>
            </w:r>
            <w:r>
              <w:rPr>
                <w:rFonts w:ascii="宋体" w:hAnsi="宋体" w:cs="宋体"/>
                <w:color w:val="auto"/>
                <w:sz w:val="24"/>
                <w:highlight w:val="none"/>
              </w:rPr>
              <w:t>3</w:t>
            </w:r>
            <w:r>
              <w:rPr>
                <w:rFonts w:hint="eastAsia" w:ascii="宋体" w:hAnsi="宋体" w:cs="宋体"/>
                <w:color w:val="auto"/>
                <w:sz w:val="24"/>
                <w:highlight w:val="none"/>
              </w:rPr>
              <w:t>次上述情形的，甲方有权解除合同，要求乙方退还已收取的全部合同款并按合同总额的20%承担违约金。若甲方要求乙方继续履行合同，不免除乙方承担违约金的义务。</w:t>
            </w:r>
          </w:p>
          <w:p w14:paraId="67E88A28">
            <w:pPr>
              <w:numPr>
                <w:ilvl w:val="0"/>
                <w:numId w:val="1"/>
              </w:num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经甲方同意后，乙方可以将合同项下的部分非主体、非关键性工作分包给第三方完成但不得再次分包。乙方应就分包内容向甲方负责，如分包方出现违约或造成甲方/乙方项目损失的，视为乙方违约，乙方应按约定向甲方承担违约责任及损失，且甲方有权要求乙方与分包方承担连带责任。</w:t>
            </w:r>
          </w:p>
          <w:p w14:paraId="43B682DE">
            <w:pPr>
              <w:tabs>
                <w:tab w:val="left" w:pos="7980"/>
              </w:tabs>
              <w:spacing w:line="360" w:lineRule="auto"/>
              <w:ind w:firstLine="482"/>
              <w:rPr>
                <w:rFonts w:ascii="宋体" w:hAnsi="宋体" w:cs="宋体"/>
                <w:color w:val="auto"/>
                <w:sz w:val="24"/>
                <w:highlight w:val="none"/>
              </w:rPr>
            </w:pPr>
            <w:r>
              <w:rPr>
                <w:rFonts w:hint="eastAsia" w:ascii="宋体" w:hAnsi="宋体" w:cs="宋体"/>
                <w:color w:val="auto"/>
                <w:sz w:val="24"/>
                <w:highlight w:val="none"/>
              </w:rPr>
              <w:t>除本合同另有约定外，若乙方（包括分包人）行为导致甲方解除合同的，乙方按合同总额的2</w:t>
            </w:r>
            <w:r>
              <w:rPr>
                <w:rFonts w:ascii="宋体" w:hAnsi="宋体" w:cs="宋体"/>
                <w:color w:val="auto"/>
                <w:sz w:val="24"/>
                <w:highlight w:val="none"/>
              </w:rPr>
              <w:t>0%</w:t>
            </w:r>
            <w:r>
              <w:rPr>
                <w:rFonts w:hint="eastAsia" w:ascii="宋体" w:hAnsi="宋体" w:cs="宋体"/>
                <w:color w:val="auto"/>
                <w:sz w:val="24"/>
                <w:highlight w:val="none"/>
              </w:rPr>
              <w:t>向甲方承担违约金，若甲方实际损失超过违约金数额，超出部分由乙方另行承担。</w:t>
            </w:r>
          </w:p>
        </w:tc>
      </w:tr>
      <w:tr w14:paraId="2D3F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5A85CA26">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1.9</w:t>
            </w:r>
          </w:p>
        </w:tc>
        <w:tc>
          <w:tcPr>
            <w:tcW w:w="8891" w:type="dxa"/>
            <w:vAlign w:val="center"/>
          </w:tcPr>
          <w:p w14:paraId="0AFB7C3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1.9.1</w:t>
            </w:r>
          </w:p>
        </w:tc>
      </w:tr>
      <w:tr w14:paraId="59BE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7F0A4B66">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1.9.1</w:t>
            </w:r>
          </w:p>
        </w:tc>
        <w:tc>
          <w:tcPr>
            <w:tcW w:w="8891" w:type="dxa"/>
            <w:vAlign w:val="center"/>
          </w:tcPr>
          <w:p w14:paraId="516103AC">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杭州</w:t>
            </w:r>
          </w:p>
        </w:tc>
      </w:tr>
      <w:tr w14:paraId="1F1F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69398A69">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1.9.2</w:t>
            </w:r>
          </w:p>
        </w:tc>
        <w:tc>
          <w:tcPr>
            <w:tcW w:w="8891" w:type="dxa"/>
            <w:vAlign w:val="center"/>
          </w:tcPr>
          <w:p w14:paraId="7E89447D">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3213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3B9C298C">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2.3.2</w:t>
            </w:r>
          </w:p>
        </w:tc>
        <w:tc>
          <w:tcPr>
            <w:tcW w:w="8891" w:type="dxa"/>
            <w:vAlign w:val="center"/>
          </w:tcPr>
          <w:p w14:paraId="15606BDE">
            <w:pPr>
              <w:ind w:firstLine="48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本项目所产生的系统、组件（可解耦）、文档、软件代码、数据及衍生数据等数字资源成果的知识产权甲方独享。</w:t>
            </w:r>
          </w:p>
          <w:p w14:paraId="5133C1A6">
            <w:pPr>
              <w:ind w:firstLine="482"/>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乙方保证甲方不受到第三方关于侵犯知识产权（包括版权和专利权、商标权等）的指控，任何第三方如果提出指控，乙方与第三方交涉，承担可能发生的一切法律责任、费用和后果。</w:t>
            </w:r>
          </w:p>
          <w:p w14:paraId="275EF8AB">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ab/>
            </w:r>
            <w:r>
              <w:rPr>
                <w:rFonts w:hint="eastAsia" w:ascii="宋体" w:hAnsi="宋体" w:cs="宋体"/>
                <w:color w:val="auto"/>
                <w:sz w:val="24"/>
                <w:highlight w:val="none"/>
              </w:rPr>
              <w:t>乙方须无条件配合甲方做好相应系统软件著作权申请相关工作，乙方及其团队个人不得以本项目类似名称申请软件著作权，不得以本项目相关内容申请软件著作权。</w:t>
            </w:r>
          </w:p>
        </w:tc>
      </w:tr>
      <w:tr w14:paraId="4D42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06B17E06">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2.5</w:t>
            </w:r>
          </w:p>
        </w:tc>
        <w:tc>
          <w:tcPr>
            <w:tcW w:w="8891" w:type="dxa"/>
            <w:vAlign w:val="center"/>
          </w:tcPr>
          <w:p w14:paraId="0CBCE9CC">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w:t>
            </w:r>
          </w:p>
        </w:tc>
      </w:tr>
      <w:tr w14:paraId="520D0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7A9CF1CE">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2.11.3</w:t>
            </w:r>
          </w:p>
        </w:tc>
        <w:tc>
          <w:tcPr>
            <w:tcW w:w="8891" w:type="dxa"/>
            <w:vAlign w:val="center"/>
          </w:tcPr>
          <w:p w14:paraId="28B9E4DD">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15日内</w:t>
            </w:r>
          </w:p>
        </w:tc>
      </w:tr>
      <w:tr w14:paraId="0E7D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tcPr>
          <w:p w14:paraId="4063F06B">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2.11.4</w:t>
            </w:r>
          </w:p>
        </w:tc>
        <w:tc>
          <w:tcPr>
            <w:tcW w:w="8891" w:type="dxa"/>
          </w:tcPr>
          <w:p w14:paraId="6814B950">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15日内，15日内</w:t>
            </w:r>
          </w:p>
        </w:tc>
      </w:tr>
      <w:tr w14:paraId="6DD4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0133477B">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2.15.1</w:t>
            </w:r>
          </w:p>
        </w:tc>
        <w:tc>
          <w:tcPr>
            <w:tcW w:w="8891" w:type="dxa"/>
            <w:vAlign w:val="center"/>
          </w:tcPr>
          <w:p w14:paraId="353539B5">
            <w:pPr>
              <w:spacing w:line="360" w:lineRule="auto"/>
              <w:ind w:firstLine="482"/>
              <w:rPr>
                <w:rFonts w:ascii="宋体" w:hAnsi="宋体" w:cs="宋体"/>
                <w:color w:val="auto"/>
                <w:sz w:val="24"/>
                <w:highlight w:val="none"/>
              </w:rPr>
            </w:pPr>
            <w:r>
              <w:rPr>
                <w:rFonts w:hint="eastAsia" w:ascii="宋体" w:hAnsi="宋体"/>
                <w:color w:val="auto"/>
                <w:sz w:val="24"/>
                <w:highlight w:val="none"/>
              </w:rPr>
              <w:t>乙方按照招标文件</w:t>
            </w:r>
            <w:r>
              <w:rPr>
                <w:rFonts w:ascii="宋体" w:hAnsi="宋体"/>
                <w:color w:val="auto"/>
                <w:sz w:val="24"/>
                <w:highlight w:val="none"/>
              </w:rPr>
              <w:t>的约定</w:t>
            </w:r>
            <w:r>
              <w:rPr>
                <w:rFonts w:hint="eastAsia" w:ascii="宋体" w:hAnsi="宋体"/>
                <w:color w:val="auto"/>
                <w:sz w:val="24"/>
                <w:highlight w:val="none"/>
              </w:rPr>
              <w:t>，每周、每月</w:t>
            </w:r>
            <w:r>
              <w:rPr>
                <w:rFonts w:ascii="宋体" w:hAnsi="宋体"/>
                <w:color w:val="auto"/>
                <w:sz w:val="24"/>
                <w:highlight w:val="none"/>
              </w:rPr>
              <w:t>提交服务报告</w:t>
            </w:r>
            <w:r>
              <w:rPr>
                <w:rFonts w:hint="eastAsia" w:ascii="宋体" w:hAnsi="宋体"/>
                <w:color w:val="auto"/>
                <w:sz w:val="24"/>
                <w:highlight w:val="none"/>
              </w:rPr>
              <w:t>，甲方按照招标文件</w:t>
            </w:r>
            <w:r>
              <w:rPr>
                <w:rFonts w:ascii="宋体" w:hAnsi="宋体"/>
                <w:color w:val="auto"/>
                <w:sz w:val="24"/>
                <w:highlight w:val="none"/>
              </w:rPr>
              <w:t>的约定进行定期验收</w:t>
            </w:r>
            <w:r>
              <w:rPr>
                <w:rFonts w:hint="eastAsia" w:ascii="宋体" w:hAnsi="宋体"/>
                <w:color w:val="auto"/>
                <w:sz w:val="24"/>
                <w:highlight w:val="none"/>
              </w:rPr>
              <w:t>。</w:t>
            </w:r>
          </w:p>
        </w:tc>
      </w:tr>
      <w:tr w14:paraId="45C6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vAlign w:val="center"/>
          </w:tcPr>
          <w:p w14:paraId="47BFA3F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2.15.3</w:t>
            </w:r>
          </w:p>
        </w:tc>
        <w:tc>
          <w:tcPr>
            <w:tcW w:w="8891" w:type="dxa"/>
            <w:vAlign w:val="center"/>
          </w:tcPr>
          <w:p w14:paraId="05C7AF15">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项目建设完成，经监理单位和甲方核验后，甲方组织专家进行验收，并出具验收意见。</w:t>
            </w:r>
          </w:p>
        </w:tc>
      </w:tr>
      <w:tr w14:paraId="148D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tcPr>
          <w:p w14:paraId="7B8F697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2.19</w:t>
            </w:r>
          </w:p>
        </w:tc>
        <w:tc>
          <w:tcPr>
            <w:tcW w:w="8891" w:type="dxa"/>
          </w:tcPr>
          <w:p w14:paraId="6DA10261">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本合同壹式捌份，甲方执肆份，乙方执肆份。</w:t>
            </w:r>
          </w:p>
        </w:tc>
      </w:tr>
      <w:tr w14:paraId="654C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78" w:type="dxa"/>
            <w:tcBorders>
              <w:left w:val="single" w:color="auto" w:sz="4" w:space="0"/>
            </w:tcBorders>
          </w:tcPr>
          <w:p w14:paraId="34A351F7">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3.1</w:t>
            </w:r>
          </w:p>
        </w:tc>
        <w:tc>
          <w:tcPr>
            <w:tcW w:w="8891" w:type="dxa"/>
          </w:tcPr>
          <w:p w14:paraId="75E44621">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其他：</w:t>
            </w:r>
          </w:p>
          <w:p w14:paraId="2E9F32B8">
            <w:pPr>
              <w:spacing w:line="360" w:lineRule="auto"/>
              <w:ind w:firstLine="482"/>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、合同签订时，乙方应提供统一社会信用代码证（复印件加盖公章）；受法定代表人委托签字的，应提供单位授权委托书（原件）、签字人的身份证（复印件）。</w:t>
            </w:r>
          </w:p>
          <w:p w14:paraId="10B9BD73">
            <w:pPr>
              <w:pStyle w:val="4"/>
              <w:ind w:left="0" w:firstLine="48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、关于质保期限及质保服务要求的约定</w:t>
            </w:r>
          </w:p>
          <w:p w14:paraId="4F020C60">
            <w:pPr>
              <w:pStyle w:val="4"/>
              <w:ind w:left="0" w:firstLine="48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验收完成后，乙方须提供三年的质保期。为了保证本次项目顺利成功，乙方承诺项目验收后提供7*24小时售后技术服务，1小时内做出明确响应和安排，现场响应时间要求是接到用户需求电话后4小时内到达。包括免费升级、功能完善、故障排除、性能调优、技术咨询等，并负责系统的问题处理、协调与各系统软件等乙方的关系。</w:t>
            </w:r>
          </w:p>
          <w:p w14:paraId="52519D80">
            <w:pPr>
              <w:tabs>
                <w:tab w:val="left" w:pos="851"/>
              </w:tabs>
              <w:spacing w:line="360" w:lineRule="auto"/>
              <w:ind w:firstLine="482"/>
              <w:rPr>
                <w:rFonts w:ascii="宋体" w:hAnsi="宋体"/>
                <w:color w:val="auto"/>
                <w:sz w:val="24"/>
                <w:highlight w:val="none"/>
              </w:rPr>
            </w:pPr>
            <w:r>
              <w:rPr>
                <w:rFonts w:hint="eastAsia" w:ascii="宋体" w:hAnsi="宋体"/>
                <w:color w:val="auto"/>
                <w:sz w:val="24"/>
                <w:highlight w:val="none"/>
              </w:rPr>
              <w:t>3、关于安全责任的特别约定。</w:t>
            </w:r>
          </w:p>
          <w:p w14:paraId="3ADF9AF2">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（一）安全责任</w:t>
            </w:r>
          </w:p>
          <w:p w14:paraId="282BFA51">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1）乙方应按照《中华人民共和国网络安全法》《中华人民共和国数据安全法》《中华人民共和国个人信息保护法》等法律法规及规章制度的要求，履行网络和数据安全保护义务。</w:t>
            </w:r>
          </w:p>
          <w:p w14:paraId="157DD891">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2）本项目所涉及的乙方工作人员均需签订《保密承诺书》，且乙方应对项目涉及工作人员进行背景审查，存在泄密风险的乙方工作人员不得接触项目。乙方应做好人员保密教育工作。</w:t>
            </w:r>
          </w:p>
          <w:p w14:paraId="4CC63133">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163A1FB7">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4）项目中所包含的建设、运营、运维的信息系统、应用、数据库等，乙方开通相关账号、权限等必须经过甲方审批允许，不得私开账号、擅自更改权限等。</w:t>
            </w:r>
          </w:p>
          <w:p w14:paraId="7B8BE79B">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5）乙方应合理使用操作账号，严禁乙方存在多名（2人及以上）工作人员共用一个操作账号的情形，同时操作账号应采用高强度的密码，乙方应妥善保管密码并定期更新账号密码。</w:t>
            </w:r>
          </w:p>
          <w:p w14:paraId="060FC4D9">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6）未经甲方允许，乙方不得对项目云资源私开端口，不得利用项目资源进行与该项目无关的工作，不得将政务网和互联网私自打通。</w:t>
            </w:r>
          </w:p>
          <w:p w14:paraId="5677D6A4">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1746B656">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8）乙方应认真组织开展各项数据处理活动，查找项目数据安全隐患和漏洞，对薄弱环节和潜在威胁采取有力措施并进行及时整改，避免和消除数据安全风险，履行数据安全保护义务。</w:t>
            </w:r>
          </w:p>
          <w:p w14:paraId="2BCDB19F">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2F70F9A6">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10）乙方应及时响应、处置甲方布置的安全工作，对其主管的系统、组件、云资源等所属安全事件、隐患及时发现、阻断、排查、处置、溯源（包括但不限于攻防演练等相关活动中发现的）。</w:t>
            </w:r>
          </w:p>
          <w:p w14:paraId="304C9DE4">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00525D5F">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12）乙方派驻的驻场人员应按照甲方要求办理入场、离场等手续，并且遵守甲方劳动、工作纪律，按照甲方要求的工作时间进行出勤。</w:t>
            </w:r>
          </w:p>
          <w:p w14:paraId="2E0ADED7">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13）乙方应配合甲方对项目涉及的资源、系统等常态化安全漏洞扫描，并且及时修复漏洞。</w:t>
            </w:r>
          </w:p>
          <w:p w14:paraId="54A9F1C3">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14）乙方应配合甲方完成项目中所建设、运营的应用系统、服务等的网络数据安全检查，并且按要求及时完成检查中发现问题的整改。</w:t>
            </w:r>
          </w:p>
          <w:p w14:paraId="78884E01">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15）未经甲方允许，乙方不得擅自将项目中涉及的数据拷贝、转移出指定数据区域外进行开发、调试等，包括不限于乙方公司、第三方公司的服务器等。</w:t>
            </w:r>
          </w:p>
          <w:p w14:paraId="3C7FF3B5">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16）每次通报后，乙方应当及时解决并向甲方提交整改报告并根据整改报告内容进行及时整改。</w:t>
            </w:r>
          </w:p>
          <w:p w14:paraId="3E9EED91">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（二）安全部分违约责任</w:t>
            </w:r>
          </w:p>
          <w:p w14:paraId="617408AE">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1）由于乙方原因，受到国家级安全问题通报的或造成特别重大事故的，每通报一个问题或发生一次事故，从合同金额内扣除10万元。</w:t>
            </w:r>
          </w:p>
          <w:p w14:paraId="602CF4CA">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2）由于乙方原因，受到省级安全问题通报的或造成重大事故的，每通报一个问题或发生一次事故，从合同金额扣除5万元。</w:t>
            </w:r>
          </w:p>
          <w:p w14:paraId="01672B74">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3）由于乙方原因，受到市级安全问题通报的或造成较大事故（一般事故）的，每通报一个问题或发生一次事故，从合同金额扣除1万元。</w:t>
            </w:r>
          </w:p>
          <w:p w14:paraId="13F7FE6C">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4）乙方未按照甲方要求及时处置所属安全事件、隐患的，每发生一次，从合同金额扣除2000元。</w:t>
            </w:r>
          </w:p>
          <w:p w14:paraId="3E19BD06">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5）乙方存在多名（2人及以上）工作人员共用一个操作账户的，或所主管的系统、云资源等账号出现弱口令的（强口令需至少包含数字、大小写字母、特殊字符等，且无明显规律），每出现1次，从合同金额扣除1000元。</w:t>
            </w:r>
          </w:p>
          <w:p w14:paraId="0920089C">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6）未经甲方审批允许，乙方不得私开账号、擅自更改权限，不得对项目云资源私开端口，不得利用项目资源进行与该项目无关的工作，不得将政务网和互联网私自打通的。每出现一次，从合同金额中扣除1万元。</w:t>
            </w:r>
          </w:p>
          <w:p w14:paraId="6B0065A9">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7）乙方发现数据安全缺陷、漏洞等风险时，未立即采取补救措施的；或发生数字安全事件时，未立即采取处置措施的；相关情况未第一时间向甲方报告的；每出现一次，从合同金额中扣除500元。</w:t>
            </w:r>
          </w:p>
          <w:p w14:paraId="4EB14919">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8）若乙方未按需提供日志，或提供的操作记录、安全日志等不完整、存在缺失的，每发现一次，每次从合同金额扣除1万元。</w:t>
            </w:r>
          </w:p>
          <w:p w14:paraId="484BCA88">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9）乙方拒不配合网络数据安全检查或经检查后拒不进行整改的，每出现一次从合同金额中扣除2000元。</w:t>
            </w:r>
          </w:p>
          <w:p w14:paraId="1BCCDE31">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10）项目结束后，乙方未按约删除其在项目过程中获取的数据资料并擅自使用或许可他人使用的，承担项目合同总金额10%的违约责任。</w:t>
            </w:r>
          </w:p>
          <w:p w14:paraId="0ADA743C">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11）乙方未配合甲方对项目涉及的资源、系统等常态化安全漏洞扫描，或未及时修复漏洞的，每出现一次，从合同金额扣除1000元。</w:t>
            </w:r>
          </w:p>
          <w:p w14:paraId="08C6919B">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12）乙方未按照甲方相关要求办理入场、离场手续的，出现1人次，每人次从合同金额扣除1万元。</w:t>
            </w:r>
          </w:p>
          <w:p w14:paraId="68B666EA">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13）乙方派驻的驻场人员未按照甲方工作要求进行出勤的，每出现1人次从合同金额扣除500元。</w:t>
            </w:r>
          </w:p>
          <w:p w14:paraId="376D22B3">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14）乙方不得擅自将项目中涉及的数据拷贝、转移出指定数据区域外进行开发、调试等，包括不限于乙方公司、第三方公司的服务器等，每出现一次，从合同金额扣除1万元。</w:t>
            </w:r>
          </w:p>
          <w:p w14:paraId="6C3A8DF5">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15）每次通报后，若乙方未及时提供整改报告的；或未根据通报内容及时进行整改的，每出现一次，从合同金额扣除2000元。</w:t>
            </w:r>
          </w:p>
          <w:p w14:paraId="3A9DB6D6">
            <w:pPr>
              <w:numPr>
                <w:ilvl w:val="255"/>
                <w:numId w:val="0"/>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16）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p w14:paraId="22980255">
            <w:pPr>
              <w:spacing w:line="360" w:lineRule="auto"/>
              <w:ind w:firstLine="482"/>
              <w:rPr>
                <w:rFonts w:ascii="宋体" w:hAnsi="宋体" w:cs="宋体"/>
                <w:color w:val="auto"/>
                <w:sz w:val="24"/>
                <w:highlight w:val="none"/>
              </w:rPr>
            </w:pPr>
          </w:p>
        </w:tc>
      </w:tr>
    </w:tbl>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杭州市卫生健康委员会、杭州市公共资源交易中心：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我方参与健康大脑专病数据库建设项目【招标编号：HZZFCG-2024-190】政府采购活动，郑重承诺：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[本项目专门面向中小微企业。以联合体形式投标的，提供联合协议（附件5）；本项目不接受联合体投标或者投标人不以联合体形式投标的，则不需要提供）]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专门面向中小微企业，服务全部由符合政策要求的中小企业（或小微企业）承接的，提供相应的中小企业声明函（附件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9561E9">
      <w:pPr>
        <w:widowControl/>
        <w:spacing w:line="360" w:lineRule="auto"/>
        <w:ind w:firstLine="480"/>
        <w:jc w:val="left"/>
        <w:rPr>
          <w:rFonts w:ascii="宋体" w:hAnsi="宋体" w:cs="宋体"/>
          <w:color w:val="auto"/>
          <w:sz w:val="24"/>
          <w:highlight w:val="none"/>
        </w:rPr>
      </w:pP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B02E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8D20A8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52C5D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541DC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杭州市卫生健康委员会、杭州市公共资源交易中心：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我方参加你方组织的健康大脑专病数据库建设项目【招标编号：HZZFCG-2024-190】招标的有关活动，并对此项目进行投标。为此：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7" w:name="_Hlk101257010"/>
      <w:r>
        <w:rPr>
          <w:rFonts w:hint="eastAsia" w:ascii="宋体" w:hAnsi="宋体" w:cs="宋体"/>
          <w:color w:val="auto"/>
          <w:sz w:val="24"/>
          <w:highlight w:val="none"/>
        </w:rPr>
        <w:t>（如果有)</w:t>
      </w:r>
      <w:bookmarkEnd w:id="41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006EA65">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2.2.7</w:t>
      </w:r>
      <w:r>
        <w:rPr>
          <w:rFonts w:hint="eastAsia" w:ascii="宋体" w:hAnsi="宋体" w:cs="宋体"/>
          <w:color w:val="auto"/>
          <w:sz w:val="24"/>
          <w:highlight w:val="none"/>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37B59B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7321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7FE537">
      <w:pPr>
        <w:snapToGrid w:val="0"/>
        <w:spacing w:line="360" w:lineRule="auto"/>
        <w:jc w:val="center"/>
        <w:rPr>
          <w:rFonts w:ascii="宋体" w:hAnsi="宋体" w:cs="宋体"/>
          <w:b/>
          <w:color w:val="auto"/>
          <w:kern w:val="0"/>
          <w:sz w:val="32"/>
          <w:szCs w:val="32"/>
          <w:highlight w:val="none"/>
        </w:rPr>
      </w:pPr>
    </w:p>
    <w:p w14:paraId="07C1D70D">
      <w:pPr>
        <w:snapToGrid w:val="0"/>
        <w:spacing w:line="360" w:lineRule="auto"/>
        <w:rPr>
          <w:rFonts w:ascii="宋体" w:hAnsi="宋体" w:cs="宋体"/>
          <w:color w:val="auto"/>
          <w:sz w:val="24"/>
          <w:highlight w:val="none"/>
        </w:rPr>
      </w:pPr>
    </w:p>
    <w:p w14:paraId="3AF33FC5">
      <w:pPr>
        <w:jc w:val="center"/>
        <w:rPr>
          <w:rFonts w:ascii="宋体" w:hAnsi="宋体" w:cs="宋体"/>
          <w:b/>
          <w:color w:val="auto"/>
          <w:kern w:val="0"/>
          <w:sz w:val="32"/>
          <w:szCs w:val="32"/>
          <w:highlight w:val="none"/>
        </w:rPr>
      </w:pPr>
    </w:p>
    <w:p w14:paraId="542890A1">
      <w:pPr>
        <w:jc w:val="center"/>
        <w:rPr>
          <w:rFonts w:ascii="宋体" w:hAnsi="宋体" w:cs="宋体"/>
          <w:b/>
          <w:color w:val="auto"/>
          <w:kern w:val="0"/>
          <w:sz w:val="32"/>
          <w:szCs w:val="32"/>
          <w:highlight w:val="none"/>
        </w:rPr>
      </w:pPr>
    </w:p>
    <w:p w14:paraId="54D45253">
      <w:pPr>
        <w:jc w:val="center"/>
        <w:rPr>
          <w:rFonts w:ascii="宋体" w:hAnsi="宋体" w:cs="宋体"/>
          <w:b/>
          <w:color w:val="auto"/>
          <w:kern w:val="0"/>
          <w:sz w:val="32"/>
          <w:szCs w:val="32"/>
          <w:highlight w:val="none"/>
        </w:rPr>
      </w:pPr>
    </w:p>
    <w:p w14:paraId="4C1050FD">
      <w:pPr>
        <w:jc w:val="center"/>
        <w:rPr>
          <w:rFonts w:ascii="宋体" w:hAnsi="宋体" w:cs="宋体"/>
          <w:b/>
          <w:color w:val="auto"/>
          <w:kern w:val="0"/>
          <w:sz w:val="32"/>
          <w:szCs w:val="32"/>
          <w:highlight w:val="none"/>
        </w:rPr>
      </w:pPr>
    </w:p>
    <w:p w14:paraId="0B76E0E4">
      <w:pPr>
        <w:jc w:val="center"/>
        <w:rPr>
          <w:rFonts w:ascii="宋体" w:hAnsi="宋体" w:cs="宋体"/>
          <w:b/>
          <w:color w:val="auto"/>
          <w:kern w:val="0"/>
          <w:sz w:val="32"/>
          <w:szCs w:val="32"/>
          <w:highlight w:val="none"/>
        </w:rPr>
      </w:pPr>
    </w:p>
    <w:p w14:paraId="323786AC">
      <w:pPr>
        <w:jc w:val="center"/>
        <w:rPr>
          <w:rFonts w:ascii="宋体" w:hAnsi="宋体" w:cs="宋体"/>
          <w:b/>
          <w:color w:val="auto"/>
          <w:kern w:val="0"/>
          <w:sz w:val="32"/>
          <w:szCs w:val="32"/>
          <w:highlight w:val="none"/>
        </w:rPr>
      </w:pPr>
    </w:p>
    <w:p w14:paraId="016A0768">
      <w:pPr>
        <w:jc w:val="center"/>
        <w:rPr>
          <w:rFonts w:ascii="宋体" w:hAnsi="宋体" w:cs="宋体"/>
          <w:b/>
          <w:color w:val="auto"/>
          <w:kern w:val="0"/>
          <w:sz w:val="32"/>
          <w:szCs w:val="32"/>
          <w:highlight w:val="none"/>
        </w:rPr>
      </w:pPr>
    </w:p>
    <w:p w14:paraId="297E2D86">
      <w:pPr>
        <w:jc w:val="center"/>
        <w:rPr>
          <w:rFonts w:ascii="宋体" w:hAnsi="宋体" w:cs="宋体"/>
          <w:b/>
          <w:color w:val="auto"/>
          <w:kern w:val="0"/>
          <w:sz w:val="32"/>
          <w:szCs w:val="32"/>
          <w:highlight w:val="none"/>
        </w:rPr>
      </w:pPr>
    </w:p>
    <w:p w14:paraId="6883D723">
      <w:pPr>
        <w:jc w:val="center"/>
        <w:rPr>
          <w:rFonts w:ascii="宋体" w:hAnsi="宋体" w:cs="宋体"/>
          <w:b/>
          <w:color w:val="auto"/>
          <w:kern w:val="0"/>
          <w:sz w:val="32"/>
          <w:szCs w:val="32"/>
          <w:highlight w:val="none"/>
        </w:rPr>
      </w:pPr>
    </w:p>
    <w:p w14:paraId="43047ED6">
      <w:pPr>
        <w:jc w:val="center"/>
        <w:rPr>
          <w:rFonts w:ascii="宋体" w:hAnsi="宋体" w:cs="宋体"/>
          <w:b/>
          <w:color w:val="auto"/>
          <w:kern w:val="0"/>
          <w:sz w:val="32"/>
          <w:szCs w:val="32"/>
          <w:highlight w:val="none"/>
        </w:rPr>
      </w:pPr>
    </w:p>
    <w:p w14:paraId="1346BC43">
      <w:pPr>
        <w:jc w:val="center"/>
        <w:rPr>
          <w:rFonts w:ascii="宋体" w:hAnsi="宋体" w:cs="宋体"/>
          <w:b/>
          <w:color w:val="auto"/>
          <w:kern w:val="0"/>
          <w:sz w:val="32"/>
          <w:szCs w:val="32"/>
          <w:highlight w:val="none"/>
        </w:rPr>
      </w:pPr>
    </w:p>
    <w:p w14:paraId="45017E5D">
      <w:pPr>
        <w:jc w:val="center"/>
        <w:rPr>
          <w:rFonts w:ascii="宋体" w:hAnsi="宋体" w:cs="宋体"/>
          <w:b/>
          <w:color w:val="auto"/>
          <w:kern w:val="0"/>
          <w:sz w:val="32"/>
          <w:szCs w:val="32"/>
          <w:highlight w:val="none"/>
        </w:rPr>
      </w:pPr>
    </w:p>
    <w:p w14:paraId="1295398F">
      <w:pPr>
        <w:jc w:val="center"/>
        <w:rPr>
          <w:rFonts w:ascii="宋体" w:hAnsi="宋体" w:cs="宋体"/>
          <w:b/>
          <w:color w:val="auto"/>
          <w:kern w:val="0"/>
          <w:sz w:val="32"/>
          <w:szCs w:val="32"/>
          <w:highlight w:val="none"/>
        </w:rPr>
      </w:pP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4"/>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杭州市卫生健康委员会、杭州市公共资源交易中心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健康大脑专病数据库建设项目【招标编号：HZZFCG-2024-190】</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杭州市卫生健康委员会、杭州市公共资源交易中心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健康大脑专病数据库建设项目【招标编号：HZZFCG-2024-190】</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34A946">
      <w:pPr>
        <w:autoSpaceDE w:val="0"/>
        <w:autoSpaceDN w:val="0"/>
        <w:spacing w:line="360" w:lineRule="auto"/>
        <w:jc w:val="center"/>
        <w:rPr>
          <w:rFonts w:ascii="宋体" w:hAnsi="宋体" w:cs="宋体"/>
          <w:b/>
          <w:color w:val="auto"/>
          <w:kern w:val="0"/>
          <w:sz w:val="32"/>
          <w:szCs w:val="32"/>
          <w:highlight w:val="none"/>
          <w:lang w:val="zh-CN"/>
        </w:rPr>
      </w:pP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8"/>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1CA3CAD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本项目专门面向中小微企业。中标后以分包方式履行合同的，提供分包意向协议(附件6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81CB89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3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0B4C0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55F14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DD86B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10CA3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88E1A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0B7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50FF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AC3217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C1135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95F63D2">
            <w:pPr>
              <w:rPr>
                <w:rFonts w:ascii="宋体" w:hAnsi="宋体" w:cs="宋体"/>
                <w:color w:val="auto"/>
                <w:sz w:val="24"/>
                <w:highlight w:val="none"/>
              </w:rPr>
            </w:pPr>
          </w:p>
          <w:p w14:paraId="302B8E34">
            <w:pPr>
              <w:rPr>
                <w:rFonts w:ascii="宋体" w:hAnsi="宋体" w:cs="宋体"/>
                <w:color w:val="auto"/>
                <w:sz w:val="24"/>
                <w:highlight w:val="none"/>
              </w:rPr>
            </w:pPr>
            <w:r>
              <w:rPr>
                <w:rFonts w:hint="eastAsia" w:ascii="宋体" w:hAnsi="宋体" w:cs="宋体"/>
                <w:color w:val="auto"/>
                <w:sz w:val="24"/>
                <w:highlight w:val="none"/>
              </w:rPr>
              <w:t>见投标文件</w:t>
            </w:r>
          </w:p>
          <w:p w14:paraId="7CEF484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8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9EE1B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0F29E9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E7DDAB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F89B66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46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93B34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5BE9FB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DF2F5D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EEC39F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50EF0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32DB59">
      <w:pPr>
        <w:jc w:val="center"/>
        <w:rPr>
          <w:rFonts w:ascii="宋体" w:hAnsi="宋体" w:cs="宋体"/>
          <w:b/>
          <w:color w:val="auto"/>
          <w:kern w:val="0"/>
          <w:sz w:val="32"/>
          <w:szCs w:val="32"/>
          <w:highlight w:val="none"/>
        </w:rPr>
      </w:pP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70972EE1">
      <w:pPr>
        <w:jc w:val="center"/>
        <w:rPr>
          <w:rFonts w:ascii="宋体" w:hAnsi="宋体" w:cs="宋体"/>
          <w:b/>
          <w:color w:val="auto"/>
          <w:kern w:val="0"/>
          <w:sz w:val="32"/>
          <w:szCs w:val="32"/>
          <w:highlight w:val="none"/>
        </w:rPr>
      </w:pPr>
    </w:p>
    <w:p w14:paraId="3C7D4682">
      <w:pPr>
        <w:jc w:val="center"/>
        <w:rPr>
          <w:rFonts w:ascii="宋体" w:hAnsi="宋体" w:cs="宋体"/>
          <w:b/>
          <w:color w:val="auto"/>
          <w:kern w:val="0"/>
          <w:sz w:val="32"/>
          <w:szCs w:val="32"/>
          <w:highlight w:val="none"/>
        </w:rPr>
      </w:pPr>
    </w:p>
    <w:p w14:paraId="40D00BC2">
      <w:pPr>
        <w:jc w:val="center"/>
        <w:rPr>
          <w:rFonts w:ascii="宋体" w:hAnsi="宋体" w:cs="宋体"/>
          <w:b/>
          <w:color w:val="auto"/>
          <w:kern w:val="0"/>
          <w:sz w:val="32"/>
          <w:szCs w:val="32"/>
          <w:highlight w:val="none"/>
        </w:rPr>
      </w:pPr>
    </w:p>
    <w:p w14:paraId="4EAC69C7">
      <w:pPr>
        <w:jc w:val="center"/>
        <w:rPr>
          <w:rFonts w:ascii="宋体" w:hAnsi="宋体" w:cs="宋体"/>
          <w:b/>
          <w:color w:val="auto"/>
          <w:kern w:val="0"/>
          <w:sz w:val="32"/>
          <w:szCs w:val="32"/>
          <w:highlight w:val="none"/>
        </w:rPr>
      </w:pPr>
    </w:p>
    <w:p w14:paraId="65196E0A">
      <w:pPr>
        <w:jc w:val="center"/>
        <w:rPr>
          <w:rFonts w:ascii="宋体" w:hAnsi="宋体" w:cs="宋体"/>
          <w:b/>
          <w:color w:val="auto"/>
          <w:kern w:val="0"/>
          <w:sz w:val="32"/>
          <w:szCs w:val="32"/>
          <w:highlight w:val="none"/>
        </w:rPr>
      </w:pPr>
    </w:p>
    <w:p w14:paraId="67534D37">
      <w:pPr>
        <w:jc w:val="center"/>
        <w:rPr>
          <w:rFonts w:ascii="宋体" w:hAnsi="宋体" w:cs="宋体"/>
          <w:b/>
          <w:color w:val="auto"/>
          <w:kern w:val="0"/>
          <w:sz w:val="32"/>
          <w:szCs w:val="32"/>
          <w:highlight w:val="none"/>
        </w:rPr>
      </w:pPr>
    </w:p>
    <w:p w14:paraId="61C691B3">
      <w:pPr>
        <w:jc w:val="center"/>
        <w:rPr>
          <w:rFonts w:ascii="宋体" w:hAnsi="宋体" w:cs="宋体"/>
          <w:b/>
          <w:color w:val="auto"/>
          <w:kern w:val="0"/>
          <w:sz w:val="32"/>
          <w:szCs w:val="32"/>
          <w:highlight w:val="none"/>
        </w:rPr>
      </w:pPr>
    </w:p>
    <w:p w14:paraId="59D8D03F">
      <w:pPr>
        <w:jc w:val="center"/>
        <w:rPr>
          <w:rFonts w:ascii="宋体" w:hAnsi="宋体" w:cs="宋体"/>
          <w:b/>
          <w:color w:val="auto"/>
          <w:kern w:val="0"/>
          <w:sz w:val="32"/>
          <w:szCs w:val="32"/>
          <w:highlight w:val="none"/>
        </w:rPr>
      </w:pPr>
    </w:p>
    <w:p w14:paraId="2C041BEC">
      <w:pPr>
        <w:jc w:val="center"/>
        <w:rPr>
          <w:rFonts w:ascii="宋体" w:hAnsi="宋体" w:cs="宋体"/>
          <w:b/>
          <w:color w:val="auto"/>
          <w:kern w:val="0"/>
          <w:sz w:val="32"/>
          <w:szCs w:val="32"/>
          <w:highlight w:val="none"/>
        </w:rPr>
      </w:pPr>
    </w:p>
    <w:p w14:paraId="046A2F33">
      <w:pPr>
        <w:jc w:val="center"/>
        <w:rPr>
          <w:rFonts w:ascii="宋体" w:hAnsi="宋体" w:cs="宋体"/>
          <w:b/>
          <w:color w:val="auto"/>
          <w:kern w:val="0"/>
          <w:sz w:val="32"/>
          <w:szCs w:val="32"/>
          <w:highlight w:val="none"/>
        </w:rPr>
      </w:pPr>
    </w:p>
    <w:p w14:paraId="35448D4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A697D7C">
      <w:pPr>
        <w:jc w:val="center"/>
        <w:rPr>
          <w:rFonts w:ascii="宋体" w:hAnsi="宋体" w:cs="宋体"/>
          <w:b/>
          <w:color w:val="auto"/>
          <w:kern w:val="0"/>
          <w:sz w:val="32"/>
          <w:szCs w:val="32"/>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20363345">
      <w:pPr>
        <w:spacing w:line="48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p w14:paraId="484BEA09">
      <w:pPr>
        <w:spacing w:line="480" w:lineRule="auto"/>
        <w:jc w:val="center"/>
        <w:rPr>
          <w:rFonts w:ascii="宋体" w:hAnsi="宋体" w:cs="宋体"/>
          <w:b/>
          <w:color w:val="auto"/>
          <w:kern w:val="0"/>
          <w:sz w:val="32"/>
          <w:szCs w:val="32"/>
          <w:highlight w:val="none"/>
        </w:rPr>
      </w:pPr>
      <w:r>
        <w:rPr>
          <w:rFonts w:hint="eastAsia" w:ascii="宋体" w:hAnsi="宋体" w:cs="宋体"/>
          <w:b/>
          <w:color w:val="auto"/>
          <w:sz w:val="24"/>
          <w:highlight w:val="none"/>
        </w:rPr>
        <w:t>（按招标文件内容提供，格式自拟）</w:t>
      </w:r>
    </w:p>
    <w:p w14:paraId="4F44E551">
      <w:pPr>
        <w:jc w:val="center"/>
        <w:rPr>
          <w:rFonts w:ascii="宋体" w:hAnsi="宋体" w:cs="宋体"/>
          <w:b/>
          <w:color w:val="auto"/>
          <w:kern w:val="0"/>
          <w:sz w:val="32"/>
          <w:szCs w:val="32"/>
          <w:highlight w:val="none"/>
        </w:rPr>
      </w:pPr>
    </w:p>
    <w:p w14:paraId="018F5A8D">
      <w:pPr>
        <w:jc w:val="center"/>
        <w:rPr>
          <w:rFonts w:ascii="宋体" w:hAnsi="宋体" w:cs="宋体"/>
          <w:b/>
          <w:color w:val="auto"/>
          <w:kern w:val="0"/>
          <w:sz w:val="32"/>
          <w:szCs w:val="32"/>
          <w:highlight w:val="none"/>
        </w:rPr>
      </w:pPr>
    </w:p>
    <w:p w14:paraId="0AEFD0BC">
      <w:pPr>
        <w:jc w:val="center"/>
        <w:rPr>
          <w:rFonts w:ascii="宋体" w:hAnsi="宋体" w:cs="宋体"/>
          <w:b/>
          <w:color w:val="auto"/>
          <w:kern w:val="0"/>
          <w:sz w:val="32"/>
          <w:szCs w:val="32"/>
          <w:highlight w:val="none"/>
        </w:rPr>
      </w:pP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455059E">
      <w:pPr>
        <w:jc w:val="left"/>
        <w:rPr>
          <w:rFonts w:ascii="宋体" w:hAnsi="宋体" w:cs="宋体"/>
          <w:color w:val="auto"/>
          <w:kern w:val="0"/>
          <w:sz w:val="24"/>
          <w:highlight w:val="none"/>
        </w:rPr>
      </w:pPr>
    </w:p>
    <w:p w14:paraId="72B3ABBA">
      <w:pPr>
        <w:jc w:val="center"/>
        <w:rPr>
          <w:rFonts w:ascii="宋体" w:hAnsi="宋体" w:cs="宋体"/>
          <w:b/>
          <w:color w:val="auto"/>
          <w:kern w:val="0"/>
          <w:sz w:val="32"/>
          <w:szCs w:val="32"/>
          <w:highlight w:val="none"/>
        </w:rPr>
      </w:pPr>
    </w:p>
    <w:p w14:paraId="5FD3F7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6E5A764">
      <w:pPr>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2、招标文件中实质性要求必须明确响应。</w:t>
      </w:r>
    </w:p>
    <w:p w14:paraId="5BC09D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2E3B5AE9">
      <w:pPr>
        <w:ind w:firstLine="1911" w:firstLineChars="595"/>
        <w:rPr>
          <w:rFonts w:ascii="宋体" w:hAnsi="宋体" w:cs="宋体"/>
          <w:b/>
          <w:bCs/>
          <w:color w:val="auto"/>
          <w:sz w:val="32"/>
          <w:szCs w:val="32"/>
          <w:highlight w:val="none"/>
        </w:rPr>
      </w:pP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杭州市卫生健康委员会、杭州市公共资源交易中心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95FB0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7B700F1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杭州市卫生健康委员会、杭州市公共资源交易中心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健康大脑专病数据库建设项目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HZZFCG-2024-190】的实施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71"/>
        <w:gridCol w:w="2302"/>
        <w:gridCol w:w="2629"/>
        <w:gridCol w:w="2706"/>
        <w:gridCol w:w="298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71"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302"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629"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06"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983"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71"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健康大脑专病数据库建设项目</w:t>
            </w:r>
          </w:p>
        </w:tc>
        <w:tc>
          <w:tcPr>
            <w:tcW w:w="2302" w:type="dxa"/>
            <w:vAlign w:val="center"/>
          </w:tcPr>
          <w:p w14:paraId="422F229C">
            <w:pPr>
              <w:snapToGrid w:val="0"/>
              <w:spacing w:line="360" w:lineRule="auto"/>
              <w:jc w:val="center"/>
              <w:rPr>
                <w:rFonts w:ascii="宋体" w:hAnsi="宋体" w:cs="宋体"/>
                <w:color w:val="auto"/>
                <w:sz w:val="24"/>
                <w:highlight w:val="none"/>
              </w:rPr>
            </w:pPr>
          </w:p>
        </w:tc>
        <w:tc>
          <w:tcPr>
            <w:tcW w:w="2629" w:type="dxa"/>
            <w:vAlign w:val="center"/>
          </w:tcPr>
          <w:p w14:paraId="6FC73C48">
            <w:pPr>
              <w:snapToGrid w:val="0"/>
              <w:spacing w:line="360" w:lineRule="auto"/>
              <w:jc w:val="center"/>
              <w:rPr>
                <w:rFonts w:ascii="宋体" w:hAnsi="宋体" w:cs="宋体"/>
                <w:color w:val="auto"/>
                <w:sz w:val="24"/>
                <w:highlight w:val="none"/>
              </w:rPr>
            </w:pPr>
          </w:p>
        </w:tc>
        <w:tc>
          <w:tcPr>
            <w:tcW w:w="2706" w:type="dxa"/>
            <w:vAlign w:val="center"/>
          </w:tcPr>
          <w:p w14:paraId="3DB7A9C1">
            <w:pPr>
              <w:snapToGrid w:val="0"/>
              <w:spacing w:line="360" w:lineRule="auto"/>
              <w:jc w:val="center"/>
              <w:rPr>
                <w:rFonts w:ascii="宋体" w:hAnsi="宋体" w:cs="宋体"/>
                <w:color w:val="auto"/>
                <w:sz w:val="24"/>
                <w:highlight w:val="none"/>
              </w:rPr>
            </w:pPr>
          </w:p>
        </w:tc>
        <w:tc>
          <w:tcPr>
            <w:tcW w:w="2983"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19"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815"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9"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815"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5803226">
      <w:pPr>
        <w:snapToGrid w:val="0"/>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7287286C">
      <w:pPr>
        <w:snapToGrid w:val="0"/>
        <w:spacing w:line="360" w:lineRule="auto"/>
        <w:ind w:firstLine="480" w:firstLineChars="20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投标人名称(电子签名)：                              </w:t>
      </w:r>
    </w:p>
    <w:p w14:paraId="4626BACF">
      <w:pPr>
        <w:snapToGrid w:val="0"/>
        <w:spacing w:line="360" w:lineRule="auto"/>
        <w:ind w:firstLine="480" w:firstLineChars="2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658B59">
      <w:pPr>
        <w:pStyle w:val="2"/>
        <w:rPr>
          <w:color w:val="auto"/>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AFFE73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61D18DC2">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920825F">
      <w:pPr>
        <w:spacing w:line="360" w:lineRule="auto"/>
        <w:ind w:firstLine="482" w:firstLineChars="200"/>
        <w:rPr>
          <w:rFonts w:ascii="宋体" w:hAnsi="宋体" w:cs="宋体"/>
          <w:b/>
          <w:color w:val="auto"/>
          <w:sz w:val="24"/>
          <w:highlight w:val="none"/>
        </w:rPr>
      </w:pPr>
    </w:p>
    <w:p w14:paraId="66DE21F4">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18" w:name="OLE_LINK14"/>
      <w:bookmarkStart w:id="419" w:name="OLE_LINK13"/>
      <w:r>
        <w:rPr>
          <w:rFonts w:hint="eastAsia" w:ascii="宋体" w:hAnsi="宋体" w:cs="宋体"/>
          <w:b/>
          <w:color w:val="auto"/>
          <w:spacing w:val="6"/>
          <w:sz w:val="32"/>
          <w:szCs w:val="32"/>
          <w:highlight w:val="none"/>
        </w:rPr>
        <w:t>残疾人福利性单位声明函</w:t>
      </w:r>
    </w:p>
    <w:bookmarkEnd w:id="418"/>
    <w:bookmarkEnd w:id="419"/>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杭州市卫生健康委员会</w:t>
      </w:r>
      <w:r>
        <w:rPr>
          <w:rFonts w:hint="eastAsia" w:ascii="宋体" w:hAnsi="宋体" w:cs="宋体"/>
          <w:color w:val="auto"/>
          <w:sz w:val="24"/>
          <w:highlight w:val="none"/>
        </w:rPr>
        <w:t>单位的</w:t>
      </w:r>
      <w:r>
        <w:rPr>
          <w:rFonts w:hint="eastAsia" w:ascii="宋体" w:hAnsi="宋体" w:cs="宋体"/>
          <w:color w:val="auto"/>
          <w:sz w:val="24"/>
          <w:highlight w:val="none"/>
          <w:u w:val="single"/>
        </w:rPr>
        <w:t>健康大脑专病数据库建设项目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4EAB3B73">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5592F294">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杭州市卫生健康委员会、杭州市公共资源交易中心：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你方组织的健康大脑专病数据库建设项目【招标编号：HZZFCG-2024-190】</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7E13A2FC">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健康大脑专病数据库建设项目【招标编号：HZZFCG-2024-190】</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9A7F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1"/>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2"/>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健康大脑专病数据库建设项目【招标编号：HZZFCG-2024-190】</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Cs w:val="21"/>
          <w:highlight w:val="none"/>
          <w:lang w:val="zh-CN"/>
        </w:rPr>
        <w:t>（注：投标人只能将招标文件第二部分中“前附表”的“分包”规定的工作进行分包）</w:t>
      </w:r>
    </w:p>
    <w:p w14:paraId="4C99E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ascii="宋体" w:hAnsi="宋体" w:cs="宋体"/>
          <w:color w:val="auto"/>
          <w:kern w:val="0"/>
          <w:sz w:val="24"/>
          <w:highlight w:val="none"/>
          <w:u w:val="single"/>
        </w:rPr>
        <w:t>1名称）</w:t>
      </w:r>
      <w:r>
        <w:rPr>
          <w:rFonts w:hint="eastAsia" w:ascii="宋体" w:hAnsi="宋体" w:cs="宋体"/>
          <w:color w:val="auto"/>
          <w:kern w:val="0"/>
          <w:sz w:val="24"/>
          <w:highlight w:val="none"/>
          <w:u w:val="single"/>
        </w:rPr>
        <w:t>；</w:t>
      </w:r>
    </w:p>
    <w:p w14:paraId="7FDE4ABB">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p>
    <w:p w14:paraId="62738477">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B59BD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05A5BB2E">
      <w:pPr>
        <w:rPr>
          <w:color w:val="auto"/>
          <w:highlight w:val="none"/>
        </w:rPr>
      </w:pPr>
      <w:r>
        <w:rPr>
          <w:rFonts w:hint="eastAsia"/>
          <w:color w:val="auto"/>
          <w:highlight w:val="none"/>
          <w:lang w:val="zh-CN"/>
        </w:rPr>
        <w:t xml:space="preserve"> </w:t>
      </w: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CE143F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5486DB87">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杭州市卫生健康委员会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健康大脑专病数据库建设项目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20" w:firstLineChars="200"/>
        <w:jc w:val="left"/>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u w:val="single"/>
        </w:rPr>
        <w:t>健康大脑专病数据库建设项目</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 xml:space="preserve"> 行业；承接企业为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709E3AF">
      <w:pPr>
        <w:spacing w:line="360" w:lineRule="auto"/>
        <w:ind w:right="420"/>
        <w:rPr>
          <w:rFonts w:ascii="宋体" w:hAnsi="宋体" w:cs="宋体"/>
          <w:color w:val="auto"/>
          <w:sz w:val="24"/>
          <w:highlight w:val="none"/>
        </w:rPr>
      </w:pPr>
    </w:p>
    <w:p w14:paraId="438B1C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rPr>
        <w:t>1、本项目专门面向中小微企业。</w:t>
      </w:r>
    </w:p>
    <w:p w14:paraId="7E55FF0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A84BC6">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3" w:name="_Toc131845147"/>
    <w:bookmarkStart w:id="424" w:name="_Toc91899912"/>
    <w:bookmarkStart w:id="425" w:name="_Toc164085800"/>
    <w:bookmarkStart w:id="426" w:name="_Toc36110187"/>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292"/>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30"/>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36C"/>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E0"/>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64"/>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2A"/>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24"/>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D61"/>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721"/>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75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97E13"/>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8F1"/>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06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7F3"/>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B76"/>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282"/>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561BE"/>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C5C9A"/>
    <w:rsid w:val="09535675"/>
    <w:rsid w:val="095F057D"/>
    <w:rsid w:val="09642282"/>
    <w:rsid w:val="09733572"/>
    <w:rsid w:val="09772C16"/>
    <w:rsid w:val="098353B5"/>
    <w:rsid w:val="09A92330"/>
    <w:rsid w:val="09B06B87"/>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F0140"/>
    <w:rsid w:val="12255233"/>
    <w:rsid w:val="12530213"/>
    <w:rsid w:val="127723A9"/>
    <w:rsid w:val="12862074"/>
    <w:rsid w:val="12883966"/>
    <w:rsid w:val="129E45B4"/>
    <w:rsid w:val="12D81596"/>
    <w:rsid w:val="12F11F28"/>
    <w:rsid w:val="13072A44"/>
    <w:rsid w:val="13200C1E"/>
    <w:rsid w:val="132E32E9"/>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284132"/>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3D710B"/>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1116EB"/>
    <w:rsid w:val="216133FC"/>
    <w:rsid w:val="21B5B083"/>
    <w:rsid w:val="21D56769"/>
    <w:rsid w:val="21E52EF3"/>
    <w:rsid w:val="21FB5D7B"/>
    <w:rsid w:val="22015E94"/>
    <w:rsid w:val="220B1C3D"/>
    <w:rsid w:val="221B2723"/>
    <w:rsid w:val="221D1D20"/>
    <w:rsid w:val="22334A87"/>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2726C6"/>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3538A"/>
    <w:rsid w:val="358D5588"/>
    <w:rsid w:val="363A3B40"/>
    <w:rsid w:val="365302AE"/>
    <w:rsid w:val="36607A0A"/>
    <w:rsid w:val="366E227C"/>
    <w:rsid w:val="366F2E0D"/>
    <w:rsid w:val="367B6A5C"/>
    <w:rsid w:val="36846564"/>
    <w:rsid w:val="36A74ADA"/>
    <w:rsid w:val="36AD60D5"/>
    <w:rsid w:val="36B224F9"/>
    <w:rsid w:val="36EC0CC9"/>
    <w:rsid w:val="373F410B"/>
    <w:rsid w:val="37EE7094"/>
    <w:rsid w:val="38296C89"/>
    <w:rsid w:val="383002EB"/>
    <w:rsid w:val="38586797"/>
    <w:rsid w:val="38BC0149"/>
    <w:rsid w:val="38D87D1C"/>
    <w:rsid w:val="39301F87"/>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E5B3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5154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62B68"/>
    <w:rsid w:val="4A4424D7"/>
    <w:rsid w:val="4AB82D0F"/>
    <w:rsid w:val="4AEB7664"/>
    <w:rsid w:val="4AFD7C19"/>
    <w:rsid w:val="4B0567D1"/>
    <w:rsid w:val="4B236AAE"/>
    <w:rsid w:val="4B707271"/>
    <w:rsid w:val="4B9739F7"/>
    <w:rsid w:val="4BEE2503"/>
    <w:rsid w:val="4C245A30"/>
    <w:rsid w:val="4C4432A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C507B"/>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36DC8"/>
    <w:rsid w:val="62F40B65"/>
    <w:rsid w:val="62FC2CFE"/>
    <w:rsid w:val="63024505"/>
    <w:rsid w:val="635600A5"/>
    <w:rsid w:val="635B1DB5"/>
    <w:rsid w:val="63711FED"/>
    <w:rsid w:val="6380482C"/>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7723D0"/>
    <w:rsid w:val="707D6A8A"/>
    <w:rsid w:val="70F5661B"/>
    <w:rsid w:val="71360107"/>
    <w:rsid w:val="713B688E"/>
    <w:rsid w:val="71823BE9"/>
    <w:rsid w:val="71D43752"/>
    <w:rsid w:val="71F1796A"/>
    <w:rsid w:val="72154626"/>
    <w:rsid w:val="72262B5D"/>
    <w:rsid w:val="72283FF7"/>
    <w:rsid w:val="722E7212"/>
    <w:rsid w:val="723A0474"/>
    <w:rsid w:val="725923E4"/>
    <w:rsid w:val="726E5CBB"/>
    <w:rsid w:val="72864BF7"/>
    <w:rsid w:val="729023FC"/>
    <w:rsid w:val="73C0646E"/>
    <w:rsid w:val="742222F5"/>
    <w:rsid w:val="744040C3"/>
    <w:rsid w:val="74476126"/>
    <w:rsid w:val="74706664"/>
    <w:rsid w:val="747F3682"/>
    <w:rsid w:val="749C4185"/>
    <w:rsid w:val="75067759"/>
    <w:rsid w:val="752E2C6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6E67"/>
    <w:rsid w:val="78E172CC"/>
    <w:rsid w:val="78EA1D1F"/>
    <w:rsid w:val="78EC1FA5"/>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66DAB"/>
    <w:rsid w:val="7B257FFD"/>
    <w:rsid w:val="7B343476"/>
    <w:rsid w:val="7B5A2978"/>
    <w:rsid w:val="7B5A7E4C"/>
    <w:rsid w:val="7B667AF9"/>
    <w:rsid w:val="7B7468F8"/>
    <w:rsid w:val="7BEE0103"/>
    <w:rsid w:val="7C0A0FE4"/>
    <w:rsid w:val="7C254906"/>
    <w:rsid w:val="7C590818"/>
    <w:rsid w:val="7C7C10F6"/>
    <w:rsid w:val="7C853BEA"/>
    <w:rsid w:val="7C881368"/>
    <w:rsid w:val="7C8A3A4D"/>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2"/>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2"/>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118</Pages>
  <Words>10067</Words>
  <Characters>10840</Characters>
  <Lines>537</Lines>
  <Paragraphs>151</Paragraphs>
  <TotalTime>17</TotalTime>
  <ScaleCrop>false</ScaleCrop>
  <LinksUpToDate>false</LinksUpToDate>
  <CharactersWithSpaces>11235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2024-10-28T07:14:44Z</dcterms:modified>
  <dc:title>杭州市市民卡扩大发卡工程</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