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E515">
      <w:pPr>
        <w:spacing w:line="360" w:lineRule="auto"/>
        <w:jc w:val="center"/>
        <w:rPr>
          <w:rFonts w:hint="eastAsia" w:ascii="宋体" w:hAnsi="宋体" w:cs="宋体"/>
          <w:b/>
          <w:color w:val="auto"/>
          <w:sz w:val="24"/>
        </w:rPr>
      </w:pPr>
    </w:p>
    <w:p w14:paraId="65B3CD6F">
      <w:pPr>
        <w:spacing w:line="360" w:lineRule="auto"/>
        <w:jc w:val="center"/>
        <w:rPr>
          <w:rFonts w:ascii="宋体" w:hAnsi="宋体" w:cs="宋体"/>
          <w:b/>
          <w:color w:val="auto"/>
          <w:sz w:val="24"/>
        </w:rPr>
      </w:pPr>
    </w:p>
    <w:p w14:paraId="5E659E51">
      <w:pPr>
        <w:adjustRightInd/>
        <w:spacing w:line="360" w:lineRule="auto"/>
        <w:jc w:val="center"/>
        <w:rPr>
          <w:rFonts w:ascii="宋体" w:hAnsi="宋体" w:cs="宋体"/>
          <w:b/>
          <w:color w:val="auto"/>
          <w:sz w:val="44"/>
          <w:szCs w:val="44"/>
        </w:rPr>
      </w:pPr>
    </w:p>
    <w:p w14:paraId="7E1A2068">
      <w:pPr>
        <w:spacing w:line="360" w:lineRule="auto"/>
        <w:jc w:val="center"/>
        <w:rPr>
          <w:rFonts w:ascii="宋体" w:hAnsi="宋体" w:cs="宋体"/>
          <w:b/>
          <w:color w:val="auto"/>
          <w:sz w:val="44"/>
          <w:szCs w:val="44"/>
        </w:rPr>
      </w:pPr>
    </w:p>
    <w:p w14:paraId="764001FB">
      <w:pPr>
        <w:adjustRightInd/>
        <w:spacing w:line="360" w:lineRule="auto"/>
        <w:jc w:val="center"/>
        <w:rPr>
          <w:rFonts w:ascii="宋体" w:hAnsi="宋体" w:cs="宋体"/>
          <w:b/>
          <w:color w:val="auto"/>
          <w:sz w:val="48"/>
          <w:szCs w:val="48"/>
        </w:rPr>
      </w:pPr>
    </w:p>
    <w:p w14:paraId="4692385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杭州市综合行政执法队</w:t>
      </w:r>
    </w:p>
    <w:p w14:paraId="31DEB255">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物业管理服务采购项目</w:t>
      </w:r>
    </w:p>
    <w:p w14:paraId="437DFED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bookmarkStart w:id="417" w:name="_GoBack"/>
      <w:bookmarkEnd w:id="417"/>
    </w:p>
    <w:p w14:paraId="5FC0DDB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0523011">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编号:HZZFCG-2025-005</w:t>
      </w:r>
    </w:p>
    <w:p w14:paraId="29DF39CB">
      <w:pPr>
        <w:adjustRightInd/>
        <w:spacing w:line="360" w:lineRule="auto"/>
        <w:rPr>
          <w:rFonts w:ascii="宋体" w:hAnsi="宋体" w:cs="宋体"/>
          <w:color w:val="auto"/>
          <w:sz w:val="28"/>
          <w:szCs w:val="20"/>
        </w:rPr>
      </w:pPr>
    </w:p>
    <w:p w14:paraId="3E38D7BE">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BCD9AF3">
      <w:pPr>
        <w:spacing w:line="360" w:lineRule="auto"/>
        <w:jc w:val="center"/>
        <w:rPr>
          <w:rFonts w:ascii="宋体" w:hAnsi="宋体" w:cs="宋体"/>
          <w:b/>
          <w:color w:val="auto"/>
          <w:sz w:val="44"/>
          <w:szCs w:val="44"/>
        </w:rPr>
      </w:pPr>
    </w:p>
    <w:p w14:paraId="2EFEDA07">
      <w:pPr>
        <w:spacing w:line="360" w:lineRule="auto"/>
        <w:jc w:val="center"/>
        <w:rPr>
          <w:rFonts w:ascii="宋体" w:hAnsi="宋体" w:cs="宋体"/>
          <w:color w:val="auto"/>
          <w:sz w:val="24"/>
        </w:rPr>
      </w:pPr>
    </w:p>
    <w:p w14:paraId="5FCA75FA">
      <w:pPr>
        <w:spacing w:line="360" w:lineRule="auto"/>
        <w:jc w:val="center"/>
        <w:rPr>
          <w:rFonts w:ascii="宋体" w:hAnsi="宋体" w:cs="宋体"/>
          <w:color w:val="auto"/>
          <w:sz w:val="24"/>
        </w:rPr>
      </w:pPr>
    </w:p>
    <w:p w14:paraId="052D5B61">
      <w:pPr>
        <w:spacing w:line="360" w:lineRule="auto"/>
        <w:rPr>
          <w:rFonts w:ascii="宋体" w:hAnsi="宋体" w:cs="宋体"/>
          <w:color w:val="auto"/>
          <w:sz w:val="32"/>
          <w:szCs w:val="32"/>
        </w:rPr>
      </w:pPr>
    </w:p>
    <w:p w14:paraId="3FB2463A">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杭州市综合行政执法队</w:t>
      </w:r>
    </w:p>
    <w:p w14:paraId="18660CEA">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杭州市公共资源交易中心</w:t>
      </w:r>
    </w:p>
    <w:p w14:paraId="76EF3CB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十四</w:t>
      </w:r>
      <w:r>
        <w:rPr>
          <w:rFonts w:hint="eastAsia" w:ascii="宋体" w:hAnsi="宋体" w:cs="宋体"/>
          <w:bCs/>
          <w:color w:val="auto"/>
          <w:sz w:val="32"/>
          <w:szCs w:val="32"/>
        </w:rPr>
        <w:t>日</w:t>
      </w:r>
    </w:p>
    <w:p w14:paraId="788F016E">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2441F8D4">
      <w:pPr>
        <w:pStyle w:val="636"/>
        <w:rPr>
          <w:color w:val="auto"/>
        </w:rPr>
      </w:pPr>
    </w:p>
    <w:p w14:paraId="1B498AF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F61C864">
      <w:pPr>
        <w:spacing w:line="360" w:lineRule="auto"/>
        <w:rPr>
          <w:rFonts w:ascii="宋体" w:hAnsi="宋体" w:cs="宋体"/>
          <w:color w:val="auto"/>
          <w:sz w:val="32"/>
          <w:szCs w:val="32"/>
        </w:rPr>
      </w:pPr>
    </w:p>
    <w:p w14:paraId="28117C68">
      <w:pPr>
        <w:spacing w:line="360" w:lineRule="auto"/>
        <w:rPr>
          <w:rFonts w:ascii="宋体" w:hAnsi="宋体" w:cs="宋体"/>
          <w:color w:val="auto"/>
          <w:sz w:val="32"/>
          <w:szCs w:val="32"/>
        </w:rPr>
      </w:pPr>
    </w:p>
    <w:p w14:paraId="278005F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3C31EF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465E11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878E0F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FE2AC4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1879521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2BD10DD">
      <w:pPr>
        <w:spacing w:line="360" w:lineRule="auto"/>
        <w:ind w:firstLine="549" w:firstLineChars="229"/>
        <w:rPr>
          <w:rFonts w:ascii="宋体" w:hAnsi="宋体" w:cs="宋体"/>
          <w:color w:val="auto"/>
          <w:sz w:val="24"/>
        </w:rPr>
      </w:pPr>
      <w:bookmarkStart w:id="1" w:name="_Hlt91233176"/>
      <w:bookmarkEnd w:id="1"/>
      <w:bookmarkStart w:id="2" w:name="_Toc91899869"/>
    </w:p>
    <w:p w14:paraId="3718263F">
      <w:pPr>
        <w:spacing w:line="360" w:lineRule="auto"/>
        <w:ind w:firstLine="549" w:firstLineChars="229"/>
        <w:rPr>
          <w:rFonts w:ascii="宋体" w:hAnsi="宋体" w:cs="宋体"/>
          <w:color w:val="auto"/>
          <w:sz w:val="24"/>
        </w:rPr>
      </w:pPr>
    </w:p>
    <w:p w14:paraId="1FC3B572">
      <w:pPr>
        <w:spacing w:line="360" w:lineRule="auto"/>
        <w:ind w:firstLine="549" w:firstLineChars="229"/>
        <w:rPr>
          <w:rFonts w:ascii="宋体" w:hAnsi="宋体" w:cs="宋体"/>
          <w:color w:val="auto"/>
          <w:sz w:val="24"/>
        </w:rPr>
      </w:pPr>
    </w:p>
    <w:p w14:paraId="661B71A3">
      <w:pPr>
        <w:spacing w:line="360" w:lineRule="auto"/>
        <w:ind w:firstLine="549" w:firstLineChars="229"/>
        <w:rPr>
          <w:rFonts w:ascii="宋体" w:hAnsi="宋体" w:cs="宋体"/>
          <w:color w:val="auto"/>
          <w:sz w:val="24"/>
        </w:rPr>
      </w:pPr>
    </w:p>
    <w:p w14:paraId="79DBEE51">
      <w:pPr>
        <w:spacing w:line="360" w:lineRule="auto"/>
        <w:ind w:firstLine="549" w:firstLineChars="229"/>
        <w:rPr>
          <w:rFonts w:ascii="宋体" w:hAnsi="宋体" w:cs="宋体"/>
          <w:color w:val="auto"/>
          <w:sz w:val="24"/>
        </w:rPr>
      </w:pPr>
    </w:p>
    <w:p w14:paraId="1CA0219E">
      <w:pPr>
        <w:spacing w:line="360" w:lineRule="auto"/>
        <w:ind w:firstLine="549" w:firstLineChars="229"/>
        <w:rPr>
          <w:rFonts w:ascii="宋体" w:hAnsi="宋体" w:cs="宋体"/>
          <w:color w:val="auto"/>
          <w:sz w:val="24"/>
        </w:rPr>
      </w:pPr>
    </w:p>
    <w:p w14:paraId="2F760B43">
      <w:pPr>
        <w:spacing w:line="360" w:lineRule="auto"/>
        <w:ind w:firstLine="549" w:firstLineChars="229"/>
        <w:rPr>
          <w:rFonts w:ascii="宋体" w:hAnsi="宋体" w:cs="宋体"/>
          <w:color w:val="auto"/>
          <w:sz w:val="24"/>
        </w:rPr>
      </w:pPr>
    </w:p>
    <w:p w14:paraId="0932666B">
      <w:pPr>
        <w:spacing w:line="360" w:lineRule="auto"/>
        <w:ind w:firstLine="549" w:firstLineChars="229"/>
        <w:rPr>
          <w:rFonts w:ascii="宋体" w:hAnsi="宋体" w:cs="宋体"/>
          <w:color w:val="auto"/>
          <w:sz w:val="24"/>
        </w:rPr>
      </w:pPr>
    </w:p>
    <w:p w14:paraId="5A3E8587">
      <w:pPr>
        <w:spacing w:line="360" w:lineRule="auto"/>
        <w:ind w:firstLine="549" w:firstLineChars="229"/>
        <w:rPr>
          <w:rFonts w:ascii="宋体" w:hAnsi="宋体" w:cs="宋体"/>
          <w:color w:val="auto"/>
          <w:sz w:val="24"/>
        </w:rPr>
      </w:pPr>
    </w:p>
    <w:p w14:paraId="5CB63606">
      <w:pPr>
        <w:spacing w:line="360" w:lineRule="auto"/>
        <w:ind w:firstLine="549" w:firstLineChars="229"/>
        <w:rPr>
          <w:rFonts w:ascii="宋体" w:hAnsi="宋体" w:cs="宋体"/>
          <w:color w:val="auto"/>
          <w:sz w:val="24"/>
        </w:rPr>
      </w:pPr>
    </w:p>
    <w:p w14:paraId="2E1FE9D2">
      <w:pPr>
        <w:spacing w:line="360" w:lineRule="auto"/>
        <w:ind w:firstLine="549" w:firstLineChars="229"/>
        <w:rPr>
          <w:rFonts w:ascii="宋体" w:hAnsi="宋体" w:cs="宋体"/>
          <w:color w:val="auto"/>
          <w:sz w:val="24"/>
        </w:rPr>
      </w:pPr>
    </w:p>
    <w:p w14:paraId="120E182F">
      <w:pPr>
        <w:spacing w:line="360" w:lineRule="auto"/>
        <w:ind w:firstLine="549" w:firstLineChars="229"/>
        <w:rPr>
          <w:rFonts w:ascii="宋体" w:hAnsi="宋体" w:cs="宋体"/>
          <w:color w:val="auto"/>
          <w:sz w:val="24"/>
        </w:rPr>
      </w:pPr>
    </w:p>
    <w:p w14:paraId="0810DE3B">
      <w:pPr>
        <w:spacing w:line="360" w:lineRule="auto"/>
        <w:ind w:firstLine="549" w:firstLineChars="229"/>
        <w:rPr>
          <w:rFonts w:ascii="宋体" w:hAnsi="宋体" w:cs="宋体"/>
          <w:color w:val="auto"/>
          <w:sz w:val="24"/>
        </w:rPr>
      </w:pPr>
    </w:p>
    <w:p w14:paraId="2A0377E1">
      <w:pPr>
        <w:spacing w:line="360" w:lineRule="auto"/>
        <w:rPr>
          <w:rFonts w:ascii="宋体" w:hAnsi="宋体" w:cs="宋体"/>
          <w:color w:val="auto"/>
          <w:sz w:val="24"/>
        </w:rPr>
      </w:pPr>
    </w:p>
    <w:p w14:paraId="062F7120">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6F309C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5154E9B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杭州市综合行政执法队物业管理服务采购项目</w:t>
      </w:r>
      <w:r>
        <w:rPr>
          <w:rFonts w:hint="eastAsia" w:ascii="宋体" w:hAnsi="宋体" w:cs="宋体"/>
          <w:color w:val="auto"/>
          <w:sz w:val="24"/>
        </w:rPr>
        <w:t>招标项目的潜在投标人应在政采云平台（https://www.zcygov.cn/）获取（下载）招标文件，并于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2FA88461">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AEC5A7B">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HZZFCG-2025-005</w:t>
      </w:r>
    </w:p>
    <w:p w14:paraId="5C30389A">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杭州市综合行政执法队物业管理服务采购项目</w:t>
      </w:r>
    </w:p>
    <w:p w14:paraId="57BF405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预算金额（元）：5574600 (三年,其中每年预算金额</w:t>
      </w:r>
      <w:r>
        <w:rPr>
          <w:rFonts w:ascii="宋体" w:hAnsi="宋体" w:cs="宋体"/>
          <w:b/>
          <w:color w:val="auto"/>
          <w:sz w:val="24"/>
        </w:rPr>
        <w:t>18582</w:t>
      </w:r>
      <w:r>
        <w:rPr>
          <w:rFonts w:hint="eastAsia" w:ascii="宋体" w:hAnsi="宋体" w:cs="宋体"/>
          <w:b/>
          <w:color w:val="auto"/>
          <w:sz w:val="24"/>
        </w:rPr>
        <w:t>00元）</w:t>
      </w:r>
      <w:r>
        <w:rPr>
          <w:rFonts w:ascii="宋体" w:hAnsi="宋体" w:cs="宋体"/>
          <w:color w:val="auto"/>
          <w:sz w:val="24"/>
        </w:rPr>
        <w:t xml:space="preserve"> </w:t>
      </w:r>
    </w:p>
    <w:p w14:paraId="17495321">
      <w:pPr>
        <w:spacing w:line="360" w:lineRule="auto"/>
        <w:ind w:firstLine="480"/>
        <w:rPr>
          <w:rFonts w:ascii="宋体" w:hAnsi="宋体" w:cs="宋体"/>
          <w:color w:val="auto"/>
          <w:sz w:val="24"/>
        </w:rPr>
      </w:pPr>
      <w:r>
        <w:rPr>
          <w:rFonts w:hint="eastAsia" w:ascii="宋体" w:hAnsi="宋体" w:cs="宋体"/>
          <w:b/>
          <w:color w:val="auto"/>
          <w:sz w:val="24"/>
        </w:rPr>
        <w:t>最高限价（元）：5574600</w:t>
      </w:r>
      <w:r>
        <w:rPr>
          <w:rFonts w:ascii="宋体" w:hAnsi="宋体" w:cs="宋体"/>
          <w:color w:val="auto"/>
          <w:sz w:val="24"/>
        </w:rPr>
        <w:t xml:space="preserve"> </w:t>
      </w:r>
    </w:p>
    <w:p w14:paraId="4DC1379A">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olor w:val="auto"/>
          <w:sz w:val="24"/>
        </w:rPr>
        <w:t>杭州市综合行政执法队物业管理服务采购项目主要内容：安保管理服务(包括但不限于消防、监控系统及地面车位管理)、环境卫生管理服务（包括但不限于大楼、附楼的楼梯、安全通道、大厅、走廊、屋顶平台、电梯厅、电梯间、卫生间、浴室、茶水间、会议室、地下电动自行车车库、办公公共区域、公共活动场所的台（地）面、明沟、墙面、门、窗、灯具、垃圾桶等所有公共设施）、设施维保管理服务（包括但不限于弱电系统、供电设备、给排水设备运行、电梯维护、房屋家具的日常维修等）、绿化养护服务（项目范围内的绿化的管理、修剪、养护及室内部份绿化的摆放等）、后勤管理服务（包括但不限于会议保障、邮件存放及报纸分发等）以及管理采购人交办的其他事务。具体以招标文件第三部分采购需求为准，供应商可点击本公告下方“浏览采购文件”查看采购需求。</w:t>
      </w:r>
    </w:p>
    <w:p w14:paraId="33E4F01C">
      <w:pPr>
        <w:pStyle w:val="130"/>
        <w:ind w:firstLine="482"/>
        <w:outlineLvl w:val="2"/>
        <w:rPr>
          <w:rFonts w:ascii="宋体" w:hAnsi="宋体" w:cs="宋体"/>
          <w:color w:val="auto"/>
        </w:rPr>
      </w:pPr>
      <w:r>
        <w:rPr>
          <w:rFonts w:hint="eastAsia" w:ascii="宋体" w:hAnsi="宋体" w:cs="宋体"/>
          <w:b/>
          <w:color w:val="auto"/>
        </w:rPr>
        <w:t>合同履约期限：三年</w:t>
      </w:r>
      <w:r>
        <w:rPr>
          <w:rFonts w:hint="eastAsia" w:hAnsi="宋体" w:cs="宋体"/>
          <w:bCs/>
          <w:color w:val="auto"/>
          <w:szCs w:val="24"/>
        </w:rPr>
        <w:t>，</w:t>
      </w:r>
      <w:r>
        <w:rPr>
          <w:rFonts w:hint="eastAsia" w:ascii="宋体" w:hAnsi="宋体"/>
          <w:color w:val="auto"/>
          <w:szCs w:val="24"/>
        </w:rPr>
        <w:t>2025年1月1日起2027年12月31日。</w:t>
      </w:r>
      <w:r>
        <w:rPr>
          <w:rFonts w:hint="eastAsia" w:ascii="宋体" w:hAnsi="宋体" w:cs="宋体"/>
          <w:b/>
          <w:snapToGrid w:val="0"/>
          <w:color w:val="auto"/>
          <w:lang w:val="zh-CN"/>
        </w:rPr>
        <w:t>特别说明：202</w:t>
      </w:r>
      <w:r>
        <w:rPr>
          <w:rFonts w:hint="eastAsia" w:ascii="宋体" w:hAnsi="宋体" w:cs="宋体"/>
          <w:b/>
          <w:snapToGrid w:val="0"/>
          <w:color w:val="auto"/>
        </w:rPr>
        <w:t>5</w:t>
      </w:r>
      <w:r>
        <w:rPr>
          <w:rFonts w:hint="eastAsia" w:ascii="宋体" w:hAnsi="宋体" w:cs="宋体"/>
          <w:b/>
          <w:snapToGrid w:val="0"/>
          <w:color w:val="auto"/>
          <w:lang w:val="zh-CN"/>
        </w:rPr>
        <w:t>年1月1日至合同签订之日前的空档期物业服务由原供应商承担，费用由中标人按本次中标价单日金额乘以实际服务天数，与原供应商结算</w:t>
      </w:r>
      <w:r>
        <w:rPr>
          <w:rFonts w:hint="eastAsia" w:hAnsi="宋体" w:cs="宋体"/>
          <w:bCs/>
          <w:color w:val="auto"/>
          <w:szCs w:val="24"/>
        </w:rPr>
        <w:t>。</w:t>
      </w:r>
      <w:r>
        <w:rPr>
          <w:rFonts w:ascii="宋体" w:hAnsi="宋体" w:cs="宋体"/>
          <w:color w:val="auto"/>
        </w:rPr>
        <w:t xml:space="preserve"> </w:t>
      </w:r>
    </w:p>
    <w:p w14:paraId="16826CA9">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A1CCFAF">
      <w:pPr>
        <w:spacing w:line="360" w:lineRule="auto"/>
        <w:rPr>
          <w:rFonts w:ascii="宋体" w:hAnsi="宋体" w:cs="宋体"/>
          <w:b/>
          <w:color w:val="auto"/>
          <w:sz w:val="24"/>
        </w:rPr>
      </w:pPr>
      <w:r>
        <w:rPr>
          <w:rFonts w:hint="eastAsia" w:ascii="宋体" w:hAnsi="宋体" w:cs="宋体"/>
          <w:b/>
          <w:color w:val="auto"/>
          <w:sz w:val="24"/>
        </w:rPr>
        <w:t>二、申请人的资格要求：</w:t>
      </w:r>
    </w:p>
    <w:p w14:paraId="0D4B679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0EF0A2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5409BB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FA4BAA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298C0B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12F454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服务全部由符合政策要求的中小企业承接，按要求提供中小企业声明函；</w:t>
      </w:r>
    </w:p>
    <w:p w14:paraId="5643A71B">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服务全部由符合政策要求的小微企业承接，按要求提供中小企业声明函；</w:t>
      </w:r>
    </w:p>
    <w:p w14:paraId="21553ADF">
      <w:pPr>
        <w:rPr>
          <w:rFonts w:ascii="宋体" w:hAnsi="宋体" w:cs="宋体"/>
          <w:color w:val="auto"/>
        </w:rPr>
      </w:pPr>
    </w:p>
    <w:p w14:paraId="1234D61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供应商应以联合体形式参加，并按要求提供联合协议和中小企业声明函，联合协议中，中小企业合同金额应当达到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rPr>
        <w:t>按要求提供中小企业声明函；</w:t>
      </w:r>
    </w:p>
    <w:p w14:paraId="4F053B5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供应商应合同分包形式参加，并按要求提供分包意向协议和中小企业声明函，分包意向协议中，中小企业合同金额应当达到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如果供应商提供的所有标的均由中小企业制造、承建或承接，并相应达到了前述比例要求，无需再向中小企业分包，</w:t>
      </w:r>
      <w:r>
        <w:rPr>
          <w:rFonts w:hint="eastAsia" w:ascii="宋体" w:hAnsi="宋体" w:cs="宋体"/>
          <w:color w:val="auto"/>
          <w:sz w:val="24"/>
        </w:rPr>
        <w:t>按要求提供中小企业声明函；</w:t>
      </w:r>
    </w:p>
    <w:p w14:paraId="1F6E1A97">
      <w:pPr>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2001433D">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508982547"/>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p>
    <w:p w14:paraId="4497E704">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607112291"/>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48BC321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EE24CB">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E7F306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F4979F3">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4086EE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4762AC6">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029C75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7FABE65">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173920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11DB20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4BEC66E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4472FAE">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0F8088A">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841D6CF">
      <w:pPr>
        <w:spacing w:line="360" w:lineRule="auto"/>
        <w:rPr>
          <w:rFonts w:ascii="宋体" w:hAnsi="宋体" w:cs="宋体"/>
          <w:b/>
          <w:color w:val="auto"/>
          <w:sz w:val="24"/>
        </w:rPr>
      </w:pPr>
      <w:r>
        <w:rPr>
          <w:rFonts w:hint="eastAsia" w:ascii="宋体" w:hAnsi="宋体" w:cs="宋体"/>
          <w:b/>
          <w:color w:val="auto"/>
          <w:sz w:val="24"/>
        </w:rPr>
        <w:t>六、其他补充事宜</w:t>
      </w:r>
    </w:p>
    <w:p w14:paraId="4EB695B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189A72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B4299BD">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928BF2">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9BA13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060A483">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98C186B">
      <w:pPr>
        <w:spacing w:line="360" w:lineRule="auto"/>
        <w:rPr>
          <w:rFonts w:ascii="宋体" w:hAnsi="宋体" w:cs="宋体"/>
          <w:color w:val="auto"/>
          <w:sz w:val="24"/>
        </w:rPr>
      </w:pPr>
      <w:r>
        <w:rPr>
          <w:rFonts w:hint="eastAsia" w:ascii="宋体" w:hAnsi="宋体" w:cs="宋体"/>
          <w:color w:val="auto"/>
          <w:sz w:val="24"/>
        </w:rPr>
        <w:t xml:space="preserve">    名    称：杭州市综合行政执法队 </w:t>
      </w:r>
    </w:p>
    <w:p w14:paraId="7CDFC79C">
      <w:pPr>
        <w:spacing w:line="360" w:lineRule="auto"/>
        <w:ind w:firstLine="480" w:firstLineChars="200"/>
        <w:rPr>
          <w:rFonts w:ascii="宋体" w:hAnsi="宋体" w:cs="宋体"/>
          <w:color w:val="auto"/>
          <w:sz w:val="24"/>
        </w:rPr>
      </w:pPr>
      <w:r>
        <w:rPr>
          <w:rFonts w:hint="eastAsia" w:ascii="宋体" w:hAnsi="宋体" w:cs="宋体"/>
          <w:color w:val="auto"/>
          <w:sz w:val="24"/>
        </w:rPr>
        <w:t>地    址：杭州市拱墅区白石巷365号</w:t>
      </w:r>
    </w:p>
    <w:p w14:paraId="49C6C56F">
      <w:pPr>
        <w:spacing w:line="360" w:lineRule="auto"/>
        <w:ind w:firstLine="480"/>
        <w:rPr>
          <w:rFonts w:ascii="宋体" w:hAnsi="宋体" w:cs="宋体"/>
          <w:color w:val="auto"/>
          <w:sz w:val="24"/>
        </w:rPr>
      </w:pPr>
      <w:r>
        <w:rPr>
          <w:rFonts w:hint="eastAsia" w:ascii="宋体" w:hAnsi="宋体" w:cs="宋体"/>
          <w:color w:val="auto"/>
          <w:sz w:val="24"/>
        </w:rPr>
        <w:t>传    真： /</w:t>
      </w:r>
    </w:p>
    <w:p w14:paraId="4D8B3914">
      <w:pPr>
        <w:spacing w:line="360" w:lineRule="auto"/>
        <w:ind w:firstLine="480"/>
        <w:rPr>
          <w:rFonts w:ascii="宋体" w:hAnsi="宋体" w:cs="宋体"/>
          <w:color w:val="auto"/>
          <w:sz w:val="24"/>
        </w:rPr>
      </w:pPr>
      <w:r>
        <w:rPr>
          <w:rFonts w:hint="eastAsia" w:ascii="宋体" w:hAnsi="宋体" w:cs="宋体"/>
          <w:color w:val="auto"/>
          <w:sz w:val="24"/>
        </w:rPr>
        <w:t>项目联系人（询问）：孙翼</w:t>
      </w:r>
    </w:p>
    <w:p w14:paraId="3D95FF6D">
      <w:pPr>
        <w:spacing w:line="360" w:lineRule="auto"/>
        <w:ind w:firstLine="480"/>
        <w:rPr>
          <w:rFonts w:ascii="宋体" w:hAnsi="宋体" w:cs="宋体"/>
          <w:color w:val="auto"/>
          <w:sz w:val="24"/>
        </w:rPr>
      </w:pPr>
      <w:r>
        <w:rPr>
          <w:rFonts w:hint="eastAsia" w:ascii="宋体" w:hAnsi="宋体" w:cs="宋体"/>
          <w:color w:val="auto"/>
          <w:sz w:val="24"/>
        </w:rPr>
        <w:t>项目联系方式（询问）：0571-85164385</w:t>
      </w:r>
    </w:p>
    <w:p w14:paraId="03B4FDCA">
      <w:pPr>
        <w:spacing w:line="360" w:lineRule="auto"/>
        <w:rPr>
          <w:rFonts w:ascii="宋体" w:hAnsi="宋体" w:cs="宋体"/>
          <w:color w:val="auto"/>
          <w:sz w:val="24"/>
        </w:rPr>
      </w:pPr>
      <w:r>
        <w:rPr>
          <w:rFonts w:hint="eastAsia" w:ascii="宋体" w:hAnsi="宋体" w:cs="宋体"/>
          <w:color w:val="auto"/>
          <w:sz w:val="24"/>
        </w:rPr>
        <w:t xml:space="preserve">    质疑联系人：王洵闻</w:t>
      </w:r>
    </w:p>
    <w:p w14:paraId="658B5FBF">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质疑联系方式：0571-85150460  （请通过以下路径在线提起质疑：政采云-项目采购-询问质疑投诉-质疑列表）</w:t>
      </w:r>
    </w:p>
    <w:p w14:paraId="72554407">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12706D1">
      <w:pPr>
        <w:spacing w:line="360" w:lineRule="auto"/>
        <w:ind w:firstLine="480"/>
        <w:rPr>
          <w:rFonts w:ascii="宋体" w:hAnsi="宋体" w:cs="宋体"/>
          <w:color w:val="auto"/>
          <w:sz w:val="24"/>
        </w:rPr>
      </w:pPr>
      <w:r>
        <w:rPr>
          <w:rFonts w:hint="eastAsia" w:ascii="宋体" w:hAnsi="宋体" w:cs="宋体"/>
          <w:color w:val="auto"/>
          <w:sz w:val="24"/>
        </w:rPr>
        <w:t>名    称：杭州市公共资源交易中心</w:t>
      </w:r>
    </w:p>
    <w:p w14:paraId="12E595FD">
      <w:pPr>
        <w:spacing w:line="360" w:lineRule="auto"/>
        <w:ind w:firstLine="480"/>
        <w:rPr>
          <w:rFonts w:ascii="宋体" w:hAnsi="宋体" w:cs="宋体"/>
          <w:color w:val="auto"/>
          <w:sz w:val="24"/>
        </w:rPr>
      </w:pPr>
      <w:r>
        <w:rPr>
          <w:rFonts w:hint="eastAsia" w:ascii="宋体" w:hAnsi="宋体" w:cs="宋体"/>
          <w:color w:val="auto"/>
          <w:sz w:val="24"/>
        </w:rPr>
        <w:t>地    址：杭州市上城区之江路925号</w:t>
      </w:r>
    </w:p>
    <w:p w14:paraId="372D73BB">
      <w:pPr>
        <w:spacing w:line="360" w:lineRule="auto"/>
        <w:rPr>
          <w:rFonts w:ascii="宋体" w:hAnsi="宋体" w:cs="宋体"/>
          <w:color w:val="auto"/>
          <w:sz w:val="24"/>
        </w:rPr>
      </w:pPr>
      <w:r>
        <w:rPr>
          <w:rFonts w:hint="eastAsia" w:ascii="宋体" w:hAnsi="宋体" w:cs="宋体"/>
          <w:color w:val="auto"/>
          <w:sz w:val="24"/>
        </w:rPr>
        <w:t xml:space="preserve">    传    真： /</w:t>
      </w:r>
    </w:p>
    <w:p w14:paraId="12B0F1F0">
      <w:pPr>
        <w:spacing w:line="360" w:lineRule="auto"/>
        <w:rPr>
          <w:rFonts w:ascii="宋体" w:hAnsi="宋体" w:cs="宋体"/>
          <w:color w:val="auto"/>
          <w:sz w:val="24"/>
        </w:rPr>
      </w:pPr>
      <w:r>
        <w:rPr>
          <w:rFonts w:hint="eastAsia" w:ascii="宋体" w:hAnsi="宋体" w:cs="宋体"/>
          <w:color w:val="auto"/>
          <w:sz w:val="24"/>
        </w:rPr>
        <w:t xml:space="preserve">    项目联系人（询问）： 潘工、张工</w:t>
      </w:r>
    </w:p>
    <w:p w14:paraId="18C50E7C">
      <w:pPr>
        <w:spacing w:line="360" w:lineRule="auto"/>
        <w:rPr>
          <w:rFonts w:ascii="宋体" w:hAnsi="宋体" w:cs="宋体"/>
          <w:color w:val="auto"/>
          <w:sz w:val="24"/>
        </w:rPr>
      </w:pPr>
      <w:r>
        <w:rPr>
          <w:rFonts w:hint="eastAsia" w:ascii="宋体" w:hAnsi="宋体" w:cs="宋体"/>
          <w:color w:val="auto"/>
          <w:sz w:val="24"/>
        </w:rPr>
        <w:t xml:space="preserve">    项目联系方式（询问）：0571-89587861、89587802</w:t>
      </w:r>
    </w:p>
    <w:p w14:paraId="470E7092">
      <w:pPr>
        <w:spacing w:line="360" w:lineRule="auto"/>
        <w:rPr>
          <w:rFonts w:ascii="宋体" w:hAnsi="宋体" w:cs="宋体"/>
          <w:color w:val="auto"/>
          <w:sz w:val="24"/>
        </w:rPr>
      </w:pPr>
      <w:r>
        <w:rPr>
          <w:rFonts w:hint="eastAsia" w:ascii="宋体" w:hAnsi="宋体" w:cs="宋体"/>
          <w:color w:val="auto"/>
          <w:sz w:val="24"/>
        </w:rPr>
        <w:t xml:space="preserve">    质疑联系人： 谢栋华</w:t>
      </w:r>
    </w:p>
    <w:p w14:paraId="2035CDA7">
      <w:pPr>
        <w:spacing w:line="360" w:lineRule="auto"/>
        <w:rPr>
          <w:rFonts w:ascii="宋体" w:hAnsi="宋体" w:cs="宋体"/>
          <w:color w:val="auto"/>
          <w:sz w:val="24"/>
        </w:rPr>
      </w:pPr>
      <w:r>
        <w:rPr>
          <w:rFonts w:hint="eastAsia" w:ascii="宋体" w:hAnsi="宋体" w:cs="宋体"/>
          <w:color w:val="auto"/>
          <w:sz w:val="24"/>
        </w:rPr>
        <w:t xml:space="preserve">    质疑联系方式：0571-</w:t>
      </w:r>
      <w:r>
        <w:rPr>
          <w:rFonts w:ascii="宋体" w:hAnsi="宋体" w:cs="宋体"/>
          <w:color w:val="auto"/>
          <w:sz w:val="24"/>
        </w:rPr>
        <w:t>89587838</w:t>
      </w:r>
      <w:r>
        <w:rPr>
          <w:rFonts w:hint="eastAsia" w:ascii="宋体" w:hAnsi="宋体" w:cs="宋体"/>
          <w:color w:val="auto"/>
          <w:sz w:val="24"/>
        </w:rPr>
        <w:t>（请通过以下路径在线提起质疑：政采云-项目采购-询问质疑投诉-质疑列表）</w:t>
      </w:r>
    </w:p>
    <w:p w14:paraId="359804D4">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1E68517B">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1E60A85E">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6C6719FD">
      <w:pPr>
        <w:spacing w:line="360" w:lineRule="auto"/>
        <w:rPr>
          <w:rFonts w:ascii="宋体" w:hAnsi="宋体" w:cs="宋体"/>
          <w:color w:val="auto"/>
          <w:sz w:val="24"/>
        </w:rPr>
      </w:pPr>
      <w:r>
        <w:rPr>
          <w:rFonts w:hint="eastAsia" w:ascii="宋体" w:hAnsi="宋体" w:cs="宋体"/>
          <w:color w:val="auto"/>
          <w:sz w:val="24"/>
        </w:rPr>
        <w:t xml:space="preserve">    传    真： /</w:t>
      </w:r>
    </w:p>
    <w:p w14:paraId="678868F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9A3B60E">
      <w:pPr>
        <w:spacing w:line="360" w:lineRule="auto"/>
        <w:ind w:firstLine="480"/>
        <w:rPr>
          <w:rFonts w:ascii="宋体" w:hAnsi="宋体" w:cs="宋体"/>
          <w:color w:val="auto"/>
          <w:sz w:val="24"/>
        </w:rPr>
      </w:pPr>
      <w:r>
        <w:rPr>
          <w:rFonts w:hint="eastAsia" w:ascii="宋体" w:hAnsi="宋体" w:cs="宋体"/>
          <w:color w:val="auto"/>
          <w:sz w:val="24"/>
        </w:rPr>
        <w:t xml:space="preserve">监督投诉电话： 0571-87227671,0571-87800218   </w:t>
      </w:r>
    </w:p>
    <w:p w14:paraId="5312ED7D">
      <w:pPr>
        <w:spacing w:line="360" w:lineRule="auto"/>
        <w:ind w:firstLine="480"/>
        <w:rPr>
          <w:rFonts w:ascii="宋体" w:hAnsi="宋体" w:cs="宋体"/>
          <w:color w:val="auto"/>
          <w:sz w:val="24"/>
        </w:rPr>
      </w:pPr>
      <w:r>
        <w:rPr>
          <w:rFonts w:hint="eastAsia" w:ascii="宋体" w:hAnsi="宋体" w:cs="宋体"/>
          <w:color w:val="auto"/>
          <w:sz w:val="24"/>
        </w:rPr>
        <w:t>政策咨询：陈先生、厉先生，0571-89580460、89580456</w:t>
      </w:r>
    </w:p>
    <w:p w14:paraId="19E2054E">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14:paraId="1CFE973E">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6E8668C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4C19695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5175806">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207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266A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63BE498">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AA4B52">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C25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A748D6">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90C3F6">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BBC40">
            <w:pPr>
              <w:spacing w:line="360" w:lineRule="auto"/>
              <w:rPr>
                <w:rFonts w:ascii="宋体" w:hAnsi="宋体" w:cs="宋体"/>
                <w:color w:val="auto"/>
                <w:sz w:val="24"/>
              </w:rPr>
            </w:pPr>
            <w:r>
              <w:rPr>
                <w:rFonts w:hint="eastAsia" w:ascii="宋体" w:hAnsi="宋体" w:cs="宋体"/>
                <w:color w:val="auto"/>
                <w:sz w:val="24"/>
              </w:rPr>
              <w:t>服务类。</w:t>
            </w:r>
          </w:p>
        </w:tc>
      </w:tr>
      <w:tr w14:paraId="41BDD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E18571">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9D6A57">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FD492">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物业服务  </w:t>
            </w:r>
            <w:r>
              <w:rPr>
                <w:rFonts w:hint="eastAsia" w:ascii="宋体" w:hAnsi="宋体" w:cs="宋体"/>
                <w:color w:val="auto"/>
                <w:kern w:val="0"/>
                <w:sz w:val="24"/>
              </w:rPr>
              <w:t>，属于</w:t>
            </w:r>
            <w:r>
              <w:rPr>
                <w:rFonts w:hint="eastAsia" w:ascii="宋体" w:hAnsi="宋体" w:cs="宋体"/>
                <w:color w:val="auto"/>
                <w:kern w:val="0"/>
                <w:sz w:val="24"/>
                <w:u w:val="single"/>
              </w:rPr>
              <w:t xml:space="preserve"> 物业管理   </w:t>
            </w:r>
            <w:r>
              <w:rPr>
                <w:rFonts w:hint="eastAsia" w:ascii="宋体" w:hAnsi="宋体" w:cs="宋体"/>
                <w:color w:val="auto"/>
                <w:kern w:val="0"/>
                <w:sz w:val="24"/>
              </w:rPr>
              <w:t>行业；</w:t>
            </w:r>
          </w:p>
          <w:p w14:paraId="1A400839">
            <w:pPr>
              <w:pStyle w:val="2"/>
              <w:rPr>
                <w:color w:val="auto"/>
                <w:lang w:val="en-US"/>
              </w:rPr>
            </w:pPr>
          </w:p>
        </w:tc>
      </w:tr>
      <w:tr w14:paraId="780D2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A085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44F9A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83DF9">
            <w:pPr>
              <w:spacing w:line="360" w:lineRule="auto"/>
              <w:rPr>
                <w:rFonts w:ascii="宋体" w:hAnsi="宋体" w:cs="宋体"/>
                <w:color w:val="auto"/>
                <w:kern w:val="0"/>
                <w:sz w:val="24"/>
              </w:rPr>
            </w:pPr>
            <w:sdt>
              <w:sdtPr>
                <w:rPr>
                  <w:rFonts w:hint="eastAsia" w:ascii="宋体" w:hAnsi="宋体" w:cs="宋体"/>
                  <w:color w:val="auto"/>
                  <w:kern w:val="0"/>
                  <w:sz w:val="24"/>
                </w:rPr>
                <w:id w:val="-1828425707"/>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0874273">
            <w:pPr>
              <w:spacing w:line="360" w:lineRule="auto"/>
              <w:rPr>
                <w:rFonts w:ascii="宋体" w:hAnsi="宋体" w:cs="宋体"/>
                <w:color w:val="auto"/>
              </w:rPr>
            </w:pPr>
            <w:sdt>
              <w:sdtPr>
                <w:rPr>
                  <w:rFonts w:hint="eastAsia" w:ascii="宋体" w:hAnsi="宋体" w:cs="宋体"/>
                  <w:color w:val="auto"/>
                  <w:kern w:val="0"/>
                  <w:sz w:val="24"/>
                </w:rPr>
                <w:id w:val="-5285282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5DCBA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25A01">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0B05B7">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7F6647">
            <w:pPr>
              <w:spacing w:line="360" w:lineRule="auto"/>
              <w:rPr>
                <w:rFonts w:ascii="宋体" w:hAnsi="宋体" w:cs="宋体"/>
                <w:color w:val="auto"/>
                <w:sz w:val="24"/>
              </w:rPr>
            </w:pPr>
            <w:sdt>
              <w:sdtPr>
                <w:rPr>
                  <w:rFonts w:hint="eastAsia" w:ascii="宋体" w:hAnsi="宋体" w:cs="宋体"/>
                  <w:color w:val="auto"/>
                  <w:kern w:val="0"/>
                  <w:sz w:val="24"/>
                </w:rPr>
                <w:id w:val="-1477286927"/>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电梯维护、“四害”消杀    </w:t>
            </w:r>
            <w:r>
              <w:rPr>
                <w:rFonts w:hint="eastAsia" w:ascii="宋体" w:hAnsi="宋体" w:cs="宋体"/>
                <w:color w:val="auto"/>
                <w:sz w:val="24"/>
              </w:rPr>
              <w:t>工作分包。</w:t>
            </w:r>
          </w:p>
          <w:p w14:paraId="44DB1009">
            <w:pPr>
              <w:spacing w:line="360" w:lineRule="auto"/>
              <w:rPr>
                <w:rFonts w:ascii="宋体" w:hAnsi="宋体" w:cs="宋体"/>
                <w:color w:val="auto"/>
                <w:sz w:val="24"/>
              </w:rPr>
            </w:pPr>
            <w:sdt>
              <w:sdtPr>
                <w:rPr>
                  <w:rFonts w:hint="eastAsia" w:ascii="宋体" w:hAnsi="宋体" w:cs="宋体"/>
                  <w:color w:val="auto"/>
                  <w:kern w:val="0"/>
                  <w:sz w:val="24"/>
                </w:rPr>
                <w:id w:val="-1276331357"/>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8A6D29E">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E465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8A19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D29501">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8F10F">
            <w:pPr>
              <w:spacing w:line="360" w:lineRule="auto"/>
              <w:rPr>
                <w:rFonts w:ascii="宋体" w:hAnsi="宋体" w:cs="宋体"/>
                <w:color w:val="auto"/>
                <w:sz w:val="24"/>
              </w:rPr>
            </w:pPr>
            <w:sdt>
              <w:sdtPr>
                <w:rPr>
                  <w:rFonts w:hint="eastAsia" w:ascii="宋体" w:hAnsi="宋体" w:cs="宋体"/>
                  <w:color w:val="auto"/>
                  <w:kern w:val="0"/>
                  <w:sz w:val="24"/>
                </w:rPr>
                <w:id w:val="-21296641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1A601A2">
            <w:pPr>
              <w:spacing w:line="360" w:lineRule="auto"/>
              <w:rPr>
                <w:rFonts w:ascii="宋体" w:hAnsi="宋体" w:cs="宋体"/>
                <w:color w:val="auto"/>
                <w:sz w:val="24"/>
                <w:szCs w:val="20"/>
              </w:rPr>
            </w:pPr>
            <w:sdt>
              <w:sdtPr>
                <w:rPr>
                  <w:rFonts w:hint="eastAsia" w:ascii="宋体" w:hAnsi="宋体" w:cs="宋体"/>
                  <w:color w:val="auto"/>
                  <w:kern w:val="0"/>
                  <w:sz w:val="24"/>
                </w:rPr>
                <w:id w:val="-99980297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290D0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D47591">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967F53">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4BE9A">
            <w:pPr>
              <w:spacing w:line="360" w:lineRule="auto"/>
              <w:rPr>
                <w:rFonts w:ascii="宋体" w:hAnsi="宋体" w:cs="宋体"/>
                <w:color w:val="auto"/>
                <w:sz w:val="24"/>
              </w:rPr>
            </w:pPr>
            <w:sdt>
              <w:sdtPr>
                <w:rPr>
                  <w:rFonts w:hint="eastAsia" w:ascii="宋体" w:hAnsi="宋体" w:cs="宋体"/>
                  <w:color w:val="auto"/>
                  <w:kern w:val="0"/>
                  <w:sz w:val="24"/>
                </w:rPr>
                <w:id w:val="-1639946486"/>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1449719A">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B要求提供（未提供样品或提供样品不满足采购需求实质性条件的供应商，投标无效）：</w:t>
            </w:r>
          </w:p>
          <w:p w14:paraId="4C167BBC">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570C304">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894DEDF">
            <w:pPr>
              <w:spacing w:line="360" w:lineRule="auto"/>
              <w:rPr>
                <w:rFonts w:ascii="宋体" w:hAnsi="宋体" w:cs="宋体"/>
                <w:snapToGrid w:val="0"/>
                <w:color w:val="auto"/>
                <w:kern w:val="28"/>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w:t>
            </w:r>
          </w:p>
          <w:p w14:paraId="34331C85">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1350092240"/>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14:paraId="6417971C">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B8497F0">
            <w:pPr>
              <w:spacing w:line="360" w:lineRule="auto"/>
              <w:ind w:firstLine="240" w:firstLineChars="100"/>
              <w:rPr>
                <w:rFonts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14:paraId="1C8D4CFB">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EB98D66">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1E7E8C1">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543DA32">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25DF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7B87F">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B1BD36">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CC659D">
            <w:pPr>
              <w:spacing w:line="360" w:lineRule="auto"/>
              <w:rPr>
                <w:rFonts w:ascii="宋体" w:hAnsi="宋体" w:cs="宋体"/>
                <w:color w:val="auto"/>
                <w:sz w:val="24"/>
              </w:rPr>
            </w:pPr>
            <w:sdt>
              <w:sdtPr>
                <w:rPr>
                  <w:rFonts w:hint="eastAsia" w:ascii="宋体" w:hAnsi="宋体" w:cs="宋体"/>
                  <w:color w:val="auto"/>
                  <w:kern w:val="0"/>
                  <w:sz w:val="24"/>
                </w:rPr>
                <w:id w:val="-185934854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29055B2">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3CC1BBFC">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998A47D">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718FAEDD">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453D389">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杭州市公共资源交易中心4楼答疑室（讲标室）</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0A069AF1">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3C1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CE4E4F">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B9F4393">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9A2F3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8146EDE">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F32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D571A74">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E462020">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5E8AB4">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3B97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87FB2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31DC85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EFA79">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78890A33">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1595D1D1">
            <w:pPr>
              <w:snapToGrid w:val="0"/>
              <w:spacing w:line="360" w:lineRule="auto"/>
              <w:rPr>
                <w:rFonts w:ascii="宋体" w:hAnsi="宋体" w:cs="宋体"/>
                <w:color w:val="auto"/>
              </w:rPr>
            </w:pPr>
            <w:sdt>
              <w:sdtPr>
                <w:rPr>
                  <w:rFonts w:hint="eastAsia" w:ascii="宋体" w:hAnsi="宋体" w:cs="宋体"/>
                  <w:color w:val="auto"/>
                  <w:kern w:val="0"/>
                  <w:sz w:val="24"/>
                </w:rPr>
                <w:id w:val="-378003639"/>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无。</w:t>
            </w:r>
          </w:p>
        </w:tc>
      </w:tr>
      <w:tr w14:paraId="34190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DC5FBA">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4A6365">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53F308">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75261E65">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71DD94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5F774BA">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E7F9DD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F173D36">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17D3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53D382F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4B5494B">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F27547A">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619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43C31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1859FF7">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5FD8B">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0571-89587880</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3D20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69451C">
            <w:pPr>
              <w:snapToGrid w:val="0"/>
              <w:spacing w:line="360" w:lineRule="auto"/>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p>
        </w:tc>
        <w:tc>
          <w:tcPr>
            <w:tcW w:w="1843" w:type="dxa"/>
            <w:vMerge w:val="restart"/>
            <w:tcBorders>
              <w:top w:val="single" w:color="000000" w:sz="8" w:space="0"/>
              <w:left w:val="single" w:color="000000" w:sz="2" w:space="0"/>
              <w:right w:val="single" w:color="000000" w:sz="8" w:space="0"/>
            </w:tcBorders>
            <w:vAlign w:val="center"/>
          </w:tcPr>
          <w:p w14:paraId="78B62A4B">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85E1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2D658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7E92D02">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29209E26">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0770FF">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14:paraId="23B2B64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2E782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0B3E7A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5ADB1E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C96053">
            <w:pPr>
              <w:spacing w:line="360" w:lineRule="auto"/>
              <w:rPr>
                <w:rFonts w:cs="Arial" w:asciiTheme="minorEastAsia" w:hAnsiTheme="minorEastAsia" w:eastAsiaTheme="minorEastAsia"/>
                <w:color w:val="auto"/>
                <w:kern w:val="0"/>
                <w:sz w:val="24"/>
              </w:rPr>
            </w:pPr>
            <w:r>
              <w:rPr>
                <w:rFonts w:hint="eastAsia" w:ascii="宋体" w:hAnsi="宋体" w:cs="Arial"/>
                <w:color w:val="auto"/>
                <w:kern w:val="0"/>
                <w:sz w:val="24"/>
              </w:rPr>
              <w:t>招标文件第四部分</w:t>
            </w:r>
            <w:r>
              <w:rPr>
                <w:rFonts w:hint="eastAsia" w:cs="Arial" w:asciiTheme="minorEastAsia" w:hAnsiTheme="minorEastAsia" w:eastAsiaTheme="minorEastAsia"/>
                <w:color w:val="auto"/>
                <w:kern w:val="0"/>
                <w:sz w:val="24"/>
              </w:rPr>
              <w:t>评审因素对应的要求</w:t>
            </w:r>
            <w:r>
              <w:rPr>
                <w:rFonts w:hint="eastAsia" w:ascii="宋体" w:hAnsi="宋体" w:cs="Arial"/>
                <w:color w:val="auto"/>
                <w:kern w:val="0"/>
                <w:sz w:val="24"/>
              </w:rPr>
              <w:t>及第五部分采购合同的内容</w:t>
            </w:r>
            <w:r>
              <w:rPr>
                <w:rFonts w:hint="eastAsia" w:cs="Arial" w:asciiTheme="minorEastAsia" w:hAnsiTheme="minorEastAsia" w:eastAsiaTheme="minorEastAsia"/>
                <w:color w:val="auto"/>
                <w:kern w:val="0"/>
                <w:sz w:val="24"/>
              </w:rPr>
              <w:t>视为采购需求的一部分。</w:t>
            </w:r>
          </w:p>
        </w:tc>
      </w:tr>
      <w:tr w14:paraId="36217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D3C6E64">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E550E3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DF3DA5">
            <w:pPr>
              <w:spacing w:line="360" w:lineRule="auto"/>
              <w:rPr>
                <w:rFonts w:ascii="宋体" w:hAnsi="宋体" w:cs="Arial"/>
                <w:color w:val="auto"/>
                <w:kern w:val="0"/>
                <w:sz w:val="24"/>
              </w:rPr>
            </w:pPr>
            <w:r>
              <w:rPr>
                <w:rFonts w:hint="eastAsia" w:ascii="宋体" w:hAnsi="宋体" w:cs="宋体"/>
                <w:color w:val="auto"/>
                <w:kern w:val="0"/>
                <w:sz w:val="24"/>
              </w:rPr>
              <w:t>本项目评审报告推荐的中标候选人数量：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rPr>
              <w:t>。</w:t>
            </w:r>
          </w:p>
        </w:tc>
      </w:tr>
    </w:tbl>
    <w:p w14:paraId="7246C0F6">
      <w:pPr>
        <w:snapToGrid w:val="0"/>
        <w:spacing w:line="360" w:lineRule="auto"/>
        <w:jc w:val="center"/>
        <w:rPr>
          <w:rFonts w:ascii="宋体" w:hAnsi="宋体" w:cs="宋体"/>
          <w:b/>
          <w:color w:val="auto"/>
          <w:sz w:val="32"/>
          <w:szCs w:val="20"/>
        </w:rPr>
      </w:pPr>
    </w:p>
    <w:bookmarkEnd w:id="10"/>
    <w:p w14:paraId="15B326DA">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2F91E10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2F4FD0A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166467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06CCB0E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A640E61">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14:paraId="36C5B8E4">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B9746E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257E51F">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E8A30A">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564BF1A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0BC3FD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37C510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8C80B5">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9706EA4">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10CDE6A">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45A7FB7">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520B80">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9B800E">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461C7B2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EFEAB1">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BDA7873">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E87E4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2FE64B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w:t>
      </w:r>
      <w:r>
        <w:rPr>
          <w:rFonts w:ascii="宋体" w:hAnsi="宋体" w:cs="宋体"/>
          <w:color w:val="auto"/>
          <w:sz w:val="24"/>
        </w:rPr>
        <w:t>20</w:t>
      </w:r>
      <w:r>
        <w:rPr>
          <w:rFonts w:hint="eastAsia" w:ascii="宋体" w:hAnsi="宋体" w:cs="宋体"/>
          <w:color w:val="auto"/>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270BADC">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D8E967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40ECD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8D540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670BA3C">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4E79501">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DDC48E9">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E1710B3">
      <w:pPr>
        <w:spacing w:line="360" w:lineRule="auto"/>
        <w:ind w:left="239" w:leftChars="114" w:firstLine="240" w:firstLineChars="100"/>
        <w:rPr>
          <w:rFonts w:ascii="宋体" w:hAnsi="宋体" w:cs="宋体"/>
          <w:color w:val="auto"/>
          <w:sz w:val="24"/>
        </w:rPr>
      </w:pPr>
      <w:r>
        <w:rPr>
          <w:rFonts w:hint="eastAsia" w:ascii="宋体" w:hAnsi="宋体" w:cs="仿宋"/>
          <w:color w:val="auto"/>
          <w:sz w:val="24"/>
        </w:rPr>
        <w:t>3.4.3 采购人应当贯彻落实知识产权保护相关法律法规，应当采购使用正版软件。</w:t>
      </w:r>
      <w:r>
        <w:rPr>
          <w:rFonts w:hint="eastAsia" w:ascii="宋体" w:hAnsi="宋体" w:cs="宋体"/>
          <w:color w:val="auto"/>
          <w:sz w:val="24"/>
        </w:rPr>
        <w:t>3.5平等对待内外资企业和符合条件的破产重整企业</w:t>
      </w:r>
    </w:p>
    <w:p w14:paraId="7E3D6166">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b/>
          <w:bCs/>
          <w:color w:val="auto"/>
          <w:sz w:val="24"/>
        </w:rPr>
        <w:t>、补偿救济</w:t>
      </w:r>
    </w:p>
    <w:p w14:paraId="2FEC652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rPr>
        <w:t>政务</w:t>
      </w:r>
      <w:r>
        <w:rPr>
          <w:rFonts w:hint="eastAsia" w:ascii="宋体" w:hAnsi="宋体" w:cs="宋体"/>
          <w:color w:val="auto"/>
          <w:kern w:val="0"/>
          <w:sz w:val="24"/>
          <w:lang w:val="zh-CN"/>
        </w:rPr>
        <w:t>服务网-政府采购投诉处理-在线办理。</w:t>
      </w:r>
    </w:p>
    <w:p w14:paraId="040033B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A15988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183DC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1724451">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718EE43">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D8D27C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830E2E5">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48D25AC">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273E31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25F771E">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FDC7079">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45BB07C">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64DAB88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29C6993">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5BB3098">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01D132A">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0EAF3ED">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3004A8F">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.5采购人或者采购机构应当根据</w:t>
      </w:r>
      <w:r>
        <w:rPr>
          <w:rFonts w:hint="eastAsia" w:asciiTheme="minorEastAsia" w:hAnsiTheme="minorEastAsia" w:eastAsiaTheme="minorEastAsia"/>
          <w:color w:val="auto"/>
        </w:rPr>
        <w:t>《杭州市集中采购委托协议》的约定，</w:t>
      </w:r>
      <w:r>
        <w:rPr>
          <w:rFonts w:hint="eastAsia"/>
          <w:color w:val="auto"/>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4B9B3EC">
      <w:pPr>
        <w:pStyle w:val="888"/>
        <w:shd w:val="clear" w:color="auto" w:fill="FFFFFF"/>
        <w:snapToGrid w:val="0"/>
        <w:spacing w:after="240" w:line="360" w:lineRule="auto"/>
        <w:ind w:firstLine="400"/>
        <w:contextualSpacing/>
        <w:rPr>
          <w:color w:val="auto"/>
        </w:rPr>
      </w:pPr>
      <w:r>
        <w:rPr>
          <w:rFonts w:hint="eastAsia"/>
          <w:color w:val="auto"/>
        </w:rPr>
        <w:t>根据采购人与采购机构签订的《杭州市集中采购委托协议》的约定，质疑答复责任主体如下：</w:t>
      </w:r>
    </w:p>
    <w:p w14:paraId="52852A82">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351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43627D20">
            <w:pPr>
              <w:pStyle w:val="32"/>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质疑内容</w:t>
            </w:r>
          </w:p>
        </w:tc>
        <w:tc>
          <w:tcPr>
            <w:tcW w:w="2232" w:type="dxa"/>
            <w:vAlign w:val="center"/>
          </w:tcPr>
          <w:p w14:paraId="3C2957C4">
            <w:pPr>
              <w:pStyle w:val="32"/>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质疑答复责任主体</w:t>
            </w:r>
          </w:p>
        </w:tc>
      </w:tr>
      <w:tr w14:paraId="6501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21FB07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69596ACF">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对采购文件中“申请人的资格要求”、“采购需求”、“评审办法”、“采购合同的主要条款”、“采购文件前附表内容”、“报价内容”的质疑</w:t>
            </w:r>
          </w:p>
        </w:tc>
        <w:tc>
          <w:tcPr>
            <w:tcW w:w="2232" w:type="dxa"/>
            <w:vAlign w:val="center"/>
          </w:tcPr>
          <w:p w14:paraId="47B8DA2F">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1A8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A23B824">
            <w:pPr>
              <w:pStyle w:val="32"/>
              <w:spacing w:line="360" w:lineRule="auto"/>
              <w:jc w:val="center"/>
              <w:rPr>
                <w:rFonts w:asciiTheme="minorEastAsia" w:hAnsiTheme="minorEastAsia" w:eastAsiaTheme="minorEastAsia"/>
                <w:color w:val="auto"/>
                <w:sz w:val="24"/>
              </w:rPr>
            </w:pPr>
          </w:p>
        </w:tc>
        <w:tc>
          <w:tcPr>
            <w:tcW w:w="4536" w:type="dxa"/>
            <w:vAlign w:val="center"/>
          </w:tcPr>
          <w:p w14:paraId="1F72A24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12D3C1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r w14:paraId="7316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63FD563">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对采购过程、采购结果提出质疑</w:t>
            </w:r>
          </w:p>
        </w:tc>
        <w:tc>
          <w:tcPr>
            <w:tcW w:w="4536" w:type="dxa"/>
            <w:vAlign w:val="center"/>
          </w:tcPr>
          <w:p w14:paraId="459AAF00">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对“现场考察、答疑会”、 “甲方负责接收和保存的样品” 、“资格审查”、“评审”等环节的质疑</w:t>
            </w:r>
          </w:p>
        </w:tc>
        <w:tc>
          <w:tcPr>
            <w:tcW w:w="2232" w:type="dxa"/>
            <w:vAlign w:val="center"/>
          </w:tcPr>
          <w:p w14:paraId="309374CD">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645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4323490F">
            <w:pPr>
              <w:pStyle w:val="32"/>
              <w:spacing w:line="360" w:lineRule="auto"/>
              <w:jc w:val="center"/>
              <w:rPr>
                <w:rFonts w:asciiTheme="minorEastAsia" w:hAnsiTheme="minorEastAsia" w:eastAsiaTheme="minorEastAsia"/>
                <w:color w:val="auto"/>
                <w:sz w:val="24"/>
              </w:rPr>
            </w:pPr>
          </w:p>
        </w:tc>
        <w:tc>
          <w:tcPr>
            <w:tcW w:w="4536" w:type="dxa"/>
            <w:vAlign w:val="center"/>
          </w:tcPr>
          <w:p w14:paraId="5B60EAEC">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对采购过程、采购结果其他环节的质疑</w:t>
            </w:r>
          </w:p>
        </w:tc>
        <w:tc>
          <w:tcPr>
            <w:tcW w:w="2232" w:type="dxa"/>
            <w:vAlign w:val="center"/>
          </w:tcPr>
          <w:p w14:paraId="03B9CE3F">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bl>
    <w:p w14:paraId="0E281ED9">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04C0C42">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0CB168C">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18E142B4">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01A3F2E">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F1C3953">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0AA3E2C4">
      <w:pPr>
        <w:pStyle w:val="888"/>
        <w:shd w:val="clear" w:color="auto" w:fill="FFFFFF"/>
        <w:snapToGrid w:val="0"/>
        <w:spacing w:after="240" w:afterAutospacing="0" w:line="360" w:lineRule="auto"/>
        <w:ind w:firstLine="400"/>
        <w:contextualSpacing/>
        <w:rPr>
          <w:color w:val="auto"/>
        </w:rPr>
      </w:pPr>
      <w:r>
        <w:rPr>
          <w:rFonts w:hint="eastAsia"/>
          <w:color w:val="auto"/>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1E51B745">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19B38DC">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4.5 补偿救济</w:t>
      </w:r>
    </w:p>
    <w:p w14:paraId="338930D0">
      <w:pPr>
        <w:pStyle w:val="888"/>
        <w:shd w:val="clear" w:color="auto" w:fill="FFFFFF"/>
        <w:snapToGrid w:val="0"/>
        <w:spacing w:before="0" w:beforeAutospacing="0" w:after="240" w:afterAutospacing="0" w:line="360" w:lineRule="auto"/>
        <w:ind w:firstLine="400"/>
        <w:contextualSpacing/>
        <w:rPr>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495B39E2">
      <w:pPr>
        <w:pStyle w:val="130"/>
        <w:snapToGrid w:val="0"/>
        <w:spacing w:before="0"/>
        <w:ind w:firstLine="360"/>
        <w:rPr>
          <w:rFonts w:ascii="宋体" w:hAnsi="宋体" w:cs="宋体"/>
          <w:color w:val="auto"/>
          <w:sz w:val="18"/>
          <w:szCs w:val="18"/>
        </w:rPr>
      </w:pPr>
    </w:p>
    <w:p w14:paraId="552CE6C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29F3C56">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5C53A837">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6477B4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77CEAC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4D51A7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F0D113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7A1AB9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468CAB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00BFD2F">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EB030FF">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15842D25">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13819587">
      <w:pPr>
        <w:pStyle w:val="130"/>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2B3E9E">
      <w:pPr>
        <w:pStyle w:val="23"/>
        <w:rPr>
          <w:rFonts w:hAnsi="宋体" w:cs="宋体"/>
          <w:color w:val="auto"/>
          <w:sz w:val="18"/>
          <w:szCs w:val="18"/>
          <w:lang w:val="en-US"/>
        </w:rPr>
      </w:pPr>
      <w:r>
        <w:rPr>
          <w:rFonts w:hint="eastAsia" w:hAnsi="宋体" w:cs="宋体"/>
          <w:color w:val="auto"/>
          <w:szCs w:val="24"/>
          <w:lang w:val="en-US"/>
        </w:rPr>
        <w:t xml:space="preserve">    </w:t>
      </w:r>
    </w:p>
    <w:p w14:paraId="6863D1C8">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032BA01">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59C546FA">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ED32EAD">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09633E3">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D962DD5">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671E11D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324DBFF">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6D39D58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84BB1A8">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3861928C">
      <w:pPr>
        <w:snapToGrid w:val="0"/>
        <w:spacing w:line="360" w:lineRule="auto"/>
        <w:ind w:firstLine="482" w:firstLineChars="200"/>
        <w:rPr>
          <w:rFonts w:ascii="宋体" w:hAnsi="宋体" w:cs="宋体"/>
          <w:b/>
          <w:snapToGrid w:val="0"/>
          <w:color w:val="auto"/>
          <w:sz w:val="24"/>
        </w:rPr>
      </w:pPr>
      <w:r>
        <w:rPr>
          <w:rFonts w:hint="eastAsia" w:ascii="宋体" w:hAnsi="宋体" w:cs="宋体"/>
          <w:b/>
          <w:snapToGrid w:val="0"/>
          <w:color w:val="auto"/>
          <w:sz w:val="24"/>
        </w:rPr>
        <w:t>▲投标文件至少应包括以下文件。</w:t>
      </w:r>
    </w:p>
    <w:p w14:paraId="40BC2D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4CF675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8CFE34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13779A6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3189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025C56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09677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B27B1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38F7CD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394EA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CB8D6C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9FD23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B3CFE6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11.2.7人员配置清单；</w:t>
      </w:r>
    </w:p>
    <w:p w14:paraId="7DA6137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11.2.8商务技术偏离表；</w:t>
      </w:r>
    </w:p>
    <w:p w14:paraId="12F630D6">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p>
    <w:p w14:paraId="4465FCE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935DAA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2E00CB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 报价情况说明（如供应商报价低于项目预算50%的，应当提交本文档，详细阐述不影响产品质量或者诚信履约的具体原因）。</w:t>
      </w:r>
    </w:p>
    <w:p w14:paraId="4884A8D2">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6878C5F">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14:paraId="165095EF">
      <w:pPr>
        <w:spacing w:line="360" w:lineRule="auto"/>
        <w:ind w:firstLine="723" w:firstLineChars="300"/>
        <w:rPr>
          <w:rFonts w:ascii="宋体" w:hAnsi="宋体" w:cs="宋体"/>
          <w:b/>
          <w:color w:val="auto"/>
          <w:sz w:val="24"/>
          <w:szCs w:val="21"/>
        </w:rPr>
      </w:pPr>
      <w:r>
        <w:rPr>
          <w:rFonts w:hint="eastAsia"/>
          <w:b/>
          <w:bCs/>
          <w:color w:val="auto"/>
          <w:sz w:val="24"/>
          <w:shd w:val="clear" w:color="auto" w:fill="FFFFFF"/>
        </w:rPr>
        <w:t>投标人应对投标文件中材料的真实性、合法性负责。</w:t>
      </w:r>
    </w:p>
    <w:p w14:paraId="5C8135A5">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668697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86497F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6628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333301E">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7F1E808">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5B0EBD9">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CF4D81A">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9EABE93">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4EE84BC">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92D67B8">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85B6A20">
      <w:pPr>
        <w:pStyle w:val="130"/>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75564562">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23B8FC02">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3FD36FDE">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2C993C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3266DBBF">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41B1F733">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5E1CF76">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2ABDCE65">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32A16F04">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58D212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66F860B2">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55613E7">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91DD1F8">
      <w:pPr>
        <w:pStyle w:val="130"/>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713259BA">
      <w:pPr>
        <w:pStyle w:val="130"/>
        <w:spacing w:before="0"/>
        <w:ind w:firstLine="643"/>
        <w:rPr>
          <w:rFonts w:ascii="宋体" w:hAnsi="宋体" w:cs="宋体"/>
          <w:b/>
          <w:color w:val="auto"/>
          <w:sz w:val="32"/>
        </w:rPr>
      </w:pPr>
    </w:p>
    <w:p w14:paraId="1EC82B38">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74C9E4A">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72284D2">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4FA4951C">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75A61FAF">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2F6F37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1301E713">
      <w:pPr>
        <w:pStyle w:val="130"/>
        <w:spacing w:before="0"/>
        <w:ind w:firstLine="480"/>
        <w:rPr>
          <w:rFonts w:ascii="宋体" w:hAnsi="宋体" w:cs="宋体"/>
          <w:color w:val="auto"/>
          <w:kern w:val="0"/>
          <w:szCs w:val="24"/>
        </w:rPr>
      </w:pPr>
      <w:r>
        <w:rPr>
          <w:rFonts w:hint="eastAsia" w:ascii="宋体" w:hAnsi="宋体" w:cs="宋体"/>
          <w:color w:val="auto"/>
          <w:kern w:val="0"/>
          <w:szCs w:val="24"/>
        </w:rPr>
        <w:t>19.1开标后，采购人将依据法律法规和招标文件的规定，对投标人的资格进行审查。</w:t>
      </w:r>
    </w:p>
    <w:p w14:paraId="6ABED124">
      <w:pPr>
        <w:pStyle w:val="130"/>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1F53FC3">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3对未通过资格审查的投标人，告知其未通过的原因。</w:t>
      </w:r>
    </w:p>
    <w:p w14:paraId="3C4FCAC0">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11755837">
      <w:pPr>
        <w:pStyle w:val="13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6F58CB5">
      <w:pPr>
        <w:widowControl/>
        <w:spacing w:before="100" w:beforeAutospacing="1" w:after="240" w:line="360" w:lineRule="auto"/>
        <w:ind w:firstLine="241" w:firstLineChars="100"/>
        <w:jc w:val="left"/>
        <w:rPr>
          <w:rFonts w:ascii="宋体" w:hAnsi="宋体" w:cs="宋体"/>
          <w:b/>
          <w:color w:val="auto"/>
          <w:sz w:val="24"/>
        </w:rPr>
      </w:pPr>
      <w:r>
        <w:rPr>
          <w:rFonts w:hint="eastAsia" w:ascii="宋体" w:hAnsi="宋体" w:cs="宋体"/>
          <w:b/>
          <w:color w:val="auto"/>
          <w:sz w:val="24"/>
        </w:rPr>
        <w:t>20、信用信息查询</w:t>
      </w:r>
    </w:p>
    <w:p w14:paraId="3E845AD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20.1信用信息查询渠道及截止时间：采购人将在资格审查时通过“信用中国”网站(www.creditchina.gov.cn)、中国政府采购网(www.ccgp.gov.cn)渠道查询投标人接受资格审查时的信用记录。</w:t>
      </w:r>
    </w:p>
    <w:p w14:paraId="61C99E09">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F839284">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F7BE2CB">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96862B5">
      <w:pPr>
        <w:pStyle w:val="130"/>
        <w:spacing w:before="0"/>
        <w:ind w:firstLine="0" w:firstLineChars="0"/>
        <w:rPr>
          <w:rFonts w:ascii="宋体" w:hAnsi="宋体" w:cs="宋体"/>
          <w:color w:val="auto"/>
          <w:kern w:val="0"/>
          <w:szCs w:val="24"/>
        </w:rPr>
      </w:pPr>
    </w:p>
    <w:p w14:paraId="255EB7A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A87F70E">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EEDD7BF">
      <w:pPr>
        <w:spacing w:line="360" w:lineRule="auto"/>
        <w:rPr>
          <w:rFonts w:ascii="宋体" w:hAnsi="宋体" w:cs="宋体"/>
          <w:b/>
          <w:color w:val="auto"/>
          <w:sz w:val="24"/>
        </w:rPr>
      </w:pPr>
    </w:p>
    <w:p w14:paraId="610691A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1696EF0">
      <w:pPr>
        <w:pStyle w:val="24"/>
        <w:spacing w:line="360" w:lineRule="auto"/>
        <w:ind w:left="479" w:hanging="479" w:hangingChars="199"/>
        <w:rPr>
          <w:rFonts w:cs="宋体"/>
          <w:b/>
          <w:color w:val="auto"/>
        </w:rPr>
      </w:pPr>
      <w:r>
        <w:rPr>
          <w:rFonts w:hint="eastAsia" w:cs="宋体"/>
          <w:b/>
          <w:color w:val="auto"/>
        </w:rPr>
        <w:t>22. 确定中标供应商</w:t>
      </w:r>
    </w:p>
    <w:p w14:paraId="485F719F">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DF92A69">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AD1918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29D2504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3EABC3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4F067198">
      <w:pPr>
        <w:snapToGrid w:val="0"/>
        <w:spacing w:line="360" w:lineRule="auto"/>
        <w:ind w:left="120" w:leftChars="57" w:firstLine="482" w:firstLineChars="150"/>
        <w:jc w:val="center"/>
        <w:rPr>
          <w:rFonts w:ascii="宋体" w:hAnsi="宋体" w:cs="宋体"/>
          <w:b/>
          <w:color w:val="auto"/>
          <w:sz w:val="32"/>
        </w:rPr>
      </w:pPr>
    </w:p>
    <w:p w14:paraId="169F600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FD3CB09">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DDA660F">
      <w:pPr>
        <w:pStyle w:val="24"/>
        <w:spacing w:line="360" w:lineRule="auto"/>
        <w:ind w:left="479" w:hanging="479" w:hangingChars="199"/>
        <w:rPr>
          <w:rFonts w:cs="宋体"/>
          <w:b/>
          <w:color w:val="auto"/>
        </w:rPr>
      </w:pPr>
      <w:r>
        <w:rPr>
          <w:rFonts w:hint="eastAsia" w:cs="宋体"/>
          <w:b/>
          <w:color w:val="auto"/>
        </w:rPr>
        <w:t>25. 合同的签订</w:t>
      </w:r>
    </w:p>
    <w:p w14:paraId="6866D41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B5F0D1">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2F14FE">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692AAAA">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780A91E">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C06E0C3">
      <w:pPr>
        <w:pStyle w:val="24"/>
        <w:spacing w:line="360" w:lineRule="auto"/>
        <w:ind w:left="479" w:hanging="479" w:hangingChars="199"/>
        <w:rPr>
          <w:rFonts w:cs="宋体"/>
          <w:b/>
          <w:color w:val="auto"/>
        </w:rPr>
      </w:pPr>
      <w:r>
        <w:rPr>
          <w:rFonts w:hint="eastAsia" w:cs="宋体"/>
          <w:b/>
          <w:color w:val="auto"/>
        </w:rPr>
        <w:t>26. 履约保证金</w:t>
      </w:r>
    </w:p>
    <w:p w14:paraId="71F31B76">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3F76069">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51D01560">
      <w:pPr>
        <w:pStyle w:val="2"/>
        <w:rPr>
          <w:color w:val="auto"/>
        </w:rPr>
      </w:pPr>
      <w:r>
        <w:rPr>
          <w:rFonts w:ascii="宋体" w:hAnsi="宋体" w:eastAsia="宋体"/>
          <w:color w:val="auto"/>
          <w:sz w:val="24"/>
          <w:lang w:val="en-US"/>
        </w:rPr>
        <w:t>27.预付款</w:t>
      </w:r>
    </w:p>
    <w:p w14:paraId="2BD861F4">
      <w:pPr>
        <w:tabs>
          <w:tab w:val="left" w:pos="0"/>
        </w:tabs>
        <w:spacing w:line="360" w:lineRule="auto"/>
        <w:ind w:firstLine="482"/>
        <w:rPr>
          <w:rFonts w:ascii="宋体" w:hAnsi="宋体" w:cs="宋体"/>
          <w:color w:val="auto"/>
          <w:kern w:val="0"/>
          <w:sz w:val="24"/>
        </w:rPr>
      </w:pPr>
      <w:r>
        <w:rPr>
          <w:rFonts w:hint="eastAsia" w:ascii="宋体" w:hAnsi="宋体" w:cs="宋体"/>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rPr>
        <w:t>95763</w:t>
      </w:r>
      <w:r>
        <w:rPr>
          <w:rFonts w:hint="eastAsia" w:ascii="宋体" w:hAnsi="宋体" w:cs="宋体"/>
          <w:color w:val="auto"/>
          <w:kern w:val="0"/>
          <w:sz w:val="24"/>
        </w:rPr>
        <w:t>。</w:t>
      </w:r>
    </w:p>
    <w:p w14:paraId="0A3633D5">
      <w:pPr>
        <w:snapToGrid w:val="0"/>
        <w:spacing w:line="360" w:lineRule="auto"/>
        <w:ind w:firstLine="3357" w:firstLineChars="1045"/>
        <w:rPr>
          <w:rFonts w:ascii="宋体" w:hAnsi="宋体" w:cs="宋体"/>
          <w:b/>
          <w:color w:val="auto"/>
          <w:sz w:val="32"/>
        </w:rPr>
      </w:pPr>
    </w:p>
    <w:p w14:paraId="4437CD2D">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1BBF436">
      <w:pPr>
        <w:pStyle w:val="130"/>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8.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7CA2CFCF">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C7B9431">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B9BF357">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069C1452">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C36A623">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2617AA0">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E73A0D8">
      <w:pPr>
        <w:tabs>
          <w:tab w:val="left" w:pos="0"/>
        </w:tabs>
        <w:spacing w:line="360" w:lineRule="auto"/>
        <w:ind w:firstLine="480"/>
        <w:rPr>
          <w:rFonts w:ascii="宋体" w:hAnsi="宋体" w:cs="宋体"/>
          <w:color w:val="auto"/>
          <w:sz w:val="24"/>
        </w:rPr>
      </w:pPr>
    </w:p>
    <w:p w14:paraId="0641E092">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7D429F0">
      <w:pPr>
        <w:pStyle w:val="24"/>
        <w:spacing w:line="360" w:lineRule="auto"/>
        <w:ind w:firstLine="0" w:firstLineChars="0"/>
        <w:rPr>
          <w:rFonts w:cs="宋体"/>
          <w:b/>
          <w:color w:val="auto"/>
        </w:rPr>
      </w:pPr>
      <w:r>
        <w:rPr>
          <w:rFonts w:hint="eastAsia" w:cs="宋体"/>
          <w:b/>
          <w:color w:val="auto"/>
        </w:rPr>
        <w:t>30.验收</w:t>
      </w:r>
    </w:p>
    <w:p w14:paraId="547F7F0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29459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2CAE46C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79B9E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4DBF6D">
      <w:pPr>
        <w:pStyle w:val="79"/>
        <w:spacing w:line="360" w:lineRule="auto"/>
        <w:ind w:firstLine="480"/>
        <w:rPr>
          <w:color w:val="auto"/>
        </w:rPr>
      </w:pPr>
      <w:r>
        <w:rPr>
          <w:rFonts w:hint="eastAsia" w:ascii="宋体" w:hAnsi="宋体" w:eastAsia="宋体" w:cs="宋体"/>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341B752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8"/>
      <w:bookmarkEnd w:id="16"/>
      <w:bookmarkStart w:id="17" w:name="_Hlt74730295"/>
      <w:bookmarkEnd w:id="17"/>
      <w:bookmarkStart w:id="18" w:name="_Hlt75236101"/>
      <w:bookmarkEnd w:id="18"/>
      <w:bookmarkStart w:id="19" w:name="_Hlt74714665"/>
      <w:bookmarkEnd w:id="19"/>
      <w:bookmarkStart w:id="20" w:name="_Hlt75236290"/>
      <w:bookmarkEnd w:id="20"/>
      <w:bookmarkStart w:id="21" w:name="_Hlt74707468"/>
      <w:bookmarkEnd w:id="21"/>
      <w:bookmarkStart w:id="22" w:name="_Hlt68072990"/>
      <w:bookmarkEnd w:id="22"/>
      <w:bookmarkStart w:id="23" w:name="_Hlt68073093"/>
      <w:bookmarkEnd w:id="23"/>
      <w:bookmarkStart w:id="24" w:name="_Hlt75236011"/>
      <w:bookmarkEnd w:id="24"/>
      <w:bookmarkStart w:id="25" w:name="_Hlt68403820"/>
      <w:bookmarkEnd w:id="25"/>
      <w:bookmarkStart w:id="26" w:name="_Hlt68057669"/>
      <w:bookmarkEnd w:id="26"/>
    </w:p>
    <w:bookmarkEnd w:id="11"/>
    <w:bookmarkEnd w:id="12"/>
    <w:p w14:paraId="340785FB">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6D473C1C">
      <w:pPr>
        <w:adjustRightInd/>
        <w:spacing w:line="560" w:lineRule="exact"/>
        <w:jc w:val="left"/>
        <w:outlineLvl w:val="1"/>
        <w:rPr>
          <w:rFonts w:ascii="宋体" w:hAnsi="宋体" w:cs="宋体"/>
          <w:b/>
          <w:bCs/>
          <w:color w:val="auto"/>
          <w:sz w:val="24"/>
        </w:rPr>
      </w:pPr>
      <w:r>
        <w:rPr>
          <w:rFonts w:hint="eastAsia" w:ascii="宋体" w:hAnsi="宋体" w:cs="宋体"/>
          <w:color w:val="auto"/>
          <w:sz w:val="24"/>
        </w:rPr>
        <w:t>属于实质性要求条款的，已用符号“▲”标明，否则属于非实质性要求。</w:t>
      </w:r>
    </w:p>
    <w:p w14:paraId="7A1F9184">
      <w:pPr>
        <w:spacing w:line="560" w:lineRule="exact"/>
        <w:rPr>
          <w:rFonts w:ascii="宋体" w:hAnsi="宋体" w:cs="宋体"/>
          <w:color w:val="auto"/>
          <w:sz w:val="24"/>
          <w:u w:val="single"/>
        </w:rPr>
      </w:pPr>
      <w:r>
        <w:rPr>
          <w:rFonts w:hint="eastAsia" w:ascii="宋体" w:hAnsi="宋体" w:cs="宋体"/>
          <w:color w:val="auto"/>
          <w:sz w:val="24"/>
        </w:rPr>
        <w:t>“★”系产品采购项目中单一产品或核心产品。</w:t>
      </w:r>
    </w:p>
    <w:p w14:paraId="0AC79BF4">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一、物业管理项目概况</w:t>
      </w:r>
    </w:p>
    <w:p w14:paraId="004CFD74">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本次招标内容为杭州市综合行政执法队物业管理项目，投标人应根据招标文件所提出的服务要求，综合考虑适应性，选择具有最佳性能价格比的方案前来投标。希望投标人以优良的服务和优惠的价格，充分显示综合竞争实力。</w:t>
      </w:r>
    </w:p>
    <w:p w14:paraId="688DF467">
      <w:pPr>
        <w:spacing w:line="360" w:lineRule="auto"/>
        <w:ind w:firstLine="482" w:firstLineChars="200"/>
        <w:rPr>
          <w:rFonts w:ascii="宋体" w:hAnsi="宋体" w:cs="宋体"/>
          <w:b/>
          <w:color w:val="auto"/>
          <w:sz w:val="24"/>
        </w:rPr>
      </w:pPr>
      <w:r>
        <w:rPr>
          <w:rFonts w:hint="eastAsia" w:ascii="宋体" w:hAnsi="宋体" w:cs="宋体"/>
          <w:b/>
          <w:color w:val="auto"/>
          <w:sz w:val="24"/>
        </w:rPr>
        <w:t>（一）单位地址</w:t>
      </w:r>
    </w:p>
    <w:p w14:paraId="4DAAD025">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杭州市拱墅区东新街道白石巷365号；（办公点）</w:t>
      </w:r>
    </w:p>
    <w:p w14:paraId="3D4CFD97">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杭州市拱墅区半山街道刘文村186号；（犬类收容中心）</w:t>
      </w:r>
    </w:p>
    <w:p w14:paraId="592342FE">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杭州市拱墅区文晖街道文晖路426号现代置业西楼3、4楼。（过渡期办公）</w:t>
      </w:r>
    </w:p>
    <w:p w14:paraId="2E3B2D6E">
      <w:pPr>
        <w:spacing w:line="360" w:lineRule="auto"/>
        <w:ind w:firstLine="482" w:firstLineChars="200"/>
        <w:rPr>
          <w:rFonts w:ascii="宋体" w:hAnsi="宋体" w:cs="宋体"/>
          <w:b/>
          <w:color w:val="auto"/>
          <w:sz w:val="24"/>
        </w:rPr>
      </w:pPr>
      <w:r>
        <w:rPr>
          <w:rFonts w:hint="eastAsia" w:ascii="宋体" w:hAnsi="宋体" w:cs="宋体"/>
          <w:b/>
          <w:color w:val="auto"/>
          <w:sz w:val="24"/>
        </w:rPr>
        <w:t>（二）单位建筑面积及主要建筑物</w:t>
      </w:r>
    </w:p>
    <w:p w14:paraId="66D94522">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（1）白石巷365号办公楼：位于拱墅区东新街道白石巷365号，土地面积使用面积6002.2平方米，建筑面积地上：12457.45平方米，地下：2615.03平方米；绿化面积约1500平方米。</w:t>
      </w:r>
    </w:p>
    <w:p w14:paraId="0E0F269D">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（2）刘文村186号犬类收容中心：位于拱墅区刘文村186号，土地面积使用面积9390平方米，建筑面积地上：4109平方米，地下：700平方米，绿化面积约4000平方米。</w:t>
      </w:r>
    </w:p>
    <w:p w14:paraId="701C9C30">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（3）杭州市拱墅区文晖街道文晖路426号现代置业西楼3、4楼；（办公点）计1556.97平方米 均为办公室（过渡期办公）。</w:t>
      </w:r>
    </w:p>
    <w:p w14:paraId="75DC6A38">
      <w:pPr>
        <w:spacing w:line="360" w:lineRule="auto"/>
        <w:ind w:firstLine="700" w:firstLineChars="250"/>
        <w:rPr>
          <w:rFonts w:ascii="黑体" w:hAnsi="黑体" w:eastAsia="黑体" w:cs="黑体"/>
          <w:bCs/>
          <w:color w:val="auto"/>
          <w:sz w:val="28"/>
          <w:szCs w:val="28"/>
        </w:rPr>
      </w:pPr>
      <w:r>
        <w:rPr>
          <w:rFonts w:hint="eastAsia" w:ascii="黑体" w:hAnsi="黑体" w:eastAsia="黑体" w:cs="黑体"/>
          <w:bCs/>
          <w:color w:val="auto"/>
          <w:sz w:val="28"/>
          <w:szCs w:val="28"/>
        </w:rPr>
        <w:t>二、服务要求</w:t>
      </w:r>
    </w:p>
    <w:p w14:paraId="0041C94E">
      <w:pPr>
        <w:spacing w:line="360" w:lineRule="auto"/>
        <w:ind w:firstLine="482" w:firstLineChars="200"/>
        <w:rPr>
          <w:rFonts w:ascii="宋体" w:hAnsi="宋体" w:cs="宋体"/>
          <w:b/>
          <w:color w:val="auto"/>
          <w:sz w:val="24"/>
        </w:rPr>
      </w:pPr>
      <w:r>
        <w:rPr>
          <w:rFonts w:hint="eastAsia" w:ascii="宋体" w:hAnsi="宋体" w:cs="宋体"/>
          <w:b/>
          <w:color w:val="auto"/>
          <w:sz w:val="24"/>
        </w:rPr>
        <w:t>（一）项目内容或招标项目的性质</w:t>
      </w:r>
    </w:p>
    <w:p w14:paraId="40D20515">
      <w:pPr>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物业管理主要内容包括：安保管理服务(包括但不限于消防、监控系统及车辆停放、公共秩序等管理服务、注包含负责犬类中心饲养犬类专门区域内秩序及相关工作的事件)、环境卫生管理服务（包括但不限于</w:t>
      </w:r>
      <w:r>
        <w:rPr>
          <w:rFonts w:hint="eastAsia" w:ascii="宋体" w:hAnsi="宋体" w:cs="宋体"/>
          <w:bCs/>
          <w:color w:val="auto"/>
          <w:sz w:val="24"/>
        </w:rPr>
        <w:t>大楼、附楼的楼梯、安</w:t>
      </w:r>
      <w:r>
        <w:rPr>
          <w:rFonts w:hint="eastAsia" w:ascii="宋体" w:hAnsi="宋体" w:cs="宋体"/>
          <w:color w:val="auto"/>
          <w:sz w:val="24"/>
        </w:rPr>
        <w:t>全通道</w:t>
      </w:r>
      <w:r>
        <w:rPr>
          <w:rFonts w:hint="eastAsia" w:ascii="宋体" w:hAnsi="宋体" w:cs="宋体"/>
          <w:bCs/>
          <w:color w:val="auto"/>
          <w:sz w:val="24"/>
        </w:rPr>
        <w:t>、</w:t>
      </w:r>
      <w:r>
        <w:rPr>
          <w:rFonts w:hint="eastAsia" w:ascii="宋体" w:hAnsi="宋体" w:cs="宋体"/>
          <w:color w:val="auto"/>
          <w:sz w:val="24"/>
        </w:rPr>
        <w:t>大厅、走廊、屋顶平台、电梯厅、电梯间、卫生间、浴室、茶水间、会议室、地下车库、办公公共区域、公共活动场所的台（地）面、明沟、墙面、门、窗、灯具、垃圾桶等所有公共设施</w:t>
      </w:r>
      <w:r>
        <w:rPr>
          <w:rFonts w:hint="eastAsia" w:ascii="宋体" w:hAnsi="宋体" w:cs="宋体"/>
          <w:color w:val="auto"/>
          <w:sz w:val="24"/>
          <w:szCs w:val="20"/>
        </w:rPr>
        <w:t>）、设施维保管理服务（包括但不限于</w:t>
      </w:r>
      <w:r>
        <w:rPr>
          <w:rFonts w:hint="eastAsia" w:ascii="宋体" w:hAnsi="宋体" w:cs="宋体"/>
          <w:color w:val="auto"/>
          <w:sz w:val="24"/>
        </w:rPr>
        <w:t>弱电系统、供电设备、给排水设备运行、电梯维护、房屋家具的日常运行维护维修等</w:t>
      </w:r>
      <w:r>
        <w:rPr>
          <w:rFonts w:hint="eastAsia" w:ascii="宋体" w:hAnsi="宋体" w:cs="宋体"/>
          <w:color w:val="auto"/>
          <w:sz w:val="24"/>
          <w:szCs w:val="20"/>
        </w:rPr>
        <w:t>）、</w:t>
      </w:r>
      <w:r>
        <w:rPr>
          <w:rFonts w:hint="eastAsia" w:ascii="宋体" w:hAnsi="宋体"/>
          <w:color w:val="auto"/>
          <w:sz w:val="24"/>
        </w:rPr>
        <w:t>绿化养护服务（项目范围内的绿化的管理、修剪、养护及室内部份绿化的摆放等）、</w:t>
      </w:r>
      <w:r>
        <w:rPr>
          <w:rFonts w:hint="eastAsia" w:ascii="宋体" w:hAnsi="宋体" w:cs="宋体"/>
          <w:color w:val="auto"/>
          <w:sz w:val="24"/>
          <w:szCs w:val="20"/>
        </w:rPr>
        <w:t>后勤管理服务（包括但不限于会议保障、邮件存放及报纸分发等）以及管理采购人交办的其他事务。</w:t>
      </w:r>
    </w:p>
    <w:p w14:paraId="06FED16A">
      <w:pPr>
        <w:spacing w:line="360" w:lineRule="auto"/>
        <w:ind w:firstLine="482" w:firstLineChars="200"/>
        <w:rPr>
          <w:rFonts w:ascii="宋体" w:hAnsi="宋体" w:cs="宋体"/>
          <w:bCs/>
          <w:color w:val="auto"/>
          <w:sz w:val="24"/>
        </w:rPr>
      </w:pPr>
      <w:r>
        <w:rPr>
          <w:rFonts w:hint="eastAsia" w:ascii="宋体" w:hAnsi="宋体" w:cs="宋体"/>
          <w:b/>
          <w:color w:val="auto"/>
          <w:sz w:val="24"/>
        </w:rPr>
        <w:t>（二）服务时间</w:t>
      </w:r>
    </w:p>
    <w:p w14:paraId="734580E8">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2025年1月1日至2027年12月31日。2025年1月1日至中标供应商进场服务之日前的服务费用，由中标供应商按本次中标单日金额乘以实际服务天数，与原供应商结算。</w:t>
      </w:r>
    </w:p>
    <w:p w14:paraId="2F4FE09E">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注：白石巷365号办公楼刚结束装修，存在搬迁过渡期，</w:t>
      </w:r>
      <w:r>
        <w:rPr>
          <w:rFonts w:hint="eastAsia" w:ascii="宋体" w:hAnsi="宋体" w:cs="宋体"/>
          <w:bCs/>
          <w:color w:val="auto"/>
          <w:sz w:val="24"/>
          <w:szCs w:val="20"/>
          <w:lang w:eastAsia="zh-CN"/>
        </w:rPr>
        <w:t>搬迁工作将在</w:t>
      </w:r>
      <w:r>
        <w:rPr>
          <w:rFonts w:hint="eastAsia" w:ascii="宋体" w:hAnsi="宋体" w:cs="宋体"/>
          <w:bCs/>
          <w:color w:val="auto"/>
          <w:sz w:val="24"/>
          <w:szCs w:val="20"/>
          <w:lang w:val="en-US" w:eastAsia="zh-CN"/>
        </w:rPr>
        <w:t>2025年5月开始，</w:t>
      </w:r>
      <w:r>
        <w:rPr>
          <w:rFonts w:hint="eastAsia" w:ascii="宋体" w:hAnsi="宋体" w:cs="宋体"/>
          <w:bCs/>
          <w:color w:val="auto"/>
          <w:sz w:val="24"/>
          <w:szCs w:val="20"/>
        </w:rPr>
        <w:t>在各单位未实际入驻白石巷办公楼前按维持安全及办公场所基本运转的标准进行管理（包含现代置业西楼办公楼的需支付的物业服务费等相关物业管理费用），费用</w:t>
      </w:r>
      <w:r>
        <w:rPr>
          <w:rFonts w:hint="eastAsia" w:ascii="宋体" w:hAnsi="宋体" w:cs="宋体"/>
          <w:color w:val="auto"/>
          <w:sz w:val="24"/>
        </w:rPr>
        <w:t>包含在投标总价中</w:t>
      </w:r>
      <w:r>
        <w:rPr>
          <w:rFonts w:hint="eastAsia" w:ascii="宋体" w:hAnsi="宋体" w:cs="宋体"/>
          <w:bCs/>
          <w:color w:val="auto"/>
          <w:sz w:val="24"/>
          <w:szCs w:val="20"/>
        </w:rPr>
        <w:t>按实际提供的物业服务天数量来结算</w:t>
      </w:r>
      <w:r>
        <w:rPr>
          <w:rFonts w:hint="eastAsia" w:ascii="宋体" w:hAnsi="宋体" w:cs="宋体"/>
          <w:color w:val="auto"/>
          <w:sz w:val="24"/>
        </w:rPr>
        <w:t>，由中标单位支付费用。</w:t>
      </w:r>
    </w:p>
    <w:p w14:paraId="45F9E78E">
      <w:pPr>
        <w:spacing w:line="360" w:lineRule="auto"/>
        <w:ind w:firstLine="482" w:firstLineChars="200"/>
        <w:rPr>
          <w:rFonts w:ascii="宋体" w:hAnsi="宋体" w:cs="宋体"/>
          <w:b/>
          <w:color w:val="auto"/>
          <w:sz w:val="24"/>
        </w:rPr>
      </w:pPr>
      <w:r>
        <w:rPr>
          <w:rFonts w:hint="eastAsia" w:ascii="宋体" w:hAnsi="宋体" w:cs="宋体"/>
          <w:b/>
          <w:color w:val="auto"/>
          <w:sz w:val="24"/>
        </w:rPr>
        <w:t>（三）招标范围</w:t>
      </w:r>
    </w:p>
    <w:p w14:paraId="6F2F4D13">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（1）白石巷365号办公楼：位于拱墅区东新街道白石巷365号，土地面积使用面积6002.2平方米，建筑面积地上：12457.45平方米，地下：2615.03平方米；绿化面积约1500平方米。</w:t>
      </w:r>
    </w:p>
    <w:p w14:paraId="75836D58">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（2）刘文村186号犬类收容中心：位于拱墅区刘文村186号，土地面积使用面积9390平方米，建筑面积地上：4109平方米，地下：700平方米，绿化面积约4000平方米。</w:t>
      </w:r>
    </w:p>
    <w:p w14:paraId="6B55B3FA">
      <w:pPr>
        <w:spacing w:line="360" w:lineRule="auto"/>
        <w:ind w:firstLine="480" w:firstLineChars="200"/>
        <w:rPr>
          <w:rFonts w:ascii="宋体" w:hAnsi="宋体" w:cs="宋体"/>
          <w:bCs/>
          <w:color w:val="auto"/>
          <w:sz w:val="24"/>
          <w:szCs w:val="20"/>
        </w:rPr>
      </w:pPr>
      <w:r>
        <w:rPr>
          <w:rFonts w:hint="eastAsia" w:ascii="宋体" w:hAnsi="宋体" w:cs="宋体"/>
          <w:bCs/>
          <w:color w:val="auto"/>
          <w:sz w:val="24"/>
          <w:szCs w:val="20"/>
        </w:rPr>
        <w:t>（3）杭州市拱墅区文晖街道文晖路426号现代置业西楼3、4楼；（办公点）计1556.97平方米，均为办公室（过渡期办公）。</w:t>
      </w:r>
    </w:p>
    <w:p w14:paraId="189CD4E9">
      <w:pPr>
        <w:spacing w:line="360"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三、物业管理具体要求</w:t>
      </w:r>
    </w:p>
    <w:p w14:paraId="1D401B73">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（一）安保管理服务</w:t>
      </w:r>
    </w:p>
    <w:p w14:paraId="657EAEF5">
      <w:pPr>
        <w:snapToGrid w:val="0"/>
        <w:spacing w:line="360" w:lineRule="auto"/>
        <w:ind w:firstLine="480" w:firstLineChars="200"/>
        <w:rPr>
          <w:rFonts w:ascii="宋体" w:hAnsi="宋体" w:cs="宋体"/>
          <w:color w:val="auto"/>
          <w:sz w:val="24"/>
        </w:rPr>
      </w:pPr>
      <w:r>
        <w:rPr>
          <w:rFonts w:hint="eastAsia" w:ascii="宋体" w:hAnsi="宋体" w:cs="宋体"/>
          <w:bCs/>
          <w:color w:val="auto"/>
          <w:sz w:val="24"/>
        </w:rPr>
        <w:t xml:space="preserve"> 安保范围内安排24小时值勤，建立传达、保安、车辆、道路及公共秩序管理等制度。对进出车辆进行引导管理，维护交通秩序，保证通道畅通，车辆有序通行、有序停放；上下班高峰期对大门口道路通道疏通，为进出车辆提供安全避险。制定有效措施，根据不同突发事件的现场情况进行应急处理，确保人身安全，减少财产损失，积极主动配合、服从管理部门的临时应急调度。</w:t>
      </w:r>
      <w:r>
        <w:rPr>
          <w:rFonts w:hint="eastAsia" w:ascii="宋体" w:hAnsi="宋体" w:cs="宋体"/>
          <w:color w:val="auto"/>
          <w:sz w:val="24"/>
        </w:rPr>
        <w:t>建立完善的消控制度和工作计划，物管人员应定期接受消防培训并掌握现有消防设施设备的使用方法，能及时处理各种火灾应急事故。明确防火责任人，按照突发火灾的应急方案，设立消防疏散示意图，照明设施及引路标志完好，紧急疏散通道畅通,并落实24小时消控管理，对区域内的消防喷淋灭火系统、气体灭火系统、火灾报警系统、电器火灾报警系统、消防排烟机组等消控设备按安保条例进行监管和操作使用。所需配备的对讲装置和其他必备的安全护卫器械由中标单位提供。</w:t>
      </w:r>
    </w:p>
    <w:p w14:paraId="77AFEE18">
      <w:pPr>
        <w:autoSpaceDE w:val="0"/>
        <w:autoSpaceDN w:val="0"/>
        <w:spacing w:line="360" w:lineRule="auto"/>
        <w:ind w:firstLine="361" w:firstLineChars="150"/>
        <w:rPr>
          <w:rFonts w:ascii="宋体" w:hAnsi="宋体" w:cs="宋体"/>
          <w:b/>
          <w:snapToGrid w:val="0"/>
          <w:color w:val="auto"/>
          <w:sz w:val="24"/>
          <w:szCs w:val="21"/>
          <w:lang w:val="zh-CN"/>
        </w:rPr>
      </w:pPr>
      <w:r>
        <w:rPr>
          <w:rFonts w:hint="eastAsia" w:ascii="宋体" w:hAnsi="宋体" w:cs="宋体"/>
          <w:b/>
          <w:snapToGrid w:val="0"/>
          <w:color w:val="auto"/>
          <w:sz w:val="24"/>
          <w:szCs w:val="21"/>
          <w:lang w:val="zh-CN"/>
        </w:rPr>
        <w:t>（二）环卫保洁管理服务</w:t>
      </w:r>
    </w:p>
    <w:p w14:paraId="362241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所有公共场地及设施和 “门前三包” 区域的日常保洁保养以及垃圾分类管理、废弃物清理等所有环境卫生保洁。不包括：办公室内部等非公共区域。建立环境卫生管理制度并认真落实，环卫设施设置合理、完备，清洁保洁及时。具体如下：</w:t>
      </w:r>
    </w:p>
    <w:p w14:paraId="7D4F4D22">
      <w:pPr>
        <w:numPr>
          <w:ilvl w:val="0"/>
          <w:numId w:val="1"/>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公共场所日常服务内容：地面、扶手、门窗玻璃、门及门窗框，各类宣传牌、橱窗、天花板、栏杆、消火栓箱表面、灭火器、消防报警按钮等，及时清理各种垃圾等杂物，无积灰、印迹、污渍。绿化带内无烟蒂、无碎石、无垃圾、无杂物，一经发现立即清除（每日一次）。</w:t>
      </w:r>
    </w:p>
    <w:p w14:paraId="44DE14D4">
      <w:pPr>
        <w:numPr>
          <w:ilvl w:val="0"/>
          <w:numId w:val="1"/>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门厅等特定区域保洁服务内容：地面、墙面、天花板、大厅、门窗玻璃、门及门窗框、灯具、开关面板等公用设施表面；电梯及卫生间、茶水间、浴室等严格按要求做好清洁、清运及日常消杀工作，无积灰、印迹、污渍、异味，随时保持清洁；墙面张贴保持完好，无乱张贴（每日一次）。</w:t>
      </w:r>
    </w:p>
    <w:p w14:paraId="67814A4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（3）屋顶等边缘区域服务内容：雨（雪）前后，应加强屋顶屋面、沟槽检查，及时清除各类堵塞（阻滞）物（每月一次）。</w:t>
      </w:r>
    </w:p>
    <w:p w14:paraId="6EDB2C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（4）电梯服务内容：每天清洁不少于一次，保持电梯轿厢内外无果壳、纸屑等杂物，无污渍、无灰尘、手印、鞋印。每周对电梯轿厢内上油保养一次。</w:t>
      </w:r>
    </w:p>
    <w:p w14:paraId="22BE6F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垃圾分类：每日清除垃圾，无垃圾满溢、无污渍；垃圾桶定期清洗，每周消毒一次。垃圾清运工具应保持清洁无破损，清运过程中不得产生二次污染。其中公共区、卫生间无堆积杂物。污水池、管道及时清理，确保管路畅通，确保正常排放，杜绝污水满溢现象。</w:t>
      </w:r>
    </w:p>
    <w:p w14:paraId="09495CB5">
      <w:pPr>
        <w:keepNext/>
        <w:keepLines/>
        <w:adjustRightInd/>
        <w:spacing w:line="360" w:lineRule="auto"/>
        <w:outlineLvl w:val="1"/>
        <w:rPr>
          <w:rFonts w:ascii="宋体" w:hAnsi="宋体" w:cs="宋体"/>
          <w:color w:val="auto"/>
          <w:sz w:val="24"/>
        </w:rPr>
      </w:pPr>
      <w:r>
        <w:rPr>
          <w:rFonts w:hint="eastAsia" w:ascii="宋体" w:hAnsi="宋体" w:cs="宋体"/>
          <w:color w:val="auto"/>
          <w:sz w:val="24"/>
        </w:rPr>
        <w:t xml:space="preserve">    （6）门前“三包”及所有公共区域的地面，无垃圾、无堆积杂物、无积灰、无积水和淤泥、无阻塞等。做到每日至少清扫两次，巡回保洁。</w:t>
      </w:r>
    </w:p>
    <w:p w14:paraId="45EEE6B5">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（三）设施维保服务</w:t>
      </w:r>
    </w:p>
    <w:p w14:paraId="4220F458">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1.弱电系统管理维护</w:t>
      </w:r>
    </w:p>
    <w:p w14:paraId="5CC0AC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协助做好大楼内综合布线、楼宇设备自控系统、安全防范系统、多功能会议系统、音视频系统、公告广播系统、有线电视系统、弱电机房、通信机房等进行日常管理及施工，确保各系统正常运行；配合各弱电系统管理责任主体，按规定标准工作时间排除故障，保证各弱电系统正常工作；严格执行用电安全规范，确保用电安全。（每日巡检一次）。 </w:t>
      </w:r>
    </w:p>
    <w:p w14:paraId="73144BD7">
      <w:pPr>
        <w:snapToGrid w:val="0"/>
        <w:spacing w:line="360" w:lineRule="auto"/>
        <w:ind w:firstLine="361" w:firstLineChars="150"/>
        <w:rPr>
          <w:rFonts w:ascii="宋体" w:hAnsi="宋体" w:cs="宋体"/>
          <w:color w:val="auto"/>
          <w:sz w:val="24"/>
        </w:rPr>
      </w:pPr>
      <w:r>
        <w:rPr>
          <w:rFonts w:hint="eastAsia" w:ascii="宋体" w:hAnsi="宋体" w:cs="宋体"/>
          <w:b/>
          <w:bCs/>
          <w:color w:val="auto"/>
          <w:sz w:val="24"/>
        </w:rPr>
        <w:t>2.供电设备管理维护</w:t>
      </w:r>
    </w:p>
    <w:p w14:paraId="5D618A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每季度配合维保单位对大楼内外的变压器、高及低压配电柜、能量管理系统、楼层配电间低压配电柜、设备机房电气控制柜、疏散指示系统、电气管线、电线电缆、电源开关、动力插座、水泵等低压用电设施进行日常管理和维护、维修，保持设施正常运行；高配变电房24小时单人单岗值班，严格执行用电安全规范，保证整个大楼的供电安全；配合维保单位按照规定周期对变配电设备设施进行检查、维护、清洁，并做好记录，确保高（低）压变（配）电柜操作运行正常，各类表计显示正常；负责各类照明灯具、泛光照明系统、供用电设备设施（包括配电箱柜、桥架、井道、分电箱、开关、插座等）的日常管理和维护修理。</w:t>
      </w:r>
    </w:p>
    <w:p w14:paraId="1F36A12C">
      <w:pPr>
        <w:snapToGrid w:val="0"/>
        <w:spacing w:line="360" w:lineRule="auto"/>
        <w:rPr>
          <w:rFonts w:ascii="宋体" w:hAnsi="宋体" w:cs="宋体"/>
          <w:color w:val="auto"/>
          <w:sz w:val="24"/>
        </w:rPr>
      </w:pPr>
      <w:r>
        <w:rPr>
          <w:rFonts w:hint="eastAsia" w:ascii="宋体" w:hAnsi="宋体" w:cs="宋体"/>
          <w:b/>
          <w:bCs/>
          <w:color w:val="auto"/>
          <w:sz w:val="24"/>
        </w:rPr>
        <w:t xml:space="preserve">    3.给排水设备运行管理维护</w:t>
      </w:r>
    </w:p>
    <w:p w14:paraId="3CFDAE60">
      <w:pPr>
        <w:snapToGrid w:val="0"/>
        <w:spacing w:line="360" w:lineRule="auto"/>
        <w:rPr>
          <w:rFonts w:ascii="宋体" w:hAnsi="宋体" w:cs="宋体"/>
          <w:color w:val="auto"/>
          <w:sz w:val="24"/>
        </w:rPr>
      </w:pPr>
      <w:r>
        <w:rPr>
          <w:rFonts w:hint="eastAsia" w:ascii="宋体" w:hAnsi="宋体" w:cs="宋体"/>
          <w:color w:val="auto"/>
          <w:sz w:val="24"/>
        </w:rPr>
        <w:t xml:space="preserve">    对办公楼室内外给排水系统的设备、设施，如水泵、气压给水装置、水处理设备、消火栓、管道、管件、阀门、水嘴、卫生洁具、排水管、透气管、水封设备、室外排水管及附属构筑物等进行日常养护维修，保持正常运行；每半年对给排水系统进行维护、润滑；每周检查一次污水泵、提升泵、排水泵、阀门等，确保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用户末端的水压及流量满足使用要求；每季对楼宇给排水总管进行检查，每半年对水泵、管道进行养护。</w:t>
      </w:r>
    </w:p>
    <w:p w14:paraId="3BE4D938">
      <w:pPr>
        <w:snapToGrid w:val="0"/>
        <w:spacing w:line="360" w:lineRule="auto"/>
        <w:ind w:firstLine="361" w:firstLineChars="150"/>
        <w:rPr>
          <w:rFonts w:ascii="宋体" w:hAnsi="宋体" w:cs="宋体"/>
          <w:b/>
          <w:bCs/>
          <w:color w:val="auto"/>
          <w:sz w:val="24"/>
        </w:rPr>
      </w:pPr>
      <w:r>
        <w:rPr>
          <w:rFonts w:hint="eastAsia" w:ascii="宋体" w:hAnsi="宋体" w:cs="宋体"/>
          <w:b/>
          <w:bCs/>
          <w:color w:val="auto"/>
          <w:sz w:val="24"/>
        </w:rPr>
        <w:t>4.电梯管理维护</w:t>
      </w:r>
    </w:p>
    <w:p w14:paraId="45F042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电梯专业维保及日常管理。建立电梯运行管理、设备管理、安全管理制度；</w:t>
      </w:r>
    </w:p>
    <w:p w14:paraId="3A4D76FF">
      <w:pPr>
        <w:snapToGrid w:val="0"/>
        <w:spacing w:line="360" w:lineRule="auto"/>
        <w:rPr>
          <w:rFonts w:ascii="宋体" w:hAnsi="宋体" w:cs="宋体"/>
          <w:color w:val="auto"/>
        </w:rPr>
      </w:pPr>
      <w:r>
        <w:rPr>
          <w:rFonts w:hint="eastAsia" w:ascii="宋体" w:hAnsi="宋体" w:cs="宋体"/>
          <w:color w:val="auto"/>
          <w:sz w:val="24"/>
        </w:rPr>
        <w:t>电梯安全措施齐全、有效，准时开启关闭，督促专业维保单位定期进行维修保养，做好工作单的确认；确保通风、照明、空调及其他附属设施完好；轿厢、井道保持清洁；电梯按实际需求正常运行、运行养护记录完备；严格执行杭州市特种设备检测院等有关规定，电梯准用证、年检合格证、维修保养合同完备；每月2次保养。白石巷365号办公楼有主楼电梯2台、附楼电梯1台，须购买电梯综合保险（电梯年度维修）费用需包含在投标总价中，由中标单位支付费用。</w:t>
      </w:r>
    </w:p>
    <w:p w14:paraId="3ACDF7FA">
      <w:pPr>
        <w:snapToGrid w:val="0"/>
        <w:spacing w:line="360" w:lineRule="auto"/>
        <w:ind w:firstLine="602" w:firstLineChars="250"/>
        <w:rPr>
          <w:rFonts w:ascii="宋体" w:hAnsi="宋体" w:cs="宋体"/>
          <w:color w:val="auto"/>
          <w:sz w:val="24"/>
        </w:rPr>
      </w:pPr>
      <w:r>
        <w:rPr>
          <w:rFonts w:hint="eastAsia" w:ascii="宋体" w:hAnsi="宋体" w:cs="宋体"/>
          <w:b/>
          <w:bCs/>
          <w:color w:val="auto"/>
          <w:sz w:val="24"/>
        </w:rPr>
        <w:t>5.房屋及设备设施日常养护和巡查维修</w:t>
      </w:r>
    </w:p>
    <w:p w14:paraId="0DAE3581">
      <w:pPr>
        <w:snapToGrid w:val="0"/>
        <w:spacing w:line="360" w:lineRule="auto"/>
        <w:rPr>
          <w:rFonts w:ascii="宋体" w:hAnsi="宋体" w:cs="宋体"/>
          <w:color w:val="auto"/>
        </w:rPr>
      </w:pPr>
      <w:r>
        <w:rPr>
          <w:rFonts w:hint="eastAsia" w:ascii="宋体" w:hAnsi="宋体" w:cs="宋体"/>
          <w:color w:val="auto"/>
          <w:sz w:val="24"/>
        </w:rPr>
        <w:t xml:space="preserve">    包含标项内所有房屋及相关设备设施的日常养护和巡查维修。不包括本项目范围内的房屋大中修以及因办公用房功能调整而进行的改造；包括公共区域灯、开关、水龙头、水管等小型设施维修，并负责零件采购安装（采购及维修费用需包含在投标总价中，由中标单位支付费用）。具体如下：</w:t>
      </w:r>
    </w:p>
    <w:p w14:paraId="0D9259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（1）大楼办公楼(区) 房屋地面、墙面、台面、吊顶、门窗、楼梯、通风道、卫生洁具、大厅大面积玻璃顶、外墙幕墙等完好无霉变破损，各类管道通畅无锈蚀、无滴漏，室内外标识标牌、室外栏杆、扶手及钢架完好无锈蚀，室外铺装及道路平整无坑洼、无破损等。</w:t>
      </w:r>
    </w:p>
    <w:p w14:paraId="4D2CC0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建筑物及附属设施按计划维修、维护，确保玻璃无破裂，五金配件完好，门窗开闭灵活、密封性好、无异常声响；粉刷无明显剥落开裂，墙面砖、地坪、地砖、地板平整不起壳、无遗缺，吊顶无污（水）渍、开缝和破损。</w:t>
      </w:r>
    </w:p>
    <w:p w14:paraId="5359E3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（3）屋面排水沟、室内室外排水管保障畅通；雨前及时巡查，排除隐患。发现过滤网及管道破损及时修复或更换。</w:t>
      </w:r>
    </w:p>
    <w:p w14:paraId="12337A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大楼设施设备做到安全运行和节能操作，发现故障立即报告并及时排除；水、电、卫浴设备、门锁及时修复；遇电路故障断电、水管爆裂、水龙头漏水、门锁开不了、门窗毁坏及墙面破损要及时修复；排水管、排污管要保持畅通，如有堵塞应立即疏通，厕所堵塞应当天疏通（需换厕盆的除外）；公共照明、水电设施每天检查一遍。</w:t>
      </w:r>
    </w:p>
    <w:p w14:paraId="5BA7DA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5）日常维修接到报修信息后，必须15分钟内赶到现场进行处理。若无能力修复，及时报告相关部门的有关人员及领导；配合专业单位进行保养及维修工作；工程综合维修人员日常工作除特定工作外，实行（每天）巡查维修制度；巡查内容包括配电设施、照明及供电设施、消防设施、通风设施、给排水设施、房屋及装修设施及其它公用设施。 </w:t>
      </w:r>
    </w:p>
    <w:p w14:paraId="4B2264BD">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（四）绿化</w:t>
      </w:r>
      <w:r>
        <w:rPr>
          <w:rFonts w:hint="eastAsia" w:asciiTheme="minorEastAsia" w:hAnsiTheme="minorEastAsia" w:eastAsiaTheme="minorEastAsia"/>
          <w:b/>
          <w:color w:val="auto"/>
          <w:sz w:val="24"/>
        </w:rPr>
        <w:t>养护</w:t>
      </w:r>
      <w:r>
        <w:rPr>
          <w:rFonts w:hint="eastAsia" w:ascii="宋体" w:hAnsi="宋体" w:cs="宋体"/>
          <w:b/>
          <w:bCs/>
          <w:color w:val="auto"/>
          <w:sz w:val="24"/>
        </w:rPr>
        <w:t>管理</w:t>
      </w:r>
    </w:p>
    <w:p w14:paraId="45C15FAF">
      <w:pPr>
        <w:spacing w:line="360" w:lineRule="auto"/>
        <w:ind w:firstLine="465" w:firstLineChars="194"/>
        <w:rPr>
          <w:rFonts w:asciiTheme="minorEastAsia" w:hAnsiTheme="minorEastAsia" w:eastAsiaTheme="minorEastAsia"/>
          <w:color w:val="auto"/>
          <w:sz w:val="24"/>
        </w:rPr>
      </w:pPr>
      <w:r>
        <w:rPr>
          <w:rFonts w:asciiTheme="minorEastAsia" w:hAnsiTheme="minorEastAsia" w:eastAsiaTheme="minorEastAsia"/>
          <w:color w:val="auto"/>
          <w:sz w:val="24"/>
        </w:rPr>
        <w:t>服务内容：采购人红线范围内的绿化带的树木、花草、色块等的日常养</w:t>
      </w:r>
      <w:r>
        <w:rPr>
          <w:rFonts w:hint="eastAsia" w:asciiTheme="minorEastAsia" w:hAnsiTheme="minorEastAsia" w:eastAsiaTheme="minorEastAsia"/>
          <w:color w:val="auto"/>
          <w:sz w:val="24"/>
        </w:rPr>
        <w:t>护和管理。根据服务区域内的实际情况结合其他类似物业项目的绿化摆放方案提出设计建议方案，做好室内公共区域绿化摆放和会议摆花等工作（包含租摆花卉等的采购，</w:t>
      </w:r>
      <w:r>
        <w:rPr>
          <w:rFonts w:hint="eastAsia" w:ascii="宋体" w:hAnsi="宋体" w:cs="宋体"/>
          <w:color w:val="auto"/>
          <w:sz w:val="24"/>
        </w:rPr>
        <w:t>费用需包含在投标总价中，由中标单位支付费用</w:t>
      </w:r>
      <w:r>
        <w:rPr>
          <w:rFonts w:hint="eastAsia" w:asciiTheme="minorEastAsia" w:hAnsiTheme="minorEastAsia" w:eastAsiaTheme="minorEastAsia"/>
          <w:color w:val="auto"/>
          <w:sz w:val="24"/>
        </w:rPr>
        <w:t>。</w:t>
      </w:r>
    </w:p>
    <w:p w14:paraId="45337FD0">
      <w:pPr>
        <w:spacing w:line="360" w:lineRule="auto"/>
        <w:ind w:firstLine="465" w:firstLineChars="194"/>
        <w:rPr>
          <w:rFonts w:asciiTheme="minorEastAsia" w:hAnsiTheme="minorEastAsia" w:eastAsiaTheme="minorEastAsia"/>
          <w:color w:val="auto"/>
          <w:sz w:val="24"/>
        </w:rPr>
      </w:pPr>
      <w:r>
        <w:rPr>
          <w:rFonts w:asciiTheme="minorEastAsia" w:hAnsiTheme="minorEastAsia" w:eastAsiaTheme="minorEastAsia"/>
          <w:color w:val="auto"/>
          <w:sz w:val="24"/>
        </w:rPr>
        <w:t>服务质量标准:建立定期除草、修剪制度，确保绿化无杂草、造型规整；及时喷洒农药、浇水施肥，确保绿化养护期内100%存活。具体要求如下：</w:t>
      </w:r>
    </w:p>
    <w:p w14:paraId="1365A7E3">
      <w:pPr>
        <w:spacing w:line="360" w:lineRule="auto"/>
        <w:ind w:firstLine="465" w:firstLineChars="194"/>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草坪。夏季高温时做好草坪的防晒降温工作，定期修割、浇水、施肥、灭虫、除杂草，保持常年翠绿、无杂草、无干枯坏死和病虫侵害。</w:t>
      </w:r>
    </w:p>
    <w:p w14:paraId="0DD34508">
      <w:pPr>
        <w:spacing w:line="360" w:lineRule="auto"/>
        <w:ind w:firstLine="465" w:firstLineChars="194"/>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树木和色块。定期植株修剪，做到枝叶紧密、圆整、无脱节、无枯枝。及时防治、灭治病虫害，主要病虫害发生率低于5%，无明显倾斜、缺枝、空档。重点做好辖区内果树的相关养护、病虫害防治等工作。</w:t>
      </w:r>
    </w:p>
    <w:p w14:paraId="22382577">
      <w:pPr>
        <w:spacing w:line="360" w:lineRule="auto"/>
        <w:ind w:firstLine="465" w:firstLineChars="194"/>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花坛和花景。及时清除枯萎的花蒂、黄叶、杂草、垃圾，做好病虫害防治。花坛和花景做到造型新颖、色彩鲜艳、植物长势好。</w:t>
      </w:r>
    </w:p>
    <w:p w14:paraId="5D8F1B82">
      <w:pPr>
        <w:spacing w:line="360" w:lineRule="auto"/>
        <w:ind w:firstLine="465" w:firstLineChars="194"/>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室内花木。做好养护工作，保持常年鲜艳，按采购人要求。</w:t>
      </w:r>
    </w:p>
    <w:p w14:paraId="330F2A15">
      <w:pPr>
        <w:spacing w:line="360" w:lineRule="auto"/>
        <w:ind w:firstLine="465" w:firstLineChars="194"/>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做好规划红线范围内名贵树种的养护工作，做到在一个物业服务合同周期内不枯、不病、不死。</w:t>
      </w:r>
    </w:p>
    <w:p w14:paraId="735A4BB2">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6、根据采购人对</w:t>
      </w:r>
      <w:r>
        <w:rPr>
          <w:rFonts w:asciiTheme="minorEastAsia" w:hAnsiTheme="minorEastAsia" w:eastAsiaTheme="minorEastAsia"/>
          <w:color w:val="auto"/>
          <w:sz w:val="24"/>
        </w:rPr>
        <w:t>室内绿化摆放的监督管理、协调，以及专业绿化单位配合，做好室内植物叶面卫生清洁和地面卫生的维护。</w:t>
      </w:r>
    </w:p>
    <w:p w14:paraId="5C5D86E3">
      <w:pPr>
        <w:rPr>
          <w:color w:val="auto"/>
        </w:rPr>
      </w:pPr>
    </w:p>
    <w:p w14:paraId="19D10402">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（五）会议服务</w:t>
      </w:r>
    </w:p>
    <w:p w14:paraId="2758C2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包括墙面、地面清洁；杯子清洗消毒（每次消毒时间为60分钟）；桌椅清洁、摆放整齐等。</w:t>
      </w:r>
    </w:p>
    <w:p w14:paraId="321598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按会议的具体情况及要求做相应服务，提前到场准备，做好会场布置；根据需要做好会场巡查，及时补充茶水、物品等；会务活动服务人员应做好会议相应的保密工作，不得随意提供或透露会议重要信息；每次会议结束30分钟后，及时清理现场恢复原状，收集桌签并存放妥当，关闭所有用电设备和门窗；开会人员遗留的物品及时保管等失主来领，当天内未来领取，上交物业办公室妥善保管，上报甲方主管部门。</w:t>
      </w:r>
    </w:p>
    <w:p w14:paraId="37CACB1A">
      <w:pPr>
        <w:spacing w:line="360" w:lineRule="auto"/>
        <w:ind w:firstLine="602" w:firstLineChars="250"/>
        <w:rPr>
          <w:rFonts w:ascii="宋体" w:hAnsi="宋体" w:cs="宋体"/>
          <w:b/>
          <w:bCs/>
          <w:color w:val="auto"/>
          <w:sz w:val="24"/>
        </w:rPr>
      </w:pPr>
      <w:r>
        <w:rPr>
          <w:rFonts w:hint="eastAsia" w:ascii="仿宋_GB2312" w:hAnsi="仿宋_GB2312" w:eastAsia="仿宋_GB2312" w:cs="仿宋_GB2312"/>
          <w:b/>
          <w:color w:val="auto"/>
          <w:sz w:val="24"/>
        </w:rPr>
        <w:t>（</w:t>
      </w:r>
      <w:r>
        <w:rPr>
          <w:rFonts w:hint="eastAsia" w:ascii="宋体" w:hAnsi="宋体" w:cs="宋体"/>
          <w:b/>
          <w:bCs/>
          <w:color w:val="auto"/>
          <w:sz w:val="24"/>
        </w:rPr>
        <w:t>六）空调维护</w:t>
      </w:r>
    </w:p>
    <w:p w14:paraId="194FB7FE">
      <w:pPr>
        <w:spacing w:line="360" w:lineRule="auto"/>
        <w:ind w:firstLine="480" w:firstLineChars="200"/>
        <w:rPr>
          <w:rFonts w:ascii="宋体" w:hAnsi="宋体" w:cs="宋体"/>
          <w:color w:val="auto"/>
          <w:sz w:val="24"/>
        </w:rPr>
      </w:pPr>
      <w:r>
        <w:rPr>
          <w:rFonts w:hint="eastAsia" w:ascii="宋体" w:hAnsi="宋体" w:cs="宋体"/>
          <w:color w:val="auto"/>
          <w:sz w:val="24"/>
        </w:rPr>
        <w:t>1、概况：全单位（包括白石巷、犬类收容中心、过渡期间现代置业大厦西楼）的办公楼约100台以上的空调进行维护保养（具体数量由中标人自行测算）；空调类型主要有多联机，分体挂机、立式柜机、吸顶式中央空调等；空调功率有1匹机、1.5匹机、2匹机、3匹机、5匹机等；空调品牌有格力、美的等；空调使用时间有的1—10年不等；以现场察看为准。</w:t>
      </w:r>
    </w:p>
    <w:p w14:paraId="201F7F26">
      <w:pPr>
        <w:spacing w:line="360" w:lineRule="auto"/>
        <w:ind w:firstLine="480" w:firstLineChars="200"/>
        <w:rPr>
          <w:rFonts w:ascii="宋体" w:hAnsi="宋体" w:cs="宋体"/>
          <w:color w:val="auto"/>
          <w:sz w:val="24"/>
        </w:rPr>
      </w:pPr>
      <w:r>
        <w:rPr>
          <w:rFonts w:hint="eastAsia" w:ascii="宋体" w:hAnsi="宋体" w:cs="宋体"/>
          <w:color w:val="auto"/>
          <w:sz w:val="24"/>
        </w:rPr>
        <w:t>2、内容：空调系统维护服务项目空调主机（外机）维护、室内机维护、管道系统维护、各种阀类、控制系统等维护。</w:t>
      </w:r>
    </w:p>
    <w:p w14:paraId="6AC3E927">
      <w:pPr>
        <w:spacing w:line="360" w:lineRule="auto"/>
        <w:ind w:firstLine="600" w:firstLineChars="250"/>
        <w:rPr>
          <w:rFonts w:ascii="宋体" w:hAnsi="宋体" w:cs="宋体"/>
          <w:color w:val="auto"/>
          <w:sz w:val="24"/>
        </w:rPr>
      </w:pPr>
      <w:r>
        <w:rPr>
          <w:rFonts w:hint="eastAsia" w:ascii="宋体" w:hAnsi="宋体" w:cs="宋体"/>
          <w:color w:val="auto"/>
          <w:sz w:val="24"/>
        </w:rPr>
        <w:t>3、基本要求：空调系统维护及配件更新，要有相应资质的专业单位负责。维护单位最终需报采购人审核通过。</w:t>
      </w:r>
    </w:p>
    <w:p w14:paraId="46AE647D">
      <w:pPr>
        <w:spacing w:line="360" w:lineRule="auto"/>
        <w:ind w:firstLine="480" w:firstLineChars="200"/>
        <w:rPr>
          <w:rFonts w:ascii="宋体" w:hAnsi="宋体" w:cs="宋体"/>
          <w:color w:val="auto"/>
          <w:sz w:val="24"/>
        </w:rPr>
      </w:pPr>
      <w:r>
        <w:rPr>
          <w:rFonts w:hint="eastAsia" w:ascii="宋体" w:hAnsi="宋体" w:cs="宋体"/>
          <w:color w:val="auto"/>
          <w:sz w:val="24"/>
        </w:rPr>
        <w:t>（1）定期（一月一次）对空调系统进行检修保养，保证运行正常，无漏水现象。每年6月、11月对室内机各进行一次清洗消毒；</w:t>
      </w:r>
    </w:p>
    <w:p w14:paraId="78E84E4A">
      <w:pPr>
        <w:spacing w:line="360" w:lineRule="auto"/>
        <w:ind w:firstLine="360" w:firstLineChars="150"/>
        <w:rPr>
          <w:rFonts w:ascii="宋体" w:hAnsi="宋体" w:cs="宋体"/>
          <w:color w:val="auto"/>
          <w:sz w:val="24"/>
        </w:rPr>
      </w:pPr>
      <w:r>
        <w:rPr>
          <w:rFonts w:hint="eastAsia" w:ascii="宋体" w:hAnsi="宋体" w:cs="宋体"/>
          <w:color w:val="auto"/>
          <w:sz w:val="24"/>
        </w:rPr>
        <w:t>（2）保障6月至9月的制冷运行，室内温度维持在26度；保障11月至次年3月的换热运行，室内温度不低于16摄氏度；</w:t>
      </w:r>
    </w:p>
    <w:p w14:paraId="5D86F634">
      <w:pPr>
        <w:spacing w:line="360" w:lineRule="auto"/>
        <w:ind w:firstLine="360" w:firstLineChars="150"/>
        <w:rPr>
          <w:rFonts w:ascii="宋体" w:hAnsi="宋体" w:cs="宋体"/>
          <w:color w:val="auto"/>
          <w:sz w:val="24"/>
        </w:rPr>
      </w:pPr>
      <w:r>
        <w:rPr>
          <w:rFonts w:hint="eastAsia" w:ascii="宋体" w:hAnsi="宋体" w:cs="宋体"/>
          <w:color w:val="auto"/>
          <w:sz w:val="24"/>
        </w:rPr>
        <w:t>（3）四月室内机检修、调试；十月保养全部制冷制热设备；</w:t>
      </w:r>
    </w:p>
    <w:p w14:paraId="2E67F5CF">
      <w:pPr>
        <w:spacing w:line="360" w:lineRule="auto"/>
        <w:ind w:firstLine="360" w:firstLineChars="150"/>
        <w:rPr>
          <w:rFonts w:ascii="宋体" w:hAnsi="宋体" w:cs="宋体"/>
          <w:color w:val="auto"/>
          <w:sz w:val="24"/>
        </w:rPr>
      </w:pPr>
      <w:r>
        <w:rPr>
          <w:rFonts w:hint="eastAsia" w:ascii="宋体" w:hAnsi="宋体" w:cs="宋体"/>
          <w:color w:val="auto"/>
          <w:sz w:val="24"/>
        </w:rPr>
        <w:t>（4）空调系统出现故障后，维修人员在60分钟内到达现场维修，小修及时处理，中修、大修及时联系厂家技术人员并协助维修；维修及时率100%；有故障应急处理方案。</w:t>
      </w:r>
    </w:p>
    <w:p w14:paraId="4DBA3C80">
      <w:pPr>
        <w:spacing w:line="360" w:lineRule="auto"/>
        <w:ind w:firstLine="360" w:firstLineChars="150"/>
        <w:rPr>
          <w:rFonts w:ascii="宋体" w:hAnsi="宋体" w:cs="宋体"/>
          <w:color w:val="auto"/>
          <w:sz w:val="24"/>
        </w:rPr>
      </w:pPr>
      <w:r>
        <w:rPr>
          <w:rFonts w:hint="eastAsia" w:ascii="宋体" w:hAnsi="宋体" w:cs="宋体"/>
          <w:color w:val="auto"/>
          <w:sz w:val="24"/>
        </w:rPr>
        <w:t>（5）报价时，需含维修空调更换的配件（包括主件，压缩机，主板）；</w:t>
      </w:r>
    </w:p>
    <w:p w14:paraId="3D6D2985">
      <w:pPr>
        <w:spacing w:line="360" w:lineRule="auto"/>
        <w:ind w:firstLine="360" w:firstLineChars="150"/>
        <w:rPr>
          <w:rFonts w:ascii="宋体" w:hAnsi="宋体" w:cs="宋体"/>
          <w:color w:val="auto"/>
          <w:sz w:val="24"/>
        </w:rPr>
      </w:pPr>
      <w:r>
        <w:rPr>
          <w:rFonts w:hint="eastAsia" w:ascii="宋体" w:hAnsi="宋体" w:cs="宋体"/>
          <w:color w:val="auto"/>
          <w:sz w:val="24"/>
        </w:rPr>
        <w:t>（6）采购人所有的空调维护保养费及配件费用，由投标单位自行考虑，产生的费用需包含在投标总报价中。</w:t>
      </w:r>
    </w:p>
    <w:p w14:paraId="39C3D934">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（七）其他要求</w:t>
      </w:r>
    </w:p>
    <w:p w14:paraId="34E800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1.物品搬运等临时性工作，协助搞好采购人委托的临时应急工作服务：如办公室调整、办公物品搬迁、废旧物品资料销毁等工作。</w:t>
      </w:r>
    </w:p>
    <w:p w14:paraId="43DEC8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2.建立服务热线交办工作的处理机制，对分解落实的工作进行登记、报告、交办、催办、回访以及反馈等。</w:t>
      </w:r>
    </w:p>
    <w:p w14:paraId="11C94B32">
      <w:pPr>
        <w:keepNext/>
        <w:keepLines/>
        <w:tabs>
          <w:tab w:val="left" w:pos="432"/>
        </w:tabs>
        <w:adjustRightInd/>
        <w:spacing w:line="360" w:lineRule="auto"/>
        <w:ind w:hanging="432"/>
        <w:outlineLvl w:val="1"/>
        <w:rPr>
          <w:rFonts w:ascii="宋体" w:hAnsi="宋体" w:cs="宋体"/>
          <w:color w:val="auto"/>
          <w:sz w:val="24"/>
        </w:rPr>
      </w:pPr>
      <w:r>
        <w:rPr>
          <w:rFonts w:hint="eastAsia" w:ascii="宋体" w:hAnsi="宋体" w:cs="宋体"/>
          <w:color w:val="auto"/>
          <w:sz w:val="24"/>
        </w:rPr>
        <w:t xml:space="preserve">       3.对管理采购人发现的各类问题及时落实整改。</w:t>
      </w:r>
    </w:p>
    <w:p w14:paraId="56453A91">
      <w:pPr>
        <w:keepNext/>
        <w:keepLines/>
        <w:tabs>
          <w:tab w:val="left" w:pos="432"/>
        </w:tabs>
        <w:adjustRightInd/>
        <w:spacing w:line="360" w:lineRule="auto"/>
        <w:ind w:hanging="432"/>
        <w:outlineLvl w:val="1"/>
        <w:rPr>
          <w:rFonts w:ascii="宋体" w:hAnsi="宋体" w:cs="宋体"/>
          <w:color w:val="auto"/>
          <w:sz w:val="24"/>
        </w:rPr>
      </w:pPr>
      <w:r>
        <w:rPr>
          <w:rFonts w:hint="eastAsia" w:ascii="宋体" w:hAnsi="宋体" w:cs="宋体"/>
          <w:color w:val="auto"/>
          <w:sz w:val="24"/>
        </w:rPr>
        <w:t xml:space="preserve">       4.服务不断岗。建立完善的人员管理制度、工作纪律（含请销假），确保工</w:t>
      </w:r>
    </w:p>
    <w:p w14:paraId="6C2C23F3">
      <w:pPr>
        <w:keepNext/>
        <w:keepLines/>
        <w:tabs>
          <w:tab w:val="left" w:pos="432"/>
        </w:tabs>
        <w:adjustRightInd/>
        <w:spacing w:line="360" w:lineRule="auto"/>
        <w:ind w:hanging="432"/>
        <w:outlineLvl w:val="1"/>
        <w:rPr>
          <w:rFonts w:ascii="宋体" w:hAnsi="宋体" w:cs="宋体"/>
          <w:color w:val="auto"/>
          <w:sz w:val="24"/>
        </w:rPr>
      </w:pPr>
      <w:r>
        <w:rPr>
          <w:rFonts w:hint="eastAsia" w:ascii="宋体" w:hAnsi="宋体" w:cs="宋体"/>
          <w:color w:val="auto"/>
          <w:sz w:val="24"/>
        </w:rPr>
        <w:t xml:space="preserve">   作时间到岗人数不少于配置数。</w:t>
      </w:r>
    </w:p>
    <w:p w14:paraId="19E9271A">
      <w:pPr>
        <w:rPr>
          <w:color w:val="auto"/>
        </w:rPr>
      </w:pPr>
    </w:p>
    <w:p w14:paraId="46336F2D">
      <w:pPr>
        <w:keepNext/>
        <w:keepLines/>
        <w:tabs>
          <w:tab w:val="left" w:pos="432"/>
        </w:tabs>
        <w:adjustRightInd/>
        <w:spacing w:line="560" w:lineRule="exact"/>
        <w:ind w:hanging="432"/>
        <w:outlineLvl w:val="1"/>
        <w:rPr>
          <w:rFonts w:ascii="黑体" w:hAnsi="黑体" w:eastAsia="黑体" w:cs="黑体"/>
          <w:b/>
          <w:bCs/>
          <w:snapToGrid w:val="0"/>
          <w:color w:val="auto"/>
          <w:kern w:val="0"/>
          <w:sz w:val="24"/>
          <w:lang w:val="zh-CN"/>
        </w:rPr>
      </w:pPr>
      <w:r>
        <w:rPr>
          <w:rFonts w:hint="eastAsia" w:ascii="黑体" w:hAnsi="黑体" w:eastAsia="黑体" w:cs="黑体"/>
          <w:b/>
          <w:bCs/>
          <w:color w:val="auto"/>
          <w:sz w:val="28"/>
          <w:szCs w:val="28"/>
          <w:lang w:val="zh-CN"/>
        </w:rPr>
        <w:t>四、</w:t>
      </w:r>
      <w:r>
        <w:rPr>
          <w:rFonts w:hint="eastAsia" w:ascii="黑体" w:hAnsi="黑体" w:eastAsia="黑体" w:cs="黑体"/>
          <w:b/>
          <w:bCs/>
          <w:snapToGrid w:val="0"/>
          <w:color w:val="auto"/>
          <w:kern w:val="0"/>
          <w:sz w:val="28"/>
          <w:szCs w:val="28"/>
          <w:lang w:val="zh-CN"/>
        </w:rPr>
        <w:t>供应商的人员配置</w:t>
      </w:r>
    </w:p>
    <w:p w14:paraId="2275A26F">
      <w:pPr>
        <w:snapToGrid w:val="0"/>
        <w:spacing w:line="560" w:lineRule="exact"/>
        <w:ind w:firstLine="482" w:firstLineChars="200"/>
        <w:rPr>
          <w:rFonts w:ascii="宋体" w:hAnsi="宋体" w:cs="宋体"/>
          <w:b/>
          <w:snapToGrid w:val="0"/>
          <w:color w:val="auto"/>
          <w:kern w:val="0"/>
          <w:sz w:val="24"/>
        </w:rPr>
      </w:pPr>
      <w:r>
        <w:rPr>
          <w:rFonts w:hint="eastAsia" w:ascii="宋体" w:hAnsi="宋体" w:cs="宋体"/>
          <w:b/>
          <w:snapToGrid w:val="0"/>
          <w:color w:val="auto"/>
          <w:kern w:val="0"/>
          <w:sz w:val="24"/>
        </w:rPr>
        <w:t>（一）人员配置数量</w:t>
      </w:r>
    </w:p>
    <w:p w14:paraId="3671ADE1">
      <w:pPr>
        <w:autoSpaceDE w:val="0"/>
        <w:autoSpaceDN w:val="0"/>
        <w:spacing w:line="560" w:lineRule="exact"/>
        <w:ind w:firstLine="482" w:firstLineChars="200"/>
        <w:rPr>
          <w:rFonts w:ascii="宋体" w:hAnsi="宋体" w:cs="宋体"/>
          <w:b/>
          <w:snapToGrid w:val="0"/>
          <w:color w:val="auto"/>
          <w:kern w:val="0"/>
          <w:sz w:val="24"/>
        </w:rPr>
      </w:pPr>
      <w:r>
        <w:rPr>
          <w:rFonts w:hint="eastAsia" w:ascii="宋体" w:hAnsi="宋体" w:cs="宋体"/>
          <w:b/>
          <w:snapToGrid w:val="0"/>
          <w:color w:val="auto"/>
          <w:kern w:val="0"/>
          <w:sz w:val="24"/>
        </w:rPr>
        <w:t>▲物业服务经理1人、安保人员</w:t>
      </w:r>
      <w:r>
        <w:rPr>
          <w:rFonts w:hint="eastAsia" w:ascii="宋体" w:hAnsi="宋体" w:cs="宋体"/>
          <w:b/>
          <w:color w:val="auto"/>
          <w:sz w:val="24"/>
        </w:rPr>
        <w:t>不少于</w:t>
      </w:r>
      <w:r>
        <w:rPr>
          <w:rFonts w:hint="eastAsia" w:ascii="宋体" w:hAnsi="宋体" w:cs="宋体"/>
          <w:b/>
          <w:snapToGrid w:val="0"/>
          <w:color w:val="auto"/>
          <w:kern w:val="0"/>
          <w:sz w:val="24"/>
        </w:rPr>
        <w:t>15人(包含消控人员3名及2名犬类秩序员)、环卫保洁人员不少于8人、维保人员不少于2人、绿化维护人员不少于1 人、会议服务人员不少于1人，投标时提供《人员配置清单》。</w:t>
      </w:r>
    </w:p>
    <w:p w14:paraId="7B6EB72B">
      <w:pPr>
        <w:snapToGrid w:val="0"/>
        <w:spacing w:line="560" w:lineRule="exact"/>
        <w:ind w:firstLine="480" w:firstLineChars="200"/>
        <w:rPr>
          <w:rFonts w:ascii="宋体" w:hAnsi="宋体" w:cs="宋体"/>
          <w:color w:val="auto"/>
          <w:sz w:val="24"/>
        </w:rPr>
      </w:pPr>
      <w:r>
        <w:rPr>
          <w:rFonts w:hint="eastAsia" w:ascii="宋体" w:hAnsi="宋体" w:cs="宋体"/>
          <w:color w:val="auto"/>
          <w:sz w:val="24"/>
        </w:rPr>
        <w:t>注：</w:t>
      </w:r>
      <w:r>
        <w:rPr>
          <w:rFonts w:hint="eastAsia" w:ascii="宋体" w:hAnsi="宋体" w:cs="宋体"/>
          <w:bCs/>
          <w:color w:val="auto"/>
          <w:sz w:val="24"/>
          <w:szCs w:val="20"/>
        </w:rPr>
        <w:t>搬迁过渡期间，</w:t>
      </w:r>
      <w:r>
        <w:rPr>
          <w:rFonts w:hint="eastAsia" w:ascii="宋体" w:hAnsi="宋体" w:cs="宋体"/>
          <w:color w:val="auto"/>
          <w:sz w:val="24"/>
        </w:rPr>
        <w:t>物业服务经理1人、安保人员不少于13人(包含消控人员3名及2名犬类秩序员)、环卫保洁人员不少于8人、维保人员不少于2人、绿化维护人员不少于1 人。</w:t>
      </w:r>
    </w:p>
    <w:p w14:paraId="792E00EC">
      <w:pPr>
        <w:snapToGrid w:val="0"/>
        <w:spacing w:line="560" w:lineRule="exact"/>
        <w:ind w:firstLine="482" w:firstLineChars="200"/>
        <w:rPr>
          <w:rFonts w:ascii="宋体" w:hAnsi="宋体" w:cs="宋体"/>
          <w:b/>
          <w:color w:val="auto"/>
          <w:kern w:val="0"/>
          <w:sz w:val="24"/>
        </w:rPr>
      </w:pPr>
      <w:r>
        <w:rPr>
          <w:rFonts w:hint="eastAsia" w:ascii="宋体" w:hAnsi="宋体" w:cs="宋体"/>
          <w:b/>
          <w:snapToGrid w:val="0"/>
          <w:color w:val="auto"/>
          <w:kern w:val="0"/>
          <w:sz w:val="24"/>
        </w:rPr>
        <w:t>（二）人员上岗要求</w:t>
      </w:r>
    </w:p>
    <w:p w14:paraId="314A16E2">
      <w:pPr>
        <w:snapToGrid w:val="0"/>
        <w:spacing w:line="560" w:lineRule="exact"/>
        <w:ind w:firstLine="480" w:firstLineChars="200"/>
        <w:rPr>
          <w:rFonts w:ascii="宋体" w:hAnsi="宋体" w:cs="宋体"/>
          <w:color w:val="auto"/>
          <w:sz w:val="24"/>
        </w:rPr>
      </w:pPr>
      <w:r>
        <w:rPr>
          <w:rFonts w:hint="eastAsia" w:hAnsi="宋体" w:cs="宋体"/>
          <w:color w:val="auto"/>
          <w:sz w:val="24"/>
        </w:rPr>
        <w:t>1.</w:t>
      </w:r>
      <w:r>
        <w:rPr>
          <w:rFonts w:hint="eastAsia" w:ascii="宋体" w:hAnsi="宋体" w:cs="宋体"/>
          <w:color w:val="auto"/>
          <w:sz w:val="24"/>
        </w:rPr>
        <w:t>所有人员均需为中标人本单位签订正式劳动合同、缴纳社保的工作人员；无犯罪记录；有医院提供的健康证（截止投标时间一年以内）。</w:t>
      </w:r>
    </w:p>
    <w:p w14:paraId="52214786">
      <w:pPr>
        <w:snapToGrid w:val="0"/>
        <w:spacing w:line="560" w:lineRule="exact"/>
        <w:ind w:firstLine="480" w:firstLineChars="200"/>
        <w:rPr>
          <w:rFonts w:ascii="宋体" w:hAnsi="宋体" w:cs="宋体"/>
          <w:color w:val="auto"/>
          <w:sz w:val="24"/>
        </w:rPr>
      </w:pPr>
      <w:r>
        <w:rPr>
          <w:rFonts w:hint="eastAsia" w:ascii="宋体" w:hAnsi="宋体" w:cs="宋体"/>
          <w:color w:val="auto"/>
          <w:sz w:val="24"/>
        </w:rPr>
        <w:t>2.上岗时佩戴统一标志，按需求穿戴统一制服，仪容仪表规范整齐，当值时坐姿挺直，站岗时不倚不靠；态度热情，礼貌待客；表情自然，语言得体；严格查验，认真负责，发现问题及时上报。</w:t>
      </w:r>
    </w:p>
    <w:p w14:paraId="5CAB3881">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    3.特殊岗位人员须获得相关主管部门认证并持证上岗。</w:t>
      </w:r>
    </w:p>
    <w:p w14:paraId="2CFD65F0">
      <w:pPr>
        <w:snapToGrid w:val="0"/>
        <w:spacing w:line="560" w:lineRule="exact"/>
        <w:ind w:firstLine="480" w:firstLineChars="200"/>
        <w:rPr>
          <w:rFonts w:ascii="宋体" w:hAnsi="宋体" w:cs="宋体"/>
          <w:color w:val="auto"/>
          <w:sz w:val="24"/>
        </w:rPr>
      </w:pPr>
      <w:r>
        <w:rPr>
          <w:rFonts w:hint="eastAsia" w:ascii="宋体" w:hAnsi="宋体" w:cs="宋体"/>
          <w:color w:val="auto"/>
          <w:sz w:val="24"/>
        </w:rPr>
        <w:t>4.采购人有权要求中标人更换不合格人员。</w:t>
      </w:r>
    </w:p>
    <w:p w14:paraId="44A3D2CB">
      <w:pPr>
        <w:snapToGrid w:val="0"/>
        <w:spacing w:line="560" w:lineRule="exact"/>
        <w:rPr>
          <w:rFonts w:ascii="宋体" w:hAnsi="宋体" w:cs="宋体"/>
          <w:b/>
          <w:snapToGrid w:val="0"/>
          <w:color w:val="auto"/>
          <w:kern w:val="0"/>
          <w:sz w:val="24"/>
        </w:rPr>
      </w:pPr>
      <w:r>
        <w:rPr>
          <w:rFonts w:hint="eastAsia" w:ascii="宋体" w:hAnsi="宋体" w:cs="宋体"/>
          <w:b/>
          <w:snapToGrid w:val="0"/>
          <w:color w:val="auto"/>
          <w:kern w:val="0"/>
          <w:sz w:val="24"/>
        </w:rPr>
        <w:t xml:space="preserve">   （三）人员资质要求</w:t>
      </w:r>
    </w:p>
    <w:p w14:paraId="5F73B3F5">
      <w:pPr>
        <w:autoSpaceDE w:val="0"/>
        <w:autoSpaceDN w:val="0"/>
        <w:spacing w:line="560" w:lineRule="exact"/>
        <w:rPr>
          <w:rFonts w:ascii="宋体" w:hAnsi="Arial" w:cs="Arial"/>
          <w:snapToGrid w:val="0"/>
          <w:color w:val="auto"/>
          <w:sz w:val="24"/>
          <w:szCs w:val="21"/>
        </w:rPr>
      </w:pPr>
      <w:r>
        <w:rPr>
          <w:rFonts w:hint="eastAsia" w:ascii="宋体" w:hAnsi="宋体" w:cs="宋体"/>
          <w:bCs/>
          <w:color w:val="auto"/>
          <w:sz w:val="24"/>
        </w:rPr>
        <w:t xml:space="preserve">     </w:t>
      </w:r>
      <w:r>
        <w:rPr>
          <w:rFonts w:hint="eastAsia" w:ascii="宋体" w:hAnsi="宋体" w:cs="宋体"/>
          <w:b/>
          <w:snapToGrid w:val="0"/>
          <w:color w:val="auto"/>
          <w:kern w:val="0"/>
          <w:sz w:val="24"/>
          <w:szCs w:val="21"/>
          <w:lang w:val="zh-CN"/>
        </w:rPr>
        <w:t>▲</w:t>
      </w:r>
      <w:r>
        <w:rPr>
          <w:rFonts w:hint="eastAsia" w:ascii="宋体" w:hAnsi="Arial" w:cs="Arial"/>
          <w:snapToGrid w:val="0"/>
          <w:color w:val="auto"/>
          <w:sz w:val="24"/>
          <w:szCs w:val="21"/>
        </w:rPr>
        <w:t xml:space="preserve"> 1.消</w:t>
      </w:r>
      <w:r>
        <w:rPr>
          <w:rFonts w:hint="eastAsia" w:ascii="宋体" w:hAnsi="宋体" w:cs="宋体"/>
          <w:snapToGrid w:val="0"/>
          <w:color w:val="auto"/>
          <w:sz w:val="24"/>
        </w:rPr>
        <w:t>监控人员要求：所有消控人</w:t>
      </w:r>
      <w:r>
        <w:rPr>
          <w:rFonts w:hint="eastAsia" w:ascii="宋体" w:hAnsi="Arial" w:cs="Arial"/>
          <w:snapToGrid w:val="0"/>
          <w:color w:val="auto"/>
          <w:sz w:val="24"/>
          <w:szCs w:val="21"/>
        </w:rPr>
        <w:t>须持有《消控证》，投标时提供证书复印件或承诺，承诺格式自拟，否则投标无效。</w:t>
      </w:r>
    </w:p>
    <w:p w14:paraId="45F679CD">
      <w:pPr>
        <w:autoSpaceDE w:val="0"/>
        <w:autoSpaceDN w:val="0"/>
        <w:spacing w:line="560" w:lineRule="exact"/>
        <w:ind w:firstLine="482" w:firstLineChars="200"/>
        <w:rPr>
          <w:rFonts w:ascii="宋体" w:hAnsi="Arial" w:cs="Arial"/>
          <w:snapToGrid w:val="0"/>
          <w:color w:val="auto"/>
          <w:sz w:val="24"/>
          <w:szCs w:val="21"/>
        </w:rPr>
      </w:pPr>
      <w:r>
        <w:rPr>
          <w:rFonts w:hint="eastAsia" w:ascii="宋体" w:hAnsi="宋体" w:cs="宋体"/>
          <w:b/>
          <w:snapToGrid w:val="0"/>
          <w:color w:val="auto"/>
          <w:kern w:val="0"/>
          <w:sz w:val="24"/>
          <w:szCs w:val="21"/>
          <w:lang w:val="zh-CN"/>
        </w:rPr>
        <w:t>▲</w:t>
      </w:r>
      <w:r>
        <w:rPr>
          <w:rFonts w:hint="eastAsia" w:ascii="宋体" w:hAnsi="Arial" w:cs="Arial"/>
          <w:snapToGrid w:val="0"/>
          <w:color w:val="auto"/>
          <w:sz w:val="24"/>
          <w:szCs w:val="21"/>
        </w:rPr>
        <w:t xml:space="preserve"> 2.维保人员要求：每一个维保人员须持有《低压电工作业证》及《高压电工作业证》，投标时提供证书复印件或承诺，承诺格式自拟，否则投标无效。</w:t>
      </w:r>
    </w:p>
    <w:p w14:paraId="1B04DAAA">
      <w:pPr>
        <w:widowControl/>
        <w:ind w:firstLine="720" w:firstLineChars="300"/>
        <w:jc w:val="left"/>
        <w:rPr>
          <w:rFonts w:ascii="宋体" w:hAnsi="宋体" w:cs="宋体"/>
          <w:bCs/>
          <w:color w:val="auto"/>
          <w:sz w:val="24"/>
        </w:rPr>
      </w:pPr>
    </w:p>
    <w:p w14:paraId="459FBF66">
      <w:pPr>
        <w:spacing w:line="360" w:lineRule="auto"/>
        <w:ind w:firstLine="480" w:firstLineChars="200"/>
        <w:rPr>
          <w:rFonts w:ascii="宋体" w:hAnsi="宋体" w:cs="宋体"/>
          <w:color w:val="auto"/>
          <w:sz w:val="24"/>
        </w:rPr>
      </w:pPr>
      <w:r>
        <w:rPr>
          <w:rFonts w:hint="eastAsia" w:ascii="宋体" w:hAnsi="宋体" w:cs="宋体"/>
          <w:color w:val="auto"/>
          <w:sz w:val="24"/>
        </w:rPr>
        <w:t>其它：招标文件第四部分评分办法中评审因素相应的其它要求及第五部分采购合同中相应的其他要求。</w:t>
      </w:r>
    </w:p>
    <w:p w14:paraId="224A4237">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08096"/>
      <w:bookmarkEnd w:id="28"/>
      <w:bookmarkStart w:id="29" w:name="_Toc184312081"/>
      <w:bookmarkEnd w:id="29"/>
      <w:bookmarkStart w:id="30" w:name="_Toc184313270"/>
      <w:bookmarkEnd w:id="30"/>
      <w:bookmarkStart w:id="31" w:name="_Toc184308045"/>
      <w:bookmarkEnd w:id="31"/>
      <w:bookmarkStart w:id="32" w:name="_Toc184312076"/>
      <w:bookmarkEnd w:id="32"/>
      <w:bookmarkStart w:id="33" w:name="_Toc184310316"/>
      <w:bookmarkEnd w:id="33"/>
      <w:bookmarkStart w:id="34" w:name="_Toc184308048"/>
      <w:bookmarkEnd w:id="34"/>
      <w:bookmarkStart w:id="35" w:name="_Toc184313245"/>
      <w:bookmarkEnd w:id="35"/>
      <w:bookmarkStart w:id="36" w:name="_Toc184313246"/>
      <w:bookmarkEnd w:id="36"/>
      <w:bookmarkStart w:id="37" w:name="_Toc184313296"/>
      <w:bookmarkEnd w:id="37"/>
      <w:bookmarkStart w:id="38" w:name="_Toc184312132"/>
      <w:bookmarkEnd w:id="38"/>
      <w:bookmarkStart w:id="39" w:name="_Toc184308039"/>
      <w:bookmarkEnd w:id="39"/>
      <w:bookmarkStart w:id="40" w:name="_Toc184308057"/>
      <w:bookmarkEnd w:id="40"/>
      <w:bookmarkStart w:id="41" w:name="_Toc184308060"/>
      <w:bookmarkEnd w:id="41"/>
      <w:bookmarkStart w:id="42" w:name="_Toc184313268"/>
      <w:bookmarkEnd w:id="42"/>
      <w:bookmarkStart w:id="43" w:name="_Toc184310303"/>
      <w:bookmarkEnd w:id="43"/>
      <w:bookmarkStart w:id="44" w:name="_Toc184313265"/>
      <w:bookmarkEnd w:id="44"/>
      <w:bookmarkStart w:id="45" w:name="_Toc184314458"/>
      <w:bookmarkEnd w:id="45"/>
      <w:bookmarkStart w:id="46" w:name="_Toc184314474"/>
      <w:bookmarkEnd w:id="46"/>
      <w:bookmarkStart w:id="47" w:name="_Toc184314415"/>
      <w:bookmarkEnd w:id="47"/>
      <w:bookmarkStart w:id="48" w:name="_Toc184310296"/>
      <w:bookmarkEnd w:id="48"/>
      <w:bookmarkStart w:id="49" w:name="_Toc184313290"/>
      <w:bookmarkEnd w:id="49"/>
      <w:bookmarkStart w:id="50" w:name="_Toc184312109"/>
      <w:bookmarkEnd w:id="50"/>
      <w:bookmarkStart w:id="51" w:name="_Toc184313286"/>
      <w:bookmarkEnd w:id="51"/>
      <w:bookmarkStart w:id="52" w:name="_Toc184313299"/>
      <w:bookmarkEnd w:id="52"/>
      <w:bookmarkStart w:id="53" w:name="_Toc184314421"/>
      <w:bookmarkEnd w:id="53"/>
      <w:bookmarkStart w:id="54" w:name="_Toc184313307"/>
      <w:bookmarkEnd w:id="54"/>
      <w:bookmarkStart w:id="55" w:name="_Toc184313250"/>
      <w:bookmarkEnd w:id="55"/>
      <w:bookmarkStart w:id="56" w:name="_Toc184308075"/>
      <w:bookmarkEnd w:id="56"/>
      <w:bookmarkStart w:id="57" w:name="_Toc184314464"/>
      <w:bookmarkEnd w:id="57"/>
      <w:bookmarkStart w:id="58" w:name="_Toc184308051"/>
      <w:bookmarkEnd w:id="58"/>
      <w:bookmarkStart w:id="59" w:name="_Toc184308061"/>
      <w:bookmarkEnd w:id="59"/>
      <w:bookmarkStart w:id="60" w:name="_Toc184314444"/>
      <w:bookmarkEnd w:id="60"/>
      <w:bookmarkStart w:id="61" w:name="_Toc184314453"/>
      <w:bookmarkEnd w:id="61"/>
      <w:bookmarkStart w:id="62" w:name="_Toc184312098"/>
      <w:bookmarkEnd w:id="62"/>
      <w:bookmarkStart w:id="63" w:name="_Toc184308043"/>
      <w:bookmarkEnd w:id="63"/>
      <w:bookmarkStart w:id="64" w:name="_Toc184313239"/>
      <w:bookmarkEnd w:id="64"/>
      <w:bookmarkStart w:id="65" w:name="_Toc184314473"/>
      <w:bookmarkEnd w:id="65"/>
      <w:bookmarkStart w:id="66" w:name="_Toc184313249"/>
      <w:bookmarkEnd w:id="66"/>
      <w:bookmarkStart w:id="67" w:name="_Toc184312088"/>
      <w:bookmarkEnd w:id="67"/>
      <w:bookmarkStart w:id="68" w:name="_Toc184314477"/>
      <w:bookmarkEnd w:id="68"/>
      <w:bookmarkStart w:id="69" w:name="_Toc184308074"/>
      <w:bookmarkEnd w:id="69"/>
      <w:bookmarkStart w:id="70" w:name="_Toc184313279"/>
      <w:bookmarkEnd w:id="70"/>
      <w:bookmarkStart w:id="71" w:name="_Toc184313255"/>
      <w:bookmarkEnd w:id="71"/>
      <w:bookmarkStart w:id="72" w:name="_Toc184308058"/>
      <w:bookmarkEnd w:id="72"/>
      <w:bookmarkStart w:id="73" w:name="_Toc184308044"/>
      <w:bookmarkEnd w:id="73"/>
      <w:bookmarkStart w:id="74" w:name="_Toc184313306"/>
      <w:bookmarkEnd w:id="74"/>
      <w:bookmarkStart w:id="75" w:name="_Toc184308037"/>
      <w:bookmarkEnd w:id="75"/>
      <w:bookmarkStart w:id="76" w:name="_Toc184312133"/>
      <w:bookmarkEnd w:id="76"/>
      <w:bookmarkStart w:id="77" w:name="_Toc184314455"/>
      <w:bookmarkEnd w:id="77"/>
      <w:bookmarkStart w:id="78" w:name="_Toc184313254"/>
      <w:bookmarkEnd w:id="78"/>
      <w:bookmarkStart w:id="79" w:name="_Toc184313271"/>
      <w:bookmarkEnd w:id="79"/>
      <w:bookmarkStart w:id="80" w:name="_Toc184312107"/>
      <w:bookmarkEnd w:id="80"/>
      <w:bookmarkStart w:id="81" w:name="_Toc184314435"/>
      <w:bookmarkEnd w:id="81"/>
      <w:bookmarkStart w:id="82" w:name="_Toc184313293"/>
      <w:bookmarkEnd w:id="82"/>
      <w:bookmarkStart w:id="83" w:name="_Toc184314475"/>
      <w:bookmarkEnd w:id="83"/>
      <w:bookmarkStart w:id="84" w:name="_Toc184310274"/>
      <w:bookmarkEnd w:id="84"/>
      <w:bookmarkStart w:id="85" w:name="_Toc184308040"/>
      <w:bookmarkEnd w:id="85"/>
      <w:bookmarkStart w:id="86" w:name="_Toc184308095"/>
      <w:bookmarkEnd w:id="86"/>
      <w:bookmarkStart w:id="87" w:name="_Toc184314414"/>
      <w:bookmarkEnd w:id="87"/>
      <w:bookmarkStart w:id="88" w:name="_Toc184312072"/>
      <w:bookmarkEnd w:id="88"/>
      <w:bookmarkStart w:id="89" w:name="_Toc184310343"/>
      <w:bookmarkEnd w:id="89"/>
      <w:bookmarkStart w:id="90" w:name="_Toc184314431"/>
      <w:bookmarkEnd w:id="90"/>
      <w:bookmarkStart w:id="91" w:name="_Toc184314410"/>
      <w:bookmarkEnd w:id="91"/>
      <w:bookmarkStart w:id="92" w:name="_Toc184313259"/>
      <w:bookmarkEnd w:id="92"/>
      <w:bookmarkStart w:id="93" w:name="_Toc184308078"/>
      <w:bookmarkEnd w:id="93"/>
      <w:bookmarkStart w:id="94" w:name="_Toc184308085"/>
      <w:bookmarkEnd w:id="94"/>
      <w:bookmarkStart w:id="95" w:name="_Toc184314467"/>
      <w:bookmarkEnd w:id="95"/>
      <w:bookmarkStart w:id="96" w:name="_Toc184314422"/>
      <w:bookmarkEnd w:id="96"/>
      <w:bookmarkStart w:id="97" w:name="_Toc184308107"/>
      <w:bookmarkEnd w:id="97"/>
      <w:bookmarkStart w:id="98" w:name="_Toc184308069"/>
      <w:bookmarkEnd w:id="98"/>
      <w:bookmarkStart w:id="99" w:name="_Toc184308104"/>
      <w:bookmarkEnd w:id="99"/>
      <w:bookmarkStart w:id="100" w:name="_Toc184313258"/>
      <w:bookmarkEnd w:id="100"/>
      <w:bookmarkStart w:id="101" w:name="_Toc184308054"/>
      <w:bookmarkEnd w:id="101"/>
      <w:bookmarkStart w:id="102" w:name="_Toc184312128"/>
      <w:bookmarkEnd w:id="102"/>
      <w:bookmarkStart w:id="103" w:name="_Toc184314427"/>
      <w:bookmarkEnd w:id="103"/>
      <w:bookmarkStart w:id="104" w:name="_Toc184310284"/>
      <w:bookmarkEnd w:id="104"/>
      <w:bookmarkStart w:id="105" w:name="_Toc184308070"/>
      <w:bookmarkEnd w:id="105"/>
      <w:bookmarkStart w:id="106" w:name="_Toc184312099"/>
      <w:bookmarkEnd w:id="106"/>
      <w:bookmarkStart w:id="107" w:name="_Toc184308093"/>
      <w:bookmarkEnd w:id="107"/>
      <w:bookmarkStart w:id="108" w:name="_Toc184310340"/>
      <w:bookmarkEnd w:id="108"/>
      <w:bookmarkStart w:id="109" w:name="_Toc184308063"/>
      <w:bookmarkEnd w:id="109"/>
      <w:bookmarkStart w:id="110" w:name="_Toc184314416"/>
      <w:bookmarkEnd w:id="110"/>
      <w:bookmarkStart w:id="111" w:name="_Toc184308101"/>
      <w:bookmarkEnd w:id="111"/>
      <w:bookmarkStart w:id="112" w:name="_Toc184310306"/>
      <w:bookmarkEnd w:id="112"/>
      <w:bookmarkStart w:id="113" w:name="_Toc184314432"/>
      <w:bookmarkEnd w:id="113"/>
      <w:bookmarkStart w:id="114" w:name="_Toc184308108"/>
      <w:bookmarkEnd w:id="114"/>
      <w:bookmarkStart w:id="115" w:name="_Toc184313244"/>
      <w:bookmarkEnd w:id="115"/>
      <w:bookmarkStart w:id="116" w:name="_Toc184312097"/>
      <w:bookmarkEnd w:id="116"/>
      <w:bookmarkStart w:id="117" w:name="_Toc184308055"/>
      <w:bookmarkEnd w:id="117"/>
      <w:bookmarkStart w:id="118" w:name="_Toc184310275"/>
      <w:bookmarkEnd w:id="118"/>
      <w:bookmarkStart w:id="119" w:name="_Toc184310309"/>
      <w:bookmarkEnd w:id="119"/>
      <w:bookmarkStart w:id="120" w:name="_Toc184314438"/>
      <w:bookmarkEnd w:id="120"/>
      <w:bookmarkStart w:id="121" w:name="_Toc184310342"/>
      <w:bookmarkEnd w:id="121"/>
      <w:bookmarkStart w:id="122" w:name="_Toc184314482"/>
      <w:bookmarkEnd w:id="122"/>
      <w:bookmarkStart w:id="123" w:name="_Toc184313238"/>
      <w:bookmarkEnd w:id="123"/>
      <w:bookmarkStart w:id="124" w:name="_Toc184313261"/>
      <w:bookmarkEnd w:id="124"/>
      <w:bookmarkStart w:id="125" w:name="_Toc184312079"/>
      <w:bookmarkEnd w:id="125"/>
      <w:bookmarkStart w:id="126" w:name="_Toc184313282"/>
      <w:bookmarkEnd w:id="126"/>
      <w:bookmarkStart w:id="127" w:name="_Toc184308103"/>
      <w:bookmarkEnd w:id="127"/>
      <w:bookmarkStart w:id="128" w:name="_Toc184308042"/>
      <w:bookmarkEnd w:id="128"/>
      <w:bookmarkStart w:id="129" w:name="_Toc184312095"/>
      <w:bookmarkEnd w:id="129"/>
      <w:bookmarkStart w:id="130" w:name="_Toc184314426"/>
      <w:bookmarkEnd w:id="130"/>
      <w:bookmarkStart w:id="131" w:name="_Toc184308099"/>
      <w:bookmarkEnd w:id="131"/>
      <w:bookmarkStart w:id="132" w:name="_Toc184308059"/>
      <w:bookmarkEnd w:id="132"/>
      <w:bookmarkStart w:id="133" w:name="_Toc184314439"/>
      <w:bookmarkEnd w:id="133"/>
      <w:bookmarkStart w:id="134" w:name="_Toc184312123"/>
      <w:bookmarkEnd w:id="134"/>
      <w:bookmarkStart w:id="135" w:name="_Toc184314469"/>
      <w:bookmarkEnd w:id="135"/>
      <w:bookmarkStart w:id="136" w:name="_Toc184314413"/>
      <w:bookmarkEnd w:id="136"/>
      <w:bookmarkStart w:id="137" w:name="_Toc184310332"/>
      <w:bookmarkEnd w:id="137"/>
      <w:bookmarkStart w:id="138" w:name="_Toc184313309"/>
      <w:bookmarkEnd w:id="138"/>
      <w:bookmarkStart w:id="139" w:name="_Toc184313280"/>
      <w:bookmarkEnd w:id="139"/>
      <w:bookmarkStart w:id="140" w:name="_Toc184313273"/>
      <w:bookmarkEnd w:id="140"/>
      <w:bookmarkStart w:id="141" w:name="_Toc184310282"/>
      <w:bookmarkEnd w:id="141"/>
      <w:bookmarkStart w:id="142" w:name="_Toc184308097"/>
      <w:bookmarkEnd w:id="142"/>
      <w:bookmarkStart w:id="143" w:name="_Toc184312074"/>
      <w:bookmarkEnd w:id="143"/>
      <w:bookmarkStart w:id="144" w:name="_Toc184312124"/>
      <w:bookmarkEnd w:id="144"/>
      <w:bookmarkStart w:id="145" w:name="_Toc184312138"/>
      <w:bookmarkEnd w:id="145"/>
      <w:bookmarkStart w:id="146" w:name="_Toc184308081"/>
      <w:bookmarkEnd w:id="146"/>
      <w:bookmarkStart w:id="147" w:name="_Toc184312082"/>
      <w:bookmarkEnd w:id="147"/>
      <w:bookmarkStart w:id="148" w:name="_Toc184308106"/>
      <w:bookmarkEnd w:id="148"/>
      <w:bookmarkStart w:id="149" w:name="_Toc184312077"/>
      <w:bookmarkEnd w:id="149"/>
      <w:bookmarkStart w:id="150" w:name="_Toc184313257"/>
      <w:bookmarkEnd w:id="150"/>
      <w:bookmarkStart w:id="151" w:name="_Toc184310279"/>
      <w:bookmarkEnd w:id="151"/>
      <w:bookmarkStart w:id="152" w:name="_Toc184312094"/>
      <w:bookmarkEnd w:id="152"/>
      <w:bookmarkStart w:id="153" w:name="_Toc184310325"/>
      <w:bookmarkEnd w:id="153"/>
      <w:bookmarkStart w:id="154" w:name="_Toc184310318"/>
      <w:bookmarkEnd w:id="154"/>
      <w:bookmarkStart w:id="155" w:name="_Toc184313269"/>
      <w:bookmarkEnd w:id="155"/>
      <w:bookmarkStart w:id="156" w:name="_Toc184308041"/>
      <w:bookmarkEnd w:id="156"/>
      <w:bookmarkStart w:id="157" w:name="_Toc184313266"/>
      <w:bookmarkEnd w:id="157"/>
      <w:bookmarkStart w:id="158" w:name="_Toc184314446"/>
      <w:bookmarkEnd w:id="158"/>
      <w:bookmarkStart w:id="159" w:name="_Toc184310310"/>
      <w:bookmarkEnd w:id="159"/>
      <w:bookmarkStart w:id="160" w:name="_Toc184308065"/>
      <w:bookmarkEnd w:id="160"/>
      <w:bookmarkStart w:id="161" w:name="_Toc184313272"/>
      <w:bookmarkEnd w:id="161"/>
      <w:bookmarkStart w:id="162" w:name="_Toc184313284"/>
      <w:bookmarkEnd w:id="162"/>
      <w:bookmarkStart w:id="163" w:name="_Toc184310295"/>
      <w:bookmarkEnd w:id="163"/>
      <w:bookmarkStart w:id="164" w:name="_Toc184312122"/>
      <w:bookmarkEnd w:id="164"/>
      <w:bookmarkStart w:id="165" w:name="_Toc184312086"/>
      <w:bookmarkEnd w:id="165"/>
      <w:bookmarkStart w:id="166" w:name="_Toc184314454"/>
      <w:bookmarkEnd w:id="166"/>
      <w:bookmarkStart w:id="167" w:name="_Toc184310317"/>
      <w:bookmarkEnd w:id="167"/>
      <w:bookmarkStart w:id="168" w:name="_Toc184310298"/>
      <w:bookmarkEnd w:id="168"/>
      <w:bookmarkStart w:id="169" w:name="_Toc184310344"/>
      <w:bookmarkEnd w:id="169"/>
      <w:bookmarkStart w:id="170" w:name="_Toc184310299"/>
      <w:bookmarkEnd w:id="170"/>
      <w:bookmarkStart w:id="171" w:name="_Toc184312080"/>
      <w:bookmarkEnd w:id="171"/>
      <w:bookmarkStart w:id="172" w:name="_Toc184312067"/>
      <w:bookmarkEnd w:id="172"/>
      <w:bookmarkStart w:id="173" w:name="_Toc184314443"/>
      <w:bookmarkEnd w:id="173"/>
      <w:bookmarkStart w:id="174" w:name="_Toc184308073"/>
      <w:bookmarkEnd w:id="174"/>
      <w:bookmarkStart w:id="175" w:name="_Toc184310272"/>
      <w:bookmarkEnd w:id="175"/>
      <w:bookmarkStart w:id="176" w:name="_Toc184308062"/>
      <w:bookmarkEnd w:id="176"/>
      <w:bookmarkStart w:id="177" w:name="_Toc184312104"/>
      <w:bookmarkEnd w:id="177"/>
      <w:bookmarkStart w:id="178" w:name="_Toc184310297"/>
      <w:bookmarkEnd w:id="178"/>
      <w:bookmarkStart w:id="179" w:name="_Toc184313240"/>
      <w:bookmarkEnd w:id="179"/>
      <w:bookmarkStart w:id="180" w:name="_Toc184313303"/>
      <w:bookmarkEnd w:id="180"/>
      <w:bookmarkStart w:id="181" w:name="_Toc184313277"/>
      <w:bookmarkEnd w:id="181"/>
      <w:bookmarkStart w:id="182" w:name="_Toc184308047"/>
      <w:bookmarkEnd w:id="182"/>
      <w:bookmarkStart w:id="183" w:name="_Toc184314423"/>
      <w:bookmarkEnd w:id="183"/>
      <w:bookmarkStart w:id="184" w:name="_Toc184312110"/>
      <w:bookmarkEnd w:id="184"/>
      <w:bookmarkStart w:id="185" w:name="_Toc184312101"/>
      <w:bookmarkEnd w:id="185"/>
      <w:bookmarkStart w:id="186" w:name="_Toc184308087"/>
      <w:bookmarkEnd w:id="186"/>
      <w:bookmarkStart w:id="187" w:name="_Toc184313297"/>
      <w:bookmarkEnd w:id="187"/>
      <w:bookmarkStart w:id="188" w:name="_Toc184313274"/>
      <w:bookmarkEnd w:id="188"/>
      <w:bookmarkStart w:id="189" w:name="_Toc184308079"/>
      <w:bookmarkEnd w:id="189"/>
      <w:bookmarkStart w:id="190" w:name="_Toc184312108"/>
      <w:bookmarkEnd w:id="190"/>
      <w:bookmarkStart w:id="191" w:name="_Toc184313251"/>
      <w:bookmarkEnd w:id="191"/>
      <w:bookmarkStart w:id="192" w:name="_Toc184313300"/>
      <w:bookmarkEnd w:id="192"/>
      <w:bookmarkStart w:id="193" w:name="_Toc184313292"/>
      <w:bookmarkEnd w:id="193"/>
      <w:bookmarkStart w:id="194" w:name="_Toc184312115"/>
      <w:bookmarkEnd w:id="194"/>
      <w:bookmarkStart w:id="195" w:name="_Toc184310313"/>
      <w:bookmarkEnd w:id="195"/>
      <w:bookmarkStart w:id="196" w:name="_Toc184312089"/>
      <w:bookmarkEnd w:id="196"/>
      <w:bookmarkStart w:id="197" w:name="_Toc184314460"/>
      <w:bookmarkEnd w:id="197"/>
      <w:bookmarkStart w:id="198" w:name="_Toc184314468"/>
      <w:bookmarkEnd w:id="198"/>
      <w:bookmarkStart w:id="199" w:name="_Toc184312091"/>
      <w:bookmarkEnd w:id="199"/>
      <w:bookmarkStart w:id="200" w:name="_Toc184314445"/>
      <w:bookmarkEnd w:id="200"/>
      <w:bookmarkStart w:id="201" w:name="_Toc184310322"/>
      <w:bookmarkEnd w:id="201"/>
      <w:bookmarkStart w:id="202" w:name="_Toc184310320"/>
      <w:bookmarkEnd w:id="202"/>
      <w:bookmarkStart w:id="203" w:name="_Toc184310286"/>
      <w:bookmarkEnd w:id="203"/>
      <w:bookmarkStart w:id="204" w:name="_Toc184310336"/>
      <w:bookmarkEnd w:id="204"/>
      <w:bookmarkStart w:id="205" w:name="_Toc184308100"/>
      <w:bookmarkEnd w:id="205"/>
      <w:bookmarkStart w:id="206" w:name="_Toc184314420"/>
      <w:bookmarkEnd w:id="206"/>
      <w:bookmarkStart w:id="207" w:name="_Toc184313308"/>
      <w:bookmarkEnd w:id="207"/>
      <w:bookmarkStart w:id="208" w:name="_Toc184313305"/>
      <w:bookmarkEnd w:id="208"/>
      <w:bookmarkStart w:id="209" w:name="_Toc184314478"/>
      <w:bookmarkEnd w:id="209"/>
      <w:bookmarkStart w:id="210" w:name="_Toc184308053"/>
      <w:bookmarkEnd w:id="210"/>
      <w:bookmarkStart w:id="211" w:name="_Toc184313253"/>
      <w:bookmarkEnd w:id="211"/>
      <w:bookmarkStart w:id="212" w:name="_Toc184308071"/>
      <w:bookmarkEnd w:id="212"/>
      <w:bookmarkStart w:id="213" w:name="_Toc184312131"/>
      <w:bookmarkEnd w:id="213"/>
      <w:bookmarkStart w:id="214" w:name="_Toc184310302"/>
      <w:bookmarkEnd w:id="214"/>
      <w:bookmarkStart w:id="215" w:name="_Toc184314481"/>
      <w:bookmarkEnd w:id="215"/>
      <w:bookmarkStart w:id="216" w:name="_Toc184312090"/>
      <w:bookmarkEnd w:id="216"/>
      <w:bookmarkStart w:id="217" w:name="_Toc184313283"/>
      <w:bookmarkEnd w:id="217"/>
      <w:bookmarkStart w:id="218" w:name="_Toc184314437"/>
      <w:bookmarkEnd w:id="218"/>
      <w:bookmarkStart w:id="219" w:name="_Toc184312083"/>
      <w:bookmarkEnd w:id="219"/>
      <w:bookmarkStart w:id="220" w:name="_Toc184313242"/>
      <w:bookmarkEnd w:id="220"/>
      <w:bookmarkStart w:id="221" w:name="_Toc184314457"/>
      <w:bookmarkEnd w:id="221"/>
      <w:bookmarkStart w:id="222" w:name="_Toc184313291"/>
      <w:bookmarkEnd w:id="222"/>
      <w:bookmarkStart w:id="223" w:name="_Toc184310307"/>
      <w:bookmarkEnd w:id="223"/>
      <w:bookmarkStart w:id="224" w:name="_Toc184312114"/>
      <w:bookmarkEnd w:id="224"/>
      <w:bookmarkStart w:id="225" w:name="_Toc184312071"/>
      <w:bookmarkEnd w:id="225"/>
      <w:bookmarkStart w:id="226" w:name="_Toc184308094"/>
      <w:bookmarkEnd w:id="226"/>
      <w:bookmarkStart w:id="227" w:name="_Toc184310280"/>
      <w:bookmarkEnd w:id="227"/>
      <w:bookmarkStart w:id="228" w:name="_Toc184308052"/>
      <w:bookmarkEnd w:id="228"/>
      <w:bookmarkStart w:id="229" w:name="_Toc184314433"/>
      <w:bookmarkEnd w:id="229"/>
      <w:bookmarkStart w:id="230" w:name="_Toc184310311"/>
      <w:bookmarkEnd w:id="230"/>
      <w:bookmarkStart w:id="231" w:name="_Toc184312100"/>
      <w:bookmarkEnd w:id="231"/>
      <w:bookmarkStart w:id="232" w:name="_Toc184312130"/>
      <w:bookmarkEnd w:id="232"/>
      <w:bookmarkStart w:id="233" w:name="_Toc184314412"/>
      <w:bookmarkEnd w:id="233"/>
      <w:bookmarkStart w:id="234" w:name="_Toc184310333"/>
      <w:bookmarkEnd w:id="234"/>
      <w:bookmarkStart w:id="235" w:name="_Toc184310339"/>
      <w:bookmarkEnd w:id="235"/>
      <w:bookmarkStart w:id="236" w:name="_Toc184313288"/>
      <w:bookmarkEnd w:id="236"/>
      <w:bookmarkStart w:id="237" w:name="_Toc184314441"/>
      <w:bookmarkEnd w:id="237"/>
      <w:bookmarkStart w:id="238" w:name="_Toc184314419"/>
      <w:bookmarkEnd w:id="238"/>
      <w:bookmarkStart w:id="239" w:name="_Toc184310305"/>
      <w:bookmarkEnd w:id="239"/>
      <w:bookmarkStart w:id="240" w:name="_Toc184308089"/>
      <w:bookmarkEnd w:id="240"/>
      <w:bookmarkStart w:id="241" w:name="_Toc184310293"/>
      <w:bookmarkEnd w:id="241"/>
      <w:bookmarkStart w:id="242" w:name="_Toc184310291"/>
      <w:bookmarkEnd w:id="242"/>
      <w:bookmarkStart w:id="243" w:name="_Toc184314428"/>
      <w:bookmarkEnd w:id="243"/>
      <w:bookmarkStart w:id="244" w:name="_Toc184310319"/>
      <w:bookmarkEnd w:id="244"/>
      <w:bookmarkStart w:id="245" w:name="_Toc184310338"/>
      <w:bookmarkEnd w:id="245"/>
      <w:bookmarkStart w:id="246" w:name="_Toc184310289"/>
      <w:bookmarkEnd w:id="246"/>
      <w:bookmarkStart w:id="247" w:name="_Toc184308084"/>
      <w:bookmarkEnd w:id="247"/>
      <w:bookmarkStart w:id="248" w:name="_Toc184310281"/>
      <w:bookmarkEnd w:id="248"/>
      <w:bookmarkStart w:id="249" w:name="_Toc184313264"/>
      <w:bookmarkEnd w:id="249"/>
      <w:bookmarkStart w:id="250" w:name="_Toc184310327"/>
      <w:bookmarkEnd w:id="250"/>
      <w:bookmarkStart w:id="251" w:name="_Toc184314449"/>
      <w:bookmarkEnd w:id="251"/>
      <w:bookmarkStart w:id="252" w:name="_Toc184310329"/>
      <w:bookmarkEnd w:id="252"/>
      <w:bookmarkStart w:id="253" w:name="_Toc184313256"/>
      <w:bookmarkEnd w:id="253"/>
      <w:bookmarkStart w:id="254" w:name="_Toc184313276"/>
      <w:bookmarkEnd w:id="254"/>
      <w:bookmarkStart w:id="255" w:name="_Toc184308068"/>
      <w:bookmarkEnd w:id="255"/>
      <w:bookmarkStart w:id="256" w:name="_Toc184314461"/>
      <w:bookmarkEnd w:id="256"/>
      <w:bookmarkStart w:id="257" w:name="_Toc184313252"/>
      <w:bookmarkEnd w:id="257"/>
      <w:bookmarkStart w:id="258" w:name="_Toc184314479"/>
      <w:bookmarkEnd w:id="258"/>
      <w:bookmarkStart w:id="259" w:name="_Toc184313275"/>
      <w:bookmarkEnd w:id="259"/>
      <w:bookmarkStart w:id="260" w:name="_Toc184314466"/>
      <w:bookmarkEnd w:id="260"/>
      <w:bookmarkStart w:id="261" w:name="_Toc184308082"/>
      <w:bookmarkEnd w:id="261"/>
      <w:bookmarkStart w:id="262" w:name="_Toc184310290"/>
      <w:bookmarkEnd w:id="262"/>
      <w:bookmarkStart w:id="263" w:name="_Toc184313243"/>
      <w:bookmarkEnd w:id="263"/>
      <w:bookmarkStart w:id="264" w:name="_Toc184308102"/>
      <w:bookmarkEnd w:id="264"/>
      <w:bookmarkStart w:id="265" w:name="_Toc184312085"/>
      <w:bookmarkEnd w:id="265"/>
      <w:bookmarkStart w:id="266" w:name="_Toc184314418"/>
      <w:bookmarkEnd w:id="266"/>
      <w:bookmarkStart w:id="267" w:name="_Toc184312127"/>
      <w:bookmarkEnd w:id="267"/>
      <w:bookmarkStart w:id="268" w:name="_Toc184310294"/>
      <w:bookmarkEnd w:id="268"/>
      <w:bookmarkStart w:id="269" w:name="_Toc184312117"/>
      <w:bookmarkEnd w:id="269"/>
      <w:bookmarkStart w:id="270" w:name="_Toc184312121"/>
      <w:bookmarkEnd w:id="270"/>
      <w:bookmarkStart w:id="271" w:name="_Toc184312126"/>
      <w:bookmarkEnd w:id="271"/>
      <w:bookmarkStart w:id="272" w:name="_Toc184310321"/>
      <w:bookmarkEnd w:id="272"/>
      <w:bookmarkStart w:id="273" w:name="_Toc184312118"/>
      <w:bookmarkEnd w:id="273"/>
      <w:bookmarkStart w:id="274" w:name="_Toc184312120"/>
      <w:bookmarkEnd w:id="274"/>
      <w:bookmarkStart w:id="275" w:name="_Toc184312070"/>
      <w:bookmarkEnd w:id="275"/>
      <w:bookmarkStart w:id="276" w:name="_Toc184310330"/>
      <w:bookmarkEnd w:id="276"/>
      <w:bookmarkStart w:id="277" w:name="_Toc184314447"/>
      <w:bookmarkEnd w:id="277"/>
      <w:bookmarkStart w:id="278" w:name="_Toc184310324"/>
      <w:bookmarkEnd w:id="278"/>
      <w:bookmarkStart w:id="279" w:name="_Toc184310300"/>
      <w:bookmarkEnd w:id="279"/>
      <w:bookmarkStart w:id="280" w:name="_Toc184310277"/>
      <w:bookmarkEnd w:id="280"/>
      <w:bookmarkStart w:id="281" w:name="_Toc184308090"/>
      <w:bookmarkEnd w:id="281"/>
      <w:bookmarkStart w:id="282" w:name="_Toc184313304"/>
      <w:bookmarkEnd w:id="282"/>
      <w:bookmarkStart w:id="283" w:name="_Toc184308046"/>
      <w:bookmarkEnd w:id="283"/>
      <w:bookmarkStart w:id="284" w:name="_Toc184314430"/>
      <w:bookmarkEnd w:id="284"/>
      <w:bookmarkStart w:id="285" w:name="_Toc184313294"/>
      <w:bookmarkEnd w:id="285"/>
      <w:bookmarkStart w:id="286" w:name="_Toc184308086"/>
      <w:bookmarkEnd w:id="286"/>
      <w:bookmarkStart w:id="287" w:name="_Toc184308064"/>
      <w:bookmarkEnd w:id="287"/>
      <w:bookmarkStart w:id="288" w:name="_Toc184308091"/>
      <w:bookmarkEnd w:id="288"/>
      <w:bookmarkStart w:id="289" w:name="_Toc184314459"/>
      <w:bookmarkEnd w:id="289"/>
      <w:bookmarkStart w:id="290" w:name="_Toc184313278"/>
      <w:bookmarkEnd w:id="290"/>
      <w:bookmarkStart w:id="291" w:name="_Toc184312068"/>
      <w:bookmarkEnd w:id="291"/>
      <w:bookmarkStart w:id="292" w:name="_Toc184310292"/>
      <w:bookmarkEnd w:id="292"/>
      <w:bookmarkStart w:id="293" w:name="_Toc184312134"/>
      <w:bookmarkEnd w:id="293"/>
      <w:bookmarkStart w:id="294" w:name="_Toc184313289"/>
      <w:bookmarkEnd w:id="294"/>
      <w:bookmarkStart w:id="295" w:name="_Toc184314463"/>
      <w:bookmarkEnd w:id="295"/>
      <w:bookmarkStart w:id="296" w:name="_Toc184310326"/>
      <w:bookmarkEnd w:id="296"/>
      <w:bookmarkStart w:id="297" w:name="_Toc184308077"/>
      <w:bookmarkEnd w:id="297"/>
      <w:bookmarkStart w:id="298" w:name="_Toc184310287"/>
      <w:bookmarkEnd w:id="298"/>
      <w:bookmarkStart w:id="299" w:name="_Toc184313285"/>
      <w:bookmarkEnd w:id="299"/>
      <w:bookmarkStart w:id="300" w:name="_Toc184310304"/>
      <w:bookmarkEnd w:id="300"/>
      <w:bookmarkStart w:id="301" w:name="_Toc184313247"/>
      <w:bookmarkEnd w:id="301"/>
      <w:bookmarkStart w:id="302" w:name="_Toc184314450"/>
      <w:bookmarkEnd w:id="302"/>
      <w:bookmarkStart w:id="303" w:name="_Toc184310308"/>
      <w:bookmarkEnd w:id="303"/>
      <w:bookmarkStart w:id="304" w:name="_Toc184313248"/>
      <w:bookmarkEnd w:id="304"/>
      <w:bookmarkStart w:id="305" w:name="_Toc184308105"/>
      <w:bookmarkEnd w:id="305"/>
      <w:bookmarkStart w:id="306" w:name="_Toc184313241"/>
      <w:bookmarkEnd w:id="306"/>
      <w:bookmarkStart w:id="307" w:name="_Toc184313301"/>
      <w:bookmarkEnd w:id="307"/>
      <w:bookmarkStart w:id="308" w:name="_Toc184313263"/>
      <w:bookmarkEnd w:id="308"/>
      <w:bookmarkStart w:id="309" w:name="_Toc184312116"/>
      <w:bookmarkEnd w:id="309"/>
      <w:bookmarkStart w:id="310" w:name="_Toc184314424"/>
      <w:bookmarkEnd w:id="310"/>
      <w:bookmarkStart w:id="311" w:name="_Toc184312075"/>
      <w:bookmarkEnd w:id="311"/>
      <w:bookmarkStart w:id="312" w:name="_Toc184312106"/>
      <w:bookmarkEnd w:id="312"/>
      <w:bookmarkStart w:id="313" w:name="_Toc184314429"/>
      <w:bookmarkEnd w:id="313"/>
      <w:bookmarkStart w:id="314" w:name="_Toc184312113"/>
      <w:bookmarkEnd w:id="314"/>
      <w:bookmarkStart w:id="315" w:name="_Toc184310288"/>
      <w:bookmarkEnd w:id="315"/>
      <w:bookmarkStart w:id="316" w:name="_Toc184312119"/>
      <w:bookmarkEnd w:id="316"/>
      <w:bookmarkStart w:id="317" w:name="_Toc184313302"/>
      <w:bookmarkEnd w:id="317"/>
      <w:bookmarkStart w:id="318" w:name="_Toc184314448"/>
      <w:bookmarkEnd w:id="318"/>
      <w:bookmarkStart w:id="319" w:name="_Toc184314436"/>
      <w:bookmarkEnd w:id="319"/>
      <w:bookmarkStart w:id="320" w:name="_Toc184313310"/>
      <w:bookmarkEnd w:id="320"/>
      <w:bookmarkStart w:id="321" w:name="_Toc184310323"/>
      <w:bookmarkEnd w:id="321"/>
      <w:bookmarkStart w:id="322" w:name="_Toc184312102"/>
      <w:bookmarkEnd w:id="322"/>
      <w:bookmarkStart w:id="323" w:name="_Toc184310285"/>
      <w:bookmarkEnd w:id="323"/>
      <w:bookmarkStart w:id="324" w:name="_Toc184310331"/>
      <w:bookmarkEnd w:id="324"/>
      <w:bookmarkStart w:id="325" w:name="_Toc184310276"/>
      <w:bookmarkEnd w:id="325"/>
      <w:bookmarkStart w:id="326" w:name="_Toc184312078"/>
      <w:bookmarkEnd w:id="326"/>
      <w:bookmarkStart w:id="327" w:name="_Toc184312129"/>
      <w:bookmarkEnd w:id="327"/>
      <w:bookmarkStart w:id="328" w:name="_Toc184313298"/>
      <w:bookmarkEnd w:id="328"/>
      <w:bookmarkStart w:id="329" w:name="_Toc184314462"/>
      <w:bookmarkEnd w:id="329"/>
      <w:bookmarkStart w:id="330" w:name="_Toc184314442"/>
      <w:bookmarkEnd w:id="330"/>
      <w:bookmarkStart w:id="331" w:name="_Toc184310283"/>
      <w:bookmarkEnd w:id="331"/>
      <w:bookmarkStart w:id="332" w:name="_Toc184312105"/>
      <w:bookmarkEnd w:id="332"/>
      <w:bookmarkStart w:id="333" w:name="_Toc184308072"/>
      <w:bookmarkEnd w:id="333"/>
      <w:bookmarkStart w:id="334" w:name="_Toc184310328"/>
      <w:bookmarkEnd w:id="334"/>
      <w:bookmarkStart w:id="335" w:name="_Toc184314465"/>
      <w:bookmarkEnd w:id="335"/>
      <w:bookmarkStart w:id="336" w:name="_Toc184308056"/>
      <w:bookmarkEnd w:id="336"/>
      <w:bookmarkStart w:id="337" w:name="_Toc184308080"/>
      <w:bookmarkEnd w:id="337"/>
      <w:bookmarkStart w:id="338" w:name="_Toc184308036"/>
      <w:bookmarkEnd w:id="338"/>
      <w:bookmarkStart w:id="339" w:name="_Toc184312096"/>
      <w:bookmarkEnd w:id="339"/>
      <w:bookmarkStart w:id="340" w:name="_Toc184308066"/>
      <w:bookmarkEnd w:id="340"/>
      <w:bookmarkStart w:id="341" w:name="_Toc184308049"/>
      <w:bookmarkEnd w:id="341"/>
      <w:bookmarkStart w:id="342" w:name="_Toc184310334"/>
      <w:bookmarkEnd w:id="342"/>
      <w:bookmarkStart w:id="343" w:name="_Toc184308092"/>
      <w:bookmarkEnd w:id="343"/>
      <w:bookmarkStart w:id="344" w:name="_Toc184312093"/>
      <w:bookmarkEnd w:id="344"/>
      <w:bookmarkStart w:id="345" w:name="_Toc184314476"/>
      <w:bookmarkEnd w:id="345"/>
      <w:bookmarkStart w:id="346" w:name="_Toc184308076"/>
      <w:bookmarkEnd w:id="346"/>
      <w:bookmarkStart w:id="347" w:name="_Toc184308050"/>
      <w:bookmarkEnd w:id="347"/>
      <w:bookmarkStart w:id="348" w:name="_Toc184312069"/>
      <w:bookmarkEnd w:id="348"/>
      <w:bookmarkStart w:id="349" w:name="_Toc184313262"/>
      <w:bookmarkEnd w:id="349"/>
      <w:bookmarkStart w:id="350" w:name="_Toc184314411"/>
      <w:bookmarkEnd w:id="350"/>
      <w:bookmarkStart w:id="351" w:name="_Toc184312103"/>
      <w:bookmarkEnd w:id="351"/>
      <w:bookmarkStart w:id="352" w:name="_Toc184308083"/>
      <w:bookmarkEnd w:id="352"/>
      <w:bookmarkStart w:id="353" w:name="_Toc184312125"/>
      <w:bookmarkEnd w:id="353"/>
      <w:bookmarkStart w:id="354" w:name="_Toc184310337"/>
      <w:bookmarkEnd w:id="354"/>
      <w:bookmarkStart w:id="355" w:name="_Toc184310335"/>
      <w:bookmarkEnd w:id="355"/>
      <w:bookmarkStart w:id="356" w:name="_Toc184314471"/>
      <w:bookmarkEnd w:id="356"/>
      <w:bookmarkStart w:id="357" w:name="_Toc184310273"/>
      <w:bookmarkEnd w:id="357"/>
      <w:bookmarkStart w:id="358" w:name="_Toc184308067"/>
      <w:bookmarkEnd w:id="358"/>
      <w:bookmarkStart w:id="359" w:name="_Toc184312073"/>
      <w:bookmarkEnd w:id="359"/>
      <w:bookmarkStart w:id="360" w:name="_Toc184310314"/>
      <w:bookmarkEnd w:id="360"/>
      <w:bookmarkStart w:id="361" w:name="_Toc184312092"/>
      <w:bookmarkEnd w:id="361"/>
      <w:bookmarkStart w:id="362" w:name="_Toc184313260"/>
      <w:bookmarkEnd w:id="362"/>
      <w:bookmarkStart w:id="363" w:name="_Toc184312135"/>
      <w:bookmarkEnd w:id="363"/>
      <w:bookmarkStart w:id="364" w:name="_Toc184312137"/>
      <w:bookmarkEnd w:id="364"/>
      <w:bookmarkStart w:id="365" w:name="_Toc184312111"/>
      <w:bookmarkEnd w:id="365"/>
      <w:bookmarkStart w:id="366" w:name="_Toc184308098"/>
      <w:bookmarkEnd w:id="366"/>
      <w:bookmarkStart w:id="367" w:name="_Toc184313281"/>
      <w:bookmarkEnd w:id="367"/>
      <w:bookmarkStart w:id="368" w:name="_Toc184312139"/>
      <w:bookmarkEnd w:id="368"/>
      <w:bookmarkStart w:id="369" w:name="_Toc184312136"/>
      <w:bookmarkEnd w:id="369"/>
      <w:bookmarkStart w:id="370" w:name="_Toc184314480"/>
      <w:bookmarkEnd w:id="370"/>
      <w:bookmarkStart w:id="371" w:name="_Toc184314440"/>
      <w:bookmarkEnd w:id="371"/>
      <w:bookmarkStart w:id="372" w:name="_Toc184310278"/>
      <w:bookmarkEnd w:id="372"/>
      <w:bookmarkStart w:id="373" w:name="_Toc184310301"/>
      <w:bookmarkEnd w:id="373"/>
      <w:bookmarkStart w:id="374" w:name="_Toc184314417"/>
      <w:bookmarkEnd w:id="374"/>
      <w:bookmarkStart w:id="375" w:name="_Toc184312112"/>
      <w:bookmarkEnd w:id="375"/>
      <w:bookmarkStart w:id="376" w:name="_Toc184312087"/>
      <w:bookmarkEnd w:id="376"/>
      <w:bookmarkStart w:id="377" w:name="_Toc184314451"/>
      <w:bookmarkEnd w:id="377"/>
      <w:bookmarkStart w:id="378" w:name="_Toc184312084"/>
      <w:bookmarkEnd w:id="378"/>
      <w:bookmarkStart w:id="379" w:name="_Toc184314434"/>
      <w:bookmarkEnd w:id="379"/>
      <w:bookmarkStart w:id="380" w:name="_Toc184313295"/>
      <w:bookmarkEnd w:id="380"/>
      <w:bookmarkStart w:id="381" w:name="_Toc184310341"/>
      <w:bookmarkEnd w:id="381"/>
      <w:bookmarkStart w:id="382" w:name="_Toc184314456"/>
      <w:bookmarkEnd w:id="382"/>
      <w:bookmarkStart w:id="383" w:name="_Toc184308088"/>
      <w:bookmarkEnd w:id="383"/>
      <w:bookmarkStart w:id="384" w:name="_Toc184314472"/>
      <w:bookmarkEnd w:id="384"/>
      <w:bookmarkStart w:id="385" w:name="_Toc184313267"/>
      <w:bookmarkEnd w:id="385"/>
      <w:bookmarkStart w:id="386" w:name="_Toc184308038"/>
      <w:bookmarkEnd w:id="386"/>
      <w:bookmarkStart w:id="387" w:name="_Toc184314470"/>
      <w:bookmarkEnd w:id="387"/>
      <w:bookmarkStart w:id="388" w:name="_Toc184314452"/>
      <w:bookmarkEnd w:id="388"/>
      <w:bookmarkStart w:id="389" w:name="_Toc184314425"/>
      <w:bookmarkEnd w:id="389"/>
      <w:bookmarkStart w:id="390" w:name="_Toc184313287"/>
      <w:bookmarkEnd w:id="390"/>
      <w:bookmarkStart w:id="391" w:name="_Toc184310312"/>
      <w:bookmarkEnd w:id="391"/>
      <w:bookmarkStart w:id="392" w:name="_Toc184310315"/>
      <w:bookmarkEnd w:id="392"/>
      <w:r>
        <w:rPr>
          <w:rFonts w:hint="eastAsia" w:ascii="宋体" w:hAnsi="宋体" w:cs="宋体"/>
          <w:b/>
          <w:color w:val="auto"/>
          <w:sz w:val="36"/>
          <w:szCs w:val="36"/>
        </w:rPr>
        <w:t>评标办法</w:t>
      </w:r>
    </w:p>
    <w:p w14:paraId="058B9C0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8874" w:type="dxa"/>
        <w:tblInd w:w="135" w:type="dxa"/>
        <w:tblLayout w:type="fixed"/>
        <w:tblCellMar>
          <w:top w:w="0" w:type="dxa"/>
          <w:left w:w="108" w:type="dxa"/>
          <w:bottom w:w="0" w:type="dxa"/>
          <w:right w:w="108" w:type="dxa"/>
        </w:tblCellMar>
      </w:tblPr>
      <w:tblGrid>
        <w:gridCol w:w="534"/>
        <w:gridCol w:w="5679"/>
        <w:gridCol w:w="921"/>
        <w:gridCol w:w="870"/>
        <w:gridCol w:w="870"/>
      </w:tblGrid>
      <w:tr w14:paraId="4A1F4B3A">
        <w:tblPrEx>
          <w:tblCellMar>
            <w:top w:w="0" w:type="dxa"/>
            <w:left w:w="108" w:type="dxa"/>
            <w:bottom w:w="0" w:type="dxa"/>
            <w:right w:w="108" w:type="dxa"/>
          </w:tblCellMar>
        </w:tblPrEx>
        <w:trPr>
          <w:trHeight w:val="639" w:hRule="atLeast"/>
        </w:trPr>
        <w:tc>
          <w:tcPr>
            <w:tcW w:w="534" w:type="dxa"/>
            <w:tcBorders>
              <w:top w:val="single" w:color="auto" w:sz="4" w:space="0"/>
              <w:left w:val="single" w:color="auto" w:sz="4" w:space="0"/>
              <w:bottom w:val="single" w:color="auto" w:sz="4" w:space="0"/>
              <w:right w:val="single" w:color="auto" w:sz="4" w:space="0"/>
            </w:tcBorders>
            <w:vAlign w:val="center"/>
          </w:tcPr>
          <w:p w14:paraId="4D4A26D6">
            <w:pPr>
              <w:pStyle w:val="57"/>
              <w:rPr>
                <w:color w:val="auto"/>
                <w:kern w:val="2"/>
              </w:rPr>
            </w:pPr>
            <w:r>
              <w:rPr>
                <w:rFonts w:hint="eastAsia"/>
                <w:color w:val="auto"/>
                <w:kern w:val="2"/>
              </w:rPr>
              <w:t>序号</w:t>
            </w:r>
          </w:p>
        </w:tc>
        <w:tc>
          <w:tcPr>
            <w:tcW w:w="5679" w:type="dxa"/>
            <w:tcBorders>
              <w:top w:val="single" w:color="auto" w:sz="4" w:space="0"/>
              <w:left w:val="nil"/>
              <w:bottom w:val="single" w:color="auto" w:sz="4" w:space="0"/>
              <w:right w:val="single" w:color="auto" w:sz="4" w:space="0"/>
            </w:tcBorders>
            <w:vAlign w:val="center"/>
          </w:tcPr>
          <w:p w14:paraId="6F371204">
            <w:pPr>
              <w:pStyle w:val="57"/>
              <w:jc w:val="center"/>
              <w:rPr>
                <w:color w:val="auto"/>
                <w:kern w:val="2"/>
              </w:rPr>
            </w:pPr>
            <w:r>
              <w:rPr>
                <w:rFonts w:hint="eastAsia"/>
                <w:color w:val="auto"/>
              </w:rPr>
              <w:t>评标标准</w:t>
            </w:r>
          </w:p>
        </w:tc>
        <w:tc>
          <w:tcPr>
            <w:tcW w:w="921" w:type="dxa"/>
            <w:tcBorders>
              <w:top w:val="single" w:color="auto" w:sz="4" w:space="0"/>
              <w:left w:val="nil"/>
              <w:bottom w:val="single" w:color="auto" w:sz="4" w:space="0"/>
              <w:right w:val="single" w:color="auto" w:sz="4" w:space="0"/>
            </w:tcBorders>
            <w:vAlign w:val="center"/>
          </w:tcPr>
          <w:p w14:paraId="1E481CF8">
            <w:pPr>
              <w:pStyle w:val="57"/>
              <w:rPr>
                <w:color w:val="auto"/>
                <w:kern w:val="2"/>
              </w:rPr>
            </w:pPr>
            <w:r>
              <w:rPr>
                <w:rFonts w:hint="eastAsia"/>
                <w:color w:val="auto"/>
                <w:kern w:val="2"/>
              </w:rPr>
              <w:t>最高分值</w:t>
            </w:r>
          </w:p>
        </w:tc>
        <w:tc>
          <w:tcPr>
            <w:tcW w:w="870" w:type="dxa"/>
            <w:tcBorders>
              <w:top w:val="single" w:color="auto" w:sz="4" w:space="0"/>
              <w:left w:val="nil"/>
              <w:bottom w:val="single" w:color="auto" w:sz="4" w:space="0"/>
              <w:right w:val="single" w:color="auto" w:sz="4" w:space="0"/>
            </w:tcBorders>
            <w:vAlign w:val="center"/>
          </w:tcPr>
          <w:p w14:paraId="7734EC4D">
            <w:pPr>
              <w:pStyle w:val="57"/>
              <w:rPr>
                <w:color w:val="auto"/>
                <w:kern w:val="2"/>
              </w:rPr>
            </w:pPr>
            <w:r>
              <w:rPr>
                <w:rFonts w:hint="eastAsia"/>
                <w:color w:val="auto"/>
                <w:kern w:val="2"/>
              </w:rPr>
              <w:t>主客观属性</w:t>
            </w:r>
          </w:p>
        </w:tc>
        <w:tc>
          <w:tcPr>
            <w:tcW w:w="870" w:type="dxa"/>
            <w:tcBorders>
              <w:top w:val="single" w:color="auto" w:sz="4" w:space="0"/>
              <w:left w:val="nil"/>
              <w:bottom w:val="single" w:color="auto" w:sz="4" w:space="0"/>
              <w:right w:val="single" w:color="auto" w:sz="4" w:space="0"/>
            </w:tcBorders>
          </w:tcPr>
          <w:p w14:paraId="133ED378">
            <w:pPr>
              <w:pStyle w:val="57"/>
              <w:rPr>
                <w:color w:val="auto"/>
                <w:kern w:val="2"/>
              </w:rPr>
            </w:pPr>
            <w:r>
              <w:rPr>
                <w:rFonts w:hint="eastAsia"/>
                <w:color w:val="auto"/>
              </w:rPr>
              <w:t>投标文件中评标标准相应的商务技术资料目录</w:t>
            </w:r>
          </w:p>
        </w:tc>
      </w:tr>
      <w:tr w14:paraId="1F6530FE">
        <w:tblPrEx>
          <w:tblCellMar>
            <w:top w:w="0" w:type="dxa"/>
            <w:left w:w="108" w:type="dxa"/>
            <w:bottom w:w="0" w:type="dxa"/>
            <w:right w:w="108" w:type="dxa"/>
          </w:tblCellMar>
        </w:tblPrEx>
        <w:trPr>
          <w:trHeight w:val="1053" w:hRule="atLeast"/>
        </w:trPr>
        <w:tc>
          <w:tcPr>
            <w:tcW w:w="534" w:type="dxa"/>
            <w:tcBorders>
              <w:top w:val="single" w:color="auto" w:sz="4" w:space="0"/>
              <w:left w:val="single" w:color="auto" w:sz="4" w:space="0"/>
              <w:bottom w:val="single" w:color="auto" w:sz="4" w:space="0"/>
              <w:right w:val="single" w:color="auto" w:sz="4" w:space="0"/>
            </w:tcBorders>
            <w:vAlign w:val="center"/>
          </w:tcPr>
          <w:p w14:paraId="2A3B3118">
            <w:pPr>
              <w:pStyle w:val="57"/>
              <w:rPr>
                <w:rFonts w:cs="宋体"/>
                <w:color w:val="auto"/>
                <w:kern w:val="2"/>
                <w:sz w:val="21"/>
                <w:szCs w:val="21"/>
              </w:rPr>
            </w:pPr>
            <w:r>
              <w:rPr>
                <w:rFonts w:hint="eastAsia" w:cs="宋体"/>
                <w:color w:val="auto"/>
                <w:kern w:val="2"/>
                <w:sz w:val="21"/>
                <w:szCs w:val="21"/>
              </w:rPr>
              <w:t>1</w:t>
            </w:r>
          </w:p>
        </w:tc>
        <w:tc>
          <w:tcPr>
            <w:tcW w:w="5679" w:type="dxa"/>
            <w:tcBorders>
              <w:top w:val="single" w:color="auto" w:sz="4" w:space="0"/>
              <w:left w:val="nil"/>
              <w:bottom w:val="single" w:color="auto" w:sz="4" w:space="0"/>
              <w:right w:val="single" w:color="auto" w:sz="4" w:space="0"/>
            </w:tcBorders>
            <w:vAlign w:val="center"/>
          </w:tcPr>
          <w:p w14:paraId="34A138CD">
            <w:pPr>
              <w:pStyle w:val="57"/>
              <w:rPr>
                <w:rFonts w:cs="宋体"/>
                <w:color w:val="auto"/>
                <w:kern w:val="2"/>
                <w:sz w:val="21"/>
                <w:szCs w:val="21"/>
              </w:rPr>
            </w:pPr>
            <w:r>
              <w:rPr>
                <w:rFonts w:hint="eastAsia" w:cs="宋体"/>
                <w:color w:val="auto"/>
                <w:kern w:val="2"/>
                <w:sz w:val="21"/>
                <w:szCs w:val="21"/>
              </w:rPr>
              <w:t>提供有效的ISO9001质量管理体系、ISO14001环境管理体系、职业健康安全管理体系认证证书。提供证书原件扫描件，全国认证认可信息公共服务平台http://cx.cnca.cn/CertECloud/result/skipResultList可查。</w:t>
            </w:r>
          </w:p>
          <w:p w14:paraId="020C3D96">
            <w:pPr>
              <w:pStyle w:val="57"/>
              <w:rPr>
                <w:rFonts w:cs="宋体"/>
                <w:color w:val="auto"/>
                <w:sz w:val="21"/>
                <w:szCs w:val="21"/>
              </w:rPr>
            </w:pPr>
            <w:r>
              <w:rPr>
                <w:rFonts w:hint="eastAsia" w:cs="宋体"/>
                <w:color w:val="auto"/>
                <w:kern w:val="2"/>
                <w:sz w:val="21"/>
                <w:szCs w:val="21"/>
              </w:rPr>
              <w:t>（</w:t>
            </w:r>
            <w:r>
              <w:rPr>
                <w:rFonts w:hint="eastAsia" w:cs="宋体"/>
                <w:color w:val="auto"/>
                <w:sz w:val="21"/>
                <w:szCs w:val="21"/>
                <w:shd w:val="clear" w:color="auto" w:fill="FFFFFF"/>
              </w:rPr>
              <w:t>符合一项得1分，不符合不得分，</w:t>
            </w:r>
            <w:r>
              <w:rPr>
                <w:rFonts w:hint="eastAsia" w:cs="宋体"/>
                <w:color w:val="auto"/>
                <w:sz w:val="21"/>
                <w:szCs w:val="21"/>
              </w:rPr>
              <w:t>共3分</w:t>
            </w:r>
            <w:r>
              <w:rPr>
                <w:rFonts w:hint="eastAsia" w:cs="宋体"/>
                <w:color w:val="auto"/>
                <w:kern w:val="2"/>
                <w:sz w:val="21"/>
                <w:szCs w:val="21"/>
              </w:rPr>
              <w:t>）</w:t>
            </w:r>
          </w:p>
        </w:tc>
        <w:tc>
          <w:tcPr>
            <w:tcW w:w="921" w:type="dxa"/>
            <w:tcBorders>
              <w:top w:val="single" w:color="auto" w:sz="4" w:space="0"/>
              <w:left w:val="nil"/>
              <w:bottom w:val="single" w:color="auto" w:sz="4" w:space="0"/>
              <w:right w:val="single" w:color="auto" w:sz="4" w:space="0"/>
            </w:tcBorders>
            <w:vAlign w:val="center"/>
          </w:tcPr>
          <w:p w14:paraId="194A70F1">
            <w:pPr>
              <w:pStyle w:val="57"/>
              <w:rPr>
                <w:rFonts w:cs="宋体"/>
                <w:color w:val="auto"/>
                <w:kern w:val="2"/>
                <w:sz w:val="21"/>
                <w:szCs w:val="21"/>
              </w:rPr>
            </w:pPr>
            <w:r>
              <w:rPr>
                <w:rFonts w:hint="eastAsia" w:cs="宋体"/>
                <w:color w:val="auto"/>
                <w:kern w:val="2"/>
                <w:sz w:val="21"/>
                <w:szCs w:val="21"/>
              </w:rPr>
              <w:t>3分</w:t>
            </w:r>
          </w:p>
        </w:tc>
        <w:tc>
          <w:tcPr>
            <w:tcW w:w="870" w:type="dxa"/>
            <w:tcBorders>
              <w:top w:val="single" w:color="auto" w:sz="4" w:space="0"/>
              <w:left w:val="nil"/>
              <w:bottom w:val="single" w:color="auto" w:sz="4" w:space="0"/>
              <w:right w:val="single" w:color="auto" w:sz="4" w:space="0"/>
            </w:tcBorders>
            <w:vAlign w:val="center"/>
          </w:tcPr>
          <w:p w14:paraId="698B0CF5">
            <w:pPr>
              <w:pStyle w:val="57"/>
              <w:rPr>
                <w:rFonts w:cs="宋体"/>
                <w:color w:val="auto"/>
                <w:kern w:val="2"/>
                <w:sz w:val="21"/>
                <w:szCs w:val="21"/>
              </w:rPr>
            </w:pPr>
            <w:r>
              <w:rPr>
                <w:rFonts w:hint="eastAsia" w:cs="宋体"/>
                <w:color w:val="auto"/>
                <w:kern w:val="2"/>
                <w:sz w:val="21"/>
                <w:szCs w:val="21"/>
              </w:rPr>
              <w:t>客观</w:t>
            </w:r>
          </w:p>
        </w:tc>
        <w:tc>
          <w:tcPr>
            <w:tcW w:w="870" w:type="dxa"/>
            <w:tcBorders>
              <w:top w:val="single" w:color="auto" w:sz="4" w:space="0"/>
              <w:left w:val="nil"/>
              <w:bottom w:val="single" w:color="auto" w:sz="4" w:space="0"/>
              <w:right w:val="single" w:color="auto" w:sz="4" w:space="0"/>
            </w:tcBorders>
          </w:tcPr>
          <w:p w14:paraId="2F72EBD6">
            <w:pPr>
              <w:pStyle w:val="57"/>
              <w:rPr>
                <w:rFonts w:cs="宋体"/>
                <w:color w:val="auto"/>
                <w:kern w:val="2"/>
                <w:sz w:val="21"/>
                <w:szCs w:val="21"/>
              </w:rPr>
            </w:pPr>
            <w:r>
              <w:rPr>
                <w:rFonts w:hint="eastAsia" w:cs="宋体"/>
                <w:color w:val="auto"/>
                <w:kern w:val="2"/>
                <w:sz w:val="21"/>
                <w:szCs w:val="21"/>
              </w:rPr>
              <w:t>资信情况</w:t>
            </w:r>
          </w:p>
        </w:tc>
      </w:tr>
      <w:tr w14:paraId="55716DA1">
        <w:tblPrEx>
          <w:tblCellMar>
            <w:top w:w="0" w:type="dxa"/>
            <w:left w:w="108" w:type="dxa"/>
            <w:bottom w:w="0" w:type="dxa"/>
            <w:right w:w="108" w:type="dxa"/>
          </w:tblCellMar>
        </w:tblPrEx>
        <w:trPr>
          <w:trHeight w:val="1415" w:hRule="atLeast"/>
        </w:trPr>
        <w:tc>
          <w:tcPr>
            <w:tcW w:w="534" w:type="dxa"/>
            <w:tcBorders>
              <w:top w:val="single" w:color="auto" w:sz="4" w:space="0"/>
              <w:left w:val="single" w:color="auto" w:sz="4" w:space="0"/>
              <w:bottom w:val="single" w:color="auto" w:sz="4" w:space="0"/>
              <w:right w:val="single" w:color="auto" w:sz="4" w:space="0"/>
            </w:tcBorders>
            <w:vAlign w:val="center"/>
          </w:tcPr>
          <w:p w14:paraId="4FB906EB">
            <w:pPr>
              <w:pStyle w:val="57"/>
              <w:rPr>
                <w:rFonts w:cs="宋体"/>
                <w:color w:val="auto"/>
                <w:kern w:val="2"/>
                <w:sz w:val="21"/>
                <w:szCs w:val="21"/>
              </w:rPr>
            </w:pPr>
            <w:r>
              <w:rPr>
                <w:rFonts w:hint="eastAsia" w:cs="宋体"/>
                <w:color w:val="auto"/>
                <w:kern w:val="2"/>
                <w:sz w:val="21"/>
                <w:szCs w:val="21"/>
              </w:rPr>
              <w:t>2</w:t>
            </w:r>
          </w:p>
        </w:tc>
        <w:tc>
          <w:tcPr>
            <w:tcW w:w="5679" w:type="dxa"/>
            <w:tcBorders>
              <w:top w:val="single" w:color="auto" w:sz="4" w:space="0"/>
              <w:left w:val="nil"/>
              <w:bottom w:val="single" w:color="auto" w:sz="4" w:space="0"/>
              <w:right w:val="single" w:color="auto" w:sz="4" w:space="0"/>
            </w:tcBorders>
            <w:vAlign w:val="center"/>
          </w:tcPr>
          <w:p w14:paraId="7452377C">
            <w:pPr>
              <w:pStyle w:val="57"/>
              <w:rPr>
                <w:rFonts w:cs="宋体"/>
                <w:color w:val="auto"/>
                <w:kern w:val="2"/>
                <w:sz w:val="21"/>
                <w:szCs w:val="21"/>
              </w:rPr>
            </w:pPr>
            <w:r>
              <w:rPr>
                <w:rFonts w:hint="eastAsia" w:cs="宋体"/>
                <w:color w:val="auto"/>
                <w:kern w:val="2"/>
                <w:sz w:val="21"/>
                <w:szCs w:val="21"/>
              </w:rPr>
              <w:t>根据本项目物业使用特点提出合理的物业管理服务理念，对管理服务提出服务定位、目标，须结合本项目特点，提出有针对性的，切实可行的方案（符合得4分，部分符合得2分，不符合不得分）</w:t>
            </w:r>
          </w:p>
        </w:tc>
        <w:tc>
          <w:tcPr>
            <w:tcW w:w="921" w:type="dxa"/>
            <w:tcBorders>
              <w:top w:val="single" w:color="auto" w:sz="4" w:space="0"/>
              <w:left w:val="nil"/>
              <w:bottom w:val="single" w:color="auto" w:sz="4" w:space="0"/>
              <w:right w:val="single" w:color="auto" w:sz="4" w:space="0"/>
            </w:tcBorders>
            <w:vAlign w:val="center"/>
          </w:tcPr>
          <w:p w14:paraId="7F6B26C3">
            <w:pPr>
              <w:pStyle w:val="57"/>
              <w:rPr>
                <w:rFonts w:cs="宋体"/>
                <w:color w:val="auto"/>
                <w:kern w:val="2"/>
                <w:sz w:val="21"/>
                <w:szCs w:val="21"/>
              </w:rPr>
            </w:pPr>
            <w:r>
              <w:rPr>
                <w:rFonts w:hint="eastAsia" w:cs="宋体"/>
                <w:color w:val="auto"/>
                <w:kern w:val="2"/>
                <w:sz w:val="21"/>
                <w:szCs w:val="21"/>
              </w:rPr>
              <w:t>4分</w:t>
            </w:r>
          </w:p>
        </w:tc>
        <w:tc>
          <w:tcPr>
            <w:tcW w:w="870" w:type="dxa"/>
            <w:tcBorders>
              <w:top w:val="single" w:color="auto" w:sz="4" w:space="0"/>
              <w:left w:val="nil"/>
              <w:bottom w:val="single" w:color="auto" w:sz="4" w:space="0"/>
              <w:right w:val="single" w:color="auto" w:sz="4" w:space="0"/>
            </w:tcBorders>
            <w:vAlign w:val="center"/>
          </w:tcPr>
          <w:p w14:paraId="07FBF40E">
            <w:pPr>
              <w:pStyle w:val="57"/>
              <w:rPr>
                <w:rFonts w:cs="宋体"/>
                <w:color w:val="auto"/>
                <w:kern w:val="2"/>
                <w:sz w:val="21"/>
                <w:szCs w:val="21"/>
              </w:rPr>
            </w:pPr>
            <w:r>
              <w:rPr>
                <w:rFonts w:hint="eastAsia" w:cs="宋体"/>
                <w:color w:val="auto"/>
                <w:kern w:val="2"/>
                <w:sz w:val="21"/>
                <w:szCs w:val="21"/>
              </w:rPr>
              <w:t>主观</w:t>
            </w:r>
          </w:p>
        </w:tc>
        <w:tc>
          <w:tcPr>
            <w:tcW w:w="870" w:type="dxa"/>
            <w:tcBorders>
              <w:top w:val="single" w:color="auto" w:sz="4" w:space="0"/>
              <w:left w:val="nil"/>
              <w:bottom w:val="single" w:color="auto" w:sz="4" w:space="0"/>
              <w:right w:val="single" w:color="auto" w:sz="4" w:space="0"/>
            </w:tcBorders>
            <w:vAlign w:val="center"/>
          </w:tcPr>
          <w:p w14:paraId="0BD6A37A">
            <w:pPr>
              <w:pStyle w:val="57"/>
              <w:rPr>
                <w:rFonts w:cs="宋体"/>
                <w:color w:val="auto"/>
                <w:kern w:val="2"/>
                <w:sz w:val="21"/>
                <w:szCs w:val="21"/>
              </w:rPr>
            </w:pPr>
            <w:r>
              <w:rPr>
                <w:rFonts w:hint="eastAsia" w:cs="宋体"/>
                <w:color w:val="auto"/>
                <w:kern w:val="2"/>
                <w:sz w:val="21"/>
                <w:szCs w:val="21"/>
              </w:rPr>
              <w:t>理念、定位、目标及方案</w:t>
            </w:r>
          </w:p>
        </w:tc>
      </w:tr>
      <w:tr w14:paraId="3D8BBB96">
        <w:tblPrEx>
          <w:tblCellMar>
            <w:top w:w="0" w:type="dxa"/>
            <w:left w:w="108" w:type="dxa"/>
            <w:bottom w:w="0" w:type="dxa"/>
            <w:right w:w="108" w:type="dxa"/>
          </w:tblCellMar>
        </w:tblPrEx>
        <w:trPr>
          <w:trHeight w:val="1415" w:hRule="atLeast"/>
        </w:trPr>
        <w:tc>
          <w:tcPr>
            <w:tcW w:w="534" w:type="dxa"/>
            <w:tcBorders>
              <w:top w:val="single" w:color="auto" w:sz="4" w:space="0"/>
              <w:left w:val="single" w:color="auto" w:sz="4" w:space="0"/>
              <w:bottom w:val="single" w:color="auto" w:sz="4" w:space="0"/>
              <w:right w:val="single" w:color="auto" w:sz="4" w:space="0"/>
            </w:tcBorders>
            <w:vAlign w:val="center"/>
          </w:tcPr>
          <w:p w14:paraId="77D0558D">
            <w:pPr>
              <w:spacing w:line="360" w:lineRule="auto"/>
              <w:jc w:val="center"/>
              <w:outlineLvl w:val="0"/>
              <w:rPr>
                <w:rFonts w:ascii="宋体" w:hAnsi="宋体" w:cs="宋体"/>
                <w:bCs/>
                <w:color w:val="auto"/>
                <w:kern w:val="0"/>
                <w:szCs w:val="21"/>
              </w:rPr>
            </w:pPr>
            <w:r>
              <w:rPr>
                <w:rFonts w:hint="eastAsia" w:ascii="宋体" w:hAnsi="宋体" w:cs="宋体"/>
                <w:bCs/>
                <w:color w:val="auto"/>
                <w:kern w:val="0"/>
                <w:szCs w:val="21"/>
              </w:rPr>
              <w:t>3</w:t>
            </w:r>
          </w:p>
        </w:tc>
        <w:tc>
          <w:tcPr>
            <w:tcW w:w="5679" w:type="dxa"/>
            <w:tcBorders>
              <w:top w:val="single" w:color="auto" w:sz="4" w:space="0"/>
              <w:left w:val="nil"/>
              <w:bottom w:val="single" w:color="auto" w:sz="4" w:space="0"/>
              <w:right w:val="single" w:color="auto" w:sz="4" w:space="0"/>
            </w:tcBorders>
            <w:vAlign w:val="center"/>
          </w:tcPr>
          <w:p w14:paraId="2EAC5919">
            <w:pPr>
              <w:outlineLvl w:val="0"/>
              <w:rPr>
                <w:rFonts w:ascii="宋体" w:hAnsi="宋体" w:cs="宋体"/>
                <w:bCs/>
                <w:color w:val="auto"/>
                <w:kern w:val="0"/>
                <w:szCs w:val="21"/>
              </w:rPr>
            </w:pPr>
            <w:r>
              <w:rPr>
                <w:rFonts w:hint="eastAsia" w:ascii="宋体" w:hAnsi="宋体" w:cs="宋体"/>
                <w:bCs/>
                <w:color w:val="auto"/>
                <w:kern w:val="0"/>
                <w:szCs w:val="21"/>
              </w:rPr>
              <w:t>针对本项目有比较完善的组织架构及管理制度清晰简练地列出主要管理流程，包括运作流程图、激励机制、监督机制、处理机制（符合得4分，部分符合得2分，不符合不得分）</w:t>
            </w:r>
          </w:p>
        </w:tc>
        <w:tc>
          <w:tcPr>
            <w:tcW w:w="921" w:type="dxa"/>
            <w:tcBorders>
              <w:top w:val="single" w:color="auto" w:sz="4" w:space="0"/>
              <w:left w:val="nil"/>
              <w:bottom w:val="single" w:color="auto" w:sz="4" w:space="0"/>
              <w:right w:val="single" w:color="auto" w:sz="4" w:space="0"/>
            </w:tcBorders>
            <w:vAlign w:val="center"/>
          </w:tcPr>
          <w:p w14:paraId="27DAE8A3">
            <w:pPr>
              <w:spacing w:line="360" w:lineRule="auto"/>
              <w:jc w:val="center"/>
              <w:outlineLvl w:val="0"/>
              <w:rPr>
                <w:rFonts w:ascii="宋体" w:hAnsi="宋体" w:cs="宋体"/>
                <w:bCs/>
                <w:color w:val="auto"/>
                <w:kern w:val="0"/>
                <w:szCs w:val="21"/>
              </w:rPr>
            </w:pPr>
            <w:r>
              <w:rPr>
                <w:rFonts w:hint="eastAsia" w:ascii="宋体" w:hAnsi="宋体" w:cs="宋体"/>
                <w:bCs/>
                <w:color w:val="auto"/>
                <w:kern w:val="0"/>
                <w:szCs w:val="21"/>
              </w:rPr>
              <w:t>4分</w:t>
            </w:r>
          </w:p>
        </w:tc>
        <w:tc>
          <w:tcPr>
            <w:tcW w:w="870" w:type="dxa"/>
            <w:tcBorders>
              <w:top w:val="single" w:color="auto" w:sz="4" w:space="0"/>
              <w:left w:val="nil"/>
              <w:bottom w:val="single" w:color="auto" w:sz="4" w:space="0"/>
              <w:right w:val="single" w:color="auto" w:sz="4" w:space="0"/>
            </w:tcBorders>
            <w:vAlign w:val="center"/>
          </w:tcPr>
          <w:p w14:paraId="67D5E027">
            <w:pPr>
              <w:spacing w:line="360" w:lineRule="auto"/>
              <w:jc w:val="center"/>
              <w:outlineLvl w:val="0"/>
              <w:rPr>
                <w:rFonts w:ascii="宋体" w:hAnsi="宋体" w:cs="宋体"/>
                <w:bCs/>
                <w:color w:val="auto"/>
                <w:kern w:val="0"/>
                <w:szCs w:val="21"/>
              </w:rPr>
            </w:pPr>
            <w:r>
              <w:rPr>
                <w:rFonts w:hint="eastAsia" w:ascii="宋体" w:hAnsi="宋体" w:cs="宋体"/>
                <w:bCs/>
                <w:color w:val="auto"/>
                <w:kern w:val="0"/>
                <w:szCs w:val="21"/>
              </w:rPr>
              <w:t>主观</w:t>
            </w:r>
          </w:p>
        </w:tc>
        <w:tc>
          <w:tcPr>
            <w:tcW w:w="870" w:type="dxa"/>
            <w:tcBorders>
              <w:top w:val="single" w:color="auto" w:sz="4" w:space="0"/>
              <w:left w:val="nil"/>
              <w:bottom w:val="single" w:color="auto" w:sz="4" w:space="0"/>
              <w:right w:val="single" w:color="auto" w:sz="4" w:space="0"/>
            </w:tcBorders>
            <w:vAlign w:val="center"/>
          </w:tcPr>
          <w:p w14:paraId="4E11549B">
            <w:pPr>
              <w:spacing w:line="360" w:lineRule="auto"/>
              <w:outlineLvl w:val="0"/>
              <w:rPr>
                <w:rFonts w:ascii="宋体" w:hAnsi="宋体" w:cs="宋体"/>
                <w:bCs/>
                <w:color w:val="auto"/>
                <w:kern w:val="0"/>
                <w:szCs w:val="21"/>
              </w:rPr>
            </w:pPr>
            <w:r>
              <w:rPr>
                <w:rFonts w:hint="eastAsia" w:ascii="宋体" w:hAnsi="宋体" w:cs="宋体"/>
                <w:bCs/>
                <w:color w:val="auto"/>
                <w:kern w:val="0"/>
                <w:szCs w:val="21"/>
              </w:rPr>
              <w:t>组织架构、管理流程</w:t>
            </w:r>
          </w:p>
        </w:tc>
      </w:tr>
      <w:tr w14:paraId="58CC6145">
        <w:tblPrEx>
          <w:tblCellMar>
            <w:top w:w="0" w:type="dxa"/>
            <w:left w:w="108" w:type="dxa"/>
            <w:bottom w:w="0" w:type="dxa"/>
            <w:right w:w="108" w:type="dxa"/>
          </w:tblCellMar>
        </w:tblPrEx>
        <w:trPr>
          <w:trHeight w:val="1415" w:hRule="atLeast"/>
        </w:trPr>
        <w:tc>
          <w:tcPr>
            <w:tcW w:w="534" w:type="dxa"/>
            <w:tcBorders>
              <w:top w:val="single" w:color="auto" w:sz="4" w:space="0"/>
              <w:left w:val="single" w:color="auto" w:sz="4" w:space="0"/>
              <w:bottom w:val="single" w:color="auto" w:sz="4" w:space="0"/>
              <w:right w:val="single" w:color="auto" w:sz="4" w:space="0"/>
            </w:tcBorders>
            <w:vAlign w:val="center"/>
          </w:tcPr>
          <w:p w14:paraId="2DE950FE">
            <w:pPr>
              <w:spacing w:line="360" w:lineRule="auto"/>
              <w:jc w:val="center"/>
              <w:outlineLvl w:val="0"/>
              <w:rPr>
                <w:rFonts w:ascii="宋体" w:hAnsi="宋体" w:cs="宋体"/>
                <w:bCs/>
                <w:color w:val="auto"/>
                <w:kern w:val="0"/>
                <w:szCs w:val="21"/>
              </w:rPr>
            </w:pPr>
            <w:r>
              <w:rPr>
                <w:rFonts w:hint="eastAsia" w:ascii="宋体" w:hAnsi="宋体" w:cs="宋体"/>
                <w:bCs/>
                <w:color w:val="auto"/>
                <w:kern w:val="0"/>
                <w:szCs w:val="21"/>
              </w:rPr>
              <w:t>4</w:t>
            </w:r>
          </w:p>
        </w:tc>
        <w:tc>
          <w:tcPr>
            <w:tcW w:w="5679" w:type="dxa"/>
            <w:tcBorders>
              <w:top w:val="single" w:color="auto" w:sz="4" w:space="0"/>
              <w:left w:val="nil"/>
              <w:bottom w:val="single" w:color="auto" w:sz="4" w:space="0"/>
              <w:right w:val="single" w:color="auto" w:sz="4" w:space="0"/>
            </w:tcBorders>
            <w:vAlign w:val="center"/>
          </w:tcPr>
          <w:p w14:paraId="1F6F3372">
            <w:pPr>
              <w:outlineLvl w:val="0"/>
              <w:rPr>
                <w:rFonts w:ascii="宋体" w:hAnsi="宋体" w:cs="宋体"/>
                <w:bCs/>
                <w:color w:val="auto"/>
                <w:kern w:val="0"/>
                <w:szCs w:val="21"/>
              </w:rPr>
            </w:pPr>
            <w:r>
              <w:rPr>
                <w:rFonts w:hint="eastAsia" w:ascii="宋体" w:hAnsi="宋体" w:cs="宋体"/>
                <w:bCs/>
                <w:color w:val="auto"/>
                <w:kern w:val="0"/>
                <w:szCs w:val="21"/>
              </w:rPr>
              <w:t>投标方案是否充分考虑用户的日常用途和需求，对本次物管服务内容及现场服务需求是否有较深入的理解和渗透（符合得2分，部分符合得1分，不符合不得分）</w:t>
            </w:r>
          </w:p>
        </w:tc>
        <w:tc>
          <w:tcPr>
            <w:tcW w:w="921" w:type="dxa"/>
            <w:tcBorders>
              <w:top w:val="single" w:color="auto" w:sz="4" w:space="0"/>
              <w:left w:val="nil"/>
              <w:bottom w:val="single" w:color="auto" w:sz="4" w:space="0"/>
              <w:right w:val="single" w:color="auto" w:sz="4" w:space="0"/>
            </w:tcBorders>
            <w:vAlign w:val="center"/>
          </w:tcPr>
          <w:p w14:paraId="4449B236">
            <w:pPr>
              <w:spacing w:line="360" w:lineRule="auto"/>
              <w:jc w:val="center"/>
              <w:outlineLvl w:val="0"/>
              <w:rPr>
                <w:rFonts w:ascii="宋体" w:hAnsi="宋体" w:cs="宋体"/>
                <w:bCs/>
                <w:color w:val="auto"/>
                <w:kern w:val="0"/>
                <w:szCs w:val="21"/>
              </w:rPr>
            </w:pPr>
            <w:r>
              <w:rPr>
                <w:rFonts w:hint="eastAsia" w:ascii="宋体" w:hAnsi="宋体" w:cs="宋体"/>
                <w:bCs/>
                <w:color w:val="auto"/>
                <w:kern w:val="0"/>
                <w:szCs w:val="21"/>
              </w:rPr>
              <w:t>2分</w:t>
            </w:r>
          </w:p>
        </w:tc>
        <w:tc>
          <w:tcPr>
            <w:tcW w:w="870" w:type="dxa"/>
            <w:tcBorders>
              <w:top w:val="single" w:color="auto" w:sz="4" w:space="0"/>
              <w:left w:val="nil"/>
              <w:bottom w:val="single" w:color="auto" w:sz="4" w:space="0"/>
              <w:right w:val="single" w:color="auto" w:sz="4" w:space="0"/>
            </w:tcBorders>
            <w:vAlign w:val="center"/>
          </w:tcPr>
          <w:p w14:paraId="4AF08B02">
            <w:pPr>
              <w:spacing w:line="360" w:lineRule="auto"/>
              <w:jc w:val="center"/>
              <w:rPr>
                <w:rFonts w:ascii="宋体" w:hAnsi="宋体" w:cs="宋体"/>
                <w:bCs/>
                <w:color w:val="auto"/>
                <w:kern w:val="0"/>
                <w:szCs w:val="21"/>
              </w:rPr>
            </w:pPr>
            <w:r>
              <w:rPr>
                <w:rFonts w:hint="eastAsia" w:ascii="宋体" w:hAnsi="宋体" w:cs="宋体"/>
                <w:bCs/>
                <w:color w:val="auto"/>
                <w:kern w:val="0"/>
                <w:szCs w:val="21"/>
              </w:rPr>
              <w:t>主观</w:t>
            </w:r>
          </w:p>
        </w:tc>
        <w:tc>
          <w:tcPr>
            <w:tcW w:w="870" w:type="dxa"/>
            <w:tcBorders>
              <w:top w:val="single" w:color="auto" w:sz="4" w:space="0"/>
              <w:left w:val="nil"/>
              <w:bottom w:val="single" w:color="auto" w:sz="4" w:space="0"/>
              <w:right w:val="single" w:color="auto" w:sz="4" w:space="0"/>
            </w:tcBorders>
            <w:vAlign w:val="center"/>
          </w:tcPr>
          <w:p w14:paraId="152ED76F">
            <w:pPr>
              <w:spacing w:line="360" w:lineRule="auto"/>
              <w:outlineLvl w:val="0"/>
              <w:rPr>
                <w:rFonts w:ascii="宋体" w:hAnsi="宋体" w:cs="宋体"/>
                <w:bCs/>
                <w:color w:val="auto"/>
                <w:kern w:val="0"/>
                <w:szCs w:val="21"/>
              </w:rPr>
            </w:pPr>
            <w:r>
              <w:rPr>
                <w:rFonts w:hint="eastAsia" w:ascii="宋体" w:hAnsi="宋体" w:cs="宋体"/>
                <w:bCs/>
                <w:color w:val="auto"/>
                <w:kern w:val="0"/>
                <w:szCs w:val="21"/>
              </w:rPr>
              <w:t>对本项目的理解与渗透</w:t>
            </w:r>
          </w:p>
        </w:tc>
      </w:tr>
      <w:tr w14:paraId="1B9B5F00">
        <w:tblPrEx>
          <w:tblCellMar>
            <w:top w:w="0" w:type="dxa"/>
            <w:left w:w="108" w:type="dxa"/>
            <w:bottom w:w="0" w:type="dxa"/>
            <w:right w:w="108" w:type="dxa"/>
          </w:tblCellMar>
        </w:tblPrEx>
        <w:trPr>
          <w:trHeight w:val="1740" w:hRule="atLeast"/>
        </w:trPr>
        <w:tc>
          <w:tcPr>
            <w:tcW w:w="534" w:type="dxa"/>
            <w:tcBorders>
              <w:top w:val="single" w:color="auto" w:sz="4" w:space="0"/>
              <w:left w:val="single" w:color="auto" w:sz="4" w:space="0"/>
              <w:bottom w:val="single" w:color="auto" w:sz="4" w:space="0"/>
              <w:right w:val="single" w:color="auto" w:sz="4" w:space="0"/>
            </w:tcBorders>
            <w:vAlign w:val="center"/>
          </w:tcPr>
          <w:p w14:paraId="52868237">
            <w:pPr>
              <w:pStyle w:val="57"/>
              <w:rPr>
                <w:rFonts w:cs="宋体"/>
                <w:color w:val="auto"/>
                <w:sz w:val="21"/>
                <w:szCs w:val="21"/>
              </w:rPr>
            </w:pPr>
            <w:r>
              <w:rPr>
                <w:rFonts w:hint="eastAsia" w:cs="宋体"/>
                <w:color w:val="auto"/>
                <w:sz w:val="21"/>
                <w:szCs w:val="21"/>
              </w:rPr>
              <w:t>5</w:t>
            </w:r>
          </w:p>
        </w:tc>
        <w:tc>
          <w:tcPr>
            <w:tcW w:w="5679" w:type="dxa"/>
            <w:tcBorders>
              <w:top w:val="single" w:color="auto" w:sz="4" w:space="0"/>
              <w:left w:val="nil"/>
              <w:bottom w:val="single" w:color="auto" w:sz="4" w:space="0"/>
              <w:right w:val="single" w:color="auto" w:sz="4" w:space="0"/>
            </w:tcBorders>
            <w:vAlign w:val="center"/>
          </w:tcPr>
          <w:p w14:paraId="7953DF80">
            <w:pPr>
              <w:pStyle w:val="57"/>
              <w:jc w:val="both"/>
              <w:rPr>
                <w:rFonts w:cs="宋体"/>
                <w:color w:val="auto"/>
                <w:sz w:val="21"/>
                <w:szCs w:val="21"/>
              </w:rPr>
            </w:pPr>
            <w:r>
              <w:rPr>
                <w:rFonts w:hint="eastAsia" w:cs="宋体"/>
                <w:color w:val="auto"/>
                <w:sz w:val="21"/>
                <w:szCs w:val="21"/>
              </w:rPr>
              <w:t>安保管理服务方案：</w:t>
            </w:r>
          </w:p>
          <w:p w14:paraId="010F2A4C">
            <w:pPr>
              <w:pStyle w:val="57"/>
              <w:jc w:val="both"/>
              <w:rPr>
                <w:rFonts w:cs="宋体"/>
                <w:color w:val="auto"/>
                <w:sz w:val="21"/>
                <w:szCs w:val="21"/>
              </w:rPr>
            </w:pPr>
            <w:r>
              <w:rPr>
                <w:rFonts w:hint="eastAsia" w:cs="宋体"/>
                <w:color w:val="auto"/>
                <w:sz w:val="21"/>
                <w:szCs w:val="21"/>
              </w:rPr>
              <w:t>包括：1.物业管理区域的日常安全巡查（夜间巡查）；2.24小时执勤；3.进出人员管理工作；4.交通秩序和车辆停放管理；5.治安、消防安全防范工作（含监控设备运行管理）。根据提供方案科学性、可行性及完善性情况进行评分：方案完整明确具体、科学合理、能够实现采购目的、可行性强的视为符合。每一项完全符合采购需求得3分，部分符合得1.5分，不符合或未提供的不得分。本项最高得15分。</w:t>
            </w:r>
          </w:p>
        </w:tc>
        <w:tc>
          <w:tcPr>
            <w:tcW w:w="921" w:type="dxa"/>
            <w:tcBorders>
              <w:top w:val="single" w:color="auto" w:sz="4" w:space="0"/>
              <w:left w:val="nil"/>
              <w:bottom w:val="single" w:color="auto" w:sz="4" w:space="0"/>
              <w:right w:val="single" w:color="auto" w:sz="4" w:space="0"/>
            </w:tcBorders>
            <w:vAlign w:val="center"/>
          </w:tcPr>
          <w:p w14:paraId="0F5CF270">
            <w:pPr>
              <w:pStyle w:val="57"/>
              <w:rPr>
                <w:rFonts w:cs="宋体"/>
                <w:color w:val="auto"/>
                <w:sz w:val="21"/>
                <w:szCs w:val="21"/>
              </w:rPr>
            </w:pPr>
            <w:r>
              <w:rPr>
                <w:rFonts w:hint="eastAsia" w:cs="宋体"/>
                <w:color w:val="auto"/>
                <w:sz w:val="21"/>
                <w:szCs w:val="21"/>
              </w:rPr>
              <w:t>15分</w:t>
            </w:r>
          </w:p>
        </w:tc>
        <w:tc>
          <w:tcPr>
            <w:tcW w:w="870" w:type="dxa"/>
            <w:tcBorders>
              <w:top w:val="single" w:color="auto" w:sz="4" w:space="0"/>
              <w:left w:val="nil"/>
              <w:bottom w:val="single" w:color="auto" w:sz="4" w:space="0"/>
              <w:right w:val="single" w:color="auto" w:sz="4" w:space="0"/>
            </w:tcBorders>
            <w:vAlign w:val="center"/>
          </w:tcPr>
          <w:p w14:paraId="7E6BA693">
            <w:pPr>
              <w:pStyle w:val="57"/>
              <w:rPr>
                <w:rFonts w:cs="宋体"/>
                <w:color w:val="auto"/>
                <w:sz w:val="21"/>
                <w:szCs w:val="21"/>
              </w:rPr>
            </w:pPr>
            <w:r>
              <w:rPr>
                <w:rFonts w:hint="eastAsia" w:cs="宋体"/>
                <w:color w:val="auto"/>
                <w:sz w:val="21"/>
                <w:szCs w:val="21"/>
              </w:rPr>
              <w:t>主观</w:t>
            </w:r>
          </w:p>
        </w:tc>
        <w:tc>
          <w:tcPr>
            <w:tcW w:w="870" w:type="dxa"/>
            <w:tcBorders>
              <w:top w:val="single" w:color="auto" w:sz="4" w:space="0"/>
              <w:left w:val="nil"/>
              <w:bottom w:val="single" w:color="auto" w:sz="4" w:space="0"/>
              <w:right w:val="single" w:color="auto" w:sz="4" w:space="0"/>
            </w:tcBorders>
            <w:vAlign w:val="center"/>
          </w:tcPr>
          <w:p w14:paraId="0BDFD1B9">
            <w:pPr>
              <w:pStyle w:val="57"/>
              <w:rPr>
                <w:rFonts w:cs="宋体"/>
                <w:color w:val="auto"/>
                <w:sz w:val="21"/>
                <w:szCs w:val="21"/>
              </w:rPr>
            </w:pPr>
            <w:r>
              <w:rPr>
                <w:rFonts w:hint="eastAsia" w:cs="宋体"/>
                <w:color w:val="auto"/>
                <w:sz w:val="21"/>
                <w:szCs w:val="21"/>
              </w:rPr>
              <w:t>安保管理服务方案</w:t>
            </w:r>
          </w:p>
        </w:tc>
      </w:tr>
      <w:tr w14:paraId="2052B5CA">
        <w:tblPrEx>
          <w:tblCellMar>
            <w:top w:w="0" w:type="dxa"/>
            <w:left w:w="108" w:type="dxa"/>
            <w:bottom w:w="0" w:type="dxa"/>
            <w:right w:w="108" w:type="dxa"/>
          </w:tblCellMar>
        </w:tblPrEx>
        <w:trPr>
          <w:trHeight w:val="2340" w:hRule="atLeast"/>
        </w:trPr>
        <w:tc>
          <w:tcPr>
            <w:tcW w:w="534" w:type="dxa"/>
            <w:tcBorders>
              <w:top w:val="single" w:color="auto" w:sz="4" w:space="0"/>
              <w:left w:val="single" w:color="auto" w:sz="4" w:space="0"/>
              <w:bottom w:val="single" w:color="auto" w:sz="4" w:space="0"/>
              <w:right w:val="single" w:color="auto" w:sz="4" w:space="0"/>
            </w:tcBorders>
            <w:vAlign w:val="center"/>
          </w:tcPr>
          <w:p w14:paraId="170555F4">
            <w:pPr>
              <w:pStyle w:val="57"/>
              <w:rPr>
                <w:rFonts w:cs="宋体"/>
                <w:color w:val="auto"/>
                <w:sz w:val="21"/>
                <w:szCs w:val="21"/>
              </w:rPr>
            </w:pPr>
            <w:r>
              <w:rPr>
                <w:rFonts w:hint="eastAsia" w:cs="宋体"/>
                <w:color w:val="auto"/>
                <w:sz w:val="21"/>
                <w:szCs w:val="21"/>
              </w:rPr>
              <w:t>6</w:t>
            </w:r>
          </w:p>
        </w:tc>
        <w:tc>
          <w:tcPr>
            <w:tcW w:w="5679" w:type="dxa"/>
            <w:tcBorders>
              <w:top w:val="single" w:color="auto" w:sz="4" w:space="0"/>
              <w:left w:val="nil"/>
              <w:bottom w:val="single" w:color="auto" w:sz="4" w:space="0"/>
              <w:right w:val="single" w:color="auto" w:sz="4" w:space="0"/>
            </w:tcBorders>
            <w:vAlign w:val="center"/>
          </w:tcPr>
          <w:p w14:paraId="748637B6">
            <w:pPr>
              <w:pStyle w:val="57"/>
              <w:jc w:val="both"/>
              <w:rPr>
                <w:rFonts w:cs="宋体"/>
                <w:color w:val="auto"/>
                <w:sz w:val="21"/>
                <w:szCs w:val="21"/>
              </w:rPr>
            </w:pPr>
            <w:r>
              <w:rPr>
                <w:rFonts w:hint="eastAsia" w:cs="宋体"/>
                <w:color w:val="auto"/>
                <w:sz w:val="21"/>
                <w:szCs w:val="21"/>
              </w:rPr>
              <w:t>环卫保洁服务方案：</w:t>
            </w:r>
          </w:p>
          <w:p w14:paraId="26E58ECF">
            <w:pPr>
              <w:pStyle w:val="57"/>
              <w:jc w:val="both"/>
              <w:rPr>
                <w:rFonts w:cs="宋体"/>
                <w:color w:val="auto"/>
                <w:sz w:val="21"/>
                <w:szCs w:val="21"/>
              </w:rPr>
            </w:pPr>
            <w:r>
              <w:rPr>
                <w:rFonts w:hint="eastAsia" w:cs="宋体"/>
                <w:color w:val="auto"/>
                <w:sz w:val="21"/>
                <w:szCs w:val="21"/>
              </w:rPr>
              <w:t>包括1.物业服务区内的公共场所日常保洁服务；2.门厅等特定区域保洁服务工作；3.屋顶等边缘区的保洁服务工作；4.电梯的保洁服务工作；5.垃圾分类相关工作。方案根据服务区域内实际情况设计，能符合采购需求中的服务质量标准，每一项完全符合采购需求得3分，部分符合得1.5分，不符合或未提供的不得分。本项最高得15分。</w:t>
            </w:r>
          </w:p>
        </w:tc>
        <w:tc>
          <w:tcPr>
            <w:tcW w:w="921" w:type="dxa"/>
            <w:tcBorders>
              <w:top w:val="single" w:color="auto" w:sz="4" w:space="0"/>
              <w:left w:val="nil"/>
              <w:bottom w:val="single" w:color="auto" w:sz="4" w:space="0"/>
              <w:right w:val="single" w:color="auto" w:sz="4" w:space="0"/>
            </w:tcBorders>
            <w:vAlign w:val="center"/>
          </w:tcPr>
          <w:p w14:paraId="109E31CD">
            <w:pPr>
              <w:pStyle w:val="57"/>
              <w:rPr>
                <w:rFonts w:cs="宋体"/>
                <w:color w:val="auto"/>
                <w:sz w:val="21"/>
                <w:szCs w:val="21"/>
              </w:rPr>
            </w:pPr>
            <w:r>
              <w:rPr>
                <w:rFonts w:hint="eastAsia" w:cs="宋体"/>
                <w:color w:val="auto"/>
                <w:sz w:val="21"/>
                <w:szCs w:val="21"/>
              </w:rPr>
              <w:t>15分</w:t>
            </w:r>
          </w:p>
        </w:tc>
        <w:tc>
          <w:tcPr>
            <w:tcW w:w="870" w:type="dxa"/>
            <w:tcBorders>
              <w:top w:val="single" w:color="auto" w:sz="4" w:space="0"/>
              <w:left w:val="nil"/>
              <w:bottom w:val="single" w:color="auto" w:sz="4" w:space="0"/>
              <w:right w:val="single" w:color="auto" w:sz="4" w:space="0"/>
            </w:tcBorders>
            <w:vAlign w:val="center"/>
          </w:tcPr>
          <w:p w14:paraId="2047429B">
            <w:pPr>
              <w:pStyle w:val="57"/>
              <w:rPr>
                <w:rFonts w:cs="宋体"/>
                <w:color w:val="auto"/>
                <w:sz w:val="21"/>
                <w:szCs w:val="21"/>
              </w:rPr>
            </w:pPr>
            <w:r>
              <w:rPr>
                <w:rFonts w:hint="eastAsia" w:cs="宋体"/>
                <w:color w:val="auto"/>
                <w:sz w:val="21"/>
                <w:szCs w:val="21"/>
              </w:rPr>
              <w:t>主观</w:t>
            </w:r>
          </w:p>
        </w:tc>
        <w:tc>
          <w:tcPr>
            <w:tcW w:w="870" w:type="dxa"/>
            <w:tcBorders>
              <w:top w:val="single" w:color="auto" w:sz="4" w:space="0"/>
              <w:left w:val="nil"/>
              <w:bottom w:val="single" w:color="auto" w:sz="4" w:space="0"/>
              <w:right w:val="single" w:color="auto" w:sz="4" w:space="0"/>
            </w:tcBorders>
            <w:vAlign w:val="center"/>
          </w:tcPr>
          <w:p w14:paraId="0DFB50AF">
            <w:pPr>
              <w:pStyle w:val="57"/>
              <w:rPr>
                <w:rFonts w:cs="宋体"/>
                <w:color w:val="auto"/>
                <w:sz w:val="21"/>
                <w:szCs w:val="21"/>
              </w:rPr>
            </w:pPr>
            <w:r>
              <w:rPr>
                <w:rFonts w:hint="eastAsia" w:cs="宋体"/>
                <w:color w:val="auto"/>
                <w:sz w:val="21"/>
                <w:szCs w:val="21"/>
              </w:rPr>
              <w:t>环卫保洁服务方案</w:t>
            </w:r>
          </w:p>
        </w:tc>
      </w:tr>
      <w:tr w14:paraId="1099E8A7">
        <w:tblPrEx>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vAlign w:val="center"/>
          </w:tcPr>
          <w:p w14:paraId="2783C55B">
            <w:pPr>
              <w:pStyle w:val="57"/>
              <w:rPr>
                <w:rFonts w:cs="宋体"/>
                <w:color w:val="auto"/>
                <w:sz w:val="21"/>
                <w:szCs w:val="21"/>
              </w:rPr>
            </w:pPr>
            <w:r>
              <w:rPr>
                <w:rFonts w:hint="eastAsia" w:cs="宋体"/>
                <w:color w:val="auto"/>
                <w:sz w:val="21"/>
                <w:szCs w:val="21"/>
              </w:rPr>
              <w:t>7</w:t>
            </w:r>
          </w:p>
        </w:tc>
        <w:tc>
          <w:tcPr>
            <w:tcW w:w="5679" w:type="dxa"/>
            <w:tcBorders>
              <w:top w:val="single" w:color="auto" w:sz="4" w:space="0"/>
              <w:left w:val="nil"/>
              <w:bottom w:val="single" w:color="auto" w:sz="4" w:space="0"/>
              <w:right w:val="single" w:color="auto" w:sz="4" w:space="0"/>
            </w:tcBorders>
            <w:vAlign w:val="center"/>
          </w:tcPr>
          <w:p w14:paraId="20F8632E">
            <w:pPr>
              <w:pStyle w:val="57"/>
              <w:jc w:val="both"/>
              <w:rPr>
                <w:rFonts w:cs="宋体"/>
                <w:color w:val="auto"/>
                <w:sz w:val="21"/>
                <w:szCs w:val="21"/>
              </w:rPr>
            </w:pPr>
            <w:r>
              <w:rPr>
                <w:rFonts w:hint="eastAsia" w:cs="宋体"/>
                <w:color w:val="auto"/>
                <w:sz w:val="21"/>
                <w:szCs w:val="21"/>
              </w:rPr>
              <w:t>绿化养护服务方案：</w:t>
            </w:r>
          </w:p>
          <w:p w14:paraId="3AC2F34F">
            <w:pPr>
              <w:pStyle w:val="57"/>
              <w:jc w:val="both"/>
              <w:rPr>
                <w:rFonts w:cs="宋体"/>
                <w:color w:val="auto"/>
                <w:sz w:val="21"/>
                <w:szCs w:val="21"/>
              </w:rPr>
            </w:pPr>
            <w:r>
              <w:rPr>
                <w:rFonts w:hint="eastAsia" w:cs="宋体"/>
                <w:color w:val="auto"/>
                <w:sz w:val="21"/>
                <w:szCs w:val="21"/>
              </w:rPr>
              <w:t>包括1.项目范围内的树木、花草等日常养护和管理；2.绿地的养护及卫生管理，根据采购人要求做好养护。3.做好室内公共区域绿化得体摆放。方案根据服务区域内实际情况设计，能符合采购需求中的服务质量标准，每一项完全符合采购需求得2分，部分符合得1分，不符合或未提供的不得分。本项最高得6分。</w:t>
            </w:r>
          </w:p>
        </w:tc>
        <w:tc>
          <w:tcPr>
            <w:tcW w:w="921" w:type="dxa"/>
            <w:tcBorders>
              <w:top w:val="single" w:color="auto" w:sz="4" w:space="0"/>
              <w:left w:val="nil"/>
              <w:bottom w:val="single" w:color="auto" w:sz="4" w:space="0"/>
              <w:right w:val="single" w:color="auto" w:sz="4" w:space="0"/>
            </w:tcBorders>
            <w:vAlign w:val="center"/>
          </w:tcPr>
          <w:p w14:paraId="3A6B0927">
            <w:pPr>
              <w:pStyle w:val="57"/>
              <w:rPr>
                <w:rFonts w:cs="宋体"/>
                <w:color w:val="auto"/>
                <w:sz w:val="21"/>
                <w:szCs w:val="21"/>
              </w:rPr>
            </w:pPr>
            <w:r>
              <w:rPr>
                <w:rFonts w:hint="eastAsia" w:cs="宋体"/>
                <w:color w:val="auto"/>
                <w:sz w:val="21"/>
                <w:szCs w:val="21"/>
              </w:rPr>
              <w:t>6分</w:t>
            </w:r>
          </w:p>
        </w:tc>
        <w:tc>
          <w:tcPr>
            <w:tcW w:w="870" w:type="dxa"/>
            <w:tcBorders>
              <w:top w:val="single" w:color="auto" w:sz="4" w:space="0"/>
              <w:left w:val="nil"/>
              <w:bottom w:val="single" w:color="auto" w:sz="4" w:space="0"/>
              <w:right w:val="single" w:color="auto" w:sz="4" w:space="0"/>
            </w:tcBorders>
            <w:vAlign w:val="center"/>
          </w:tcPr>
          <w:p w14:paraId="1B1EE326">
            <w:pPr>
              <w:pStyle w:val="57"/>
              <w:rPr>
                <w:rFonts w:cs="宋体"/>
                <w:color w:val="auto"/>
                <w:sz w:val="21"/>
                <w:szCs w:val="21"/>
              </w:rPr>
            </w:pPr>
            <w:r>
              <w:rPr>
                <w:rFonts w:hint="eastAsia" w:cs="宋体"/>
                <w:color w:val="auto"/>
                <w:sz w:val="21"/>
                <w:szCs w:val="21"/>
              </w:rPr>
              <w:t>主观</w:t>
            </w:r>
          </w:p>
        </w:tc>
        <w:tc>
          <w:tcPr>
            <w:tcW w:w="870" w:type="dxa"/>
            <w:tcBorders>
              <w:top w:val="single" w:color="auto" w:sz="4" w:space="0"/>
              <w:left w:val="nil"/>
              <w:bottom w:val="single" w:color="auto" w:sz="4" w:space="0"/>
              <w:right w:val="single" w:color="auto" w:sz="4" w:space="0"/>
            </w:tcBorders>
            <w:vAlign w:val="center"/>
          </w:tcPr>
          <w:p w14:paraId="3C7FE11F">
            <w:pPr>
              <w:pStyle w:val="57"/>
              <w:rPr>
                <w:rFonts w:cs="宋体"/>
                <w:color w:val="auto"/>
                <w:sz w:val="21"/>
                <w:szCs w:val="21"/>
              </w:rPr>
            </w:pPr>
            <w:r>
              <w:rPr>
                <w:rFonts w:hint="eastAsia" w:cs="宋体"/>
                <w:color w:val="auto"/>
                <w:sz w:val="21"/>
                <w:szCs w:val="21"/>
              </w:rPr>
              <w:t>绿化养护服务方案</w:t>
            </w:r>
          </w:p>
        </w:tc>
      </w:tr>
      <w:tr w14:paraId="30215968">
        <w:tblPrEx>
          <w:tblCellMar>
            <w:top w:w="0" w:type="dxa"/>
            <w:left w:w="108" w:type="dxa"/>
            <w:bottom w:w="0" w:type="dxa"/>
            <w:right w:w="108" w:type="dxa"/>
          </w:tblCellMar>
        </w:tblPrEx>
        <w:trPr>
          <w:trHeight w:val="2579" w:hRule="atLeast"/>
        </w:trPr>
        <w:tc>
          <w:tcPr>
            <w:tcW w:w="534" w:type="dxa"/>
            <w:tcBorders>
              <w:top w:val="single" w:color="auto" w:sz="4" w:space="0"/>
              <w:left w:val="single" w:color="auto" w:sz="4" w:space="0"/>
              <w:bottom w:val="single" w:color="auto" w:sz="4" w:space="0"/>
              <w:right w:val="single" w:color="auto" w:sz="4" w:space="0"/>
            </w:tcBorders>
            <w:vAlign w:val="center"/>
          </w:tcPr>
          <w:p w14:paraId="3970F1E5">
            <w:pPr>
              <w:pStyle w:val="57"/>
              <w:rPr>
                <w:rFonts w:cs="宋体"/>
                <w:color w:val="auto"/>
                <w:sz w:val="21"/>
                <w:szCs w:val="21"/>
              </w:rPr>
            </w:pPr>
            <w:r>
              <w:rPr>
                <w:rFonts w:hint="eastAsia" w:cs="宋体"/>
                <w:color w:val="auto"/>
                <w:sz w:val="21"/>
                <w:szCs w:val="21"/>
              </w:rPr>
              <w:t>8</w:t>
            </w:r>
          </w:p>
        </w:tc>
        <w:tc>
          <w:tcPr>
            <w:tcW w:w="5679" w:type="dxa"/>
            <w:tcBorders>
              <w:top w:val="single" w:color="auto" w:sz="4" w:space="0"/>
              <w:left w:val="nil"/>
              <w:bottom w:val="single" w:color="auto" w:sz="4" w:space="0"/>
              <w:right w:val="single" w:color="auto" w:sz="4" w:space="0"/>
            </w:tcBorders>
            <w:vAlign w:val="center"/>
          </w:tcPr>
          <w:p w14:paraId="01EF56D9">
            <w:pPr>
              <w:pStyle w:val="57"/>
              <w:jc w:val="both"/>
              <w:rPr>
                <w:rFonts w:cs="宋体"/>
                <w:color w:val="auto"/>
                <w:sz w:val="21"/>
                <w:szCs w:val="21"/>
              </w:rPr>
            </w:pPr>
            <w:r>
              <w:rPr>
                <w:rFonts w:hint="eastAsia" w:cs="宋体"/>
                <w:color w:val="auto"/>
                <w:sz w:val="21"/>
                <w:szCs w:val="21"/>
              </w:rPr>
              <w:t>设施维保服务方案：</w:t>
            </w:r>
          </w:p>
          <w:p w14:paraId="62BF6EA1">
            <w:pPr>
              <w:pStyle w:val="57"/>
              <w:jc w:val="both"/>
              <w:rPr>
                <w:rFonts w:cs="宋体"/>
                <w:color w:val="auto"/>
                <w:sz w:val="21"/>
                <w:szCs w:val="21"/>
              </w:rPr>
            </w:pPr>
            <w:r>
              <w:rPr>
                <w:rFonts w:hint="eastAsia" w:cs="宋体"/>
                <w:color w:val="auto"/>
                <w:sz w:val="21"/>
                <w:szCs w:val="21"/>
              </w:rPr>
              <w:t>包括1.日常运作弱电系统、供电设备、给排水设备等各配套基础设施设备的维护、操作、检测和管理;2.各专业设备的年检年修；3.电梯日常管理；4.电梯的专业维保；5.标项内所有房屋及相关设备设施的日常养护和巡查维修；6.公共区域灯、开关、水龙头、水管等巡查维修。方案根据服务区域内实际情况设计，能符合采购需求中的服务质量标准，每一项完全符合采购需求得3分，部分符合得1.5分，不符合或未提供的不得分。本项最高得18分。</w:t>
            </w:r>
          </w:p>
        </w:tc>
        <w:tc>
          <w:tcPr>
            <w:tcW w:w="921" w:type="dxa"/>
            <w:tcBorders>
              <w:top w:val="single" w:color="auto" w:sz="4" w:space="0"/>
              <w:left w:val="nil"/>
              <w:bottom w:val="single" w:color="auto" w:sz="4" w:space="0"/>
              <w:right w:val="single" w:color="auto" w:sz="4" w:space="0"/>
            </w:tcBorders>
            <w:vAlign w:val="center"/>
          </w:tcPr>
          <w:p w14:paraId="1C0A7FF1">
            <w:pPr>
              <w:pStyle w:val="57"/>
              <w:rPr>
                <w:rFonts w:cs="宋体"/>
                <w:color w:val="auto"/>
                <w:sz w:val="21"/>
                <w:szCs w:val="21"/>
              </w:rPr>
            </w:pPr>
            <w:r>
              <w:rPr>
                <w:rFonts w:hint="eastAsia" w:cs="宋体"/>
                <w:color w:val="auto"/>
                <w:sz w:val="21"/>
                <w:szCs w:val="21"/>
              </w:rPr>
              <w:t>18分</w:t>
            </w:r>
          </w:p>
        </w:tc>
        <w:tc>
          <w:tcPr>
            <w:tcW w:w="870" w:type="dxa"/>
            <w:tcBorders>
              <w:top w:val="single" w:color="auto" w:sz="4" w:space="0"/>
              <w:left w:val="nil"/>
              <w:bottom w:val="single" w:color="auto" w:sz="4" w:space="0"/>
              <w:right w:val="single" w:color="auto" w:sz="4" w:space="0"/>
            </w:tcBorders>
            <w:vAlign w:val="center"/>
          </w:tcPr>
          <w:p w14:paraId="287C13E5">
            <w:pPr>
              <w:pStyle w:val="57"/>
              <w:rPr>
                <w:rFonts w:cs="宋体"/>
                <w:color w:val="auto"/>
                <w:sz w:val="21"/>
                <w:szCs w:val="21"/>
              </w:rPr>
            </w:pPr>
            <w:r>
              <w:rPr>
                <w:rFonts w:hint="eastAsia" w:cs="宋体"/>
                <w:color w:val="auto"/>
                <w:sz w:val="21"/>
                <w:szCs w:val="21"/>
              </w:rPr>
              <w:t>主观</w:t>
            </w:r>
          </w:p>
        </w:tc>
        <w:tc>
          <w:tcPr>
            <w:tcW w:w="870" w:type="dxa"/>
            <w:tcBorders>
              <w:top w:val="single" w:color="auto" w:sz="4" w:space="0"/>
              <w:left w:val="nil"/>
              <w:bottom w:val="single" w:color="auto" w:sz="4" w:space="0"/>
              <w:right w:val="single" w:color="auto" w:sz="4" w:space="0"/>
            </w:tcBorders>
            <w:vAlign w:val="center"/>
          </w:tcPr>
          <w:p w14:paraId="5CF73300">
            <w:pPr>
              <w:pStyle w:val="57"/>
              <w:rPr>
                <w:rFonts w:cs="宋体"/>
                <w:color w:val="auto"/>
                <w:sz w:val="21"/>
                <w:szCs w:val="21"/>
              </w:rPr>
            </w:pPr>
            <w:r>
              <w:rPr>
                <w:rFonts w:hint="eastAsia" w:cs="宋体"/>
                <w:color w:val="auto"/>
                <w:sz w:val="21"/>
                <w:szCs w:val="21"/>
              </w:rPr>
              <w:t>设施维保服务方案</w:t>
            </w:r>
          </w:p>
        </w:tc>
      </w:tr>
      <w:tr w14:paraId="2867FCB0">
        <w:tblPrEx>
          <w:tblCellMar>
            <w:top w:w="0" w:type="dxa"/>
            <w:left w:w="108" w:type="dxa"/>
            <w:bottom w:w="0" w:type="dxa"/>
            <w:right w:w="108" w:type="dxa"/>
          </w:tblCellMar>
        </w:tblPrEx>
        <w:trPr>
          <w:trHeight w:val="1716" w:hRule="atLeast"/>
        </w:trPr>
        <w:tc>
          <w:tcPr>
            <w:tcW w:w="534" w:type="dxa"/>
            <w:tcBorders>
              <w:top w:val="single" w:color="auto" w:sz="4" w:space="0"/>
              <w:left w:val="single" w:color="auto" w:sz="4" w:space="0"/>
              <w:bottom w:val="single" w:color="auto" w:sz="4" w:space="0"/>
              <w:right w:val="single" w:color="auto" w:sz="4" w:space="0"/>
            </w:tcBorders>
            <w:vAlign w:val="center"/>
          </w:tcPr>
          <w:p w14:paraId="2F5C0C56">
            <w:pPr>
              <w:pStyle w:val="57"/>
              <w:rPr>
                <w:rFonts w:cs="宋体"/>
                <w:color w:val="auto"/>
                <w:sz w:val="21"/>
                <w:szCs w:val="21"/>
              </w:rPr>
            </w:pPr>
            <w:r>
              <w:rPr>
                <w:rFonts w:hint="eastAsia" w:cs="宋体"/>
                <w:color w:val="auto"/>
                <w:sz w:val="21"/>
                <w:szCs w:val="21"/>
              </w:rPr>
              <w:t>9</w:t>
            </w:r>
          </w:p>
        </w:tc>
        <w:tc>
          <w:tcPr>
            <w:tcW w:w="5679" w:type="dxa"/>
            <w:tcBorders>
              <w:top w:val="single" w:color="auto" w:sz="4" w:space="0"/>
              <w:left w:val="nil"/>
              <w:bottom w:val="single" w:color="auto" w:sz="4" w:space="0"/>
              <w:right w:val="single" w:color="auto" w:sz="4" w:space="0"/>
            </w:tcBorders>
            <w:vAlign w:val="center"/>
          </w:tcPr>
          <w:p w14:paraId="67A8A432">
            <w:pPr>
              <w:pStyle w:val="57"/>
              <w:jc w:val="both"/>
              <w:rPr>
                <w:rFonts w:cs="宋体"/>
                <w:color w:val="auto"/>
                <w:sz w:val="21"/>
                <w:szCs w:val="21"/>
              </w:rPr>
            </w:pPr>
            <w:r>
              <w:rPr>
                <w:rFonts w:hint="eastAsia" w:cs="宋体"/>
                <w:color w:val="auto"/>
                <w:sz w:val="21"/>
                <w:szCs w:val="21"/>
              </w:rPr>
              <w:t>会议服务方案：</w:t>
            </w:r>
          </w:p>
          <w:p w14:paraId="38F43DDE">
            <w:pPr>
              <w:rPr>
                <w:rFonts w:ascii="宋体" w:hAnsi="宋体" w:cs="宋体"/>
                <w:color w:val="auto"/>
                <w:kern w:val="0"/>
                <w:szCs w:val="21"/>
              </w:rPr>
            </w:pPr>
            <w:r>
              <w:rPr>
                <w:rFonts w:hint="eastAsia" w:ascii="宋体" w:hAnsi="宋体" w:cs="宋体"/>
                <w:color w:val="auto"/>
                <w:kern w:val="0"/>
                <w:szCs w:val="21"/>
              </w:rPr>
              <w:t>包括1.会场布置（包括桌椅摆放），会议期间保障；2..会后清场等工作。方案根据服务区域内实际情况设计，能符合采购需求中的服务质量标准，每一项完全符合采购需求得2分，部分符合得1分，不符合或未提供的不得分。本项最高得4分。</w:t>
            </w:r>
          </w:p>
        </w:tc>
        <w:tc>
          <w:tcPr>
            <w:tcW w:w="921" w:type="dxa"/>
            <w:tcBorders>
              <w:top w:val="single" w:color="auto" w:sz="4" w:space="0"/>
              <w:left w:val="nil"/>
              <w:bottom w:val="single" w:color="auto" w:sz="4" w:space="0"/>
              <w:right w:val="single" w:color="auto" w:sz="4" w:space="0"/>
            </w:tcBorders>
            <w:vAlign w:val="center"/>
          </w:tcPr>
          <w:p w14:paraId="05098C5F">
            <w:pPr>
              <w:pStyle w:val="57"/>
              <w:rPr>
                <w:rFonts w:cs="宋体"/>
                <w:color w:val="auto"/>
                <w:sz w:val="21"/>
                <w:szCs w:val="21"/>
              </w:rPr>
            </w:pPr>
            <w:r>
              <w:rPr>
                <w:rFonts w:hint="eastAsia" w:cs="宋体"/>
                <w:color w:val="auto"/>
                <w:sz w:val="21"/>
                <w:szCs w:val="21"/>
              </w:rPr>
              <w:t>4分</w:t>
            </w:r>
          </w:p>
        </w:tc>
        <w:tc>
          <w:tcPr>
            <w:tcW w:w="870" w:type="dxa"/>
            <w:tcBorders>
              <w:top w:val="single" w:color="auto" w:sz="4" w:space="0"/>
              <w:left w:val="nil"/>
              <w:bottom w:val="single" w:color="auto" w:sz="4" w:space="0"/>
              <w:right w:val="single" w:color="auto" w:sz="4" w:space="0"/>
            </w:tcBorders>
            <w:vAlign w:val="center"/>
          </w:tcPr>
          <w:p w14:paraId="563913AC">
            <w:pPr>
              <w:pStyle w:val="57"/>
              <w:rPr>
                <w:rFonts w:cs="宋体"/>
                <w:color w:val="auto"/>
                <w:sz w:val="21"/>
                <w:szCs w:val="21"/>
              </w:rPr>
            </w:pPr>
            <w:r>
              <w:rPr>
                <w:rFonts w:hint="eastAsia" w:cs="宋体"/>
                <w:color w:val="auto"/>
                <w:sz w:val="21"/>
                <w:szCs w:val="21"/>
              </w:rPr>
              <w:t>主观</w:t>
            </w:r>
          </w:p>
        </w:tc>
        <w:tc>
          <w:tcPr>
            <w:tcW w:w="870" w:type="dxa"/>
            <w:tcBorders>
              <w:top w:val="single" w:color="auto" w:sz="4" w:space="0"/>
              <w:left w:val="nil"/>
              <w:bottom w:val="single" w:color="auto" w:sz="4" w:space="0"/>
              <w:right w:val="single" w:color="auto" w:sz="4" w:space="0"/>
            </w:tcBorders>
            <w:vAlign w:val="center"/>
          </w:tcPr>
          <w:p w14:paraId="1245C443">
            <w:pPr>
              <w:pStyle w:val="57"/>
              <w:rPr>
                <w:rFonts w:cs="宋体"/>
                <w:color w:val="auto"/>
                <w:sz w:val="21"/>
                <w:szCs w:val="21"/>
              </w:rPr>
            </w:pPr>
            <w:r>
              <w:rPr>
                <w:rFonts w:hint="eastAsia" w:cs="宋体"/>
                <w:color w:val="auto"/>
                <w:sz w:val="21"/>
                <w:szCs w:val="21"/>
              </w:rPr>
              <w:t>会议服务方案</w:t>
            </w:r>
          </w:p>
        </w:tc>
      </w:tr>
      <w:tr w14:paraId="1BBA0262">
        <w:tblPrEx>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vAlign w:val="center"/>
          </w:tcPr>
          <w:p w14:paraId="710AEF6B">
            <w:pPr>
              <w:pStyle w:val="57"/>
              <w:rPr>
                <w:rFonts w:cs="宋体"/>
                <w:color w:val="auto"/>
                <w:sz w:val="21"/>
                <w:szCs w:val="21"/>
              </w:rPr>
            </w:pPr>
            <w:r>
              <w:rPr>
                <w:rFonts w:hint="eastAsia" w:cs="宋体"/>
                <w:color w:val="auto"/>
                <w:sz w:val="21"/>
                <w:szCs w:val="21"/>
              </w:rPr>
              <w:t>10</w:t>
            </w:r>
          </w:p>
        </w:tc>
        <w:tc>
          <w:tcPr>
            <w:tcW w:w="5679" w:type="dxa"/>
            <w:tcBorders>
              <w:top w:val="single" w:color="auto" w:sz="4" w:space="0"/>
              <w:left w:val="nil"/>
              <w:bottom w:val="single" w:color="auto" w:sz="4" w:space="0"/>
              <w:right w:val="single" w:color="auto" w:sz="4" w:space="0"/>
            </w:tcBorders>
            <w:vAlign w:val="center"/>
          </w:tcPr>
          <w:p w14:paraId="0A84B1CC">
            <w:pPr>
              <w:pStyle w:val="712"/>
              <w:spacing w:after="120" w:line="24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信息沟通及处理机制方案：</w:t>
            </w:r>
          </w:p>
          <w:p w14:paraId="5297CAD6">
            <w:pPr>
              <w:rPr>
                <w:rFonts w:ascii="宋体" w:hAnsi="宋体" w:cs="宋体"/>
                <w:color w:val="auto"/>
                <w:kern w:val="0"/>
                <w:szCs w:val="21"/>
              </w:rPr>
            </w:pPr>
            <w:r>
              <w:rPr>
                <w:rFonts w:hint="eastAsia" w:ascii="宋体" w:hAnsi="宋体" w:cs="宋体"/>
                <w:color w:val="auto"/>
                <w:kern w:val="0"/>
                <w:szCs w:val="21"/>
              </w:rPr>
              <w:t>包括1.建立服务热线，有专职人员负责接听服务范围内的电话受理工作；2.具有多渠道面向采购人的信息反馈机制，人员变动备案，具体实施方案切实可行、有针对性。（</w:t>
            </w:r>
            <w:r>
              <w:rPr>
                <w:rFonts w:hint="eastAsia" w:ascii="宋体" w:hAnsi="宋体" w:cs="宋体"/>
                <w:color w:val="auto"/>
                <w:kern w:val="0"/>
                <w:szCs w:val="21"/>
                <w:lang w:eastAsia="zh-CN"/>
              </w:rPr>
              <w:t>每一项</w:t>
            </w:r>
            <w:r>
              <w:rPr>
                <w:rFonts w:hint="eastAsia" w:ascii="宋体" w:hAnsi="宋体" w:cs="宋体"/>
                <w:color w:val="auto"/>
                <w:kern w:val="0"/>
                <w:szCs w:val="21"/>
              </w:rPr>
              <w:t>完全符合得2分，部分符合得1分，不符合不得分）。本项最高得4分。</w:t>
            </w:r>
          </w:p>
        </w:tc>
        <w:tc>
          <w:tcPr>
            <w:tcW w:w="921" w:type="dxa"/>
            <w:tcBorders>
              <w:top w:val="single" w:color="auto" w:sz="4" w:space="0"/>
              <w:left w:val="nil"/>
              <w:bottom w:val="single" w:color="auto" w:sz="4" w:space="0"/>
              <w:right w:val="single" w:color="auto" w:sz="4" w:space="0"/>
            </w:tcBorders>
            <w:vAlign w:val="center"/>
          </w:tcPr>
          <w:p w14:paraId="24E576DF">
            <w:pPr>
              <w:pStyle w:val="2"/>
              <w:ind w:left="210" w:leftChars="100" w:firstLine="0"/>
              <w:jc w:val="center"/>
              <w:rPr>
                <w:rFonts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4分</w:t>
            </w:r>
          </w:p>
        </w:tc>
        <w:tc>
          <w:tcPr>
            <w:tcW w:w="870" w:type="dxa"/>
            <w:tcBorders>
              <w:top w:val="single" w:color="auto" w:sz="4" w:space="0"/>
              <w:left w:val="nil"/>
              <w:bottom w:val="single" w:color="auto" w:sz="4" w:space="0"/>
              <w:right w:val="single" w:color="auto" w:sz="4" w:space="0"/>
            </w:tcBorders>
            <w:vAlign w:val="center"/>
          </w:tcPr>
          <w:p w14:paraId="4A3E9A69">
            <w:pPr>
              <w:pStyle w:val="2"/>
              <w:jc w:val="center"/>
              <w:rPr>
                <w:rFonts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主观</w:t>
            </w:r>
          </w:p>
        </w:tc>
        <w:tc>
          <w:tcPr>
            <w:tcW w:w="870" w:type="dxa"/>
            <w:tcBorders>
              <w:top w:val="single" w:color="auto" w:sz="4" w:space="0"/>
              <w:left w:val="nil"/>
              <w:bottom w:val="single" w:color="auto" w:sz="4" w:space="0"/>
              <w:right w:val="single" w:color="auto" w:sz="4" w:space="0"/>
            </w:tcBorders>
            <w:vAlign w:val="center"/>
          </w:tcPr>
          <w:p w14:paraId="53BF5CD8">
            <w:pPr>
              <w:pStyle w:val="2"/>
              <w:rPr>
                <w:rFonts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信息沟通及</w:t>
            </w:r>
          </w:p>
          <w:p w14:paraId="489CB412">
            <w:pPr>
              <w:pStyle w:val="2"/>
              <w:rPr>
                <w:rFonts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处理机制</w:t>
            </w:r>
          </w:p>
        </w:tc>
      </w:tr>
      <w:tr w14:paraId="1FAA2EA0">
        <w:tblPrEx>
          <w:tblCellMar>
            <w:top w:w="0" w:type="dxa"/>
            <w:left w:w="108" w:type="dxa"/>
            <w:bottom w:w="0" w:type="dxa"/>
            <w:right w:w="108" w:type="dxa"/>
          </w:tblCellMar>
        </w:tblPrEx>
        <w:trPr>
          <w:trHeight w:val="2289" w:hRule="atLeast"/>
        </w:trPr>
        <w:tc>
          <w:tcPr>
            <w:tcW w:w="534" w:type="dxa"/>
            <w:tcBorders>
              <w:top w:val="single" w:color="auto" w:sz="4" w:space="0"/>
              <w:left w:val="single" w:color="auto" w:sz="4" w:space="0"/>
              <w:bottom w:val="single" w:color="auto" w:sz="4" w:space="0"/>
              <w:right w:val="single" w:color="auto" w:sz="4" w:space="0"/>
            </w:tcBorders>
            <w:vAlign w:val="center"/>
          </w:tcPr>
          <w:p w14:paraId="1EEBBD41">
            <w:pPr>
              <w:pStyle w:val="57"/>
              <w:rPr>
                <w:rFonts w:cs="宋体"/>
                <w:color w:val="auto"/>
                <w:sz w:val="21"/>
                <w:szCs w:val="21"/>
              </w:rPr>
            </w:pPr>
            <w:r>
              <w:rPr>
                <w:rFonts w:hint="eastAsia" w:cs="宋体"/>
                <w:color w:val="auto"/>
                <w:sz w:val="21"/>
                <w:szCs w:val="21"/>
              </w:rPr>
              <w:t>11</w:t>
            </w:r>
          </w:p>
        </w:tc>
        <w:tc>
          <w:tcPr>
            <w:tcW w:w="5679" w:type="dxa"/>
            <w:tcBorders>
              <w:top w:val="single" w:color="auto" w:sz="4" w:space="0"/>
              <w:left w:val="nil"/>
              <w:bottom w:val="single" w:color="auto" w:sz="4" w:space="0"/>
              <w:right w:val="single" w:color="auto" w:sz="4" w:space="0"/>
            </w:tcBorders>
            <w:vAlign w:val="center"/>
          </w:tcPr>
          <w:p w14:paraId="5E6E85A4">
            <w:pPr>
              <w:rPr>
                <w:rFonts w:ascii="宋体" w:hAnsi="宋体" w:cs="宋体"/>
                <w:b/>
                <w:color w:val="auto"/>
                <w:kern w:val="0"/>
                <w:szCs w:val="21"/>
              </w:rPr>
            </w:pPr>
            <w:r>
              <w:rPr>
                <w:rFonts w:hint="eastAsia" w:ascii="宋体" w:hAnsi="宋体" w:cs="宋体"/>
                <w:b/>
                <w:color w:val="auto"/>
                <w:kern w:val="0"/>
                <w:szCs w:val="21"/>
              </w:rPr>
              <w:t>重大活动保障及紧急事件处理方案：</w:t>
            </w:r>
          </w:p>
          <w:p w14:paraId="5536E774">
            <w:pPr>
              <w:pStyle w:val="57"/>
              <w:rPr>
                <w:rFonts w:cs="宋体"/>
                <w:color w:val="auto"/>
                <w:sz w:val="21"/>
                <w:szCs w:val="21"/>
              </w:rPr>
            </w:pPr>
            <w:r>
              <w:rPr>
                <w:rFonts w:hint="eastAsia" w:cs="宋体"/>
                <w:color w:val="auto"/>
                <w:sz w:val="21"/>
                <w:szCs w:val="21"/>
              </w:rPr>
              <w:t>包括1.庆典、节日等活动，物业区域内布置；能保证活动期间全过程值班，满足服务需求，确保各项活动正常进行。2.对紧急事件（包括发生台风、暴雨等灾害性天气及其他突发事件）时的应急预案及相应的措施。（全部符合得4分，部分符合得2分，不符合不得分）。本项最高得4分</w:t>
            </w:r>
          </w:p>
          <w:p w14:paraId="697E4C7D">
            <w:pPr>
              <w:autoSpaceDE w:val="0"/>
              <w:jc w:val="left"/>
              <w:rPr>
                <w:rFonts w:ascii="宋体" w:hAnsi="宋体" w:cs="宋体"/>
                <w:b/>
                <w:color w:val="auto"/>
                <w:kern w:val="0"/>
                <w:szCs w:val="21"/>
              </w:rPr>
            </w:pPr>
          </w:p>
        </w:tc>
        <w:tc>
          <w:tcPr>
            <w:tcW w:w="921" w:type="dxa"/>
            <w:tcBorders>
              <w:top w:val="single" w:color="auto" w:sz="4" w:space="0"/>
              <w:left w:val="nil"/>
              <w:bottom w:val="single" w:color="auto" w:sz="4" w:space="0"/>
              <w:right w:val="single" w:color="auto" w:sz="4" w:space="0"/>
            </w:tcBorders>
            <w:vAlign w:val="center"/>
          </w:tcPr>
          <w:p w14:paraId="21293FAE">
            <w:pPr>
              <w:pStyle w:val="57"/>
              <w:rPr>
                <w:rFonts w:cs="宋体"/>
                <w:color w:val="auto"/>
                <w:sz w:val="21"/>
                <w:szCs w:val="21"/>
              </w:rPr>
            </w:pPr>
            <w:r>
              <w:rPr>
                <w:rFonts w:hint="eastAsia" w:cs="宋体"/>
                <w:color w:val="auto"/>
                <w:sz w:val="21"/>
                <w:szCs w:val="21"/>
              </w:rPr>
              <w:t>4</w:t>
            </w:r>
          </w:p>
        </w:tc>
        <w:tc>
          <w:tcPr>
            <w:tcW w:w="870" w:type="dxa"/>
            <w:tcBorders>
              <w:top w:val="single" w:color="auto" w:sz="4" w:space="0"/>
              <w:left w:val="nil"/>
              <w:bottom w:val="single" w:color="auto" w:sz="4" w:space="0"/>
              <w:right w:val="single" w:color="auto" w:sz="4" w:space="0"/>
            </w:tcBorders>
            <w:vAlign w:val="center"/>
          </w:tcPr>
          <w:p w14:paraId="58847529">
            <w:pPr>
              <w:pStyle w:val="57"/>
              <w:rPr>
                <w:rFonts w:cs="宋体"/>
                <w:color w:val="auto"/>
                <w:sz w:val="21"/>
                <w:szCs w:val="21"/>
              </w:rPr>
            </w:pPr>
            <w:r>
              <w:rPr>
                <w:rFonts w:hint="eastAsia" w:cs="宋体"/>
                <w:color w:val="auto"/>
                <w:sz w:val="21"/>
                <w:szCs w:val="21"/>
              </w:rPr>
              <w:t>主观</w:t>
            </w:r>
          </w:p>
        </w:tc>
        <w:tc>
          <w:tcPr>
            <w:tcW w:w="870" w:type="dxa"/>
            <w:tcBorders>
              <w:top w:val="single" w:color="auto" w:sz="4" w:space="0"/>
              <w:left w:val="nil"/>
              <w:bottom w:val="single" w:color="auto" w:sz="4" w:space="0"/>
              <w:right w:val="single" w:color="auto" w:sz="4" w:space="0"/>
            </w:tcBorders>
          </w:tcPr>
          <w:p w14:paraId="1A2B4EB1">
            <w:pPr>
              <w:pStyle w:val="57"/>
              <w:rPr>
                <w:rFonts w:cs="宋体"/>
                <w:color w:val="auto"/>
                <w:sz w:val="21"/>
                <w:szCs w:val="21"/>
              </w:rPr>
            </w:pPr>
            <w:r>
              <w:rPr>
                <w:rFonts w:hint="eastAsia" w:cs="宋体"/>
                <w:color w:val="auto"/>
                <w:sz w:val="21"/>
                <w:szCs w:val="21"/>
              </w:rPr>
              <w:t>重大活动保障方案及紧急事件处理方案</w:t>
            </w:r>
          </w:p>
        </w:tc>
      </w:tr>
      <w:tr w14:paraId="750D3C70">
        <w:tblPrEx>
          <w:tblCellMar>
            <w:top w:w="0" w:type="dxa"/>
            <w:left w:w="108" w:type="dxa"/>
            <w:bottom w:w="0" w:type="dxa"/>
            <w:right w:w="108" w:type="dxa"/>
          </w:tblCellMar>
        </w:tblPrEx>
        <w:trPr>
          <w:trHeight w:val="1509" w:hRule="atLeast"/>
        </w:trPr>
        <w:tc>
          <w:tcPr>
            <w:tcW w:w="534" w:type="dxa"/>
            <w:tcBorders>
              <w:top w:val="single" w:color="auto" w:sz="4" w:space="0"/>
              <w:left w:val="single" w:color="auto" w:sz="4" w:space="0"/>
              <w:bottom w:val="single" w:color="auto" w:sz="4" w:space="0"/>
              <w:right w:val="single" w:color="auto" w:sz="4" w:space="0"/>
            </w:tcBorders>
            <w:vAlign w:val="center"/>
          </w:tcPr>
          <w:p w14:paraId="375CC330">
            <w:pPr>
              <w:pStyle w:val="57"/>
              <w:rPr>
                <w:rFonts w:cs="宋体"/>
                <w:color w:val="auto"/>
                <w:kern w:val="2"/>
                <w:sz w:val="21"/>
                <w:szCs w:val="21"/>
              </w:rPr>
            </w:pPr>
            <w:r>
              <w:rPr>
                <w:rFonts w:hint="eastAsia" w:cs="宋体"/>
                <w:color w:val="auto"/>
                <w:kern w:val="2"/>
                <w:sz w:val="21"/>
                <w:szCs w:val="21"/>
              </w:rPr>
              <w:t>12</w:t>
            </w:r>
          </w:p>
        </w:tc>
        <w:tc>
          <w:tcPr>
            <w:tcW w:w="5679" w:type="dxa"/>
            <w:tcBorders>
              <w:top w:val="single" w:color="auto" w:sz="4" w:space="0"/>
              <w:left w:val="nil"/>
              <w:bottom w:val="single" w:color="auto" w:sz="4" w:space="0"/>
              <w:right w:val="single" w:color="auto" w:sz="4" w:space="0"/>
            </w:tcBorders>
            <w:vAlign w:val="center"/>
          </w:tcPr>
          <w:p w14:paraId="2DA64D27">
            <w:pPr>
              <w:autoSpaceDE w:val="0"/>
              <w:jc w:val="left"/>
              <w:rPr>
                <w:rFonts w:ascii="宋体" w:hAnsi="宋体" w:cs="宋体"/>
                <w:b/>
                <w:color w:val="auto"/>
                <w:szCs w:val="21"/>
              </w:rPr>
            </w:pPr>
            <w:r>
              <w:rPr>
                <w:rFonts w:hint="eastAsia" w:ascii="宋体" w:hAnsi="宋体" w:cs="宋体"/>
                <w:b/>
                <w:color w:val="auto"/>
                <w:szCs w:val="21"/>
              </w:rPr>
              <w:t>人员配置包括：</w:t>
            </w:r>
          </w:p>
          <w:p w14:paraId="05794338">
            <w:pPr>
              <w:pStyle w:val="57"/>
              <w:rPr>
                <w:rFonts w:cs="宋体"/>
                <w:color w:val="auto"/>
                <w:kern w:val="2"/>
                <w:sz w:val="21"/>
                <w:szCs w:val="21"/>
              </w:rPr>
            </w:pPr>
            <w:r>
              <w:rPr>
                <w:rFonts w:hint="eastAsia" w:cs="宋体"/>
                <w:color w:val="auto"/>
                <w:kern w:val="2"/>
                <w:sz w:val="21"/>
                <w:szCs w:val="21"/>
              </w:rPr>
              <w:t xml:space="preserve">（1）物业服务经理 </w:t>
            </w:r>
          </w:p>
          <w:p w14:paraId="1D20A4F8">
            <w:pPr>
              <w:rPr>
                <w:rFonts w:ascii="宋体" w:hAnsi="宋体" w:cs="宋体"/>
                <w:b/>
                <w:color w:val="auto"/>
                <w:szCs w:val="21"/>
              </w:rPr>
            </w:pPr>
            <w:r>
              <w:rPr>
                <w:rFonts w:hint="eastAsia" w:ascii="宋体" w:hAnsi="宋体" w:cs="宋体"/>
                <w:b/>
                <w:color w:val="auto"/>
                <w:szCs w:val="21"/>
              </w:rPr>
              <w:t>a.年龄在55周岁及以下</w:t>
            </w:r>
            <w:r>
              <w:rPr>
                <w:rFonts w:hint="eastAsia" w:ascii="宋体" w:hAnsi="宋体" w:cs="宋体"/>
                <w:b/>
                <w:color w:val="auto"/>
                <w:szCs w:val="21"/>
                <w:lang w:eastAsia="zh-CN"/>
              </w:rPr>
              <w:t>（提供身份证复印件），</w:t>
            </w:r>
            <w:r>
              <w:rPr>
                <w:rFonts w:hint="eastAsia" w:ascii="宋体" w:hAnsi="宋体" w:cs="宋体"/>
                <w:b/>
                <w:color w:val="auto"/>
                <w:szCs w:val="21"/>
              </w:rPr>
              <w:t>满足得1分，不满足不得分；</w:t>
            </w:r>
          </w:p>
          <w:p w14:paraId="761B72B9">
            <w:pPr>
              <w:rPr>
                <w:rFonts w:ascii="宋体" w:hAnsi="宋体" w:cs="宋体"/>
                <w:b/>
                <w:color w:val="auto"/>
                <w:szCs w:val="21"/>
              </w:rPr>
            </w:pPr>
            <w:r>
              <w:rPr>
                <w:rFonts w:hint="eastAsia" w:ascii="宋体" w:hAnsi="宋体" w:cs="宋体"/>
                <w:b/>
                <w:color w:val="auto"/>
                <w:szCs w:val="21"/>
              </w:rPr>
              <w:t>b.大专及以上学历（提供学历证书</w:t>
            </w:r>
            <w:r>
              <w:rPr>
                <w:rFonts w:hint="eastAsia" w:ascii="宋体" w:hAnsi="宋体" w:cs="宋体"/>
                <w:b/>
                <w:color w:val="auto"/>
                <w:szCs w:val="21"/>
                <w:lang w:val="en-US" w:eastAsia="zh-CN"/>
              </w:rPr>
              <w:t>复印件</w:t>
            </w:r>
            <w:r>
              <w:rPr>
                <w:rFonts w:hint="eastAsia" w:ascii="宋体" w:hAnsi="宋体" w:cs="宋体"/>
                <w:b/>
                <w:color w:val="auto"/>
                <w:szCs w:val="21"/>
              </w:rPr>
              <w:t>）,满足得1分，不满足不得分；</w:t>
            </w:r>
          </w:p>
          <w:p w14:paraId="0200DFBB">
            <w:pPr>
              <w:rPr>
                <w:rFonts w:ascii="宋体" w:hAnsi="宋体" w:cs="宋体"/>
                <w:color w:val="auto"/>
                <w:szCs w:val="21"/>
              </w:rPr>
            </w:pPr>
            <w:r>
              <w:rPr>
                <w:rFonts w:hint="eastAsia" w:ascii="宋体" w:hAnsi="宋体" w:cs="宋体"/>
                <w:b/>
                <w:color w:val="auto"/>
                <w:szCs w:val="21"/>
              </w:rPr>
              <w:t>c. 有担任物业管理负责人经验</w:t>
            </w:r>
            <w:r>
              <w:rPr>
                <w:rFonts w:hint="eastAsia" w:ascii="宋体" w:hAnsi="宋体" w:cs="宋体"/>
                <w:color w:val="auto"/>
                <w:szCs w:val="21"/>
              </w:rPr>
              <w:t>（提供相关项目合同，且合同中体现人员信息证明）</w:t>
            </w:r>
            <w:r>
              <w:rPr>
                <w:rFonts w:hint="eastAsia" w:ascii="宋体" w:hAnsi="宋体" w:cs="宋体"/>
                <w:b/>
                <w:color w:val="auto"/>
                <w:szCs w:val="21"/>
              </w:rPr>
              <w:t>,满足得1分，不满足不得分；</w:t>
            </w:r>
          </w:p>
          <w:p w14:paraId="69E438D0">
            <w:pPr>
              <w:pStyle w:val="57"/>
              <w:rPr>
                <w:rFonts w:cs="宋体"/>
                <w:color w:val="auto"/>
                <w:kern w:val="2"/>
                <w:sz w:val="21"/>
                <w:szCs w:val="21"/>
              </w:rPr>
            </w:pPr>
            <w:r>
              <w:rPr>
                <w:rFonts w:hint="eastAsia" w:cs="宋体"/>
                <w:color w:val="auto"/>
                <w:kern w:val="2"/>
                <w:sz w:val="21"/>
                <w:szCs w:val="21"/>
              </w:rPr>
              <w:t>（每符合一项得1分，最高得3分）；</w:t>
            </w:r>
          </w:p>
          <w:p w14:paraId="12AADAE5">
            <w:pPr>
              <w:pStyle w:val="57"/>
              <w:rPr>
                <w:rFonts w:cs="宋体"/>
                <w:color w:val="auto"/>
                <w:kern w:val="2"/>
                <w:sz w:val="21"/>
                <w:szCs w:val="21"/>
              </w:rPr>
            </w:pPr>
            <w:r>
              <w:rPr>
                <w:rFonts w:hint="eastAsia" w:cs="宋体"/>
                <w:color w:val="auto"/>
                <w:kern w:val="2"/>
                <w:sz w:val="21"/>
                <w:szCs w:val="21"/>
              </w:rPr>
              <w:t xml:space="preserve">（2）环卫保洁人员 </w:t>
            </w:r>
          </w:p>
          <w:p w14:paraId="29F30D12">
            <w:pPr>
              <w:pStyle w:val="57"/>
              <w:rPr>
                <w:rFonts w:hint="default" w:eastAsia="宋体" w:cs="宋体"/>
                <w:color w:val="auto"/>
                <w:kern w:val="2"/>
                <w:sz w:val="21"/>
                <w:szCs w:val="21"/>
                <w:lang w:val="en-US" w:eastAsia="zh-CN"/>
              </w:rPr>
            </w:pPr>
            <w:r>
              <w:rPr>
                <w:rFonts w:hint="eastAsia" w:cs="宋体"/>
                <w:color w:val="auto"/>
                <w:kern w:val="2"/>
                <w:sz w:val="21"/>
                <w:szCs w:val="21"/>
              </w:rPr>
              <w:t>男60周岁内，女55周岁内，人数不少于8人，</w:t>
            </w:r>
            <w:r>
              <w:rPr>
                <w:rFonts w:hint="eastAsia" w:cs="宋体"/>
                <w:color w:val="auto"/>
                <w:kern w:val="2"/>
                <w:sz w:val="21"/>
                <w:szCs w:val="21"/>
                <w:lang w:eastAsia="zh-CN"/>
              </w:rPr>
              <w:t>提供身份证复印件，</w:t>
            </w:r>
            <w:r>
              <w:rPr>
                <w:rFonts w:hint="eastAsia" w:cs="宋体"/>
                <w:color w:val="auto"/>
                <w:kern w:val="2"/>
                <w:sz w:val="21"/>
                <w:szCs w:val="21"/>
              </w:rPr>
              <w:t>满足得</w:t>
            </w:r>
            <w:r>
              <w:rPr>
                <w:rFonts w:hint="eastAsia" w:cs="宋体"/>
                <w:color w:val="auto"/>
                <w:kern w:val="2"/>
                <w:sz w:val="21"/>
                <w:szCs w:val="21"/>
                <w:lang w:val="en-US" w:eastAsia="zh-CN"/>
              </w:rPr>
              <w:t>2</w:t>
            </w:r>
            <w:r>
              <w:rPr>
                <w:rFonts w:hint="eastAsia" w:cs="宋体"/>
                <w:color w:val="auto"/>
                <w:kern w:val="2"/>
                <w:sz w:val="21"/>
                <w:szCs w:val="21"/>
              </w:rPr>
              <w:t>分；每增加1人得1分，最高得</w:t>
            </w:r>
            <w:r>
              <w:rPr>
                <w:rFonts w:hint="eastAsia" w:cs="宋体"/>
                <w:color w:val="auto"/>
                <w:kern w:val="2"/>
                <w:sz w:val="21"/>
                <w:szCs w:val="21"/>
                <w:lang w:val="en-US" w:eastAsia="zh-CN"/>
              </w:rPr>
              <w:t>1</w:t>
            </w:r>
            <w:r>
              <w:rPr>
                <w:rFonts w:hint="eastAsia" w:cs="宋体"/>
                <w:color w:val="auto"/>
                <w:kern w:val="2"/>
                <w:sz w:val="21"/>
                <w:szCs w:val="21"/>
              </w:rPr>
              <w:t>分；</w:t>
            </w:r>
            <w:r>
              <w:rPr>
                <w:rFonts w:hint="eastAsia"/>
                <w:color w:val="auto"/>
                <w:lang w:eastAsia="zh-CN"/>
              </w:rPr>
              <w:t>本项共</w:t>
            </w:r>
            <w:r>
              <w:rPr>
                <w:rFonts w:hint="eastAsia"/>
                <w:color w:val="auto"/>
                <w:lang w:val="en-US" w:eastAsia="zh-CN"/>
              </w:rPr>
              <w:t>3分。</w:t>
            </w:r>
          </w:p>
          <w:p w14:paraId="2172B668">
            <w:pPr>
              <w:pStyle w:val="57"/>
              <w:rPr>
                <w:rFonts w:cs="宋体"/>
                <w:color w:val="auto"/>
                <w:kern w:val="2"/>
                <w:sz w:val="21"/>
                <w:szCs w:val="21"/>
              </w:rPr>
            </w:pPr>
            <w:r>
              <w:rPr>
                <w:rFonts w:hint="eastAsia" w:cs="宋体"/>
                <w:color w:val="auto"/>
                <w:kern w:val="2"/>
                <w:sz w:val="21"/>
                <w:szCs w:val="21"/>
              </w:rPr>
              <w:t xml:space="preserve">（3）安保人员  </w:t>
            </w:r>
          </w:p>
          <w:p w14:paraId="06437913">
            <w:pPr>
              <w:pStyle w:val="57"/>
              <w:rPr>
                <w:rFonts w:hint="default" w:eastAsia="宋体" w:cs="宋体"/>
                <w:color w:val="auto"/>
                <w:kern w:val="2"/>
                <w:sz w:val="21"/>
                <w:szCs w:val="21"/>
                <w:lang w:val="en-US" w:eastAsia="zh-CN"/>
              </w:rPr>
            </w:pPr>
            <w:r>
              <w:rPr>
                <w:rFonts w:hint="eastAsia" w:cs="宋体"/>
                <w:color w:val="auto"/>
                <w:kern w:val="2"/>
                <w:sz w:val="21"/>
                <w:szCs w:val="21"/>
              </w:rPr>
              <w:t>男57周岁内，女52周岁内，人数不少于15人，</w:t>
            </w:r>
            <w:r>
              <w:rPr>
                <w:rFonts w:hint="eastAsia" w:cs="宋体"/>
                <w:color w:val="auto"/>
                <w:kern w:val="2"/>
                <w:sz w:val="21"/>
                <w:szCs w:val="21"/>
                <w:lang w:eastAsia="zh-CN"/>
              </w:rPr>
              <w:t>提供身份证复印件，</w:t>
            </w:r>
            <w:r>
              <w:rPr>
                <w:rFonts w:hint="eastAsia" w:cs="宋体"/>
                <w:color w:val="auto"/>
                <w:kern w:val="2"/>
                <w:sz w:val="21"/>
                <w:szCs w:val="21"/>
              </w:rPr>
              <w:t>满足得</w:t>
            </w:r>
            <w:r>
              <w:rPr>
                <w:rFonts w:hint="eastAsia" w:cs="宋体"/>
                <w:color w:val="auto"/>
                <w:kern w:val="2"/>
                <w:sz w:val="21"/>
                <w:szCs w:val="21"/>
                <w:lang w:val="en-US" w:eastAsia="zh-CN"/>
              </w:rPr>
              <w:t>2</w:t>
            </w:r>
            <w:r>
              <w:rPr>
                <w:rFonts w:hint="eastAsia" w:cs="宋体"/>
                <w:color w:val="auto"/>
                <w:kern w:val="2"/>
                <w:sz w:val="21"/>
                <w:szCs w:val="21"/>
              </w:rPr>
              <w:t>分;每增加1人得1分，最高得</w:t>
            </w:r>
            <w:r>
              <w:rPr>
                <w:rFonts w:hint="eastAsia" w:cs="宋体"/>
                <w:color w:val="auto"/>
                <w:kern w:val="2"/>
                <w:sz w:val="21"/>
                <w:szCs w:val="21"/>
                <w:lang w:val="en-US" w:eastAsia="zh-CN"/>
              </w:rPr>
              <w:t>1</w:t>
            </w:r>
            <w:r>
              <w:rPr>
                <w:rFonts w:hint="eastAsia" w:cs="宋体"/>
                <w:color w:val="auto"/>
                <w:kern w:val="2"/>
                <w:sz w:val="21"/>
                <w:szCs w:val="21"/>
              </w:rPr>
              <w:t>分；</w:t>
            </w:r>
            <w:r>
              <w:rPr>
                <w:rFonts w:hint="eastAsia"/>
                <w:color w:val="auto"/>
                <w:lang w:eastAsia="zh-CN"/>
              </w:rPr>
              <w:t>本项共</w:t>
            </w:r>
            <w:r>
              <w:rPr>
                <w:rFonts w:hint="eastAsia"/>
                <w:color w:val="auto"/>
                <w:lang w:val="en-US" w:eastAsia="zh-CN"/>
              </w:rPr>
              <w:t>3分。</w:t>
            </w:r>
          </w:p>
          <w:p w14:paraId="37DE7A21">
            <w:pPr>
              <w:pStyle w:val="57"/>
              <w:rPr>
                <w:rFonts w:cs="宋体"/>
                <w:color w:val="auto"/>
                <w:kern w:val="2"/>
                <w:sz w:val="21"/>
                <w:szCs w:val="21"/>
              </w:rPr>
            </w:pPr>
            <w:r>
              <w:rPr>
                <w:rFonts w:hint="eastAsia" w:cs="宋体"/>
                <w:color w:val="auto"/>
                <w:kern w:val="2"/>
                <w:sz w:val="21"/>
                <w:szCs w:val="21"/>
              </w:rPr>
              <w:t xml:space="preserve">(4)会议服务人员  </w:t>
            </w:r>
          </w:p>
          <w:p w14:paraId="3025522F">
            <w:pPr>
              <w:pStyle w:val="57"/>
              <w:rPr>
                <w:rFonts w:cs="宋体"/>
                <w:color w:val="auto"/>
                <w:kern w:val="2"/>
                <w:sz w:val="21"/>
                <w:szCs w:val="21"/>
              </w:rPr>
            </w:pPr>
            <w:r>
              <w:rPr>
                <w:rFonts w:hint="eastAsia" w:cs="宋体"/>
                <w:color w:val="auto"/>
                <w:kern w:val="2"/>
                <w:sz w:val="21"/>
                <w:szCs w:val="21"/>
              </w:rPr>
              <w:t>女性，45周岁及以下，提供身份证复印件，满足得1分，不满足不得分；</w:t>
            </w:r>
          </w:p>
          <w:p w14:paraId="667C46C5">
            <w:pPr>
              <w:pStyle w:val="57"/>
              <w:rPr>
                <w:rFonts w:cs="宋体"/>
                <w:color w:val="auto"/>
                <w:kern w:val="2"/>
                <w:sz w:val="21"/>
                <w:szCs w:val="21"/>
              </w:rPr>
            </w:pPr>
            <w:r>
              <w:rPr>
                <w:rFonts w:hint="eastAsia" w:cs="宋体"/>
                <w:color w:val="auto"/>
                <w:kern w:val="2"/>
                <w:sz w:val="21"/>
                <w:szCs w:val="21"/>
              </w:rPr>
              <w:t xml:space="preserve">（5）工程维保人员 </w:t>
            </w:r>
          </w:p>
          <w:p w14:paraId="7210E0A3">
            <w:pPr>
              <w:pStyle w:val="57"/>
              <w:rPr>
                <w:rFonts w:cs="宋体"/>
                <w:bCs/>
                <w:color w:val="auto"/>
                <w:kern w:val="2"/>
                <w:sz w:val="21"/>
                <w:szCs w:val="21"/>
              </w:rPr>
            </w:pPr>
            <w:r>
              <w:rPr>
                <w:rFonts w:hint="eastAsia" w:cs="宋体"/>
                <w:color w:val="auto"/>
                <w:kern w:val="2"/>
                <w:sz w:val="21"/>
                <w:szCs w:val="21"/>
              </w:rPr>
              <w:t>男55周岁内，女50周岁内，人数不少于2人，</w:t>
            </w:r>
            <w:r>
              <w:rPr>
                <w:rFonts w:hint="eastAsia" w:cs="宋体"/>
                <w:color w:val="auto"/>
                <w:kern w:val="2"/>
                <w:sz w:val="21"/>
                <w:szCs w:val="21"/>
                <w:lang w:eastAsia="zh-CN"/>
              </w:rPr>
              <w:t>提供身份证复印件，</w:t>
            </w:r>
            <w:r>
              <w:rPr>
                <w:rFonts w:hint="eastAsia" w:cs="宋体"/>
                <w:color w:val="auto"/>
                <w:kern w:val="2"/>
                <w:sz w:val="21"/>
                <w:szCs w:val="21"/>
              </w:rPr>
              <w:t>满足得1分，不满足不得分；</w:t>
            </w:r>
            <w:r>
              <w:rPr>
                <w:rFonts w:hint="eastAsia" w:cs="宋体"/>
                <w:bCs/>
                <w:color w:val="auto"/>
                <w:kern w:val="2"/>
                <w:sz w:val="21"/>
                <w:szCs w:val="21"/>
              </w:rPr>
              <w:t xml:space="preserve"> </w:t>
            </w:r>
          </w:p>
          <w:p w14:paraId="705DD450">
            <w:pPr>
              <w:pStyle w:val="57"/>
              <w:rPr>
                <w:rFonts w:cs="宋体"/>
                <w:color w:val="auto"/>
                <w:kern w:val="2"/>
                <w:sz w:val="21"/>
                <w:szCs w:val="21"/>
              </w:rPr>
            </w:pPr>
            <w:r>
              <w:rPr>
                <w:rFonts w:hint="eastAsia" w:cs="宋体"/>
                <w:color w:val="auto"/>
                <w:kern w:val="2"/>
                <w:sz w:val="21"/>
                <w:szCs w:val="21"/>
              </w:rPr>
              <w:t>（需提供以上项目组人员在投标人单位的社保缴纳记录或提供投标人和拟派人员共同出具的保证能在本项目服务期间专职为本项目服务的承诺函；否则不得分）</w:t>
            </w:r>
          </w:p>
        </w:tc>
        <w:tc>
          <w:tcPr>
            <w:tcW w:w="921" w:type="dxa"/>
            <w:tcBorders>
              <w:top w:val="single" w:color="auto" w:sz="4" w:space="0"/>
              <w:left w:val="nil"/>
              <w:bottom w:val="single" w:color="auto" w:sz="4" w:space="0"/>
              <w:right w:val="single" w:color="auto" w:sz="4" w:space="0"/>
            </w:tcBorders>
            <w:vAlign w:val="center"/>
          </w:tcPr>
          <w:p w14:paraId="2CF94AA2">
            <w:pPr>
              <w:pStyle w:val="57"/>
              <w:rPr>
                <w:rFonts w:cs="宋体"/>
                <w:color w:val="auto"/>
                <w:kern w:val="2"/>
                <w:sz w:val="21"/>
                <w:szCs w:val="21"/>
              </w:rPr>
            </w:pPr>
            <w:r>
              <w:rPr>
                <w:rFonts w:hint="eastAsia" w:cs="宋体"/>
                <w:color w:val="auto"/>
                <w:kern w:val="2"/>
                <w:sz w:val="21"/>
                <w:szCs w:val="21"/>
              </w:rPr>
              <w:t>11分</w:t>
            </w:r>
          </w:p>
        </w:tc>
        <w:tc>
          <w:tcPr>
            <w:tcW w:w="870" w:type="dxa"/>
            <w:tcBorders>
              <w:top w:val="single" w:color="auto" w:sz="4" w:space="0"/>
              <w:left w:val="nil"/>
              <w:bottom w:val="single" w:color="auto" w:sz="4" w:space="0"/>
              <w:right w:val="single" w:color="auto" w:sz="4" w:space="0"/>
            </w:tcBorders>
            <w:vAlign w:val="center"/>
          </w:tcPr>
          <w:p w14:paraId="02CF4A48">
            <w:pPr>
              <w:pStyle w:val="57"/>
              <w:rPr>
                <w:rFonts w:cs="宋体"/>
                <w:color w:val="auto"/>
                <w:kern w:val="2"/>
                <w:sz w:val="21"/>
                <w:szCs w:val="21"/>
              </w:rPr>
            </w:pPr>
            <w:r>
              <w:rPr>
                <w:rFonts w:hint="eastAsia" w:cs="宋体"/>
                <w:color w:val="auto"/>
                <w:kern w:val="2"/>
                <w:sz w:val="21"/>
                <w:szCs w:val="21"/>
              </w:rPr>
              <w:t>客观</w:t>
            </w:r>
          </w:p>
        </w:tc>
        <w:tc>
          <w:tcPr>
            <w:tcW w:w="870" w:type="dxa"/>
            <w:tcBorders>
              <w:top w:val="single" w:color="auto" w:sz="4" w:space="0"/>
              <w:left w:val="nil"/>
              <w:bottom w:val="single" w:color="auto" w:sz="4" w:space="0"/>
              <w:right w:val="single" w:color="auto" w:sz="4" w:space="0"/>
            </w:tcBorders>
          </w:tcPr>
          <w:p w14:paraId="6ED13B8B">
            <w:pPr>
              <w:pStyle w:val="57"/>
              <w:rPr>
                <w:rFonts w:cs="宋体"/>
                <w:color w:val="auto"/>
                <w:kern w:val="2"/>
                <w:sz w:val="21"/>
                <w:szCs w:val="21"/>
              </w:rPr>
            </w:pPr>
            <w:r>
              <w:rPr>
                <w:rFonts w:hint="eastAsia" w:cs="宋体"/>
                <w:color w:val="auto"/>
                <w:kern w:val="2"/>
                <w:sz w:val="21"/>
                <w:szCs w:val="21"/>
              </w:rPr>
              <w:t>人员配置情况</w:t>
            </w:r>
          </w:p>
        </w:tc>
      </w:tr>
      <w:tr w14:paraId="3ADE1C48">
        <w:tblPrEx>
          <w:tblCellMar>
            <w:top w:w="0" w:type="dxa"/>
            <w:left w:w="108" w:type="dxa"/>
            <w:bottom w:w="0" w:type="dxa"/>
            <w:right w:w="108" w:type="dxa"/>
          </w:tblCellMar>
        </w:tblPrEx>
        <w:trPr>
          <w:trHeight w:val="1475" w:hRule="atLeast"/>
        </w:trPr>
        <w:tc>
          <w:tcPr>
            <w:tcW w:w="534" w:type="dxa"/>
            <w:tcBorders>
              <w:top w:val="single" w:color="auto" w:sz="4" w:space="0"/>
              <w:left w:val="single" w:color="auto" w:sz="4" w:space="0"/>
              <w:bottom w:val="single" w:color="auto" w:sz="4" w:space="0"/>
              <w:right w:val="single" w:color="auto" w:sz="4" w:space="0"/>
            </w:tcBorders>
            <w:vAlign w:val="center"/>
          </w:tcPr>
          <w:p w14:paraId="30CB818C">
            <w:pPr>
              <w:pStyle w:val="57"/>
              <w:rPr>
                <w:rFonts w:cs="宋体"/>
                <w:color w:val="auto"/>
                <w:kern w:val="2"/>
                <w:sz w:val="21"/>
                <w:szCs w:val="21"/>
              </w:rPr>
            </w:pPr>
            <w:r>
              <w:rPr>
                <w:rFonts w:hint="eastAsia" w:cs="宋体"/>
                <w:color w:val="auto"/>
                <w:kern w:val="2"/>
                <w:sz w:val="21"/>
                <w:szCs w:val="21"/>
              </w:rPr>
              <w:t>13</w:t>
            </w:r>
          </w:p>
        </w:tc>
        <w:tc>
          <w:tcPr>
            <w:tcW w:w="5679" w:type="dxa"/>
            <w:tcBorders>
              <w:top w:val="single" w:color="auto" w:sz="4" w:space="0"/>
              <w:left w:val="nil"/>
              <w:bottom w:val="single" w:color="auto" w:sz="4" w:space="0"/>
              <w:right w:val="single" w:color="auto" w:sz="4" w:space="0"/>
            </w:tcBorders>
            <w:vAlign w:val="center"/>
          </w:tcPr>
          <w:p w14:paraId="2F92C4F0">
            <w:pPr>
              <w:pStyle w:val="57"/>
              <w:rPr>
                <w:rFonts w:cs="宋体"/>
                <w:color w:val="auto"/>
                <w:kern w:val="2"/>
                <w:sz w:val="21"/>
                <w:szCs w:val="21"/>
              </w:rPr>
            </w:pPr>
            <w:r>
              <w:rPr>
                <w:rFonts w:hint="eastAsia" w:cs="宋体"/>
                <w:color w:val="auto"/>
                <w:kern w:val="2"/>
                <w:sz w:val="21"/>
                <w:szCs w:val="21"/>
              </w:rPr>
              <w:t>有效投标报价的最低价作为评标基准价，其最低报价为满分；按[投标报价得分= (评标基准价/投标报价)*10]的计算公式计算。评标过程中，不得去掉报价中的最高报价和最低报价。</w:t>
            </w:r>
          </w:p>
          <w:p w14:paraId="3C667581">
            <w:pPr>
              <w:pStyle w:val="57"/>
              <w:rPr>
                <w:rFonts w:cs="宋体"/>
                <w:color w:val="auto"/>
                <w:kern w:val="2"/>
                <w:sz w:val="21"/>
                <w:szCs w:val="21"/>
              </w:rPr>
            </w:pPr>
            <w:r>
              <w:rPr>
                <w:rFonts w:hint="eastAsia" w:cs="宋体"/>
                <w:color w:val="auto"/>
                <w:kern w:val="2"/>
                <w:sz w:val="21"/>
                <w:szCs w:val="21"/>
              </w:rPr>
              <w:t>因落实政府采购政策需要进行价格调整的，以调整后的价格计算评标基准价和投标报价。</w:t>
            </w:r>
          </w:p>
          <w:p w14:paraId="6C0F3CE2">
            <w:pPr>
              <w:pStyle w:val="57"/>
              <w:rPr>
                <w:rFonts w:cs="宋体"/>
                <w:color w:val="auto"/>
                <w:kern w:val="2"/>
                <w:sz w:val="21"/>
                <w:szCs w:val="21"/>
              </w:rPr>
            </w:pPr>
          </w:p>
        </w:tc>
        <w:tc>
          <w:tcPr>
            <w:tcW w:w="921" w:type="dxa"/>
            <w:tcBorders>
              <w:top w:val="single" w:color="auto" w:sz="4" w:space="0"/>
              <w:left w:val="nil"/>
              <w:bottom w:val="single" w:color="auto" w:sz="4" w:space="0"/>
              <w:right w:val="single" w:color="auto" w:sz="4" w:space="0"/>
            </w:tcBorders>
            <w:vAlign w:val="center"/>
          </w:tcPr>
          <w:p w14:paraId="44519E96">
            <w:pPr>
              <w:pStyle w:val="57"/>
              <w:rPr>
                <w:rFonts w:cs="宋体"/>
                <w:color w:val="auto"/>
                <w:kern w:val="2"/>
                <w:sz w:val="21"/>
                <w:szCs w:val="21"/>
              </w:rPr>
            </w:pPr>
            <w:r>
              <w:rPr>
                <w:rFonts w:hint="eastAsia" w:cs="宋体"/>
                <w:color w:val="auto"/>
                <w:kern w:val="2"/>
                <w:sz w:val="21"/>
                <w:szCs w:val="21"/>
              </w:rPr>
              <w:t>10分</w:t>
            </w:r>
          </w:p>
        </w:tc>
        <w:tc>
          <w:tcPr>
            <w:tcW w:w="870" w:type="dxa"/>
            <w:tcBorders>
              <w:top w:val="single" w:color="auto" w:sz="4" w:space="0"/>
              <w:left w:val="nil"/>
              <w:bottom w:val="single" w:color="auto" w:sz="4" w:space="0"/>
              <w:right w:val="single" w:color="auto" w:sz="4" w:space="0"/>
            </w:tcBorders>
            <w:vAlign w:val="center"/>
          </w:tcPr>
          <w:p w14:paraId="53DBBCE6">
            <w:pPr>
              <w:pStyle w:val="57"/>
              <w:rPr>
                <w:rFonts w:cs="宋体"/>
                <w:color w:val="auto"/>
                <w:kern w:val="2"/>
                <w:sz w:val="21"/>
                <w:szCs w:val="21"/>
              </w:rPr>
            </w:pPr>
            <w:r>
              <w:rPr>
                <w:rFonts w:hint="eastAsia" w:cs="宋体"/>
                <w:color w:val="auto"/>
                <w:kern w:val="2"/>
                <w:sz w:val="21"/>
                <w:szCs w:val="21"/>
              </w:rPr>
              <w:t>客观</w:t>
            </w:r>
          </w:p>
        </w:tc>
        <w:tc>
          <w:tcPr>
            <w:tcW w:w="870" w:type="dxa"/>
            <w:tcBorders>
              <w:top w:val="single" w:color="auto" w:sz="4" w:space="0"/>
              <w:left w:val="nil"/>
              <w:bottom w:val="single" w:color="auto" w:sz="4" w:space="0"/>
              <w:right w:val="single" w:color="auto" w:sz="4" w:space="0"/>
            </w:tcBorders>
          </w:tcPr>
          <w:p w14:paraId="7930F115">
            <w:pPr>
              <w:pStyle w:val="57"/>
              <w:rPr>
                <w:rFonts w:cs="宋体"/>
                <w:color w:val="auto"/>
                <w:kern w:val="2"/>
                <w:sz w:val="21"/>
                <w:szCs w:val="21"/>
              </w:rPr>
            </w:pPr>
          </w:p>
        </w:tc>
      </w:tr>
    </w:tbl>
    <w:p w14:paraId="0A8B0A0A">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7D72A9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2B908E4">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1DB2EE0">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77C5A1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21873A9">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780F555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A15422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424483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4FCC97A">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50FDE7E">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2D5F3C8">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7CD0804">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E74EAF1">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1AAF35A">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26BA1C6">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723AC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05A452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A4FE918">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00F10D">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44BFF5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A52F3D">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44EE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E8CB07">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134DF66">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248330">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268886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89DA0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1D2B9E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D204D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D93907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2C66705">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AB602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 投标报价低于项目预算50%，未在报价文件中详细阐述不影响产品质量或者诚信履约的具体原因的；</w:t>
      </w:r>
    </w:p>
    <w:p w14:paraId="19981C3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14385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B9044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F26F89E">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ECFF5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40A54A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203D934E">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4.2.14 投标文件不满足招标文件的其它实质性要求的；</w:t>
      </w:r>
    </w:p>
    <w:p w14:paraId="31D263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22CC8B30">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11EA29E">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35373B78">
      <w:pPr>
        <w:pStyle w:val="24"/>
        <w:snapToGrid w:val="0"/>
        <w:spacing w:line="360" w:lineRule="auto"/>
        <w:rPr>
          <w:rFonts w:cs="宋体"/>
          <w:color w:val="auto"/>
        </w:rPr>
      </w:pPr>
      <w:r>
        <w:rPr>
          <w:rFonts w:hint="eastAsia" w:cs="宋体"/>
          <w:color w:val="auto"/>
        </w:rPr>
        <w:t>5.2出现影响采购公正的违法、违规行为的；</w:t>
      </w:r>
    </w:p>
    <w:p w14:paraId="2CC4AE23">
      <w:pPr>
        <w:pStyle w:val="24"/>
        <w:snapToGrid w:val="0"/>
        <w:spacing w:line="360" w:lineRule="auto"/>
        <w:rPr>
          <w:rFonts w:cs="宋体"/>
          <w:color w:val="auto"/>
        </w:rPr>
      </w:pPr>
      <w:r>
        <w:rPr>
          <w:rFonts w:hint="eastAsia" w:cs="宋体"/>
          <w:color w:val="auto"/>
        </w:rPr>
        <w:t>5.3投标人的报价均超过了采购预算，采购人不能支付的；</w:t>
      </w:r>
    </w:p>
    <w:p w14:paraId="03D709ED">
      <w:pPr>
        <w:pStyle w:val="24"/>
        <w:snapToGrid w:val="0"/>
        <w:spacing w:line="360" w:lineRule="auto"/>
        <w:rPr>
          <w:rFonts w:cs="宋体"/>
          <w:color w:val="auto"/>
        </w:rPr>
      </w:pPr>
      <w:r>
        <w:rPr>
          <w:rFonts w:hint="eastAsia" w:cs="宋体"/>
          <w:color w:val="auto"/>
        </w:rPr>
        <w:t>5.4因重大变故，采购任务取消的。</w:t>
      </w:r>
    </w:p>
    <w:p w14:paraId="72C679D7">
      <w:pPr>
        <w:pStyle w:val="24"/>
        <w:snapToGrid w:val="0"/>
        <w:spacing w:line="360" w:lineRule="auto"/>
        <w:rPr>
          <w:rFonts w:cs="宋体"/>
          <w:color w:val="auto"/>
        </w:rPr>
      </w:pPr>
      <w:r>
        <w:rPr>
          <w:rFonts w:hint="eastAsia" w:cs="宋体"/>
          <w:color w:val="auto"/>
        </w:rPr>
        <w:t>废标后，采购机构应当将废标理由通知所有投标人。</w:t>
      </w:r>
    </w:p>
    <w:p w14:paraId="5273F561">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5CCDD54">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92354E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4DA6C940">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B85E83A">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29CFC6B">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75F6343">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DAE4119">
      <w:pPr>
        <w:widowControl/>
        <w:adjustRightInd/>
        <w:jc w:val="left"/>
        <w:rPr>
          <w:rFonts w:ascii="宋体" w:hAnsi="宋体" w:cs="宋体"/>
          <w:b/>
          <w:color w:val="auto"/>
          <w:sz w:val="36"/>
          <w:szCs w:val="36"/>
        </w:rPr>
      </w:pPr>
      <w:bookmarkStart w:id="393" w:name="第五部分"/>
      <w:bookmarkStart w:id="394" w:name="_Toc86217003"/>
      <w:r>
        <w:rPr>
          <w:rFonts w:ascii="宋体" w:hAnsi="宋体" w:cs="宋体"/>
          <w:b/>
          <w:color w:val="auto"/>
          <w:sz w:val="36"/>
          <w:szCs w:val="36"/>
        </w:rPr>
        <w:br w:type="page"/>
      </w:r>
    </w:p>
    <w:p w14:paraId="5761F58A">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639EB472">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DC4D6FC">
      <w:pPr>
        <w:spacing w:line="480" w:lineRule="auto"/>
        <w:jc w:val="center"/>
        <w:rPr>
          <w:rFonts w:ascii="宋体" w:hAnsi="宋体" w:cs="宋体"/>
          <w:b/>
          <w:color w:val="auto"/>
          <w:sz w:val="28"/>
          <w:szCs w:val="28"/>
        </w:rPr>
      </w:pPr>
    </w:p>
    <w:p w14:paraId="7AE92CEF">
      <w:pPr>
        <w:spacing w:line="480" w:lineRule="auto"/>
        <w:jc w:val="center"/>
        <w:rPr>
          <w:rFonts w:ascii="宋体" w:hAnsi="宋体" w:cs="宋体"/>
          <w:b/>
          <w:color w:val="auto"/>
          <w:sz w:val="24"/>
        </w:rPr>
      </w:pPr>
    </w:p>
    <w:p w14:paraId="69EF5132">
      <w:pPr>
        <w:spacing w:line="480" w:lineRule="auto"/>
        <w:jc w:val="center"/>
        <w:rPr>
          <w:rFonts w:ascii="宋体" w:hAnsi="宋体" w:cs="宋体"/>
          <w:b/>
          <w:color w:val="auto"/>
          <w:sz w:val="24"/>
        </w:rPr>
      </w:pPr>
    </w:p>
    <w:p w14:paraId="4222E916">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D005C4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C751712">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46CAEE8A">
      <w:pPr>
        <w:spacing w:before="120" w:line="22" w:lineRule="atLeast"/>
        <w:rPr>
          <w:rFonts w:ascii="宋体" w:hAnsi="宋体" w:cs="宋体"/>
          <w:color w:val="auto"/>
          <w:sz w:val="24"/>
        </w:rPr>
      </w:pPr>
    </w:p>
    <w:p w14:paraId="6E03B4E1">
      <w:pPr>
        <w:pStyle w:val="2"/>
        <w:rPr>
          <w:color w:val="auto"/>
        </w:rPr>
      </w:pPr>
    </w:p>
    <w:p w14:paraId="0D093E7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EF45054">
      <w:pPr>
        <w:pStyle w:val="598"/>
        <w:spacing w:before="120" w:line="22" w:lineRule="atLeast"/>
        <w:rPr>
          <w:rFonts w:ascii="宋体" w:hAnsi="宋体" w:eastAsia="宋体" w:cs="宋体"/>
          <w:color w:val="auto"/>
          <w:szCs w:val="24"/>
        </w:rPr>
      </w:pPr>
    </w:p>
    <w:p w14:paraId="66EB6190">
      <w:pPr>
        <w:pStyle w:val="598"/>
        <w:spacing w:before="120" w:line="22" w:lineRule="atLeast"/>
        <w:rPr>
          <w:rFonts w:ascii="宋体" w:hAnsi="宋体" w:eastAsia="宋体" w:cs="宋体"/>
          <w:color w:val="auto"/>
          <w:szCs w:val="24"/>
        </w:rPr>
      </w:pPr>
    </w:p>
    <w:p w14:paraId="7B596D6F">
      <w:pPr>
        <w:rPr>
          <w:rFonts w:ascii="宋体" w:hAnsi="宋体" w:cs="宋体"/>
          <w:color w:val="auto"/>
          <w:sz w:val="24"/>
        </w:rPr>
      </w:pPr>
    </w:p>
    <w:p w14:paraId="50DB47CE">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21CE575">
      <w:pPr>
        <w:spacing w:before="120" w:line="22" w:lineRule="atLeast"/>
        <w:rPr>
          <w:rFonts w:ascii="宋体" w:hAnsi="宋体" w:cs="宋体"/>
          <w:color w:val="auto"/>
          <w:sz w:val="24"/>
        </w:rPr>
      </w:pPr>
    </w:p>
    <w:p w14:paraId="5204729F">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300F4E2">
      <w:pPr>
        <w:spacing w:before="120" w:line="22" w:lineRule="atLeast"/>
        <w:rPr>
          <w:rFonts w:ascii="宋体" w:hAnsi="宋体" w:cs="宋体"/>
          <w:color w:val="auto"/>
          <w:sz w:val="24"/>
        </w:rPr>
      </w:pPr>
    </w:p>
    <w:p w14:paraId="719C194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7D60C9B3">
      <w:pPr>
        <w:spacing w:before="120" w:line="22" w:lineRule="atLeast"/>
        <w:rPr>
          <w:rFonts w:ascii="宋体" w:hAnsi="宋体" w:cs="宋体"/>
          <w:color w:val="auto"/>
          <w:sz w:val="24"/>
        </w:rPr>
      </w:pPr>
    </w:p>
    <w:p w14:paraId="2095149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3B296D7">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44CCC519">
      <w:pPr>
        <w:rPr>
          <w:rFonts w:ascii="宋体" w:hAnsi="宋体" w:cs="宋体"/>
          <w:b/>
          <w:color w:val="auto"/>
          <w:sz w:val="24"/>
        </w:rPr>
      </w:pPr>
    </w:p>
    <w:p w14:paraId="146A053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杭州市综合行政执法队</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杭州市综合行政执法队物业管理服务采购项目（招标编号：HZZFCG-2025-005）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9040AD5">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杭州市综合行政执法队</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标或者成交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059C334">
      <w:pPr>
        <w:spacing w:line="560" w:lineRule="exact"/>
        <w:ind w:firstLine="482" w:firstLineChars="200"/>
        <w:outlineLvl w:val="0"/>
        <w:rPr>
          <w:rFonts w:ascii="宋体" w:hAnsi="宋体"/>
          <w:color w:val="auto"/>
          <w:sz w:val="24"/>
        </w:rPr>
      </w:pPr>
      <w:r>
        <w:rPr>
          <w:rFonts w:ascii="宋体" w:hAnsi="宋体"/>
          <w:b/>
          <w:color w:val="auto"/>
          <w:sz w:val="24"/>
        </w:rPr>
        <w:t xml:space="preserve">1.1 </w:t>
      </w:r>
      <w:r>
        <w:rPr>
          <w:rFonts w:hint="eastAsia" w:ascii="宋体" w:hAnsi="宋体"/>
          <w:b/>
          <w:color w:val="auto"/>
          <w:sz w:val="24"/>
        </w:rPr>
        <w:t>合同组成部分</w:t>
      </w:r>
    </w:p>
    <w:p w14:paraId="63A529E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75263D">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46475B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06C6BEC">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2A4259D">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57377162">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274CEBC">
      <w:pPr>
        <w:spacing w:line="560" w:lineRule="exact"/>
        <w:ind w:firstLine="482" w:firstLineChars="200"/>
        <w:outlineLvl w:val="0"/>
        <w:rPr>
          <w:rFonts w:ascii="宋体" w:hAnsi="宋体"/>
          <w:b/>
          <w:color w:val="auto"/>
          <w:sz w:val="24"/>
        </w:rPr>
      </w:pPr>
      <w:r>
        <w:rPr>
          <w:rFonts w:ascii="宋体" w:hAnsi="宋体"/>
          <w:b/>
          <w:color w:val="auto"/>
          <w:sz w:val="24"/>
        </w:rPr>
        <w:t xml:space="preserve">1.2 </w:t>
      </w:r>
      <w:r>
        <w:rPr>
          <w:rFonts w:hint="eastAsia" w:ascii="宋体" w:hAnsi="宋体"/>
          <w:b/>
          <w:color w:val="auto"/>
          <w:sz w:val="24"/>
        </w:rPr>
        <w:t>标的</w:t>
      </w:r>
    </w:p>
    <w:p w14:paraId="217FC1BE">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239747E">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E0DE5C9">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09EEA5B">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6F9AC2F5">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31394BE">
      <w:pPr>
        <w:spacing w:line="360" w:lineRule="auto"/>
        <w:ind w:firstLine="480" w:firstLineChars="200"/>
        <w:rPr>
          <w:rFonts w:ascii="宋体" w:hAnsi="宋体" w:cs="宋体"/>
          <w:color w:val="auto"/>
          <w:sz w:val="24"/>
          <w:u w:val="single"/>
        </w:rPr>
      </w:pPr>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C9175DE">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17E7346">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55C1A052">
      <w:pPr>
        <w:spacing w:line="560" w:lineRule="exact"/>
        <w:ind w:firstLine="482" w:firstLineChars="200"/>
        <w:outlineLvl w:val="0"/>
        <w:rPr>
          <w:rFonts w:ascii="宋体" w:hAnsi="宋体"/>
          <w:b/>
          <w:color w:val="auto"/>
          <w:sz w:val="24"/>
        </w:rPr>
      </w:pPr>
      <w:r>
        <w:rPr>
          <w:rFonts w:ascii="宋体" w:hAnsi="宋体"/>
          <w:b/>
          <w:color w:val="auto"/>
          <w:sz w:val="24"/>
        </w:rPr>
        <w:t>1.3 价款</w:t>
      </w:r>
    </w:p>
    <w:p w14:paraId="36FCCCA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398F635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04BA67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90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6406EA">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19C5BEA2">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619F6BA">
            <w:pPr>
              <w:pStyle w:val="319"/>
              <w:spacing w:line="560" w:lineRule="exact"/>
              <w:jc w:val="center"/>
              <w:rPr>
                <w:rFonts w:hAnsi="宋体"/>
                <w:color w:val="auto"/>
                <w:sz w:val="24"/>
                <w:szCs w:val="24"/>
              </w:rPr>
            </w:pPr>
            <w:r>
              <w:rPr>
                <w:rFonts w:hAnsi="宋体"/>
                <w:color w:val="auto"/>
                <w:sz w:val="24"/>
                <w:szCs w:val="24"/>
              </w:rPr>
              <w:t>分项价格</w:t>
            </w:r>
          </w:p>
        </w:tc>
      </w:tr>
      <w:tr w14:paraId="3A1F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E88C93">
            <w:pPr>
              <w:pStyle w:val="319"/>
              <w:spacing w:line="560" w:lineRule="exact"/>
              <w:ind w:firstLine="200"/>
              <w:jc w:val="center"/>
              <w:rPr>
                <w:rFonts w:hAnsi="宋体"/>
                <w:color w:val="auto"/>
                <w:sz w:val="24"/>
                <w:szCs w:val="24"/>
              </w:rPr>
            </w:pPr>
          </w:p>
        </w:tc>
        <w:tc>
          <w:tcPr>
            <w:tcW w:w="3402" w:type="dxa"/>
            <w:vAlign w:val="center"/>
          </w:tcPr>
          <w:p w14:paraId="09163602">
            <w:pPr>
              <w:pStyle w:val="319"/>
              <w:spacing w:line="560" w:lineRule="exact"/>
              <w:ind w:firstLine="200"/>
              <w:jc w:val="center"/>
              <w:rPr>
                <w:rFonts w:hAnsi="宋体"/>
                <w:color w:val="auto"/>
                <w:sz w:val="24"/>
                <w:szCs w:val="24"/>
              </w:rPr>
            </w:pPr>
          </w:p>
        </w:tc>
        <w:tc>
          <w:tcPr>
            <w:tcW w:w="2552" w:type="dxa"/>
            <w:vAlign w:val="center"/>
          </w:tcPr>
          <w:p w14:paraId="25DBC193">
            <w:pPr>
              <w:pStyle w:val="319"/>
              <w:spacing w:line="560" w:lineRule="exact"/>
              <w:ind w:firstLine="200"/>
              <w:jc w:val="center"/>
              <w:rPr>
                <w:rFonts w:hAnsi="宋体"/>
                <w:color w:val="auto"/>
                <w:sz w:val="24"/>
                <w:szCs w:val="24"/>
              </w:rPr>
            </w:pPr>
          </w:p>
        </w:tc>
      </w:tr>
      <w:tr w14:paraId="0D5A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A10164">
            <w:pPr>
              <w:pStyle w:val="319"/>
              <w:spacing w:line="560" w:lineRule="exact"/>
              <w:ind w:firstLine="200"/>
              <w:jc w:val="center"/>
              <w:rPr>
                <w:rFonts w:hAnsi="宋体"/>
                <w:color w:val="auto"/>
                <w:sz w:val="24"/>
                <w:szCs w:val="24"/>
              </w:rPr>
            </w:pPr>
          </w:p>
        </w:tc>
        <w:tc>
          <w:tcPr>
            <w:tcW w:w="3402" w:type="dxa"/>
            <w:vAlign w:val="center"/>
          </w:tcPr>
          <w:p w14:paraId="30AA4F9F">
            <w:pPr>
              <w:pStyle w:val="319"/>
              <w:spacing w:line="560" w:lineRule="exact"/>
              <w:ind w:firstLine="200"/>
              <w:jc w:val="center"/>
              <w:rPr>
                <w:rFonts w:hAnsi="宋体"/>
                <w:color w:val="auto"/>
                <w:sz w:val="24"/>
                <w:szCs w:val="24"/>
              </w:rPr>
            </w:pPr>
          </w:p>
        </w:tc>
        <w:tc>
          <w:tcPr>
            <w:tcW w:w="2552" w:type="dxa"/>
            <w:vAlign w:val="center"/>
          </w:tcPr>
          <w:p w14:paraId="52063296">
            <w:pPr>
              <w:pStyle w:val="319"/>
              <w:spacing w:line="560" w:lineRule="exact"/>
              <w:ind w:firstLine="200"/>
              <w:jc w:val="center"/>
              <w:rPr>
                <w:rFonts w:hAnsi="宋体"/>
                <w:color w:val="auto"/>
                <w:sz w:val="24"/>
                <w:szCs w:val="24"/>
              </w:rPr>
            </w:pPr>
          </w:p>
        </w:tc>
      </w:tr>
      <w:tr w14:paraId="3EB6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0E38A6">
            <w:pPr>
              <w:pStyle w:val="319"/>
              <w:spacing w:line="560" w:lineRule="exact"/>
              <w:ind w:firstLine="200"/>
              <w:jc w:val="center"/>
              <w:rPr>
                <w:rFonts w:hAnsi="宋体"/>
                <w:color w:val="auto"/>
                <w:sz w:val="24"/>
                <w:szCs w:val="24"/>
              </w:rPr>
            </w:pPr>
          </w:p>
        </w:tc>
        <w:tc>
          <w:tcPr>
            <w:tcW w:w="3402" w:type="dxa"/>
            <w:vAlign w:val="center"/>
          </w:tcPr>
          <w:p w14:paraId="5B89AEBA">
            <w:pPr>
              <w:pStyle w:val="319"/>
              <w:spacing w:line="560" w:lineRule="exact"/>
              <w:ind w:firstLine="200"/>
              <w:jc w:val="center"/>
              <w:rPr>
                <w:rFonts w:hAnsi="宋体"/>
                <w:color w:val="auto"/>
                <w:sz w:val="24"/>
                <w:szCs w:val="24"/>
              </w:rPr>
            </w:pPr>
          </w:p>
        </w:tc>
        <w:tc>
          <w:tcPr>
            <w:tcW w:w="2552" w:type="dxa"/>
            <w:vAlign w:val="center"/>
          </w:tcPr>
          <w:p w14:paraId="6C1DD0D5">
            <w:pPr>
              <w:pStyle w:val="319"/>
              <w:spacing w:line="560" w:lineRule="exact"/>
              <w:ind w:firstLine="200"/>
              <w:jc w:val="center"/>
              <w:rPr>
                <w:rFonts w:hAnsi="宋体"/>
                <w:color w:val="auto"/>
                <w:sz w:val="24"/>
                <w:szCs w:val="24"/>
              </w:rPr>
            </w:pPr>
          </w:p>
        </w:tc>
      </w:tr>
      <w:tr w14:paraId="44DA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FC2E03">
            <w:pPr>
              <w:pStyle w:val="319"/>
              <w:spacing w:line="560" w:lineRule="exact"/>
              <w:ind w:firstLine="200"/>
              <w:jc w:val="center"/>
              <w:rPr>
                <w:rFonts w:hAnsi="宋体"/>
                <w:color w:val="auto"/>
                <w:sz w:val="24"/>
                <w:szCs w:val="24"/>
              </w:rPr>
            </w:pPr>
          </w:p>
        </w:tc>
        <w:tc>
          <w:tcPr>
            <w:tcW w:w="3402" w:type="dxa"/>
            <w:vAlign w:val="center"/>
          </w:tcPr>
          <w:p w14:paraId="2499C061">
            <w:pPr>
              <w:pStyle w:val="319"/>
              <w:spacing w:line="560" w:lineRule="exact"/>
              <w:ind w:firstLine="200"/>
              <w:jc w:val="center"/>
              <w:rPr>
                <w:rFonts w:hAnsi="宋体"/>
                <w:color w:val="auto"/>
                <w:sz w:val="24"/>
                <w:szCs w:val="24"/>
              </w:rPr>
            </w:pPr>
          </w:p>
        </w:tc>
        <w:tc>
          <w:tcPr>
            <w:tcW w:w="2552" w:type="dxa"/>
            <w:vAlign w:val="center"/>
          </w:tcPr>
          <w:p w14:paraId="724966E0">
            <w:pPr>
              <w:pStyle w:val="319"/>
              <w:spacing w:line="560" w:lineRule="exact"/>
              <w:ind w:firstLine="200"/>
              <w:jc w:val="center"/>
              <w:rPr>
                <w:rFonts w:hAnsi="宋体"/>
                <w:color w:val="auto"/>
                <w:sz w:val="24"/>
                <w:szCs w:val="24"/>
              </w:rPr>
            </w:pPr>
          </w:p>
        </w:tc>
      </w:tr>
      <w:tr w14:paraId="1F1C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8B76E7">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0BA63B9">
            <w:pPr>
              <w:pStyle w:val="319"/>
              <w:spacing w:line="560" w:lineRule="exact"/>
              <w:ind w:firstLine="200"/>
              <w:jc w:val="center"/>
              <w:rPr>
                <w:rFonts w:hAnsi="宋体"/>
                <w:color w:val="auto"/>
                <w:sz w:val="24"/>
                <w:szCs w:val="24"/>
              </w:rPr>
            </w:pPr>
          </w:p>
        </w:tc>
      </w:tr>
    </w:tbl>
    <w:p w14:paraId="5356B6F7">
      <w:pPr>
        <w:spacing w:line="560" w:lineRule="exact"/>
        <w:ind w:firstLine="480" w:firstLineChars="200"/>
        <w:rPr>
          <w:rFonts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3798B0D">
      <w:pPr>
        <w:pStyle w:val="79"/>
        <w:spacing w:afterLines="100"/>
        <w:ind w:firstLine="480"/>
        <w:rPr>
          <w:color w:val="auto"/>
          <w:lang w:val="en-US"/>
        </w:rPr>
      </w:pPr>
      <w:r>
        <w:rPr>
          <w:rFonts w:hint="eastAsia" w:ascii="宋体" w:hAnsi="宋体" w:eastAsia="宋体" w:cs="宋体"/>
          <w:color w:val="auto"/>
          <w:sz w:val="24"/>
          <w:lang w:val="en-US"/>
        </w:rPr>
        <w:t>1.3.3其他计价方式：</w:t>
      </w:r>
      <w:r>
        <w:rPr>
          <w:rFonts w:hint="eastAsia" w:ascii="宋体" w:hAnsi="宋体" w:eastAsia="宋体" w:cs="宋体"/>
          <w:color w:val="auto"/>
          <w:sz w:val="24"/>
          <w:u w:val="single"/>
          <w:lang w:val="en-US"/>
        </w:rPr>
        <w:t xml:space="preserve">   </w:t>
      </w:r>
      <w:r>
        <w:rPr>
          <w:rFonts w:hint="eastAsia" w:ascii="宋体" w:hAnsi="宋体" w:eastAsia="宋体" w:cs="宋体"/>
          <w:b/>
          <w:i/>
          <w:color w:val="auto"/>
          <w:sz w:val="24"/>
          <w:szCs w:val="24"/>
          <w:u w:val="single"/>
          <w:lang w:val="en-US"/>
        </w:rPr>
        <w:t>合同专用条款</w:t>
      </w:r>
      <w:r>
        <w:rPr>
          <w:rFonts w:hint="eastAsia" w:ascii="宋体" w:hAnsi="宋体" w:eastAsia="宋体" w:cs="宋体"/>
          <w:color w:val="auto"/>
          <w:sz w:val="24"/>
          <w:u w:val="single"/>
          <w:lang w:val="en-US"/>
        </w:rPr>
        <w:t xml:space="preserve">     </w:t>
      </w:r>
      <w:r>
        <w:rPr>
          <w:rFonts w:hint="eastAsia" w:ascii="宋体" w:hAnsi="宋体" w:eastAsia="宋体" w:cs="宋体"/>
          <w:color w:val="auto"/>
          <w:sz w:val="24"/>
        </w:rPr>
        <w:t>。</w:t>
      </w:r>
    </w:p>
    <w:p w14:paraId="17BF84A7">
      <w:pPr>
        <w:pStyle w:val="959"/>
        <w:spacing w:before="0" w:beforeAutospacing="0" w:afterLines="100" w:afterAutospacing="0" w:line="360" w:lineRule="auto"/>
        <w:ind w:firstLine="480"/>
        <w:rPr>
          <w:b/>
          <w:color w:val="auto"/>
        </w:rPr>
      </w:pPr>
      <w:bookmarkStart w:id="395" w:name="_Toc22618"/>
      <w:bookmarkStart w:id="396" w:name="_Toc10340"/>
      <w:bookmarkStart w:id="397" w:name="_Toc1814"/>
      <w:r>
        <w:rPr>
          <w:rFonts w:hint="eastAsia"/>
          <w:b/>
          <w:color w:val="auto"/>
        </w:rPr>
        <w:t>1.4履约保证金</w:t>
      </w:r>
    </w:p>
    <w:p w14:paraId="38A1BAF7">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6F3993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F65B09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D41C143">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A169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5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974628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395"/>
      <w:bookmarkEnd w:id="396"/>
      <w:bookmarkEnd w:id="397"/>
      <w:r>
        <w:rPr>
          <w:rFonts w:hint="eastAsia" w:ascii="宋体" w:hAnsi="宋体" w:cs="宋体"/>
          <w:b/>
          <w:color w:val="auto"/>
          <w:sz w:val="24"/>
        </w:rPr>
        <w:t>预付款</w:t>
      </w:r>
    </w:p>
    <w:p w14:paraId="5C95D159">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390D51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5737C63">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1B42413">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22BD801">
      <w:pPr>
        <w:pStyle w:val="959"/>
        <w:spacing w:before="0" w:beforeAutospacing="0" w:after="0" w:afterAutospacing="0" w:line="360" w:lineRule="auto"/>
        <w:ind w:firstLine="480"/>
        <w:rPr>
          <w:b/>
          <w:bCs/>
          <w:color w:val="auto"/>
        </w:rPr>
      </w:pPr>
      <w:r>
        <w:rPr>
          <w:rFonts w:hint="eastAsia"/>
          <w:b/>
          <w:bCs/>
          <w:color w:val="auto"/>
        </w:rPr>
        <w:t>1.6资金支付</w:t>
      </w:r>
    </w:p>
    <w:p w14:paraId="349B5300">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5CDD7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E41A954">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p>
    <w:p w14:paraId="01AF9FB8">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8AED13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D6A897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A07C286">
      <w:pPr>
        <w:spacing w:line="560" w:lineRule="exact"/>
        <w:ind w:firstLine="480" w:firstLineChars="200"/>
        <w:outlineLvl w:val="0"/>
        <w:rPr>
          <w:rFonts w:ascii="宋体" w:hAnsi="宋体"/>
          <w:bCs/>
          <w:color w:val="auto"/>
          <w:sz w:val="24"/>
        </w:rPr>
      </w:pPr>
      <w:r>
        <w:rPr>
          <w:rFonts w:hint="eastAsia" w:ascii="宋体" w:hAnsi="宋体"/>
          <w:bCs/>
          <w:color w:val="auto"/>
          <w:sz w:val="24"/>
        </w:rPr>
        <w:t>1.7.4若服务</w:t>
      </w:r>
      <w:r>
        <w:rPr>
          <w:rFonts w:hint="eastAsia"/>
          <w:bCs/>
          <w:color w:val="auto"/>
          <w:sz w:val="24"/>
        </w:rPr>
        <w:t>涉及货物的，则货物的：</w:t>
      </w:r>
    </w:p>
    <w:p w14:paraId="3A061109">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3D676A0D">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2B5C641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F795B7C">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p>
    <w:p w14:paraId="32F2E5F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hint="eastAsia" w:ascii="宋体" w:hAnsi="宋体" w:cs="宋体"/>
          <w:color w:val="auto"/>
          <w:kern w:val="0"/>
          <w:sz w:val="24"/>
          <w:u w:val="single"/>
        </w:rPr>
        <w:t xml:space="preserve">（可根据情况修改）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28129D84">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0.05（可根据情况修改）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45B5F4C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0.05（可根据情况修改）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5D0CBE1D">
      <w:pPr>
        <w:spacing w:line="560" w:lineRule="exact"/>
        <w:ind w:firstLine="480" w:firstLineChars="200"/>
        <w:rPr>
          <w:rFonts w:ascii="宋体" w:hAnsi="宋体" w:cs="宋体"/>
          <w:color w:val="auto"/>
          <w:sz w:val="24"/>
        </w:rPr>
      </w:pPr>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C959B1">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21DD4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14964E">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1D46710B">
      <w:pPr>
        <w:spacing w:line="560" w:lineRule="exact"/>
        <w:ind w:firstLine="482" w:firstLineChars="200"/>
        <w:outlineLvl w:val="0"/>
        <w:rPr>
          <w:rFonts w:ascii="宋体" w:hAnsi="宋体" w:cs="宋体"/>
          <w:b/>
          <w:color w:val="auto"/>
          <w:sz w:val="24"/>
        </w:rPr>
      </w:pPr>
      <w:bookmarkStart w:id="398" w:name="_Toc15583"/>
      <w:bookmarkStart w:id="399" w:name="_Toc16021"/>
      <w:bookmarkStart w:id="400" w:name="_Toc28375"/>
      <w:r>
        <w:rPr>
          <w:rFonts w:hint="eastAsia" w:ascii="宋体" w:hAnsi="宋体" w:cs="宋体"/>
          <w:b/>
          <w:color w:val="auto"/>
          <w:sz w:val="24"/>
        </w:rPr>
        <w:t>1.9合同争议的解决</w:t>
      </w:r>
      <w:bookmarkEnd w:id="398"/>
      <w:bookmarkEnd w:id="399"/>
      <w:bookmarkEnd w:id="400"/>
    </w:p>
    <w:p w14:paraId="3BDC92AA">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14:paraId="0D0BBE9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B4A66A0">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F195903">
      <w:pPr>
        <w:spacing w:line="560" w:lineRule="exact"/>
        <w:ind w:firstLine="482" w:firstLineChars="200"/>
        <w:outlineLvl w:val="0"/>
        <w:rPr>
          <w:rFonts w:ascii="宋体" w:hAnsi="宋体" w:cs="宋体"/>
          <w:b/>
          <w:color w:val="auto"/>
          <w:sz w:val="24"/>
        </w:rPr>
      </w:pPr>
      <w:bookmarkStart w:id="401" w:name="_Toc11173"/>
      <w:bookmarkStart w:id="402" w:name="_Toc15322"/>
      <w:bookmarkStart w:id="403" w:name="_Toc7245"/>
      <w:r>
        <w:rPr>
          <w:rFonts w:hint="eastAsia" w:ascii="宋体" w:hAnsi="宋体" w:cs="宋体"/>
          <w:b/>
          <w:color w:val="auto"/>
          <w:sz w:val="24"/>
        </w:rPr>
        <w:t>1.10 合同生效</w:t>
      </w:r>
      <w:bookmarkEnd w:id="401"/>
      <w:bookmarkEnd w:id="402"/>
      <w:bookmarkEnd w:id="403"/>
    </w:p>
    <w:p w14:paraId="0D56963B">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FF43041">
      <w:pPr>
        <w:autoSpaceDE w:val="0"/>
        <w:autoSpaceDN w:val="0"/>
        <w:spacing w:line="560" w:lineRule="exact"/>
        <w:rPr>
          <w:rFonts w:ascii="宋体" w:hAnsi="宋体"/>
          <w:color w:val="auto"/>
          <w:sz w:val="24"/>
          <w:lang w:val="zh-CN"/>
        </w:rPr>
      </w:pPr>
    </w:p>
    <w:p w14:paraId="55D9A2EC">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2136BA5">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FB94AF9">
      <w:pPr>
        <w:autoSpaceDE w:val="0"/>
        <w:autoSpaceDN w:val="0"/>
        <w:spacing w:line="560" w:lineRule="exact"/>
        <w:rPr>
          <w:rFonts w:ascii="宋体" w:hAnsi="宋体"/>
          <w:color w:val="auto"/>
          <w:sz w:val="24"/>
          <w:lang w:val="zh-CN"/>
        </w:rPr>
      </w:pPr>
    </w:p>
    <w:p w14:paraId="17007009">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42B6E7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3BB3DA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1810CFD8">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58DC8AF">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E4B201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04E4A8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E3E1AD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9B5BB7F">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37B31CFB">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CE6A269">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7928685D">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6E68A61">
      <w:pPr>
        <w:widowControl/>
        <w:spacing w:line="560" w:lineRule="exact"/>
        <w:jc w:val="left"/>
        <w:rPr>
          <w:rFonts w:ascii="宋体" w:hAnsi="宋体"/>
          <w:b/>
          <w:color w:val="auto"/>
          <w:sz w:val="24"/>
        </w:rPr>
      </w:pPr>
    </w:p>
    <w:p w14:paraId="32E55DD2">
      <w:pPr>
        <w:widowControl/>
        <w:adjustRightInd/>
        <w:jc w:val="left"/>
        <w:rPr>
          <w:rFonts w:ascii="宋体" w:hAnsi="宋体"/>
          <w:b/>
          <w:color w:val="auto"/>
          <w:sz w:val="24"/>
        </w:rPr>
      </w:pPr>
      <w:r>
        <w:rPr>
          <w:rFonts w:ascii="宋体" w:hAnsi="宋体"/>
          <w:b/>
          <w:color w:val="auto"/>
        </w:rPr>
        <w:br w:type="page"/>
      </w:r>
    </w:p>
    <w:p w14:paraId="574A472A">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01C6E143">
      <w:pPr>
        <w:spacing w:line="560" w:lineRule="exact"/>
        <w:ind w:firstLine="482" w:firstLineChars="200"/>
        <w:outlineLvl w:val="0"/>
        <w:rPr>
          <w:rFonts w:ascii="宋体" w:hAnsi="宋体"/>
          <w:b/>
          <w:color w:val="auto"/>
          <w:sz w:val="24"/>
        </w:rPr>
      </w:pPr>
      <w:r>
        <w:rPr>
          <w:rFonts w:ascii="宋体" w:hAnsi="宋体"/>
          <w:b/>
          <w:color w:val="auto"/>
          <w:sz w:val="24"/>
        </w:rPr>
        <w:t>2.1 定义</w:t>
      </w:r>
    </w:p>
    <w:p w14:paraId="38D57A7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A8661C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443FFC0">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D991150">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7C544D16">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C330EAA">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9CB68E">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36EEFD3D">
      <w:pPr>
        <w:spacing w:line="560" w:lineRule="exact"/>
        <w:ind w:firstLine="482" w:firstLineChars="200"/>
        <w:outlineLvl w:val="0"/>
        <w:rPr>
          <w:rFonts w:ascii="宋体" w:hAnsi="宋体"/>
          <w:b/>
          <w:color w:val="auto"/>
          <w:sz w:val="24"/>
        </w:rPr>
      </w:pPr>
      <w:r>
        <w:rPr>
          <w:rFonts w:ascii="宋体" w:hAnsi="宋体"/>
          <w:b/>
          <w:color w:val="auto"/>
          <w:sz w:val="24"/>
        </w:rPr>
        <w:t>2.2 技术规范</w:t>
      </w:r>
    </w:p>
    <w:p w14:paraId="2DEE3747">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A81E534">
      <w:pPr>
        <w:spacing w:line="560" w:lineRule="exact"/>
        <w:ind w:firstLine="482" w:firstLineChars="200"/>
        <w:outlineLvl w:val="0"/>
        <w:rPr>
          <w:rFonts w:ascii="宋体" w:hAnsi="宋体"/>
          <w:b/>
          <w:color w:val="auto"/>
          <w:sz w:val="24"/>
        </w:rPr>
      </w:pPr>
      <w:r>
        <w:rPr>
          <w:rFonts w:ascii="宋体" w:hAnsi="宋体"/>
          <w:b/>
          <w:color w:val="auto"/>
          <w:sz w:val="24"/>
        </w:rPr>
        <w:t>2.3 知识产权</w:t>
      </w:r>
    </w:p>
    <w:p w14:paraId="6711417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03FAB09">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C0D3D49">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1FF20AD">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01A145D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0E3D4AB5">
      <w:pPr>
        <w:spacing w:line="560" w:lineRule="exact"/>
        <w:ind w:firstLine="482" w:firstLineChars="200"/>
        <w:outlineLvl w:val="0"/>
        <w:rPr>
          <w:rFonts w:ascii="宋体" w:hAnsi="宋体"/>
          <w:b/>
          <w:color w:val="auto"/>
          <w:sz w:val="24"/>
        </w:rPr>
      </w:pPr>
      <w:r>
        <w:rPr>
          <w:rFonts w:ascii="宋体" w:hAnsi="宋体"/>
          <w:b/>
          <w:color w:val="auto"/>
          <w:sz w:val="24"/>
        </w:rPr>
        <w:t>2.5 结算方式和付款条件</w:t>
      </w:r>
    </w:p>
    <w:p w14:paraId="4E17C81E">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2122694">
      <w:pPr>
        <w:spacing w:line="560" w:lineRule="exact"/>
        <w:ind w:firstLine="482" w:firstLineChars="200"/>
        <w:outlineLvl w:val="0"/>
        <w:rPr>
          <w:rFonts w:ascii="宋体" w:hAnsi="宋体"/>
          <w:b/>
          <w:color w:val="auto"/>
          <w:sz w:val="24"/>
        </w:rPr>
      </w:pPr>
      <w:r>
        <w:rPr>
          <w:rFonts w:ascii="宋体" w:hAnsi="宋体"/>
          <w:b/>
          <w:color w:val="auto"/>
          <w:sz w:val="24"/>
        </w:rPr>
        <w:t>2.6 技术资料和保密义务</w:t>
      </w:r>
    </w:p>
    <w:p w14:paraId="13EC0D2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FC3B14B">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654761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0212FD6">
      <w:pPr>
        <w:spacing w:line="560" w:lineRule="exact"/>
        <w:ind w:firstLine="482" w:firstLineChars="200"/>
        <w:outlineLvl w:val="0"/>
        <w:rPr>
          <w:rFonts w:ascii="宋体" w:hAnsi="宋体"/>
          <w:b/>
          <w:color w:val="auto"/>
          <w:sz w:val="24"/>
        </w:rPr>
      </w:pPr>
      <w:r>
        <w:rPr>
          <w:rFonts w:ascii="宋体" w:hAnsi="宋体"/>
          <w:b/>
          <w:color w:val="auto"/>
          <w:sz w:val="24"/>
        </w:rPr>
        <w:t xml:space="preserve">2.7 </w:t>
      </w:r>
      <w:r>
        <w:rPr>
          <w:rFonts w:hint="eastAsia" w:ascii="宋体" w:hAnsi="宋体"/>
          <w:b/>
          <w:color w:val="auto"/>
          <w:sz w:val="24"/>
        </w:rPr>
        <w:t>质量保证</w:t>
      </w:r>
    </w:p>
    <w:p w14:paraId="4DDE68C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43BD12EF">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0F79180">
      <w:pPr>
        <w:spacing w:line="560" w:lineRule="exact"/>
        <w:ind w:firstLine="482" w:firstLineChars="200"/>
        <w:outlineLvl w:val="0"/>
        <w:rPr>
          <w:rFonts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p>
    <w:p w14:paraId="03DE245A">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678A42E">
      <w:pPr>
        <w:spacing w:line="560" w:lineRule="exact"/>
        <w:ind w:firstLine="482" w:firstLineChars="200"/>
        <w:outlineLvl w:val="0"/>
        <w:rPr>
          <w:rFonts w:ascii="宋体" w:hAnsi="宋体"/>
          <w:b/>
          <w:color w:val="auto"/>
          <w:sz w:val="24"/>
        </w:rPr>
      </w:pPr>
      <w:r>
        <w:rPr>
          <w:rFonts w:ascii="宋体" w:hAnsi="宋体"/>
          <w:b/>
          <w:color w:val="auto"/>
          <w:sz w:val="24"/>
        </w:rPr>
        <w:t xml:space="preserve">2.9 </w:t>
      </w:r>
      <w:r>
        <w:rPr>
          <w:rFonts w:hint="eastAsia" w:ascii="宋体" w:hAnsi="宋体"/>
          <w:b/>
          <w:color w:val="auto"/>
          <w:sz w:val="24"/>
        </w:rPr>
        <w:t>合同变更</w:t>
      </w:r>
    </w:p>
    <w:p w14:paraId="34CB9F13">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9A4A091">
      <w:pPr>
        <w:spacing w:line="560" w:lineRule="exact"/>
        <w:ind w:firstLine="482" w:firstLineChars="200"/>
        <w:outlineLvl w:val="0"/>
        <w:rPr>
          <w:rFonts w:ascii="宋体" w:hAnsi="宋体"/>
          <w:b/>
          <w:color w:val="auto"/>
          <w:sz w:val="24"/>
        </w:rPr>
      </w:pPr>
      <w:r>
        <w:rPr>
          <w:rFonts w:ascii="宋体" w:hAnsi="宋体"/>
          <w:b/>
          <w:color w:val="auto"/>
          <w:sz w:val="24"/>
        </w:rPr>
        <w:t>2.10 合同转让和分包</w:t>
      </w:r>
    </w:p>
    <w:p w14:paraId="29B57339">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书面同意，乙方可以依法采取分包方式履行合同，即：依法可以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703DCAD">
      <w:pPr>
        <w:spacing w:line="560" w:lineRule="exact"/>
        <w:ind w:firstLine="482" w:firstLineChars="200"/>
        <w:outlineLvl w:val="0"/>
        <w:rPr>
          <w:rFonts w:ascii="宋体" w:hAnsi="宋体"/>
          <w:b/>
          <w:color w:val="auto"/>
          <w:sz w:val="24"/>
        </w:rPr>
      </w:pPr>
      <w:r>
        <w:rPr>
          <w:rFonts w:ascii="宋体" w:hAnsi="宋体"/>
          <w:b/>
          <w:color w:val="auto"/>
          <w:sz w:val="24"/>
        </w:rPr>
        <w:t>2.11 不可抗力</w:t>
      </w:r>
    </w:p>
    <w:p w14:paraId="19FF6FE8">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DAD4B8D">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4008BE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663CAFD">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88DCD8E">
      <w:pPr>
        <w:spacing w:line="560" w:lineRule="exact"/>
        <w:ind w:firstLine="482" w:firstLineChars="200"/>
        <w:outlineLvl w:val="0"/>
        <w:rPr>
          <w:rFonts w:ascii="宋体" w:hAnsi="宋体"/>
          <w:b/>
          <w:color w:val="auto"/>
          <w:sz w:val="24"/>
        </w:rPr>
      </w:pPr>
      <w:r>
        <w:rPr>
          <w:rFonts w:ascii="宋体" w:hAnsi="宋体"/>
          <w:b/>
          <w:color w:val="auto"/>
          <w:sz w:val="24"/>
        </w:rPr>
        <w:t>2.12 税费</w:t>
      </w:r>
    </w:p>
    <w:p w14:paraId="29538D5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544F7C0">
      <w:pPr>
        <w:spacing w:line="560" w:lineRule="exact"/>
        <w:ind w:firstLine="482" w:firstLineChars="200"/>
        <w:outlineLvl w:val="0"/>
        <w:rPr>
          <w:rFonts w:ascii="宋体" w:hAnsi="宋体"/>
          <w:b/>
          <w:color w:val="auto"/>
          <w:sz w:val="24"/>
        </w:rPr>
      </w:pPr>
      <w:r>
        <w:rPr>
          <w:rFonts w:ascii="宋体" w:hAnsi="宋体"/>
          <w:b/>
          <w:color w:val="auto"/>
          <w:sz w:val="24"/>
        </w:rPr>
        <w:t>2.13 乙方破产</w:t>
      </w:r>
    </w:p>
    <w:p w14:paraId="0C593DDE">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13EED590">
      <w:pPr>
        <w:spacing w:line="560" w:lineRule="exact"/>
        <w:ind w:firstLine="482" w:firstLineChars="200"/>
        <w:outlineLvl w:val="0"/>
        <w:rPr>
          <w:rFonts w:ascii="宋体" w:hAnsi="宋体"/>
          <w:b/>
          <w:color w:val="auto"/>
          <w:sz w:val="24"/>
        </w:rPr>
      </w:pPr>
      <w:r>
        <w:rPr>
          <w:rFonts w:ascii="宋体" w:hAnsi="宋体"/>
          <w:b/>
          <w:color w:val="auto"/>
          <w:sz w:val="24"/>
        </w:rPr>
        <w:t>2.14 合同中止、终止</w:t>
      </w:r>
    </w:p>
    <w:p w14:paraId="4F6DD4F9">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72A4F1B6">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BC907E6">
      <w:pPr>
        <w:spacing w:line="560" w:lineRule="exact"/>
        <w:ind w:firstLine="482" w:firstLineChars="200"/>
        <w:outlineLvl w:val="0"/>
        <w:rPr>
          <w:rFonts w:ascii="宋体" w:hAnsi="宋体"/>
          <w:b/>
          <w:color w:val="auto"/>
          <w:sz w:val="24"/>
        </w:rPr>
      </w:pPr>
      <w:r>
        <w:rPr>
          <w:rFonts w:ascii="宋体" w:hAnsi="宋体"/>
          <w:b/>
          <w:color w:val="auto"/>
          <w:sz w:val="24"/>
        </w:rPr>
        <w:t>2.15 检验和验收</w:t>
      </w:r>
    </w:p>
    <w:p w14:paraId="3D903C5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F6AA42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F05AD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74B36928">
      <w:pPr>
        <w:spacing w:line="560" w:lineRule="exact"/>
        <w:ind w:firstLine="482" w:firstLineChars="200"/>
        <w:outlineLvl w:val="0"/>
        <w:rPr>
          <w:rFonts w:ascii="宋体" w:hAnsi="宋体"/>
          <w:b/>
          <w:color w:val="auto"/>
          <w:sz w:val="24"/>
        </w:rPr>
      </w:pPr>
      <w:r>
        <w:rPr>
          <w:rFonts w:ascii="宋体" w:hAnsi="宋体"/>
          <w:b/>
          <w:color w:val="auto"/>
          <w:sz w:val="24"/>
        </w:rPr>
        <w:t>2.16 通知和送达</w:t>
      </w:r>
    </w:p>
    <w:p w14:paraId="5772C302">
      <w:pPr>
        <w:spacing w:line="560" w:lineRule="exact"/>
        <w:ind w:firstLine="480" w:firstLineChars="200"/>
        <w:rPr>
          <w:rFonts w:ascii="宋体" w:hAnsi="宋体"/>
          <w:color w:val="auto"/>
          <w:sz w:val="24"/>
        </w:rPr>
      </w:pPr>
      <w:r>
        <w:rPr>
          <w:rFonts w:ascii="宋体" w:hAnsi="宋体"/>
          <w:color w:val="auto"/>
          <w:sz w:val="24"/>
        </w:rPr>
        <w:t>2.1</w:t>
      </w:r>
      <w:r>
        <w:rPr>
          <w:rFonts w:hint="eastAsia" w:ascii="宋体" w:hAnsi="宋体"/>
          <w:color w:val="auto"/>
          <w:sz w:val="24"/>
        </w:rPr>
        <w:t>6</w:t>
      </w:r>
      <w:r>
        <w:rPr>
          <w:rFonts w:ascii="宋体" w:hAnsi="宋体"/>
          <w:color w:val="auto"/>
          <w:sz w:val="24"/>
        </w:rPr>
        <w:t>.1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3B5D4E0">
      <w:pPr>
        <w:spacing w:line="560" w:lineRule="exact"/>
        <w:ind w:firstLine="480" w:firstLineChars="200"/>
        <w:rPr>
          <w:rFonts w:ascii="宋体" w:hAnsi="宋体"/>
          <w:color w:val="auto"/>
          <w:sz w:val="24"/>
        </w:rPr>
      </w:pPr>
      <w:r>
        <w:rPr>
          <w:rFonts w:ascii="宋体" w:hAnsi="宋体"/>
          <w:color w:val="auto"/>
          <w:sz w:val="24"/>
        </w:rPr>
        <w:t>2.1</w:t>
      </w:r>
      <w:r>
        <w:rPr>
          <w:rFonts w:hint="eastAsia" w:ascii="宋体" w:hAnsi="宋体"/>
          <w:color w:val="auto"/>
          <w:sz w:val="24"/>
        </w:rPr>
        <w:t>6</w:t>
      </w:r>
      <w:r>
        <w:rPr>
          <w:rFonts w:ascii="宋体" w:hAnsi="宋体"/>
          <w:color w:val="auto"/>
          <w:sz w:val="24"/>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p>
    <w:p w14:paraId="3772B2C9">
      <w:pPr>
        <w:spacing w:line="560" w:lineRule="exact"/>
        <w:ind w:firstLine="482" w:firstLineChars="200"/>
        <w:outlineLvl w:val="0"/>
        <w:rPr>
          <w:rFonts w:ascii="宋体" w:hAnsi="宋体"/>
          <w:b/>
          <w:color w:val="auto"/>
          <w:sz w:val="24"/>
        </w:rPr>
      </w:pPr>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p>
    <w:p w14:paraId="06A5DE11">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2807F70">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101828D">
      <w:pPr>
        <w:spacing w:line="560" w:lineRule="exact"/>
        <w:ind w:firstLine="482" w:firstLineChars="200"/>
        <w:outlineLvl w:val="0"/>
        <w:rPr>
          <w:rFonts w:ascii="宋体" w:hAnsi="宋体" w:cs="宋体"/>
          <w:b/>
          <w:color w:val="auto"/>
          <w:sz w:val="24"/>
        </w:rPr>
      </w:pPr>
      <w:bookmarkStart w:id="404" w:name="_Toc30599"/>
      <w:bookmarkStart w:id="405" w:name="_Toc4355"/>
      <w:bookmarkStart w:id="406" w:name="_Toc18540"/>
      <w:r>
        <w:rPr>
          <w:rFonts w:hint="eastAsia" w:ascii="宋体" w:hAnsi="宋体" w:cs="宋体"/>
          <w:b/>
          <w:color w:val="auto"/>
          <w:sz w:val="24"/>
        </w:rPr>
        <w:t>2.18 计量单位</w:t>
      </w:r>
      <w:bookmarkEnd w:id="404"/>
      <w:bookmarkEnd w:id="405"/>
      <w:bookmarkEnd w:id="406"/>
    </w:p>
    <w:p w14:paraId="1495870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F33D68A">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CCFC413">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367987C">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DD9B5DB">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40AE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44A2E3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5E8CAB06">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083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2C6E940">
            <w:pPr>
              <w:spacing w:line="360" w:lineRule="auto"/>
              <w:rPr>
                <w:rFonts w:ascii="宋体" w:hAnsi="宋体" w:cs="宋体"/>
                <w:b/>
                <w:color w:val="auto"/>
                <w:sz w:val="24"/>
              </w:rPr>
            </w:pPr>
            <w:r>
              <w:rPr>
                <w:rFonts w:hint="eastAsia" w:ascii="宋体" w:hAnsi="宋体" w:cs="宋体"/>
                <w:bCs/>
                <w:color w:val="auto"/>
                <w:sz w:val="24"/>
              </w:rPr>
              <w:t>1.3</w:t>
            </w:r>
          </w:p>
        </w:tc>
        <w:tc>
          <w:tcPr>
            <w:tcW w:w="4464" w:type="pct"/>
            <w:vAlign w:val="center"/>
          </w:tcPr>
          <w:p w14:paraId="32A90459">
            <w:pPr>
              <w:spacing w:line="560" w:lineRule="exact"/>
              <w:rPr>
                <w:rFonts w:ascii="宋体" w:hAnsi="宋体" w:cs="宋体"/>
                <w:b/>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1.3.1   </w:t>
            </w:r>
            <w:r>
              <w:rPr>
                <w:rFonts w:hint="eastAsia" w:ascii="宋体" w:hAnsi="宋体" w:cs="宋体"/>
                <w:color w:val="auto"/>
                <w:sz w:val="24"/>
              </w:rPr>
              <w:t>条款规定的计价方式计价。</w:t>
            </w:r>
          </w:p>
        </w:tc>
      </w:tr>
      <w:tr w14:paraId="3AB7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374AF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2C9CA878">
            <w:pPr>
              <w:spacing w:line="360" w:lineRule="auto"/>
              <w:rPr>
                <w:rFonts w:ascii="宋体" w:hAnsi="宋体" w:cs="宋体"/>
                <w:color w:val="auto"/>
                <w:sz w:val="24"/>
              </w:rPr>
            </w:pPr>
            <w:r>
              <w:rPr>
                <w:rFonts w:hint="eastAsia" w:ascii="宋体" w:hAnsi="宋体" w:cs="宋体"/>
                <w:color w:val="auto"/>
                <w:sz w:val="24"/>
              </w:rPr>
              <w:t>/</w:t>
            </w:r>
          </w:p>
        </w:tc>
      </w:tr>
      <w:tr w14:paraId="7056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1E57C">
            <w:pPr>
              <w:spacing w:line="360" w:lineRule="auto"/>
              <w:rPr>
                <w:rFonts w:ascii="宋体" w:hAnsi="宋体" w:cs="宋体"/>
                <w:color w:val="auto"/>
                <w:sz w:val="24"/>
              </w:rPr>
            </w:pPr>
            <w:r>
              <w:rPr>
                <w:rFonts w:hint="eastAsia" w:ascii="宋体" w:hAnsi="宋体" w:cs="宋体"/>
                <w:color w:val="auto"/>
                <w:sz w:val="24"/>
              </w:rPr>
              <w:t>1.3.3</w:t>
            </w:r>
          </w:p>
        </w:tc>
        <w:tc>
          <w:tcPr>
            <w:tcW w:w="4464" w:type="pct"/>
            <w:vAlign w:val="center"/>
          </w:tcPr>
          <w:p w14:paraId="2C3F7C43">
            <w:pPr>
              <w:spacing w:line="360" w:lineRule="auto"/>
              <w:rPr>
                <w:rFonts w:ascii="宋体" w:hAnsi="宋体" w:cs="宋体"/>
                <w:color w:val="auto"/>
                <w:sz w:val="24"/>
              </w:rPr>
            </w:pPr>
            <w:r>
              <w:rPr>
                <w:rFonts w:hint="eastAsia" w:ascii="宋体" w:hAnsi="宋体" w:cs="宋体"/>
                <w:color w:val="auto"/>
                <w:sz w:val="24"/>
              </w:rPr>
              <w:t>/</w:t>
            </w:r>
          </w:p>
        </w:tc>
      </w:tr>
      <w:tr w14:paraId="4C973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8E5D57">
            <w:pPr>
              <w:spacing w:line="360" w:lineRule="auto"/>
              <w:rPr>
                <w:rFonts w:ascii="宋体" w:hAnsi="宋体" w:cs="宋体"/>
                <w:color w:val="auto"/>
                <w:sz w:val="24"/>
              </w:rPr>
            </w:pPr>
            <w:r>
              <w:rPr>
                <w:rFonts w:hint="eastAsia" w:ascii="宋体" w:hAnsi="宋体" w:cs="宋体"/>
                <w:color w:val="auto"/>
                <w:sz w:val="24"/>
              </w:rPr>
              <w:t>1.4</w:t>
            </w:r>
          </w:p>
        </w:tc>
        <w:tc>
          <w:tcPr>
            <w:tcW w:w="4464" w:type="pct"/>
            <w:vAlign w:val="center"/>
          </w:tcPr>
          <w:p w14:paraId="23387A29">
            <w:pPr>
              <w:spacing w:line="360" w:lineRule="auto"/>
              <w:rPr>
                <w:rFonts w:ascii="宋体" w:hAnsi="宋体" w:cs="宋体"/>
                <w:color w:val="auto"/>
                <w:sz w:val="24"/>
              </w:rPr>
            </w:pPr>
            <w:r>
              <w:rPr>
                <w:rFonts w:hint="eastAsia"/>
                <w:color w:val="auto"/>
                <w:sz w:val="24"/>
              </w:rPr>
              <w:t>乙方</w:t>
            </w:r>
            <w:r>
              <w:rPr>
                <w:rFonts w:hint="eastAsia"/>
                <w:color w:val="auto"/>
                <w:sz w:val="24"/>
                <w:u w:val="single"/>
              </w:rPr>
              <w:t xml:space="preserve">  是   </w:t>
            </w:r>
            <w:r>
              <w:rPr>
                <w:rFonts w:hint="eastAsia"/>
                <w:color w:val="auto"/>
                <w:sz w:val="24"/>
              </w:rPr>
              <w:t>（是</w:t>
            </w:r>
            <w:r>
              <w:rPr>
                <w:rFonts w:hint="eastAsia" w:ascii="仿宋" w:hAnsi="仿宋" w:eastAsia="仿宋" w:cs="仿宋"/>
                <w:color w:val="auto"/>
                <w:sz w:val="24"/>
              </w:rPr>
              <w:t>/</w:t>
            </w:r>
            <w:r>
              <w:rPr>
                <w:rFonts w:hint="eastAsia"/>
                <w:color w:val="auto"/>
                <w:sz w:val="24"/>
              </w:rPr>
              <w:t>否）需要支付履约保证金。</w:t>
            </w:r>
          </w:p>
        </w:tc>
      </w:tr>
      <w:tr w14:paraId="590A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CD5A18">
            <w:pPr>
              <w:spacing w:line="360" w:lineRule="auto"/>
              <w:rPr>
                <w:rFonts w:ascii="宋体" w:hAnsi="宋体" w:cs="宋体"/>
                <w:color w:val="auto"/>
                <w:sz w:val="24"/>
              </w:rPr>
            </w:pPr>
            <w:r>
              <w:rPr>
                <w:rFonts w:hint="eastAsia" w:ascii="宋体" w:hAnsi="宋体" w:cs="宋体"/>
                <w:color w:val="auto"/>
                <w:sz w:val="24"/>
              </w:rPr>
              <w:t>1.4.1</w:t>
            </w:r>
          </w:p>
        </w:tc>
        <w:tc>
          <w:tcPr>
            <w:tcW w:w="4464" w:type="pct"/>
            <w:vAlign w:val="center"/>
          </w:tcPr>
          <w:p w14:paraId="7A4B0B6A">
            <w:pPr>
              <w:spacing w:line="360" w:lineRule="auto"/>
              <w:rPr>
                <w:color w:val="auto"/>
                <w:sz w:val="24"/>
              </w:rPr>
            </w:pPr>
            <w:r>
              <w:rPr>
                <w:rFonts w:hint="eastAsia" w:ascii="宋体" w:hAnsi="宋体" w:cs="宋体"/>
                <w:color w:val="auto"/>
                <w:kern w:val="0"/>
                <w:sz w:val="24"/>
              </w:rPr>
              <w:t>履约保证金的比例为合同金额的</w:t>
            </w:r>
            <w:r>
              <w:rPr>
                <w:rFonts w:hint="eastAsia" w:ascii="宋体" w:hAnsi="宋体" w:cs="宋体"/>
                <w:color w:val="auto"/>
                <w:kern w:val="0"/>
                <w:sz w:val="24"/>
                <w:u w:val="single"/>
              </w:rPr>
              <w:t xml:space="preserve">   1  </w:t>
            </w:r>
            <w:r>
              <w:rPr>
                <w:rFonts w:hint="eastAsia" w:ascii="宋体" w:hAnsi="宋体" w:cs="宋体"/>
                <w:color w:val="auto"/>
                <w:kern w:val="0"/>
                <w:sz w:val="24"/>
              </w:rPr>
              <w:t>%；</w:t>
            </w:r>
          </w:p>
        </w:tc>
      </w:tr>
      <w:tr w14:paraId="50FAE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01EA98">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3BF10155">
            <w:pPr>
              <w:spacing w:line="360" w:lineRule="auto"/>
              <w:rPr>
                <w:rFonts w:ascii="宋体" w:hAnsi="宋体" w:cs="宋体"/>
                <w:color w:val="auto"/>
                <w:sz w:val="24"/>
              </w:rPr>
            </w:pPr>
            <w:r>
              <w:rPr>
                <w:rFonts w:hint="eastAsia" w:ascii="宋体" w:hAnsi="宋体" w:cs="宋体"/>
                <w:color w:val="auto"/>
                <w:sz w:val="24"/>
              </w:rPr>
              <w:t>签订合同后7个工作日内，乙方以</w:t>
            </w:r>
            <w:r>
              <w:rPr>
                <w:rFonts w:hint="eastAsia" w:ascii="宋体" w:hAnsi="宋体" w:cs="宋体"/>
                <w:color w:val="auto"/>
                <w:sz w:val="24"/>
                <w:lang w:val="zh-CN"/>
              </w:rPr>
              <w:t>支票、汇票或本票或金融机构、担保机构出具的保函等非现金形式</w:t>
            </w:r>
            <w:r>
              <w:rPr>
                <w:rFonts w:hint="eastAsia" w:ascii="宋体" w:hAnsi="宋体" w:cs="宋体"/>
                <w:color w:val="auto"/>
                <w:sz w:val="24"/>
              </w:rPr>
              <w:t>向甲方</w:t>
            </w:r>
            <w:r>
              <w:rPr>
                <w:rFonts w:hint="eastAsia" w:ascii="宋体" w:hAnsi="宋体" w:cs="宋体"/>
                <w:color w:val="auto"/>
                <w:sz w:val="24"/>
                <w:lang w:val="zh-CN"/>
              </w:rPr>
              <w:t>提交</w:t>
            </w:r>
            <w:r>
              <w:rPr>
                <w:rFonts w:hint="eastAsia" w:ascii="宋体" w:hAnsi="宋体" w:cs="宋体"/>
                <w:color w:val="auto"/>
                <w:sz w:val="24"/>
              </w:rPr>
              <w:t>相当于合同总额1%的</w:t>
            </w:r>
            <w:r>
              <w:rPr>
                <w:rFonts w:hint="eastAsia" w:ascii="宋体" w:hAnsi="宋体" w:cs="宋体"/>
                <w:color w:val="auto"/>
                <w:sz w:val="24"/>
                <w:lang w:val="zh-CN"/>
              </w:rPr>
              <w:t>履约保证金</w:t>
            </w:r>
            <w:r>
              <w:rPr>
                <w:rFonts w:hint="eastAsia" w:ascii="宋体" w:hAnsi="宋体" w:cs="宋体"/>
                <w:color w:val="auto"/>
                <w:sz w:val="24"/>
              </w:rPr>
              <w:t>。以保证乙方遵守本合同的一切条款、条件和承诺，该保证金在甲方的规定存续期间不计息。</w:t>
            </w:r>
          </w:p>
        </w:tc>
      </w:tr>
      <w:tr w14:paraId="4123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2ADC75">
            <w:pPr>
              <w:spacing w:line="360" w:lineRule="auto"/>
              <w:rPr>
                <w:rFonts w:ascii="宋体" w:hAnsi="宋体" w:cs="宋体"/>
                <w:color w:val="auto"/>
                <w:sz w:val="24"/>
              </w:rPr>
            </w:pPr>
            <w:r>
              <w:rPr>
                <w:rFonts w:hint="eastAsia" w:ascii="宋体" w:hAnsi="宋体" w:cs="宋体"/>
                <w:color w:val="auto"/>
                <w:sz w:val="24"/>
              </w:rPr>
              <w:t>1.5</w:t>
            </w:r>
          </w:p>
        </w:tc>
        <w:tc>
          <w:tcPr>
            <w:tcW w:w="4464" w:type="pct"/>
            <w:vAlign w:val="center"/>
          </w:tcPr>
          <w:p w14:paraId="43DD6296">
            <w:pPr>
              <w:spacing w:line="360" w:lineRule="auto"/>
              <w:rPr>
                <w:rFonts w:ascii="宋体" w:hAnsi="宋体" w:cs="宋体"/>
                <w:color w:val="auto"/>
                <w:sz w:val="24"/>
              </w:rPr>
            </w:pPr>
            <w:r>
              <w:rPr>
                <w:rFonts w:hint="eastAsia"/>
                <w:color w:val="auto"/>
                <w:sz w:val="24"/>
              </w:rPr>
              <w:t>甲方</w:t>
            </w:r>
            <w:r>
              <w:rPr>
                <w:rFonts w:hint="eastAsia"/>
                <w:color w:val="auto"/>
                <w:sz w:val="24"/>
                <w:u w:val="single"/>
              </w:rPr>
              <w:t xml:space="preserve">  是   </w:t>
            </w:r>
            <w:r>
              <w:rPr>
                <w:rFonts w:hint="eastAsia"/>
                <w:color w:val="auto"/>
                <w:sz w:val="24"/>
              </w:rPr>
              <w:t>（是</w:t>
            </w:r>
            <w:r>
              <w:rPr>
                <w:rFonts w:hint="eastAsia" w:ascii="仿宋" w:hAnsi="仿宋" w:eastAsia="仿宋" w:cs="仿宋"/>
                <w:color w:val="auto"/>
                <w:sz w:val="24"/>
              </w:rPr>
              <w:t>/</w:t>
            </w:r>
            <w:r>
              <w:rPr>
                <w:rFonts w:hint="eastAsia"/>
                <w:color w:val="auto"/>
                <w:sz w:val="24"/>
              </w:rPr>
              <w:t>否）需要支付预付款。</w:t>
            </w:r>
          </w:p>
        </w:tc>
      </w:tr>
      <w:tr w14:paraId="4901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D13AE3">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393F1B56">
            <w:pPr>
              <w:spacing w:line="360" w:lineRule="auto"/>
              <w:rPr>
                <w:rFonts w:ascii="宋体" w:hAnsi="宋体" w:cs="宋体"/>
                <w:color w:val="auto"/>
                <w:sz w:val="24"/>
              </w:rPr>
            </w:pPr>
            <w:r>
              <w:rPr>
                <w:rFonts w:hint="eastAsia" w:ascii="宋体" w:hAnsi="宋体" w:cs="宋体"/>
                <w:bCs/>
                <w:color w:val="auto"/>
                <w:sz w:val="24"/>
              </w:rPr>
              <w:t>本合同签订后且乙方缴纳履约保证金后5个工作日内甲方应向乙方支付合同金额的40%。</w:t>
            </w:r>
          </w:p>
        </w:tc>
      </w:tr>
      <w:tr w14:paraId="5AFFF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9F5C74">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3E32E639">
            <w:pPr>
              <w:spacing w:line="360" w:lineRule="auto"/>
              <w:rPr>
                <w:rFonts w:ascii="宋体" w:hAnsi="宋体" w:cs="宋体"/>
                <w:color w:val="auto"/>
                <w:sz w:val="24"/>
              </w:rPr>
            </w:pPr>
            <w:r>
              <w:rPr>
                <w:rFonts w:hint="eastAsia" w:ascii="宋体" w:hAnsi="宋体" w:cs="宋体"/>
                <w:color w:val="auto"/>
                <w:sz w:val="24"/>
              </w:rPr>
              <w:t>不扣回</w:t>
            </w:r>
          </w:p>
        </w:tc>
      </w:tr>
      <w:tr w14:paraId="2C23B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DA87C">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2315CA1C">
            <w:pPr>
              <w:spacing w:line="360" w:lineRule="auto"/>
              <w:rPr>
                <w:rFonts w:ascii="宋体" w:hAnsi="宋体" w:cs="宋体"/>
                <w:color w:val="auto"/>
                <w:sz w:val="24"/>
              </w:rPr>
            </w:pPr>
            <w:r>
              <w:rPr>
                <w:rFonts w:hint="eastAsia" w:ascii="宋体" w:hAnsi="宋体" w:cs="宋体"/>
                <w:bCs/>
                <w:color w:val="auto"/>
                <w:sz w:val="24"/>
              </w:rPr>
              <w:t>甲方向乙方支付预付款的同时，乙方提交杭州区域银行、保险公司出具的预付款保函（若未按要求提交预付款保函，则视为乙方无需预付款，待中期验收合格后支付合同金额的70%的资金）。</w:t>
            </w:r>
          </w:p>
        </w:tc>
      </w:tr>
      <w:tr w14:paraId="3886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02B1E8">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6C98FBA0">
            <w:pPr>
              <w:spacing w:line="360" w:lineRule="auto"/>
              <w:rPr>
                <w:rFonts w:ascii="宋体" w:hAnsi="宋体" w:cs="宋体"/>
                <w:color w:val="auto"/>
                <w:sz w:val="24"/>
              </w:rPr>
            </w:pPr>
            <w:r>
              <w:rPr>
                <w:rFonts w:hint="eastAsia" w:ascii="宋体" w:hAnsi="宋体" w:cs="宋体"/>
                <w:bCs/>
                <w:color w:val="auto"/>
                <w:sz w:val="24"/>
              </w:rPr>
              <w:t>本次招标物业管理服务费甲方分三次支付给乙方。在本合同签订后且乙方缴纳履约保证金后5个工作日内甲方应向乙方支付合同金额的40%。2025年6月30日前甲方经过中期验收后支付合同金额的30%。2025年12月验收合格后支付合同金额的30%，具体根据财政资金到位情况支付。前一年验收合格后，签订下一年合同，付款方式参照前一年。</w:t>
            </w:r>
          </w:p>
        </w:tc>
      </w:tr>
      <w:tr w14:paraId="479F2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00DD83">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A068800">
            <w:pPr>
              <w:spacing w:line="360" w:lineRule="auto"/>
              <w:rPr>
                <w:rFonts w:ascii="宋体" w:hAnsi="宋体" w:cs="宋体"/>
                <w:color w:val="auto"/>
                <w:sz w:val="24"/>
              </w:rPr>
            </w:pPr>
            <w:r>
              <w:rPr>
                <w:rFonts w:hint="eastAsia" w:ascii="宋体" w:hAnsi="宋体" w:cs="宋体"/>
                <w:bCs/>
                <w:color w:val="auto"/>
                <w:sz w:val="24"/>
              </w:rPr>
              <w:t>履行期限：</w:t>
            </w:r>
            <w:r>
              <w:rPr>
                <w:rFonts w:hint="eastAsia" w:ascii="宋体" w:hAnsi="宋体" w:cs="宋体"/>
                <w:b/>
                <w:color w:val="auto"/>
                <w:sz w:val="24"/>
                <w:u w:val="single"/>
              </w:rPr>
              <w:t>2025年1月1日至2027年12月31日</w:t>
            </w:r>
          </w:p>
        </w:tc>
      </w:tr>
      <w:tr w14:paraId="407F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FD88E7">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F20ED38">
            <w:pPr>
              <w:spacing w:line="360" w:lineRule="auto"/>
              <w:rPr>
                <w:rFonts w:ascii="宋体" w:hAnsi="宋体" w:cs="宋体"/>
                <w:color w:val="auto"/>
                <w:sz w:val="24"/>
              </w:rPr>
            </w:pPr>
            <w:r>
              <w:rPr>
                <w:rFonts w:hint="eastAsia" w:ascii="宋体" w:hAnsi="宋体" w:cs="宋体"/>
                <w:bCs/>
                <w:color w:val="auto"/>
                <w:sz w:val="24"/>
              </w:rPr>
              <w:t>履行地点：</w:t>
            </w:r>
            <w:r>
              <w:rPr>
                <w:rFonts w:hint="eastAsia" w:ascii="宋体" w:hAnsi="宋体" w:cs="宋体"/>
                <w:b/>
                <w:color w:val="auto"/>
                <w:sz w:val="24"/>
                <w:u w:val="single"/>
              </w:rPr>
              <w:t>杭州市综合行政执法队（杭州市拱墅区白石巷365号、杭州市拱墅区刘文村186号、过渡期间现代置业大厦西楼三、四层）</w:t>
            </w:r>
          </w:p>
        </w:tc>
      </w:tr>
      <w:tr w14:paraId="169FA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32E28F">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297DA43">
            <w:pPr>
              <w:pStyle w:val="959"/>
              <w:spacing w:line="360" w:lineRule="auto"/>
              <w:rPr>
                <w:color w:val="auto"/>
              </w:rPr>
            </w:pPr>
            <w:r>
              <w:rPr>
                <w:rFonts w:hint="eastAsia"/>
                <w:bCs/>
                <w:color w:val="auto"/>
              </w:rPr>
              <w:t>履行方式：</w:t>
            </w:r>
            <w:r>
              <w:rPr>
                <w:rFonts w:hint="eastAsia"/>
                <w:b/>
                <w:color w:val="auto"/>
                <w:u w:val="single"/>
              </w:rPr>
              <w:t>按物业类项目服务要求提供服务</w:t>
            </w:r>
          </w:p>
        </w:tc>
      </w:tr>
      <w:tr w14:paraId="7E46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C9021E">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274D4030">
            <w:pPr>
              <w:spacing w:line="360" w:lineRule="auto"/>
              <w:rPr>
                <w:rFonts w:ascii="宋体" w:hAnsi="宋体" w:cs="宋体"/>
                <w:color w:val="auto"/>
                <w:sz w:val="24"/>
              </w:rPr>
            </w:pPr>
            <w:r>
              <w:rPr>
                <w:rFonts w:hint="eastAsia" w:ascii="宋体" w:hAnsi="宋体" w:cs="宋体"/>
                <w:color w:val="auto"/>
                <w:sz w:val="24"/>
              </w:rPr>
              <w:t>/</w:t>
            </w:r>
          </w:p>
        </w:tc>
      </w:tr>
      <w:tr w14:paraId="78B88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D54E2">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2E58506A">
            <w:pPr>
              <w:spacing w:line="360" w:lineRule="auto"/>
              <w:rPr>
                <w:rFonts w:ascii="宋体" w:hAnsi="宋体" w:cs="宋体"/>
                <w:color w:val="auto"/>
                <w:sz w:val="24"/>
              </w:rPr>
            </w:pPr>
            <w:r>
              <w:rPr>
                <w:rFonts w:hint="eastAsia" w:ascii="宋体" w:hAnsi="宋体" w:cs="宋体"/>
                <w:color w:val="auto"/>
                <w:sz w:val="24"/>
              </w:rPr>
              <w:t>/</w:t>
            </w:r>
          </w:p>
        </w:tc>
      </w:tr>
      <w:tr w14:paraId="3D6E4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454CC0">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5721BCB5">
            <w:pPr>
              <w:spacing w:line="360" w:lineRule="auto"/>
              <w:rPr>
                <w:rFonts w:ascii="宋体" w:hAnsi="宋体" w:cs="宋体"/>
                <w:color w:val="auto"/>
                <w:sz w:val="24"/>
              </w:rPr>
            </w:pPr>
            <w:r>
              <w:rPr>
                <w:rFonts w:hint="eastAsia" w:ascii="宋体" w:hAnsi="宋体" w:cs="宋体"/>
                <w:color w:val="auto"/>
                <w:sz w:val="24"/>
              </w:rPr>
              <w:t>/</w:t>
            </w:r>
          </w:p>
        </w:tc>
      </w:tr>
      <w:tr w14:paraId="6045B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25E1EA">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58AAC212">
            <w:pPr>
              <w:spacing w:line="360" w:lineRule="auto"/>
              <w:rPr>
                <w:rFonts w:ascii="宋体" w:hAnsi="宋体" w:cs="宋体"/>
                <w:color w:val="auto"/>
                <w:sz w:val="24"/>
              </w:rPr>
            </w:pPr>
            <w:r>
              <w:rPr>
                <w:rFonts w:hint="eastAsia" w:ascii="宋体" w:hAnsi="宋体" w:cs="宋体"/>
                <w:bCs/>
                <w:color w:val="auto"/>
                <w:sz w:val="24"/>
              </w:rPr>
              <w:t>违约扣款：合同期内，甲方对乙方进行每季度一次的服务质量考核和每月一次的人员考核。每发现一次未按照采购需求提供人员配置的，少一人，扣200元/次;工作人员缺位的，每发现一次扣除50元/人/次/天；重要岗位人员变动需提前1个月征求采购人意见，未提前征求采购人意见的扣3000元/人/次。累计发生两次的，甲方有权提前解除合同;每发现一次更换人员资历低于投标时人员资历的，扣3000元/人/次,累计发生两次的，甲方有权提前解除合同;投标人未按保密管理条款规定执行的，每发现一次处违约金10000元，如发生泄密事件，除赔偿采购人损失外，还应承担全部法律责任。每季度服务质量考核低于85分（100分制），扣除在支付合同服务款时扣除当季度服务款项的5%；未经甲方同意，擅自更换服务人员的，每发现一次扣款3000元/人/次；经甲方同意更换服务人员的，服务人员水平不得低于原有水平。甲方有权从乙方的履约保证金中扣除违约金和相关损失，若履约保证金不足以支付的，甲方有权将不足部分在当季度的合同服务款项中扣除，仍不足的，乙方应在甲方发出支付通知之日起15个工作日内支付违约金和相关损失产生的赔偿费用。</w:t>
            </w:r>
          </w:p>
        </w:tc>
      </w:tr>
      <w:tr w14:paraId="42B6F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D3CE27">
            <w:pPr>
              <w:spacing w:line="360" w:lineRule="auto"/>
              <w:rPr>
                <w:rFonts w:ascii="宋体" w:hAnsi="宋体" w:cs="宋体"/>
                <w:color w:val="auto"/>
                <w:sz w:val="24"/>
              </w:rPr>
            </w:pPr>
            <w:r>
              <w:rPr>
                <w:rFonts w:hint="eastAsia" w:ascii="宋体" w:hAnsi="宋体" w:cs="宋体"/>
                <w:color w:val="auto"/>
                <w:sz w:val="24"/>
              </w:rPr>
              <w:t>1.9</w:t>
            </w:r>
          </w:p>
        </w:tc>
        <w:tc>
          <w:tcPr>
            <w:tcW w:w="8149" w:type="dxa"/>
            <w:vAlign w:val="center"/>
          </w:tcPr>
          <w:p w14:paraId="25B615DD">
            <w:pPr>
              <w:spacing w:line="360" w:lineRule="auto"/>
              <w:rPr>
                <w:rFonts w:ascii="宋体" w:hAnsi="宋体" w:cs="宋体"/>
                <w:color w:val="auto"/>
                <w:sz w:val="24"/>
              </w:rPr>
            </w:pPr>
            <w:r>
              <w:rPr>
                <w:rFonts w:hint="eastAsia" w:ascii="宋体" w:hAnsi="宋体"/>
                <w:color w:val="auto"/>
                <w:sz w:val="24"/>
              </w:rPr>
              <w:t>不愿和解、调解或者和解、调解不成的，可以选择以下第</w:t>
            </w:r>
            <w:r>
              <w:rPr>
                <w:rFonts w:ascii="宋体" w:hAnsi="宋体"/>
                <w:b/>
                <w:i/>
                <w:color w:val="auto"/>
                <w:sz w:val="24"/>
                <w:u w:val="single"/>
              </w:rPr>
              <w:t xml:space="preserve"> </w:t>
            </w:r>
            <w:r>
              <w:rPr>
                <w:rFonts w:hint="eastAsia" w:ascii="宋体" w:hAnsi="宋体"/>
                <w:b/>
                <w:i/>
                <w:color w:val="auto"/>
                <w:sz w:val="24"/>
                <w:u w:val="single"/>
              </w:rPr>
              <w:t>1.7.1</w:t>
            </w:r>
            <w:r>
              <w:rPr>
                <w:rFonts w:ascii="宋体" w:hAnsi="宋体"/>
                <w:b/>
                <w:i/>
                <w:color w:val="auto"/>
                <w:sz w:val="24"/>
                <w:u w:val="single"/>
              </w:rPr>
              <w:t xml:space="preserve"> </w:t>
            </w:r>
            <w:r>
              <w:rPr>
                <w:rFonts w:hint="eastAsia" w:ascii="宋体" w:hAnsi="宋体"/>
                <w:color w:val="auto"/>
                <w:sz w:val="24"/>
              </w:rPr>
              <w:t>条款规定的方式解决。</w:t>
            </w:r>
          </w:p>
        </w:tc>
      </w:tr>
      <w:tr w14:paraId="06C0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C2BBA0">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304D42CD">
            <w:pPr>
              <w:spacing w:line="360" w:lineRule="auto"/>
              <w:rPr>
                <w:rFonts w:ascii="宋体" w:hAnsi="宋体" w:cs="宋体"/>
                <w:color w:val="auto"/>
                <w:sz w:val="24"/>
              </w:rPr>
            </w:pPr>
            <w:r>
              <w:rPr>
                <w:rFonts w:hint="eastAsia" w:ascii="宋体" w:hAnsi="宋体"/>
                <w:color w:val="auto"/>
                <w:sz w:val="24"/>
              </w:rPr>
              <w:t>将争议提交</w:t>
            </w:r>
            <w:r>
              <w:rPr>
                <w:rFonts w:hint="eastAsia" w:ascii="宋体" w:hAnsi="宋体"/>
                <w:b/>
                <w:bCs/>
                <w:color w:val="auto"/>
                <w:sz w:val="24"/>
              </w:rPr>
              <w:t xml:space="preserve"> </w:t>
            </w:r>
            <w:r>
              <w:rPr>
                <w:rFonts w:hint="eastAsia" w:ascii="宋体" w:hAnsi="宋体" w:cs="宋体"/>
                <w:b/>
                <w:color w:val="auto"/>
                <w:sz w:val="24"/>
                <w:u w:val="single"/>
              </w:rPr>
              <w:t>杭州</w:t>
            </w:r>
            <w:r>
              <w:rPr>
                <w:rFonts w:hint="eastAsia" w:ascii="宋体" w:hAnsi="宋体"/>
                <w:color w:val="auto"/>
                <w:sz w:val="24"/>
              </w:rPr>
              <w:t>仲裁委员会依申请仲裁时其现行有效的仲裁规则裁决。</w:t>
            </w:r>
          </w:p>
        </w:tc>
      </w:tr>
      <w:tr w14:paraId="00C20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F57940">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2ECE4616">
            <w:pPr>
              <w:spacing w:line="360" w:lineRule="auto"/>
              <w:rPr>
                <w:rFonts w:ascii="宋体" w:hAnsi="宋体" w:cs="宋体"/>
                <w:color w:val="auto"/>
                <w:sz w:val="24"/>
              </w:rPr>
            </w:pPr>
            <w:r>
              <w:rPr>
                <w:rFonts w:hint="eastAsia" w:ascii="宋体" w:hAnsi="宋体" w:cs="宋体"/>
                <w:bCs/>
                <w:color w:val="auto"/>
                <w:sz w:val="24"/>
              </w:rPr>
              <w:t>向</w:t>
            </w:r>
            <w:r>
              <w:rPr>
                <w:rFonts w:hint="eastAsia" w:ascii="宋体" w:hAnsi="宋体" w:cs="宋体"/>
                <w:b/>
                <w:color w:val="auto"/>
                <w:sz w:val="24"/>
                <w:u w:val="single"/>
              </w:rPr>
              <w:t>拱墅区</w:t>
            </w:r>
            <w:r>
              <w:rPr>
                <w:rFonts w:hint="eastAsia" w:ascii="宋体" w:hAnsi="宋体" w:cs="宋体"/>
                <w:bCs/>
                <w:color w:val="auto"/>
                <w:sz w:val="24"/>
              </w:rPr>
              <w:t>人民法院起诉。</w:t>
            </w:r>
          </w:p>
        </w:tc>
      </w:tr>
      <w:tr w14:paraId="5F6A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2CA0F5">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45117A25">
            <w:pPr>
              <w:spacing w:line="360" w:lineRule="auto"/>
              <w:rPr>
                <w:rFonts w:ascii="宋体" w:hAnsi="宋体" w:cs="宋体"/>
                <w:color w:val="auto"/>
                <w:sz w:val="24"/>
              </w:rPr>
            </w:pPr>
            <w:r>
              <w:rPr>
                <w:rFonts w:hint="eastAsia" w:ascii="宋体" w:hAnsi="宋体" w:cs="宋体"/>
                <w:bCs/>
                <w:color w:val="auto"/>
                <w:sz w:val="24"/>
              </w:rPr>
              <w:t>/</w:t>
            </w:r>
          </w:p>
        </w:tc>
      </w:tr>
      <w:tr w14:paraId="0D35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0F30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792AF714">
            <w:pPr>
              <w:spacing w:line="360" w:lineRule="auto"/>
              <w:rPr>
                <w:rFonts w:ascii="宋体" w:hAnsi="宋体" w:cs="宋体"/>
                <w:color w:val="auto"/>
                <w:sz w:val="24"/>
              </w:rPr>
            </w:pPr>
            <w:r>
              <w:rPr>
                <w:rFonts w:hint="eastAsia" w:ascii="宋体" w:hAnsi="宋体" w:cs="宋体"/>
                <w:bCs/>
                <w:color w:val="auto"/>
                <w:sz w:val="24"/>
              </w:rPr>
              <w:t>结算方式和付款方式：</w:t>
            </w:r>
            <w:r>
              <w:rPr>
                <w:rFonts w:hint="eastAsia" w:ascii="宋体" w:hAnsi="宋体" w:cs="宋体"/>
                <w:b/>
                <w:color w:val="auto"/>
                <w:sz w:val="24"/>
                <w:u w:val="single"/>
              </w:rPr>
              <w:t>同1.4.4</w:t>
            </w:r>
          </w:p>
        </w:tc>
      </w:tr>
      <w:tr w14:paraId="4D93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20ABF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7DFDF23">
            <w:pPr>
              <w:spacing w:line="400" w:lineRule="exact"/>
              <w:rPr>
                <w:rFonts w:ascii="宋体" w:hAnsi="宋体" w:cs="宋体"/>
                <w:color w:val="auto"/>
                <w:sz w:val="24"/>
              </w:rPr>
            </w:pPr>
            <w:r>
              <w:rPr>
                <w:rFonts w:hint="eastAsia" w:ascii="宋体" w:hAnsi="宋体" w:cs="宋体"/>
                <w:bCs/>
                <w:color w:val="auto"/>
                <w:sz w:val="24"/>
              </w:rPr>
              <w:t>因不可抗力致使合同有变更必要的，双方当事人应在</w:t>
            </w:r>
            <w:r>
              <w:rPr>
                <w:rFonts w:hint="eastAsia" w:ascii="宋体" w:hAnsi="宋体" w:cs="宋体"/>
                <w:b/>
                <w:color w:val="auto"/>
                <w:sz w:val="24"/>
                <w:u w:val="single"/>
              </w:rPr>
              <w:t>30日</w:t>
            </w:r>
            <w:r>
              <w:rPr>
                <w:rFonts w:hint="eastAsia" w:ascii="宋体" w:hAnsi="宋体" w:cs="宋体"/>
                <w:bCs/>
                <w:color w:val="auto"/>
                <w:sz w:val="24"/>
              </w:rPr>
              <w:t>内以书面形式变更合同。</w:t>
            </w:r>
          </w:p>
        </w:tc>
      </w:tr>
      <w:tr w14:paraId="7C11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415710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center"/>
          </w:tcPr>
          <w:p w14:paraId="18507A52">
            <w:pPr>
              <w:spacing w:line="400" w:lineRule="exact"/>
              <w:rPr>
                <w:rFonts w:ascii="宋体" w:hAnsi="宋体" w:cs="宋体"/>
                <w:color w:val="auto"/>
                <w:sz w:val="24"/>
              </w:rPr>
            </w:pPr>
            <w:r>
              <w:rPr>
                <w:rFonts w:hint="eastAsia" w:ascii="宋体" w:hAnsi="宋体" w:cs="宋体"/>
                <w:bCs/>
                <w:color w:val="auto"/>
                <w:sz w:val="24"/>
              </w:rPr>
              <w:t>受不可抗力影响的一方在不可抗力发生后，应在</w:t>
            </w:r>
            <w:r>
              <w:rPr>
                <w:rFonts w:hint="eastAsia" w:ascii="宋体" w:hAnsi="宋体" w:cs="宋体"/>
                <w:b/>
                <w:color w:val="auto"/>
                <w:sz w:val="24"/>
                <w:u w:val="single"/>
              </w:rPr>
              <w:t>15日</w:t>
            </w:r>
            <w:r>
              <w:rPr>
                <w:rFonts w:hint="eastAsia" w:ascii="宋体" w:hAnsi="宋体" w:cs="宋体"/>
                <w:bCs/>
                <w:color w:val="auto"/>
                <w:sz w:val="24"/>
              </w:rPr>
              <w:t>内以书面形式通知对方当事人，并在</w:t>
            </w:r>
            <w:r>
              <w:rPr>
                <w:rFonts w:hint="eastAsia" w:ascii="宋体" w:hAnsi="宋体" w:cs="宋体"/>
                <w:b/>
                <w:color w:val="auto"/>
                <w:sz w:val="24"/>
                <w:u w:val="single"/>
              </w:rPr>
              <w:t>15日</w:t>
            </w:r>
            <w:r>
              <w:rPr>
                <w:rFonts w:hint="eastAsia" w:ascii="宋体" w:hAnsi="宋体" w:cs="宋体"/>
                <w:bCs/>
                <w:color w:val="auto"/>
                <w:sz w:val="24"/>
              </w:rPr>
              <w:t>内，将有关部门出具的证明文件送达对方当事人。</w:t>
            </w:r>
          </w:p>
        </w:tc>
      </w:tr>
      <w:tr w14:paraId="19C8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E8D79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3A422C75">
            <w:pPr>
              <w:spacing w:line="400" w:lineRule="exact"/>
              <w:rPr>
                <w:rFonts w:ascii="宋体" w:hAnsi="宋体" w:cs="宋体"/>
                <w:color w:val="auto"/>
                <w:sz w:val="24"/>
              </w:rPr>
            </w:pPr>
            <w:r>
              <w:rPr>
                <w:rFonts w:hint="eastAsia" w:ascii="宋体" w:hAnsi="宋体" w:cs="宋体"/>
                <w:bCs/>
                <w:color w:val="auto"/>
                <w:sz w:val="24"/>
              </w:rPr>
              <w:t>乙方按照</w:t>
            </w:r>
            <w:r>
              <w:rPr>
                <w:rFonts w:hint="eastAsia" w:ascii="宋体" w:hAnsi="宋体" w:cs="宋体"/>
                <w:b/>
                <w:color w:val="auto"/>
                <w:sz w:val="24"/>
                <w:u w:val="single"/>
              </w:rPr>
              <w:t>采购需求和甲方确定的服务考核内容，每季度提交服务报告，甲方每月按照服务考核内容进行检查，每半年进行一次验收。</w:t>
            </w:r>
          </w:p>
        </w:tc>
      </w:tr>
      <w:tr w14:paraId="5C95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A26B5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CBFD397">
            <w:pPr>
              <w:spacing w:line="400" w:lineRule="exact"/>
              <w:rPr>
                <w:rFonts w:ascii="宋体" w:hAnsi="宋体" w:cs="宋体"/>
                <w:color w:val="auto"/>
                <w:sz w:val="24"/>
              </w:rPr>
            </w:pPr>
            <w:r>
              <w:rPr>
                <w:rFonts w:hint="eastAsia" w:ascii="宋体" w:hAnsi="宋体"/>
                <w:b/>
                <w:bCs/>
                <w:color w:val="auto"/>
                <w:sz w:val="24"/>
                <w:u w:val="single"/>
              </w:rPr>
              <w:t>检查结果和服务报告作为项目验收的主要依据</w:t>
            </w:r>
            <w:r>
              <w:rPr>
                <w:rFonts w:hint="eastAsia" w:ascii="宋体" w:hAnsi="宋体" w:cs="宋体"/>
                <w:b/>
                <w:bCs/>
                <w:color w:val="auto"/>
                <w:sz w:val="24"/>
                <w:u w:val="single"/>
              </w:rPr>
              <w:t>。</w:t>
            </w:r>
          </w:p>
        </w:tc>
      </w:tr>
      <w:tr w14:paraId="59C97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CB5DCB4">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79D17CBC">
            <w:pPr>
              <w:spacing w:line="360" w:lineRule="auto"/>
              <w:rPr>
                <w:rFonts w:ascii="宋体" w:hAnsi="宋体" w:cs="宋体"/>
                <w:color w:val="auto"/>
                <w:sz w:val="24"/>
              </w:rPr>
            </w:pPr>
            <w:r>
              <w:rPr>
                <w:rFonts w:ascii="宋体" w:hAnsi="宋体"/>
                <w:bCs/>
                <w:color w:val="auto"/>
                <w:sz w:val="24"/>
              </w:rPr>
              <w:t>合同份数按</w:t>
            </w:r>
            <w:r>
              <w:rPr>
                <w:rFonts w:hint="eastAsia" w:ascii="宋体" w:hAnsi="宋体" w:cs="宋体"/>
                <w:b/>
                <w:color w:val="auto"/>
                <w:sz w:val="24"/>
                <w:u w:val="single"/>
              </w:rPr>
              <w:t>壹式陆份，甲方执肆份，乙方执贰份</w:t>
            </w:r>
            <w:r>
              <w:rPr>
                <w:rFonts w:hint="eastAsia" w:ascii="宋体" w:hAnsi="宋体" w:cs="宋体"/>
                <w:bCs/>
                <w:color w:val="auto"/>
                <w:sz w:val="24"/>
              </w:rPr>
              <w:t>规定。</w:t>
            </w:r>
          </w:p>
        </w:tc>
      </w:tr>
    </w:tbl>
    <w:p w14:paraId="2C88843D">
      <w:pPr>
        <w:spacing w:line="360" w:lineRule="auto"/>
        <w:ind w:left="-420" w:leftChars="-200" w:right="-420" w:rightChars="-200" w:firstLine="480" w:firstLineChars="200"/>
        <w:rPr>
          <w:rFonts w:ascii="宋体" w:hAnsi="宋体" w:cs="宋体"/>
          <w:color w:val="auto"/>
          <w:sz w:val="24"/>
        </w:rPr>
      </w:pPr>
    </w:p>
    <w:p w14:paraId="2A705DD3">
      <w:pPr>
        <w:spacing w:line="360" w:lineRule="auto"/>
        <w:ind w:left="-420" w:leftChars="-200" w:right="-420" w:rightChars="-200" w:firstLine="480" w:firstLineChars="200"/>
        <w:rPr>
          <w:rFonts w:ascii="宋体" w:hAnsi="宋体" w:cs="宋体"/>
          <w:color w:val="auto"/>
          <w:sz w:val="24"/>
        </w:rPr>
      </w:pPr>
    </w:p>
    <w:p w14:paraId="3B872648">
      <w:pPr>
        <w:spacing w:line="360" w:lineRule="auto"/>
        <w:ind w:left="-420" w:leftChars="-200" w:right="-420" w:rightChars="-200"/>
        <w:rPr>
          <w:rFonts w:ascii="宋体" w:hAnsi="宋体" w:cs="宋体"/>
          <w:color w:val="auto"/>
          <w:sz w:val="24"/>
        </w:rPr>
      </w:pPr>
    </w:p>
    <w:p w14:paraId="57591E39">
      <w:pPr>
        <w:spacing w:line="360" w:lineRule="auto"/>
        <w:ind w:left="-420" w:leftChars="-200" w:right="-420" w:rightChars="-200" w:firstLine="480" w:firstLineChars="200"/>
        <w:jc w:val="center"/>
        <w:outlineLvl w:val="0"/>
        <w:rPr>
          <w:rFonts w:ascii="宋体" w:hAnsi="宋体" w:cs="宋体"/>
          <w:color w:val="auto"/>
          <w:sz w:val="24"/>
        </w:rPr>
      </w:pPr>
    </w:p>
    <w:p w14:paraId="6DFE6201">
      <w:pPr>
        <w:spacing w:line="360" w:lineRule="auto"/>
        <w:ind w:left="-420" w:leftChars="-200" w:right="-420" w:rightChars="-200" w:firstLine="480" w:firstLineChars="200"/>
        <w:jc w:val="center"/>
        <w:outlineLvl w:val="0"/>
        <w:rPr>
          <w:rFonts w:ascii="宋体" w:hAnsi="宋体" w:cs="宋体"/>
          <w:color w:val="auto"/>
          <w:sz w:val="24"/>
        </w:rPr>
      </w:pPr>
    </w:p>
    <w:p w14:paraId="4DD54FA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4A3984B">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6ED66A61">
      <w:pPr>
        <w:spacing w:line="360" w:lineRule="auto"/>
        <w:jc w:val="center"/>
        <w:outlineLvl w:val="0"/>
        <w:rPr>
          <w:rFonts w:ascii="宋体" w:hAnsi="宋体" w:cs="宋体"/>
          <w:b/>
          <w:color w:val="auto"/>
          <w:kern w:val="0"/>
          <w:sz w:val="36"/>
          <w:szCs w:val="36"/>
        </w:rPr>
      </w:pPr>
    </w:p>
    <w:p w14:paraId="50EAE8D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7B269F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EE751BE">
      <w:pPr>
        <w:spacing w:line="360" w:lineRule="auto"/>
        <w:jc w:val="center"/>
        <w:outlineLvl w:val="0"/>
        <w:rPr>
          <w:rFonts w:ascii="宋体" w:hAnsi="宋体" w:cs="宋体"/>
          <w:b/>
          <w:color w:val="auto"/>
          <w:kern w:val="0"/>
          <w:sz w:val="36"/>
          <w:szCs w:val="36"/>
        </w:rPr>
      </w:pPr>
    </w:p>
    <w:p w14:paraId="0402FAE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5DE743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70380A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AD00CA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A95198D">
      <w:pPr>
        <w:snapToGrid w:val="0"/>
        <w:spacing w:line="360" w:lineRule="auto"/>
        <w:ind w:firstLine="480" w:firstLineChars="200"/>
        <w:rPr>
          <w:rFonts w:ascii="宋体" w:hAnsi="宋体" w:cs="宋体"/>
          <w:color w:val="auto"/>
          <w:sz w:val="24"/>
        </w:rPr>
      </w:pPr>
    </w:p>
    <w:p w14:paraId="5927EC3F">
      <w:pPr>
        <w:spacing w:line="360" w:lineRule="auto"/>
        <w:ind w:firstLine="480" w:firstLineChars="200"/>
        <w:rPr>
          <w:rFonts w:ascii="宋体" w:hAnsi="宋体" w:cs="宋体"/>
          <w:color w:val="auto"/>
          <w:sz w:val="24"/>
        </w:rPr>
      </w:pPr>
    </w:p>
    <w:p w14:paraId="64E972E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FA260E2">
      <w:pPr>
        <w:snapToGrid w:val="0"/>
        <w:spacing w:line="360" w:lineRule="auto"/>
        <w:rPr>
          <w:rFonts w:ascii="宋体" w:hAnsi="宋体" w:cs="宋体"/>
          <w:color w:val="auto"/>
          <w:sz w:val="24"/>
        </w:rPr>
      </w:pPr>
      <w:r>
        <w:rPr>
          <w:rFonts w:hint="eastAsia" w:ascii="宋体" w:hAnsi="宋体" w:cs="宋体"/>
          <w:color w:val="auto"/>
          <w:sz w:val="24"/>
        </w:rPr>
        <w:t>杭州市综合行政执法队、杭州市公共资源交易中心：</w:t>
      </w:r>
    </w:p>
    <w:p w14:paraId="13FDC3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我方参与杭州市综合行政执法队物业管理服务采购项目【招标编号：HZZFCG-2025-005】政府采购活动，郑重承诺：</w:t>
      </w:r>
    </w:p>
    <w:p w14:paraId="650C503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CAA46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63E7B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9B8F8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F9877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78525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FA7AA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2FA37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34989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60094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24AEF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C8CC07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B00BF9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2563EC6">
      <w:pPr>
        <w:snapToGrid w:val="0"/>
        <w:spacing w:line="360" w:lineRule="auto"/>
        <w:ind w:right="480" w:firstLine="480" w:firstLineChars="200"/>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F7C029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69A833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E7BB0B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8D2D009">
      <w:pPr>
        <w:snapToGrid w:val="0"/>
        <w:spacing w:line="360" w:lineRule="auto"/>
        <w:ind w:right="480"/>
        <w:jc w:val="center"/>
        <w:rPr>
          <w:rFonts w:ascii="宋体" w:hAnsi="宋体" w:cs="宋体"/>
          <w:b/>
          <w:color w:val="auto"/>
          <w:kern w:val="0"/>
          <w:sz w:val="32"/>
          <w:szCs w:val="32"/>
        </w:rPr>
      </w:pPr>
    </w:p>
    <w:p w14:paraId="4E504077">
      <w:pPr>
        <w:snapToGrid w:val="0"/>
        <w:spacing w:line="360" w:lineRule="auto"/>
        <w:ind w:right="480"/>
        <w:jc w:val="center"/>
        <w:rPr>
          <w:rFonts w:ascii="宋体" w:hAnsi="宋体" w:cs="宋体"/>
          <w:b/>
          <w:color w:val="auto"/>
          <w:kern w:val="0"/>
          <w:sz w:val="32"/>
          <w:szCs w:val="32"/>
        </w:rPr>
      </w:pPr>
    </w:p>
    <w:p w14:paraId="415FDBF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02C9AE2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15C986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8DE197D">
      <w:pPr>
        <w:widowControl/>
        <w:spacing w:line="360" w:lineRule="auto"/>
        <w:ind w:firstLine="480"/>
        <w:jc w:val="left"/>
        <w:rPr>
          <w:rFonts w:ascii="宋体" w:hAnsi="宋体" w:cs="宋体"/>
          <w:color w:val="auto"/>
          <w:sz w:val="24"/>
        </w:rPr>
      </w:pPr>
    </w:p>
    <w:p w14:paraId="465EA0E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无需再与其他中小企业组成联合体参加政府采购活动，无需提供联合协议。</w:t>
      </w:r>
    </w:p>
    <w:p w14:paraId="6D2ABDF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F6D331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无需再向中小企业分包，无需提供分包意向协议。</w:t>
      </w:r>
    </w:p>
    <w:p w14:paraId="2C769930">
      <w:pPr>
        <w:widowControl/>
        <w:spacing w:line="360" w:lineRule="auto"/>
        <w:ind w:left="150"/>
        <w:jc w:val="center"/>
        <w:rPr>
          <w:rFonts w:ascii="宋体" w:hAnsi="宋体" w:cs="宋体"/>
          <w:b/>
          <w:color w:val="auto"/>
          <w:kern w:val="0"/>
          <w:sz w:val="32"/>
          <w:szCs w:val="32"/>
        </w:rPr>
      </w:pPr>
    </w:p>
    <w:p w14:paraId="09991B8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5AD68BF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54A1025">
      <w:pPr>
        <w:rPr>
          <w:rFonts w:ascii="宋体" w:hAnsi="宋体" w:cs="宋体"/>
          <w:color w:val="auto"/>
        </w:rPr>
      </w:pPr>
    </w:p>
    <w:p w14:paraId="428FF427">
      <w:pPr>
        <w:snapToGrid w:val="0"/>
        <w:spacing w:line="360" w:lineRule="auto"/>
        <w:ind w:right="480"/>
        <w:jc w:val="center"/>
        <w:rPr>
          <w:rFonts w:ascii="宋体" w:hAnsi="宋体" w:cs="宋体"/>
          <w:b/>
          <w:color w:val="auto"/>
          <w:kern w:val="0"/>
          <w:sz w:val="32"/>
          <w:szCs w:val="32"/>
        </w:rPr>
      </w:pPr>
    </w:p>
    <w:p w14:paraId="488296E9">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6039DD3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467CD58">
      <w:pPr>
        <w:spacing w:line="360" w:lineRule="auto"/>
        <w:jc w:val="center"/>
        <w:outlineLvl w:val="0"/>
        <w:rPr>
          <w:rFonts w:ascii="宋体" w:hAnsi="宋体" w:cs="宋体"/>
          <w:b/>
          <w:color w:val="auto"/>
          <w:kern w:val="0"/>
          <w:sz w:val="24"/>
        </w:rPr>
      </w:pPr>
    </w:p>
    <w:p w14:paraId="673FD32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C42D84E">
      <w:pPr>
        <w:snapToGrid w:val="0"/>
        <w:spacing w:line="360" w:lineRule="auto"/>
        <w:ind w:left="479" w:leftChars="228"/>
        <w:rPr>
          <w:rFonts w:ascii="宋体" w:hAnsi="宋体" w:cs="宋体"/>
          <w:color w:val="auto"/>
          <w:sz w:val="24"/>
        </w:rPr>
      </w:pPr>
      <w:r>
        <w:rPr>
          <w:rFonts w:hint="eastAsia" w:ascii="宋体" w:hAnsi="宋体" w:cs="宋体"/>
          <w:color w:val="auto"/>
          <w:sz w:val="24"/>
        </w:rPr>
        <w:t>（1）投标函</w:t>
      </w:r>
      <w:r>
        <w:rPr>
          <w:rFonts w:hint="eastAsia" w:ascii="宋体" w:hAnsi="宋体" w:cs="宋体"/>
          <w:color w:val="auto"/>
        </w:rPr>
        <w:t>…………………………………………………………………………………</w:t>
      </w:r>
      <w:r>
        <w:rPr>
          <w:rFonts w:hint="eastAsia" w:ascii="宋体" w:hAnsi="宋体" w:cs="宋体"/>
          <w:color w:val="auto"/>
          <w:sz w:val="24"/>
        </w:rPr>
        <w:t>（页码）（2）授权委托书或法定代表人（单位负责人、自然人本人）身份证明</w:t>
      </w:r>
      <w:r>
        <w:rPr>
          <w:rFonts w:hint="eastAsia" w:ascii="宋体" w:hAnsi="宋体" w:cs="宋体"/>
          <w:color w:val="auto"/>
        </w:rPr>
        <w:t>………</w:t>
      </w:r>
      <w:r>
        <w:rPr>
          <w:rFonts w:hint="eastAsia" w:ascii="宋体" w:hAnsi="宋体" w:cs="宋体"/>
          <w:color w:val="auto"/>
          <w:sz w:val="24"/>
        </w:rPr>
        <w:t>（页码）</w:t>
      </w:r>
    </w:p>
    <w:p w14:paraId="06A1A7D5">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w:t>
      </w:r>
      <w:r>
        <w:rPr>
          <w:rFonts w:hint="eastAsia" w:ascii="宋体" w:hAnsi="宋体" w:cs="宋体"/>
          <w:color w:val="auto"/>
          <w:sz w:val="24"/>
        </w:rPr>
        <w:t>（页码）</w:t>
      </w:r>
    </w:p>
    <w:p w14:paraId="7671497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w:t>
      </w:r>
      <w:r>
        <w:rPr>
          <w:rFonts w:hint="eastAsia" w:ascii="宋体" w:hAnsi="宋体" w:cs="宋体"/>
          <w:color w:val="auto"/>
          <w:sz w:val="24"/>
        </w:rPr>
        <w:t>（页码）</w:t>
      </w:r>
    </w:p>
    <w:p w14:paraId="391061E5">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（页码）（</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页码）</w:t>
      </w:r>
    </w:p>
    <w:p w14:paraId="76596936">
      <w:pPr>
        <w:snapToGrid w:val="0"/>
        <w:spacing w:line="360" w:lineRule="auto"/>
        <w:ind w:left="479" w:leftChars="228"/>
        <w:rPr>
          <w:rFonts w:ascii="宋体" w:hAnsi="宋体" w:cs="宋体"/>
          <w:color w:val="auto"/>
          <w:sz w:val="24"/>
        </w:rPr>
      </w:pPr>
      <w:r>
        <w:rPr>
          <w:rFonts w:hint="eastAsia" w:ascii="宋体" w:hAnsi="宋体" w:cs="宋体"/>
          <w:color w:val="auto"/>
          <w:sz w:val="24"/>
        </w:rPr>
        <w:t>（7）人员配置清单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（页码）（8）商务技术偏离表</w:t>
      </w:r>
      <w:r>
        <w:rPr>
          <w:rFonts w:hint="eastAsia" w:ascii="宋体" w:hAnsi="宋体" w:cs="宋体"/>
          <w:color w:val="auto"/>
        </w:rPr>
        <w:t>………………………………………………………………………</w:t>
      </w:r>
      <w:r>
        <w:rPr>
          <w:rFonts w:hint="eastAsia" w:ascii="宋体" w:hAnsi="宋体" w:cs="宋体"/>
          <w:color w:val="auto"/>
          <w:sz w:val="24"/>
        </w:rPr>
        <w:t>（页码）</w:t>
      </w:r>
    </w:p>
    <w:p w14:paraId="4C01EC9A">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r>
        <w:rPr>
          <w:rFonts w:hint="eastAsia" w:ascii="宋体" w:hAnsi="宋体" w:cs="宋体"/>
          <w:color w:val="auto"/>
        </w:rPr>
        <w:t>…………………………………………………</w:t>
      </w:r>
      <w:r>
        <w:rPr>
          <w:rFonts w:hint="eastAsia" w:ascii="宋体" w:hAnsi="宋体" w:cs="宋体"/>
          <w:color w:val="auto"/>
          <w:sz w:val="24"/>
        </w:rPr>
        <w:t>（页码）</w:t>
      </w:r>
    </w:p>
    <w:p w14:paraId="28A08A9B">
      <w:pPr>
        <w:snapToGrid w:val="0"/>
        <w:spacing w:line="360" w:lineRule="auto"/>
        <w:jc w:val="center"/>
        <w:rPr>
          <w:rFonts w:ascii="宋体" w:hAnsi="宋体" w:cs="宋体"/>
          <w:b/>
          <w:color w:val="auto"/>
          <w:kern w:val="0"/>
          <w:sz w:val="32"/>
          <w:szCs w:val="32"/>
          <w:lang w:val="zh-CN"/>
        </w:rPr>
      </w:pPr>
    </w:p>
    <w:p w14:paraId="346F811F">
      <w:pPr>
        <w:snapToGrid w:val="0"/>
        <w:spacing w:line="360" w:lineRule="auto"/>
        <w:jc w:val="center"/>
        <w:rPr>
          <w:rFonts w:ascii="宋体" w:hAnsi="宋体" w:cs="宋体"/>
          <w:b/>
          <w:color w:val="auto"/>
          <w:kern w:val="0"/>
          <w:sz w:val="32"/>
          <w:szCs w:val="32"/>
          <w:lang w:val="zh-CN"/>
        </w:rPr>
      </w:pPr>
    </w:p>
    <w:p w14:paraId="27CE04CC">
      <w:pPr>
        <w:snapToGrid w:val="0"/>
        <w:spacing w:line="360" w:lineRule="auto"/>
        <w:jc w:val="center"/>
        <w:rPr>
          <w:rFonts w:ascii="宋体" w:hAnsi="宋体" w:cs="宋体"/>
          <w:b/>
          <w:color w:val="auto"/>
          <w:kern w:val="0"/>
          <w:sz w:val="32"/>
          <w:szCs w:val="32"/>
          <w:lang w:val="zh-CN"/>
        </w:rPr>
      </w:pPr>
    </w:p>
    <w:p w14:paraId="429BA0A7">
      <w:pPr>
        <w:snapToGrid w:val="0"/>
        <w:spacing w:line="360" w:lineRule="auto"/>
        <w:jc w:val="center"/>
        <w:rPr>
          <w:rFonts w:ascii="宋体" w:hAnsi="宋体" w:cs="宋体"/>
          <w:b/>
          <w:color w:val="auto"/>
          <w:kern w:val="0"/>
          <w:sz w:val="32"/>
          <w:szCs w:val="32"/>
          <w:lang w:val="zh-CN"/>
        </w:rPr>
      </w:pPr>
    </w:p>
    <w:p w14:paraId="26F4FABA">
      <w:pPr>
        <w:snapToGrid w:val="0"/>
        <w:spacing w:line="360" w:lineRule="auto"/>
        <w:jc w:val="center"/>
        <w:rPr>
          <w:rFonts w:ascii="宋体" w:hAnsi="宋体" w:cs="宋体"/>
          <w:b/>
          <w:color w:val="auto"/>
          <w:kern w:val="0"/>
          <w:sz w:val="32"/>
          <w:szCs w:val="32"/>
          <w:lang w:val="zh-CN"/>
        </w:rPr>
      </w:pPr>
    </w:p>
    <w:p w14:paraId="4BD7966B">
      <w:pPr>
        <w:snapToGrid w:val="0"/>
        <w:spacing w:line="360" w:lineRule="auto"/>
        <w:jc w:val="center"/>
        <w:rPr>
          <w:rFonts w:ascii="宋体" w:hAnsi="宋体" w:cs="宋体"/>
          <w:b/>
          <w:color w:val="auto"/>
          <w:kern w:val="0"/>
          <w:sz w:val="32"/>
          <w:szCs w:val="32"/>
          <w:lang w:val="zh-CN"/>
        </w:rPr>
      </w:pPr>
    </w:p>
    <w:p w14:paraId="45F3BB10">
      <w:pPr>
        <w:snapToGrid w:val="0"/>
        <w:spacing w:line="360" w:lineRule="auto"/>
        <w:jc w:val="center"/>
        <w:rPr>
          <w:rFonts w:ascii="宋体" w:hAnsi="宋体" w:cs="宋体"/>
          <w:b/>
          <w:color w:val="auto"/>
          <w:kern w:val="0"/>
          <w:sz w:val="32"/>
          <w:szCs w:val="32"/>
          <w:lang w:val="zh-CN"/>
        </w:rPr>
      </w:pPr>
    </w:p>
    <w:p w14:paraId="6677AD91">
      <w:pPr>
        <w:snapToGrid w:val="0"/>
        <w:spacing w:line="360" w:lineRule="auto"/>
        <w:jc w:val="center"/>
        <w:rPr>
          <w:rFonts w:ascii="宋体" w:hAnsi="宋体" w:cs="宋体"/>
          <w:b/>
          <w:color w:val="auto"/>
          <w:kern w:val="0"/>
          <w:sz w:val="32"/>
          <w:szCs w:val="32"/>
          <w:lang w:val="zh-CN"/>
        </w:rPr>
      </w:pPr>
    </w:p>
    <w:p w14:paraId="26724BA8">
      <w:pPr>
        <w:snapToGrid w:val="0"/>
        <w:spacing w:line="360" w:lineRule="auto"/>
        <w:jc w:val="center"/>
        <w:rPr>
          <w:rFonts w:ascii="宋体" w:hAnsi="宋体" w:cs="宋体"/>
          <w:b/>
          <w:color w:val="auto"/>
          <w:kern w:val="0"/>
          <w:sz w:val="32"/>
          <w:szCs w:val="32"/>
          <w:lang w:val="zh-CN"/>
        </w:rPr>
      </w:pPr>
    </w:p>
    <w:p w14:paraId="5D1F1E5A">
      <w:pPr>
        <w:snapToGrid w:val="0"/>
        <w:spacing w:line="360" w:lineRule="auto"/>
        <w:jc w:val="center"/>
        <w:rPr>
          <w:rFonts w:ascii="宋体" w:hAnsi="宋体" w:cs="宋体"/>
          <w:b/>
          <w:color w:val="auto"/>
          <w:kern w:val="0"/>
          <w:sz w:val="32"/>
          <w:szCs w:val="32"/>
          <w:lang w:val="zh-CN"/>
        </w:rPr>
      </w:pPr>
    </w:p>
    <w:p w14:paraId="17E30BCE">
      <w:pPr>
        <w:snapToGrid w:val="0"/>
        <w:spacing w:line="360" w:lineRule="auto"/>
        <w:jc w:val="center"/>
        <w:rPr>
          <w:rFonts w:ascii="宋体" w:hAnsi="宋体" w:cs="宋体"/>
          <w:b/>
          <w:color w:val="auto"/>
          <w:kern w:val="0"/>
          <w:sz w:val="32"/>
          <w:szCs w:val="32"/>
          <w:lang w:val="zh-CN"/>
        </w:rPr>
      </w:pPr>
    </w:p>
    <w:p w14:paraId="1092C4EE">
      <w:pPr>
        <w:snapToGrid w:val="0"/>
        <w:spacing w:line="360" w:lineRule="auto"/>
        <w:jc w:val="center"/>
        <w:rPr>
          <w:rFonts w:ascii="宋体" w:hAnsi="宋体" w:cs="宋体"/>
          <w:b/>
          <w:color w:val="auto"/>
          <w:kern w:val="0"/>
          <w:sz w:val="32"/>
          <w:szCs w:val="32"/>
          <w:lang w:val="zh-CN"/>
        </w:rPr>
      </w:pPr>
    </w:p>
    <w:p w14:paraId="30805CD8">
      <w:pPr>
        <w:rPr>
          <w:rFonts w:ascii="宋体" w:hAnsi="宋体" w:cs="宋体"/>
          <w:b/>
          <w:color w:val="auto"/>
          <w:kern w:val="0"/>
          <w:sz w:val="32"/>
          <w:szCs w:val="32"/>
          <w:lang w:val="zh-CN"/>
        </w:rPr>
      </w:pPr>
    </w:p>
    <w:p w14:paraId="21A1A48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3FBCE7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F9BCFE9">
      <w:pPr>
        <w:snapToGrid w:val="0"/>
        <w:spacing w:line="360" w:lineRule="auto"/>
        <w:rPr>
          <w:rFonts w:ascii="宋体" w:hAnsi="宋体" w:cs="宋体"/>
          <w:color w:val="auto"/>
          <w:sz w:val="24"/>
        </w:rPr>
      </w:pPr>
      <w:r>
        <w:rPr>
          <w:rFonts w:hint="eastAsia" w:ascii="宋体" w:hAnsi="宋体" w:cs="宋体"/>
          <w:color w:val="auto"/>
          <w:sz w:val="24"/>
        </w:rPr>
        <w:t>杭州市综合行政执法队、杭州市公共资源交易中心：</w:t>
      </w:r>
    </w:p>
    <w:p w14:paraId="796243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我方参加你方组织的杭州市综合行政执法队物业管理服务采购项目【招标编号：HZZFCG-2025-005】招标的有关活动，并对此项目进行投标。为此：</w:t>
      </w:r>
    </w:p>
    <w:p w14:paraId="46474D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21693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05A91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FCA88D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8862B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7" w:name="_Hlk101257010"/>
      <w:r>
        <w:rPr>
          <w:rFonts w:hint="eastAsia" w:ascii="宋体" w:hAnsi="宋体" w:cs="宋体"/>
          <w:color w:val="auto"/>
          <w:sz w:val="24"/>
        </w:rPr>
        <w:t>（如果有)</w:t>
      </w:r>
      <w:bookmarkEnd w:id="407"/>
      <w:r>
        <w:rPr>
          <w:rFonts w:hint="eastAsia" w:ascii="宋体" w:hAnsi="宋体" w:cs="宋体"/>
          <w:snapToGrid w:val="0"/>
          <w:color w:val="auto"/>
          <w:kern w:val="28"/>
          <w:sz w:val="24"/>
          <w:szCs w:val="20"/>
        </w:rPr>
        <w:t>；</w:t>
      </w:r>
    </w:p>
    <w:p w14:paraId="092139D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45808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262576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212DF9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D0031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59210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A8985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12C00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59827B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4B0218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人员配置清单；</w:t>
      </w:r>
    </w:p>
    <w:p w14:paraId="7F815CF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2.2.8商务技术偏离表；</w:t>
      </w:r>
    </w:p>
    <w:p w14:paraId="1371CC5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p>
    <w:p w14:paraId="7CEFFD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1BA25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2B666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 报价情况说明（如果有）。</w:t>
      </w:r>
    </w:p>
    <w:p w14:paraId="2362C7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51911D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28A431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4B2E7B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4DD03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3297B9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4632F1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9F7F61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C06391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2DD5B26">
      <w:pPr>
        <w:snapToGrid w:val="0"/>
        <w:spacing w:line="360" w:lineRule="auto"/>
        <w:ind w:left="420" w:leftChars="200" w:firstLine="4200" w:firstLineChars="1750"/>
        <w:rPr>
          <w:rFonts w:ascii="宋体" w:hAnsi="宋体" w:cs="宋体"/>
          <w:color w:val="auto"/>
          <w:kern w:val="0"/>
          <w:sz w:val="24"/>
          <w:u w:val="single"/>
        </w:rPr>
      </w:pPr>
    </w:p>
    <w:p w14:paraId="330565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CEB90EE">
      <w:pPr>
        <w:snapToGrid w:val="0"/>
        <w:spacing w:line="360" w:lineRule="auto"/>
        <w:jc w:val="center"/>
        <w:rPr>
          <w:rFonts w:ascii="宋体" w:hAnsi="宋体" w:cs="宋体"/>
          <w:b/>
          <w:color w:val="auto"/>
          <w:kern w:val="0"/>
          <w:sz w:val="32"/>
          <w:szCs w:val="32"/>
        </w:rPr>
      </w:pPr>
    </w:p>
    <w:p w14:paraId="25D1EF79">
      <w:pPr>
        <w:snapToGrid w:val="0"/>
        <w:spacing w:line="360" w:lineRule="auto"/>
        <w:rPr>
          <w:rFonts w:ascii="宋体" w:hAnsi="宋体" w:cs="宋体"/>
          <w:color w:val="auto"/>
          <w:sz w:val="24"/>
        </w:rPr>
      </w:pPr>
    </w:p>
    <w:p w14:paraId="18742EE6">
      <w:pPr>
        <w:jc w:val="center"/>
        <w:rPr>
          <w:rFonts w:ascii="宋体" w:hAnsi="宋体" w:cs="宋体"/>
          <w:b/>
          <w:color w:val="auto"/>
          <w:kern w:val="0"/>
          <w:sz w:val="32"/>
          <w:szCs w:val="32"/>
        </w:rPr>
      </w:pPr>
    </w:p>
    <w:p w14:paraId="2AB39BCA">
      <w:pPr>
        <w:jc w:val="center"/>
        <w:rPr>
          <w:rFonts w:ascii="宋体" w:hAnsi="宋体" w:cs="宋体"/>
          <w:b/>
          <w:color w:val="auto"/>
          <w:kern w:val="0"/>
          <w:sz w:val="32"/>
          <w:szCs w:val="32"/>
        </w:rPr>
      </w:pPr>
    </w:p>
    <w:p w14:paraId="75B57815">
      <w:pPr>
        <w:jc w:val="center"/>
        <w:rPr>
          <w:rFonts w:ascii="宋体" w:hAnsi="宋体" w:cs="宋体"/>
          <w:b/>
          <w:color w:val="auto"/>
          <w:kern w:val="0"/>
          <w:sz w:val="32"/>
          <w:szCs w:val="32"/>
        </w:rPr>
      </w:pPr>
    </w:p>
    <w:p w14:paraId="07CFD6BB">
      <w:pPr>
        <w:jc w:val="center"/>
        <w:rPr>
          <w:rFonts w:ascii="宋体" w:hAnsi="宋体" w:cs="宋体"/>
          <w:b/>
          <w:color w:val="auto"/>
          <w:kern w:val="0"/>
          <w:sz w:val="32"/>
          <w:szCs w:val="32"/>
        </w:rPr>
      </w:pPr>
    </w:p>
    <w:p w14:paraId="7FB7EAE1">
      <w:pPr>
        <w:jc w:val="center"/>
        <w:rPr>
          <w:rFonts w:ascii="宋体" w:hAnsi="宋体" w:cs="宋体"/>
          <w:b/>
          <w:color w:val="auto"/>
          <w:kern w:val="0"/>
          <w:sz w:val="32"/>
          <w:szCs w:val="32"/>
        </w:rPr>
      </w:pPr>
    </w:p>
    <w:p w14:paraId="1BA04C7C">
      <w:pPr>
        <w:jc w:val="center"/>
        <w:rPr>
          <w:rFonts w:ascii="宋体" w:hAnsi="宋体" w:cs="宋体"/>
          <w:b/>
          <w:color w:val="auto"/>
          <w:kern w:val="0"/>
          <w:sz w:val="32"/>
          <w:szCs w:val="32"/>
        </w:rPr>
      </w:pPr>
    </w:p>
    <w:p w14:paraId="559A5254">
      <w:pPr>
        <w:jc w:val="center"/>
        <w:rPr>
          <w:rFonts w:ascii="宋体" w:hAnsi="宋体" w:cs="宋体"/>
          <w:b/>
          <w:color w:val="auto"/>
          <w:kern w:val="0"/>
          <w:sz w:val="32"/>
          <w:szCs w:val="32"/>
        </w:rPr>
      </w:pPr>
    </w:p>
    <w:p w14:paraId="558D0FF3">
      <w:pPr>
        <w:jc w:val="center"/>
        <w:rPr>
          <w:rFonts w:ascii="宋体" w:hAnsi="宋体" w:cs="宋体"/>
          <w:b/>
          <w:color w:val="auto"/>
          <w:kern w:val="0"/>
          <w:sz w:val="32"/>
          <w:szCs w:val="32"/>
        </w:rPr>
      </w:pPr>
    </w:p>
    <w:p w14:paraId="0B7AB160">
      <w:pPr>
        <w:jc w:val="center"/>
        <w:rPr>
          <w:rFonts w:ascii="宋体" w:hAnsi="宋体" w:cs="宋体"/>
          <w:b/>
          <w:color w:val="auto"/>
          <w:kern w:val="0"/>
          <w:sz w:val="32"/>
          <w:szCs w:val="32"/>
        </w:rPr>
      </w:pPr>
    </w:p>
    <w:p w14:paraId="046C88B5">
      <w:pPr>
        <w:jc w:val="center"/>
        <w:rPr>
          <w:rFonts w:ascii="宋体" w:hAnsi="宋体" w:cs="宋体"/>
          <w:b/>
          <w:color w:val="auto"/>
          <w:kern w:val="0"/>
          <w:sz w:val="32"/>
          <w:szCs w:val="32"/>
        </w:rPr>
      </w:pPr>
    </w:p>
    <w:p w14:paraId="74D1CD16">
      <w:pPr>
        <w:jc w:val="center"/>
        <w:rPr>
          <w:rFonts w:ascii="宋体" w:hAnsi="宋体" w:cs="宋体"/>
          <w:b/>
          <w:color w:val="auto"/>
          <w:kern w:val="0"/>
          <w:sz w:val="32"/>
          <w:szCs w:val="32"/>
        </w:rPr>
      </w:pPr>
    </w:p>
    <w:p w14:paraId="4AC88C37">
      <w:pPr>
        <w:jc w:val="center"/>
        <w:rPr>
          <w:rFonts w:ascii="宋体" w:hAnsi="宋体" w:cs="宋体"/>
          <w:b/>
          <w:color w:val="auto"/>
          <w:kern w:val="0"/>
          <w:sz w:val="32"/>
          <w:szCs w:val="32"/>
        </w:rPr>
      </w:pPr>
    </w:p>
    <w:p w14:paraId="4ACA2772">
      <w:pPr>
        <w:jc w:val="center"/>
        <w:rPr>
          <w:rFonts w:ascii="宋体" w:hAnsi="宋体" w:cs="宋体"/>
          <w:b/>
          <w:color w:val="auto"/>
          <w:kern w:val="0"/>
          <w:sz w:val="32"/>
          <w:szCs w:val="32"/>
        </w:rPr>
      </w:pPr>
    </w:p>
    <w:p w14:paraId="12D6A308">
      <w:pPr>
        <w:jc w:val="center"/>
        <w:rPr>
          <w:rFonts w:ascii="宋体" w:hAnsi="宋体" w:cs="宋体"/>
          <w:b/>
          <w:color w:val="auto"/>
          <w:kern w:val="0"/>
          <w:sz w:val="32"/>
          <w:szCs w:val="32"/>
        </w:rPr>
      </w:pPr>
    </w:p>
    <w:p w14:paraId="616155BD">
      <w:pPr>
        <w:jc w:val="center"/>
        <w:rPr>
          <w:rFonts w:ascii="宋体" w:hAnsi="宋体" w:cs="宋体"/>
          <w:b/>
          <w:color w:val="auto"/>
          <w:kern w:val="0"/>
          <w:sz w:val="32"/>
          <w:szCs w:val="32"/>
        </w:rPr>
      </w:pPr>
    </w:p>
    <w:p w14:paraId="350A16DF">
      <w:pPr>
        <w:jc w:val="center"/>
        <w:rPr>
          <w:rFonts w:ascii="宋体" w:hAnsi="宋体" w:cs="宋体"/>
          <w:b/>
          <w:color w:val="auto"/>
          <w:kern w:val="0"/>
          <w:sz w:val="32"/>
          <w:szCs w:val="32"/>
        </w:rPr>
      </w:pPr>
    </w:p>
    <w:p w14:paraId="4D401E45">
      <w:pPr>
        <w:jc w:val="center"/>
        <w:rPr>
          <w:rFonts w:ascii="宋体" w:hAnsi="宋体" w:cs="宋体"/>
          <w:b/>
          <w:color w:val="auto"/>
          <w:kern w:val="0"/>
          <w:sz w:val="32"/>
          <w:szCs w:val="32"/>
        </w:rPr>
      </w:pPr>
    </w:p>
    <w:p w14:paraId="1AD87CD9">
      <w:pPr>
        <w:pStyle w:val="2"/>
        <w:rPr>
          <w:color w:val="auto"/>
          <w:lang w:val="en-US"/>
        </w:rPr>
      </w:pPr>
    </w:p>
    <w:p w14:paraId="18D0930E">
      <w:pPr>
        <w:jc w:val="center"/>
        <w:rPr>
          <w:rFonts w:ascii="宋体" w:hAnsi="宋体" w:cs="宋体"/>
          <w:b/>
          <w:color w:val="auto"/>
          <w:kern w:val="0"/>
          <w:sz w:val="32"/>
          <w:szCs w:val="32"/>
        </w:rPr>
      </w:pPr>
    </w:p>
    <w:p w14:paraId="6429F7CD">
      <w:pPr>
        <w:jc w:val="center"/>
        <w:rPr>
          <w:rFonts w:ascii="宋体" w:hAnsi="宋体" w:cs="宋体"/>
          <w:b/>
          <w:color w:val="auto"/>
          <w:kern w:val="0"/>
          <w:sz w:val="32"/>
          <w:szCs w:val="32"/>
        </w:rPr>
      </w:pPr>
    </w:p>
    <w:p w14:paraId="79F9833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04B497B">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787DB0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AE5D1D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E9FA32C">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杭州市综合行政执法队、杭州市公共资源交易中心</w:t>
      </w:r>
      <w:r>
        <w:rPr>
          <w:rFonts w:hint="eastAsia" w:ascii="宋体" w:hAnsi="宋体" w:cs="宋体"/>
          <w:color w:val="auto"/>
          <w:kern w:val="0"/>
          <w:sz w:val="24"/>
          <w:lang w:val="zh-CN"/>
        </w:rPr>
        <w:t>：</w:t>
      </w:r>
    </w:p>
    <w:p w14:paraId="08DFC3D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杭州市综合行政执法队物业管理服务采购项目【招标编号：HZZFCG-2025-005】</w:t>
      </w:r>
      <w:r>
        <w:rPr>
          <w:rFonts w:hint="eastAsia" w:ascii="宋体" w:hAnsi="宋体" w:cs="宋体"/>
          <w:color w:val="auto"/>
          <w:kern w:val="0"/>
          <w:sz w:val="24"/>
          <w:lang w:val="zh-CN"/>
        </w:rPr>
        <w:t>政府采购投标的一切事项，其法律后果由我方承担。</w:t>
      </w:r>
    </w:p>
    <w:p w14:paraId="61FAAE1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943D00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A140F5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14E8C2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3DD6EDB">
      <w:pPr>
        <w:snapToGrid w:val="0"/>
        <w:spacing w:line="360" w:lineRule="auto"/>
        <w:rPr>
          <w:rFonts w:ascii="宋体" w:hAnsi="宋体" w:cs="宋体"/>
          <w:color w:val="auto"/>
          <w:sz w:val="24"/>
        </w:rPr>
      </w:pPr>
    </w:p>
    <w:p w14:paraId="0D1C2188">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F54BD44">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杭州市综合行政执法队、杭州市公共资源交易中心</w:t>
      </w:r>
      <w:r>
        <w:rPr>
          <w:rFonts w:hint="eastAsia" w:ascii="宋体" w:hAnsi="宋体" w:cs="宋体"/>
          <w:color w:val="auto"/>
          <w:kern w:val="0"/>
          <w:sz w:val="24"/>
          <w:lang w:val="zh-CN"/>
        </w:rPr>
        <w:t>：</w:t>
      </w:r>
    </w:p>
    <w:p w14:paraId="0BA69EE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杭州市综合行政执法队物业管理服务采购项目【招标编号：HZZFCG-2025-005】</w:t>
      </w:r>
      <w:r>
        <w:rPr>
          <w:rFonts w:hint="eastAsia" w:ascii="宋体" w:hAnsi="宋体" w:cs="宋体"/>
          <w:color w:val="auto"/>
          <w:kern w:val="0"/>
          <w:sz w:val="24"/>
          <w:lang w:val="zh-CN"/>
        </w:rPr>
        <w:t>政府采购投标的一切事项，其法律后果由我方承担。</w:t>
      </w:r>
    </w:p>
    <w:p w14:paraId="63A72E1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43F16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E340807">
      <w:pPr>
        <w:jc w:val="center"/>
        <w:rPr>
          <w:rFonts w:ascii="宋体" w:hAnsi="宋体" w:cs="宋体"/>
          <w:b/>
          <w:color w:val="auto"/>
          <w:kern w:val="0"/>
          <w:sz w:val="32"/>
          <w:szCs w:val="32"/>
        </w:rPr>
      </w:pPr>
    </w:p>
    <w:p w14:paraId="63A611F1">
      <w:pPr>
        <w:rPr>
          <w:rFonts w:ascii="宋体" w:hAnsi="宋体" w:cs="宋体"/>
          <w:color w:val="auto"/>
        </w:rPr>
      </w:pPr>
    </w:p>
    <w:p w14:paraId="5A3A7BD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414C52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8B6573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C23780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A24A7DA">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0876D00">
      <w:pPr>
        <w:autoSpaceDE w:val="0"/>
        <w:autoSpaceDN w:val="0"/>
        <w:spacing w:line="360" w:lineRule="auto"/>
        <w:jc w:val="center"/>
        <w:rPr>
          <w:rFonts w:ascii="宋体" w:hAnsi="宋体" w:cs="宋体"/>
          <w:b/>
          <w:color w:val="auto"/>
          <w:kern w:val="0"/>
          <w:sz w:val="32"/>
          <w:szCs w:val="32"/>
          <w:lang w:val="zh-CN"/>
        </w:rPr>
      </w:pPr>
    </w:p>
    <w:p w14:paraId="3931DE0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081D767">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8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C1376D">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58218D31">
            <w:pPr>
              <w:pStyle w:val="148"/>
              <w:adjustRightInd w:val="0"/>
              <w:spacing w:line="360" w:lineRule="auto"/>
              <w:rPr>
                <w:rFonts w:hAnsi="宋体" w:cs="宋体"/>
                <w:bCs/>
                <w:color w:val="auto"/>
                <w:sz w:val="24"/>
              </w:rPr>
            </w:pPr>
          </w:p>
        </w:tc>
      </w:tr>
    </w:tbl>
    <w:p w14:paraId="1CBA1E4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C9DEE3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6A3DC2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9A93E21">
      <w:pPr>
        <w:jc w:val="center"/>
        <w:rPr>
          <w:rFonts w:ascii="宋体" w:hAnsi="宋体" w:cs="宋体"/>
          <w:b/>
          <w:color w:val="auto"/>
          <w:kern w:val="0"/>
          <w:sz w:val="32"/>
          <w:szCs w:val="32"/>
        </w:rPr>
      </w:pPr>
    </w:p>
    <w:p w14:paraId="4927B252">
      <w:pPr>
        <w:jc w:val="center"/>
        <w:rPr>
          <w:rFonts w:ascii="宋体" w:hAnsi="宋体" w:cs="宋体"/>
          <w:b/>
          <w:color w:val="auto"/>
          <w:kern w:val="0"/>
          <w:sz w:val="32"/>
          <w:szCs w:val="32"/>
        </w:rPr>
      </w:pPr>
    </w:p>
    <w:p w14:paraId="19DEBDC0">
      <w:pPr>
        <w:jc w:val="center"/>
        <w:rPr>
          <w:rFonts w:ascii="宋体" w:hAnsi="宋体" w:cs="宋体"/>
          <w:b/>
          <w:color w:val="auto"/>
          <w:kern w:val="0"/>
          <w:sz w:val="32"/>
          <w:szCs w:val="32"/>
        </w:rPr>
      </w:pPr>
    </w:p>
    <w:p w14:paraId="43623448">
      <w:pPr>
        <w:jc w:val="center"/>
        <w:rPr>
          <w:rFonts w:ascii="宋体" w:hAnsi="宋体" w:cs="宋体"/>
          <w:b/>
          <w:color w:val="auto"/>
          <w:kern w:val="0"/>
          <w:sz w:val="32"/>
          <w:szCs w:val="32"/>
        </w:rPr>
      </w:pPr>
    </w:p>
    <w:p w14:paraId="7DB23377">
      <w:pPr>
        <w:jc w:val="center"/>
        <w:rPr>
          <w:rFonts w:ascii="宋体" w:hAnsi="宋体" w:cs="宋体"/>
          <w:b/>
          <w:color w:val="auto"/>
          <w:kern w:val="0"/>
          <w:sz w:val="32"/>
          <w:szCs w:val="32"/>
        </w:rPr>
      </w:pPr>
    </w:p>
    <w:p w14:paraId="3A5406DC">
      <w:pPr>
        <w:jc w:val="center"/>
        <w:rPr>
          <w:rFonts w:ascii="宋体" w:hAnsi="宋体" w:cs="宋体"/>
          <w:b/>
          <w:color w:val="auto"/>
          <w:kern w:val="0"/>
          <w:sz w:val="32"/>
          <w:szCs w:val="32"/>
        </w:rPr>
      </w:pPr>
    </w:p>
    <w:p w14:paraId="51F7B4E6">
      <w:pPr>
        <w:jc w:val="center"/>
        <w:rPr>
          <w:rFonts w:ascii="宋体" w:hAnsi="宋体" w:cs="宋体"/>
          <w:b/>
          <w:color w:val="auto"/>
          <w:kern w:val="0"/>
          <w:sz w:val="32"/>
          <w:szCs w:val="32"/>
        </w:rPr>
      </w:pPr>
    </w:p>
    <w:p w14:paraId="41D59CFD">
      <w:pPr>
        <w:jc w:val="center"/>
        <w:rPr>
          <w:rFonts w:ascii="宋体" w:hAnsi="宋体" w:cs="宋体"/>
          <w:b/>
          <w:color w:val="auto"/>
          <w:kern w:val="0"/>
          <w:sz w:val="32"/>
          <w:szCs w:val="32"/>
        </w:rPr>
      </w:pPr>
    </w:p>
    <w:p w14:paraId="4E134849">
      <w:pPr>
        <w:jc w:val="center"/>
        <w:rPr>
          <w:rFonts w:ascii="宋体" w:hAnsi="宋体" w:cs="宋体"/>
          <w:b/>
          <w:color w:val="auto"/>
          <w:kern w:val="0"/>
          <w:sz w:val="32"/>
          <w:szCs w:val="32"/>
        </w:rPr>
      </w:pPr>
    </w:p>
    <w:p w14:paraId="7C349D1D">
      <w:pPr>
        <w:jc w:val="center"/>
        <w:rPr>
          <w:rFonts w:ascii="宋体" w:hAnsi="宋体" w:cs="宋体"/>
          <w:b/>
          <w:color w:val="auto"/>
          <w:kern w:val="0"/>
          <w:sz w:val="32"/>
          <w:szCs w:val="32"/>
        </w:rPr>
      </w:pPr>
    </w:p>
    <w:p w14:paraId="4864C513">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008B8CB">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0CBCC5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28B5851">
      <w:pPr>
        <w:snapToGrid w:val="0"/>
        <w:spacing w:line="360" w:lineRule="auto"/>
        <w:rPr>
          <w:rFonts w:ascii="宋体" w:hAnsi="宋体" w:cs="宋体"/>
          <w:color w:val="auto"/>
          <w:kern w:val="0"/>
          <w:sz w:val="24"/>
        </w:rPr>
      </w:pPr>
    </w:p>
    <w:p w14:paraId="13BB9AA9">
      <w:pPr>
        <w:numPr>
          <w:ilvl w:val="0"/>
          <w:numId w:val="2"/>
        </w:numPr>
        <w:jc w:val="center"/>
        <w:rPr>
          <w:rFonts w:ascii="宋体" w:hAnsi="宋体" w:cs="宋体"/>
          <w:b/>
          <w:color w:val="auto"/>
          <w:kern w:val="0"/>
          <w:sz w:val="32"/>
          <w:szCs w:val="32"/>
        </w:rPr>
      </w:pPr>
      <w:r>
        <w:rPr>
          <w:rFonts w:hint="eastAsia" w:ascii="宋体" w:hAnsi="宋体" w:cs="宋体"/>
          <w:b/>
          <w:color w:val="auto"/>
          <w:kern w:val="0"/>
          <w:sz w:val="32"/>
          <w:szCs w:val="32"/>
        </w:rPr>
        <w:t>符合性审查资料</w:t>
      </w:r>
    </w:p>
    <w:p w14:paraId="422F2707">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E63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8ACC8C1">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874" w:type="dxa"/>
            <w:vAlign w:val="center"/>
          </w:tcPr>
          <w:p w14:paraId="336B9F20">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F74017A">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8795230">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6E6FB5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04C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BE10F3A">
            <w:pPr>
              <w:jc w:val="center"/>
              <w:rPr>
                <w:rFonts w:ascii="宋体" w:hAnsi="宋体" w:cs="宋体"/>
                <w:color w:val="auto"/>
                <w:sz w:val="24"/>
              </w:rPr>
            </w:pPr>
            <w:r>
              <w:rPr>
                <w:rFonts w:hint="eastAsia" w:ascii="宋体" w:hAnsi="宋体" w:cs="宋体"/>
                <w:color w:val="auto"/>
                <w:sz w:val="24"/>
              </w:rPr>
              <w:t>1</w:t>
            </w:r>
          </w:p>
        </w:tc>
        <w:tc>
          <w:tcPr>
            <w:tcW w:w="4874" w:type="dxa"/>
          </w:tcPr>
          <w:p w14:paraId="314556DB">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09929E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5FE1F001">
            <w:pPr>
              <w:rPr>
                <w:rFonts w:ascii="宋体" w:hAnsi="宋体" w:cs="宋体"/>
                <w:color w:val="auto"/>
                <w:sz w:val="24"/>
              </w:rPr>
            </w:pPr>
          </w:p>
          <w:p w14:paraId="730F54DA">
            <w:pPr>
              <w:rPr>
                <w:rFonts w:ascii="宋体" w:hAnsi="宋体" w:cs="宋体"/>
                <w:color w:val="auto"/>
                <w:sz w:val="24"/>
              </w:rPr>
            </w:pPr>
            <w:r>
              <w:rPr>
                <w:rFonts w:hint="eastAsia" w:ascii="宋体" w:hAnsi="宋体" w:cs="宋体"/>
                <w:color w:val="auto"/>
                <w:sz w:val="24"/>
              </w:rPr>
              <w:t>见投标文件</w:t>
            </w:r>
          </w:p>
          <w:p w14:paraId="1B26A442">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A2B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B5D64D8">
            <w:pPr>
              <w:jc w:val="center"/>
              <w:rPr>
                <w:rFonts w:ascii="宋体" w:hAnsi="宋体" w:cs="宋体"/>
                <w:color w:val="auto"/>
                <w:sz w:val="24"/>
              </w:rPr>
            </w:pPr>
            <w:r>
              <w:rPr>
                <w:rFonts w:hint="eastAsia" w:ascii="宋体" w:hAnsi="宋体" w:cs="宋体"/>
                <w:color w:val="auto"/>
                <w:sz w:val="24"/>
              </w:rPr>
              <w:t>2</w:t>
            </w:r>
          </w:p>
        </w:tc>
        <w:tc>
          <w:tcPr>
            <w:tcW w:w="4874" w:type="dxa"/>
          </w:tcPr>
          <w:p w14:paraId="134B96C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16618213">
            <w:pPr>
              <w:rPr>
                <w:rFonts w:ascii="宋体" w:hAnsi="宋体" w:cs="宋体"/>
                <w:color w:val="auto"/>
                <w:sz w:val="24"/>
              </w:rPr>
            </w:pPr>
            <w:r>
              <w:rPr>
                <w:rFonts w:hint="eastAsia" w:ascii="宋体" w:hAnsi="宋体" w:cs="宋体"/>
                <w:color w:val="auto"/>
                <w:sz w:val="24"/>
              </w:rPr>
              <w:t>投标函</w:t>
            </w:r>
          </w:p>
        </w:tc>
        <w:tc>
          <w:tcPr>
            <w:tcW w:w="1418" w:type="dxa"/>
          </w:tcPr>
          <w:p w14:paraId="31B17CAE">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259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714373A">
            <w:pPr>
              <w:jc w:val="center"/>
              <w:rPr>
                <w:rFonts w:ascii="宋体" w:hAnsi="宋体" w:cs="宋体"/>
                <w:color w:val="auto"/>
                <w:sz w:val="24"/>
              </w:rPr>
            </w:pPr>
            <w:r>
              <w:rPr>
                <w:rFonts w:hint="eastAsia" w:ascii="宋体" w:hAnsi="宋体" w:cs="宋体"/>
                <w:color w:val="auto"/>
                <w:sz w:val="24"/>
              </w:rPr>
              <w:t>3</w:t>
            </w:r>
          </w:p>
        </w:tc>
        <w:tc>
          <w:tcPr>
            <w:tcW w:w="4874" w:type="dxa"/>
          </w:tcPr>
          <w:p w14:paraId="262EDCA9">
            <w:pPr>
              <w:snapToGrid w:val="0"/>
              <w:spacing w:line="360" w:lineRule="auto"/>
              <w:rPr>
                <w:rFonts w:ascii="宋体" w:hAnsi="宋体" w:cs="宋体"/>
                <w:snapToGrid w:val="0"/>
                <w:color w:val="auto"/>
                <w:sz w:val="24"/>
              </w:rPr>
            </w:pPr>
            <w:r>
              <w:rPr>
                <w:rFonts w:hint="eastAsia" w:ascii="宋体" w:hAnsi="宋体" w:cs="宋体"/>
                <w:snapToGrid w:val="0"/>
                <w:color w:val="auto"/>
                <w:sz w:val="24"/>
              </w:rPr>
              <w:t>投标文件的组成应符合招标文件要求</w:t>
            </w:r>
          </w:p>
          <w:p w14:paraId="171E1C4B">
            <w:pPr>
              <w:spacing w:line="360" w:lineRule="auto"/>
              <w:rPr>
                <w:rFonts w:ascii="宋体" w:hAnsi="宋体" w:cs="宋体"/>
                <w:snapToGrid w:val="0"/>
                <w:color w:val="auto"/>
                <w:sz w:val="24"/>
              </w:rPr>
            </w:pPr>
          </w:p>
        </w:tc>
        <w:tc>
          <w:tcPr>
            <w:tcW w:w="2551" w:type="dxa"/>
            <w:vAlign w:val="center"/>
          </w:tcPr>
          <w:p w14:paraId="15CC9B3B">
            <w:pPr>
              <w:rPr>
                <w:rFonts w:ascii="宋体" w:hAnsi="宋体" w:cs="宋体"/>
                <w:color w:val="auto"/>
                <w:sz w:val="24"/>
              </w:rPr>
            </w:pPr>
            <w:r>
              <w:rPr>
                <w:rFonts w:hint="eastAsia" w:ascii="宋体" w:hAnsi="宋体" w:cs="宋体"/>
                <w:color w:val="auto"/>
                <w:sz w:val="24"/>
              </w:rPr>
              <w:t>投标文件</w:t>
            </w:r>
          </w:p>
        </w:tc>
        <w:tc>
          <w:tcPr>
            <w:tcW w:w="1418" w:type="dxa"/>
          </w:tcPr>
          <w:p w14:paraId="3D38886C">
            <w:pPr>
              <w:rPr>
                <w:rFonts w:ascii="宋体" w:hAnsi="宋体" w:cs="宋体"/>
                <w:color w:val="auto"/>
                <w:sz w:val="24"/>
              </w:rPr>
            </w:pPr>
            <w:r>
              <w:rPr>
                <w:rFonts w:hint="eastAsia" w:ascii="宋体" w:hAnsi="宋体" w:cs="宋体"/>
                <w:color w:val="auto"/>
                <w:sz w:val="24"/>
              </w:rPr>
              <w:t>/</w:t>
            </w:r>
          </w:p>
        </w:tc>
      </w:tr>
      <w:tr w14:paraId="6CF7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29FA310">
            <w:pPr>
              <w:jc w:val="center"/>
              <w:rPr>
                <w:rFonts w:ascii="宋体" w:hAnsi="宋体" w:cs="宋体"/>
                <w:color w:val="auto"/>
                <w:sz w:val="24"/>
              </w:rPr>
            </w:pPr>
            <w:r>
              <w:rPr>
                <w:rFonts w:hint="eastAsia" w:ascii="宋体" w:hAnsi="宋体" w:cs="宋体"/>
                <w:color w:val="auto"/>
                <w:sz w:val="24"/>
              </w:rPr>
              <w:t>4</w:t>
            </w:r>
          </w:p>
        </w:tc>
        <w:tc>
          <w:tcPr>
            <w:tcW w:w="4874" w:type="dxa"/>
          </w:tcPr>
          <w:p w14:paraId="5F70C71A">
            <w:pPr>
              <w:spacing w:line="360" w:lineRule="auto"/>
              <w:rPr>
                <w:rFonts w:ascii="宋体" w:hAnsi="宋体" w:cs="宋体"/>
                <w:snapToGrid w:val="0"/>
                <w:color w:val="auto"/>
                <w:sz w:val="24"/>
              </w:rPr>
            </w:pPr>
            <w:r>
              <w:rPr>
                <w:rFonts w:hint="eastAsia" w:ascii="宋体" w:hAnsi="宋体" w:cs="宋体"/>
                <w:snapToGrid w:val="0"/>
                <w:color w:val="auto"/>
                <w:sz w:val="24"/>
              </w:rPr>
              <w:t>其他实质性要求1：</w:t>
            </w:r>
          </w:p>
        </w:tc>
        <w:tc>
          <w:tcPr>
            <w:tcW w:w="2551" w:type="dxa"/>
            <w:vMerge w:val="restart"/>
            <w:vAlign w:val="center"/>
          </w:tcPr>
          <w:p w14:paraId="00B297E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1F1ACA94">
            <w:pPr>
              <w:rPr>
                <w:rFonts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DAE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02836A8">
            <w:pPr>
              <w:jc w:val="center"/>
              <w:rPr>
                <w:rFonts w:ascii="宋体" w:hAnsi="宋体" w:cs="宋体"/>
                <w:color w:val="auto"/>
                <w:sz w:val="24"/>
              </w:rPr>
            </w:pPr>
            <w:r>
              <w:rPr>
                <w:rFonts w:hint="eastAsia" w:ascii="宋体" w:hAnsi="宋体" w:cs="宋体"/>
                <w:color w:val="auto"/>
                <w:sz w:val="24"/>
              </w:rPr>
              <w:t>5</w:t>
            </w:r>
          </w:p>
        </w:tc>
        <w:tc>
          <w:tcPr>
            <w:tcW w:w="4874" w:type="dxa"/>
          </w:tcPr>
          <w:p w14:paraId="7866ADA0">
            <w:pPr>
              <w:spacing w:line="360" w:lineRule="auto"/>
              <w:rPr>
                <w:rFonts w:ascii="宋体" w:hAnsi="宋体" w:cs="宋体"/>
                <w:snapToGrid w:val="0"/>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32A3B8A8">
            <w:pPr>
              <w:rPr>
                <w:rFonts w:ascii="宋体" w:hAnsi="宋体" w:cs="宋体"/>
                <w:color w:val="auto"/>
                <w:kern w:val="0"/>
                <w:sz w:val="24"/>
              </w:rPr>
            </w:pPr>
          </w:p>
        </w:tc>
        <w:tc>
          <w:tcPr>
            <w:tcW w:w="1418" w:type="dxa"/>
          </w:tcPr>
          <w:p w14:paraId="04E5A649">
            <w:pPr>
              <w:rPr>
                <w:rFonts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77B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618433A">
            <w:pPr>
              <w:jc w:val="center"/>
              <w:rPr>
                <w:rFonts w:ascii="宋体" w:hAnsi="宋体" w:cs="宋体"/>
                <w:color w:val="auto"/>
                <w:sz w:val="24"/>
              </w:rPr>
            </w:pPr>
            <w:r>
              <w:rPr>
                <w:rFonts w:hint="eastAsia" w:ascii="宋体" w:hAnsi="宋体" w:cs="宋体"/>
                <w:color w:val="auto"/>
                <w:kern w:val="0"/>
                <w:sz w:val="24"/>
              </w:rPr>
              <w:t>……</w:t>
            </w:r>
          </w:p>
        </w:tc>
        <w:tc>
          <w:tcPr>
            <w:tcW w:w="4874" w:type="dxa"/>
          </w:tcPr>
          <w:p w14:paraId="04081156">
            <w:pPr>
              <w:spacing w:line="360" w:lineRule="auto"/>
              <w:rPr>
                <w:rFonts w:ascii="宋体" w:hAnsi="宋体" w:cs="宋体"/>
                <w:snapToGrid w:val="0"/>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76AE7AC5">
            <w:pPr>
              <w:rPr>
                <w:rFonts w:ascii="宋体" w:hAnsi="宋体" w:cs="宋体"/>
                <w:color w:val="auto"/>
                <w:kern w:val="0"/>
                <w:sz w:val="24"/>
              </w:rPr>
            </w:pPr>
          </w:p>
        </w:tc>
        <w:tc>
          <w:tcPr>
            <w:tcW w:w="1418" w:type="dxa"/>
          </w:tcPr>
          <w:p w14:paraId="6B6B7AF7">
            <w:pPr>
              <w:rPr>
                <w:rFonts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AD8663F">
      <w:pPr>
        <w:jc w:val="center"/>
        <w:rPr>
          <w:rFonts w:ascii="宋体" w:hAnsi="宋体" w:cs="宋体"/>
          <w:b/>
          <w:color w:val="auto"/>
          <w:kern w:val="0"/>
          <w:sz w:val="32"/>
          <w:szCs w:val="32"/>
        </w:rPr>
      </w:pPr>
    </w:p>
    <w:p w14:paraId="2E101BAD">
      <w:pPr>
        <w:jc w:val="center"/>
        <w:rPr>
          <w:rFonts w:ascii="宋体" w:hAnsi="宋体" w:cs="宋体"/>
          <w:b/>
          <w:color w:val="auto"/>
          <w:kern w:val="0"/>
          <w:sz w:val="32"/>
          <w:szCs w:val="32"/>
        </w:rPr>
      </w:pPr>
    </w:p>
    <w:p w14:paraId="2196869B">
      <w:pPr>
        <w:spacing w:line="360" w:lineRule="auto"/>
        <w:ind w:right="420"/>
        <w:rPr>
          <w:rFonts w:ascii="宋体" w:hAnsi="宋体" w:cs="宋体"/>
          <w:color w:val="auto"/>
          <w:sz w:val="24"/>
        </w:rPr>
      </w:pPr>
      <w:r>
        <w:rPr>
          <w:rFonts w:hint="eastAsia" w:ascii="宋体" w:hAnsi="宋体" w:cs="宋体"/>
          <w:color w:val="auto"/>
          <w:sz w:val="24"/>
        </w:rPr>
        <w:t>注：1、按本格式和要求提供。</w:t>
      </w:r>
    </w:p>
    <w:p w14:paraId="327C8327">
      <w:pPr>
        <w:spacing w:line="360" w:lineRule="auto"/>
        <w:ind w:right="420"/>
        <w:rPr>
          <w:rFonts w:ascii="宋体" w:hAnsi="宋体" w:cs="宋体"/>
          <w:b/>
          <w:color w:val="auto"/>
          <w:kern w:val="0"/>
          <w:sz w:val="32"/>
          <w:szCs w:val="32"/>
        </w:rPr>
      </w:pPr>
      <w:r>
        <w:rPr>
          <w:rFonts w:hint="eastAsia" w:ascii="宋体" w:hAnsi="宋体" w:cs="宋体"/>
          <w:b/>
          <w:bCs/>
          <w:color w:val="auto"/>
          <w:sz w:val="24"/>
        </w:rPr>
        <w:t>2、招标文件中实质性要求必须明确响应。</w:t>
      </w:r>
    </w:p>
    <w:p w14:paraId="3F033A07">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631197F">
      <w:pPr>
        <w:jc w:val="center"/>
        <w:rPr>
          <w:rFonts w:ascii="宋体" w:hAnsi="宋体" w:cs="宋体"/>
          <w:b/>
          <w:color w:val="auto"/>
          <w:kern w:val="0"/>
          <w:sz w:val="32"/>
          <w:szCs w:val="32"/>
        </w:rPr>
      </w:pPr>
    </w:p>
    <w:p w14:paraId="7E8556F2">
      <w:pPr>
        <w:jc w:val="center"/>
        <w:rPr>
          <w:rFonts w:ascii="宋体" w:hAnsi="宋体" w:cs="宋体"/>
          <w:b/>
          <w:color w:val="auto"/>
          <w:kern w:val="0"/>
          <w:sz w:val="32"/>
          <w:szCs w:val="32"/>
        </w:rPr>
      </w:pPr>
    </w:p>
    <w:p w14:paraId="3F165BAE">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52F855D">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0F5FA55">
      <w:pPr>
        <w:jc w:val="center"/>
        <w:rPr>
          <w:rFonts w:ascii="宋体" w:hAnsi="宋体" w:cs="宋体"/>
          <w:b/>
          <w:color w:val="auto"/>
          <w:kern w:val="0"/>
          <w:sz w:val="32"/>
          <w:szCs w:val="32"/>
        </w:rPr>
      </w:pPr>
    </w:p>
    <w:p w14:paraId="2E5385F0">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F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08D0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7F6CA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0CA5D08">
            <w:pPr>
              <w:spacing w:line="360" w:lineRule="auto"/>
              <w:jc w:val="center"/>
              <w:rPr>
                <w:rFonts w:ascii="宋体" w:hAnsi="宋体" w:cs="宋体"/>
                <w:b/>
                <w:color w:val="auto"/>
                <w:sz w:val="24"/>
              </w:rPr>
            </w:pPr>
          </w:p>
          <w:p w14:paraId="3B88349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1E6FA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2DF27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AC3F0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5085FD9">
            <w:pPr>
              <w:spacing w:line="360" w:lineRule="auto"/>
              <w:jc w:val="center"/>
              <w:rPr>
                <w:rFonts w:ascii="宋体" w:hAnsi="宋体" w:cs="宋体"/>
                <w:b/>
                <w:color w:val="auto"/>
                <w:sz w:val="24"/>
              </w:rPr>
            </w:pPr>
          </w:p>
          <w:p w14:paraId="7F48CE7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4CD1EE4">
            <w:pPr>
              <w:spacing w:line="360" w:lineRule="auto"/>
              <w:jc w:val="center"/>
              <w:rPr>
                <w:rFonts w:ascii="宋体" w:hAnsi="宋体" w:cs="宋体"/>
                <w:b/>
                <w:color w:val="auto"/>
                <w:sz w:val="24"/>
              </w:rPr>
            </w:pPr>
          </w:p>
        </w:tc>
      </w:tr>
      <w:tr w14:paraId="5864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A62205">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828E0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C756F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3F782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8564B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7986E2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72ADF1">
            <w:pPr>
              <w:spacing w:line="360" w:lineRule="auto"/>
              <w:jc w:val="center"/>
              <w:rPr>
                <w:rFonts w:ascii="宋体" w:hAnsi="宋体" w:cs="宋体"/>
                <w:color w:val="auto"/>
                <w:sz w:val="24"/>
              </w:rPr>
            </w:pPr>
          </w:p>
        </w:tc>
      </w:tr>
      <w:tr w14:paraId="71AC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FF634">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AF5CB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194EB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199A4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8A5FD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63A88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482D787">
            <w:pPr>
              <w:spacing w:line="360" w:lineRule="auto"/>
              <w:jc w:val="center"/>
              <w:rPr>
                <w:rFonts w:ascii="宋体" w:hAnsi="宋体" w:cs="宋体"/>
                <w:color w:val="auto"/>
                <w:sz w:val="24"/>
              </w:rPr>
            </w:pPr>
          </w:p>
        </w:tc>
      </w:tr>
      <w:tr w14:paraId="510E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587C5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6FCC4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54951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88FBC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9E643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2542E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AEFCD4">
            <w:pPr>
              <w:spacing w:line="360" w:lineRule="auto"/>
              <w:jc w:val="center"/>
              <w:rPr>
                <w:rFonts w:ascii="宋体" w:hAnsi="宋体" w:cs="宋体"/>
                <w:color w:val="auto"/>
                <w:sz w:val="24"/>
              </w:rPr>
            </w:pPr>
          </w:p>
        </w:tc>
      </w:tr>
    </w:tbl>
    <w:p w14:paraId="51A494C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F18CC3">
      <w:pPr>
        <w:jc w:val="center"/>
        <w:rPr>
          <w:rFonts w:ascii="宋体" w:hAnsi="宋体" w:cs="宋体"/>
          <w:b/>
          <w:color w:val="auto"/>
          <w:kern w:val="0"/>
          <w:sz w:val="32"/>
          <w:szCs w:val="32"/>
        </w:rPr>
      </w:pPr>
    </w:p>
    <w:p w14:paraId="539A5AEA">
      <w:pPr>
        <w:jc w:val="center"/>
        <w:rPr>
          <w:rFonts w:ascii="宋体" w:hAnsi="宋体" w:cs="宋体"/>
          <w:b/>
          <w:color w:val="auto"/>
          <w:kern w:val="0"/>
          <w:sz w:val="32"/>
          <w:szCs w:val="32"/>
        </w:rPr>
      </w:pPr>
    </w:p>
    <w:p w14:paraId="531031EB">
      <w:pPr>
        <w:jc w:val="center"/>
        <w:rPr>
          <w:rFonts w:ascii="宋体" w:hAnsi="宋体" w:cs="宋体"/>
          <w:b/>
          <w:color w:val="auto"/>
          <w:kern w:val="0"/>
          <w:sz w:val="32"/>
          <w:szCs w:val="32"/>
        </w:rPr>
      </w:pPr>
      <w:r>
        <w:rPr>
          <w:rFonts w:hint="eastAsia" w:ascii="宋体" w:hAnsi="宋体" w:cs="宋体"/>
          <w:b/>
          <w:color w:val="auto"/>
          <w:kern w:val="0"/>
          <w:sz w:val="32"/>
          <w:szCs w:val="32"/>
        </w:rPr>
        <w:t>七、人员配置清单</w:t>
      </w:r>
    </w:p>
    <w:p w14:paraId="5C5BF61A">
      <w:pPr>
        <w:snapToGrid w:val="0"/>
        <w:spacing w:line="360" w:lineRule="auto"/>
        <w:jc w:val="center"/>
        <w:rPr>
          <w:rFonts w:ascii="宋体" w:hAnsi="宋体" w:cs="宋体"/>
          <w:b/>
          <w:color w:val="auto"/>
          <w:sz w:val="24"/>
        </w:rPr>
      </w:pPr>
      <w:r>
        <w:rPr>
          <w:rFonts w:hint="eastAsia" w:ascii="宋体" w:hAnsi="宋体" w:cs="宋体"/>
          <w:b/>
          <w:color w:val="auto"/>
          <w:sz w:val="24"/>
        </w:rPr>
        <w:t>（按招标文件内容提供，格式自拟）</w:t>
      </w:r>
    </w:p>
    <w:p w14:paraId="245BBC48">
      <w:pPr>
        <w:jc w:val="center"/>
        <w:rPr>
          <w:rFonts w:ascii="宋体" w:hAnsi="宋体" w:cs="宋体"/>
          <w:b/>
          <w:color w:val="auto"/>
          <w:kern w:val="0"/>
          <w:sz w:val="32"/>
          <w:szCs w:val="32"/>
        </w:rPr>
      </w:pPr>
    </w:p>
    <w:p w14:paraId="1B19D1B5">
      <w:pPr>
        <w:jc w:val="center"/>
        <w:rPr>
          <w:rFonts w:ascii="宋体" w:hAnsi="宋体" w:cs="宋体"/>
          <w:b/>
          <w:color w:val="auto"/>
          <w:kern w:val="0"/>
          <w:sz w:val="32"/>
          <w:szCs w:val="32"/>
        </w:rPr>
      </w:pPr>
      <w:r>
        <w:rPr>
          <w:rFonts w:hint="eastAsia" w:ascii="宋体" w:hAnsi="宋体" w:cs="宋体"/>
          <w:b/>
          <w:color w:val="auto"/>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0B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3155A8">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64AAC7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9F848DF">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78B96A5">
            <w:pPr>
              <w:jc w:val="center"/>
              <w:rPr>
                <w:rFonts w:ascii="宋体" w:hAnsi="宋体" w:cs="宋体"/>
                <w:b/>
                <w:bCs/>
                <w:color w:val="auto"/>
                <w:sz w:val="24"/>
              </w:rPr>
            </w:pPr>
            <w:r>
              <w:rPr>
                <w:rFonts w:hint="eastAsia" w:ascii="宋体" w:hAnsi="宋体" w:cs="宋体"/>
                <w:b/>
                <w:bCs/>
                <w:color w:val="auto"/>
                <w:sz w:val="24"/>
              </w:rPr>
              <w:t>偏离说明</w:t>
            </w:r>
          </w:p>
        </w:tc>
      </w:tr>
      <w:tr w14:paraId="0D6F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6090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D8DA1FB">
            <w:pPr>
              <w:jc w:val="center"/>
              <w:rPr>
                <w:rFonts w:ascii="宋体" w:hAnsi="宋体" w:cs="宋体"/>
                <w:b/>
                <w:color w:val="auto"/>
                <w:kern w:val="0"/>
                <w:sz w:val="32"/>
                <w:szCs w:val="32"/>
              </w:rPr>
            </w:pPr>
          </w:p>
        </w:tc>
        <w:tc>
          <w:tcPr>
            <w:tcW w:w="3546" w:type="dxa"/>
          </w:tcPr>
          <w:p w14:paraId="5B26BC9E">
            <w:pPr>
              <w:jc w:val="center"/>
              <w:rPr>
                <w:rFonts w:ascii="宋体" w:hAnsi="宋体" w:cs="宋体"/>
                <w:b/>
                <w:color w:val="auto"/>
                <w:kern w:val="0"/>
                <w:sz w:val="32"/>
                <w:szCs w:val="32"/>
              </w:rPr>
            </w:pPr>
          </w:p>
        </w:tc>
        <w:tc>
          <w:tcPr>
            <w:tcW w:w="1276" w:type="dxa"/>
          </w:tcPr>
          <w:p w14:paraId="0EC935CB">
            <w:pPr>
              <w:jc w:val="center"/>
              <w:rPr>
                <w:rFonts w:ascii="宋体" w:hAnsi="宋体" w:cs="宋体"/>
                <w:b/>
                <w:color w:val="auto"/>
                <w:kern w:val="0"/>
                <w:sz w:val="32"/>
                <w:szCs w:val="32"/>
              </w:rPr>
            </w:pPr>
          </w:p>
        </w:tc>
      </w:tr>
      <w:tr w14:paraId="22A9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89195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FB96558">
            <w:pPr>
              <w:jc w:val="center"/>
              <w:rPr>
                <w:rFonts w:ascii="宋体" w:hAnsi="宋体" w:cs="宋体"/>
                <w:b/>
                <w:color w:val="auto"/>
                <w:kern w:val="0"/>
                <w:sz w:val="32"/>
                <w:szCs w:val="32"/>
              </w:rPr>
            </w:pPr>
          </w:p>
        </w:tc>
        <w:tc>
          <w:tcPr>
            <w:tcW w:w="3546" w:type="dxa"/>
          </w:tcPr>
          <w:p w14:paraId="761A284C">
            <w:pPr>
              <w:jc w:val="center"/>
              <w:rPr>
                <w:rFonts w:ascii="宋体" w:hAnsi="宋体" w:cs="宋体"/>
                <w:b/>
                <w:color w:val="auto"/>
                <w:kern w:val="0"/>
                <w:sz w:val="32"/>
                <w:szCs w:val="32"/>
              </w:rPr>
            </w:pPr>
          </w:p>
        </w:tc>
        <w:tc>
          <w:tcPr>
            <w:tcW w:w="1276" w:type="dxa"/>
          </w:tcPr>
          <w:p w14:paraId="5AF7BCC4">
            <w:pPr>
              <w:jc w:val="center"/>
              <w:rPr>
                <w:rFonts w:ascii="宋体" w:hAnsi="宋体" w:cs="宋体"/>
                <w:b/>
                <w:color w:val="auto"/>
                <w:kern w:val="0"/>
                <w:sz w:val="32"/>
                <w:szCs w:val="32"/>
              </w:rPr>
            </w:pPr>
          </w:p>
        </w:tc>
      </w:tr>
      <w:tr w14:paraId="6B9A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A225D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14130DF">
            <w:pPr>
              <w:jc w:val="center"/>
              <w:rPr>
                <w:rFonts w:ascii="宋体" w:hAnsi="宋体" w:cs="宋体"/>
                <w:b/>
                <w:color w:val="auto"/>
                <w:kern w:val="0"/>
                <w:sz w:val="32"/>
                <w:szCs w:val="32"/>
              </w:rPr>
            </w:pPr>
          </w:p>
        </w:tc>
        <w:tc>
          <w:tcPr>
            <w:tcW w:w="3546" w:type="dxa"/>
          </w:tcPr>
          <w:p w14:paraId="66DB3BAB">
            <w:pPr>
              <w:jc w:val="center"/>
              <w:rPr>
                <w:rFonts w:ascii="宋体" w:hAnsi="宋体" w:cs="宋体"/>
                <w:b/>
                <w:color w:val="auto"/>
                <w:kern w:val="0"/>
                <w:sz w:val="32"/>
                <w:szCs w:val="32"/>
              </w:rPr>
            </w:pPr>
          </w:p>
        </w:tc>
        <w:tc>
          <w:tcPr>
            <w:tcW w:w="1276" w:type="dxa"/>
          </w:tcPr>
          <w:p w14:paraId="54F24E30">
            <w:pPr>
              <w:jc w:val="center"/>
              <w:rPr>
                <w:rFonts w:ascii="宋体" w:hAnsi="宋体" w:cs="宋体"/>
                <w:b/>
                <w:color w:val="auto"/>
                <w:kern w:val="0"/>
                <w:sz w:val="32"/>
                <w:szCs w:val="32"/>
              </w:rPr>
            </w:pPr>
          </w:p>
        </w:tc>
      </w:tr>
    </w:tbl>
    <w:p w14:paraId="33BDD151">
      <w:pPr>
        <w:jc w:val="center"/>
        <w:rPr>
          <w:rFonts w:ascii="宋体" w:hAnsi="宋体" w:cs="宋体"/>
          <w:b/>
          <w:color w:val="auto"/>
          <w:kern w:val="0"/>
          <w:sz w:val="32"/>
          <w:szCs w:val="32"/>
        </w:rPr>
      </w:pPr>
    </w:p>
    <w:p w14:paraId="7220B71F">
      <w:pPr>
        <w:spacing w:line="360" w:lineRule="auto"/>
        <w:ind w:right="420"/>
        <w:rPr>
          <w:rFonts w:ascii="宋体" w:hAnsi="宋体" w:cs="宋体"/>
          <w:color w:val="auto"/>
          <w:sz w:val="24"/>
        </w:rPr>
      </w:pPr>
      <w:r>
        <w:rPr>
          <w:rFonts w:hint="eastAsia" w:ascii="宋体" w:hAnsi="宋体" w:cs="宋体"/>
          <w:color w:val="auto"/>
          <w:sz w:val="24"/>
        </w:rPr>
        <w:t>注：1、按本格式和要求提供。本表格所反映的偏离情况与“符合性审查资料”、“评标标准相应的商务技术资料”不一致的，以“符合性审查资料”、“评标标准相应的商务技术资料”为准。</w:t>
      </w:r>
    </w:p>
    <w:p w14:paraId="7FA2A45B">
      <w:pPr>
        <w:spacing w:line="360" w:lineRule="auto"/>
        <w:ind w:right="420"/>
        <w:rPr>
          <w:rFonts w:ascii="宋体" w:hAnsi="宋体" w:cs="宋体"/>
          <w:color w:val="auto"/>
          <w:sz w:val="24"/>
        </w:rPr>
      </w:pPr>
      <w:r>
        <w:rPr>
          <w:rFonts w:hint="eastAsia" w:ascii="宋体" w:hAnsi="宋体" w:cs="宋体"/>
          <w:color w:val="auto"/>
          <w:sz w:val="24"/>
        </w:rPr>
        <w:t>2、投标人须保证：除商务技术偏离表列出的偏离外，投标人响应招标文件的全部非实质性要求。</w:t>
      </w:r>
    </w:p>
    <w:p w14:paraId="3C929255">
      <w:pPr>
        <w:spacing w:line="360" w:lineRule="auto"/>
        <w:ind w:right="420"/>
        <w:rPr>
          <w:rFonts w:ascii="宋体" w:hAnsi="宋体" w:cs="宋体"/>
          <w:color w:val="auto"/>
          <w:sz w:val="24"/>
        </w:rPr>
      </w:pPr>
    </w:p>
    <w:p w14:paraId="2D6FE3DA">
      <w:pPr>
        <w:ind w:firstLine="1911" w:firstLineChars="595"/>
        <w:rPr>
          <w:rFonts w:ascii="宋体" w:hAnsi="宋体" w:cs="宋体"/>
          <w:b/>
          <w:bCs/>
          <w:color w:val="auto"/>
          <w:sz w:val="32"/>
          <w:szCs w:val="32"/>
        </w:rPr>
      </w:pPr>
    </w:p>
    <w:p w14:paraId="4749AE65">
      <w:pPr>
        <w:ind w:firstLine="1911" w:firstLineChars="595"/>
        <w:rPr>
          <w:rFonts w:ascii="宋体" w:hAnsi="宋体" w:cs="宋体"/>
          <w:b/>
          <w:bCs/>
          <w:color w:val="auto"/>
          <w:sz w:val="32"/>
          <w:szCs w:val="32"/>
        </w:rPr>
      </w:pPr>
    </w:p>
    <w:p w14:paraId="4617DFA6">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C983098">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6B6AA20">
      <w:pPr>
        <w:snapToGrid w:val="0"/>
        <w:spacing w:line="360" w:lineRule="auto"/>
        <w:rPr>
          <w:rFonts w:ascii="宋体" w:hAnsi="宋体" w:cs="宋体"/>
          <w:color w:val="auto"/>
          <w:sz w:val="24"/>
        </w:rPr>
      </w:pPr>
    </w:p>
    <w:p w14:paraId="4FF3F9E4">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杭州市综合行政执法队、杭州市公共资源交易中心</w:t>
      </w:r>
      <w:r>
        <w:rPr>
          <w:rFonts w:hint="eastAsia" w:ascii="宋体" w:hAnsi="宋体" w:cs="宋体"/>
          <w:color w:val="auto"/>
          <w:kern w:val="0"/>
          <w:sz w:val="24"/>
          <w:lang w:val="zh-CN"/>
        </w:rPr>
        <w:t>：</w:t>
      </w:r>
    </w:p>
    <w:p w14:paraId="03283B4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0A9DCD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31A4F3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02A6FA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1DE0EA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652669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19A7CE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19B03D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E5B49D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53E9A2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56C32A8">
      <w:pPr>
        <w:autoSpaceDE w:val="0"/>
        <w:autoSpaceDN w:val="0"/>
        <w:spacing w:line="360" w:lineRule="auto"/>
        <w:ind w:left="2"/>
        <w:jc w:val="left"/>
        <w:rPr>
          <w:rFonts w:ascii="宋体" w:hAnsi="宋体" w:cs="宋体"/>
          <w:color w:val="auto"/>
          <w:kern w:val="0"/>
          <w:sz w:val="24"/>
          <w:lang w:val="zh-CN"/>
        </w:rPr>
      </w:pPr>
    </w:p>
    <w:p w14:paraId="2179AFBE">
      <w:pPr>
        <w:autoSpaceDE w:val="0"/>
        <w:autoSpaceDN w:val="0"/>
        <w:spacing w:line="360" w:lineRule="auto"/>
        <w:ind w:left="2"/>
        <w:jc w:val="left"/>
        <w:rPr>
          <w:rFonts w:ascii="宋体" w:hAnsi="宋体" w:cs="宋体"/>
          <w:color w:val="auto"/>
          <w:kern w:val="0"/>
          <w:sz w:val="24"/>
          <w:lang w:val="zh-CN"/>
        </w:rPr>
      </w:pPr>
    </w:p>
    <w:p w14:paraId="5DF0866C">
      <w:pPr>
        <w:autoSpaceDE w:val="0"/>
        <w:autoSpaceDN w:val="0"/>
        <w:spacing w:line="360" w:lineRule="auto"/>
        <w:ind w:left="2"/>
        <w:jc w:val="left"/>
        <w:rPr>
          <w:rFonts w:ascii="宋体" w:hAnsi="宋体" w:cs="宋体"/>
          <w:color w:val="auto"/>
          <w:kern w:val="0"/>
          <w:sz w:val="24"/>
          <w:lang w:val="zh-CN"/>
        </w:rPr>
      </w:pPr>
    </w:p>
    <w:p w14:paraId="14E80BB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324AC0E">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5DE734A">
      <w:pPr>
        <w:spacing w:line="360" w:lineRule="auto"/>
        <w:jc w:val="center"/>
        <w:rPr>
          <w:rFonts w:ascii="宋体" w:hAnsi="宋体" w:cs="宋体"/>
          <w:b/>
          <w:bCs/>
          <w:color w:val="auto"/>
          <w:sz w:val="24"/>
        </w:rPr>
      </w:pPr>
    </w:p>
    <w:p w14:paraId="5889C0D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B5B4459">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4E3714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4AA252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8C39833">
      <w:pPr>
        <w:spacing w:line="360" w:lineRule="auto"/>
        <w:jc w:val="center"/>
        <w:outlineLvl w:val="0"/>
        <w:rPr>
          <w:rFonts w:ascii="宋体" w:hAnsi="宋体" w:cs="宋体"/>
          <w:b/>
          <w:color w:val="auto"/>
          <w:kern w:val="0"/>
          <w:sz w:val="36"/>
          <w:szCs w:val="36"/>
        </w:rPr>
      </w:pPr>
    </w:p>
    <w:p w14:paraId="383754CB">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F3CA6EA">
      <w:pPr>
        <w:snapToGrid w:val="0"/>
        <w:spacing w:line="360" w:lineRule="auto"/>
        <w:rPr>
          <w:rFonts w:ascii="宋体" w:hAnsi="宋体" w:cs="宋体"/>
          <w:color w:val="auto"/>
          <w:sz w:val="24"/>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67AC5CEE">
      <w:pPr>
        <w:snapToGrid w:val="0"/>
        <w:spacing w:line="360" w:lineRule="auto"/>
        <w:ind w:right="480"/>
        <w:jc w:val="center"/>
        <w:rPr>
          <w:rFonts w:ascii="宋体" w:hAnsi="宋体" w:cs="宋体"/>
          <w:b/>
          <w:color w:val="auto"/>
          <w:kern w:val="0"/>
          <w:sz w:val="32"/>
          <w:szCs w:val="32"/>
        </w:rPr>
      </w:pPr>
    </w:p>
    <w:p w14:paraId="36F1CFB7">
      <w:pPr>
        <w:snapToGrid w:val="0"/>
        <w:spacing w:line="360" w:lineRule="auto"/>
        <w:ind w:right="480"/>
        <w:jc w:val="center"/>
        <w:rPr>
          <w:rFonts w:ascii="宋体" w:hAnsi="宋体" w:cs="宋体"/>
          <w:b/>
          <w:color w:val="auto"/>
          <w:kern w:val="0"/>
          <w:sz w:val="32"/>
          <w:szCs w:val="32"/>
        </w:rPr>
      </w:pPr>
    </w:p>
    <w:p w14:paraId="6BF21638">
      <w:pPr>
        <w:snapToGrid w:val="0"/>
        <w:spacing w:line="360" w:lineRule="auto"/>
        <w:ind w:right="480"/>
        <w:jc w:val="center"/>
        <w:rPr>
          <w:rFonts w:ascii="宋体" w:hAnsi="宋体" w:cs="宋体"/>
          <w:b/>
          <w:color w:val="auto"/>
          <w:kern w:val="0"/>
          <w:sz w:val="32"/>
          <w:szCs w:val="32"/>
        </w:rPr>
      </w:pPr>
    </w:p>
    <w:p w14:paraId="0E13B77D">
      <w:pPr>
        <w:snapToGrid w:val="0"/>
        <w:spacing w:line="360" w:lineRule="auto"/>
        <w:ind w:right="480"/>
        <w:jc w:val="center"/>
        <w:rPr>
          <w:rFonts w:ascii="宋体" w:hAnsi="宋体" w:cs="宋体"/>
          <w:b/>
          <w:color w:val="auto"/>
          <w:kern w:val="0"/>
          <w:sz w:val="32"/>
          <w:szCs w:val="32"/>
        </w:rPr>
      </w:pPr>
    </w:p>
    <w:p w14:paraId="730F7CB1">
      <w:pPr>
        <w:snapToGrid w:val="0"/>
        <w:spacing w:line="360" w:lineRule="auto"/>
        <w:ind w:right="480"/>
        <w:jc w:val="center"/>
        <w:rPr>
          <w:rFonts w:ascii="宋体" w:hAnsi="宋体" w:cs="宋体"/>
          <w:b/>
          <w:color w:val="auto"/>
          <w:kern w:val="0"/>
          <w:sz w:val="32"/>
          <w:szCs w:val="32"/>
        </w:rPr>
      </w:pPr>
    </w:p>
    <w:p w14:paraId="25D68B8A">
      <w:pPr>
        <w:snapToGrid w:val="0"/>
        <w:spacing w:line="360" w:lineRule="auto"/>
        <w:ind w:right="480"/>
        <w:jc w:val="center"/>
        <w:rPr>
          <w:rFonts w:ascii="宋体" w:hAnsi="宋体" w:cs="宋体"/>
          <w:b/>
          <w:color w:val="auto"/>
          <w:kern w:val="0"/>
          <w:sz w:val="32"/>
          <w:szCs w:val="32"/>
        </w:rPr>
      </w:pPr>
    </w:p>
    <w:p w14:paraId="15FB8E21">
      <w:pPr>
        <w:snapToGrid w:val="0"/>
        <w:spacing w:line="360" w:lineRule="auto"/>
        <w:ind w:right="480"/>
        <w:jc w:val="center"/>
        <w:rPr>
          <w:rFonts w:ascii="宋体" w:hAnsi="宋体" w:cs="宋体"/>
          <w:b/>
          <w:color w:val="auto"/>
          <w:kern w:val="0"/>
          <w:sz w:val="32"/>
          <w:szCs w:val="32"/>
        </w:rPr>
      </w:pPr>
    </w:p>
    <w:p w14:paraId="2EDDCCDE">
      <w:pPr>
        <w:snapToGrid w:val="0"/>
        <w:spacing w:line="360" w:lineRule="auto"/>
        <w:ind w:right="480"/>
        <w:jc w:val="center"/>
        <w:rPr>
          <w:rFonts w:ascii="宋体" w:hAnsi="宋体" w:cs="宋体"/>
          <w:b/>
          <w:color w:val="auto"/>
          <w:kern w:val="0"/>
          <w:sz w:val="32"/>
          <w:szCs w:val="32"/>
        </w:rPr>
      </w:pPr>
    </w:p>
    <w:p w14:paraId="1B524AE1">
      <w:pPr>
        <w:snapToGrid w:val="0"/>
        <w:spacing w:line="360" w:lineRule="auto"/>
        <w:ind w:right="480"/>
        <w:jc w:val="center"/>
        <w:rPr>
          <w:rFonts w:ascii="宋体" w:hAnsi="宋体" w:cs="宋体"/>
          <w:b/>
          <w:color w:val="auto"/>
          <w:kern w:val="0"/>
          <w:sz w:val="32"/>
          <w:szCs w:val="32"/>
        </w:rPr>
      </w:pPr>
    </w:p>
    <w:p w14:paraId="5001DB8A">
      <w:pPr>
        <w:snapToGrid w:val="0"/>
        <w:spacing w:line="360" w:lineRule="auto"/>
        <w:ind w:right="480"/>
        <w:jc w:val="center"/>
        <w:rPr>
          <w:rFonts w:ascii="宋体" w:hAnsi="宋体" w:cs="宋体"/>
          <w:b/>
          <w:color w:val="auto"/>
          <w:kern w:val="0"/>
          <w:sz w:val="32"/>
          <w:szCs w:val="32"/>
        </w:rPr>
      </w:pPr>
    </w:p>
    <w:p w14:paraId="02095516">
      <w:pPr>
        <w:snapToGrid w:val="0"/>
        <w:spacing w:line="360" w:lineRule="auto"/>
        <w:ind w:right="480"/>
        <w:jc w:val="center"/>
        <w:rPr>
          <w:rFonts w:ascii="宋体" w:hAnsi="宋体" w:cs="宋体"/>
          <w:b/>
          <w:color w:val="auto"/>
          <w:kern w:val="0"/>
          <w:sz w:val="32"/>
          <w:szCs w:val="32"/>
        </w:rPr>
      </w:pPr>
    </w:p>
    <w:p w14:paraId="6896C2EF">
      <w:pPr>
        <w:snapToGrid w:val="0"/>
        <w:spacing w:line="360" w:lineRule="auto"/>
        <w:ind w:right="480"/>
        <w:jc w:val="center"/>
        <w:rPr>
          <w:rFonts w:ascii="宋体" w:hAnsi="宋体" w:cs="宋体"/>
          <w:b/>
          <w:color w:val="auto"/>
          <w:kern w:val="0"/>
          <w:sz w:val="32"/>
          <w:szCs w:val="32"/>
        </w:rPr>
      </w:pPr>
    </w:p>
    <w:p w14:paraId="5D4719F6">
      <w:pPr>
        <w:snapToGrid w:val="0"/>
        <w:spacing w:line="360" w:lineRule="auto"/>
        <w:ind w:right="480"/>
        <w:jc w:val="center"/>
        <w:rPr>
          <w:rFonts w:ascii="宋体" w:hAnsi="宋体" w:cs="宋体"/>
          <w:b/>
          <w:color w:val="auto"/>
          <w:kern w:val="0"/>
          <w:sz w:val="32"/>
          <w:szCs w:val="32"/>
        </w:rPr>
      </w:pPr>
    </w:p>
    <w:p w14:paraId="3DA8E92A">
      <w:pPr>
        <w:snapToGrid w:val="0"/>
        <w:spacing w:line="360" w:lineRule="auto"/>
        <w:ind w:right="480"/>
        <w:jc w:val="center"/>
        <w:rPr>
          <w:rFonts w:ascii="宋体" w:hAnsi="宋体" w:cs="宋体"/>
          <w:b/>
          <w:color w:val="auto"/>
          <w:kern w:val="0"/>
          <w:sz w:val="32"/>
          <w:szCs w:val="32"/>
        </w:rPr>
      </w:pPr>
    </w:p>
    <w:p w14:paraId="5611EC6F">
      <w:pPr>
        <w:snapToGrid w:val="0"/>
        <w:spacing w:line="360" w:lineRule="auto"/>
        <w:ind w:right="480"/>
        <w:jc w:val="center"/>
        <w:rPr>
          <w:rFonts w:ascii="宋体" w:hAnsi="宋体" w:cs="宋体"/>
          <w:b/>
          <w:color w:val="auto"/>
          <w:kern w:val="0"/>
          <w:sz w:val="32"/>
          <w:szCs w:val="32"/>
        </w:rPr>
      </w:pPr>
    </w:p>
    <w:p w14:paraId="5527C1E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0471BA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51E7969">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杭州市综合行政执法队、杭州市公共资源交易中心</w:t>
      </w:r>
      <w:r>
        <w:rPr>
          <w:rFonts w:hint="eastAsia" w:ascii="宋体" w:hAnsi="宋体" w:cs="宋体"/>
          <w:color w:val="auto"/>
          <w:kern w:val="0"/>
          <w:sz w:val="24"/>
          <w:lang w:val="zh-CN"/>
        </w:rPr>
        <w:t>：</w:t>
      </w:r>
    </w:p>
    <w:p w14:paraId="397603B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rPr>
        <w:t>报价</w:t>
      </w:r>
      <w:r>
        <w:rPr>
          <w:rFonts w:hint="eastAsia" w:ascii="宋体" w:hAnsi="宋体" w:cs="宋体"/>
          <w:color w:val="auto"/>
          <w:kern w:val="0"/>
          <w:sz w:val="24"/>
          <w:lang w:val="zh-CN"/>
        </w:rPr>
        <w:t>完成</w:t>
      </w:r>
      <w:r>
        <w:rPr>
          <w:rFonts w:hint="eastAsia" w:ascii="宋体" w:hAnsi="宋体" w:cs="宋体"/>
          <w:color w:val="auto"/>
          <w:sz w:val="24"/>
        </w:rPr>
        <w:t>杭州市综合行政执法队物业管理服务采购项目</w:t>
      </w:r>
      <w:r>
        <w:rPr>
          <w:rFonts w:hint="eastAsia" w:ascii="宋体" w:hAnsi="宋体" w:cs="宋体"/>
          <w:color w:val="auto"/>
          <w:kern w:val="0"/>
          <w:sz w:val="24"/>
          <w:lang w:val="zh-CN"/>
        </w:rPr>
        <w:t>【招标编号：</w:t>
      </w:r>
      <w:r>
        <w:rPr>
          <w:rFonts w:hint="eastAsia" w:ascii="宋体" w:hAnsi="宋体" w:cs="宋体"/>
          <w:color w:val="auto"/>
          <w:sz w:val="24"/>
        </w:rPr>
        <w:t>HZZFCG-2025-005】的实施</w:t>
      </w:r>
      <w:r>
        <w:rPr>
          <w:rFonts w:hint="eastAsia" w:ascii="宋体" w:hAnsi="宋体" w:cs="宋体"/>
          <w:color w:val="auto"/>
          <w:kern w:val="0"/>
          <w:sz w:val="24"/>
          <w:lang w:val="zh-CN"/>
        </w:rPr>
        <w:t>。</w:t>
      </w:r>
    </w:p>
    <w:p w14:paraId="15DE080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6C31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85361CC">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69013A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3ABF60CD">
            <w:pPr>
              <w:spacing w:line="360" w:lineRule="auto"/>
              <w:jc w:val="center"/>
              <w:rPr>
                <w:rFonts w:ascii="宋体" w:hAnsi="宋体" w:cs="宋体"/>
                <w:b/>
                <w:color w:val="auto"/>
                <w:sz w:val="24"/>
              </w:rPr>
            </w:pPr>
          </w:p>
          <w:p w14:paraId="01A8426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709CBC84">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0A5B57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4253" w:type="dxa"/>
            <w:vAlign w:val="center"/>
          </w:tcPr>
          <w:p w14:paraId="0A70E82B">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6" w:type="dxa"/>
            <w:vAlign w:val="center"/>
          </w:tcPr>
          <w:p w14:paraId="1AE080F1">
            <w:pPr>
              <w:spacing w:line="360" w:lineRule="auto"/>
              <w:jc w:val="center"/>
              <w:rPr>
                <w:rFonts w:ascii="宋体" w:hAnsi="宋体" w:cs="宋体"/>
                <w:b/>
                <w:color w:val="auto"/>
                <w:sz w:val="24"/>
              </w:rPr>
            </w:pPr>
          </w:p>
          <w:p w14:paraId="358FBA1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314FBE4">
            <w:pPr>
              <w:spacing w:line="360" w:lineRule="auto"/>
              <w:jc w:val="center"/>
              <w:rPr>
                <w:rFonts w:ascii="宋体" w:hAnsi="宋体" w:cs="宋体"/>
                <w:b/>
                <w:color w:val="auto"/>
                <w:sz w:val="24"/>
              </w:rPr>
            </w:pPr>
          </w:p>
        </w:tc>
      </w:tr>
      <w:tr w14:paraId="0BF7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00AB06">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DA85F51">
            <w:pPr>
              <w:snapToGrid w:val="0"/>
              <w:spacing w:line="360" w:lineRule="auto"/>
              <w:jc w:val="center"/>
              <w:rPr>
                <w:rFonts w:ascii="宋体" w:hAnsi="宋体" w:cs="宋体"/>
                <w:color w:val="auto"/>
                <w:sz w:val="24"/>
              </w:rPr>
            </w:pPr>
            <w:r>
              <w:rPr>
                <w:rFonts w:hint="eastAsia" w:ascii="宋体" w:hAnsi="宋体" w:cs="宋体"/>
                <w:color w:val="auto"/>
                <w:sz w:val="24"/>
              </w:rPr>
              <w:t>物业服务</w:t>
            </w:r>
          </w:p>
        </w:tc>
        <w:tc>
          <w:tcPr>
            <w:tcW w:w="2268" w:type="dxa"/>
            <w:vAlign w:val="center"/>
          </w:tcPr>
          <w:p w14:paraId="15A6D92B">
            <w:pPr>
              <w:snapToGrid w:val="0"/>
              <w:spacing w:line="360" w:lineRule="auto"/>
              <w:jc w:val="center"/>
              <w:rPr>
                <w:rFonts w:ascii="宋体" w:hAnsi="宋体" w:cs="宋体"/>
                <w:color w:val="auto"/>
                <w:sz w:val="24"/>
              </w:rPr>
            </w:pPr>
          </w:p>
        </w:tc>
        <w:tc>
          <w:tcPr>
            <w:tcW w:w="2410" w:type="dxa"/>
            <w:vAlign w:val="center"/>
          </w:tcPr>
          <w:p w14:paraId="1FC0F93B">
            <w:pPr>
              <w:snapToGrid w:val="0"/>
              <w:spacing w:line="360" w:lineRule="auto"/>
              <w:jc w:val="center"/>
              <w:rPr>
                <w:rFonts w:ascii="宋体" w:hAnsi="宋体" w:cs="宋体"/>
                <w:color w:val="auto"/>
                <w:sz w:val="24"/>
              </w:rPr>
            </w:pPr>
          </w:p>
        </w:tc>
        <w:tc>
          <w:tcPr>
            <w:tcW w:w="2268" w:type="dxa"/>
            <w:vAlign w:val="center"/>
          </w:tcPr>
          <w:p w14:paraId="00AA89C0">
            <w:pPr>
              <w:snapToGrid w:val="0"/>
              <w:spacing w:line="360" w:lineRule="auto"/>
              <w:jc w:val="center"/>
              <w:rPr>
                <w:rFonts w:ascii="宋体" w:hAnsi="宋体" w:cs="宋体"/>
                <w:color w:val="auto"/>
                <w:sz w:val="24"/>
              </w:rPr>
            </w:pPr>
          </w:p>
        </w:tc>
        <w:tc>
          <w:tcPr>
            <w:tcW w:w="4253" w:type="dxa"/>
            <w:vAlign w:val="center"/>
          </w:tcPr>
          <w:p w14:paraId="6169C324">
            <w:pPr>
              <w:spacing w:line="360" w:lineRule="auto"/>
              <w:jc w:val="center"/>
              <w:rPr>
                <w:rFonts w:ascii="宋体" w:hAnsi="宋体" w:cs="宋体"/>
                <w:color w:val="auto"/>
                <w:sz w:val="24"/>
              </w:rPr>
            </w:pPr>
          </w:p>
        </w:tc>
        <w:tc>
          <w:tcPr>
            <w:tcW w:w="2126" w:type="dxa"/>
            <w:vAlign w:val="center"/>
          </w:tcPr>
          <w:p w14:paraId="02891AA7">
            <w:pPr>
              <w:spacing w:line="360" w:lineRule="auto"/>
              <w:jc w:val="center"/>
              <w:rPr>
                <w:rFonts w:ascii="宋体" w:hAnsi="宋体" w:cs="宋体"/>
                <w:color w:val="auto"/>
                <w:sz w:val="24"/>
              </w:rPr>
            </w:pPr>
          </w:p>
        </w:tc>
      </w:tr>
      <w:tr w14:paraId="4E8E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D4E73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3"/>
          </w:tcPr>
          <w:p w14:paraId="039D4E09">
            <w:pPr>
              <w:spacing w:line="360" w:lineRule="auto"/>
              <w:jc w:val="center"/>
              <w:rPr>
                <w:rFonts w:ascii="宋体" w:hAnsi="宋体" w:cs="宋体"/>
                <w:color w:val="auto"/>
                <w:sz w:val="24"/>
              </w:rPr>
            </w:pPr>
          </w:p>
        </w:tc>
      </w:tr>
      <w:tr w14:paraId="51F3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442681">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3"/>
          </w:tcPr>
          <w:p w14:paraId="1CDA487F">
            <w:pPr>
              <w:spacing w:line="360" w:lineRule="auto"/>
              <w:jc w:val="center"/>
              <w:rPr>
                <w:rFonts w:ascii="宋体" w:hAnsi="宋体" w:cs="宋体"/>
                <w:color w:val="auto"/>
                <w:sz w:val="24"/>
              </w:rPr>
            </w:pPr>
          </w:p>
        </w:tc>
      </w:tr>
    </w:tbl>
    <w:p w14:paraId="1181FDC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9C5F29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w:t>
      </w:r>
      <w:r>
        <w:rPr>
          <w:rFonts w:hint="eastAsia" w:ascii="宋体" w:hAnsi="宋体" w:cs="宋体"/>
          <w:color w:val="auto"/>
          <w:kern w:val="0"/>
          <w:sz w:val="24"/>
        </w:rPr>
        <w:t>要求</w:t>
      </w:r>
      <w:r>
        <w:rPr>
          <w:rFonts w:hint="eastAsia" w:ascii="宋体" w:hAnsi="宋体" w:cs="宋体"/>
          <w:color w:val="auto"/>
          <w:kern w:val="0"/>
          <w:sz w:val="24"/>
          <w:lang w:val="zh-CN"/>
        </w:rPr>
        <w:t>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43F1B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28B0AF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59E33903">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356413F9">
      <w:pPr>
        <w:spacing w:line="360" w:lineRule="auto"/>
        <w:ind w:firstLine="482" w:firstLineChars="200"/>
        <w:rPr>
          <w:rFonts w:ascii="宋体" w:hAnsi="宋体" w:cs="宋体"/>
          <w:b/>
          <w:color w:val="auto"/>
          <w:sz w:val="24"/>
        </w:rPr>
      </w:pPr>
    </w:p>
    <w:p w14:paraId="7145F69A">
      <w:pPr>
        <w:spacing w:line="360" w:lineRule="auto"/>
        <w:ind w:firstLine="482" w:firstLineChars="200"/>
        <w:rPr>
          <w:rFonts w:ascii="宋体" w:hAnsi="宋体" w:cs="宋体"/>
          <w:b/>
          <w:color w:val="auto"/>
          <w:kern w:val="0"/>
          <w:sz w:val="24"/>
        </w:rPr>
      </w:pPr>
    </w:p>
    <w:p w14:paraId="38910A1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79EE72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AE10EA6">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063406D9">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rPr>
      </w:pPr>
      <w:r>
        <w:rPr>
          <w:rFonts w:hint="eastAsia" w:ascii="宋体" w:hAnsi="宋体" w:eastAsia="宋体" w:cs="宋体"/>
          <w:b w:val="0"/>
          <w:color w:val="auto"/>
          <w:sz w:val="24"/>
          <w:szCs w:val="24"/>
        </w:rPr>
        <w:t>（如供应商报价低于项目预算50%的，应当提交本文档，详细阐述不影响产品质量或者诚信履约的具体原因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4039E804">
      <w:pPr>
        <w:spacing w:line="360" w:lineRule="auto"/>
        <w:ind w:firstLine="482" w:firstLineChars="200"/>
        <w:rPr>
          <w:rFonts w:ascii="宋体" w:hAnsi="宋体" w:cs="宋体"/>
          <w:b/>
          <w:color w:val="auto"/>
          <w:sz w:val="24"/>
        </w:rPr>
      </w:pPr>
    </w:p>
    <w:p w14:paraId="051ACEDF">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rPr>
      </w:pPr>
    </w:p>
    <w:p w14:paraId="192989B7">
      <w:pPr>
        <w:spacing w:line="360" w:lineRule="auto"/>
        <w:ind w:right="420" w:firstLine="3614" w:firstLineChars="1000"/>
        <w:rPr>
          <w:rFonts w:ascii="宋体" w:hAnsi="宋体" w:cs="宋体"/>
          <w:b/>
          <w:color w:val="auto"/>
          <w:kern w:val="0"/>
          <w:sz w:val="36"/>
          <w:szCs w:val="36"/>
        </w:rPr>
      </w:pPr>
    </w:p>
    <w:p w14:paraId="07BFEEB7">
      <w:pPr>
        <w:spacing w:line="360" w:lineRule="auto"/>
        <w:ind w:right="420" w:firstLine="3614" w:firstLineChars="1000"/>
        <w:rPr>
          <w:rFonts w:ascii="宋体" w:hAnsi="宋体" w:cs="宋体"/>
          <w:b/>
          <w:color w:val="auto"/>
          <w:kern w:val="0"/>
          <w:sz w:val="36"/>
          <w:szCs w:val="36"/>
        </w:rPr>
      </w:pPr>
    </w:p>
    <w:p w14:paraId="59955B2F">
      <w:pPr>
        <w:spacing w:line="360" w:lineRule="auto"/>
        <w:ind w:right="420" w:firstLine="3614" w:firstLineChars="1000"/>
        <w:rPr>
          <w:rFonts w:ascii="宋体" w:hAnsi="宋体" w:cs="宋体"/>
          <w:b/>
          <w:color w:val="auto"/>
          <w:kern w:val="0"/>
          <w:sz w:val="36"/>
          <w:szCs w:val="36"/>
        </w:rPr>
      </w:pPr>
    </w:p>
    <w:p w14:paraId="37C57DD6">
      <w:pPr>
        <w:spacing w:line="360" w:lineRule="auto"/>
        <w:ind w:right="420" w:firstLine="3614" w:firstLineChars="1000"/>
        <w:rPr>
          <w:rFonts w:ascii="宋体" w:hAnsi="宋体" w:cs="宋体"/>
          <w:b/>
          <w:color w:val="auto"/>
          <w:kern w:val="0"/>
          <w:sz w:val="36"/>
          <w:szCs w:val="36"/>
        </w:rPr>
      </w:pPr>
    </w:p>
    <w:p w14:paraId="7305C99B">
      <w:pPr>
        <w:spacing w:line="360" w:lineRule="auto"/>
        <w:ind w:right="420" w:firstLine="3614" w:firstLineChars="1000"/>
        <w:rPr>
          <w:rFonts w:ascii="宋体" w:hAnsi="宋体" w:cs="宋体"/>
          <w:b/>
          <w:color w:val="auto"/>
          <w:kern w:val="0"/>
          <w:sz w:val="36"/>
          <w:szCs w:val="36"/>
        </w:rPr>
      </w:pPr>
    </w:p>
    <w:p w14:paraId="5643E946">
      <w:pPr>
        <w:spacing w:line="360" w:lineRule="auto"/>
        <w:ind w:right="420" w:firstLine="3614" w:firstLineChars="1000"/>
        <w:rPr>
          <w:rFonts w:ascii="宋体" w:hAnsi="宋体" w:cs="宋体"/>
          <w:b/>
          <w:color w:val="auto"/>
          <w:kern w:val="0"/>
          <w:sz w:val="36"/>
          <w:szCs w:val="36"/>
        </w:rPr>
      </w:pPr>
    </w:p>
    <w:p w14:paraId="051E65C8">
      <w:pPr>
        <w:spacing w:line="360" w:lineRule="auto"/>
        <w:ind w:right="420" w:firstLine="3614" w:firstLineChars="1000"/>
        <w:rPr>
          <w:rFonts w:ascii="宋体" w:hAnsi="宋体" w:cs="宋体"/>
          <w:b/>
          <w:color w:val="auto"/>
          <w:kern w:val="0"/>
          <w:sz w:val="36"/>
          <w:szCs w:val="36"/>
        </w:rPr>
      </w:pPr>
    </w:p>
    <w:p w14:paraId="080456FE">
      <w:pPr>
        <w:spacing w:line="360" w:lineRule="auto"/>
        <w:ind w:right="420" w:firstLine="3614" w:firstLineChars="1000"/>
        <w:rPr>
          <w:rFonts w:ascii="宋体" w:hAnsi="宋体" w:cs="宋体"/>
          <w:b/>
          <w:color w:val="auto"/>
          <w:kern w:val="0"/>
          <w:sz w:val="36"/>
          <w:szCs w:val="36"/>
        </w:rPr>
      </w:pPr>
    </w:p>
    <w:p w14:paraId="37DCF06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7D89E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3E6E497">
      <w:pPr>
        <w:spacing w:line="360" w:lineRule="auto"/>
        <w:jc w:val="center"/>
        <w:rPr>
          <w:rFonts w:ascii="宋体" w:hAnsi="宋体" w:cs="宋体"/>
          <w:b/>
          <w:color w:val="auto"/>
          <w:spacing w:val="6"/>
          <w:sz w:val="32"/>
          <w:szCs w:val="32"/>
        </w:rPr>
      </w:pPr>
      <w:bookmarkStart w:id="408" w:name="OLE_LINK14"/>
      <w:bookmarkStart w:id="409" w:name="OLE_LINK13"/>
      <w:r>
        <w:rPr>
          <w:rFonts w:hint="eastAsia" w:ascii="宋体" w:hAnsi="宋体" w:cs="宋体"/>
          <w:b/>
          <w:color w:val="auto"/>
          <w:spacing w:val="6"/>
          <w:sz w:val="32"/>
          <w:szCs w:val="32"/>
        </w:rPr>
        <w:t>残疾人福利性单位声明函</w:t>
      </w:r>
    </w:p>
    <w:bookmarkEnd w:id="408"/>
    <w:bookmarkEnd w:id="409"/>
    <w:p w14:paraId="4741B753">
      <w:pPr>
        <w:spacing w:line="360" w:lineRule="auto"/>
        <w:rPr>
          <w:rFonts w:ascii="宋体" w:hAnsi="宋体" w:cs="宋体"/>
          <w:b/>
          <w:color w:val="auto"/>
          <w:spacing w:val="6"/>
          <w:sz w:val="30"/>
          <w:szCs w:val="30"/>
        </w:rPr>
      </w:pPr>
    </w:p>
    <w:p w14:paraId="08455B2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杭州市综合行政执法队</w:t>
      </w:r>
      <w:r>
        <w:rPr>
          <w:rFonts w:hint="eastAsia" w:ascii="宋体" w:hAnsi="宋体" w:cs="宋体"/>
          <w:color w:val="auto"/>
          <w:sz w:val="24"/>
        </w:rPr>
        <w:t>单位的</w:t>
      </w:r>
      <w:r>
        <w:rPr>
          <w:rFonts w:hint="eastAsia" w:ascii="宋体" w:hAnsi="宋体" w:cs="宋体"/>
          <w:color w:val="auto"/>
          <w:sz w:val="24"/>
          <w:u w:val="single"/>
        </w:rPr>
        <w:t>杭州市综合行政执法队物业管理服务采购项目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48989FA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77B52FB">
      <w:pPr>
        <w:spacing w:line="360" w:lineRule="auto"/>
        <w:ind w:firstLine="480" w:firstLineChars="200"/>
        <w:rPr>
          <w:rFonts w:ascii="宋体" w:hAnsi="宋体" w:cs="宋体"/>
          <w:color w:val="auto"/>
          <w:sz w:val="24"/>
        </w:rPr>
      </w:pPr>
    </w:p>
    <w:p w14:paraId="4C73E492">
      <w:pPr>
        <w:spacing w:line="360" w:lineRule="auto"/>
        <w:ind w:firstLine="480" w:firstLineChars="200"/>
        <w:rPr>
          <w:rFonts w:ascii="宋体" w:hAnsi="宋体" w:cs="宋体"/>
          <w:color w:val="auto"/>
          <w:sz w:val="24"/>
        </w:rPr>
      </w:pPr>
    </w:p>
    <w:p w14:paraId="2A0507E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201A1F2">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4EAECD0">
      <w:pPr>
        <w:spacing w:line="360" w:lineRule="auto"/>
        <w:ind w:firstLine="480" w:firstLineChars="200"/>
        <w:rPr>
          <w:rFonts w:ascii="宋体" w:hAnsi="宋体" w:cs="宋体"/>
          <w:color w:val="auto"/>
          <w:sz w:val="24"/>
        </w:rPr>
      </w:pPr>
    </w:p>
    <w:p w14:paraId="0DD9AA41">
      <w:pPr>
        <w:spacing w:line="360" w:lineRule="auto"/>
        <w:ind w:firstLine="420" w:firstLineChars="200"/>
        <w:rPr>
          <w:rFonts w:ascii="宋体" w:hAnsi="宋体" w:cs="宋体"/>
          <w:color w:val="auto"/>
        </w:rPr>
      </w:pPr>
    </w:p>
    <w:p w14:paraId="6C0B6495">
      <w:pPr>
        <w:spacing w:line="360" w:lineRule="auto"/>
        <w:ind w:firstLine="420" w:firstLineChars="200"/>
        <w:rPr>
          <w:rFonts w:ascii="宋体" w:hAnsi="宋体" w:cs="宋体"/>
          <w:color w:val="auto"/>
        </w:rPr>
      </w:pPr>
    </w:p>
    <w:p w14:paraId="0210E903">
      <w:pPr>
        <w:spacing w:line="360" w:lineRule="auto"/>
        <w:ind w:firstLine="420" w:firstLineChars="200"/>
        <w:rPr>
          <w:rFonts w:ascii="宋体" w:hAnsi="宋体" w:cs="宋体"/>
          <w:color w:val="auto"/>
        </w:rPr>
      </w:pPr>
    </w:p>
    <w:p w14:paraId="7746233B">
      <w:pPr>
        <w:spacing w:line="360" w:lineRule="auto"/>
        <w:ind w:firstLine="420" w:firstLineChars="200"/>
        <w:rPr>
          <w:rFonts w:ascii="宋体" w:hAnsi="宋体" w:cs="宋体"/>
          <w:color w:val="auto"/>
        </w:rPr>
      </w:pPr>
    </w:p>
    <w:p w14:paraId="118A0E70">
      <w:pPr>
        <w:spacing w:line="360" w:lineRule="auto"/>
        <w:rPr>
          <w:rFonts w:ascii="宋体" w:hAnsi="宋体" w:cs="宋体"/>
          <w:b/>
          <w:color w:val="auto"/>
          <w:sz w:val="24"/>
        </w:rPr>
      </w:pPr>
    </w:p>
    <w:p w14:paraId="50384B79">
      <w:pPr>
        <w:spacing w:line="360" w:lineRule="auto"/>
        <w:rPr>
          <w:rFonts w:ascii="宋体" w:hAnsi="宋体" w:cs="宋体"/>
          <w:b/>
          <w:color w:val="auto"/>
          <w:sz w:val="24"/>
        </w:rPr>
      </w:pPr>
    </w:p>
    <w:p w14:paraId="1C6468F3">
      <w:pPr>
        <w:spacing w:line="360" w:lineRule="auto"/>
        <w:rPr>
          <w:rFonts w:ascii="宋体" w:hAnsi="宋体" w:cs="宋体"/>
          <w:b/>
          <w:color w:val="auto"/>
          <w:sz w:val="24"/>
        </w:rPr>
      </w:pPr>
    </w:p>
    <w:p w14:paraId="3E0CB478">
      <w:pPr>
        <w:spacing w:line="360" w:lineRule="auto"/>
        <w:rPr>
          <w:rFonts w:ascii="宋体" w:hAnsi="宋体" w:cs="宋体"/>
          <w:b/>
          <w:color w:val="auto"/>
          <w:sz w:val="24"/>
        </w:rPr>
      </w:pPr>
    </w:p>
    <w:p w14:paraId="5151B15F">
      <w:pPr>
        <w:spacing w:line="360" w:lineRule="auto"/>
        <w:rPr>
          <w:rFonts w:ascii="宋体" w:hAnsi="宋体" w:cs="宋体"/>
          <w:b/>
          <w:color w:val="auto"/>
          <w:sz w:val="24"/>
        </w:rPr>
      </w:pPr>
    </w:p>
    <w:p w14:paraId="7D658CD8">
      <w:pPr>
        <w:spacing w:line="360" w:lineRule="auto"/>
        <w:rPr>
          <w:rFonts w:ascii="宋体" w:hAnsi="宋体" w:cs="宋体"/>
          <w:b/>
          <w:color w:val="auto"/>
          <w:sz w:val="24"/>
        </w:rPr>
      </w:pPr>
    </w:p>
    <w:p w14:paraId="7756CDC6">
      <w:pPr>
        <w:spacing w:line="360" w:lineRule="auto"/>
        <w:rPr>
          <w:rFonts w:ascii="宋体" w:hAnsi="宋体" w:cs="宋体"/>
          <w:b/>
          <w:color w:val="auto"/>
          <w:sz w:val="24"/>
        </w:rPr>
      </w:pPr>
    </w:p>
    <w:p w14:paraId="1DD8651E">
      <w:pPr>
        <w:spacing w:line="360" w:lineRule="auto"/>
        <w:rPr>
          <w:rFonts w:ascii="宋体" w:hAnsi="宋体" w:cs="宋体"/>
          <w:b/>
          <w:color w:val="auto"/>
          <w:sz w:val="24"/>
        </w:rPr>
      </w:pPr>
    </w:p>
    <w:p w14:paraId="0184FDFE">
      <w:pPr>
        <w:spacing w:line="360" w:lineRule="auto"/>
        <w:rPr>
          <w:rFonts w:ascii="宋体" w:hAnsi="宋体" w:cs="宋体"/>
          <w:b/>
          <w:color w:val="auto"/>
          <w:sz w:val="24"/>
        </w:rPr>
      </w:pPr>
    </w:p>
    <w:p w14:paraId="3D47E5F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B214F6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C69F278">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3EB71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8873EE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DB7E8D1">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3C5AD8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EAF478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76147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FD9D06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435E02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068686C">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288AD2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8E51803">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285767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005613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13F00C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EA4C5B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F7FD2A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6CAC47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DC5AC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EF7960B">
      <w:pPr>
        <w:snapToGrid w:val="0"/>
        <w:spacing w:line="360" w:lineRule="auto"/>
        <w:rPr>
          <w:rFonts w:ascii="宋体" w:hAnsi="宋体" w:cs="宋体"/>
          <w:color w:val="auto"/>
          <w:sz w:val="24"/>
        </w:rPr>
      </w:pPr>
      <w:r>
        <w:rPr>
          <w:rFonts w:hint="eastAsia" w:ascii="宋体" w:hAnsi="宋体" w:cs="宋体"/>
          <w:color w:val="auto"/>
          <w:sz w:val="24"/>
        </w:rPr>
        <w:t>……</w:t>
      </w:r>
    </w:p>
    <w:p w14:paraId="06AD985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792CFF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98DA2A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08176C5">
      <w:pPr>
        <w:spacing w:line="360" w:lineRule="auto"/>
        <w:rPr>
          <w:rFonts w:ascii="宋体" w:hAnsi="宋体" w:cs="宋体"/>
          <w:color w:val="auto"/>
          <w:sz w:val="24"/>
        </w:rPr>
      </w:pPr>
      <w:r>
        <w:rPr>
          <w:rFonts w:hint="eastAsia" w:ascii="宋体" w:hAnsi="宋体" w:cs="宋体"/>
          <w:color w:val="auto"/>
          <w:sz w:val="24"/>
        </w:rPr>
        <w:t xml:space="preserve">日期：    </w:t>
      </w:r>
    </w:p>
    <w:p w14:paraId="1A17B805">
      <w:pPr>
        <w:spacing w:line="360" w:lineRule="auto"/>
        <w:jc w:val="center"/>
        <w:rPr>
          <w:rFonts w:ascii="宋体" w:hAnsi="宋体" w:cs="宋体"/>
          <w:b/>
          <w:bCs/>
          <w:color w:val="auto"/>
          <w:sz w:val="24"/>
        </w:rPr>
      </w:pPr>
    </w:p>
    <w:p w14:paraId="4436C060">
      <w:pPr>
        <w:spacing w:line="360" w:lineRule="auto"/>
        <w:rPr>
          <w:rFonts w:ascii="宋体" w:hAnsi="宋体" w:cs="宋体"/>
          <w:b/>
          <w:color w:val="auto"/>
          <w:sz w:val="24"/>
        </w:rPr>
      </w:pPr>
    </w:p>
    <w:p w14:paraId="7FF65070">
      <w:pPr>
        <w:spacing w:line="360" w:lineRule="auto"/>
        <w:rPr>
          <w:rFonts w:ascii="宋体" w:hAnsi="宋体" w:cs="宋体"/>
          <w:b/>
          <w:color w:val="auto"/>
          <w:sz w:val="24"/>
        </w:rPr>
      </w:pPr>
    </w:p>
    <w:p w14:paraId="3E38F7D7">
      <w:pPr>
        <w:spacing w:line="360" w:lineRule="auto"/>
        <w:rPr>
          <w:rFonts w:ascii="宋体" w:hAnsi="宋体" w:cs="宋体"/>
          <w:b/>
          <w:color w:val="auto"/>
          <w:sz w:val="24"/>
        </w:rPr>
      </w:pPr>
    </w:p>
    <w:p w14:paraId="02C573B3">
      <w:pPr>
        <w:spacing w:line="360" w:lineRule="auto"/>
        <w:rPr>
          <w:rFonts w:ascii="宋体" w:hAnsi="宋体" w:cs="宋体"/>
          <w:b/>
          <w:color w:val="auto"/>
          <w:sz w:val="24"/>
        </w:rPr>
      </w:pPr>
      <w:r>
        <w:rPr>
          <w:rFonts w:hint="eastAsia" w:ascii="宋体" w:hAnsi="宋体" w:cs="宋体"/>
          <w:b/>
          <w:color w:val="auto"/>
          <w:sz w:val="24"/>
        </w:rPr>
        <w:t>质疑函制作说明：</w:t>
      </w:r>
    </w:p>
    <w:p w14:paraId="50BD5E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F16E2F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845697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5DFFE0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6308CC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373696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5984B7D">
      <w:pPr>
        <w:widowControl/>
        <w:spacing w:line="360" w:lineRule="auto"/>
        <w:ind w:firstLine="600" w:firstLineChars="200"/>
        <w:jc w:val="left"/>
        <w:rPr>
          <w:rFonts w:ascii="宋体" w:hAnsi="宋体" w:cs="宋体"/>
          <w:color w:val="auto"/>
          <w:sz w:val="30"/>
          <w:szCs w:val="30"/>
        </w:rPr>
      </w:pPr>
    </w:p>
    <w:p w14:paraId="371B4972">
      <w:pPr>
        <w:spacing w:line="360" w:lineRule="auto"/>
        <w:jc w:val="center"/>
        <w:rPr>
          <w:rFonts w:ascii="宋体" w:hAnsi="宋体" w:cs="宋体"/>
          <w:b/>
          <w:color w:val="auto"/>
          <w:spacing w:val="6"/>
          <w:sz w:val="32"/>
          <w:szCs w:val="32"/>
        </w:rPr>
      </w:pPr>
    </w:p>
    <w:p w14:paraId="7B983A2D">
      <w:pPr>
        <w:spacing w:line="360" w:lineRule="auto"/>
        <w:jc w:val="center"/>
        <w:rPr>
          <w:rFonts w:ascii="宋体" w:hAnsi="宋体" w:cs="宋体"/>
          <w:b/>
          <w:color w:val="auto"/>
          <w:spacing w:val="6"/>
          <w:sz w:val="32"/>
          <w:szCs w:val="32"/>
        </w:rPr>
      </w:pPr>
    </w:p>
    <w:p w14:paraId="68ED5944">
      <w:pPr>
        <w:spacing w:line="360" w:lineRule="auto"/>
        <w:jc w:val="center"/>
        <w:rPr>
          <w:rFonts w:ascii="宋体" w:hAnsi="宋体" w:cs="宋体"/>
          <w:b/>
          <w:color w:val="auto"/>
          <w:spacing w:val="6"/>
          <w:sz w:val="32"/>
          <w:szCs w:val="32"/>
        </w:rPr>
      </w:pPr>
    </w:p>
    <w:p w14:paraId="3800819B">
      <w:pPr>
        <w:spacing w:line="360" w:lineRule="auto"/>
        <w:jc w:val="center"/>
        <w:rPr>
          <w:rFonts w:ascii="宋体" w:hAnsi="宋体" w:cs="宋体"/>
          <w:b/>
          <w:color w:val="auto"/>
          <w:spacing w:val="6"/>
          <w:sz w:val="32"/>
          <w:szCs w:val="32"/>
        </w:rPr>
      </w:pPr>
    </w:p>
    <w:p w14:paraId="0E641046">
      <w:pPr>
        <w:spacing w:line="360" w:lineRule="auto"/>
        <w:jc w:val="center"/>
        <w:rPr>
          <w:rFonts w:ascii="宋体" w:hAnsi="宋体" w:cs="宋体"/>
          <w:b/>
          <w:color w:val="auto"/>
          <w:spacing w:val="6"/>
          <w:sz w:val="32"/>
          <w:szCs w:val="32"/>
        </w:rPr>
      </w:pPr>
    </w:p>
    <w:p w14:paraId="3C246575">
      <w:pPr>
        <w:spacing w:line="360" w:lineRule="auto"/>
        <w:jc w:val="center"/>
        <w:rPr>
          <w:rFonts w:ascii="宋体" w:hAnsi="宋体" w:cs="宋体"/>
          <w:b/>
          <w:color w:val="auto"/>
          <w:spacing w:val="6"/>
          <w:sz w:val="32"/>
          <w:szCs w:val="32"/>
        </w:rPr>
      </w:pPr>
    </w:p>
    <w:p w14:paraId="380ADCD2">
      <w:pPr>
        <w:spacing w:line="360" w:lineRule="auto"/>
        <w:jc w:val="center"/>
        <w:rPr>
          <w:rFonts w:ascii="宋体" w:hAnsi="宋体" w:cs="宋体"/>
          <w:b/>
          <w:color w:val="auto"/>
          <w:spacing w:val="6"/>
          <w:sz w:val="32"/>
          <w:szCs w:val="32"/>
        </w:rPr>
      </w:pPr>
    </w:p>
    <w:p w14:paraId="64C601B3">
      <w:pPr>
        <w:spacing w:line="360" w:lineRule="auto"/>
        <w:jc w:val="center"/>
        <w:rPr>
          <w:rFonts w:ascii="宋体" w:hAnsi="宋体" w:cs="宋体"/>
          <w:b/>
          <w:color w:val="auto"/>
          <w:spacing w:val="6"/>
          <w:sz w:val="32"/>
          <w:szCs w:val="32"/>
        </w:rPr>
      </w:pPr>
    </w:p>
    <w:p w14:paraId="5DDE5FF7">
      <w:pPr>
        <w:spacing w:line="360" w:lineRule="auto"/>
        <w:jc w:val="center"/>
        <w:rPr>
          <w:rFonts w:ascii="宋体" w:hAnsi="宋体" w:cs="宋体"/>
          <w:b/>
          <w:color w:val="auto"/>
          <w:spacing w:val="6"/>
          <w:sz w:val="32"/>
          <w:szCs w:val="32"/>
        </w:rPr>
      </w:pPr>
    </w:p>
    <w:p w14:paraId="433D85E4">
      <w:pPr>
        <w:spacing w:line="360" w:lineRule="auto"/>
        <w:jc w:val="center"/>
        <w:rPr>
          <w:rFonts w:ascii="宋体" w:hAnsi="宋体" w:cs="宋体"/>
          <w:b/>
          <w:color w:val="auto"/>
          <w:spacing w:val="6"/>
          <w:sz w:val="32"/>
          <w:szCs w:val="32"/>
        </w:rPr>
      </w:pPr>
    </w:p>
    <w:p w14:paraId="2A1289A4">
      <w:pPr>
        <w:spacing w:line="360" w:lineRule="auto"/>
        <w:jc w:val="center"/>
        <w:rPr>
          <w:rFonts w:ascii="宋体" w:hAnsi="宋体" w:cs="宋体"/>
          <w:b/>
          <w:color w:val="auto"/>
          <w:spacing w:val="6"/>
          <w:sz w:val="32"/>
          <w:szCs w:val="32"/>
        </w:rPr>
      </w:pPr>
    </w:p>
    <w:p w14:paraId="260437C0">
      <w:pPr>
        <w:spacing w:line="360" w:lineRule="auto"/>
        <w:jc w:val="center"/>
        <w:rPr>
          <w:rFonts w:ascii="宋体" w:hAnsi="宋体" w:cs="宋体"/>
          <w:b/>
          <w:color w:val="auto"/>
          <w:spacing w:val="6"/>
          <w:sz w:val="32"/>
          <w:szCs w:val="32"/>
        </w:rPr>
      </w:pPr>
    </w:p>
    <w:p w14:paraId="5F0044CB">
      <w:pPr>
        <w:spacing w:line="360" w:lineRule="auto"/>
        <w:jc w:val="left"/>
        <w:rPr>
          <w:rFonts w:ascii="宋体" w:hAnsi="宋体" w:cs="宋体"/>
          <w:b/>
          <w:color w:val="auto"/>
          <w:spacing w:val="6"/>
          <w:sz w:val="32"/>
          <w:szCs w:val="32"/>
        </w:rPr>
      </w:pPr>
    </w:p>
    <w:p w14:paraId="7BAB8476">
      <w:pPr>
        <w:spacing w:line="360" w:lineRule="auto"/>
        <w:jc w:val="left"/>
        <w:rPr>
          <w:rFonts w:ascii="宋体" w:hAnsi="宋体" w:cs="宋体"/>
          <w:b/>
          <w:color w:val="auto"/>
          <w:spacing w:val="6"/>
          <w:sz w:val="32"/>
          <w:szCs w:val="32"/>
        </w:rPr>
      </w:pPr>
    </w:p>
    <w:p w14:paraId="3E1A094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24E56F1">
      <w:pPr>
        <w:spacing w:line="360" w:lineRule="auto"/>
        <w:jc w:val="center"/>
        <w:rPr>
          <w:rFonts w:ascii="宋体" w:hAnsi="宋体" w:cs="宋体"/>
          <w:b/>
          <w:color w:val="auto"/>
          <w:sz w:val="24"/>
        </w:rPr>
      </w:pPr>
    </w:p>
    <w:p w14:paraId="455A017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493B5C2">
      <w:pPr>
        <w:spacing w:line="360" w:lineRule="auto"/>
        <w:rPr>
          <w:rFonts w:ascii="宋体" w:hAnsi="宋体" w:cs="宋体"/>
          <w:color w:val="auto"/>
          <w:sz w:val="24"/>
        </w:rPr>
      </w:pPr>
      <w:r>
        <w:rPr>
          <w:rFonts w:hint="eastAsia" w:ascii="宋体" w:hAnsi="宋体" w:cs="宋体"/>
          <w:color w:val="auto"/>
          <w:sz w:val="24"/>
        </w:rPr>
        <w:t>一、投诉相关主体基本情况</w:t>
      </w:r>
    </w:p>
    <w:p w14:paraId="2F0046DF">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BBE873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3971CD">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D2D6A2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2E5FD5D">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DE7074">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CB5BAA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6A9023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EB8095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E08D6C">
      <w:pPr>
        <w:spacing w:line="360" w:lineRule="auto"/>
        <w:rPr>
          <w:rFonts w:ascii="宋体" w:hAnsi="宋体" w:cs="宋体"/>
          <w:color w:val="auto"/>
          <w:sz w:val="24"/>
        </w:rPr>
      </w:pPr>
      <w:r>
        <w:rPr>
          <w:rFonts w:hint="eastAsia" w:ascii="宋体" w:hAnsi="宋体" w:cs="宋体"/>
          <w:color w:val="auto"/>
          <w:sz w:val="24"/>
        </w:rPr>
        <w:t>被投诉人2</w:t>
      </w:r>
    </w:p>
    <w:p w14:paraId="31212B22">
      <w:pPr>
        <w:spacing w:line="360" w:lineRule="auto"/>
        <w:rPr>
          <w:rFonts w:ascii="宋体" w:hAnsi="宋体" w:cs="宋体"/>
          <w:color w:val="auto"/>
          <w:sz w:val="24"/>
          <w:u w:val="dotted"/>
        </w:rPr>
      </w:pPr>
      <w:r>
        <w:rPr>
          <w:rFonts w:hint="eastAsia" w:ascii="宋体" w:hAnsi="宋体" w:cs="宋体"/>
          <w:color w:val="auto"/>
          <w:sz w:val="24"/>
        </w:rPr>
        <w:t>……</w:t>
      </w:r>
    </w:p>
    <w:p w14:paraId="0B4B8F7F">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27084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AA837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12080F">
      <w:pPr>
        <w:spacing w:line="360" w:lineRule="auto"/>
        <w:rPr>
          <w:rFonts w:ascii="宋体" w:hAnsi="宋体" w:cs="宋体"/>
          <w:color w:val="auto"/>
          <w:sz w:val="24"/>
        </w:rPr>
      </w:pPr>
      <w:r>
        <w:rPr>
          <w:rFonts w:hint="eastAsia" w:ascii="宋体" w:hAnsi="宋体" w:cs="宋体"/>
          <w:color w:val="auto"/>
          <w:sz w:val="24"/>
        </w:rPr>
        <w:t>二、投诉项目基本情况</w:t>
      </w:r>
    </w:p>
    <w:p w14:paraId="0DB6DDA5">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C2818F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77B5B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B89E7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3B0416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F7D5B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6B21373">
      <w:pPr>
        <w:spacing w:line="360" w:lineRule="auto"/>
        <w:rPr>
          <w:rFonts w:ascii="宋体" w:hAnsi="宋体" w:cs="宋体"/>
          <w:color w:val="auto"/>
          <w:sz w:val="24"/>
        </w:rPr>
      </w:pPr>
      <w:r>
        <w:rPr>
          <w:rFonts w:hint="eastAsia" w:ascii="宋体" w:hAnsi="宋体" w:cs="宋体"/>
          <w:color w:val="auto"/>
          <w:sz w:val="24"/>
        </w:rPr>
        <w:t>三、质疑基本情况</w:t>
      </w:r>
    </w:p>
    <w:p w14:paraId="735C7E29">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7C8AC4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AA0B28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42635E0">
      <w:pPr>
        <w:spacing w:line="360" w:lineRule="auto"/>
        <w:rPr>
          <w:rFonts w:ascii="宋体" w:hAnsi="宋体" w:cs="宋体"/>
          <w:color w:val="auto"/>
          <w:sz w:val="24"/>
        </w:rPr>
      </w:pPr>
      <w:r>
        <w:rPr>
          <w:rFonts w:hint="eastAsia" w:ascii="宋体" w:hAnsi="宋体" w:cs="宋体"/>
          <w:color w:val="auto"/>
          <w:sz w:val="24"/>
        </w:rPr>
        <w:t>四、投诉事项具体内容</w:t>
      </w:r>
    </w:p>
    <w:p w14:paraId="7D517FA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BA0AD83">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3E72E6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FEF3FF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B21BAE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35D796B">
      <w:pPr>
        <w:spacing w:line="360" w:lineRule="auto"/>
        <w:rPr>
          <w:rFonts w:ascii="宋体" w:hAnsi="宋体" w:cs="宋体"/>
          <w:color w:val="auto"/>
          <w:sz w:val="24"/>
        </w:rPr>
      </w:pPr>
      <w:r>
        <w:rPr>
          <w:rFonts w:hint="eastAsia" w:ascii="宋体" w:hAnsi="宋体" w:cs="宋体"/>
          <w:color w:val="auto"/>
          <w:sz w:val="24"/>
        </w:rPr>
        <w:t>投诉事项2</w:t>
      </w:r>
    </w:p>
    <w:p w14:paraId="0B59ED30">
      <w:pPr>
        <w:spacing w:line="360" w:lineRule="auto"/>
        <w:rPr>
          <w:rFonts w:ascii="宋体" w:hAnsi="宋体" w:cs="宋体"/>
          <w:color w:val="auto"/>
          <w:sz w:val="24"/>
          <w:u w:val="dotted"/>
        </w:rPr>
      </w:pPr>
      <w:r>
        <w:rPr>
          <w:rFonts w:hint="eastAsia" w:ascii="宋体" w:hAnsi="宋体" w:cs="宋体"/>
          <w:color w:val="auto"/>
          <w:sz w:val="24"/>
        </w:rPr>
        <w:t>……</w:t>
      </w:r>
    </w:p>
    <w:p w14:paraId="4B4C15E9">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E27B802">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CA7DA4">
      <w:pPr>
        <w:spacing w:line="360" w:lineRule="auto"/>
        <w:rPr>
          <w:rFonts w:ascii="宋体" w:hAnsi="宋体" w:cs="宋体"/>
          <w:color w:val="auto"/>
          <w:sz w:val="24"/>
          <w:u w:val="single"/>
        </w:rPr>
      </w:pPr>
      <w:r>
        <w:rPr>
          <w:rFonts w:hint="eastAsia" w:ascii="宋体" w:hAnsi="宋体" w:cs="宋体"/>
          <w:color w:val="auto"/>
          <w:sz w:val="24"/>
        </w:rPr>
        <w:t xml:space="preserve">                                                                                                    </w:t>
      </w:r>
    </w:p>
    <w:p w14:paraId="6E1E81D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BF9D3B8">
      <w:pPr>
        <w:spacing w:line="360" w:lineRule="auto"/>
        <w:rPr>
          <w:rFonts w:ascii="宋体" w:hAnsi="宋体" w:cs="宋体"/>
          <w:color w:val="auto"/>
          <w:sz w:val="24"/>
        </w:rPr>
      </w:pPr>
      <w:r>
        <w:rPr>
          <w:rFonts w:hint="eastAsia" w:ascii="宋体" w:hAnsi="宋体" w:cs="宋体"/>
          <w:color w:val="auto"/>
          <w:sz w:val="24"/>
        </w:rPr>
        <w:t xml:space="preserve">日期：    </w:t>
      </w:r>
    </w:p>
    <w:p w14:paraId="6A966729">
      <w:pPr>
        <w:spacing w:line="360" w:lineRule="auto"/>
        <w:rPr>
          <w:rFonts w:ascii="宋体" w:hAnsi="宋体" w:cs="宋体"/>
          <w:b/>
          <w:color w:val="auto"/>
          <w:sz w:val="24"/>
        </w:rPr>
      </w:pPr>
    </w:p>
    <w:p w14:paraId="4AF2E74E">
      <w:pPr>
        <w:spacing w:line="360" w:lineRule="auto"/>
        <w:rPr>
          <w:rFonts w:ascii="宋体" w:hAnsi="宋体" w:cs="宋体"/>
          <w:b/>
          <w:color w:val="auto"/>
          <w:sz w:val="24"/>
        </w:rPr>
      </w:pPr>
    </w:p>
    <w:p w14:paraId="73D94922">
      <w:pPr>
        <w:spacing w:line="360" w:lineRule="auto"/>
        <w:rPr>
          <w:rFonts w:ascii="宋体" w:hAnsi="宋体" w:cs="宋体"/>
          <w:b/>
          <w:color w:val="auto"/>
          <w:sz w:val="24"/>
        </w:rPr>
      </w:pPr>
      <w:r>
        <w:rPr>
          <w:rFonts w:hint="eastAsia" w:ascii="宋体" w:hAnsi="宋体" w:cs="宋体"/>
          <w:b/>
          <w:color w:val="auto"/>
          <w:sz w:val="24"/>
        </w:rPr>
        <w:t>投诉书制作说明：</w:t>
      </w:r>
    </w:p>
    <w:p w14:paraId="3E563647">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A97B87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B6BCC6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073231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158DD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353ED3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C3F121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E3968C2">
      <w:pPr>
        <w:spacing w:line="360" w:lineRule="auto"/>
        <w:rPr>
          <w:rFonts w:ascii="宋体" w:hAnsi="宋体" w:cs="宋体"/>
          <w:b/>
          <w:color w:val="auto"/>
          <w:sz w:val="24"/>
        </w:rPr>
      </w:pPr>
    </w:p>
    <w:p w14:paraId="72FBEFF2">
      <w:pPr>
        <w:autoSpaceDE w:val="0"/>
        <w:autoSpaceDN w:val="0"/>
        <w:jc w:val="center"/>
        <w:rPr>
          <w:rFonts w:ascii="宋体" w:hAnsi="宋体" w:cs="宋体"/>
          <w:b/>
          <w:color w:val="auto"/>
          <w:spacing w:val="6"/>
          <w:sz w:val="32"/>
          <w:szCs w:val="32"/>
        </w:rPr>
      </w:pPr>
    </w:p>
    <w:p w14:paraId="3844108C">
      <w:pPr>
        <w:autoSpaceDE w:val="0"/>
        <w:autoSpaceDN w:val="0"/>
        <w:jc w:val="center"/>
        <w:rPr>
          <w:rFonts w:ascii="宋体" w:hAnsi="宋体" w:cs="宋体"/>
          <w:b/>
          <w:color w:val="auto"/>
          <w:spacing w:val="6"/>
          <w:sz w:val="32"/>
          <w:szCs w:val="32"/>
        </w:rPr>
      </w:pPr>
    </w:p>
    <w:p w14:paraId="58EAD54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8888FD4">
      <w:pPr>
        <w:spacing w:line="360" w:lineRule="auto"/>
        <w:rPr>
          <w:rFonts w:ascii="宋体" w:hAnsi="宋体" w:cs="宋体"/>
          <w:color w:val="auto"/>
          <w:sz w:val="24"/>
          <w:u w:val="single"/>
        </w:rPr>
      </w:pPr>
    </w:p>
    <w:p w14:paraId="2F401D2B">
      <w:pPr>
        <w:spacing w:line="360" w:lineRule="auto"/>
        <w:rPr>
          <w:rFonts w:ascii="宋体" w:hAnsi="宋体" w:cs="宋体"/>
          <w:color w:val="auto"/>
          <w:sz w:val="24"/>
        </w:rPr>
      </w:pPr>
      <w:r>
        <w:rPr>
          <w:rFonts w:hint="eastAsia" w:ascii="宋体" w:hAnsi="宋体" w:cs="宋体"/>
          <w:color w:val="auto"/>
          <w:sz w:val="24"/>
          <w:u w:val="single"/>
        </w:rPr>
        <w:t>杭州市综合行政执法队、杭州市公共资源交易中心：</w:t>
      </w:r>
    </w:p>
    <w:p w14:paraId="4D9719F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你方组织的杭州市综合行政执法队物业管理服务采购项目【招标编号：HZZFCG-2025-005】</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081573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DCE365F">
      <w:pPr>
        <w:spacing w:line="360" w:lineRule="auto"/>
        <w:ind w:firstLine="494"/>
        <w:rPr>
          <w:rFonts w:ascii="宋体" w:hAnsi="宋体" w:cs="宋体"/>
          <w:color w:val="auto"/>
          <w:sz w:val="24"/>
        </w:rPr>
      </w:pPr>
    </w:p>
    <w:p w14:paraId="1D3F3483">
      <w:pPr>
        <w:spacing w:line="360" w:lineRule="auto"/>
        <w:ind w:firstLine="494"/>
        <w:rPr>
          <w:rFonts w:ascii="宋体" w:hAnsi="宋体" w:cs="宋体"/>
          <w:color w:val="auto"/>
          <w:sz w:val="24"/>
        </w:rPr>
      </w:pPr>
    </w:p>
    <w:p w14:paraId="72D91F87">
      <w:pPr>
        <w:spacing w:line="360" w:lineRule="auto"/>
        <w:ind w:firstLine="494"/>
        <w:rPr>
          <w:rFonts w:ascii="宋体" w:hAnsi="宋体" w:cs="宋体"/>
          <w:color w:val="auto"/>
          <w:sz w:val="24"/>
        </w:rPr>
      </w:pPr>
    </w:p>
    <w:p w14:paraId="2B3FEE9F">
      <w:pPr>
        <w:spacing w:line="360" w:lineRule="auto"/>
        <w:ind w:firstLine="494"/>
        <w:rPr>
          <w:rFonts w:ascii="宋体" w:hAnsi="宋体" w:cs="宋体"/>
          <w:color w:val="auto"/>
          <w:sz w:val="24"/>
        </w:rPr>
      </w:pPr>
    </w:p>
    <w:p w14:paraId="2F075D2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5C4D36E">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1E8F991">
      <w:pPr>
        <w:rPr>
          <w:rFonts w:ascii="宋体" w:hAnsi="宋体" w:cs="宋体"/>
          <w:color w:val="auto"/>
          <w:sz w:val="24"/>
        </w:rPr>
      </w:pPr>
      <w:r>
        <w:rPr>
          <w:rFonts w:hint="eastAsia" w:ascii="宋体" w:hAnsi="宋体" w:cs="宋体"/>
          <w:b/>
          <w:bCs/>
          <w:color w:val="auto"/>
          <w:sz w:val="24"/>
        </w:rPr>
        <w:t>附：</w:t>
      </w:r>
    </w:p>
    <w:p w14:paraId="75F4796A">
      <w:pPr>
        <w:spacing w:line="360" w:lineRule="auto"/>
        <w:rPr>
          <w:rFonts w:ascii="宋体" w:hAnsi="宋体" w:cs="宋体"/>
          <w:bCs/>
          <w:color w:val="auto"/>
          <w:sz w:val="24"/>
        </w:rPr>
      </w:pPr>
      <w:r>
        <w:rPr>
          <w:rFonts w:ascii="宋体" w:hAnsi="宋体" w:cs="宋体"/>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rPr>
        <w:t>投标单位法定名称章（印模）                投标单位“XX专用章”（印模）</w:t>
      </w:r>
    </w:p>
    <w:p w14:paraId="3E4FD824">
      <w:pPr>
        <w:autoSpaceDE w:val="0"/>
        <w:autoSpaceDN w:val="0"/>
        <w:jc w:val="center"/>
        <w:rPr>
          <w:rFonts w:ascii="宋体" w:hAnsi="宋体" w:cs="宋体"/>
          <w:b/>
          <w:color w:val="auto"/>
          <w:spacing w:val="6"/>
          <w:sz w:val="32"/>
          <w:szCs w:val="32"/>
        </w:rPr>
      </w:pPr>
    </w:p>
    <w:p w14:paraId="73DDE8EA">
      <w:pPr>
        <w:autoSpaceDE w:val="0"/>
        <w:autoSpaceDN w:val="0"/>
        <w:jc w:val="center"/>
        <w:rPr>
          <w:rFonts w:ascii="宋体" w:hAnsi="宋体" w:cs="宋体"/>
          <w:b/>
          <w:color w:val="auto"/>
          <w:spacing w:val="6"/>
          <w:sz w:val="32"/>
          <w:szCs w:val="32"/>
        </w:rPr>
      </w:pPr>
    </w:p>
    <w:p w14:paraId="35283174">
      <w:pPr>
        <w:autoSpaceDE w:val="0"/>
        <w:autoSpaceDN w:val="0"/>
        <w:jc w:val="center"/>
        <w:rPr>
          <w:rFonts w:ascii="宋体" w:hAnsi="宋体" w:cs="宋体"/>
          <w:b/>
          <w:color w:val="auto"/>
          <w:spacing w:val="6"/>
          <w:sz w:val="32"/>
          <w:szCs w:val="32"/>
        </w:rPr>
      </w:pPr>
    </w:p>
    <w:p w14:paraId="0723175B">
      <w:pPr>
        <w:autoSpaceDE w:val="0"/>
        <w:autoSpaceDN w:val="0"/>
        <w:jc w:val="center"/>
        <w:rPr>
          <w:rFonts w:ascii="宋体" w:hAnsi="宋体" w:cs="宋体"/>
          <w:b/>
          <w:color w:val="auto"/>
          <w:spacing w:val="6"/>
          <w:sz w:val="32"/>
          <w:szCs w:val="32"/>
        </w:rPr>
      </w:pPr>
    </w:p>
    <w:p w14:paraId="4E950034">
      <w:pPr>
        <w:autoSpaceDE w:val="0"/>
        <w:autoSpaceDN w:val="0"/>
        <w:jc w:val="center"/>
        <w:rPr>
          <w:rFonts w:ascii="宋体" w:hAnsi="宋体" w:cs="宋体"/>
          <w:b/>
          <w:color w:val="auto"/>
          <w:spacing w:val="6"/>
          <w:sz w:val="32"/>
          <w:szCs w:val="32"/>
        </w:rPr>
      </w:pPr>
    </w:p>
    <w:p w14:paraId="20BF9614">
      <w:pPr>
        <w:autoSpaceDE w:val="0"/>
        <w:autoSpaceDN w:val="0"/>
        <w:jc w:val="center"/>
        <w:rPr>
          <w:rFonts w:ascii="宋体" w:hAnsi="宋体" w:cs="宋体"/>
          <w:b/>
          <w:color w:val="auto"/>
          <w:spacing w:val="6"/>
          <w:sz w:val="32"/>
          <w:szCs w:val="32"/>
        </w:rPr>
      </w:pPr>
    </w:p>
    <w:p w14:paraId="548C6B9D">
      <w:pPr>
        <w:autoSpaceDE w:val="0"/>
        <w:autoSpaceDN w:val="0"/>
        <w:jc w:val="center"/>
        <w:rPr>
          <w:rFonts w:ascii="宋体" w:hAnsi="宋体" w:cs="宋体"/>
          <w:b/>
          <w:color w:val="auto"/>
          <w:spacing w:val="6"/>
          <w:sz w:val="32"/>
          <w:szCs w:val="32"/>
        </w:rPr>
      </w:pPr>
    </w:p>
    <w:p w14:paraId="287D2B67">
      <w:pPr>
        <w:autoSpaceDE w:val="0"/>
        <w:autoSpaceDN w:val="0"/>
        <w:jc w:val="center"/>
        <w:rPr>
          <w:rFonts w:ascii="宋体" w:hAnsi="宋体" w:cs="宋体"/>
          <w:b/>
          <w:color w:val="auto"/>
          <w:spacing w:val="6"/>
          <w:sz w:val="32"/>
          <w:szCs w:val="32"/>
        </w:rPr>
      </w:pPr>
    </w:p>
    <w:p w14:paraId="1B758FD8">
      <w:pPr>
        <w:autoSpaceDE w:val="0"/>
        <w:autoSpaceDN w:val="0"/>
        <w:jc w:val="center"/>
        <w:rPr>
          <w:rFonts w:ascii="宋体" w:hAnsi="宋体" w:cs="宋体"/>
          <w:b/>
          <w:color w:val="auto"/>
          <w:spacing w:val="6"/>
          <w:sz w:val="32"/>
          <w:szCs w:val="32"/>
        </w:rPr>
      </w:pPr>
    </w:p>
    <w:p w14:paraId="3A5EC6F5">
      <w:pPr>
        <w:autoSpaceDE w:val="0"/>
        <w:autoSpaceDN w:val="0"/>
        <w:jc w:val="center"/>
        <w:rPr>
          <w:rFonts w:ascii="宋体" w:hAnsi="宋体" w:cs="宋体"/>
          <w:b/>
          <w:color w:val="auto"/>
          <w:spacing w:val="6"/>
          <w:sz w:val="32"/>
          <w:szCs w:val="32"/>
        </w:rPr>
      </w:pPr>
    </w:p>
    <w:p w14:paraId="5FF96672">
      <w:pPr>
        <w:autoSpaceDE w:val="0"/>
        <w:autoSpaceDN w:val="0"/>
        <w:jc w:val="center"/>
        <w:rPr>
          <w:rFonts w:ascii="宋体" w:hAnsi="宋体" w:cs="宋体"/>
          <w:b/>
          <w:color w:val="auto"/>
          <w:spacing w:val="6"/>
          <w:sz w:val="32"/>
          <w:szCs w:val="32"/>
        </w:rPr>
      </w:pPr>
    </w:p>
    <w:p w14:paraId="7DF4FC25">
      <w:pPr>
        <w:autoSpaceDE w:val="0"/>
        <w:autoSpaceDN w:val="0"/>
        <w:jc w:val="center"/>
        <w:rPr>
          <w:rFonts w:ascii="宋体" w:hAnsi="宋体" w:cs="宋体"/>
          <w:b/>
          <w:color w:val="auto"/>
          <w:spacing w:val="6"/>
          <w:sz w:val="32"/>
          <w:szCs w:val="32"/>
        </w:rPr>
      </w:pPr>
    </w:p>
    <w:p w14:paraId="3C10F8F9">
      <w:pPr>
        <w:autoSpaceDE w:val="0"/>
        <w:autoSpaceDN w:val="0"/>
        <w:jc w:val="center"/>
        <w:rPr>
          <w:rFonts w:ascii="宋体" w:hAnsi="宋体" w:cs="宋体"/>
          <w:b/>
          <w:color w:val="auto"/>
          <w:spacing w:val="6"/>
          <w:sz w:val="32"/>
          <w:szCs w:val="32"/>
        </w:rPr>
      </w:pPr>
    </w:p>
    <w:p w14:paraId="7CD00119">
      <w:pPr>
        <w:autoSpaceDE w:val="0"/>
        <w:autoSpaceDN w:val="0"/>
        <w:jc w:val="center"/>
        <w:rPr>
          <w:rFonts w:ascii="宋体" w:hAnsi="宋体" w:cs="宋体"/>
          <w:b/>
          <w:color w:val="auto"/>
          <w:spacing w:val="6"/>
          <w:sz w:val="32"/>
          <w:szCs w:val="32"/>
        </w:rPr>
      </w:pPr>
    </w:p>
    <w:p w14:paraId="3A74559F">
      <w:pPr>
        <w:autoSpaceDE w:val="0"/>
        <w:autoSpaceDN w:val="0"/>
        <w:jc w:val="center"/>
        <w:rPr>
          <w:rFonts w:ascii="宋体" w:hAnsi="宋体" w:cs="宋体"/>
          <w:b/>
          <w:color w:val="auto"/>
          <w:spacing w:val="6"/>
          <w:sz w:val="32"/>
          <w:szCs w:val="32"/>
        </w:rPr>
      </w:pPr>
    </w:p>
    <w:p w14:paraId="22A9C285">
      <w:pPr>
        <w:autoSpaceDE w:val="0"/>
        <w:autoSpaceDN w:val="0"/>
        <w:jc w:val="center"/>
        <w:rPr>
          <w:rFonts w:ascii="宋体" w:hAnsi="宋体" w:cs="宋体"/>
          <w:b/>
          <w:color w:val="auto"/>
          <w:spacing w:val="6"/>
          <w:sz w:val="32"/>
          <w:szCs w:val="32"/>
        </w:rPr>
      </w:pPr>
    </w:p>
    <w:p w14:paraId="2A52201F">
      <w:pPr>
        <w:autoSpaceDE w:val="0"/>
        <w:autoSpaceDN w:val="0"/>
        <w:jc w:val="center"/>
        <w:rPr>
          <w:rFonts w:ascii="宋体" w:hAnsi="宋体" w:cs="宋体"/>
          <w:b/>
          <w:color w:val="auto"/>
          <w:spacing w:val="6"/>
          <w:sz w:val="32"/>
          <w:szCs w:val="32"/>
        </w:rPr>
      </w:pPr>
    </w:p>
    <w:p w14:paraId="0C11E2AC">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3F7E33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A57DA1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杭州市综合行政执法队物业管理服务采购项目【招标编号：HZZFCG-2025-005】</w:t>
      </w:r>
      <w:r>
        <w:rPr>
          <w:rFonts w:hint="eastAsia" w:ascii="宋体" w:hAnsi="宋体" w:cs="宋体"/>
          <w:color w:val="auto"/>
          <w:kern w:val="0"/>
          <w:sz w:val="24"/>
          <w:lang w:val="zh-CN"/>
        </w:rPr>
        <w:t xml:space="preserve">投标。 </w:t>
      </w:r>
    </w:p>
    <w:p w14:paraId="2CE471E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E167F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w:t>
      </w:r>
      <w:r>
        <w:rPr>
          <w:rFonts w:hint="eastAsia" w:ascii="宋体" w:hAnsi="宋体" w:cs="宋体"/>
          <w:color w:val="auto"/>
          <w:kern w:val="0"/>
          <w:sz w:val="24"/>
        </w:rPr>
        <w:t>响</w:t>
      </w:r>
      <w:r>
        <w:rPr>
          <w:rFonts w:hint="eastAsia" w:ascii="宋体" w:hAnsi="宋体" w:cs="宋体"/>
          <w:color w:val="auto"/>
          <w:kern w:val="0"/>
          <w:sz w:val="24"/>
          <w:lang w:val="zh-CN"/>
        </w:rPr>
        <w:t>应等均对联合投标各方产生约束力。</w:t>
      </w:r>
    </w:p>
    <w:p w14:paraId="044CAE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w:t>
      </w:r>
      <w:r>
        <w:rPr>
          <w:rFonts w:hint="eastAsia" w:ascii="宋体" w:hAnsi="宋体" w:cs="宋体"/>
          <w:color w:val="auto"/>
          <w:kern w:val="0"/>
          <w:sz w:val="24"/>
        </w:rPr>
        <w:t>所有联合体成员</w:t>
      </w:r>
      <w:r>
        <w:rPr>
          <w:rFonts w:hint="eastAsia" w:ascii="宋体" w:hAnsi="宋体" w:cs="宋体"/>
          <w:color w:val="auto"/>
          <w:kern w:val="0"/>
          <w:sz w:val="24"/>
          <w:lang w:val="zh-CN"/>
        </w:rPr>
        <w:t>分工如下：</w:t>
      </w:r>
    </w:p>
    <w:p w14:paraId="588239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（联合体成员1名称）</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83B4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名称）</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A5659F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E8670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CCE5E71">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10"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1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11"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11"/>
      <w:r>
        <w:rPr>
          <w:rFonts w:hint="eastAsia" w:ascii="宋体" w:hAnsi="宋体" w:cs="宋体"/>
          <w:b/>
          <w:color w:val="auto"/>
          <w:kern w:val="0"/>
          <w:sz w:val="24"/>
          <w:lang w:val="zh-CN"/>
        </w:rPr>
        <w:t>）</w:t>
      </w:r>
    </w:p>
    <w:p w14:paraId="7946F23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12"/>
    </w:p>
    <w:p w14:paraId="59B80B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0A25A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9BF96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78147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C5111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5552660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BA9EA4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7988C3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D356A9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B12484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5742AEE">
      <w:pPr>
        <w:autoSpaceDE w:val="0"/>
        <w:autoSpaceDN w:val="0"/>
        <w:jc w:val="center"/>
        <w:rPr>
          <w:rFonts w:ascii="宋体" w:hAnsi="宋体" w:cs="宋体"/>
          <w:b/>
          <w:color w:val="auto"/>
          <w:spacing w:val="6"/>
          <w:sz w:val="32"/>
          <w:szCs w:val="32"/>
        </w:rPr>
      </w:pPr>
    </w:p>
    <w:p w14:paraId="1452DDD7">
      <w:pPr>
        <w:autoSpaceDE w:val="0"/>
        <w:autoSpaceDN w:val="0"/>
        <w:jc w:val="center"/>
        <w:rPr>
          <w:rFonts w:ascii="宋体" w:hAnsi="宋体" w:cs="宋体"/>
          <w:b/>
          <w:color w:val="auto"/>
          <w:spacing w:val="6"/>
          <w:sz w:val="32"/>
          <w:szCs w:val="32"/>
        </w:rPr>
      </w:pPr>
    </w:p>
    <w:p w14:paraId="7AEA445B">
      <w:pPr>
        <w:autoSpaceDE w:val="0"/>
        <w:autoSpaceDN w:val="0"/>
        <w:jc w:val="center"/>
        <w:rPr>
          <w:rFonts w:ascii="宋体" w:hAnsi="宋体" w:cs="宋体"/>
          <w:b/>
          <w:color w:val="auto"/>
          <w:spacing w:val="6"/>
          <w:sz w:val="32"/>
          <w:szCs w:val="32"/>
        </w:rPr>
      </w:pPr>
    </w:p>
    <w:p w14:paraId="0030790F">
      <w:pPr>
        <w:autoSpaceDE w:val="0"/>
        <w:autoSpaceDN w:val="0"/>
        <w:jc w:val="center"/>
        <w:rPr>
          <w:rFonts w:ascii="宋体" w:hAnsi="宋体" w:cs="宋体"/>
          <w:b/>
          <w:color w:val="auto"/>
          <w:spacing w:val="6"/>
          <w:sz w:val="32"/>
          <w:szCs w:val="32"/>
        </w:rPr>
      </w:pPr>
    </w:p>
    <w:p w14:paraId="749880C7">
      <w:pPr>
        <w:autoSpaceDE w:val="0"/>
        <w:autoSpaceDN w:val="0"/>
        <w:jc w:val="center"/>
        <w:rPr>
          <w:rFonts w:ascii="宋体" w:hAnsi="宋体" w:cs="宋体"/>
          <w:b/>
          <w:color w:val="auto"/>
          <w:spacing w:val="6"/>
          <w:sz w:val="32"/>
          <w:szCs w:val="32"/>
        </w:rPr>
      </w:pPr>
    </w:p>
    <w:p w14:paraId="3D136108">
      <w:pPr>
        <w:autoSpaceDE w:val="0"/>
        <w:autoSpaceDN w:val="0"/>
        <w:jc w:val="center"/>
        <w:rPr>
          <w:rFonts w:ascii="宋体" w:hAnsi="宋体" w:cs="宋体"/>
          <w:b/>
          <w:color w:val="auto"/>
          <w:spacing w:val="6"/>
          <w:sz w:val="32"/>
          <w:szCs w:val="32"/>
        </w:rPr>
      </w:pPr>
    </w:p>
    <w:p w14:paraId="7A35321F">
      <w:pPr>
        <w:autoSpaceDE w:val="0"/>
        <w:autoSpaceDN w:val="0"/>
        <w:jc w:val="center"/>
        <w:rPr>
          <w:rFonts w:ascii="宋体" w:hAnsi="宋体" w:cs="宋体"/>
          <w:b/>
          <w:color w:val="auto"/>
          <w:spacing w:val="6"/>
          <w:sz w:val="32"/>
          <w:szCs w:val="32"/>
        </w:rPr>
      </w:pPr>
    </w:p>
    <w:p w14:paraId="0C6DD532">
      <w:pPr>
        <w:autoSpaceDE w:val="0"/>
        <w:autoSpaceDN w:val="0"/>
        <w:jc w:val="center"/>
        <w:rPr>
          <w:rFonts w:ascii="宋体" w:hAnsi="宋体" w:cs="宋体"/>
          <w:b/>
          <w:color w:val="auto"/>
          <w:spacing w:val="6"/>
          <w:sz w:val="32"/>
          <w:szCs w:val="32"/>
        </w:rPr>
      </w:pPr>
    </w:p>
    <w:p w14:paraId="11D69FA5">
      <w:pPr>
        <w:autoSpaceDE w:val="0"/>
        <w:autoSpaceDN w:val="0"/>
        <w:jc w:val="center"/>
        <w:rPr>
          <w:rFonts w:ascii="宋体" w:hAnsi="宋体" w:cs="宋体"/>
          <w:b/>
          <w:color w:val="auto"/>
          <w:spacing w:val="6"/>
          <w:sz w:val="32"/>
          <w:szCs w:val="32"/>
        </w:rPr>
      </w:pPr>
    </w:p>
    <w:p w14:paraId="5CD6CFC3">
      <w:pPr>
        <w:autoSpaceDE w:val="0"/>
        <w:autoSpaceDN w:val="0"/>
        <w:jc w:val="center"/>
        <w:rPr>
          <w:rFonts w:ascii="宋体" w:hAnsi="宋体" w:cs="宋体"/>
          <w:b/>
          <w:color w:val="auto"/>
          <w:spacing w:val="6"/>
          <w:sz w:val="32"/>
          <w:szCs w:val="32"/>
        </w:rPr>
      </w:pPr>
    </w:p>
    <w:p w14:paraId="06EFF620">
      <w:pPr>
        <w:autoSpaceDE w:val="0"/>
        <w:autoSpaceDN w:val="0"/>
        <w:jc w:val="center"/>
        <w:rPr>
          <w:rFonts w:ascii="宋体" w:hAnsi="宋体" w:cs="宋体"/>
          <w:b/>
          <w:color w:val="auto"/>
          <w:spacing w:val="6"/>
          <w:sz w:val="32"/>
          <w:szCs w:val="32"/>
        </w:rPr>
      </w:pPr>
    </w:p>
    <w:p w14:paraId="1F8DA819">
      <w:pPr>
        <w:autoSpaceDE w:val="0"/>
        <w:autoSpaceDN w:val="0"/>
        <w:jc w:val="center"/>
        <w:rPr>
          <w:rFonts w:ascii="宋体" w:hAnsi="宋体" w:cs="宋体"/>
          <w:b/>
          <w:color w:val="auto"/>
          <w:spacing w:val="6"/>
          <w:sz w:val="32"/>
          <w:szCs w:val="32"/>
        </w:rPr>
      </w:pPr>
    </w:p>
    <w:p w14:paraId="76236BDA">
      <w:pPr>
        <w:autoSpaceDE w:val="0"/>
        <w:autoSpaceDN w:val="0"/>
        <w:jc w:val="center"/>
        <w:rPr>
          <w:rFonts w:ascii="宋体" w:hAnsi="宋体" w:cs="宋体"/>
          <w:b/>
          <w:color w:val="auto"/>
          <w:spacing w:val="6"/>
          <w:sz w:val="32"/>
          <w:szCs w:val="32"/>
        </w:rPr>
      </w:pPr>
    </w:p>
    <w:p w14:paraId="26CC0DFC">
      <w:pPr>
        <w:autoSpaceDE w:val="0"/>
        <w:autoSpaceDN w:val="0"/>
        <w:jc w:val="center"/>
        <w:rPr>
          <w:rFonts w:ascii="宋体" w:hAnsi="宋体" w:cs="宋体"/>
          <w:b/>
          <w:color w:val="auto"/>
          <w:spacing w:val="6"/>
          <w:sz w:val="32"/>
          <w:szCs w:val="32"/>
        </w:rPr>
      </w:pPr>
    </w:p>
    <w:p w14:paraId="3BBA271E">
      <w:pPr>
        <w:autoSpaceDE w:val="0"/>
        <w:autoSpaceDN w:val="0"/>
        <w:jc w:val="center"/>
        <w:rPr>
          <w:rFonts w:ascii="宋体" w:hAnsi="宋体" w:cs="宋体"/>
          <w:b/>
          <w:color w:val="auto"/>
          <w:spacing w:val="6"/>
          <w:sz w:val="32"/>
          <w:szCs w:val="32"/>
        </w:rPr>
      </w:pPr>
    </w:p>
    <w:p w14:paraId="31CA1408">
      <w:pPr>
        <w:autoSpaceDE w:val="0"/>
        <w:autoSpaceDN w:val="0"/>
        <w:jc w:val="center"/>
        <w:rPr>
          <w:rFonts w:ascii="宋体" w:hAnsi="宋体" w:cs="宋体"/>
          <w:b/>
          <w:color w:val="auto"/>
          <w:spacing w:val="6"/>
          <w:sz w:val="32"/>
          <w:szCs w:val="32"/>
        </w:rPr>
      </w:pPr>
    </w:p>
    <w:p w14:paraId="55FE3F25">
      <w:pPr>
        <w:autoSpaceDE w:val="0"/>
        <w:autoSpaceDN w:val="0"/>
        <w:jc w:val="center"/>
        <w:rPr>
          <w:rFonts w:ascii="宋体" w:hAnsi="宋体" w:cs="宋体"/>
          <w:b/>
          <w:color w:val="auto"/>
          <w:spacing w:val="6"/>
          <w:sz w:val="32"/>
          <w:szCs w:val="32"/>
        </w:rPr>
      </w:pPr>
    </w:p>
    <w:p w14:paraId="752C8687">
      <w:pPr>
        <w:autoSpaceDE w:val="0"/>
        <w:autoSpaceDN w:val="0"/>
        <w:jc w:val="center"/>
        <w:rPr>
          <w:rFonts w:ascii="宋体" w:hAnsi="宋体" w:cs="宋体"/>
          <w:b/>
          <w:color w:val="auto"/>
          <w:spacing w:val="6"/>
          <w:sz w:val="32"/>
          <w:szCs w:val="32"/>
        </w:rPr>
      </w:pPr>
    </w:p>
    <w:p w14:paraId="1C92C67E">
      <w:pPr>
        <w:autoSpaceDE w:val="0"/>
        <w:autoSpaceDN w:val="0"/>
        <w:jc w:val="center"/>
        <w:rPr>
          <w:rFonts w:ascii="宋体" w:hAnsi="宋体" w:cs="宋体"/>
          <w:b/>
          <w:color w:val="auto"/>
          <w:spacing w:val="6"/>
          <w:sz w:val="32"/>
          <w:szCs w:val="32"/>
        </w:rPr>
      </w:pPr>
    </w:p>
    <w:p w14:paraId="4D1A7959">
      <w:pPr>
        <w:autoSpaceDE w:val="0"/>
        <w:autoSpaceDN w:val="0"/>
        <w:jc w:val="center"/>
        <w:rPr>
          <w:rFonts w:ascii="宋体" w:hAnsi="宋体" w:cs="宋体"/>
          <w:b/>
          <w:color w:val="auto"/>
          <w:spacing w:val="6"/>
          <w:sz w:val="32"/>
          <w:szCs w:val="32"/>
        </w:rPr>
      </w:pPr>
    </w:p>
    <w:p w14:paraId="2AB9CDEF">
      <w:pPr>
        <w:autoSpaceDE w:val="0"/>
        <w:autoSpaceDN w:val="0"/>
        <w:jc w:val="center"/>
        <w:rPr>
          <w:rFonts w:ascii="宋体" w:hAnsi="宋体" w:cs="宋体"/>
          <w:b/>
          <w:color w:val="auto"/>
          <w:spacing w:val="6"/>
          <w:sz w:val="32"/>
          <w:szCs w:val="32"/>
        </w:rPr>
      </w:pPr>
    </w:p>
    <w:p w14:paraId="68A8FE99">
      <w:pPr>
        <w:autoSpaceDE w:val="0"/>
        <w:autoSpaceDN w:val="0"/>
        <w:jc w:val="center"/>
        <w:rPr>
          <w:rFonts w:ascii="宋体" w:hAnsi="宋体" w:cs="宋体"/>
          <w:b/>
          <w:color w:val="auto"/>
          <w:spacing w:val="6"/>
          <w:sz w:val="32"/>
          <w:szCs w:val="32"/>
        </w:rPr>
      </w:pPr>
    </w:p>
    <w:p w14:paraId="520429DF">
      <w:pPr>
        <w:autoSpaceDE w:val="0"/>
        <w:autoSpaceDN w:val="0"/>
        <w:jc w:val="center"/>
        <w:rPr>
          <w:rFonts w:ascii="宋体" w:hAnsi="宋体" w:cs="宋体"/>
          <w:b/>
          <w:color w:val="auto"/>
          <w:spacing w:val="6"/>
          <w:sz w:val="32"/>
          <w:szCs w:val="32"/>
        </w:rPr>
      </w:pPr>
    </w:p>
    <w:p w14:paraId="4A1EF8B2">
      <w:pPr>
        <w:snapToGrid w:val="0"/>
        <w:spacing w:line="360" w:lineRule="auto"/>
        <w:ind w:firstLine="3666" w:firstLineChars="1100"/>
        <w:rPr>
          <w:rFonts w:ascii="宋体" w:hAnsi="宋体" w:cs="宋体"/>
          <w:b/>
          <w:color w:val="auto"/>
          <w:spacing w:val="6"/>
          <w:sz w:val="32"/>
          <w:szCs w:val="32"/>
        </w:rPr>
      </w:pPr>
    </w:p>
    <w:p w14:paraId="73C37FB5">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C52386F">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450644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5C625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杭州市综合行政执法队物业管理服务采购项目【招标编号：HZZFCG-2025-005】</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B0518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w:t>
      </w:r>
      <w:r>
        <w:rPr>
          <w:rFonts w:hint="eastAsia" w:ascii="宋体" w:hAnsi="宋体" w:cs="宋体"/>
          <w:color w:val="auto"/>
          <w:kern w:val="0"/>
          <w:sz w:val="24"/>
          <w:u w:val="single"/>
          <w:lang w:val="zh-CN"/>
        </w:rPr>
        <w:t>（投标人名称）</w:t>
      </w:r>
      <w:r>
        <w:rPr>
          <w:rFonts w:hint="eastAsia" w:ascii="宋体" w:hAnsi="宋体" w:cs="宋体"/>
          <w:color w:val="auto"/>
          <w:kern w:val="0"/>
          <w:sz w:val="24"/>
          <w:lang w:val="zh-CN"/>
        </w:rPr>
        <w:t>将工作分包如下：</w:t>
      </w:r>
      <w:r>
        <w:rPr>
          <w:rFonts w:hint="eastAsia" w:ascii="宋体" w:hAnsi="宋体" w:cs="宋体"/>
          <w:b/>
          <w:bCs/>
          <w:i/>
          <w:iCs/>
          <w:color w:val="auto"/>
          <w:kern w:val="0"/>
          <w:sz w:val="24"/>
          <w:lang w:val="zh-CN"/>
        </w:rPr>
        <w:t>（注：投标人只能将招标文件第二部分中“前附表”的“分包”规定的工作进行分包）</w:t>
      </w:r>
    </w:p>
    <w:p w14:paraId="11E1AD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p>
    <w:p w14:paraId="62709A47">
      <w:pPr>
        <w:snapToGrid w:val="0"/>
        <w:spacing w:line="360" w:lineRule="auto"/>
        <w:ind w:firstLine="576"/>
        <w:rPr>
          <w:rFonts w:ascii="宋体" w:hAnsi="宋体" w:cs="宋体"/>
          <w:color w:val="auto"/>
          <w:kern w:val="0"/>
          <w:sz w:val="24"/>
          <w:u w:val="single"/>
        </w:rPr>
      </w:pP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（分包供应商2名称）；</w:t>
      </w:r>
    </w:p>
    <w:p w14:paraId="331AC5B5">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4E304AA">
      <w:pPr>
        <w:tabs>
          <w:tab w:val="left" w:pos="432"/>
        </w:tabs>
        <w:snapToGrid w:val="0"/>
        <w:ind w:left="664" w:leftChars="316" w:firstLine="228" w:firstLineChars="95"/>
        <w:rPr>
          <w:rFonts w:ascii="宋体" w:hAnsi="宋体" w:cs="宋体"/>
          <w:color w:val="auto"/>
          <w:kern w:val="0"/>
          <w:sz w:val="24"/>
        </w:rPr>
      </w:pPr>
      <w:r>
        <w:rPr>
          <w:rFonts w:hint="eastAsia" w:ascii="宋体" w:hAnsi="宋体" w:cs="宋体"/>
          <w:color w:val="auto"/>
          <w:kern w:val="0"/>
          <w:sz w:val="24"/>
        </w:rPr>
        <w:t>以上分包供应商</w:t>
      </w:r>
      <w:r>
        <w:rPr>
          <w:rFonts w:hint="eastAsia" w:ascii="宋体" w:hAnsi="宋体" w:cs="宋体"/>
          <w:color w:val="auto"/>
          <w:kern w:val="0"/>
          <w:sz w:val="24"/>
          <w:lang w:val="zh-CN"/>
        </w:rPr>
        <w:t>具备所承</w:t>
      </w:r>
      <w:r>
        <w:rPr>
          <w:rFonts w:hint="eastAsia" w:ascii="宋体" w:hAnsi="宋体" w:cs="宋体"/>
          <w:color w:val="auto"/>
          <w:kern w:val="0"/>
          <w:sz w:val="24"/>
        </w:rPr>
        <w:t>担</w:t>
      </w:r>
      <w:r>
        <w:rPr>
          <w:rFonts w:hint="eastAsia" w:ascii="宋体" w:hAnsi="宋体" w:cs="宋体"/>
          <w:color w:val="auto"/>
          <w:kern w:val="0"/>
          <w:sz w:val="24"/>
          <w:lang w:val="zh-CN"/>
        </w:rPr>
        <w:t>分包工作内容相应的资质条件且不得再次分包。</w:t>
      </w:r>
    </w:p>
    <w:p w14:paraId="2B3581F8">
      <w:pPr>
        <w:pStyle w:val="2"/>
        <w:ind w:left="664" w:leftChars="316" w:firstLine="305" w:firstLineChars="95"/>
        <w:rPr>
          <w:color w:val="auto"/>
        </w:rPr>
      </w:pPr>
    </w:p>
    <w:p w14:paraId="71B6E3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D5675DE">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A58E8D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64B4E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EA31C7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E04800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316B35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5E3DA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7D969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E7DEF5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6DDDC2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82BB4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4E4C55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6CB9A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36F69F0B">
      <w:pPr>
        <w:snapToGrid w:val="0"/>
        <w:spacing w:line="360" w:lineRule="auto"/>
        <w:ind w:left="5128" w:leftChars="342" w:hanging="4410" w:hangingChars="2100"/>
        <w:rPr>
          <w:rFonts w:ascii="宋体" w:hAnsi="宋体" w:cs="宋体"/>
          <w:color w:val="auto"/>
          <w:kern w:val="0"/>
          <w:sz w:val="24"/>
          <w:lang w:val="zh-CN"/>
        </w:rPr>
      </w:pPr>
      <w:r>
        <w:rPr>
          <w:rFonts w:hint="eastAsia" w:ascii="宋体" w:hAnsi="宋体" w:cs="宋体"/>
          <w:color w:val="auto"/>
          <w:u w:val="single"/>
        </w:rPr>
        <w:t xml:space="preserve">                                                                                 </w:t>
      </w:r>
      <w:r>
        <w:rPr>
          <w:rFonts w:hint="eastAsia" w:ascii="宋体" w:hAnsi="宋体" w:cs="宋体"/>
          <w:color w:val="auto"/>
          <w:kern w:val="0"/>
          <w:sz w:val="24"/>
          <w:lang w:val="zh-CN"/>
        </w:rPr>
        <w:t xml:space="preserve">                                          投标人名称(电子签名)：</w:t>
      </w:r>
    </w:p>
    <w:p w14:paraId="540411B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C4DA23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188157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705C9A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8042443">
      <w:pPr>
        <w:autoSpaceDE w:val="0"/>
        <w:autoSpaceDN w:val="0"/>
        <w:jc w:val="center"/>
        <w:rPr>
          <w:rFonts w:ascii="宋体" w:hAnsi="宋体" w:cs="宋体"/>
          <w:b/>
          <w:color w:val="auto"/>
          <w:spacing w:val="6"/>
          <w:sz w:val="32"/>
          <w:szCs w:val="32"/>
        </w:rPr>
      </w:pPr>
    </w:p>
    <w:p w14:paraId="77B86CEB">
      <w:pPr>
        <w:autoSpaceDE w:val="0"/>
        <w:autoSpaceDN w:val="0"/>
        <w:jc w:val="center"/>
        <w:rPr>
          <w:rFonts w:ascii="宋体" w:hAnsi="宋体" w:cs="宋体"/>
          <w:b/>
          <w:color w:val="auto"/>
          <w:spacing w:val="6"/>
          <w:sz w:val="32"/>
          <w:szCs w:val="32"/>
        </w:rPr>
      </w:pPr>
    </w:p>
    <w:p w14:paraId="2B488636">
      <w:pPr>
        <w:autoSpaceDE w:val="0"/>
        <w:autoSpaceDN w:val="0"/>
        <w:jc w:val="center"/>
        <w:rPr>
          <w:rFonts w:ascii="宋体" w:hAnsi="宋体" w:cs="宋体"/>
          <w:b/>
          <w:color w:val="auto"/>
          <w:spacing w:val="6"/>
          <w:sz w:val="32"/>
          <w:szCs w:val="32"/>
        </w:rPr>
      </w:pPr>
    </w:p>
    <w:p w14:paraId="7A444E7F">
      <w:pPr>
        <w:autoSpaceDE w:val="0"/>
        <w:autoSpaceDN w:val="0"/>
        <w:jc w:val="center"/>
        <w:rPr>
          <w:rFonts w:ascii="宋体" w:hAnsi="宋体" w:cs="宋体"/>
          <w:b/>
          <w:color w:val="auto"/>
          <w:spacing w:val="6"/>
          <w:sz w:val="32"/>
          <w:szCs w:val="32"/>
        </w:rPr>
      </w:pPr>
    </w:p>
    <w:p w14:paraId="2DBCA5BC">
      <w:pPr>
        <w:autoSpaceDE w:val="0"/>
        <w:autoSpaceDN w:val="0"/>
        <w:jc w:val="center"/>
        <w:rPr>
          <w:rFonts w:ascii="宋体" w:hAnsi="宋体" w:cs="宋体"/>
          <w:b/>
          <w:color w:val="auto"/>
          <w:spacing w:val="6"/>
          <w:sz w:val="32"/>
          <w:szCs w:val="32"/>
        </w:rPr>
      </w:pPr>
    </w:p>
    <w:p w14:paraId="6BB4A732">
      <w:pPr>
        <w:autoSpaceDE w:val="0"/>
        <w:autoSpaceDN w:val="0"/>
        <w:jc w:val="center"/>
        <w:rPr>
          <w:rFonts w:ascii="宋体" w:hAnsi="宋体" w:cs="宋体"/>
          <w:b/>
          <w:color w:val="auto"/>
          <w:spacing w:val="6"/>
          <w:sz w:val="32"/>
          <w:szCs w:val="32"/>
        </w:rPr>
      </w:pPr>
    </w:p>
    <w:p w14:paraId="6AA02C33">
      <w:pPr>
        <w:autoSpaceDE w:val="0"/>
        <w:autoSpaceDN w:val="0"/>
        <w:jc w:val="center"/>
        <w:rPr>
          <w:rFonts w:ascii="宋体" w:hAnsi="宋体" w:cs="宋体"/>
          <w:b/>
          <w:color w:val="auto"/>
          <w:spacing w:val="6"/>
          <w:sz w:val="32"/>
          <w:szCs w:val="32"/>
        </w:rPr>
      </w:pPr>
    </w:p>
    <w:p w14:paraId="55848B1F">
      <w:pPr>
        <w:autoSpaceDE w:val="0"/>
        <w:autoSpaceDN w:val="0"/>
        <w:jc w:val="center"/>
        <w:rPr>
          <w:rFonts w:ascii="宋体" w:hAnsi="宋体" w:cs="宋体"/>
          <w:b/>
          <w:color w:val="auto"/>
          <w:spacing w:val="6"/>
          <w:sz w:val="32"/>
          <w:szCs w:val="32"/>
        </w:rPr>
      </w:pPr>
    </w:p>
    <w:p w14:paraId="194EEFBC">
      <w:pPr>
        <w:autoSpaceDE w:val="0"/>
        <w:autoSpaceDN w:val="0"/>
        <w:jc w:val="center"/>
        <w:rPr>
          <w:rFonts w:ascii="宋体" w:hAnsi="宋体" w:cs="宋体"/>
          <w:b/>
          <w:color w:val="auto"/>
          <w:spacing w:val="6"/>
          <w:sz w:val="32"/>
          <w:szCs w:val="32"/>
        </w:rPr>
      </w:pPr>
    </w:p>
    <w:p w14:paraId="6955EAAA">
      <w:pPr>
        <w:autoSpaceDE w:val="0"/>
        <w:autoSpaceDN w:val="0"/>
        <w:jc w:val="center"/>
        <w:rPr>
          <w:rFonts w:ascii="宋体" w:hAnsi="宋体" w:cs="宋体"/>
          <w:b/>
          <w:color w:val="auto"/>
          <w:spacing w:val="6"/>
          <w:sz w:val="32"/>
          <w:szCs w:val="32"/>
        </w:rPr>
      </w:pPr>
    </w:p>
    <w:p w14:paraId="0C4E53CD">
      <w:pPr>
        <w:autoSpaceDE w:val="0"/>
        <w:autoSpaceDN w:val="0"/>
        <w:jc w:val="center"/>
        <w:rPr>
          <w:rFonts w:ascii="宋体" w:hAnsi="宋体" w:cs="宋体"/>
          <w:b/>
          <w:color w:val="auto"/>
          <w:spacing w:val="6"/>
          <w:sz w:val="32"/>
          <w:szCs w:val="32"/>
        </w:rPr>
      </w:pPr>
    </w:p>
    <w:p w14:paraId="28AE2D96">
      <w:pPr>
        <w:autoSpaceDE w:val="0"/>
        <w:autoSpaceDN w:val="0"/>
        <w:jc w:val="center"/>
        <w:rPr>
          <w:rFonts w:ascii="宋体" w:hAnsi="宋体" w:cs="宋体"/>
          <w:b/>
          <w:color w:val="auto"/>
          <w:spacing w:val="6"/>
          <w:sz w:val="32"/>
          <w:szCs w:val="32"/>
        </w:rPr>
      </w:pPr>
    </w:p>
    <w:p w14:paraId="5C7E1E49">
      <w:pPr>
        <w:autoSpaceDE w:val="0"/>
        <w:autoSpaceDN w:val="0"/>
        <w:jc w:val="center"/>
        <w:rPr>
          <w:rFonts w:ascii="宋体" w:hAnsi="宋体" w:cs="宋体"/>
          <w:b/>
          <w:color w:val="auto"/>
          <w:spacing w:val="6"/>
          <w:sz w:val="32"/>
          <w:szCs w:val="32"/>
        </w:rPr>
      </w:pPr>
    </w:p>
    <w:p w14:paraId="3DB9CB9B">
      <w:pPr>
        <w:autoSpaceDE w:val="0"/>
        <w:autoSpaceDN w:val="0"/>
        <w:jc w:val="center"/>
        <w:rPr>
          <w:rFonts w:ascii="宋体" w:hAnsi="宋体" w:cs="宋体"/>
          <w:b/>
          <w:color w:val="auto"/>
          <w:spacing w:val="6"/>
          <w:sz w:val="32"/>
          <w:szCs w:val="32"/>
        </w:rPr>
      </w:pPr>
    </w:p>
    <w:p w14:paraId="5C2F94F2">
      <w:pPr>
        <w:autoSpaceDE w:val="0"/>
        <w:autoSpaceDN w:val="0"/>
        <w:jc w:val="center"/>
        <w:rPr>
          <w:rFonts w:ascii="宋体" w:hAnsi="宋体" w:cs="宋体"/>
          <w:b/>
          <w:color w:val="auto"/>
          <w:spacing w:val="6"/>
          <w:sz w:val="32"/>
          <w:szCs w:val="32"/>
        </w:rPr>
      </w:pPr>
    </w:p>
    <w:p w14:paraId="77B68D89">
      <w:pPr>
        <w:autoSpaceDE w:val="0"/>
        <w:autoSpaceDN w:val="0"/>
        <w:jc w:val="center"/>
        <w:rPr>
          <w:rFonts w:ascii="宋体" w:hAnsi="宋体" w:cs="宋体"/>
          <w:b/>
          <w:color w:val="auto"/>
          <w:spacing w:val="6"/>
          <w:sz w:val="32"/>
          <w:szCs w:val="32"/>
        </w:rPr>
      </w:pPr>
    </w:p>
    <w:p w14:paraId="594D423F">
      <w:pPr>
        <w:autoSpaceDE w:val="0"/>
        <w:autoSpaceDN w:val="0"/>
        <w:jc w:val="center"/>
        <w:rPr>
          <w:rFonts w:ascii="宋体" w:hAnsi="宋体" w:cs="宋体"/>
          <w:b/>
          <w:color w:val="auto"/>
          <w:spacing w:val="6"/>
          <w:sz w:val="32"/>
          <w:szCs w:val="32"/>
        </w:rPr>
      </w:pPr>
    </w:p>
    <w:p w14:paraId="3FFB74EE">
      <w:pPr>
        <w:autoSpaceDE w:val="0"/>
        <w:autoSpaceDN w:val="0"/>
        <w:jc w:val="center"/>
        <w:rPr>
          <w:rFonts w:ascii="宋体" w:hAnsi="宋体" w:cs="宋体"/>
          <w:b/>
          <w:color w:val="auto"/>
          <w:spacing w:val="6"/>
          <w:sz w:val="32"/>
          <w:szCs w:val="32"/>
        </w:rPr>
      </w:pPr>
    </w:p>
    <w:p w14:paraId="4465AD5A">
      <w:pPr>
        <w:autoSpaceDE w:val="0"/>
        <w:autoSpaceDN w:val="0"/>
        <w:jc w:val="center"/>
        <w:rPr>
          <w:rFonts w:ascii="宋体" w:hAnsi="宋体" w:cs="宋体"/>
          <w:b/>
          <w:color w:val="auto"/>
          <w:spacing w:val="6"/>
          <w:sz w:val="32"/>
          <w:szCs w:val="32"/>
        </w:rPr>
      </w:pPr>
    </w:p>
    <w:p w14:paraId="6E1B53B5">
      <w:pPr>
        <w:autoSpaceDE w:val="0"/>
        <w:autoSpaceDN w:val="0"/>
        <w:jc w:val="center"/>
        <w:rPr>
          <w:rFonts w:ascii="宋体" w:hAnsi="宋体" w:cs="宋体"/>
          <w:b/>
          <w:color w:val="auto"/>
          <w:spacing w:val="6"/>
          <w:sz w:val="32"/>
          <w:szCs w:val="32"/>
        </w:rPr>
      </w:pPr>
    </w:p>
    <w:p w14:paraId="2DBAF9F6">
      <w:pPr>
        <w:autoSpaceDE w:val="0"/>
        <w:autoSpaceDN w:val="0"/>
        <w:jc w:val="center"/>
        <w:rPr>
          <w:rFonts w:ascii="宋体" w:hAnsi="宋体" w:cs="宋体"/>
          <w:b/>
          <w:color w:val="auto"/>
          <w:spacing w:val="6"/>
          <w:sz w:val="32"/>
          <w:szCs w:val="32"/>
        </w:rPr>
      </w:pPr>
    </w:p>
    <w:p w14:paraId="1F210014">
      <w:pPr>
        <w:autoSpaceDE w:val="0"/>
        <w:autoSpaceDN w:val="0"/>
        <w:jc w:val="center"/>
        <w:rPr>
          <w:rFonts w:ascii="宋体" w:hAnsi="宋体" w:cs="宋体"/>
          <w:b/>
          <w:color w:val="auto"/>
          <w:spacing w:val="6"/>
          <w:sz w:val="32"/>
          <w:szCs w:val="32"/>
        </w:rPr>
      </w:pPr>
    </w:p>
    <w:p w14:paraId="16441D8A">
      <w:pPr>
        <w:autoSpaceDE w:val="0"/>
        <w:autoSpaceDN w:val="0"/>
        <w:jc w:val="center"/>
        <w:rPr>
          <w:rFonts w:ascii="宋体" w:hAnsi="宋体" w:cs="宋体"/>
          <w:b/>
          <w:color w:val="auto"/>
          <w:spacing w:val="6"/>
          <w:sz w:val="32"/>
          <w:szCs w:val="32"/>
        </w:rPr>
      </w:pPr>
    </w:p>
    <w:p w14:paraId="1E9F0899">
      <w:pPr>
        <w:autoSpaceDE w:val="0"/>
        <w:autoSpaceDN w:val="0"/>
        <w:jc w:val="center"/>
        <w:rPr>
          <w:rFonts w:ascii="宋体" w:hAnsi="宋体" w:cs="宋体"/>
          <w:b/>
          <w:color w:val="auto"/>
          <w:spacing w:val="6"/>
          <w:sz w:val="32"/>
          <w:szCs w:val="32"/>
        </w:rPr>
      </w:pPr>
    </w:p>
    <w:p w14:paraId="012FCC16">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423BB2CD">
      <w:pPr>
        <w:spacing w:line="360" w:lineRule="auto"/>
        <w:jc w:val="center"/>
        <w:rPr>
          <w:rFonts w:ascii="宋体" w:hAnsi="宋体" w:cs="宋体"/>
          <w:color w:val="auto"/>
          <w:sz w:val="24"/>
          <w:u w:val="single"/>
        </w:rPr>
      </w:pPr>
    </w:p>
    <w:p w14:paraId="46F5AFE6">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B85D6D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杭州市综合行政执法队 </w:t>
      </w:r>
      <w:r>
        <w:rPr>
          <w:rFonts w:hint="eastAsia" w:ascii="宋体" w:hAnsi="宋体" w:cs="宋体"/>
          <w:color w:val="auto"/>
          <w:sz w:val="24"/>
        </w:rPr>
        <w:t>的</w:t>
      </w:r>
      <w:r>
        <w:rPr>
          <w:rFonts w:hint="eastAsia" w:ascii="宋体" w:hAnsi="宋体" w:cs="宋体"/>
          <w:color w:val="auto"/>
          <w:sz w:val="24"/>
          <w:u w:val="single"/>
        </w:rPr>
        <w:t xml:space="preserve"> 杭州市综合行政执法队物业管理服务采购项目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09B60DE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物业服务</w:t>
      </w:r>
      <w:r>
        <w:rPr>
          <w:rFonts w:hint="eastAsia" w:ascii="宋体" w:hAnsi="宋体" w:cs="宋体"/>
          <w:color w:val="auto"/>
          <w:sz w:val="24"/>
        </w:rPr>
        <w:t>，属于</w:t>
      </w:r>
      <w:r>
        <w:rPr>
          <w:rFonts w:hint="eastAsia" w:ascii="宋体" w:hAnsi="宋体" w:cs="宋体"/>
          <w:color w:val="auto"/>
          <w:sz w:val="24"/>
          <w:u w:val="single"/>
        </w:rPr>
        <w:t xml:space="preserve"> 物业管理行业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7991B0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7A531A3">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9BBDF0C">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26A5A3F5">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0B68A2E">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EC56A02">
      <w:pPr>
        <w:spacing w:line="360" w:lineRule="auto"/>
        <w:ind w:right="420"/>
        <w:rPr>
          <w:rFonts w:ascii="宋体" w:hAnsi="宋体" w:cs="宋体"/>
          <w:color w:val="auto"/>
          <w:sz w:val="24"/>
        </w:rPr>
      </w:pPr>
    </w:p>
    <w:p w14:paraId="1E1DB8C8">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50B5F98">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7741D0">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FFDA46">
      <w:pPr>
        <w:pStyle w:val="2"/>
        <w:rPr>
          <w:rFonts w:ascii="宋体" w:hAnsi="宋体" w:eastAsia="宋体" w:cs="宋体"/>
          <w:color w:val="auto"/>
          <w:lang w:val="en-US"/>
        </w:rPr>
      </w:pPr>
    </w:p>
    <w:p w14:paraId="71D84162">
      <w:pPr>
        <w:spacing w:line="360" w:lineRule="auto"/>
        <w:ind w:right="420"/>
        <w:rPr>
          <w:rFonts w:ascii="宋体" w:hAnsi="宋体" w:cs="宋体"/>
          <w:color w:val="auto"/>
        </w:rPr>
      </w:pPr>
    </w:p>
    <w:p w14:paraId="5D368EAF">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C0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6AA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FF33">
    <w:pPr>
      <w:pStyle w:val="39"/>
      <w:framePr w:wrap="around" w:vAnchor="text" w:hAnchor="margin" w:xAlign="right" w:y="1"/>
      <w:rPr>
        <w:rStyle w:val="72"/>
      </w:rPr>
    </w:pPr>
    <w:r>
      <w:fldChar w:fldCharType="begin"/>
    </w:r>
    <w:r>
      <w:rPr>
        <w:rStyle w:val="72"/>
      </w:rPr>
      <w:instrText xml:space="preserve">PAGE  </w:instrText>
    </w:r>
    <w:r>
      <w:fldChar w:fldCharType="end"/>
    </w:r>
  </w:p>
  <w:p w14:paraId="79CDEA2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E62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3" w:name="_Toc91899912"/>
    <w:bookmarkStart w:id="414" w:name="_Toc164085800"/>
    <w:bookmarkStart w:id="415" w:name="_Toc131845147"/>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9214">
    <w:pPr>
      <w:pStyle w:val="39"/>
      <w:framePr w:wrap="around" w:vAnchor="text" w:hAnchor="margin" w:xAlign="right" w:y="1"/>
      <w:rPr>
        <w:rStyle w:val="72"/>
      </w:rPr>
    </w:pPr>
    <w:r>
      <w:fldChar w:fldCharType="begin"/>
    </w:r>
    <w:r>
      <w:rPr>
        <w:rStyle w:val="72"/>
      </w:rPr>
      <w:instrText xml:space="preserve">PAGE  </w:instrText>
    </w:r>
    <w:r>
      <w:fldChar w:fldCharType="end"/>
    </w:r>
  </w:p>
  <w:p w14:paraId="055B57C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F8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25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C8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1076E8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E1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BB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0B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76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9487">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6A4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234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3837">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6229">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BF78">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995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FCAF">
    <w:pPr>
      <w:pStyle w:val="40"/>
      <w:jc w:val="right"/>
      <w:rPr>
        <w:rFonts w:ascii="仿宋_GB2312" w:eastAsia="仿宋_GB2312"/>
        <w:b/>
        <w:i/>
        <w:u w:val="single"/>
      </w:rPr>
    </w:pPr>
    <w:r>
      <w:rPr>
        <w:rFonts w:hint="eastAsia"/>
      </w:rPr>
      <w:t xml:space="preserve">                                  </w:t>
    </w:r>
    <w:r>
      <w:t>杭州市政府采购公开招标文件</w:t>
    </w:r>
  </w:p>
  <w:p w14:paraId="050CA2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DEB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A559">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abstractNum w:abstractNumId="1">
    <w:nsid w:val="65547F93"/>
    <w:multiLevelType w:val="singleLevel"/>
    <w:tmpl w:val="65547F9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EA8"/>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14E"/>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806"/>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175"/>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3F69"/>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297"/>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11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B3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8276F"/>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510922"/>
    <w:rsid w:val="048F763B"/>
    <w:rsid w:val="049F330E"/>
    <w:rsid w:val="04AA775C"/>
    <w:rsid w:val="04AE367F"/>
    <w:rsid w:val="04AF1889"/>
    <w:rsid w:val="04C504D6"/>
    <w:rsid w:val="04F66F48"/>
    <w:rsid w:val="05251E14"/>
    <w:rsid w:val="05253812"/>
    <w:rsid w:val="05983B33"/>
    <w:rsid w:val="05A16594"/>
    <w:rsid w:val="05A7762D"/>
    <w:rsid w:val="060E5941"/>
    <w:rsid w:val="06110FAF"/>
    <w:rsid w:val="06255BC2"/>
    <w:rsid w:val="06416AF5"/>
    <w:rsid w:val="06493CA7"/>
    <w:rsid w:val="065A6178"/>
    <w:rsid w:val="066F1CF3"/>
    <w:rsid w:val="06930BB8"/>
    <w:rsid w:val="06AE7966"/>
    <w:rsid w:val="06B156A8"/>
    <w:rsid w:val="07245D42"/>
    <w:rsid w:val="07264C62"/>
    <w:rsid w:val="0779354C"/>
    <w:rsid w:val="08061376"/>
    <w:rsid w:val="08452D77"/>
    <w:rsid w:val="085A5FF7"/>
    <w:rsid w:val="086401F8"/>
    <w:rsid w:val="08751CAA"/>
    <w:rsid w:val="087E4C40"/>
    <w:rsid w:val="088766C0"/>
    <w:rsid w:val="088C017B"/>
    <w:rsid w:val="08A51D7D"/>
    <w:rsid w:val="08A871D0"/>
    <w:rsid w:val="08A92ADB"/>
    <w:rsid w:val="08B35707"/>
    <w:rsid w:val="08D66AD6"/>
    <w:rsid w:val="08DA33A3"/>
    <w:rsid w:val="08DA7138"/>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90531"/>
    <w:rsid w:val="0A5B7E63"/>
    <w:rsid w:val="0AA374A5"/>
    <w:rsid w:val="0AAB7649"/>
    <w:rsid w:val="0ABC5606"/>
    <w:rsid w:val="0B30404E"/>
    <w:rsid w:val="0B4C6C14"/>
    <w:rsid w:val="0B547599"/>
    <w:rsid w:val="0B631A88"/>
    <w:rsid w:val="0B64718D"/>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E618DF"/>
    <w:rsid w:val="0CE9794A"/>
    <w:rsid w:val="0CFE707A"/>
    <w:rsid w:val="0D063BDA"/>
    <w:rsid w:val="0D08375F"/>
    <w:rsid w:val="0D184CFB"/>
    <w:rsid w:val="0D4A7419"/>
    <w:rsid w:val="0D7F02AE"/>
    <w:rsid w:val="0D827401"/>
    <w:rsid w:val="0D84094E"/>
    <w:rsid w:val="0D8A00E9"/>
    <w:rsid w:val="0D8D589E"/>
    <w:rsid w:val="0DA01C73"/>
    <w:rsid w:val="0DC363ED"/>
    <w:rsid w:val="0DD63300"/>
    <w:rsid w:val="0DF50604"/>
    <w:rsid w:val="0DF702FE"/>
    <w:rsid w:val="0E060E51"/>
    <w:rsid w:val="0E0802A4"/>
    <w:rsid w:val="0E52151F"/>
    <w:rsid w:val="0E5604B2"/>
    <w:rsid w:val="0E67321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822F4"/>
    <w:rsid w:val="10264A11"/>
    <w:rsid w:val="102962AF"/>
    <w:rsid w:val="10646583"/>
    <w:rsid w:val="107D4B15"/>
    <w:rsid w:val="108A3C80"/>
    <w:rsid w:val="10B4201D"/>
    <w:rsid w:val="10C04E65"/>
    <w:rsid w:val="10C26171"/>
    <w:rsid w:val="10F33360"/>
    <w:rsid w:val="10F5757C"/>
    <w:rsid w:val="10FC16EA"/>
    <w:rsid w:val="110F1D40"/>
    <w:rsid w:val="111D3B37"/>
    <w:rsid w:val="11266F33"/>
    <w:rsid w:val="118963A1"/>
    <w:rsid w:val="11C6522A"/>
    <w:rsid w:val="11E104CC"/>
    <w:rsid w:val="11E20309"/>
    <w:rsid w:val="1212349F"/>
    <w:rsid w:val="12255233"/>
    <w:rsid w:val="12530213"/>
    <w:rsid w:val="127723A9"/>
    <w:rsid w:val="127E28E2"/>
    <w:rsid w:val="12862074"/>
    <w:rsid w:val="12883966"/>
    <w:rsid w:val="129E45B4"/>
    <w:rsid w:val="12D81596"/>
    <w:rsid w:val="12F11F28"/>
    <w:rsid w:val="13072A44"/>
    <w:rsid w:val="13200C1E"/>
    <w:rsid w:val="135F4BE2"/>
    <w:rsid w:val="138A175B"/>
    <w:rsid w:val="139B1A0A"/>
    <w:rsid w:val="139D25C7"/>
    <w:rsid w:val="13BF3CE4"/>
    <w:rsid w:val="13C702B9"/>
    <w:rsid w:val="141008D8"/>
    <w:rsid w:val="14125FE6"/>
    <w:rsid w:val="143A6CDD"/>
    <w:rsid w:val="146D271E"/>
    <w:rsid w:val="14982588"/>
    <w:rsid w:val="149A5AD9"/>
    <w:rsid w:val="14A7619D"/>
    <w:rsid w:val="14BA7E1E"/>
    <w:rsid w:val="150536C3"/>
    <w:rsid w:val="150C1963"/>
    <w:rsid w:val="151447A0"/>
    <w:rsid w:val="154A6454"/>
    <w:rsid w:val="1573694A"/>
    <w:rsid w:val="15762120"/>
    <w:rsid w:val="16314110"/>
    <w:rsid w:val="168416D9"/>
    <w:rsid w:val="16A8729C"/>
    <w:rsid w:val="16B33777"/>
    <w:rsid w:val="16BC70A7"/>
    <w:rsid w:val="16C6339E"/>
    <w:rsid w:val="16F413C5"/>
    <w:rsid w:val="172F2D79"/>
    <w:rsid w:val="17557BEF"/>
    <w:rsid w:val="17A70B2D"/>
    <w:rsid w:val="17D349C1"/>
    <w:rsid w:val="17E63F73"/>
    <w:rsid w:val="1830729E"/>
    <w:rsid w:val="1870062C"/>
    <w:rsid w:val="18817102"/>
    <w:rsid w:val="18830A15"/>
    <w:rsid w:val="18852B28"/>
    <w:rsid w:val="188B5321"/>
    <w:rsid w:val="19932372"/>
    <w:rsid w:val="19A20DD5"/>
    <w:rsid w:val="19AE03F1"/>
    <w:rsid w:val="19CA465F"/>
    <w:rsid w:val="19E25E4D"/>
    <w:rsid w:val="19E5593D"/>
    <w:rsid w:val="1A071A03"/>
    <w:rsid w:val="1A1F16AE"/>
    <w:rsid w:val="1A3B5C77"/>
    <w:rsid w:val="1A984BAD"/>
    <w:rsid w:val="1AB8220E"/>
    <w:rsid w:val="1AE4166C"/>
    <w:rsid w:val="1AF06CFB"/>
    <w:rsid w:val="1AF11B8D"/>
    <w:rsid w:val="1B11359C"/>
    <w:rsid w:val="1B2A271F"/>
    <w:rsid w:val="1B530544"/>
    <w:rsid w:val="1B666609"/>
    <w:rsid w:val="1B713184"/>
    <w:rsid w:val="1BA209CF"/>
    <w:rsid w:val="1BB4777D"/>
    <w:rsid w:val="1BD75AB8"/>
    <w:rsid w:val="1BD96C46"/>
    <w:rsid w:val="1C0459C2"/>
    <w:rsid w:val="1C1B3B4A"/>
    <w:rsid w:val="1C88086E"/>
    <w:rsid w:val="1CE75C51"/>
    <w:rsid w:val="1D266CE1"/>
    <w:rsid w:val="1D3963AF"/>
    <w:rsid w:val="1D6A673C"/>
    <w:rsid w:val="1D9247AE"/>
    <w:rsid w:val="1DB567EC"/>
    <w:rsid w:val="1DF51A98"/>
    <w:rsid w:val="1E2F53D8"/>
    <w:rsid w:val="1E3D060F"/>
    <w:rsid w:val="1E3F7D2E"/>
    <w:rsid w:val="1E4134E4"/>
    <w:rsid w:val="1E5062B3"/>
    <w:rsid w:val="1E523514"/>
    <w:rsid w:val="1E636E30"/>
    <w:rsid w:val="1E714A66"/>
    <w:rsid w:val="1E802593"/>
    <w:rsid w:val="1E8B6156"/>
    <w:rsid w:val="1E94348E"/>
    <w:rsid w:val="1EA703CC"/>
    <w:rsid w:val="1EB7330C"/>
    <w:rsid w:val="1EDD4E34"/>
    <w:rsid w:val="1F0A0FF3"/>
    <w:rsid w:val="1F1C1B35"/>
    <w:rsid w:val="1F5771FF"/>
    <w:rsid w:val="1FCD4EA9"/>
    <w:rsid w:val="1FE868A9"/>
    <w:rsid w:val="20034907"/>
    <w:rsid w:val="20173E4B"/>
    <w:rsid w:val="204E48BC"/>
    <w:rsid w:val="20651585"/>
    <w:rsid w:val="207737BF"/>
    <w:rsid w:val="208921B3"/>
    <w:rsid w:val="20973DEB"/>
    <w:rsid w:val="20B26522"/>
    <w:rsid w:val="20B44310"/>
    <w:rsid w:val="21021A7E"/>
    <w:rsid w:val="211116EB"/>
    <w:rsid w:val="214B42D7"/>
    <w:rsid w:val="216133FC"/>
    <w:rsid w:val="21837F15"/>
    <w:rsid w:val="21B5B083"/>
    <w:rsid w:val="21D56769"/>
    <w:rsid w:val="21E52EF3"/>
    <w:rsid w:val="21FB5D7B"/>
    <w:rsid w:val="22015E94"/>
    <w:rsid w:val="220B1C3D"/>
    <w:rsid w:val="221B2723"/>
    <w:rsid w:val="221D1D20"/>
    <w:rsid w:val="22334A87"/>
    <w:rsid w:val="2274785E"/>
    <w:rsid w:val="22BE6801"/>
    <w:rsid w:val="22C00CF5"/>
    <w:rsid w:val="22E22A19"/>
    <w:rsid w:val="22F8366E"/>
    <w:rsid w:val="233500BF"/>
    <w:rsid w:val="23377FF7"/>
    <w:rsid w:val="236B425F"/>
    <w:rsid w:val="23836192"/>
    <w:rsid w:val="23901F29"/>
    <w:rsid w:val="239C0061"/>
    <w:rsid w:val="23B908A4"/>
    <w:rsid w:val="23E95BEF"/>
    <w:rsid w:val="23FD0064"/>
    <w:rsid w:val="245375B0"/>
    <w:rsid w:val="24642C0A"/>
    <w:rsid w:val="24B22173"/>
    <w:rsid w:val="24B2466D"/>
    <w:rsid w:val="24B77ED6"/>
    <w:rsid w:val="24B95AD9"/>
    <w:rsid w:val="24BE24DA"/>
    <w:rsid w:val="24CF5825"/>
    <w:rsid w:val="24D663E6"/>
    <w:rsid w:val="24D77F2B"/>
    <w:rsid w:val="258B00E2"/>
    <w:rsid w:val="25A917A6"/>
    <w:rsid w:val="25BE27CC"/>
    <w:rsid w:val="25D52D09"/>
    <w:rsid w:val="25F74A5C"/>
    <w:rsid w:val="26216C89"/>
    <w:rsid w:val="2628662C"/>
    <w:rsid w:val="262D45DE"/>
    <w:rsid w:val="26777E78"/>
    <w:rsid w:val="26871DC8"/>
    <w:rsid w:val="26A53EF9"/>
    <w:rsid w:val="26A94201"/>
    <w:rsid w:val="26AC274F"/>
    <w:rsid w:val="26E01966"/>
    <w:rsid w:val="27044A29"/>
    <w:rsid w:val="271D34C8"/>
    <w:rsid w:val="276142BF"/>
    <w:rsid w:val="27783712"/>
    <w:rsid w:val="27907362"/>
    <w:rsid w:val="28333E1D"/>
    <w:rsid w:val="28454BD6"/>
    <w:rsid w:val="28455253"/>
    <w:rsid w:val="284C442A"/>
    <w:rsid w:val="28551971"/>
    <w:rsid w:val="285B1C53"/>
    <w:rsid w:val="28620159"/>
    <w:rsid w:val="289F7086"/>
    <w:rsid w:val="28C32028"/>
    <w:rsid w:val="28CC490F"/>
    <w:rsid w:val="28DE40AA"/>
    <w:rsid w:val="29345E77"/>
    <w:rsid w:val="294C65AD"/>
    <w:rsid w:val="29806583"/>
    <w:rsid w:val="298B3C4C"/>
    <w:rsid w:val="29F26D24"/>
    <w:rsid w:val="2A036C0F"/>
    <w:rsid w:val="2A104310"/>
    <w:rsid w:val="2A15033F"/>
    <w:rsid w:val="2A1662C1"/>
    <w:rsid w:val="2A1C7367"/>
    <w:rsid w:val="2A2815FA"/>
    <w:rsid w:val="2A524929"/>
    <w:rsid w:val="2A6D6092"/>
    <w:rsid w:val="2A7D76B4"/>
    <w:rsid w:val="2ADB491E"/>
    <w:rsid w:val="2AE35581"/>
    <w:rsid w:val="2B2D4A4E"/>
    <w:rsid w:val="2B437463"/>
    <w:rsid w:val="2B6D12EE"/>
    <w:rsid w:val="2B7807EE"/>
    <w:rsid w:val="2BA50BF7"/>
    <w:rsid w:val="2BBF00EC"/>
    <w:rsid w:val="2BC37CFD"/>
    <w:rsid w:val="2BD5237F"/>
    <w:rsid w:val="2BE536CE"/>
    <w:rsid w:val="2BE758D9"/>
    <w:rsid w:val="2C09049E"/>
    <w:rsid w:val="2C0A653C"/>
    <w:rsid w:val="2C167BD8"/>
    <w:rsid w:val="2C191F85"/>
    <w:rsid w:val="2C532BDA"/>
    <w:rsid w:val="2CE37ABA"/>
    <w:rsid w:val="2CE82D6F"/>
    <w:rsid w:val="2D343236"/>
    <w:rsid w:val="2D7828F8"/>
    <w:rsid w:val="2DD15014"/>
    <w:rsid w:val="2DF72DE4"/>
    <w:rsid w:val="2E0220AF"/>
    <w:rsid w:val="2E1819E5"/>
    <w:rsid w:val="2E4B082A"/>
    <w:rsid w:val="2E5D4E86"/>
    <w:rsid w:val="2E5D790B"/>
    <w:rsid w:val="2E9A3C18"/>
    <w:rsid w:val="2EBB0FEE"/>
    <w:rsid w:val="2EC63002"/>
    <w:rsid w:val="2F0A6B38"/>
    <w:rsid w:val="2F946CCB"/>
    <w:rsid w:val="2FC040E2"/>
    <w:rsid w:val="2FD25781"/>
    <w:rsid w:val="2FDC745C"/>
    <w:rsid w:val="2FFD7934"/>
    <w:rsid w:val="3025663B"/>
    <w:rsid w:val="30733ACD"/>
    <w:rsid w:val="308C3862"/>
    <w:rsid w:val="309379D8"/>
    <w:rsid w:val="30A270F7"/>
    <w:rsid w:val="30DF1478"/>
    <w:rsid w:val="30EC586F"/>
    <w:rsid w:val="319C6071"/>
    <w:rsid w:val="31AC537E"/>
    <w:rsid w:val="31E3679B"/>
    <w:rsid w:val="31E732FD"/>
    <w:rsid w:val="31F52DDF"/>
    <w:rsid w:val="32517576"/>
    <w:rsid w:val="326C0551"/>
    <w:rsid w:val="32BE5C2C"/>
    <w:rsid w:val="32FB6478"/>
    <w:rsid w:val="330469DC"/>
    <w:rsid w:val="33150BE9"/>
    <w:rsid w:val="33263B3F"/>
    <w:rsid w:val="33323549"/>
    <w:rsid w:val="335039CF"/>
    <w:rsid w:val="33587748"/>
    <w:rsid w:val="336963EB"/>
    <w:rsid w:val="33816EEB"/>
    <w:rsid w:val="33C85C5B"/>
    <w:rsid w:val="33EB55CD"/>
    <w:rsid w:val="33EC4C02"/>
    <w:rsid w:val="33F26834"/>
    <w:rsid w:val="340D2360"/>
    <w:rsid w:val="3410665D"/>
    <w:rsid w:val="34211214"/>
    <w:rsid w:val="342E63AB"/>
    <w:rsid w:val="34806536"/>
    <w:rsid w:val="34950E68"/>
    <w:rsid w:val="34986E94"/>
    <w:rsid w:val="34AF62C9"/>
    <w:rsid w:val="34CB4388"/>
    <w:rsid w:val="34FA6E12"/>
    <w:rsid w:val="350E3B42"/>
    <w:rsid w:val="354D7158"/>
    <w:rsid w:val="358D5588"/>
    <w:rsid w:val="35D703D8"/>
    <w:rsid w:val="35EA010B"/>
    <w:rsid w:val="35F72828"/>
    <w:rsid w:val="35FA7C22"/>
    <w:rsid w:val="363A3B40"/>
    <w:rsid w:val="365302AE"/>
    <w:rsid w:val="36607A0A"/>
    <w:rsid w:val="366E227C"/>
    <w:rsid w:val="366F2E0D"/>
    <w:rsid w:val="367B6A5C"/>
    <w:rsid w:val="36846564"/>
    <w:rsid w:val="36A74ADA"/>
    <w:rsid w:val="36AD60D5"/>
    <w:rsid w:val="36B224F9"/>
    <w:rsid w:val="36C24BE4"/>
    <w:rsid w:val="36C50230"/>
    <w:rsid w:val="36EC0CC9"/>
    <w:rsid w:val="373F410B"/>
    <w:rsid w:val="37EE7094"/>
    <w:rsid w:val="381E22EE"/>
    <w:rsid w:val="38296C89"/>
    <w:rsid w:val="383002EB"/>
    <w:rsid w:val="383438BF"/>
    <w:rsid w:val="38586797"/>
    <w:rsid w:val="38B95B73"/>
    <w:rsid w:val="38BC0149"/>
    <w:rsid w:val="38D87D1C"/>
    <w:rsid w:val="39463BE4"/>
    <w:rsid w:val="395D29A2"/>
    <w:rsid w:val="395F66C1"/>
    <w:rsid w:val="39636459"/>
    <w:rsid w:val="396B7F6C"/>
    <w:rsid w:val="39B417A9"/>
    <w:rsid w:val="39DF5AAD"/>
    <w:rsid w:val="39FC5695"/>
    <w:rsid w:val="3A006D8E"/>
    <w:rsid w:val="3A3651E5"/>
    <w:rsid w:val="3A744481"/>
    <w:rsid w:val="3A8C7BEF"/>
    <w:rsid w:val="3A906246"/>
    <w:rsid w:val="3B2349B7"/>
    <w:rsid w:val="3B30643F"/>
    <w:rsid w:val="3B4C2CCE"/>
    <w:rsid w:val="3B616CFF"/>
    <w:rsid w:val="3B6259F6"/>
    <w:rsid w:val="3B732951"/>
    <w:rsid w:val="3B976654"/>
    <w:rsid w:val="3BC01EFC"/>
    <w:rsid w:val="3BCA786A"/>
    <w:rsid w:val="3BD31E2F"/>
    <w:rsid w:val="3BF15831"/>
    <w:rsid w:val="3C105946"/>
    <w:rsid w:val="3C471448"/>
    <w:rsid w:val="3C5F759A"/>
    <w:rsid w:val="3C6C525A"/>
    <w:rsid w:val="3C7C2FDC"/>
    <w:rsid w:val="3C7E335B"/>
    <w:rsid w:val="3CBE19AA"/>
    <w:rsid w:val="3CCE23CB"/>
    <w:rsid w:val="3CD17D17"/>
    <w:rsid w:val="3CEF6007"/>
    <w:rsid w:val="3D3C7F39"/>
    <w:rsid w:val="3D440F09"/>
    <w:rsid w:val="3D4504A0"/>
    <w:rsid w:val="3D8734BB"/>
    <w:rsid w:val="3D9A11D4"/>
    <w:rsid w:val="3DA16D89"/>
    <w:rsid w:val="3DA364BE"/>
    <w:rsid w:val="3DE041CB"/>
    <w:rsid w:val="3E0D48F6"/>
    <w:rsid w:val="3E1868B4"/>
    <w:rsid w:val="3E377251"/>
    <w:rsid w:val="3E42664B"/>
    <w:rsid w:val="3E5A7334"/>
    <w:rsid w:val="3E6E11AD"/>
    <w:rsid w:val="3E7B5D6B"/>
    <w:rsid w:val="3E843E66"/>
    <w:rsid w:val="3E8F51FE"/>
    <w:rsid w:val="3E926F87"/>
    <w:rsid w:val="3E9A59DE"/>
    <w:rsid w:val="3EA031FF"/>
    <w:rsid w:val="3EAF4836"/>
    <w:rsid w:val="3EC33DFA"/>
    <w:rsid w:val="3EE60383"/>
    <w:rsid w:val="3F060E16"/>
    <w:rsid w:val="3F1D1096"/>
    <w:rsid w:val="3F2F0234"/>
    <w:rsid w:val="3F402B4A"/>
    <w:rsid w:val="3F6363FE"/>
    <w:rsid w:val="3F756B8F"/>
    <w:rsid w:val="3F95482B"/>
    <w:rsid w:val="3FA76215"/>
    <w:rsid w:val="4019356B"/>
    <w:rsid w:val="40592157"/>
    <w:rsid w:val="406E1CAE"/>
    <w:rsid w:val="407927B7"/>
    <w:rsid w:val="407E7DCE"/>
    <w:rsid w:val="408E0F77"/>
    <w:rsid w:val="40A0133A"/>
    <w:rsid w:val="40C31A53"/>
    <w:rsid w:val="40F5154D"/>
    <w:rsid w:val="40FF545D"/>
    <w:rsid w:val="410067C8"/>
    <w:rsid w:val="41195D48"/>
    <w:rsid w:val="41886A2A"/>
    <w:rsid w:val="418F0D2A"/>
    <w:rsid w:val="41D01505"/>
    <w:rsid w:val="41F320F5"/>
    <w:rsid w:val="42474939"/>
    <w:rsid w:val="424C3C57"/>
    <w:rsid w:val="42613FF3"/>
    <w:rsid w:val="42660D96"/>
    <w:rsid w:val="428667D2"/>
    <w:rsid w:val="42AE38A9"/>
    <w:rsid w:val="42CD1CE0"/>
    <w:rsid w:val="42E1381E"/>
    <w:rsid w:val="42ED6459"/>
    <w:rsid w:val="42FE58DD"/>
    <w:rsid w:val="43174B3D"/>
    <w:rsid w:val="434B790E"/>
    <w:rsid w:val="435A7F52"/>
    <w:rsid w:val="4360274F"/>
    <w:rsid w:val="43727992"/>
    <w:rsid w:val="43977AB6"/>
    <w:rsid w:val="43A3342B"/>
    <w:rsid w:val="43C77C27"/>
    <w:rsid w:val="43DE09EE"/>
    <w:rsid w:val="43F42155"/>
    <w:rsid w:val="44002FAD"/>
    <w:rsid w:val="44627A06"/>
    <w:rsid w:val="449101DD"/>
    <w:rsid w:val="44DE1391"/>
    <w:rsid w:val="451B225C"/>
    <w:rsid w:val="452410C9"/>
    <w:rsid w:val="45317DFB"/>
    <w:rsid w:val="456D3CE4"/>
    <w:rsid w:val="4579042C"/>
    <w:rsid w:val="457F0571"/>
    <w:rsid w:val="45851176"/>
    <w:rsid w:val="45C02C36"/>
    <w:rsid w:val="45C63B94"/>
    <w:rsid w:val="460E7DA5"/>
    <w:rsid w:val="46252A99"/>
    <w:rsid w:val="46422483"/>
    <w:rsid w:val="4659254A"/>
    <w:rsid w:val="465B0637"/>
    <w:rsid w:val="465E3F0D"/>
    <w:rsid w:val="466A16E6"/>
    <w:rsid w:val="46751088"/>
    <w:rsid w:val="46893F2B"/>
    <w:rsid w:val="46C4686E"/>
    <w:rsid w:val="477B778F"/>
    <w:rsid w:val="478203EC"/>
    <w:rsid w:val="47B025FA"/>
    <w:rsid w:val="4809698F"/>
    <w:rsid w:val="4811697D"/>
    <w:rsid w:val="487A3E25"/>
    <w:rsid w:val="488B5503"/>
    <w:rsid w:val="48937E21"/>
    <w:rsid w:val="489A0361"/>
    <w:rsid w:val="489F2FD7"/>
    <w:rsid w:val="48B94FF3"/>
    <w:rsid w:val="48E37AAB"/>
    <w:rsid w:val="48FD4B4C"/>
    <w:rsid w:val="490A68E0"/>
    <w:rsid w:val="491055FE"/>
    <w:rsid w:val="491C63D6"/>
    <w:rsid w:val="493A4AAE"/>
    <w:rsid w:val="495F5B3E"/>
    <w:rsid w:val="496F77D7"/>
    <w:rsid w:val="497654FD"/>
    <w:rsid w:val="49B64211"/>
    <w:rsid w:val="49E12059"/>
    <w:rsid w:val="49F6167F"/>
    <w:rsid w:val="4A064FA0"/>
    <w:rsid w:val="4A16615C"/>
    <w:rsid w:val="4A32185E"/>
    <w:rsid w:val="4A3E237C"/>
    <w:rsid w:val="4A4424D7"/>
    <w:rsid w:val="4A871F75"/>
    <w:rsid w:val="4AB82D0F"/>
    <w:rsid w:val="4AEB7664"/>
    <w:rsid w:val="4AFD7C19"/>
    <w:rsid w:val="4B0567D1"/>
    <w:rsid w:val="4B236AAE"/>
    <w:rsid w:val="4B707271"/>
    <w:rsid w:val="4B9739F7"/>
    <w:rsid w:val="4BDE7972"/>
    <w:rsid w:val="4BEE2503"/>
    <w:rsid w:val="4C245A30"/>
    <w:rsid w:val="4C577725"/>
    <w:rsid w:val="4CB6685F"/>
    <w:rsid w:val="4CC367FE"/>
    <w:rsid w:val="4D077F3C"/>
    <w:rsid w:val="4D123355"/>
    <w:rsid w:val="4D1F6494"/>
    <w:rsid w:val="4D2A3B31"/>
    <w:rsid w:val="4D312C52"/>
    <w:rsid w:val="4D905305"/>
    <w:rsid w:val="4D964A72"/>
    <w:rsid w:val="4D9C1254"/>
    <w:rsid w:val="4DCA28A4"/>
    <w:rsid w:val="4E4F6905"/>
    <w:rsid w:val="4E793892"/>
    <w:rsid w:val="4E800872"/>
    <w:rsid w:val="4E8C7B5A"/>
    <w:rsid w:val="4EC569ED"/>
    <w:rsid w:val="4ED50EA1"/>
    <w:rsid w:val="4EEC050C"/>
    <w:rsid w:val="4F0C2A48"/>
    <w:rsid w:val="4F104EC3"/>
    <w:rsid w:val="4F47354A"/>
    <w:rsid w:val="4F911C54"/>
    <w:rsid w:val="4F9A0054"/>
    <w:rsid w:val="4FA42C81"/>
    <w:rsid w:val="4FE625E0"/>
    <w:rsid w:val="5021480F"/>
    <w:rsid w:val="50962ECB"/>
    <w:rsid w:val="50A42E38"/>
    <w:rsid w:val="50A4577F"/>
    <w:rsid w:val="50B73D1F"/>
    <w:rsid w:val="50BD5BC9"/>
    <w:rsid w:val="50C11EEE"/>
    <w:rsid w:val="50E97CFC"/>
    <w:rsid w:val="50FA4028"/>
    <w:rsid w:val="510D65B7"/>
    <w:rsid w:val="511157AB"/>
    <w:rsid w:val="513B13C3"/>
    <w:rsid w:val="5142540C"/>
    <w:rsid w:val="515801C7"/>
    <w:rsid w:val="5182713F"/>
    <w:rsid w:val="518832C8"/>
    <w:rsid w:val="519D3C50"/>
    <w:rsid w:val="51A0432A"/>
    <w:rsid w:val="51A86090"/>
    <w:rsid w:val="51B7396D"/>
    <w:rsid w:val="521F6F37"/>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3A5346C"/>
    <w:rsid w:val="53EF6DA5"/>
    <w:rsid w:val="54013861"/>
    <w:rsid w:val="54487265"/>
    <w:rsid w:val="544D6070"/>
    <w:rsid w:val="54532EC8"/>
    <w:rsid w:val="54605E1E"/>
    <w:rsid w:val="54B3506A"/>
    <w:rsid w:val="54CA0D16"/>
    <w:rsid w:val="54DD4057"/>
    <w:rsid w:val="54E7490F"/>
    <w:rsid w:val="54EF499E"/>
    <w:rsid w:val="54F93A6F"/>
    <w:rsid w:val="550764A4"/>
    <w:rsid w:val="550B2BF6"/>
    <w:rsid w:val="55214EB5"/>
    <w:rsid w:val="55364EFD"/>
    <w:rsid w:val="555D4828"/>
    <w:rsid w:val="557A4C8B"/>
    <w:rsid w:val="557B4484"/>
    <w:rsid w:val="55871CF5"/>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1418D"/>
    <w:rsid w:val="57B26373"/>
    <w:rsid w:val="57B63F04"/>
    <w:rsid w:val="57CD20C2"/>
    <w:rsid w:val="57D675AB"/>
    <w:rsid w:val="57D95FDD"/>
    <w:rsid w:val="58482120"/>
    <w:rsid w:val="58917D2F"/>
    <w:rsid w:val="5894085C"/>
    <w:rsid w:val="58AE4F0C"/>
    <w:rsid w:val="58B57CAD"/>
    <w:rsid w:val="58B85899"/>
    <w:rsid w:val="58BC728D"/>
    <w:rsid w:val="58E363A9"/>
    <w:rsid w:val="5919023C"/>
    <w:rsid w:val="592D3CE7"/>
    <w:rsid w:val="595E1678"/>
    <w:rsid w:val="596D5BD4"/>
    <w:rsid w:val="597E3DD8"/>
    <w:rsid w:val="59D14FBA"/>
    <w:rsid w:val="59F80043"/>
    <w:rsid w:val="5A09252F"/>
    <w:rsid w:val="5A0B2778"/>
    <w:rsid w:val="5A2A7C7B"/>
    <w:rsid w:val="5A3E2560"/>
    <w:rsid w:val="5A5D3B6E"/>
    <w:rsid w:val="5A637A76"/>
    <w:rsid w:val="5A6D33BA"/>
    <w:rsid w:val="5A715E56"/>
    <w:rsid w:val="5A792B1F"/>
    <w:rsid w:val="5A874767"/>
    <w:rsid w:val="5AA85BE2"/>
    <w:rsid w:val="5AAD6F28"/>
    <w:rsid w:val="5AD63A24"/>
    <w:rsid w:val="5B2E1A1D"/>
    <w:rsid w:val="5B843A1C"/>
    <w:rsid w:val="5B873E3F"/>
    <w:rsid w:val="5C02690E"/>
    <w:rsid w:val="5C07081F"/>
    <w:rsid w:val="5C196DA7"/>
    <w:rsid w:val="5C2A048C"/>
    <w:rsid w:val="5C585E94"/>
    <w:rsid w:val="5C80234E"/>
    <w:rsid w:val="5C8A680C"/>
    <w:rsid w:val="5CF05758"/>
    <w:rsid w:val="5D0C4701"/>
    <w:rsid w:val="5D0F0395"/>
    <w:rsid w:val="5D221076"/>
    <w:rsid w:val="5D397964"/>
    <w:rsid w:val="5D5A391C"/>
    <w:rsid w:val="5D5F10C0"/>
    <w:rsid w:val="5D6677C8"/>
    <w:rsid w:val="5D891B7B"/>
    <w:rsid w:val="5DAD38EE"/>
    <w:rsid w:val="5E006862"/>
    <w:rsid w:val="5E0207B9"/>
    <w:rsid w:val="5E1834A1"/>
    <w:rsid w:val="5E261785"/>
    <w:rsid w:val="5E473A9D"/>
    <w:rsid w:val="5E4A7017"/>
    <w:rsid w:val="5E552BBA"/>
    <w:rsid w:val="5E611C10"/>
    <w:rsid w:val="5E7A0F3F"/>
    <w:rsid w:val="5EB629D1"/>
    <w:rsid w:val="5EFC7377"/>
    <w:rsid w:val="5F06174D"/>
    <w:rsid w:val="5F3A3602"/>
    <w:rsid w:val="5F45733B"/>
    <w:rsid w:val="5F6277C6"/>
    <w:rsid w:val="5F6D0B1D"/>
    <w:rsid w:val="5F8D0B82"/>
    <w:rsid w:val="5FCC5339"/>
    <w:rsid w:val="5FE34A5B"/>
    <w:rsid w:val="5FF437B1"/>
    <w:rsid w:val="5FFE1E36"/>
    <w:rsid w:val="6022031E"/>
    <w:rsid w:val="60232584"/>
    <w:rsid w:val="607330CE"/>
    <w:rsid w:val="60825176"/>
    <w:rsid w:val="609F2AC4"/>
    <w:rsid w:val="60C34F31"/>
    <w:rsid w:val="60FA2EE8"/>
    <w:rsid w:val="61054A27"/>
    <w:rsid w:val="610A52BC"/>
    <w:rsid w:val="611D2366"/>
    <w:rsid w:val="612260FC"/>
    <w:rsid w:val="61421856"/>
    <w:rsid w:val="615227C4"/>
    <w:rsid w:val="61654E3F"/>
    <w:rsid w:val="61744D30"/>
    <w:rsid w:val="6182292A"/>
    <w:rsid w:val="619F7F92"/>
    <w:rsid w:val="61F94C26"/>
    <w:rsid w:val="62000E56"/>
    <w:rsid w:val="624F3E49"/>
    <w:rsid w:val="62632286"/>
    <w:rsid w:val="62885958"/>
    <w:rsid w:val="62F40B65"/>
    <w:rsid w:val="62F85366"/>
    <w:rsid w:val="62FC2CFE"/>
    <w:rsid w:val="63024505"/>
    <w:rsid w:val="634A17B1"/>
    <w:rsid w:val="635600A5"/>
    <w:rsid w:val="635B1DB5"/>
    <w:rsid w:val="63711FED"/>
    <w:rsid w:val="63880DDC"/>
    <w:rsid w:val="638D750D"/>
    <w:rsid w:val="63AC6CC0"/>
    <w:rsid w:val="63BD210C"/>
    <w:rsid w:val="64055776"/>
    <w:rsid w:val="64240056"/>
    <w:rsid w:val="643E143A"/>
    <w:rsid w:val="643E324C"/>
    <w:rsid w:val="64491666"/>
    <w:rsid w:val="648B6EEF"/>
    <w:rsid w:val="64A767C0"/>
    <w:rsid w:val="64C158BF"/>
    <w:rsid w:val="64CE2EAA"/>
    <w:rsid w:val="653C3090"/>
    <w:rsid w:val="65854376"/>
    <w:rsid w:val="658767BE"/>
    <w:rsid w:val="65892531"/>
    <w:rsid w:val="66195831"/>
    <w:rsid w:val="662E75B1"/>
    <w:rsid w:val="66342C2E"/>
    <w:rsid w:val="663E784C"/>
    <w:rsid w:val="66650F64"/>
    <w:rsid w:val="668B6A45"/>
    <w:rsid w:val="67087B42"/>
    <w:rsid w:val="672F3F24"/>
    <w:rsid w:val="673E055F"/>
    <w:rsid w:val="67424E02"/>
    <w:rsid w:val="67551CE3"/>
    <w:rsid w:val="67841F6B"/>
    <w:rsid w:val="67A22552"/>
    <w:rsid w:val="67B22DCC"/>
    <w:rsid w:val="67BE71AA"/>
    <w:rsid w:val="67D90273"/>
    <w:rsid w:val="67DE5875"/>
    <w:rsid w:val="67E55852"/>
    <w:rsid w:val="67EB1AB4"/>
    <w:rsid w:val="67FA1285"/>
    <w:rsid w:val="683E7CBF"/>
    <w:rsid w:val="68551F4F"/>
    <w:rsid w:val="685F7C35"/>
    <w:rsid w:val="687C10C9"/>
    <w:rsid w:val="68840C16"/>
    <w:rsid w:val="68876EFB"/>
    <w:rsid w:val="68884654"/>
    <w:rsid w:val="68923B67"/>
    <w:rsid w:val="689F444F"/>
    <w:rsid w:val="68B96DBB"/>
    <w:rsid w:val="68CA2805"/>
    <w:rsid w:val="68E937A3"/>
    <w:rsid w:val="693E15D3"/>
    <w:rsid w:val="695B4640"/>
    <w:rsid w:val="69627681"/>
    <w:rsid w:val="6977531D"/>
    <w:rsid w:val="69A41DA4"/>
    <w:rsid w:val="69CC2BFF"/>
    <w:rsid w:val="69FD55B8"/>
    <w:rsid w:val="6A0B1C62"/>
    <w:rsid w:val="6A2406C8"/>
    <w:rsid w:val="6A4B0A88"/>
    <w:rsid w:val="6ADE0BD1"/>
    <w:rsid w:val="6AE96859"/>
    <w:rsid w:val="6B147746"/>
    <w:rsid w:val="6B24787C"/>
    <w:rsid w:val="6B573233"/>
    <w:rsid w:val="6B5B6274"/>
    <w:rsid w:val="6B935D53"/>
    <w:rsid w:val="6BDA5F51"/>
    <w:rsid w:val="6BDD77EF"/>
    <w:rsid w:val="6BF90264"/>
    <w:rsid w:val="6C196F71"/>
    <w:rsid w:val="6C226FCB"/>
    <w:rsid w:val="6C31226F"/>
    <w:rsid w:val="6C552F0B"/>
    <w:rsid w:val="6C8C67B7"/>
    <w:rsid w:val="6C9D744C"/>
    <w:rsid w:val="6CDB1F80"/>
    <w:rsid w:val="6D167928"/>
    <w:rsid w:val="6D26299B"/>
    <w:rsid w:val="6D4772EC"/>
    <w:rsid w:val="6D9078AF"/>
    <w:rsid w:val="6DAA3FEF"/>
    <w:rsid w:val="6DC0172B"/>
    <w:rsid w:val="6DCB690C"/>
    <w:rsid w:val="6DD41A5B"/>
    <w:rsid w:val="6DF43C2E"/>
    <w:rsid w:val="6DF51CA3"/>
    <w:rsid w:val="6E810905"/>
    <w:rsid w:val="6E8335BD"/>
    <w:rsid w:val="6E8E12EF"/>
    <w:rsid w:val="6E972936"/>
    <w:rsid w:val="6EA77C40"/>
    <w:rsid w:val="6ED446C5"/>
    <w:rsid w:val="6F2502A8"/>
    <w:rsid w:val="6F2A7D94"/>
    <w:rsid w:val="6F8331F1"/>
    <w:rsid w:val="6FAE1A09"/>
    <w:rsid w:val="6FB86358"/>
    <w:rsid w:val="6FD75BF8"/>
    <w:rsid w:val="70756248"/>
    <w:rsid w:val="707723D0"/>
    <w:rsid w:val="707D6A8A"/>
    <w:rsid w:val="70D34D1C"/>
    <w:rsid w:val="70F5661B"/>
    <w:rsid w:val="712B2DAA"/>
    <w:rsid w:val="71360107"/>
    <w:rsid w:val="713B688E"/>
    <w:rsid w:val="71D43752"/>
    <w:rsid w:val="71F1796A"/>
    <w:rsid w:val="72154626"/>
    <w:rsid w:val="72262B5D"/>
    <w:rsid w:val="72283FF7"/>
    <w:rsid w:val="722E7212"/>
    <w:rsid w:val="723A0474"/>
    <w:rsid w:val="72473C14"/>
    <w:rsid w:val="725923E4"/>
    <w:rsid w:val="725D51E5"/>
    <w:rsid w:val="726E5CBB"/>
    <w:rsid w:val="72864BF7"/>
    <w:rsid w:val="729023FC"/>
    <w:rsid w:val="73C0646E"/>
    <w:rsid w:val="742222F5"/>
    <w:rsid w:val="744040C3"/>
    <w:rsid w:val="74476126"/>
    <w:rsid w:val="74706664"/>
    <w:rsid w:val="747F3682"/>
    <w:rsid w:val="749C4185"/>
    <w:rsid w:val="75067759"/>
    <w:rsid w:val="752E6DCD"/>
    <w:rsid w:val="7551380D"/>
    <w:rsid w:val="75581C94"/>
    <w:rsid w:val="75600BE5"/>
    <w:rsid w:val="7564475C"/>
    <w:rsid w:val="7583797F"/>
    <w:rsid w:val="758D7B90"/>
    <w:rsid w:val="759D3E47"/>
    <w:rsid w:val="75B25848"/>
    <w:rsid w:val="75B415C0"/>
    <w:rsid w:val="75D02172"/>
    <w:rsid w:val="75D20F1D"/>
    <w:rsid w:val="75DA2C18"/>
    <w:rsid w:val="75F54412"/>
    <w:rsid w:val="761D08E0"/>
    <w:rsid w:val="762027B2"/>
    <w:rsid w:val="765D347C"/>
    <w:rsid w:val="76826699"/>
    <w:rsid w:val="76C87133"/>
    <w:rsid w:val="76CD08D5"/>
    <w:rsid w:val="76DB4B92"/>
    <w:rsid w:val="77052AA4"/>
    <w:rsid w:val="77136511"/>
    <w:rsid w:val="77340A39"/>
    <w:rsid w:val="77351FD0"/>
    <w:rsid w:val="77472422"/>
    <w:rsid w:val="777F31F2"/>
    <w:rsid w:val="77D1700D"/>
    <w:rsid w:val="77EC04CC"/>
    <w:rsid w:val="782F13D2"/>
    <w:rsid w:val="78775729"/>
    <w:rsid w:val="78A42DB0"/>
    <w:rsid w:val="78A656AB"/>
    <w:rsid w:val="78A771BA"/>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A78A7"/>
    <w:rsid w:val="7BEE0103"/>
    <w:rsid w:val="7C0A0FE4"/>
    <w:rsid w:val="7C0B7A60"/>
    <w:rsid w:val="7C254906"/>
    <w:rsid w:val="7C590818"/>
    <w:rsid w:val="7C7C10F6"/>
    <w:rsid w:val="7C853BEA"/>
    <w:rsid w:val="7C881368"/>
    <w:rsid w:val="7CE27788"/>
    <w:rsid w:val="7D0C32F1"/>
    <w:rsid w:val="7D0D15B6"/>
    <w:rsid w:val="7D0F408D"/>
    <w:rsid w:val="7D491C6C"/>
    <w:rsid w:val="7D5429C0"/>
    <w:rsid w:val="7D6E6D43"/>
    <w:rsid w:val="7DB57A34"/>
    <w:rsid w:val="7DE60973"/>
    <w:rsid w:val="7DEF0916"/>
    <w:rsid w:val="7E1E5218"/>
    <w:rsid w:val="7E6D055E"/>
    <w:rsid w:val="7E9A4E1F"/>
    <w:rsid w:val="7EA7723A"/>
    <w:rsid w:val="7ED52645"/>
    <w:rsid w:val="7EF56FBB"/>
    <w:rsid w:val="7F0768EB"/>
    <w:rsid w:val="7F08297D"/>
    <w:rsid w:val="7F143BEC"/>
    <w:rsid w:val="7F715AF2"/>
    <w:rsid w:val="7F886E69"/>
    <w:rsid w:val="7F967F8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26630-0EBD-4875-BE65-F6FF7200D1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9515</Words>
  <Characters>10227</Characters>
  <Lines>372</Lines>
  <Paragraphs>104</Paragraphs>
  <TotalTime>3</TotalTime>
  <ScaleCrop>false</ScaleCrop>
  <LinksUpToDate>false</LinksUpToDate>
  <CharactersWithSpaces>10608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2025-01-10T06:52:00Z</dcterms:created>
  <dc:creator>玥</dc:creator>
  <cp:lastModifiedBy>WPS_1661847895</cp:lastModifiedBy>
  <cp:lastPrinted>2021-12-27T19:06:00Z</cp:lastPrinted>
  <dcterms:modified xsi:type="dcterms:W3CDTF">2025-01-14T04:18:22Z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