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7003">
      <w:pPr>
        <w:spacing w:line="360" w:lineRule="auto"/>
        <w:jc w:val="center"/>
        <w:rPr>
          <w:rFonts w:ascii="宋体" w:hAnsi="宋体" w:cs="宋体"/>
          <w:b/>
          <w:sz w:val="24"/>
        </w:rPr>
      </w:pPr>
    </w:p>
    <w:p w14:paraId="4C3A2F29">
      <w:pPr>
        <w:spacing w:line="360" w:lineRule="auto"/>
        <w:jc w:val="center"/>
        <w:rPr>
          <w:rFonts w:ascii="宋体" w:hAnsi="宋体" w:cs="宋体"/>
          <w:b/>
          <w:sz w:val="24"/>
        </w:rPr>
      </w:pPr>
    </w:p>
    <w:p w14:paraId="78E7AC2F">
      <w:pPr>
        <w:adjustRightInd/>
        <w:spacing w:line="360" w:lineRule="auto"/>
        <w:jc w:val="center"/>
        <w:rPr>
          <w:rFonts w:ascii="宋体" w:hAnsi="宋体" w:cs="宋体"/>
          <w:b/>
          <w:sz w:val="44"/>
          <w:szCs w:val="44"/>
        </w:rPr>
      </w:pPr>
    </w:p>
    <w:p w14:paraId="50F2AE20">
      <w:pPr>
        <w:spacing w:line="360" w:lineRule="auto"/>
        <w:jc w:val="center"/>
        <w:rPr>
          <w:rFonts w:ascii="宋体" w:hAnsi="宋体" w:cs="宋体"/>
          <w:b/>
          <w:sz w:val="44"/>
          <w:szCs w:val="44"/>
        </w:rPr>
      </w:pPr>
    </w:p>
    <w:p w14:paraId="7F5BEE8D">
      <w:pPr>
        <w:adjustRightInd/>
        <w:spacing w:line="360" w:lineRule="auto"/>
        <w:jc w:val="center"/>
        <w:rPr>
          <w:rFonts w:ascii="宋体" w:hAnsi="宋体" w:cs="宋体"/>
          <w:b/>
          <w:sz w:val="48"/>
          <w:szCs w:val="48"/>
        </w:rPr>
      </w:pPr>
    </w:p>
    <w:p w14:paraId="399CD9EA">
      <w:pPr>
        <w:adjustRightInd/>
        <w:spacing w:line="360" w:lineRule="auto"/>
        <w:jc w:val="center"/>
        <w:rPr>
          <w:rFonts w:ascii="宋体" w:hAnsi="宋体" w:cs="宋体"/>
          <w:sz w:val="48"/>
          <w:szCs w:val="48"/>
        </w:rPr>
      </w:pPr>
      <w:r>
        <w:rPr>
          <w:rFonts w:hint="eastAsia" w:ascii="宋体" w:hAnsi="宋体" w:cs="宋体"/>
          <w:sz w:val="48"/>
          <w:szCs w:val="48"/>
        </w:rPr>
        <w:t>杭州市“善育在杭2.0”项目</w:t>
      </w:r>
    </w:p>
    <w:p w14:paraId="4ED79D9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EC1C76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990E5AE">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bookmarkStart w:id="424" w:name="_GoBack"/>
      <w:bookmarkEnd w:id="424"/>
      <w:r>
        <w:rPr>
          <w:rFonts w:hint="eastAsia" w:ascii="宋体" w:hAnsi="宋体" w:cs="宋体"/>
          <w:sz w:val="30"/>
          <w:szCs w:val="30"/>
          <w:lang w:eastAsia="zh-CN"/>
        </w:rPr>
        <w:t>HZZFCG-2024-163</w:t>
      </w:r>
    </w:p>
    <w:p w14:paraId="51DD43F4">
      <w:pPr>
        <w:adjustRightInd/>
        <w:spacing w:line="360" w:lineRule="auto"/>
        <w:rPr>
          <w:rFonts w:ascii="宋体" w:hAnsi="宋体" w:cs="宋体"/>
          <w:sz w:val="28"/>
          <w:szCs w:val="20"/>
        </w:rPr>
      </w:pPr>
    </w:p>
    <w:p w14:paraId="1408F446">
      <w:pPr>
        <w:spacing w:line="360" w:lineRule="auto"/>
        <w:jc w:val="center"/>
        <w:rPr>
          <w:rFonts w:ascii="宋体" w:hAnsi="宋体" w:cs="宋体"/>
          <w:b/>
          <w:sz w:val="44"/>
          <w:szCs w:val="44"/>
        </w:rPr>
      </w:pPr>
    </w:p>
    <w:p w14:paraId="0AC1BCE5">
      <w:pPr>
        <w:spacing w:line="360" w:lineRule="auto"/>
        <w:jc w:val="center"/>
        <w:rPr>
          <w:rFonts w:ascii="宋体" w:hAnsi="宋体" w:cs="宋体"/>
          <w:b/>
          <w:sz w:val="44"/>
          <w:szCs w:val="44"/>
        </w:rPr>
      </w:pPr>
    </w:p>
    <w:p w14:paraId="3D5C6E05">
      <w:pPr>
        <w:spacing w:line="360" w:lineRule="auto"/>
        <w:jc w:val="center"/>
        <w:rPr>
          <w:rFonts w:ascii="宋体" w:hAnsi="宋体" w:cs="宋体"/>
          <w:sz w:val="24"/>
        </w:rPr>
      </w:pPr>
    </w:p>
    <w:p w14:paraId="0759E7BF">
      <w:pPr>
        <w:spacing w:line="360" w:lineRule="auto"/>
        <w:jc w:val="center"/>
        <w:rPr>
          <w:rFonts w:ascii="宋体" w:hAnsi="宋体" w:cs="宋体"/>
          <w:sz w:val="24"/>
        </w:rPr>
      </w:pPr>
    </w:p>
    <w:p w14:paraId="23873353">
      <w:pPr>
        <w:spacing w:line="360" w:lineRule="auto"/>
        <w:rPr>
          <w:rFonts w:ascii="宋体" w:hAnsi="宋体" w:cs="宋体"/>
          <w:sz w:val="32"/>
          <w:szCs w:val="32"/>
        </w:rPr>
      </w:pPr>
    </w:p>
    <w:p w14:paraId="483B5A35">
      <w:pPr>
        <w:snapToGrid w:val="0"/>
        <w:spacing w:line="360" w:lineRule="auto"/>
        <w:jc w:val="center"/>
        <w:rPr>
          <w:rFonts w:ascii="宋体" w:hAnsi="宋体" w:cs="宋体"/>
          <w:sz w:val="32"/>
          <w:szCs w:val="32"/>
        </w:rPr>
      </w:pPr>
      <w:r>
        <w:rPr>
          <w:rFonts w:hint="eastAsia" w:ascii="宋体" w:hAnsi="宋体" w:cs="宋体"/>
          <w:sz w:val="32"/>
          <w:szCs w:val="32"/>
        </w:rPr>
        <w:t>杭州市卫生健康委员会</w:t>
      </w:r>
    </w:p>
    <w:p w14:paraId="176DDA86">
      <w:pPr>
        <w:spacing w:line="360" w:lineRule="auto"/>
        <w:jc w:val="center"/>
        <w:rPr>
          <w:rFonts w:ascii="宋体" w:hAnsi="宋体" w:cs="宋体"/>
          <w:bCs/>
          <w:sz w:val="32"/>
          <w:szCs w:val="32"/>
        </w:rPr>
      </w:pPr>
      <w:r>
        <w:rPr>
          <w:rFonts w:hint="eastAsia" w:ascii="宋体" w:hAnsi="宋体" w:cs="宋体"/>
          <w:bCs/>
          <w:sz w:val="32"/>
          <w:szCs w:val="32"/>
        </w:rPr>
        <w:t>杭州市公共资源交易中心</w:t>
      </w:r>
    </w:p>
    <w:p w14:paraId="3125F95B">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eastAsia="zh-CN"/>
        </w:rPr>
        <w:t>九</w:t>
      </w:r>
      <w:r>
        <w:rPr>
          <w:rFonts w:hint="eastAsia" w:ascii="宋体" w:hAnsi="宋体" w:cs="宋体"/>
          <w:bCs/>
          <w:sz w:val="32"/>
          <w:szCs w:val="32"/>
        </w:rPr>
        <w:t>月</w:t>
      </w:r>
      <w:r>
        <w:rPr>
          <w:rFonts w:hint="eastAsia" w:ascii="宋体" w:hAnsi="宋体" w:cs="宋体"/>
          <w:bCs/>
          <w:sz w:val="32"/>
          <w:szCs w:val="32"/>
          <w:lang w:eastAsia="zh-CN"/>
        </w:rPr>
        <w:t>十三</w:t>
      </w:r>
      <w:r>
        <w:rPr>
          <w:rFonts w:hint="eastAsia" w:ascii="宋体" w:hAnsi="宋体" w:cs="宋体"/>
          <w:bCs/>
          <w:sz w:val="32"/>
          <w:szCs w:val="32"/>
        </w:rPr>
        <w:t>日</w:t>
      </w:r>
    </w:p>
    <w:p w14:paraId="712E607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2373C60">
      <w:pPr>
        <w:pStyle w:val="637"/>
      </w:pPr>
    </w:p>
    <w:p w14:paraId="64513CEB">
      <w:pPr>
        <w:spacing w:line="360" w:lineRule="auto"/>
        <w:jc w:val="center"/>
        <w:rPr>
          <w:rFonts w:ascii="宋体" w:hAnsi="宋体" w:cs="宋体"/>
          <w:b/>
          <w:sz w:val="48"/>
          <w:szCs w:val="48"/>
        </w:rPr>
      </w:pPr>
      <w:r>
        <w:rPr>
          <w:rFonts w:hint="eastAsia" w:ascii="宋体" w:hAnsi="宋体" w:cs="宋体"/>
          <w:b/>
          <w:sz w:val="48"/>
          <w:szCs w:val="48"/>
        </w:rPr>
        <w:t>目  录</w:t>
      </w:r>
    </w:p>
    <w:p w14:paraId="1E04AC1B">
      <w:pPr>
        <w:spacing w:line="360" w:lineRule="auto"/>
        <w:rPr>
          <w:rFonts w:ascii="宋体" w:hAnsi="宋体" w:cs="宋体"/>
          <w:sz w:val="32"/>
          <w:szCs w:val="32"/>
        </w:rPr>
      </w:pPr>
    </w:p>
    <w:p w14:paraId="2856B5C7">
      <w:pPr>
        <w:spacing w:line="360" w:lineRule="auto"/>
        <w:rPr>
          <w:rFonts w:ascii="宋体" w:hAnsi="宋体" w:cs="宋体"/>
          <w:sz w:val="32"/>
          <w:szCs w:val="32"/>
        </w:rPr>
      </w:pPr>
    </w:p>
    <w:p w14:paraId="472E1B8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970216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B01277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8DD755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3F1DC2D">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05B86D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DACC0B1">
      <w:pPr>
        <w:spacing w:line="360" w:lineRule="auto"/>
        <w:ind w:firstLine="549" w:firstLineChars="229"/>
        <w:rPr>
          <w:rFonts w:ascii="宋体" w:hAnsi="宋体" w:cs="宋体"/>
          <w:sz w:val="24"/>
        </w:rPr>
      </w:pPr>
      <w:bookmarkStart w:id="1" w:name="_Hlt91233176"/>
      <w:bookmarkEnd w:id="1"/>
      <w:bookmarkStart w:id="2" w:name="_Toc91899869"/>
    </w:p>
    <w:p w14:paraId="2D91CD7B">
      <w:pPr>
        <w:spacing w:line="360" w:lineRule="auto"/>
        <w:ind w:firstLine="549" w:firstLineChars="229"/>
        <w:rPr>
          <w:rFonts w:ascii="宋体" w:hAnsi="宋体" w:cs="宋体"/>
          <w:sz w:val="24"/>
        </w:rPr>
      </w:pPr>
    </w:p>
    <w:p w14:paraId="00369C88">
      <w:pPr>
        <w:spacing w:line="360" w:lineRule="auto"/>
        <w:ind w:firstLine="549" w:firstLineChars="229"/>
        <w:rPr>
          <w:rFonts w:ascii="宋体" w:hAnsi="宋体" w:cs="宋体"/>
          <w:sz w:val="24"/>
        </w:rPr>
      </w:pPr>
    </w:p>
    <w:p w14:paraId="1983BC59">
      <w:pPr>
        <w:spacing w:line="360" w:lineRule="auto"/>
        <w:ind w:firstLine="549" w:firstLineChars="229"/>
        <w:rPr>
          <w:rFonts w:ascii="宋体" w:hAnsi="宋体" w:cs="宋体"/>
          <w:sz w:val="24"/>
        </w:rPr>
      </w:pPr>
    </w:p>
    <w:p w14:paraId="5B509A75">
      <w:pPr>
        <w:spacing w:line="360" w:lineRule="auto"/>
        <w:ind w:firstLine="549" w:firstLineChars="229"/>
        <w:rPr>
          <w:rFonts w:ascii="宋体" w:hAnsi="宋体" w:cs="宋体"/>
          <w:sz w:val="24"/>
        </w:rPr>
      </w:pPr>
    </w:p>
    <w:p w14:paraId="0765A55C">
      <w:pPr>
        <w:spacing w:line="360" w:lineRule="auto"/>
        <w:ind w:firstLine="549" w:firstLineChars="229"/>
        <w:rPr>
          <w:rFonts w:ascii="宋体" w:hAnsi="宋体" w:cs="宋体"/>
          <w:sz w:val="24"/>
        </w:rPr>
      </w:pPr>
    </w:p>
    <w:p w14:paraId="773558AC">
      <w:pPr>
        <w:spacing w:line="360" w:lineRule="auto"/>
        <w:ind w:firstLine="549" w:firstLineChars="229"/>
        <w:rPr>
          <w:rFonts w:ascii="宋体" w:hAnsi="宋体" w:cs="宋体"/>
          <w:sz w:val="24"/>
        </w:rPr>
      </w:pPr>
    </w:p>
    <w:p w14:paraId="0B29EA7E">
      <w:pPr>
        <w:spacing w:line="360" w:lineRule="auto"/>
        <w:ind w:firstLine="549" w:firstLineChars="229"/>
        <w:rPr>
          <w:rFonts w:ascii="宋体" w:hAnsi="宋体" w:cs="宋体"/>
          <w:sz w:val="24"/>
        </w:rPr>
      </w:pPr>
    </w:p>
    <w:p w14:paraId="2C5D83F5">
      <w:pPr>
        <w:spacing w:line="360" w:lineRule="auto"/>
        <w:ind w:firstLine="549" w:firstLineChars="229"/>
        <w:rPr>
          <w:rFonts w:ascii="宋体" w:hAnsi="宋体" w:cs="宋体"/>
          <w:sz w:val="24"/>
        </w:rPr>
      </w:pPr>
    </w:p>
    <w:p w14:paraId="0A9402C1">
      <w:pPr>
        <w:spacing w:line="360" w:lineRule="auto"/>
        <w:ind w:firstLine="549" w:firstLineChars="229"/>
        <w:rPr>
          <w:rFonts w:ascii="宋体" w:hAnsi="宋体" w:cs="宋体"/>
          <w:sz w:val="24"/>
        </w:rPr>
      </w:pPr>
    </w:p>
    <w:p w14:paraId="17FDD2C4">
      <w:pPr>
        <w:spacing w:line="360" w:lineRule="auto"/>
        <w:ind w:firstLine="549" w:firstLineChars="229"/>
        <w:rPr>
          <w:rFonts w:ascii="宋体" w:hAnsi="宋体" w:cs="宋体"/>
          <w:sz w:val="24"/>
        </w:rPr>
      </w:pPr>
    </w:p>
    <w:p w14:paraId="08E6856C">
      <w:pPr>
        <w:spacing w:line="360" w:lineRule="auto"/>
        <w:ind w:firstLine="549" w:firstLineChars="229"/>
        <w:rPr>
          <w:rFonts w:ascii="宋体" w:hAnsi="宋体" w:cs="宋体"/>
          <w:sz w:val="24"/>
        </w:rPr>
      </w:pPr>
    </w:p>
    <w:p w14:paraId="64BEE015">
      <w:pPr>
        <w:spacing w:line="360" w:lineRule="auto"/>
        <w:ind w:firstLine="549" w:firstLineChars="229"/>
        <w:rPr>
          <w:rFonts w:ascii="宋体" w:hAnsi="宋体" w:cs="宋体"/>
          <w:sz w:val="24"/>
        </w:rPr>
      </w:pPr>
    </w:p>
    <w:p w14:paraId="21E2AADE">
      <w:pPr>
        <w:spacing w:line="360" w:lineRule="auto"/>
        <w:rPr>
          <w:rFonts w:ascii="宋体" w:hAnsi="宋体" w:cs="宋体"/>
          <w:sz w:val="24"/>
        </w:rPr>
      </w:pPr>
    </w:p>
    <w:p w14:paraId="6686781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F0B5A2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E8B7B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杭州市“善育在杭2.0”项目</w:t>
      </w:r>
      <w:r>
        <w:rPr>
          <w:rFonts w:hint="eastAsia" w:ascii="宋体" w:hAnsi="宋体" w:cs="宋体"/>
          <w:sz w:val="24"/>
        </w:rPr>
        <w:t>招标项目的潜在投标人应在政采云平台（https://www.zcygov.cn/）获取（下载）招标文件，并于</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rPr>
        <w:t>（北京时间）前</w:t>
      </w:r>
      <w:r>
        <w:rPr>
          <w:rFonts w:hint="eastAsia" w:ascii="宋体" w:hAnsi="宋体" w:cs="宋体"/>
          <w:sz w:val="24"/>
        </w:rPr>
        <w:t>递交（上传）投标文件。</w:t>
      </w:r>
    </w:p>
    <w:p w14:paraId="61BF1614">
      <w:pPr>
        <w:spacing w:line="360" w:lineRule="auto"/>
        <w:rPr>
          <w:rFonts w:ascii="宋体" w:hAnsi="宋体" w:cs="宋体"/>
          <w:b/>
          <w:sz w:val="24"/>
        </w:rPr>
      </w:pPr>
      <w:r>
        <w:rPr>
          <w:rFonts w:hint="eastAsia" w:ascii="宋体" w:hAnsi="宋体" w:cs="宋体"/>
          <w:b/>
          <w:sz w:val="24"/>
        </w:rPr>
        <w:t xml:space="preserve">一、项目基本情况                                            </w:t>
      </w:r>
    </w:p>
    <w:p w14:paraId="553EB5AC">
      <w:pPr>
        <w:spacing w:line="360" w:lineRule="auto"/>
        <w:ind w:firstLine="241" w:firstLineChars="1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HZZFCG-2024-163</w:t>
      </w:r>
    </w:p>
    <w:p w14:paraId="35452D6B">
      <w:pPr>
        <w:spacing w:line="360" w:lineRule="auto"/>
        <w:ind w:firstLine="241" w:firstLineChars="100"/>
        <w:rPr>
          <w:rFonts w:ascii="宋体" w:hAnsi="宋体" w:cs="宋体"/>
          <w:sz w:val="24"/>
        </w:rPr>
      </w:pPr>
      <w:r>
        <w:rPr>
          <w:rFonts w:hint="eastAsia" w:ascii="宋体" w:hAnsi="宋体" w:cs="宋体"/>
          <w:b/>
          <w:sz w:val="24"/>
        </w:rPr>
        <w:t>项目名称：</w:t>
      </w:r>
      <w:r>
        <w:rPr>
          <w:rFonts w:hint="eastAsia" w:ascii="宋体" w:hAnsi="宋体" w:cs="宋体"/>
          <w:sz w:val="24"/>
        </w:rPr>
        <w:t>杭州市“善育在杭2.0”项目</w:t>
      </w:r>
    </w:p>
    <w:p w14:paraId="1C8FD037">
      <w:pPr>
        <w:spacing w:line="360" w:lineRule="auto"/>
        <w:ind w:firstLine="241" w:firstLineChars="100"/>
        <w:rPr>
          <w:rFonts w:ascii="宋体" w:hAnsi="宋体" w:cs="宋体"/>
          <w:sz w:val="24"/>
        </w:rPr>
      </w:pPr>
      <w:r>
        <w:rPr>
          <w:rFonts w:hint="eastAsia" w:ascii="宋体" w:hAnsi="宋体" w:cs="宋体"/>
          <w:b/>
          <w:sz w:val="24"/>
        </w:rPr>
        <w:t>预算金额（元）：9500000</w:t>
      </w:r>
    </w:p>
    <w:p w14:paraId="51715D70">
      <w:pPr>
        <w:spacing w:line="360" w:lineRule="auto"/>
        <w:ind w:firstLine="241" w:firstLineChars="100"/>
        <w:rPr>
          <w:rFonts w:ascii="宋体" w:hAnsi="宋体" w:cs="宋体"/>
          <w:sz w:val="24"/>
        </w:rPr>
      </w:pPr>
      <w:r>
        <w:rPr>
          <w:rFonts w:hint="eastAsia" w:ascii="宋体" w:hAnsi="宋体" w:cs="宋体"/>
          <w:b/>
          <w:sz w:val="24"/>
        </w:rPr>
        <w:t>最高限价（元）：9500000</w:t>
      </w:r>
    </w:p>
    <w:p w14:paraId="0232C434">
      <w:pPr>
        <w:pStyle w:val="36"/>
        <w:spacing w:line="360" w:lineRule="auto"/>
        <w:ind w:left="0" w:leftChars="0" w:firstLine="241" w:firstLineChars="1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杭州市“善育在杭2.0”项目主要内容：</w:t>
      </w:r>
      <w:r>
        <w:rPr>
          <w:rFonts w:hint="eastAsia" w:hAnsi="宋体" w:cs="宋体"/>
          <w:bCs/>
          <w:color w:val="auto"/>
          <w:sz w:val="24"/>
        </w:rPr>
        <w:t>通过善育在杭2.0的建设，促进杭州市卫生健康事业不断创新发展，详细建设内容如下：1、善育在杭2.0-“便捷托”服务。通过完善建设善育在杭与托育一件事应用，落实杭州市托育服务设施供需匹配智能分析，指导杭州市托育服务设施配建的全链路建设，精准扩大普惠托育服务供给；并深化智慧托育服务至临时托等场景，建设成长驿站等照护服务机构临时托线上预约服务机制，高效解决育儿家长家门口临时托育需求；同时持续深化提升养育照护小组活动覆盖范围，拓展市、区县各级妇幼保健单位、“医防护”儿童健康管理中心、婴幼儿成长驿站等养育照护小组活动组织单位，让育儿家长在家门口即可定期学习到专业的养育照护小组活动，切实提升育儿家长“便捷托”水平，全面打造区域“15分钟托育服务生态圈”。2、善育在杭2.0-“托得起”服务。建设养育照护券-托育券补助、托育数智守护应用等功能模块，通过育儿托育券的发放，进一步减轻群众“入托贵”负担，系统基于全市户籍人口、出生医学证明、居民社保卡等数据融合，应用大数据分析，最大范围地触达可享受托育券的育儿家庭，降低育儿家庭的托育费负担，拓展育儿家庭“托得起”范围。同时建设托育数智守护应用，实现高效利用普惠托育补助资金，根据真实收托数据精准扶持全市优质托育机构，保证普惠托育补助发放的精准性、合规性，加速精准推进全市普惠托育体系建设，惠及全市育儿家庭，实现普惠托育均衡化发展。3、善育在杭2.0-“托得好”服务。项目拓展善育在杭-托育一件事应用功能，新增建立育儿家长与照护服务机构高效互动平台-家园共育服务、从业人员在线考核服务、杭州市托育机构质量评估、医育融合、0-3岁婴幼儿早期发展数智预警服务、善育在杭大数据分析等模块，全面提升全市托育从业人员科学养育照护水平，落实托育机构质量评估机制，按照国家卫健委最新标准，从机构办托条件、托育队伍、保护照护、卫生保健、养育支持、安全保障、机构管理等全方位保证机构照护服务的安全性、科学性、专业性，促进婴幼儿早期发展，并通过家园共育服务模块，实现机构照护服务内容与育儿家长的全方位互通，降低育儿家长不放心托的担忧，同时推进医育融合相关知识智能触达有需要的育儿家长，建立0-3岁婴幼儿早期发展数智预警服务系统，实现根据儿童日常行为视频智能识别儿童发育预警结果，全面拓宽婴幼儿早期发展筛查范围，提高医生筛查效率，辅助照护服务机构从业人员针对性照护服务，提升婴幼儿在园照护的科学性，增强“托得好”信心。4、善育在杭2.0-“杭小育应用”服务。应用大数据、人工智能等新质生产力赋能，打造“杭小育应用”服务，建立婴幼儿健康照护服务数智化新模式，实现“智慧育儿”。善育在杭相关婴育照护服务多元，权威育儿内容丰富，应用大数据、人工智能等新质生产力，打造“杭小育应用”服务。应用3D动画建模、形象智能驱动等技术，打造全国首个婴幼儿养育照护动漫形象“杭小育”虚拟数字人，同时建立婴幼儿健康管理大语言模型，基于婴幼儿照护知识库（婴幼儿养育知识库、食育知识库、发育知识库、医育知识库），借助“杭小育”虚拟数字人形象，实现育儿家长养育照护相关知识的智能问答，在“便捷托”“托得起”“托得好”的目标之上，服务全市育儿家长精准获取育儿服务，将权威育儿知识个性化、精细化推荐给家长，进一步擦亮“善育在杭”金名片，在婴幼儿养育照护服务的科学性、精准性、智能化等层面领先全国其他省市。5、云资源服务。6、完成项目相关的安全建设工作</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96AF26F">
      <w:pPr>
        <w:pStyle w:val="131"/>
        <w:ind w:firstLine="482"/>
        <w:outlineLvl w:val="2"/>
        <w:rPr>
          <w:rFonts w:ascii="宋体" w:hAnsi="宋体" w:cs="宋体"/>
        </w:rPr>
      </w:pPr>
      <w:r>
        <w:rPr>
          <w:rFonts w:hint="eastAsia" w:ascii="宋体" w:hAnsi="宋体" w:cs="宋体"/>
          <w:b/>
        </w:rPr>
        <w:t>合同履约期限：</w:t>
      </w:r>
      <w:r>
        <w:rPr>
          <w:rFonts w:hint="eastAsia" w:ascii="宋体" w:hAnsi="宋体" w:cs="宋体"/>
        </w:rPr>
        <w:t>2024年12月10日前完成初验，2025年9月底前完成终验</w:t>
      </w:r>
      <w:r>
        <w:rPr>
          <w:rFonts w:hint="eastAsia" w:hAnsi="宋体" w:cs="宋体"/>
          <w:bCs/>
          <w:szCs w:val="24"/>
        </w:rPr>
        <w:t>。</w:t>
      </w:r>
    </w:p>
    <w:p w14:paraId="11CA5074">
      <w:pPr>
        <w:pStyle w:val="3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541475460"/>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662583076"/>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42627D11">
      <w:pPr>
        <w:spacing w:line="360" w:lineRule="auto"/>
        <w:rPr>
          <w:rFonts w:ascii="宋体" w:hAnsi="宋体" w:cs="宋体"/>
          <w:b/>
          <w:sz w:val="24"/>
        </w:rPr>
      </w:pPr>
      <w:r>
        <w:rPr>
          <w:rFonts w:hint="eastAsia" w:ascii="宋体" w:hAnsi="宋体" w:cs="宋体"/>
          <w:b/>
          <w:sz w:val="24"/>
        </w:rPr>
        <w:t>二、申请人的资格要求：</w:t>
      </w:r>
    </w:p>
    <w:p w14:paraId="7564220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2852BD2">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7F1B6B0">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51E447D">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421644F">
      <w:pPr>
        <w:spacing w:line="360" w:lineRule="auto"/>
        <w:ind w:firstLine="480" w:firstLineChars="200"/>
        <w:rPr>
          <w:rFonts w:ascii="宋体" w:hAnsi="宋体" w:cs="宋体"/>
          <w:sz w:val="24"/>
        </w:rPr>
      </w:pPr>
      <w:sdt>
        <w:sdtPr>
          <w:rPr>
            <w:rFonts w:hint="eastAsia" w:ascii="宋体" w:hAnsi="宋体" w:cs="宋体"/>
            <w:kern w:val="0"/>
            <w:sz w:val="24"/>
          </w:rPr>
          <w:id w:val="614776748"/>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3359FDD3">
      <w:pPr>
        <w:spacing w:line="360" w:lineRule="auto"/>
        <w:ind w:firstLine="897" w:firstLineChars="374"/>
        <w:rPr>
          <w:rFonts w:ascii="宋体" w:hAnsi="宋体" w:cs="宋体"/>
          <w:sz w:val="24"/>
        </w:rPr>
      </w:pPr>
      <w:sdt>
        <w:sdtPr>
          <w:rPr>
            <w:rFonts w:hint="eastAsia" w:ascii="宋体" w:hAnsi="宋体" w:cs="宋体"/>
            <w:kern w:val="0"/>
            <w:sz w:val="24"/>
          </w:rPr>
          <w:id w:val="573464175"/>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02E5B941">
      <w:pPr>
        <w:spacing w:line="360" w:lineRule="auto"/>
        <w:ind w:firstLine="897" w:firstLineChars="374"/>
        <w:rPr>
          <w:rFonts w:ascii="宋体" w:hAnsi="宋体" w:cs="宋体"/>
          <w:sz w:val="24"/>
        </w:rPr>
      </w:pPr>
      <w:sdt>
        <w:sdtPr>
          <w:rPr>
            <w:rFonts w:hint="eastAsia" w:ascii="宋体" w:hAnsi="宋体" w:cs="宋体"/>
            <w:kern w:val="0"/>
            <w:sz w:val="24"/>
          </w:rPr>
          <w:id w:val="60731828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2134BA4A">
      <w:pPr>
        <w:rPr>
          <w:rFonts w:ascii="宋体" w:hAnsi="宋体" w:cs="宋体"/>
        </w:rPr>
      </w:pPr>
    </w:p>
    <w:p w14:paraId="27697451">
      <w:pPr>
        <w:spacing w:line="360" w:lineRule="auto"/>
        <w:ind w:firstLine="480" w:firstLineChars="200"/>
        <w:rPr>
          <w:rFonts w:ascii="宋体" w:hAnsi="宋体" w:cs="宋体"/>
          <w:sz w:val="24"/>
        </w:rPr>
      </w:pPr>
      <w:sdt>
        <w:sdtPr>
          <w:rPr>
            <w:rFonts w:hint="eastAsia" w:ascii="宋体" w:hAnsi="宋体" w:cs="宋体"/>
            <w:kern w:val="0"/>
            <w:sz w:val="24"/>
          </w:rPr>
          <w:id w:val="8426502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E37763B">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578A6206">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3CBFCDCD">
      <w:pPr>
        <w:snapToGrid w:val="0"/>
        <w:spacing w:line="360" w:lineRule="auto"/>
        <w:ind w:firstLine="480" w:firstLineChars="200"/>
        <w:rPr>
          <w:rFonts w:ascii="宋体" w:hAnsi="宋体" w:cs="宋体"/>
          <w:sz w:val="24"/>
        </w:rPr>
      </w:pPr>
      <w:sdt>
        <w:sdtPr>
          <w:rPr>
            <w:rFonts w:hint="eastAsia" w:ascii="宋体" w:hAnsi="宋体" w:cs="宋体"/>
            <w:kern w:val="0"/>
            <w:sz w:val="24"/>
          </w:rPr>
          <w:id w:val="453214240"/>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无。</w:t>
      </w:r>
    </w:p>
    <w:p w14:paraId="7FC1B4AC">
      <w:pPr>
        <w:snapToGrid w:val="0"/>
        <w:spacing w:line="360" w:lineRule="auto"/>
        <w:ind w:firstLine="480" w:firstLineChars="200"/>
        <w:rPr>
          <w:rFonts w:ascii="宋体" w:hAnsi="宋体" w:cs="宋体"/>
          <w:sz w:val="24"/>
        </w:rPr>
      </w:pPr>
      <w:sdt>
        <w:sdtPr>
          <w:rPr>
            <w:rFonts w:hint="eastAsia" w:ascii="宋体" w:hAnsi="宋体" w:cs="宋体"/>
            <w:kern w:val="0"/>
            <w:sz w:val="24"/>
          </w:rPr>
          <w:id w:val="96603649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有特定资格要求：，该特定条件的法律法规依据：。</w:t>
      </w:r>
    </w:p>
    <w:p w14:paraId="605AB4E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200EB2">
      <w:pPr>
        <w:spacing w:line="360" w:lineRule="auto"/>
        <w:rPr>
          <w:rFonts w:ascii="宋体" w:hAnsi="宋体" w:cs="宋体"/>
          <w:b/>
          <w:sz w:val="24"/>
        </w:rPr>
      </w:pPr>
      <w:r>
        <w:rPr>
          <w:rFonts w:hint="eastAsia" w:ascii="宋体" w:hAnsi="宋体" w:cs="宋体"/>
          <w:b/>
          <w:sz w:val="24"/>
        </w:rPr>
        <w:t xml:space="preserve">三、获取招标文件 </w:t>
      </w:r>
    </w:p>
    <w:p w14:paraId="5BB6506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D7D150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26DDBB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8ED3F5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7BAFBB3">
      <w:pPr>
        <w:spacing w:line="360" w:lineRule="auto"/>
        <w:rPr>
          <w:rFonts w:ascii="宋体" w:hAnsi="宋体" w:cs="宋体"/>
          <w:b/>
          <w:sz w:val="24"/>
        </w:rPr>
      </w:pPr>
      <w:r>
        <w:rPr>
          <w:rFonts w:hint="eastAsia" w:ascii="宋体" w:hAnsi="宋体" w:cs="宋体"/>
          <w:b/>
          <w:sz w:val="24"/>
        </w:rPr>
        <w:t>四、提交投标文件截止时间、开标时间和地点</w:t>
      </w:r>
    </w:p>
    <w:p w14:paraId="2BAAB241">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bookmarkStart w:id="11" w:name="OLE_LINK1"/>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bookmarkEnd w:id="11"/>
      <w:r>
        <w:rPr>
          <w:rFonts w:hint="eastAsia" w:ascii="宋体" w:hAnsi="宋体" w:cs="宋体"/>
          <w:sz w:val="24"/>
        </w:rPr>
        <w:t>（北京时间）</w:t>
      </w:r>
    </w:p>
    <w:p w14:paraId="5B81A862">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FF4AC08">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p>
    <w:p w14:paraId="60EFC06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E90A057">
      <w:pPr>
        <w:spacing w:line="360" w:lineRule="auto"/>
        <w:rPr>
          <w:rFonts w:ascii="宋体" w:hAnsi="宋体" w:cs="宋体"/>
          <w:sz w:val="24"/>
        </w:rPr>
      </w:pPr>
      <w:r>
        <w:rPr>
          <w:rFonts w:hint="eastAsia" w:ascii="宋体" w:hAnsi="宋体" w:cs="宋体"/>
          <w:b/>
          <w:sz w:val="24"/>
        </w:rPr>
        <w:t xml:space="preserve">五、公告期限 </w:t>
      </w:r>
    </w:p>
    <w:p w14:paraId="79E41E2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866E91C">
      <w:pPr>
        <w:spacing w:line="360" w:lineRule="auto"/>
        <w:rPr>
          <w:rFonts w:ascii="宋体" w:hAnsi="宋体" w:cs="宋体"/>
          <w:b/>
          <w:sz w:val="24"/>
        </w:rPr>
      </w:pPr>
      <w:r>
        <w:rPr>
          <w:rFonts w:hint="eastAsia" w:ascii="宋体" w:hAnsi="宋体" w:cs="宋体"/>
          <w:b/>
          <w:sz w:val="24"/>
        </w:rPr>
        <w:t>六、其他补充事宜</w:t>
      </w:r>
    </w:p>
    <w:p w14:paraId="68A71026">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1F47781">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2E67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E1CD7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2946F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0CE8559">
      <w:pPr>
        <w:spacing w:line="360" w:lineRule="auto"/>
        <w:rPr>
          <w:rFonts w:ascii="宋体" w:hAnsi="宋体" w:cs="宋体"/>
          <w:sz w:val="24"/>
        </w:rPr>
      </w:pPr>
      <w:r>
        <w:rPr>
          <w:rFonts w:hint="eastAsia" w:ascii="宋体" w:hAnsi="宋体" w:cs="宋体"/>
          <w:sz w:val="24"/>
        </w:rPr>
        <w:t xml:space="preserve">    1.采购人信息</w:t>
      </w:r>
    </w:p>
    <w:p w14:paraId="50B40B79">
      <w:pPr>
        <w:spacing w:line="360" w:lineRule="auto"/>
        <w:rPr>
          <w:rFonts w:ascii="宋体" w:hAnsi="宋体" w:cs="宋体"/>
          <w:sz w:val="24"/>
        </w:rPr>
      </w:pPr>
      <w:r>
        <w:rPr>
          <w:rFonts w:hint="eastAsia" w:ascii="宋体" w:hAnsi="宋体" w:cs="宋体"/>
          <w:sz w:val="24"/>
        </w:rPr>
        <w:t xml:space="preserve">    名    称：杭州市卫生健康委员会 </w:t>
      </w:r>
    </w:p>
    <w:p w14:paraId="5F1E1197">
      <w:pPr>
        <w:spacing w:line="360" w:lineRule="auto"/>
        <w:rPr>
          <w:rFonts w:ascii="宋体" w:hAnsi="宋体" w:cs="宋体"/>
          <w:sz w:val="24"/>
        </w:rPr>
      </w:pPr>
      <w:r>
        <w:rPr>
          <w:rFonts w:hint="eastAsia" w:ascii="宋体" w:hAnsi="宋体" w:cs="宋体"/>
          <w:sz w:val="24"/>
        </w:rPr>
        <w:t xml:space="preserve">    地    址：杭州市市民中心D座16楼</w:t>
      </w:r>
    </w:p>
    <w:p w14:paraId="29810CD5">
      <w:pPr>
        <w:spacing w:line="360" w:lineRule="auto"/>
        <w:ind w:firstLine="480" w:firstLineChars="200"/>
        <w:rPr>
          <w:rFonts w:ascii="宋体" w:hAnsi="宋体" w:cs="宋体"/>
          <w:sz w:val="24"/>
        </w:rPr>
      </w:pPr>
      <w:r>
        <w:rPr>
          <w:rFonts w:hint="eastAsia" w:ascii="宋体" w:hAnsi="宋体" w:cs="宋体"/>
          <w:sz w:val="24"/>
        </w:rPr>
        <w:t>传    真：0571-87062874</w:t>
      </w:r>
    </w:p>
    <w:p w14:paraId="0643CCBD">
      <w:pPr>
        <w:spacing w:line="360" w:lineRule="auto"/>
        <w:ind w:firstLine="480" w:firstLineChars="200"/>
        <w:rPr>
          <w:rFonts w:ascii="宋体" w:hAnsi="宋体" w:cs="宋体"/>
          <w:sz w:val="24"/>
        </w:rPr>
      </w:pPr>
      <w:r>
        <w:rPr>
          <w:rFonts w:hint="eastAsia" w:ascii="宋体" w:hAnsi="宋体" w:cs="宋体"/>
          <w:sz w:val="24"/>
        </w:rPr>
        <w:t>项目联系人（询问）： 廖维维</w:t>
      </w:r>
    </w:p>
    <w:p w14:paraId="74FCC0C1">
      <w:pPr>
        <w:spacing w:line="360" w:lineRule="auto"/>
        <w:rPr>
          <w:rFonts w:ascii="宋体" w:hAnsi="宋体" w:cs="宋体"/>
          <w:sz w:val="24"/>
        </w:rPr>
      </w:pPr>
      <w:r>
        <w:rPr>
          <w:rFonts w:hint="eastAsia" w:ascii="宋体" w:hAnsi="宋体" w:cs="宋体"/>
          <w:sz w:val="24"/>
        </w:rPr>
        <w:t xml:space="preserve">    项目联系方式（询问）： 0571-85255377</w:t>
      </w:r>
    </w:p>
    <w:p w14:paraId="1BB58938">
      <w:pPr>
        <w:spacing w:line="360" w:lineRule="auto"/>
        <w:rPr>
          <w:rFonts w:ascii="宋体" w:hAnsi="宋体" w:cs="宋体"/>
          <w:sz w:val="24"/>
        </w:rPr>
      </w:pPr>
      <w:r>
        <w:rPr>
          <w:rFonts w:hint="eastAsia" w:ascii="宋体" w:hAnsi="宋体" w:cs="宋体"/>
          <w:sz w:val="24"/>
        </w:rPr>
        <w:t xml:space="preserve">    质疑联系人：葛全胜</w:t>
      </w:r>
    </w:p>
    <w:p w14:paraId="37944C16">
      <w:pPr>
        <w:spacing w:line="360" w:lineRule="auto"/>
        <w:rPr>
          <w:rFonts w:ascii="宋体" w:hAnsi="宋体" w:cs="宋体"/>
          <w:sz w:val="24"/>
        </w:rPr>
      </w:pPr>
      <w:r>
        <w:rPr>
          <w:rFonts w:hint="eastAsia" w:ascii="宋体" w:hAnsi="宋体" w:cs="宋体"/>
          <w:sz w:val="24"/>
        </w:rPr>
        <w:t xml:space="preserve">    质疑联系方式： 0571-85255349（请通过以下路径在线提起质疑：政采云-项目采购-询问质疑投诉-质疑列表）</w:t>
      </w:r>
    </w:p>
    <w:p w14:paraId="13EF499B">
      <w:pPr>
        <w:spacing w:line="360" w:lineRule="auto"/>
        <w:rPr>
          <w:rFonts w:ascii="宋体" w:hAnsi="宋体" w:cs="宋体"/>
          <w:sz w:val="24"/>
        </w:rPr>
      </w:pPr>
      <w:r>
        <w:rPr>
          <w:rFonts w:hint="eastAsia" w:ascii="宋体" w:hAnsi="宋体" w:cs="宋体"/>
          <w:sz w:val="24"/>
        </w:rPr>
        <w:t xml:space="preserve">    2.采购代理机构信息 </w:t>
      </w:r>
    </w:p>
    <w:p w14:paraId="19DD1CA7">
      <w:pPr>
        <w:spacing w:line="360" w:lineRule="auto"/>
        <w:ind w:firstLine="480"/>
        <w:rPr>
          <w:rFonts w:ascii="宋体" w:hAnsi="宋体" w:cs="宋体"/>
          <w:sz w:val="24"/>
        </w:rPr>
      </w:pPr>
      <w:r>
        <w:rPr>
          <w:rFonts w:hint="eastAsia" w:ascii="宋体" w:hAnsi="宋体" w:cs="宋体"/>
          <w:sz w:val="24"/>
        </w:rPr>
        <w:t>名    称：杭州市公共资源交易中心</w:t>
      </w:r>
    </w:p>
    <w:p w14:paraId="3ED63DE9">
      <w:pPr>
        <w:spacing w:line="360" w:lineRule="auto"/>
        <w:ind w:firstLine="480"/>
        <w:rPr>
          <w:rFonts w:ascii="宋体" w:hAnsi="宋体" w:cs="宋体"/>
          <w:sz w:val="24"/>
        </w:rPr>
      </w:pPr>
      <w:r>
        <w:rPr>
          <w:rFonts w:hint="eastAsia" w:ascii="宋体" w:hAnsi="宋体" w:cs="宋体"/>
          <w:sz w:val="24"/>
        </w:rPr>
        <w:t>地    址：杭州市上城区之江路925号</w:t>
      </w:r>
    </w:p>
    <w:p w14:paraId="2B81851D">
      <w:pPr>
        <w:spacing w:line="360" w:lineRule="auto"/>
        <w:rPr>
          <w:rFonts w:ascii="宋体" w:hAnsi="宋体" w:cs="宋体"/>
          <w:sz w:val="24"/>
        </w:rPr>
      </w:pPr>
      <w:r>
        <w:rPr>
          <w:rFonts w:hint="eastAsia" w:ascii="宋体" w:hAnsi="宋体" w:cs="宋体"/>
          <w:sz w:val="24"/>
        </w:rPr>
        <w:t xml:space="preserve">    传    真： /</w:t>
      </w:r>
    </w:p>
    <w:p w14:paraId="5D88CC7E">
      <w:pPr>
        <w:spacing w:line="360" w:lineRule="auto"/>
        <w:rPr>
          <w:rFonts w:ascii="宋体" w:hAnsi="宋体" w:cs="宋体"/>
          <w:sz w:val="24"/>
        </w:rPr>
      </w:pPr>
      <w:r>
        <w:rPr>
          <w:rFonts w:hint="eastAsia" w:ascii="宋体" w:hAnsi="宋体" w:cs="宋体"/>
          <w:sz w:val="24"/>
        </w:rPr>
        <w:t xml:space="preserve">    项目联系人（询问）： 潘工、张工</w:t>
      </w:r>
    </w:p>
    <w:p w14:paraId="353DE0CA">
      <w:pPr>
        <w:spacing w:line="360" w:lineRule="auto"/>
        <w:rPr>
          <w:rFonts w:ascii="宋体" w:hAnsi="宋体" w:cs="宋体"/>
          <w:sz w:val="24"/>
        </w:rPr>
      </w:pPr>
      <w:r>
        <w:rPr>
          <w:rFonts w:hint="eastAsia" w:ascii="宋体" w:hAnsi="宋体" w:cs="宋体"/>
          <w:sz w:val="24"/>
        </w:rPr>
        <w:t xml:space="preserve">    项目联系方式（询问）：0571-85085361、85085067</w:t>
      </w:r>
    </w:p>
    <w:p w14:paraId="687CB6ED">
      <w:pPr>
        <w:spacing w:line="360" w:lineRule="auto"/>
        <w:rPr>
          <w:rFonts w:ascii="宋体" w:hAnsi="宋体" w:cs="宋体"/>
          <w:sz w:val="24"/>
        </w:rPr>
      </w:pPr>
      <w:r>
        <w:rPr>
          <w:rFonts w:hint="eastAsia" w:ascii="宋体" w:hAnsi="宋体" w:cs="宋体"/>
          <w:sz w:val="24"/>
        </w:rPr>
        <w:t xml:space="preserve">    质疑联系人： 谢栋华</w:t>
      </w:r>
    </w:p>
    <w:p w14:paraId="4A5EC3F8">
      <w:pPr>
        <w:spacing w:line="360" w:lineRule="auto"/>
        <w:rPr>
          <w:rFonts w:ascii="宋体" w:hAnsi="宋体" w:cs="宋体"/>
          <w:sz w:val="24"/>
        </w:rPr>
      </w:pPr>
      <w:r>
        <w:rPr>
          <w:rFonts w:hint="eastAsia" w:ascii="宋体" w:hAnsi="宋体" w:cs="宋体"/>
          <w:sz w:val="24"/>
        </w:rPr>
        <w:t xml:space="preserve">    质疑联系方式：0571-85085477（请通过以下路径在线提起质疑：政采云-项目采购-询问质疑投诉-质疑列表）</w:t>
      </w:r>
    </w:p>
    <w:p w14:paraId="4FF06E7F">
      <w:pPr>
        <w:spacing w:line="360" w:lineRule="auto"/>
        <w:rPr>
          <w:rFonts w:ascii="宋体" w:hAnsi="宋体" w:cs="宋体"/>
          <w:sz w:val="24"/>
        </w:rPr>
      </w:pPr>
      <w:r>
        <w:rPr>
          <w:rFonts w:hint="eastAsia" w:ascii="宋体" w:hAnsi="宋体" w:cs="宋体"/>
          <w:sz w:val="24"/>
        </w:rPr>
        <w:t xml:space="preserve">    3.同级政府采购监督管理部门 </w:t>
      </w:r>
    </w:p>
    <w:p w14:paraId="5E87B58B">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4184D27B">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45F44D91">
      <w:pPr>
        <w:spacing w:line="360" w:lineRule="auto"/>
        <w:rPr>
          <w:rFonts w:ascii="宋体" w:hAnsi="宋体" w:cs="宋体"/>
          <w:sz w:val="24"/>
        </w:rPr>
      </w:pPr>
      <w:r>
        <w:rPr>
          <w:rFonts w:hint="eastAsia" w:ascii="宋体" w:hAnsi="宋体" w:cs="宋体"/>
          <w:sz w:val="24"/>
        </w:rPr>
        <w:t xml:space="preserve">    传    真： /</w:t>
      </w:r>
    </w:p>
    <w:p w14:paraId="57ED7107">
      <w:pPr>
        <w:spacing w:line="360" w:lineRule="auto"/>
        <w:rPr>
          <w:rFonts w:ascii="宋体" w:hAnsi="宋体" w:cs="宋体"/>
          <w:sz w:val="24"/>
        </w:rPr>
      </w:pPr>
      <w:r>
        <w:rPr>
          <w:rFonts w:hint="eastAsia" w:ascii="宋体" w:hAnsi="宋体" w:cs="宋体"/>
          <w:sz w:val="24"/>
        </w:rPr>
        <w:t xml:space="preserve">    联系人 ：朱女士、王女士</w:t>
      </w:r>
    </w:p>
    <w:p w14:paraId="39F84D83">
      <w:pPr>
        <w:spacing w:line="360" w:lineRule="auto"/>
        <w:ind w:firstLine="480"/>
        <w:rPr>
          <w:rFonts w:ascii="宋体" w:hAnsi="宋体" w:cs="宋体"/>
          <w:sz w:val="24"/>
        </w:rPr>
      </w:pPr>
      <w:r>
        <w:rPr>
          <w:rFonts w:hint="eastAsia" w:ascii="宋体" w:hAnsi="宋体" w:cs="宋体"/>
          <w:sz w:val="24"/>
        </w:rPr>
        <w:t xml:space="preserve">监督投诉电话： 0571-85252453   </w:t>
      </w:r>
    </w:p>
    <w:p w14:paraId="1D23A1C9">
      <w:pPr>
        <w:spacing w:line="360" w:lineRule="auto"/>
        <w:ind w:firstLine="480"/>
        <w:rPr>
          <w:rFonts w:ascii="宋体" w:hAnsi="宋体" w:cs="宋体"/>
          <w:sz w:val="24"/>
        </w:rPr>
      </w:pPr>
      <w:r>
        <w:rPr>
          <w:rFonts w:hint="eastAsia" w:ascii="宋体" w:hAnsi="宋体" w:cs="宋体"/>
          <w:sz w:val="24"/>
        </w:rPr>
        <w:t>政策咨询：陈先生、厉先生，0571-89580460、89580456</w:t>
      </w:r>
    </w:p>
    <w:p w14:paraId="317D8B30">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szCs w:val="21"/>
          <w:shd w:val="clear" w:color="auto" w:fill="FFFFFF"/>
        </w:rPr>
        <w:t>95763</w:t>
      </w:r>
      <w:r>
        <w:rPr>
          <w:rFonts w:hint="eastAsia" w:ascii="宋体" w:hAnsi="宋体" w:cs="宋体"/>
          <w:sz w:val="24"/>
        </w:rPr>
        <w:t>获取热线服务帮助。</w:t>
      </w:r>
    </w:p>
    <w:p w14:paraId="24F8E48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36BFB69">
      <w:pPr>
        <w:widowControl/>
        <w:adjustRightInd/>
        <w:jc w:val="left"/>
        <w:rPr>
          <w:rFonts w:ascii="宋体" w:hAnsi="宋体" w:cs="宋体"/>
          <w:b/>
          <w:sz w:val="36"/>
          <w:szCs w:val="20"/>
        </w:rPr>
      </w:pPr>
      <w:r>
        <w:rPr>
          <w:rFonts w:ascii="宋体" w:hAnsi="宋体" w:cs="宋体"/>
          <w:b/>
          <w:sz w:val="36"/>
          <w:szCs w:val="20"/>
        </w:rPr>
        <w:br w:type="page"/>
      </w:r>
    </w:p>
    <w:p w14:paraId="4DE88CA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1FFCC0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1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C886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6D2F3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1D0CF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8C2C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6F24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721E7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174AF7">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A498A8A">
            <w:pPr>
              <w:spacing w:line="360" w:lineRule="auto"/>
              <w:rPr>
                <w:rFonts w:ascii="宋体" w:hAnsi="宋体" w:cs="宋体"/>
                <w:sz w:val="24"/>
              </w:rPr>
            </w:pPr>
            <w:r>
              <w:rPr>
                <w:rFonts w:hint="eastAsia" w:ascii="宋体" w:hAnsi="宋体" w:cs="宋体"/>
                <w:sz w:val="24"/>
              </w:rPr>
              <w:t>服务类。</w:t>
            </w:r>
          </w:p>
        </w:tc>
      </w:tr>
      <w:tr w14:paraId="0A877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81860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94B80A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DE18C">
            <w:pPr>
              <w:pStyle w:val="3"/>
              <w:rPr>
                <w:lang w:val="en-US"/>
              </w:rPr>
            </w:pPr>
            <w:r>
              <w:rPr>
                <w:rFonts w:hint="eastAsia" w:ascii="宋体" w:hAnsi="宋体" w:eastAsia="宋体" w:cs="宋体"/>
                <w:b w:val="0"/>
                <w:bCs w:val="0"/>
                <w:kern w:val="0"/>
                <w:sz w:val="24"/>
                <w:szCs w:val="24"/>
                <w:lang w:val="en-US"/>
              </w:rPr>
              <w:t xml:space="preserve">标的： </w:t>
            </w:r>
            <w:r>
              <w:rPr>
                <w:rFonts w:hint="eastAsia" w:ascii="宋体" w:hAnsi="宋体" w:eastAsia="宋体" w:cs="宋体"/>
                <w:b w:val="0"/>
                <w:bCs w:val="0"/>
                <w:kern w:val="0"/>
                <w:sz w:val="24"/>
                <w:szCs w:val="24"/>
                <w:u w:val="single"/>
                <w:lang w:val="en-US"/>
              </w:rPr>
              <w:t>杭州市“善育在杭2.0”项目</w:t>
            </w:r>
            <w:r>
              <w:rPr>
                <w:rFonts w:hint="eastAsia" w:ascii="宋体" w:hAnsi="宋体" w:eastAsia="宋体" w:cs="宋体"/>
                <w:b w:val="0"/>
                <w:bCs w:val="0"/>
                <w:kern w:val="0"/>
                <w:sz w:val="24"/>
                <w:szCs w:val="24"/>
                <w:lang w:val="en-US"/>
              </w:rPr>
              <w:t>，属于</w:t>
            </w:r>
            <w:r>
              <w:rPr>
                <w:rFonts w:hint="eastAsia" w:ascii="宋体" w:hAnsi="宋体" w:eastAsia="宋体" w:cs="宋体"/>
                <w:b w:val="0"/>
                <w:bCs w:val="0"/>
                <w:kern w:val="0"/>
                <w:sz w:val="24"/>
                <w:szCs w:val="24"/>
                <w:u w:val="single"/>
                <w:lang w:val="en-US"/>
              </w:rPr>
              <w:t xml:space="preserve">软件和信息技术服务业 </w:t>
            </w:r>
            <w:r>
              <w:rPr>
                <w:rFonts w:hint="eastAsia" w:ascii="宋体" w:hAnsi="宋体" w:eastAsia="宋体" w:cs="宋体"/>
                <w:b w:val="0"/>
                <w:bCs w:val="0"/>
                <w:kern w:val="0"/>
                <w:sz w:val="24"/>
                <w:szCs w:val="24"/>
                <w:lang w:val="en-US"/>
              </w:rPr>
              <w:t>行业；</w:t>
            </w:r>
          </w:p>
        </w:tc>
      </w:tr>
      <w:tr w14:paraId="5B82D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48AC7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5B6306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5F5960">
            <w:pPr>
              <w:spacing w:line="360" w:lineRule="auto"/>
              <w:rPr>
                <w:rFonts w:ascii="宋体" w:hAnsi="宋体" w:cs="宋体"/>
                <w:kern w:val="0"/>
                <w:sz w:val="24"/>
              </w:rPr>
            </w:pPr>
            <w:sdt>
              <w:sdtPr>
                <w:rPr>
                  <w:rFonts w:hint="eastAsia" w:ascii="宋体" w:hAnsi="宋体" w:cs="宋体"/>
                  <w:kern w:val="0"/>
                  <w:sz w:val="24"/>
                </w:rPr>
                <w:id w:val="31898597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3A91B84">
            <w:pPr>
              <w:spacing w:line="360" w:lineRule="auto"/>
              <w:rPr>
                <w:rFonts w:ascii="宋体" w:hAnsi="宋体" w:cs="宋体"/>
              </w:rPr>
            </w:pPr>
            <w:sdt>
              <w:sdtPr>
                <w:rPr>
                  <w:rFonts w:hint="eastAsia" w:ascii="宋体" w:hAnsi="宋体" w:cs="宋体"/>
                  <w:kern w:val="0"/>
                  <w:sz w:val="24"/>
                </w:rPr>
                <w:id w:val="915060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4041E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50A2A1">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FD5C6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DD866F">
            <w:pPr>
              <w:spacing w:line="360" w:lineRule="auto"/>
              <w:rPr>
                <w:rFonts w:ascii="宋体" w:hAnsi="宋体" w:cs="宋体"/>
                <w:kern w:val="0"/>
                <w:sz w:val="24"/>
              </w:rPr>
            </w:pPr>
            <w:sdt>
              <w:sdtPr>
                <w:rPr>
                  <w:rFonts w:hint="eastAsia" w:ascii="宋体" w:hAnsi="宋体" w:cs="宋体"/>
                  <w:kern w:val="0"/>
                  <w:sz w:val="24"/>
                </w:rPr>
                <w:id w:val="791315928"/>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A同意将非主体、非关键性的</w:t>
            </w:r>
            <w:r>
              <w:rPr>
                <w:rFonts w:ascii="宋体" w:hAnsi="宋体" w:cs="宋体"/>
                <w:kern w:val="0"/>
                <w:sz w:val="24"/>
              </w:rPr>
              <w:t xml:space="preserve"> </w:t>
            </w:r>
            <w:r>
              <w:rPr>
                <w:rFonts w:hint="eastAsia" w:ascii="宋体" w:hAnsi="宋体" w:cs="宋体"/>
                <w:kern w:val="0"/>
                <w:sz w:val="24"/>
                <w:u w:val="single"/>
              </w:rPr>
              <w:t>善育在杭</w:t>
            </w:r>
            <w:r>
              <w:rPr>
                <w:rFonts w:ascii="宋体" w:hAnsi="宋体" w:cs="宋体"/>
                <w:kern w:val="0"/>
                <w:sz w:val="24"/>
                <w:u w:val="single"/>
              </w:rPr>
              <w:t>2.0－“托得好”服务中的0-3岁婴幼儿早期发展数智预警服务系统、杭州市托育机构质量评估、善育在杭2.0－“杭小育应用”服务中的食育知识库、云资源服务、项目安全建设</w:t>
            </w:r>
            <w:r>
              <w:rPr>
                <w:rFonts w:hint="eastAsia" w:ascii="宋体" w:hAnsi="宋体" w:cs="宋体"/>
                <w:kern w:val="0"/>
                <w:sz w:val="24"/>
              </w:rPr>
              <w:t>的工作分包。</w:t>
            </w:r>
          </w:p>
          <w:p w14:paraId="3E0557C8">
            <w:pPr>
              <w:spacing w:line="360" w:lineRule="auto"/>
              <w:rPr>
                <w:rFonts w:ascii="宋体" w:hAnsi="宋体" w:cs="宋体"/>
                <w:sz w:val="24"/>
              </w:rPr>
            </w:pPr>
            <w:sdt>
              <w:sdtPr>
                <w:rPr>
                  <w:rFonts w:hint="eastAsia" w:ascii="宋体" w:hAnsi="宋体" w:cs="宋体"/>
                  <w:kern w:val="0"/>
                  <w:sz w:val="24"/>
                </w:rPr>
                <w:id w:val="94592338"/>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66248D5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377C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E98D3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484CB7">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A12144">
            <w:pPr>
              <w:spacing w:line="360" w:lineRule="auto"/>
              <w:rPr>
                <w:rFonts w:ascii="宋体" w:hAnsi="宋体" w:cs="宋体"/>
                <w:sz w:val="24"/>
              </w:rPr>
            </w:pPr>
            <w:sdt>
              <w:sdtPr>
                <w:rPr>
                  <w:rFonts w:hint="eastAsia" w:ascii="宋体" w:hAnsi="宋体" w:cs="宋体"/>
                  <w:kern w:val="0"/>
                  <w:sz w:val="24"/>
                </w:rPr>
                <w:id w:val="5528566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2ABDDC1">
            <w:pPr>
              <w:spacing w:line="360" w:lineRule="auto"/>
              <w:rPr>
                <w:rFonts w:ascii="宋体" w:hAnsi="宋体" w:cs="宋体"/>
                <w:sz w:val="24"/>
                <w:szCs w:val="20"/>
              </w:rPr>
            </w:pPr>
            <w:sdt>
              <w:sdtPr>
                <w:rPr>
                  <w:rFonts w:hint="eastAsia" w:ascii="宋体" w:hAnsi="宋体" w:cs="宋体"/>
                  <w:kern w:val="0"/>
                  <w:sz w:val="24"/>
                </w:rPr>
                <w:id w:val="64487020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567B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0C1A2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CE2E7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E84B1A">
            <w:pPr>
              <w:spacing w:line="360" w:lineRule="auto"/>
              <w:rPr>
                <w:rFonts w:ascii="宋体" w:hAnsi="宋体" w:cs="宋体"/>
                <w:sz w:val="24"/>
              </w:rPr>
            </w:pPr>
            <w:sdt>
              <w:sdtPr>
                <w:rPr>
                  <w:rFonts w:hint="eastAsia" w:ascii="宋体" w:hAnsi="宋体" w:cs="宋体"/>
                  <w:kern w:val="0"/>
                  <w:sz w:val="24"/>
                </w:rPr>
                <w:id w:val="582994677"/>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6F989F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B要求提供（未提供样品或提供样品不满足采购需求实质性条件的供应商，投标无效）：</w:t>
            </w:r>
          </w:p>
          <w:p w14:paraId="6E68FA0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7627AB5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1DB0BF34">
            <w:pPr>
              <w:spacing w:line="360" w:lineRule="auto"/>
              <w:rPr>
                <w:rFonts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14:paraId="3C5E20CC">
            <w:pPr>
              <w:spacing w:line="360" w:lineRule="auto"/>
              <w:ind w:firstLine="240" w:firstLineChars="100"/>
              <w:rPr>
                <w:rFonts w:ascii="宋体" w:hAnsi="宋体" w:cs="宋体"/>
                <w:sz w:val="24"/>
              </w:rPr>
            </w:pPr>
            <w:sdt>
              <w:sdtPr>
                <w:rPr>
                  <w:rFonts w:hint="eastAsia" w:ascii="宋体" w:hAnsi="宋体" w:cs="宋体"/>
                  <w:kern w:val="0"/>
                  <w:sz w:val="24"/>
                </w:rPr>
                <w:id w:val="83894153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样品分未超过价格分的50%；</w:t>
            </w:r>
          </w:p>
          <w:p w14:paraId="0B8B8651">
            <w:pPr>
              <w:spacing w:line="360" w:lineRule="auto"/>
              <w:ind w:firstLine="240" w:firstLineChars="100"/>
              <w:rPr>
                <w:rFonts w:ascii="宋体" w:hAnsi="宋体" w:cs="宋体"/>
                <w:kern w:val="0"/>
                <w:sz w:val="24"/>
              </w:rPr>
            </w:pPr>
            <w:sdt>
              <w:sdtPr>
                <w:rPr>
                  <w:rFonts w:hint="eastAsia" w:ascii="宋体" w:hAnsi="宋体" w:cs="宋体"/>
                  <w:kern w:val="0"/>
                  <w:sz w:val="24"/>
                </w:rPr>
                <w:id w:val="96156927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kern w:val="0"/>
                <w:sz w:val="24"/>
              </w:rPr>
              <w:t>；</w:t>
            </w:r>
          </w:p>
          <w:p w14:paraId="21CDA565">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评标办分法</w:t>
            </w:r>
            <w:r>
              <w:rPr>
                <w:rFonts w:hint="eastAsia" w:ascii="宋体" w:hAnsi="宋体" w:cs="宋体"/>
                <w:kern w:val="0"/>
                <w:sz w:val="24"/>
              </w:rPr>
              <w:t xml:space="preserve">。 </w:t>
            </w:r>
          </w:p>
          <w:p w14:paraId="04FB9AD7">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5694D9C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06F6551">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9F33BA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E263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14EDAF">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EA7BA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03E2D8">
            <w:pPr>
              <w:spacing w:line="360" w:lineRule="auto"/>
              <w:rPr>
                <w:rFonts w:ascii="宋体" w:hAnsi="宋体" w:cs="宋体"/>
                <w:sz w:val="24"/>
              </w:rPr>
            </w:pPr>
            <w:sdt>
              <w:sdtPr>
                <w:rPr>
                  <w:rFonts w:hint="eastAsia" w:ascii="宋体" w:hAnsi="宋体" w:cs="宋体"/>
                  <w:kern w:val="0"/>
                  <w:sz w:val="24"/>
                </w:rPr>
                <w:id w:val="550532845"/>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BD87AEE">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14:paraId="268DA1B2">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lang w:val="en-US" w:eastAsia="zh-CN"/>
              </w:rPr>
              <w:t>20</w:t>
            </w:r>
            <w:r>
              <w:rPr>
                <w:rFonts w:hint="eastAsia" w:ascii="宋体" w:hAnsi="宋体" w:cs="宋体"/>
                <w:kern w:val="0"/>
                <w:sz w:val="24"/>
              </w:rPr>
              <w:t>分钟，讲解次序以投标文件解密时间先后次序为准，讲解演示人员不超过3人。讲解演示结束后按要求解答评标委员会提问。</w:t>
            </w:r>
          </w:p>
          <w:p w14:paraId="47CC58C2">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592610F">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C4AF41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杭州市公共资源交易中心4楼答疑室（讲标室）</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096C23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A9FA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B53056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D5785E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F8D9804">
            <w:pPr>
              <w:spacing w:line="360" w:lineRule="auto"/>
              <w:rPr>
                <w:rFonts w:ascii="宋体" w:hAnsi="宋体" w:cs="宋体"/>
                <w:sz w:val="24"/>
              </w:rPr>
            </w:pPr>
            <w:r>
              <w:rPr>
                <w:rFonts w:hint="eastAsia" w:ascii="宋体" w:hAnsi="宋体" w:cs="宋体"/>
                <w:sz w:val="24"/>
              </w:rPr>
              <w:t>（1）资格证明文件：见招标文件第二部分11.1。</w:t>
            </w:r>
          </w:p>
          <w:p w14:paraId="6DB6EE5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5340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5F5E24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78201C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273C9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1A89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6555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FA4823">
            <w:pPr>
              <w:snapToGrid w:val="0"/>
              <w:spacing w:line="360" w:lineRule="auto"/>
              <w:jc w:val="center"/>
              <w:rPr>
                <w:rFonts w:ascii="宋体" w:hAnsi="宋体" w:cs="宋体"/>
                <w:b/>
                <w:sz w:val="24"/>
              </w:rPr>
            </w:pPr>
            <w:r>
              <w:rPr>
                <w:rFonts w:hint="eastAsia" w:ascii="宋体" w:hAnsi="宋体" w:cs="宋体"/>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268B6">
            <w:pPr>
              <w:spacing w:line="360" w:lineRule="auto"/>
              <w:rPr>
                <w:rFonts w:ascii="宋体" w:hAnsi="宋体" w:cs="宋体"/>
                <w:kern w:val="0"/>
                <w:sz w:val="24"/>
                <w:lang w:val="zh-CN"/>
              </w:rPr>
            </w:pPr>
            <w:sdt>
              <w:sdtPr>
                <w:rPr>
                  <w:rFonts w:hint="eastAsia" w:ascii="宋体" w:hAnsi="宋体" w:cs="宋体"/>
                  <w:kern w:val="0"/>
                  <w:sz w:val="24"/>
                </w:rPr>
                <w:id w:val="386232013"/>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kern w:val="0"/>
                <w:sz w:val="24"/>
                <w:u w:val="single"/>
                <w:shd w:val="pct10" w:color="auto" w:fill="FFFFFF"/>
                <w:lang w:val="zh-CN"/>
              </w:rPr>
              <w:t>产品名称XXX</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shd w:val="pct10" w:color="auto" w:fill="FFFFFF"/>
                <w:lang w:val="zh-CN"/>
              </w:rPr>
              <w:t>产品名称XXX</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1D69ECFB">
            <w:pPr>
              <w:spacing w:line="360" w:lineRule="auto"/>
              <w:rPr>
                <w:rFonts w:ascii="宋体" w:hAnsi="宋体" w:cs="宋体"/>
                <w:kern w:val="0"/>
                <w:sz w:val="24"/>
                <w:lang w:val="zh-CN"/>
              </w:rPr>
            </w:pPr>
            <w:sdt>
              <w:sdtPr>
                <w:rPr>
                  <w:rFonts w:hint="eastAsia" w:ascii="宋体" w:hAnsi="宋体" w:cs="宋体"/>
                  <w:kern w:val="0"/>
                  <w:sz w:val="24"/>
                  <w:lang w:val="zh-CN"/>
                </w:rPr>
                <w:id w:val="93515011"/>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依据国家确定的认证机构出具的、处于有效期之内的环境标志产品认证证书，对获得证书的</w:t>
            </w:r>
            <w:r>
              <w:rPr>
                <w:rFonts w:hint="eastAsia" w:ascii="宋体" w:hAnsi="宋体" w:cs="宋体"/>
                <w:kern w:val="0"/>
                <w:sz w:val="24"/>
                <w:u w:val="single"/>
                <w:shd w:val="pct10" w:color="auto" w:fill="FFFFFF"/>
                <w:lang w:val="zh-CN"/>
              </w:rPr>
              <w:t>产品名称XXX</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2C461439">
            <w:pPr>
              <w:snapToGrid w:val="0"/>
              <w:spacing w:line="360" w:lineRule="auto"/>
              <w:rPr>
                <w:rFonts w:ascii="宋体" w:hAnsi="宋体" w:cs="宋体"/>
              </w:rPr>
            </w:pPr>
            <w:sdt>
              <w:sdtPr>
                <w:rPr>
                  <w:rFonts w:hint="eastAsia" w:ascii="宋体" w:hAnsi="宋体" w:cs="宋体"/>
                  <w:kern w:val="0"/>
                  <w:sz w:val="24"/>
                </w:rPr>
                <w:id w:val="92761859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无。</w:t>
            </w:r>
          </w:p>
        </w:tc>
      </w:tr>
      <w:tr w14:paraId="26A0A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5EA705">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1A5374">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614F340">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16A569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81F35F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6F12B4B">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D5F124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9EB8DB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0DF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02FF234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54D2C1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27312DA">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BD0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C06DD4">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68361F">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7B5ACD2">
            <w:pPr>
              <w:pStyle w:val="59"/>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杭州市之江路925号临江金座2号楼1010室（杭州市公共资源交易中心政府采购处） </w:t>
            </w:r>
            <w:r>
              <w:rPr>
                <w:rFonts w:hint="eastAsia" w:hAnsi="宋体" w:cs="宋体"/>
                <w:kern w:val="28"/>
                <w:sz w:val="24"/>
                <w:szCs w:val="24"/>
              </w:rPr>
              <w:t>；备份投标文件签收人员联系电话：</w:t>
            </w:r>
            <w:r>
              <w:rPr>
                <w:rFonts w:hint="eastAsia" w:hAnsi="宋体" w:cs="宋体"/>
                <w:sz w:val="24"/>
                <w:u w:val="single"/>
              </w:rPr>
              <w:t xml:space="preserve">  0571-87008103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76F3D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DCE324B">
            <w:pPr>
              <w:snapToGrid w:val="0"/>
              <w:spacing w:line="360" w:lineRule="auto"/>
              <w:jc w:val="center"/>
              <w:rPr>
                <w:rFonts w:ascii="宋体" w:hAnsi="宋体" w:cs="宋体"/>
                <w:sz w:val="24"/>
              </w:rPr>
            </w:pPr>
            <w:r>
              <w:rPr>
                <w:rFonts w:hint="eastAsia" w:ascii="宋体" w:hAnsi="宋体" w:cs="宋体"/>
                <w:sz w:val="24"/>
              </w:rPr>
              <w:t>1</w:t>
            </w:r>
            <w:r>
              <w:rPr>
                <w:rFonts w:ascii="宋体" w:hAnsi="宋体" w:cs="宋体"/>
                <w:sz w:val="24"/>
              </w:rPr>
              <w:t>3</w:t>
            </w:r>
          </w:p>
        </w:tc>
        <w:tc>
          <w:tcPr>
            <w:tcW w:w="1843" w:type="dxa"/>
            <w:vMerge w:val="restart"/>
            <w:tcBorders>
              <w:top w:val="single" w:color="000000" w:sz="8" w:space="0"/>
              <w:left w:val="single" w:color="000000" w:sz="2" w:space="0"/>
              <w:right w:val="single" w:color="000000" w:sz="8" w:space="0"/>
            </w:tcBorders>
            <w:vAlign w:val="center"/>
          </w:tcPr>
          <w:p w14:paraId="478FCA09">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FDA2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36E01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80CF3A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C74AB0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B08C7F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161947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59EFC93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59884315"/>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36455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95405CC">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966D80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6874625">
            <w:pPr>
              <w:spacing w:line="360" w:lineRule="auto"/>
              <w:rPr>
                <w:rFonts w:cs="Arial" w:asciiTheme="minorEastAsia" w:hAnsiTheme="minorEastAsia" w:eastAsiaTheme="minorEastAsia"/>
                <w:kern w:val="0"/>
                <w:sz w:val="24"/>
              </w:rPr>
            </w:pPr>
            <w:r>
              <w:rPr>
                <w:rFonts w:hint="eastAsia" w:ascii="宋体" w:hAnsi="宋体" w:cs="Arial"/>
                <w:kern w:val="0"/>
                <w:sz w:val="24"/>
              </w:rPr>
              <w:t>招标文件第四部分</w:t>
            </w:r>
            <w:r>
              <w:rPr>
                <w:rFonts w:hint="eastAsia" w:cs="Arial" w:asciiTheme="minorEastAsia" w:hAnsiTheme="minorEastAsia" w:eastAsiaTheme="minorEastAsia"/>
                <w:kern w:val="0"/>
                <w:sz w:val="24"/>
              </w:rPr>
              <w:t>评审因素对应的要求</w:t>
            </w:r>
            <w:r>
              <w:rPr>
                <w:rFonts w:hint="eastAsia" w:ascii="宋体" w:hAnsi="宋体" w:cs="Arial"/>
                <w:kern w:val="0"/>
                <w:sz w:val="24"/>
              </w:rPr>
              <w:t>及第五部分采购合同的内容</w:t>
            </w:r>
            <w:r>
              <w:rPr>
                <w:rFonts w:hint="eastAsia" w:cs="Arial" w:asciiTheme="minorEastAsia" w:hAnsiTheme="minorEastAsia" w:eastAsiaTheme="minorEastAsia"/>
                <w:kern w:val="0"/>
                <w:sz w:val="24"/>
              </w:rPr>
              <w:t>视为采购需求的一部分。</w:t>
            </w:r>
          </w:p>
        </w:tc>
      </w:tr>
      <w:tr w14:paraId="072BD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4ADDB22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FF7740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7A9811">
            <w:pPr>
              <w:spacing w:line="360" w:lineRule="auto"/>
              <w:rPr>
                <w:rFonts w:ascii="宋体" w:hAnsi="宋体" w:cs="Arial"/>
                <w:kern w:val="0"/>
                <w:sz w:val="24"/>
              </w:rPr>
            </w:pPr>
            <w:r>
              <w:rPr>
                <w:rFonts w:hint="eastAsia" w:ascii="宋体" w:hAnsi="宋体" w:cs="宋体"/>
                <w:kern w:val="0"/>
                <w:sz w:val="24"/>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rPr>
              <w:t>。</w:t>
            </w:r>
          </w:p>
        </w:tc>
      </w:tr>
    </w:tbl>
    <w:p w14:paraId="790159EA">
      <w:pPr>
        <w:snapToGrid w:val="0"/>
        <w:spacing w:line="360" w:lineRule="auto"/>
        <w:jc w:val="center"/>
        <w:rPr>
          <w:rFonts w:ascii="宋体" w:hAnsi="宋体" w:cs="宋体"/>
          <w:b/>
          <w:sz w:val="32"/>
          <w:szCs w:val="20"/>
        </w:rPr>
      </w:pPr>
    </w:p>
    <w:bookmarkEnd w:id="10"/>
    <w:p w14:paraId="05BDE90F">
      <w:pPr>
        <w:adjustRightInd/>
        <w:spacing w:line="360" w:lineRule="auto"/>
        <w:ind w:firstLine="3845" w:firstLineChars="1197"/>
        <w:outlineLvl w:val="0"/>
        <w:rPr>
          <w:rFonts w:ascii="宋体" w:hAnsi="宋体" w:cs="宋体"/>
          <w:b/>
          <w:sz w:val="32"/>
          <w:szCs w:val="20"/>
        </w:rPr>
      </w:pPr>
      <w:bookmarkStart w:id="12" w:name="_Toc164416483"/>
      <w:bookmarkStart w:id="13" w:name="第三部分"/>
      <w:r>
        <w:rPr>
          <w:rFonts w:hint="eastAsia" w:ascii="宋体" w:hAnsi="宋体" w:cs="宋体"/>
          <w:b/>
          <w:sz w:val="32"/>
          <w:szCs w:val="20"/>
        </w:rPr>
        <w:t>一、总则</w:t>
      </w:r>
    </w:p>
    <w:p w14:paraId="5688BE01">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80B9F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7FC2651">
      <w:pPr>
        <w:adjustRightInd/>
        <w:spacing w:line="360" w:lineRule="auto"/>
        <w:outlineLvl w:val="0"/>
        <w:rPr>
          <w:rFonts w:ascii="宋体" w:hAnsi="宋体" w:cs="宋体"/>
          <w:b/>
          <w:sz w:val="24"/>
        </w:rPr>
      </w:pPr>
      <w:r>
        <w:rPr>
          <w:rFonts w:hint="eastAsia" w:ascii="宋体" w:hAnsi="宋体" w:cs="宋体"/>
          <w:b/>
          <w:sz w:val="24"/>
        </w:rPr>
        <w:t xml:space="preserve">   2.定义</w:t>
      </w:r>
    </w:p>
    <w:p w14:paraId="1E7DAF8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5268BF5">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B4E231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C4FA81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62B2E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2626D9">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13048C6A">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5CC14AA">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11D4061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C0F2AA9">
      <w:pPr>
        <w:spacing w:line="360" w:lineRule="auto"/>
        <w:ind w:firstLine="240" w:firstLineChars="100"/>
        <w:rPr>
          <w:rFonts w:ascii="宋体" w:hAnsi="宋体" w:cs="宋体"/>
          <w:sz w:val="24"/>
        </w:rPr>
      </w:pPr>
      <w:r>
        <w:rPr>
          <w:rFonts w:hint="eastAsia" w:ascii="宋体" w:hAnsi="宋体" w:cs="宋体"/>
          <w:sz w:val="24"/>
        </w:rPr>
        <w:t>3.2 支持绿色发展</w:t>
      </w:r>
    </w:p>
    <w:p w14:paraId="0190601A">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F71330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778ECD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9BCB06">
      <w:pPr>
        <w:spacing w:line="360" w:lineRule="auto"/>
        <w:ind w:firstLine="240" w:firstLineChars="100"/>
        <w:rPr>
          <w:rFonts w:ascii="宋体" w:hAnsi="宋体" w:cs="宋体"/>
          <w:sz w:val="24"/>
        </w:rPr>
      </w:pPr>
      <w:r>
        <w:rPr>
          <w:rFonts w:hint="eastAsia" w:ascii="宋体" w:hAnsi="宋体" w:cs="宋体"/>
          <w:sz w:val="24"/>
        </w:rPr>
        <w:t>3.3支持中小企业发展</w:t>
      </w:r>
    </w:p>
    <w:p w14:paraId="7B59456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CC52D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5BEF7A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1CF01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852CE3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rPr>
        <w:t>评标办法明确具体的扣除比例，未明确的，给予</w:t>
      </w:r>
      <w:r>
        <w:rPr>
          <w:rFonts w:ascii="宋体" w:hAnsi="宋体" w:cs="宋体"/>
          <w:sz w:val="24"/>
        </w:rPr>
        <w:t>20</w:t>
      </w:r>
      <w:r>
        <w:rPr>
          <w:rFonts w:hint="eastAsia" w:ascii="宋体" w:hAnsi="宋体" w:cs="宋体"/>
          <w:sz w:val="24"/>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422EFE6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D00DBA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78EBC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6EA0C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2EE1613">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CEA812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CEDEAD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70321B3">
      <w:pPr>
        <w:spacing w:line="360" w:lineRule="auto"/>
        <w:ind w:left="239" w:leftChars="114" w:firstLine="240" w:firstLineChars="100"/>
        <w:rPr>
          <w:rFonts w:ascii="宋体" w:hAnsi="宋体" w:cs="宋体"/>
          <w:sz w:val="24"/>
        </w:rPr>
      </w:pPr>
      <w:r>
        <w:rPr>
          <w:rFonts w:hint="eastAsia" w:ascii="宋体" w:hAnsi="宋体" w:cs="仿宋"/>
          <w:sz w:val="24"/>
        </w:rPr>
        <w:t>3.4.3 采购人应当贯彻落实知识产权保护相关法律法规，应当采购使用正版软件。</w:t>
      </w:r>
      <w:r>
        <w:rPr>
          <w:rFonts w:hint="eastAsia" w:ascii="宋体" w:hAnsi="宋体" w:cs="宋体"/>
          <w:sz w:val="24"/>
        </w:rPr>
        <w:t>3.5平等对待内外资企业和符合条件的破产重整企业</w:t>
      </w:r>
    </w:p>
    <w:p w14:paraId="1CD6D6D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b/>
          <w:bCs/>
          <w:sz w:val="24"/>
        </w:rPr>
        <w:t>、补偿救济</w:t>
      </w:r>
    </w:p>
    <w:p w14:paraId="23C60FE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BB6C3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D5D89B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B2B26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69244B7">
      <w:pPr>
        <w:pStyle w:val="59"/>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6E67E49">
      <w:pPr>
        <w:pStyle w:val="59"/>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1F6B2A5">
      <w:pPr>
        <w:pStyle w:val="3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FE12177">
      <w:pPr>
        <w:pStyle w:val="59"/>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6B9A33B">
      <w:pPr>
        <w:pStyle w:val="59"/>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EB4863E">
      <w:pPr>
        <w:pStyle w:val="59"/>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1FEFA1F">
      <w:pPr>
        <w:pStyle w:val="59"/>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D796EDD">
      <w:pPr>
        <w:pStyle w:val="59"/>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865B469">
      <w:pPr>
        <w:pStyle w:val="59"/>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BB38A8E">
      <w:pPr>
        <w:pStyle w:val="59"/>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8B16265">
      <w:pPr>
        <w:pStyle w:val="59"/>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0083AAD">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9D1283B">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167A156F">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23CA4E8">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.5采购人或者采购机构应当根据</w:t>
      </w:r>
      <w:r>
        <w:rPr>
          <w:rFonts w:hint="eastAsia" w:asciiTheme="minorEastAsia" w:hAnsiTheme="minorEastAsia" w:eastAsiaTheme="minorEastAsia"/>
        </w:rPr>
        <w:t>《杭州市集中采购委托协议》的约定，</w:t>
      </w:r>
      <w:r>
        <w:rPr>
          <w:rFonts w:hint="eastAsia"/>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AB251DA">
      <w:pPr>
        <w:pStyle w:val="889"/>
        <w:shd w:val="clear" w:color="auto" w:fill="FFFFFF"/>
        <w:snapToGrid w:val="0"/>
        <w:spacing w:after="240" w:line="360" w:lineRule="auto"/>
        <w:ind w:firstLine="400"/>
        <w:contextualSpacing/>
      </w:pPr>
      <w:r>
        <w:rPr>
          <w:rFonts w:hint="eastAsia"/>
        </w:rPr>
        <w:t>根据采购人与采购机构签订的《杭州市集中采购委托协议》的约定，质疑答复责任主体如下：</w:t>
      </w:r>
    </w:p>
    <w:p w14:paraId="4805B2FD">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D59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4108ED07">
            <w:pPr>
              <w:pStyle w:val="59"/>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质疑内容</w:t>
            </w:r>
          </w:p>
        </w:tc>
        <w:tc>
          <w:tcPr>
            <w:tcW w:w="2232" w:type="dxa"/>
            <w:vAlign w:val="center"/>
          </w:tcPr>
          <w:p w14:paraId="08636266">
            <w:pPr>
              <w:pStyle w:val="59"/>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质疑答复责任主体</w:t>
            </w:r>
          </w:p>
        </w:tc>
      </w:tr>
      <w:tr w14:paraId="64F2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138AC7B">
            <w:pPr>
              <w:pStyle w:val="59"/>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6A725F04">
            <w:pPr>
              <w:pStyle w:val="59"/>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对采购文件中“申请人的资格要求”、“采购需求”、“评审办法”、“采购合同的主要条款”、“采购文件前附表内容”、“报价内容”的质疑</w:t>
            </w:r>
          </w:p>
        </w:tc>
        <w:tc>
          <w:tcPr>
            <w:tcW w:w="2232" w:type="dxa"/>
            <w:vAlign w:val="center"/>
          </w:tcPr>
          <w:p w14:paraId="26FAD60E">
            <w:pPr>
              <w:pStyle w:val="59"/>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392E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299F4E1">
            <w:pPr>
              <w:pStyle w:val="59"/>
              <w:spacing w:line="360" w:lineRule="auto"/>
              <w:jc w:val="center"/>
              <w:rPr>
                <w:rFonts w:asciiTheme="minorEastAsia" w:hAnsiTheme="minorEastAsia" w:eastAsiaTheme="minorEastAsia"/>
                <w:sz w:val="24"/>
              </w:rPr>
            </w:pPr>
          </w:p>
        </w:tc>
        <w:tc>
          <w:tcPr>
            <w:tcW w:w="4536" w:type="dxa"/>
            <w:vAlign w:val="center"/>
          </w:tcPr>
          <w:p w14:paraId="35303F1A">
            <w:pPr>
              <w:pStyle w:val="59"/>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1F781767">
            <w:pPr>
              <w:pStyle w:val="59"/>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采购机构</w:t>
            </w:r>
          </w:p>
        </w:tc>
      </w:tr>
      <w:tr w14:paraId="1DCA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927A0AF">
            <w:pPr>
              <w:pStyle w:val="59"/>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对采购过程、采购结果提出质疑</w:t>
            </w:r>
          </w:p>
        </w:tc>
        <w:tc>
          <w:tcPr>
            <w:tcW w:w="4536" w:type="dxa"/>
            <w:vAlign w:val="center"/>
          </w:tcPr>
          <w:p w14:paraId="00E66723">
            <w:pPr>
              <w:pStyle w:val="59"/>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对“现场考察、答疑会”、 “甲方负责接收和保存的样品” 、“资格审查”等由采购人负责组织的环节的质疑</w:t>
            </w:r>
          </w:p>
        </w:tc>
        <w:tc>
          <w:tcPr>
            <w:tcW w:w="2232" w:type="dxa"/>
            <w:vAlign w:val="center"/>
          </w:tcPr>
          <w:p w14:paraId="1DDA7025">
            <w:pPr>
              <w:pStyle w:val="59"/>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CE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1E4305D9">
            <w:pPr>
              <w:pStyle w:val="59"/>
              <w:spacing w:line="360" w:lineRule="auto"/>
              <w:jc w:val="center"/>
              <w:rPr>
                <w:rFonts w:asciiTheme="minorEastAsia" w:hAnsiTheme="minorEastAsia" w:eastAsiaTheme="minorEastAsia"/>
                <w:sz w:val="24"/>
              </w:rPr>
            </w:pPr>
          </w:p>
        </w:tc>
        <w:tc>
          <w:tcPr>
            <w:tcW w:w="4536" w:type="dxa"/>
            <w:vAlign w:val="center"/>
          </w:tcPr>
          <w:p w14:paraId="4A4486B9">
            <w:pPr>
              <w:pStyle w:val="59"/>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对采购过程、采购结果其他环节的质疑</w:t>
            </w:r>
          </w:p>
        </w:tc>
        <w:tc>
          <w:tcPr>
            <w:tcW w:w="2232" w:type="dxa"/>
            <w:vAlign w:val="center"/>
          </w:tcPr>
          <w:p w14:paraId="6CF4AB2C">
            <w:pPr>
              <w:pStyle w:val="59"/>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采购机构</w:t>
            </w:r>
          </w:p>
        </w:tc>
      </w:tr>
    </w:tbl>
    <w:p w14:paraId="5A718192">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5AD0683">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7B18589">
      <w:pPr>
        <w:pStyle w:val="889"/>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719C338C">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22BF50F">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56735F2">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4BF5AE4">
      <w:pPr>
        <w:pStyle w:val="889"/>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0571-85252453。</w:t>
      </w:r>
    </w:p>
    <w:p w14:paraId="30C596C2">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2ABA41FC">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5FED207A">
      <w:pPr>
        <w:pStyle w:val="889"/>
        <w:shd w:val="clear" w:color="auto" w:fill="FFFFFF"/>
        <w:snapToGrid w:val="0"/>
        <w:spacing w:before="0" w:beforeAutospacing="0" w:after="240" w:afterAutospacing="0" w:line="360" w:lineRule="auto"/>
        <w:ind w:firstLine="400"/>
        <w:contextualSpacing/>
      </w:pPr>
      <w:r>
        <w:rPr>
          <w:rFonts w:hint="eastAsia"/>
        </w:rPr>
        <w:t>采购人（行政机关）因政策变化、规划调整而不履行政府采购合同的，供应商可依据《杭州市涉企补偿救济实施办法（试行）》向采购人（行政机关）提起补偿申请。</w:t>
      </w:r>
    </w:p>
    <w:p w14:paraId="53D50372">
      <w:pPr>
        <w:pStyle w:val="131"/>
        <w:snapToGrid w:val="0"/>
        <w:spacing w:before="0"/>
        <w:ind w:firstLine="360"/>
        <w:rPr>
          <w:rFonts w:ascii="宋体" w:hAnsi="宋体" w:cs="宋体"/>
          <w:sz w:val="18"/>
          <w:szCs w:val="18"/>
        </w:rPr>
      </w:pPr>
    </w:p>
    <w:p w14:paraId="7B051812">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DB289EF">
      <w:pPr>
        <w:pStyle w:val="59"/>
        <w:spacing w:line="360" w:lineRule="auto"/>
        <w:rPr>
          <w:rFonts w:hAnsi="宋体" w:cs="宋体"/>
          <w:b/>
          <w:sz w:val="24"/>
          <w:szCs w:val="24"/>
        </w:rPr>
      </w:pPr>
      <w:r>
        <w:rPr>
          <w:rFonts w:hint="eastAsia" w:hAnsi="宋体" w:cs="宋体"/>
          <w:b/>
          <w:sz w:val="24"/>
          <w:szCs w:val="24"/>
        </w:rPr>
        <w:t>5．招标文件的构成</w:t>
      </w:r>
    </w:p>
    <w:p w14:paraId="1540F38B">
      <w:pPr>
        <w:pStyle w:val="59"/>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B178E7A">
      <w:pPr>
        <w:pStyle w:val="59"/>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2A5077C">
      <w:pPr>
        <w:pStyle w:val="59"/>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059E3A5">
      <w:pPr>
        <w:pStyle w:val="59"/>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5A76CFF">
      <w:pPr>
        <w:pStyle w:val="59"/>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9BEB3C9">
      <w:pPr>
        <w:pStyle w:val="59"/>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74745F5">
      <w:pPr>
        <w:pStyle w:val="59"/>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68901E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0038548">
      <w:pPr>
        <w:pStyle w:val="59"/>
        <w:spacing w:line="360" w:lineRule="auto"/>
        <w:rPr>
          <w:rFonts w:hAnsi="宋体" w:cs="宋体"/>
          <w:b/>
          <w:sz w:val="24"/>
          <w:szCs w:val="24"/>
        </w:rPr>
      </w:pPr>
      <w:r>
        <w:rPr>
          <w:rFonts w:hint="eastAsia" w:hAnsi="宋体" w:cs="宋体"/>
          <w:b/>
          <w:sz w:val="24"/>
          <w:szCs w:val="24"/>
        </w:rPr>
        <w:t>6. 招标文件的澄清、修改</w:t>
      </w:r>
    </w:p>
    <w:p w14:paraId="5A55402F">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6B364F54">
      <w:pPr>
        <w:pStyle w:val="13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8B4A99">
      <w:pPr>
        <w:pStyle w:val="15"/>
        <w:rPr>
          <w:rFonts w:hAnsi="宋体" w:cs="宋体"/>
          <w:sz w:val="18"/>
          <w:szCs w:val="18"/>
          <w:lang w:val="en-US"/>
        </w:rPr>
      </w:pPr>
    </w:p>
    <w:p w14:paraId="297B497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B0503D0">
      <w:pPr>
        <w:pStyle w:val="59"/>
        <w:spacing w:line="360" w:lineRule="auto"/>
        <w:rPr>
          <w:rFonts w:hAnsi="宋体" w:cs="宋体"/>
          <w:b/>
          <w:sz w:val="24"/>
          <w:szCs w:val="24"/>
        </w:rPr>
      </w:pPr>
      <w:r>
        <w:rPr>
          <w:rFonts w:hint="eastAsia" w:hAnsi="宋体" w:cs="宋体"/>
          <w:b/>
          <w:sz w:val="24"/>
          <w:szCs w:val="24"/>
        </w:rPr>
        <w:t>7. 招标文件的获取</w:t>
      </w:r>
    </w:p>
    <w:p w14:paraId="0D5F6BB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CEBBE6B">
      <w:pPr>
        <w:pStyle w:val="59"/>
        <w:spacing w:line="360" w:lineRule="auto"/>
        <w:rPr>
          <w:rFonts w:hAnsi="宋体" w:cs="宋体"/>
          <w:b/>
          <w:sz w:val="24"/>
          <w:szCs w:val="24"/>
        </w:rPr>
      </w:pPr>
      <w:r>
        <w:rPr>
          <w:rFonts w:hint="eastAsia" w:hAnsi="宋体" w:cs="宋体"/>
          <w:b/>
          <w:sz w:val="24"/>
          <w:szCs w:val="24"/>
        </w:rPr>
        <w:t>8.开标前答疑会或现场考察</w:t>
      </w:r>
    </w:p>
    <w:p w14:paraId="149828D7">
      <w:pPr>
        <w:pStyle w:val="59"/>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4D72F82">
      <w:pPr>
        <w:pStyle w:val="59"/>
        <w:spacing w:line="360" w:lineRule="auto"/>
        <w:rPr>
          <w:rFonts w:hAnsi="宋体" w:cs="宋体"/>
          <w:b/>
          <w:szCs w:val="24"/>
        </w:rPr>
      </w:pPr>
      <w:r>
        <w:rPr>
          <w:rFonts w:hint="eastAsia" w:hAnsi="宋体" w:cs="宋体"/>
          <w:b/>
          <w:kern w:val="28"/>
          <w:sz w:val="24"/>
          <w:szCs w:val="24"/>
        </w:rPr>
        <w:t>9.投标保证金</w:t>
      </w:r>
    </w:p>
    <w:p w14:paraId="29EF3DDB">
      <w:pPr>
        <w:pStyle w:val="3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07F59CA">
      <w:pPr>
        <w:pStyle w:val="59"/>
        <w:spacing w:line="360" w:lineRule="auto"/>
        <w:rPr>
          <w:rFonts w:hAnsi="宋体" w:cs="宋体"/>
          <w:b/>
          <w:sz w:val="24"/>
          <w:szCs w:val="24"/>
        </w:rPr>
      </w:pPr>
      <w:r>
        <w:rPr>
          <w:rFonts w:hint="eastAsia" w:hAnsi="宋体" w:cs="宋体"/>
          <w:b/>
          <w:sz w:val="24"/>
          <w:szCs w:val="24"/>
        </w:rPr>
        <w:t>10. 投标文件的语言</w:t>
      </w:r>
    </w:p>
    <w:p w14:paraId="1E41B0F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20139AE">
      <w:pPr>
        <w:pStyle w:val="59"/>
        <w:spacing w:line="360" w:lineRule="auto"/>
        <w:rPr>
          <w:rFonts w:hAnsi="宋体" w:cs="宋体"/>
          <w:b/>
          <w:sz w:val="24"/>
          <w:szCs w:val="24"/>
        </w:rPr>
      </w:pPr>
      <w:r>
        <w:rPr>
          <w:rFonts w:hint="eastAsia" w:hAnsi="宋体" w:cs="宋体"/>
          <w:b/>
          <w:sz w:val="24"/>
          <w:szCs w:val="24"/>
        </w:rPr>
        <w:t>11. 投标文件的组成</w:t>
      </w:r>
    </w:p>
    <w:p w14:paraId="3F525F1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09BBFC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40F5681">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D7D89D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44BDB3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18110F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3BA06A14">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1651204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FD9BFE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01388A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150075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AE40DA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F22272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C78170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0985C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3950C9AE">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0421555">
      <w:pPr>
        <w:snapToGrid w:val="0"/>
        <w:spacing w:line="360" w:lineRule="auto"/>
        <w:ind w:firstLine="960" w:firstLineChars="400"/>
        <w:rPr>
          <w:rFonts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15E0C40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F9FA22B">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73EC9BD2">
      <w:pPr>
        <w:spacing w:line="360" w:lineRule="auto"/>
        <w:ind w:firstLine="723" w:firstLineChars="300"/>
        <w:rPr>
          <w:rFonts w:ascii="宋体" w:hAnsi="宋体" w:cs="宋体"/>
          <w:b/>
          <w:sz w:val="24"/>
          <w:szCs w:val="21"/>
        </w:rPr>
      </w:pPr>
      <w:r>
        <w:rPr>
          <w:rFonts w:hint="eastAsia"/>
          <w:b/>
          <w:bCs/>
          <w:sz w:val="24"/>
          <w:shd w:val="clear" w:color="auto" w:fill="FFFFFF"/>
        </w:rPr>
        <w:t>投标人应对投标文件中材料的真实性、合法性负责。</w:t>
      </w:r>
    </w:p>
    <w:p w14:paraId="1C9C0F04">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AF5CF8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7C01C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FF144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77398E8">
      <w:pPr>
        <w:snapToGrid w:val="0"/>
        <w:spacing w:line="360" w:lineRule="auto"/>
        <w:rPr>
          <w:rFonts w:ascii="宋体" w:hAnsi="宋体" w:cs="宋体"/>
          <w:b/>
          <w:sz w:val="24"/>
        </w:rPr>
      </w:pPr>
      <w:r>
        <w:rPr>
          <w:rFonts w:hint="eastAsia" w:ascii="宋体" w:hAnsi="宋体" w:cs="宋体"/>
          <w:b/>
          <w:sz w:val="24"/>
        </w:rPr>
        <w:t>13.投标文件的签署、盖章</w:t>
      </w:r>
    </w:p>
    <w:p w14:paraId="22A0D8E7">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8CEB5F">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5E61278">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8D960AD">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B0C17F1">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C5CCC74">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B0F7F2F">
      <w:pPr>
        <w:pStyle w:val="13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4E4A797">
      <w:pPr>
        <w:pStyle w:val="59"/>
        <w:spacing w:line="360" w:lineRule="auto"/>
        <w:rPr>
          <w:rFonts w:hAnsi="宋体" w:cs="宋体"/>
          <w:b/>
          <w:sz w:val="24"/>
          <w:szCs w:val="24"/>
        </w:rPr>
      </w:pPr>
      <w:r>
        <w:rPr>
          <w:rFonts w:hint="eastAsia" w:hAnsi="宋体" w:cs="宋体"/>
          <w:b/>
          <w:sz w:val="24"/>
          <w:szCs w:val="24"/>
        </w:rPr>
        <w:t>15.备份投标文件</w:t>
      </w:r>
    </w:p>
    <w:p w14:paraId="58D01ECB">
      <w:pPr>
        <w:pStyle w:val="59"/>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4F8B3620">
      <w:pPr>
        <w:pStyle w:val="59"/>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A46F62A">
      <w:pPr>
        <w:pStyle w:val="59"/>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0A731A0E">
      <w:pPr>
        <w:pStyle w:val="59"/>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519C4CF9">
      <w:pPr>
        <w:pStyle w:val="59"/>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D7E8443">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3792C4FD">
      <w:pPr>
        <w:pStyle w:val="19"/>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C0196A8">
      <w:pPr>
        <w:pStyle w:val="131"/>
        <w:spacing w:before="0"/>
        <w:ind w:firstLine="0" w:firstLineChars="0"/>
        <w:rPr>
          <w:rFonts w:ascii="宋体" w:hAnsi="宋体" w:cs="宋体"/>
          <w:b/>
          <w:szCs w:val="24"/>
        </w:rPr>
      </w:pPr>
      <w:r>
        <w:rPr>
          <w:rFonts w:hint="eastAsia" w:ascii="宋体" w:hAnsi="宋体" w:cs="宋体"/>
          <w:b/>
          <w:szCs w:val="24"/>
        </w:rPr>
        <w:t>17.投标有效期</w:t>
      </w:r>
    </w:p>
    <w:p w14:paraId="55CAD3B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20FA32D">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26C8898A">
      <w:pPr>
        <w:pStyle w:val="13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4D940340">
      <w:pPr>
        <w:pStyle w:val="131"/>
        <w:spacing w:before="0"/>
        <w:ind w:firstLine="480"/>
        <w:rPr>
          <w:rFonts w:ascii="宋体" w:hAnsi="宋体" w:cs="宋体"/>
        </w:rPr>
      </w:pPr>
      <w:r>
        <w:rPr>
          <w:rFonts w:hint="eastAsia" w:ascii="宋体" w:hAnsi="宋体" w:cs="宋体"/>
        </w:rPr>
        <w:t>17.4在投标截止时间起至投标有效期届满，供应商投标文件不可撤销。</w:t>
      </w:r>
    </w:p>
    <w:p w14:paraId="60EDF6A9">
      <w:pPr>
        <w:pStyle w:val="131"/>
        <w:spacing w:before="0"/>
        <w:ind w:firstLine="643"/>
        <w:rPr>
          <w:rFonts w:ascii="宋体" w:hAnsi="宋体" w:cs="宋体"/>
          <w:b/>
          <w:sz w:val="32"/>
        </w:rPr>
      </w:pPr>
    </w:p>
    <w:p w14:paraId="000A54D0">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3EA6FB6">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24CD1547">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278C3D8">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12990354">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DF924E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424B93E">
      <w:pPr>
        <w:pStyle w:val="131"/>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628D6DF8">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F93E41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39F2BA4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89080CC">
      <w:pPr>
        <w:pStyle w:val="131"/>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E8E9D3B">
      <w:pPr>
        <w:widowControl/>
        <w:spacing w:before="100" w:beforeAutospacing="1" w:after="240" w:line="360" w:lineRule="auto"/>
        <w:ind w:firstLine="241" w:firstLineChars="100"/>
        <w:jc w:val="left"/>
        <w:rPr>
          <w:rFonts w:ascii="宋体" w:hAnsi="宋体" w:cs="宋体"/>
          <w:b/>
          <w:sz w:val="24"/>
        </w:rPr>
      </w:pPr>
      <w:r>
        <w:rPr>
          <w:rFonts w:hint="eastAsia" w:ascii="宋体" w:hAnsi="宋体" w:cs="宋体"/>
          <w:b/>
          <w:sz w:val="24"/>
        </w:rPr>
        <w:t>20、信用信息查询</w:t>
      </w:r>
    </w:p>
    <w:p w14:paraId="5E9636FC">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14:paraId="59B2DE8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B8BB61F">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43F906F">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D1D705D">
      <w:pPr>
        <w:pStyle w:val="131"/>
        <w:spacing w:before="0"/>
        <w:ind w:firstLine="0" w:firstLineChars="0"/>
        <w:rPr>
          <w:rFonts w:ascii="宋体" w:hAnsi="宋体" w:cs="宋体"/>
          <w:kern w:val="0"/>
          <w:szCs w:val="24"/>
        </w:rPr>
      </w:pPr>
    </w:p>
    <w:p w14:paraId="3909BC5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6D578EB">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93A4959">
      <w:pPr>
        <w:spacing w:line="360" w:lineRule="auto"/>
        <w:rPr>
          <w:rFonts w:ascii="宋体" w:hAnsi="宋体" w:cs="宋体"/>
          <w:b/>
          <w:sz w:val="24"/>
        </w:rPr>
      </w:pPr>
    </w:p>
    <w:p w14:paraId="6BEBAA14">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80A627B">
      <w:pPr>
        <w:pStyle w:val="19"/>
        <w:spacing w:line="360" w:lineRule="auto"/>
        <w:ind w:left="479" w:hanging="479" w:hangingChars="199"/>
        <w:rPr>
          <w:rFonts w:cs="宋体"/>
          <w:b/>
        </w:rPr>
      </w:pPr>
      <w:r>
        <w:rPr>
          <w:rFonts w:hint="eastAsia" w:cs="宋体"/>
          <w:b/>
        </w:rPr>
        <w:t>22. 确定中标供应商</w:t>
      </w:r>
    </w:p>
    <w:p w14:paraId="1517D553">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77D34742">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255726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46B0CC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0BEE5CDA">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12CDC29">
      <w:pPr>
        <w:snapToGrid w:val="0"/>
        <w:spacing w:line="360" w:lineRule="auto"/>
        <w:ind w:left="120" w:leftChars="57" w:firstLine="482" w:firstLineChars="150"/>
        <w:jc w:val="center"/>
        <w:rPr>
          <w:rFonts w:ascii="宋体" w:hAnsi="宋体" w:cs="宋体"/>
          <w:b/>
          <w:sz w:val="32"/>
        </w:rPr>
      </w:pPr>
    </w:p>
    <w:p w14:paraId="796D39C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4371C16">
      <w:pPr>
        <w:pStyle w:val="1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FC5B7A9">
      <w:pPr>
        <w:pStyle w:val="19"/>
        <w:spacing w:line="360" w:lineRule="auto"/>
        <w:ind w:left="479" w:hanging="479" w:hangingChars="199"/>
        <w:rPr>
          <w:rFonts w:cs="宋体"/>
          <w:b/>
        </w:rPr>
      </w:pPr>
      <w:r>
        <w:rPr>
          <w:rFonts w:hint="eastAsia" w:cs="宋体"/>
          <w:b/>
        </w:rPr>
        <w:t>25. 合同的签订</w:t>
      </w:r>
    </w:p>
    <w:p w14:paraId="12A62E6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53D9DA">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86DD96B">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1438791">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96077FD">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DD1CD14">
      <w:pPr>
        <w:pStyle w:val="19"/>
        <w:spacing w:line="360" w:lineRule="auto"/>
        <w:ind w:left="479" w:hanging="479" w:hangingChars="199"/>
        <w:rPr>
          <w:rFonts w:cs="宋体"/>
          <w:b/>
        </w:rPr>
      </w:pPr>
      <w:r>
        <w:rPr>
          <w:rFonts w:hint="eastAsia" w:cs="宋体"/>
          <w:b/>
        </w:rPr>
        <w:t>26. 履约保证金</w:t>
      </w:r>
    </w:p>
    <w:p w14:paraId="428E918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B40DB3C">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EA6C11">
      <w:pPr>
        <w:pStyle w:val="3"/>
      </w:pPr>
      <w:r>
        <w:rPr>
          <w:rFonts w:ascii="宋体" w:hAnsi="宋体" w:eastAsia="宋体"/>
          <w:sz w:val="24"/>
          <w:lang w:val="en-US"/>
        </w:rPr>
        <w:t>27.预付款</w:t>
      </w:r>
    </w:p>
    <w:p w14:paraId="2E2F8F21">
      <w:pPr>
        <w:tabs>
          <w:tab w:val="left" w:pos="0"/>
        </w:tabs>
        <w:spacing w:line="360" w:lineRule="auto"/>
        <w:ind w:firstLine="482"/>
        <w:rPr>
          <w:rFonts w:ascii="宋体" w:hAnsi="宋体" w:cs="宋体"/>
          <w:kern w:val="0"/>
          <w:sz w:val="24"/>
        </w:rPr>
      </w:pPr>
      <w:r>
        <w:rPr>
          <w:rFonts w:hint="eastAsia" w:ascii="宋体" w:hAnsi="宋体" w:cs="宋体"/>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1C16B93">
      <w:pPr>
        <w:snapToGrid w:val="0"/>
        <w:spacing w:line="360" w:lineRule="auto"/>
        <w:ind w:firstLine="3357" w:firstLineChars="1045"/>
        <w:rPr>
          <w:rFonts w:ascii="宋体" w:hAnsi="宋体" w:cs="宋体"/>
          <w:b/>
          <w:sz w:val="32"/>
        </w:rPr>
      </w:pPr>
    </w:p>
    <w:p w14:paraId="2D313C8D">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7B0870D">
      <w:pPr>
        <w:pStyle w:val="13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8.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13996E3">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04BC67C">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53C2DCB">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59910E5">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9F509B0">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CBAE2B8">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9299FCB">
      <w:pPr>
        <w:tabs>
          <w:tab w:val="left" w:pos="0"/>
        </w:tabs>
        <w:spacing w:line="360" w:lineRule="auto"/>
        <w:ind w:firstLine="480"/>
        <w:rPr>
          <w:rFonts w:ascii="宋体" w:hAnsi="宋体" w:cs="宋体"/>
          <w:sz w:val="24"/>
        </w:rPr>
      </w:pPr>
    </w:p>
    <w:p w14:paraId="4F3E315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FB8D31F">
      <w:pPr>
        <w:pStyle w:val="19"/>
        <w:spacing w:line="360" w:lineRule="auto"/>
        <w:ind w:firstLine="0" w:firstLineChars="0"/>
        <w:rPr>
          <w:rFonts w:cs="宋体"/>
          <w:b/>
        </w:rPr>
      </w:pPr>
      <w:r>
        <w:rPr>
          <w:rFonts w:hint="eastAsia" w:cs="宋体"/>
          <w:b/>
        </w:rPr>
        <w:t>30.验收</w:t>
      </w:r>
    </w:p>
    <w:p w14:paraId="6C59ACA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52BC0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9D8BE6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A6BDF7">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6F7DEE">
      <w:pPr>
        <w:pStyle w:val="80"/>
        <w:ind w:firstLine="480"/>
      </w:pPr>
      <w:r>
        <w:rPr>
          <w:rFonts w:hint="eastAsia" w:ascii="宋体" w:hAnsi="宋体" w:eastAsia="宋体" w:cs="宋体"/>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4"/>
    <w:p w14:paraId="328FFEFC">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290"/>
      <w:bookmarkEnd w:id="16"/>
      <w:bookmarkStart w:id="17" w:name="_Hlt74714665"/>
      <w:bookmarkEnd w:id="17"/>
      <w:bookmarkStart w:id="18" w:name="_Hlt68403820"/>
      <w:bookmarkEnd w:id="18"/>
      <w:bookmarkStart w:id="19" w:name="_Hlt75236101"/>
      <w:bookmarkEnd w:id="19"/>
      <w:bookmarkStart w:id="20" w:name="_Hlt68073093"/>
      <w:bookmarkEnd w:id="20"/>
      <w:bookmarkStart w:id="21" w:name="_Hlt75236011"/>
      <w:bookmarkEnd w:id="21"/>
      <w:bookmarkStart w:id="22" w:name="_Hlt74707468"/>
      <w:bookmarkEnd w:id="22"/>
      <w:bookmarkStart w:id="23" w:name="_Hlt74729768"/>
      <w:bookmarkEnd w:id="23"/>
      <w:bookmarkStart w:id="24" w:name="_Hlt68072998"/>
      <w:bookmarkEnd w:id="24"/>
      <w:bookmarkStart w:id="25" w:name="_Hlt68072990"/>
      <w:bookmarkEnd w:id="25"/>
      <w:bookmarkStart w:id="26" w:name="_Hlt68057669"/>
      <w:bookmarkEnd w:id="26"/>
      <w:bookmarkStart w:id="27" w:name="_Hlt74730295"/>
      <w:bookmarkEnd w:id="27"/>
    </w:p>
    <w:bookmarkEnd w:id="12"/>
    <w:bookmarkEnd w:id="13"/>
    <w:p w14:paraId="091A6D35">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1D162EF0">
      <w:pPr>
        <w:keepNext/>
        <w:keepLines/>
        <w:numPr>
          <w:ilvl w:val="1"/>
          <w:numId w:val="1"/>
        </w:numPr>
        <w:tabs>
          <w:tab w:val="left" w:pos="432"/>
        </w:tabs>
        <w:adjustRightInd/>
        <w:spacing w:line="360" w:lineRule="auto"/>
        <w:jc w:val="left"/>
        <w:outlineLvl w:val="1"/>
        <w:rPr>
          <w:rFonts w:ascii="宋体" w:hAnsi="宋体" w:cs="宋体"/>
          <w:b/>
          <w:bCs/>
          <w:sz w:val="32"/>
          <w:szCs w:val="32"/>
          <w:lang w:val="zh-CN"/>
        </w:rPr>
      </w:pPr>
      <w:r>
        <w:rPr>
          <w:rFonts w:hint="eastAsia" w:ascii="宋体" w:hAnsi="宋体" w:cs="宋体"/>
          <w:b/>
          <w:bCs/>
          <w:sz w:val="32"/>
          <w:szCs w:val="32"/>
          <w:lang w:val="zh-CN"/>
        </w:rPr>
        <w:t>项目总体目标</w:t>
      </w:r>
    </w:p>
    <w:p w14:paraId="080DFDD1">
      <w:pPr>
        <w:adjustRightInd/>
        <w:spacing w:line="360" w:lineRule="auto"/>
        <w:ind w:firstLine="480" w:firstLineChars="200"/>
        <w:rPr>
          <w:rFonts w:ascii="宋体" w:hAnsi="宋体" w:cs="宋体"/>
          <w:sz w:val="24"/>
        </w:rPr>
      </w:pPr>
      <w:r>
        <w:rPr>
          <w:rFonts w:hint="eastAsia" w:ascii="宋体" w:hAnsi="宋体" w:cs="宋体"/>
          <w:sz w:val="24"/>
        </w:rPr>
        <w:t>为深入学习贯彻习近平总书记关于普惠托育服务、儿童工作的系列重要指示批示精神，落实国家“十四五”规划《纲要》任务部署，国家卫生健康委办公厅在2023年印发《关于组织申报2023年中央财政支持普惠托育服务发展示范项目的通知》，国家发展改革委也发布了《关于推进儿童友好城市建设的指导意见》，这些举措旨在支持发展普惠托育服务，落实托育服务发展，以友好城市建设，促进广大儿童身心健康成长，推动儿童事业高质量发展融入经济社会发展全局，让儿童友好成为全社会的共同理念、行动、责任和事业。</w:t>
      </w:r>
    </w:p>
    <w:p w14:paraId="25E95B68">
      <w:pPr>
        <w:adjustRightInd/>
        <w:spacing w:line="360" w:lineRule="auto"/>
        <w:ind w:firstLine="480" w:firstLineChars="200"/>
        <w:rPr>
          <w:rFonts w:ascii="宋体" w:hAnsi="宋体" w:cs="宋体"/>
          <w:sz w:val="24"/>
        </w:rPr>
      </w:pPr>
      <w:r>
        <w:rPr>
          <w:rFonts w:hint="eastAsia" w:ascii="宋体" w:hAnsi="宋体" w:cs="宋体"/>
          <w:sz w:val="24"/>
        </w:rPr>
        <w:t>本项目将在杭州市数字赋能“一老一小”项目建设基础上，聚焦普惠托育服务发展示范项目的三大目标，围绕方便可及，扩大托育服务供给，缓解群众“入托难”问题，提升育儿家长“便捷托”水平；围绕价格可承受，降低托育服务费用，减轻群众“入托贵”负担，拓展育儿家长“托得起”范围；围绕质量有保障，提升托育安全水平，增强群众“托得好”信心。持续完善杭州市普惠托育服务体系，促进托育服务高质量发展。</w:t>
      </w:r>
    </w:p>
    <w:p w14:paraId="61F627F7">
      <w:pPr>
        <w:keepNext/>
        <w:keepLines/>
        <w:numPr>
          <w:ilvl w:val="1"/>
          <w:numId w:val="1"/>
        </w:numPr>
        <w:tabs>
          <w:tab w:val="left" w:pos="432"/>
        </w:tabs>
        <w:adjustRightInd/>
        <w:spacing w:line="360" w:lineRule="auto"/>
        <w:jc w:val="left"/>
        <w:outlineLvl w:val="1"/>
        <w:rPr>
          <w:rFonts w:ascii="宋体" w:hAnsi="宋体" w:cs="宋体"/>
          <w:b/>
          <w:bCs/>
          <w:sz w:val="32"/>
          <w:szCs w:val="32"/>
          <w:lang w:val="zh-CN"/>
        </w:rPr>
      </w:pPr>
      <w:r>
        <w:rPr>
          <w:rFonts w:hint="eastAsia" w:ascii="宋体" w:hAnsi="宋体" w:cs="宋体"/>
          <w:b/>
          <w:bCs/>
          <w:sz w:val="32"/>
          <w:szCs w:val="32"/>
          <w:lang w:val="zh-CN"/>
        </w:rPr>
        <w:t>建设原则</w:t>
      </w:r>
    </w:p>
    <w:p w14:paraId="7CD00871">
      <w:pPr>
        <w:adjustRightInd/>
        <w:snapToGrid w:val="0"/>
        <w:spacing w:line="360" w:lineRule="auto"/>
        <w:ind w:left="420" w:leftChars="200"/>
        <w:rPr>
          <w:rFonts w:ascii="宋体" w:hAnsi="宋体" w:cs="宋体"/>
          <w:sz w:val="24"/>
        </w:rPr>
      </w:pPr>
      <w:r>
        <w:rPr>
          <w:rFonts w:hint="eastAsia" w:ascii="宋体" w:hAnsi="宋体" w:cs="宋体"/>
          <w:sz w:val="24"/>
        </w:rPr>
        <w:t>1.安全与保密原则</w:t>
      </w:r>
    </w:p>
    <w:p w14:paraId="0966B00C">
      <w:pPr>
        <w:adjustRightInd/>
        <w:spacing w:line="360" w:lineRule="auto"/>
        <w:ind w:firstLine="480" w:firstLineChars="200"/>
        <w:rPr>
          <w:rFonts w:ascii="宋体" w:hAnsi="宋体" w:cs="宋体"/>
          <w:sz w:val="24"/>
        </w:rPr>
      </w:pPr>
      <w:r>
        <w:rPr>
          <w:rFonts w:hint="eastAsia" w:ascii="宋体" w:hAnsi="宋体" w:cs="宋体"/>
          <w:sz w:val="24"/>
        </w:rPr>
        <w:t>应采用严格的安全与保密措施，确保系统的可靠性、保密性和数据的一致性。为此，系统应采用信创云资源、封闭式管理、权限控制、数据加密等多种措施，确保系统运行安全。</w:t>
      </w:r>
    </w:p>
    <w:p w14:paraId="28DFA3CC">
      <w:pPr>
        <w:adjustRightInd/>
        <w:spacing w:line="360" w:lineRule="auto"/>
        <w:ind w:firstLine="480" w:firstLineChars="200"/>
        <w:rPr>
          <w:rFonts w:ascii="宋体" w:hAnsi="宋体" w:cs="宋体"/>
          <w:sz w:val="24"/>
        </w:rPr>
      </w:pPr>
      <w:r>
        <w:rPr>
          <w:rFonts w:hint="eastAsia" w:ascii="宋体" w:hAnsi="宋体" w:cs="宋体"/>
          <w:sz w:val="24"/>
        </w:rPr>
        <w:t>系统维护过程中，严格执行《中华人民共和国保守国家秘密法》和《中华人民共和国档案法》等规定，安排专人负责该项工作。</w:t>
      </w:r>
    </w:p>
    <w:p w14:paraId="6E1D4830">
      <w:pPr>
        <w:adjustRightInd/>
        <w:snapToGrid w:val="0"/>
        <w:spacing w:line="360" w:lineRule="auto"/>
        <w:ind w:left="420" w:leftChars="200"/>
        <w:rPr>
          <w:rFonts w:ascii="宋体" w:hAnsi="宋体" w:cs="宋体"/>
          <w:sz w:val="24"/>
        </w:rPr>
      </w:pPr>
      <w:r>
        <w:rPr>
          <w:rFonts w:hint="eastAsia" w:ascii="宋体" w:hAnsi="宋体" w:cs="宋体"/>
          <w:sz w:val="24"/>
        </w:rPr>
        <w:t>2.易用性原则</w:t>
      </w:r>
    </w:p>
    <w:p w14:paraId="74F92B02">
      <w:pPr>
        <w:adjustRightInd/>
        <w:spacing w:line="360" w:lineRule="auto"/>
        <w:ind w:firstLine="480" w:firstLineChars="200"/>
        <w:rPr>
          <w:rFonts w:ascii="宋体" w:hAnsi="宋体" w:cs="宋体"/>
          <w:sz w:val="24"/>
        </w:rPr>
      </w:pPr>
      <w:r>
        <w:rPr>
          <w:rFonts w:hint="eastAsia" w:ascii="宋体" w:hAnsi="宋体" w:cs="宋体"/>
          <w:sz w:val="24"/>
        </w:rPr>
        <w:t>系统通过统一界面操作风格、完善的在线帮助、完善的录入控制、人性化操作设计，使得其中大部分的操作可以通过“傻瓜式”操作即可掌握；结合详细的用户手册、在线帮助和培训工作，确保信息系统易使用，方便推广实施。</w:t>
      </w:r>
    </w:p>
    <w:p w14:paraId="3A57FA52">
      <w:pPr>
        <w:adjustRightInd/>
        <w:snapToGrid w:val="0"/>
        <w:spacing w:line="360" w:lineRule="auto"/>
        <w:ind w:left="420" w:leftChars="200"/>
        <w:rPr>
          <w:rFonts w:ascii="宋体" w:hAnsi="宋体" w:cs="宋体"/>
          <w:sz w:val="24"/>
        </w:rPr>
      </w:pPr>
      <w:r>
        <w:rPr>
          <w:rFonts w:hint="eastAsia" w:ascii="宋体" w:hAnsi="宋体" w:cs="宋体"/>
          <w:sz w:val="24"/>
        </w:rPr>
        <w:t>3.可维护性原则</w:t>
      </w:r>
    </w:p>
    <w:p w14:paraId="2546CE10">
      <w:pPr>
        <w:adjustRightInd/>
        <w:spacing w:line="360" w:lineRule="auto"/>
        <w:ind w:firstLine="480" w:firstLineChars="200"/>
        <w:rPr>
          <w:rFonts w:ascii="宋体" w:hAnsi="宋体" w:cs="宋体"/>
          <w:sz w:val="24"/>
        </w:rPr>
      </w:pPr>
      <w:r>
        <w:rPr>
          <w:rFonts w:hint="eastAsia" w:ascii="宋体" w:hAnsi="宋体" w:cs="宋体"/>
          <w:sz w:val="24"/>
        </w:rPr>
        <w:t>业务逻辑必须便于变更调整，由于政策、环境的变化，某些业务逻辑有可能需要进行经常性的调整和修改工作。系统在这方面应提供方便性，同时保证不影响系统稳定性。</w:t>
      </w:r>
    </w:p>
    <w:p w14:paraId="278A6858">
      <w:pPr>
        <w:adjustRightInd/>
        <w:snapToGrid w:val="0"/>
        <w:spacing w:line="360" w:lineRule="auto"/>
        <w:ind w:left="420" w:leftChars="200"/>
        <w:rPr>
          <w:rFonts w:ascii="宋体" w:hAnsi="宋体" w:cs="宋体"/>
          <w:sz w:val="24"/>
        </w:rPr>
      </w:pPr>
      <w:r>
        <w:rPr>
          <w:rFonts w:hint="eastAsia" w:ascii="宋体" w:hAnsi="宋体" w:cs="宋体"/>
          <w:sz w:val="24"/>
        </w:rPr>
        <w:t>4.可扩展性原则</w:t>
      </w:r>
    </w:p>
    <w:p w14:paraId="58727955">
      <w:pPr>
        <w:adjustRightInd/>
        <w:spacing w:line="360" w:lineRule="auto"/>
        <w:ind w:firstLine="480" w:firstLineChars="200"/>
        <w:rPr>
          <w:rFonts w:ascii="宋体" w:hAnsi="宋体" w:cs="宋体"/>
          <w:sz w:val="24"/>
        </w:rPr>
      </w:pPr>
      <w:r>
        <w:rPr>
          <w:rFonts w:hint="eastAsia" w:ascii="宋体" w:hAnsi="宋体" w:cs="宋体"/>
          <w:sz w:val="24"/>
        </w:rPr>
        <w:t>系统在设计和开发的过程中提供一定的可扩展性，防止由于数据、业务变化等因素造成系统运行的不稳定。尤其对于业务流程的变更，系统需提供扩展方式以适应业务需求的变化。另外，为实现功能扩展以及与已建成系统进行数据的交换和共享，系统提供与其他系统的接口。</w:t>
      </w:r>
    </w:p>
    <w:p w14:paraId="057BA404">
      <w:pPr>
        <w:adjustRightInd/>
        <w:snapToGrid w:val="0"/>
        <w:spacing w:line="360" w:lineRule="auto"/>
        <w:ind w:left="420" w:leftChars="200"/>
        <w:rPr>
          <w:rFonts w:ascii="宋体" w:hAnsi="宋体" w:cs="宋体"/>
          <w:sz w:val="24"/>
        </w:rPr>
      </w:pPr>
      <w:r>
        <w:rPr>
          <w:rFonts w:hint="eastAsia" w:ascii="宋体" w:hAnsi="宋体" w:cs="宋体"/>
          <w:sz w:val="24"/>
        </w:rPr>
        <w:t>5.保证质量</w:t>
      </w:r>
    </w:p>
    <w:p w14:paraId="03C4A491">
      <w:pPr>
        <w:adjustRightInd/>
        <w:spacing w:line="360" w:lineRule="auto"/>
        <w:ind w:firstLine="480" w:firstLineChars="200"/>
        <w:rPr>
          <w:rFonts w:ascii="宋体" w:hAnsi="宋体" w:cs="宋体"/>
          <w:sz w:val="24"/>
        </w:rPr>
      </w:pPr>
      <w:r>
        <w:rPr>
          <w:rFonts w:hint="eastAsia" w:ascii="宋体" w:hAnsi="宋体" w:cs="宋体"/>
          <w:sz w:val="24"/>
        </w:rPr>
        <w:t>在系统设计过程中，所有模块设计必须考虑系统稳健性，对必要的信息进行强制验证，尽可能多地处理可能发生的异常，若发生异常需以友好的方式提出处理的方式，保证系统少出现甚至不出现崩溃的情况。确保信息的真实性、准确性、时效性。</w:t>
      </w:r>
    </w:p>
    <w:p w14:paraId="00E1CC71">
      <w:pPr>
        <w:keepNext/>
        <w:keepLines/>
        <w:numPr>
          <w:ilvl w:val="1"/>
          <w:numId w:val="1"/>
        </w:numPr>
        <w:tabs>
          <w:tab w:val="left" w:pos="432"/>
        </w:tabs>
        <w:adjustRightInd/>
        <w:spacing w:line="360" w:lineRule="auto"/>
        <w:jc w:val="left"/>
        <w:outlineLvl w:val="1"/>
        <w:rPr>
          <w:rFonts w:ascii="宋体" w:hAnsi="宋体" w:cs="宋体"/>
          <w:b/>
          <w:bCs/>
          <w:sz w:val="32"/>
          <w:szCs w:val="32"/>
        </w:rPr>
      </w:pPr>
      <w:r>
        <w:rPr>
          <w:rFonts w:hint="eastAsia" w:ascii="宋体" w:hAnsi="宋体" w:cs="宋体"/>
          <w:b/>
          <w:bCs/>
          <w:sz w:val="32"/>
          <w:szCs w:val="32"/>
          <w:lang w:val="zh-CN"/>
        </w:rPr>
        <w:t>项目建设需求</w:t>
      </w:r>
    </w:p>
    <w:p w14:paraId="754E1862">
      <w:pPr>
        <w:keepNext/>
        <w:keepLines/>
        <w:numPr>
          <w:ilvl w:val="2"/>
          <w:numId w:val="1"/>
        </w:numPr>
        <w:tabs>
          <w:tab w:val="left" w:pos="432"/>
        </w:tabs>
        <w:adjustRightInd/>
        <w:spacing w:before="260" w:after="260" w:line="416" w:lineRule="auto"/>
        <w:outlineLvl w:val="2"/>
        <w:rPr>
          <w:rFonts w:ascii="宋体" w:hAnsi="宋体" w:cs="宋体"/>
          <w:b/>
          <w:bCs/>
          <w:sz w:val="36"/>
          <w:szCs w:val="36"/>
        </w:rPr>
      </w:pPr>
      <w:r>
        <w:rPr>
          <w:rFonts w:hint="eastAsia" w:ascii="宋体" w:hAnsi="宋体" w:cs="宋体"/>
          <w:b/>
          <w:bCs/>
          <w:sz w:val="28"/>
          <w:szCs w:val="32"/>
        </w:rPr>
        <w:t>应用系统建设需求</w:t>
      </w:r>
    </w:p>
    <w:p w14:paraId="0F11FC95">
      <w:pPr>
        <w:keepNext/>
        <w:keepLines/>
        <w:tabs>
          <w:tab w:val="left" w:pos="0"/>
        </w:tabs>
        <w:spacing w:beforeLines="50" w:afterLines="50" w:line="360" w:lineRule="auto"/>
        <w:outlineLvl w:val="4"/>
        <w:rPr>
          <w:rFonts w:ascii="宋体" w:hAnsi="宋体" w:eastAsia="仿宋" w:cs="宋体"/>
          <w:b/>
          <w:bCs/>
          <w:kern w:val="0"/>
          <w:sz w:val="24"/>
        </w:rPr>
      </w:pPr>
      <w:r>
        <w:rPr>
          <w:rFonts w:hint="eastAsia" w:ascii="宋体" w:hAnsi="宋体" w:eastAsia="仿宋" w:cs="宋体"/>
          <w:b/>
          <w:bCs/>
          <w:kern w:val="0"/>
          <w:sz w:val="24"/>
        </w:rPr>
        <w:t>①善育在杭2.0-“便捷托”服务</w:t>
      </w:r>
    </w:p>
    <w:p w14:paraId="46C34CCD">
      <w:pPr>
        <w:adjustRightInd/>
        <w:spacing w:line="360" w:lineRule="auto"/>
        <w:ind w:firstLine="480" w:firstLineChars="200"/>
        <w:rPr>
          <w:sz w:val="24"/>
        </w:rPr>
      </w:pPr>
      <w:r>
        <w:rPr>
          <w:rFonts w:hint="eastAsia"/>
          <w:sz w:val="24"/>
        </w:rPr>
        <w:t>为进一步实现全市育儿家长“便捷托”的目标，在善育在杭1.0建设基础上，建设机构临时托预约与管理，升级迭代养育照护小组活动、设施配建“一张图”等服务。</w:t>
      </w:r>
    </w:p>
    <w:p w14:paraId="425102A1">
      <w:pPr>
        <w:keepNext/>
        <w:keepLines/>
        <w:tabs>
          <w:tab w:val="left" w:pos="40"/>
        </w:tabs>
        <w:spacing w:beforeLines="50" w:afterLines="50" w:line="360" w:lineRule="auto"/>
        <w:outlineLvl w:val="5"/>
        <w:rPr>
          <w:rFonts w:ascii="宋体" w:hAnsi="宋体" w:cs="宋体"/>
          <w:bCs/>
          <w:kern w:val="0"/>
          <w:sz w:val="28"/>
        </w:rPr>
      </w:pPr>
      <w:r>
        <w:rPr>
          <w:rFonts w:hint="eastAsia" w:ascii="宋体" w:hAnsi="宋体" w:cs="宋体"/>
          <w:bCs/>
          <w:kern w:val="0"/>
          <w:sz w:val="28"/>
          <w:szCs w:val="28"/>
        </w:rPr>
        <w:t>1）</w:t>
      </w:r>
      <w:r>
        <w:rPr>
          <w:rFonts w:hint="eastAsia" w:ascii="宋体" w:hAnsi="宋体" w:cs="宋体"/>
          <w:b/>
          <w:bCs/>
          <w:kern w:val="0"/>
          <w:sz w:val="28"/>
        </w:rPr>
        <w:t>养育照护小组活动</w:t>
      </w:r>
    </w:p>
    <w:p w14:paraId="6418D097">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养育照护小组活动管理</w:t>
      </w:r>
    </w:p>
    <w:p w14:paraId="00812111">
      <w:pPr>
        <w:adjustRightInd/>
        <w:spacing w:line="360" w:lineRule="auto"/>
        <w:ind w:firstLine="480" w:firstLineChars="200"/>
        <w:jc w:val="left"/>
        <w:rPr>
          <w:rFonts w:ascii="宋体" w:hAnsi="宋体" w:cs="宋体"/>
          <w:sz w:val="24"/>
        </w:rPr>
      </w:pPr>
      <w:r>
        <w:rPr>
          <w:rFonts w:hint="eastAsia"/>
          <w:sz w:val="24"/>
        </w:rPr>
        <w:t>业务治理端：支持市卫健、妇儿健康中心、市妇保院、各区县妇保院、各区县托育综合服务中心、“医防护”儿童健康管理中心、婴幼儿成长驿站等相关工作人员在治理端管理养育照护小组活动情况，包括场次、预约签到人数、评价人数、评价详情、活动总结等内容。</w:t>
      </w:r>
    </w:p>
    <w:p w14:paraId="171D13C7">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养育照护小组活动发布</w:t>
      </w:r>
    </w:p>
    <w:p w14:paraId="09421E81">
      <w:pPr>
        <w:adjustRightInd/>
        <w:spacing w:line="360" w:lineRule="auto"/>
        <w:ind w:firstLine="480" w:firstLineChars="200"/>
        <w:rPr>
          <w:sz w:val="24"/>
        </w:rPr>
      </w:pPr>
      <w:r>
        <w:rPr>
          <w:rFonts w:hint="eastAsia"/>
          <w:sz w:val="24"/>
        </w:rPr>
        <w:t>业务治理端：支持市妇保院、各区县妇保院、各区县托育综合服务中心、“医防护”儿童健康管理中心、婴幼儿成长驿站等相关工作人员在治理端编辑，在线发布养育照护小组活动，并生成养育照护小组活动专题海报，活动协同至浙里办“善育在杭”应用中。</w:t>
      </w:r>
    </w:p>
    <w:p w14:paraId="3B50EF94">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养育照护小组活动预约</w:t>
      </w:r>
    </w:p>
    <w:p w14:paraId="61B5DEA4">
      <w:pPr>
        <w:adjustRightInd/>
        <w:spacing w:line="360" w:lineRule="auto"/>
        <w:ind w:firstLine="480" w:firstLineChars="200"/>
        <w:jc w:val="left"/>
        <w:rPr>
          <w:rFonts w:ascii="宋体" w:hAnsi="宋体" w:cs="宋体"/>
          <w:sz w:val="24"/>
        </w:rPr>
      </w:pPr>
      <w:r>
        <w:rPr>
          <w:rFonts w:hint="eastAsia"/>
          <w:sz w:val="24"/>
        </w:rPr>
        <w:t>家长服务端：支持家长浙里办扫码预约、主办单位代预约等服务，为广大婴幼儿家长提供更便捷的养育照护小组活动预约途径，提高全市养育照护小组活动触达率。</w:t>
      </w:r>
    </w:p>
    <w:p w14:paraId="42DA5B40">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养育照护小组活动签到</w:t>
      </w:r>
    </w:p>
    <w:p w14:paraId="39A88325">
      <w:pPr>
        <w:adjustRightInd/>
        <w:spacing w:line="360" w:lineRule="auto"/>
        <w:ind w:firstLine="480" w:firstLineChars="200"/>
        <w:rPr>
          <w:rFonts w:ascii="宋体" w:hAnsi="宋体" w:cs="宋体"/>
          <w:sz w:val="24"/>
        </w:rPr>
      </w:pPr>
      <w:r>
        <w:rPr>
          <w:rFonts w:hint="eastAsia"/>
          <w:sz w:val="24"/>
        </w:rPr>
        <w:t>家长服务端：支持家长通过浙里办扫码签到、活动主办单位代签到等服务。</w:t>
      </w:r>
    </w:p>
    <w:p w14:paraId="60B3D46C">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养育照护小组活动点滴管理</w:t>
      </w:r>
    </w:p>
    <w:p w14:paraId="5BE383B1">
      <w:pPr>
        <w:adjustRightInd/>
        <w:spacing w:line="360" w:lineRule="auto"/>
        <w:ind w:firstLine="480" w:firstLineChars="200"/>
        <w:jc w:val="left"/>
        <w:rPr>
          <w:sz w:val="24"/>
        </w:rPr>
      </w:pPr>
      <w:r>
        <w:rPr>
          <w:rFonts w:hint="eastAsia"/>
          <w:sz w:val="24"/>
        </w:rPr>
        <w:t>业务治理端：活动主办单位可在活动结束后在治理端发布活动点滴，活动点滴的形式包括图文、视频等。活动记录支持生成活动专题记录表。</w:t>
      </w:r>
    </w:p>
    <w:p w14:paraId="099FA8DC">
      <w:pPr>
        <w:adjustRightInd/>
        <w:spacing w:line="360" w:lineRule="auto"/>
        <w:ind w:firstLine="480" w:firstLineChars="200"/>
        <w:rPr>
          <w:rFonts w:ascii="宋体" w:hAnsi="宋体" w:cs="宋体"/>
          <w:sz w:val="24"/>
        </w:rPr>
      </w:pPr>
      <w:r>
        <w:rPr>
          <w:rFonts w:hint="eastAsia"/>
          <w:sz w:val="24"/>
        </w:rPr>
        <w:t>家长服务端：参加活动的家长可在线查看活动主办单位发布的活动点滴内容，包括图文、视频等</w:t>
      </w:r>
      <w:r>
        <w:rPr>
          <w:rFonts w:hint="eastAsia" w:ascii="宋体" w:hAnsi="宋体" w:cs="宋体"/>
          <w:sz w:val="24"/>
        </w:rPr>
        <w:t>。</w:t>
      </w:r>
    </w:p>
    <w:p w14:paraId="0DB185AF">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f．</w:t>
      </w:r>
      <w:r>
        <w:rPr>
          <w:rFonts w:hint="eastAsia" w:ascii="宋体" w:hAnsi="宋体" w:cs="宋体"/>
          <w:b/>
          <w:bCs/>
          <w:sz w:val="24"/>
        </w:rPr>
        <w:t>养育照护小组活动总结管理</w:t>
      </w:r>
    </w:p>
    <w:p w14:paraId="73302C20">
      <w:pPr>
        <w:adjustRightInd/>
        <w:spacing w:line="360" w:lineRule="auto"/>
        <w:ind w:firstLine="480" w:firstLineChars="200"/>
        <w:rPr>
          <w:rFonts w:ascii="宋体" w:hAnsi="宋体" w:cs="宋体"/>
          <w:sz w:val="24"/>
        </w:rPr>
      </w:pPr>
      <w:r>
        <w:rPr>
          <w:rFonts w:hint="eastAsia"/>
          <w:sz w:val="24"/>
        </w:rPr>
        <w:t>业务治理端：活动主办单位可在活动结束后在治理端发布活动总结，包括活动育儿指导员、活动内容、活动总结等内容，在线生成活动总结表</w:t>
      </w:r>
      <w:r>
        <w:rPr>
          <w:rFonts w:hint="eastAsia" w:ascii="宋体" w:hAnsi="宋体" w:cs="宋体"/>
          <w:sz w:val="24"/>
        </w:rPr>
        <w:t>。</w:t>
      </w:r>
    </w:p>
    <w:p w14:paraId="60AAF8D5">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g．</w:t>
      </w:r>
      <w:r>
        <w:rPr>
          <w:rFonts w:hint="eastAsia" w:ascii="宋体" w:hAnsi="宋体" w:cs="宋体"/>
          <w:b/>
          <w:bCs/>
          <w:sz w:val="24"/>
        </w:rPr>
        <w:t>养育照护小组活动考核管理与大数据分析</w:t>
      </w:r>
    </w:p>
    <w:p w14:paraId="0FBF3277">
      <w:pPr>
        <w:adjustRightInd/>
        <w:spacing w:line="360" w:lineRule="auto"/>
        <w:ind w:firstLine="480" w:firstLineChars="200"/>
        <w:rPr>
          <w:rFonts w:ascii="宋体" w:hAnsi="宋体" w:cs="宋体"/>
          <w:sz w:val="24"/>
        </w:rPr>
      </w:pPr>
      <w:r>
        <w:rPr>
          <w:rFonts w:hint="eastAsia"/>
          <w:sz w:val="24"/>
        </w:rPr>
        <w:t>业务治理端：支持各区县及市卫健通过治理端管理养育照护小组活动的开展情况，查看各区县排名、养育照护小组活动质量考核如参与人数、活动评价等，支持查看下级单位发布的历次活动的详情等</w:t>
      </w:r>
      <w:r>
        <w:rPr>
          <w:rFonts w:hint="eastAsia" w:ascii="宋体" w:hAnsi="宋体" w:cs="宋体"/>
          <w:sz w:val="24"/>
        </w:rPr>
        <w:t>。</w:t>
      </w:r>
    </w:p>
    <w:p w14:paraId="69718DD3">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2）</w:t>
      </w:r>
      <w:r>
        <w:rPr>
          <w:rFonts w:hint="eastAsia" w:ascii="宋体" w:hAnsi="宋体" w:cs="宋体"/>
          <w:b/>
          <w:bCs/>
          <w:kern w:val="0"/>
          <w:sz w:val="28"/>
        </w:rPr>
        <w:t>驿站临时托/托育机构入托预约与管理</w:t>
      </w:r>
    </w:p>
    <w:p w14:paraId="27441D62">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临时托预约</w:t>
      </w:r>
    </w:p>
    <w:p w14:paraId="3BBB0C33">
      <w:pPr>
        <w:adjustRightInd/>
        <w:spacing w:line="360" w:lineRule="auto"/>
        <w:ind w:firstLine="480" w:firstLineChars="200"/>
        <w:rPr>
          <w:rFonts w:ascii="宋体" w:hAnsi="宋体" w:cs="宋体"/>
          <w:sz w:val="24"/>
        </w:rPr>
      </w:pPr>
      <w:r>
        <w:rPr>
          <w:rFonts w:hint="eastAsia"/>
          <w:sz w:val="24"/>
        </w:rPr>
        <w:t>家长服务端：支持家长通过托育一件事在线预约有条件开设临时托服务的婴幼儿成长驿站的临时托服务，包括临时托婴幼儿信息、临时托到园时间等内容</w:t>
      </w:r>
      <w:r>
        <w:rPr>
          <w:rFonts w:hint="eastAsia" w:ascii="宋体" w:hAnsi="宋体" w:cs="宋体"/>
          <w:sz w:val="24"/>
        </w:rPr>
        <w:t>。</w:t>
      </w:r>
    </w:p>
    <w:p w14:paraId="5357F28B">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临时托管理</w:t>
      </w:r>
    </w:p>
    <w:p w14:paraId="7AD240E4">
      <w:pPr>
        <w:adjustRightInd/>
        <w:spacing w:line="360" w:lineRule="auto"/>
        <w:ind w:firstLine="480" w:firstLineChars="200"/>
        <w:rPr>
          <w:rFonts w:ascii="宋体" w:hAnsi="宋体" w:cs="宋体"/>
          <w:sz w:val="24"/>
        </w:rPr>
      </w:pPr>
      <w:r>
        <w:rPr>
          <w:rFonts w:hint="eastAsia"/>
          <w:sz w:val="24"/>
        </w:rPr>
        <w:t>成长驿站管理端：成长驿站管理人员可通过驿站管理端在线管理临时托对外开放托位数、预约时间等。当家长提交临时托预约时进行提醒，查看家长的临时托预约记录并与家长取得联系，实现“15分钟便捷托”</w:t>
      </w:r>
      <w:r>
        <w:rPr>
          <w:rFonts w:hint="eastAsia" w:ascii="宋体" w:hAnsi="宋体" w:cs="宋体"/>
          <w:sz w:val="24"/>
        </w:rPr>
        <w:t>。</w:t>
      </w:r>
    </w:p>
    <w:p w14:paraId="5309AE96">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托育机构入托预约管理</w:t>
      </w:r>
    </w:p>
    <w:p w14:paraId="61F43462">
      <w:pPr>
        <w:adjustRightInd/>
        <w:spacing w:line="360" w:lineRule="auto"/>
        <w:ind w:firstLine="480" w:firstLineChars="200"/>
        <w:jc w:val="left"/>
        <w:rPr>
          <w:sz w:val="24"/>
        </w:rPr>
      </w:pPr>
      <w:r>
        <w:rPr>
          <w:rFonts w:hint="eastAsia"/>
          <w:sz w:val="24"/>
        </w:rPr>
        <w:t>机构从业人员服务端：托育机构从业人员可通过服务端在线管理婴幼儿家长提交的入托预约信息，及时与育儿家长沟通协调预约探园时间，并在探园时在线记录有效转化入托。</w:t>
      </w:r>
    </w:p>
    <w:p w14:paraId="6045F295">
      <w:pPr>
        <w:adjustRightInd/>
        <w:spacing w:line="360" w:lineRule="auto"/>
        <w:ind w:firstLine="480" w:firstLineChars="200"/>
        <w:rPr>
          <w:rFonts w:ascii="宋体" w:hAnsi="宋体" w:cs="宋体"/>
          <w:sz w:val="24"/>
        </w:rPr>
      </w:pPr>
      <w:r>
        <w:rPr>
          <w:rFonts w:hint="eastAsia"/>
          <w:sz w:val="24"/>
        </w:rPr>
        <w:t>托育机构管理端：托育机构可通过业务管理端，在线查看家长的预约入托申请，在线管理家长的探园记录</w:t>
      </w:r>
      <w:r>
        <w:rPr>
          <w:rFonts w:hint="eastAsia" w:ascii="宋体" w:hAnsi="宋体" w:cs="宋体"/>
          <w:sz w:val="24"/>
        </w:rPr>
        <w:t>。</w:t>
      </w:r>
    </w:p>
    <w:p w14:paraId="6A32B72E">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3）</w:t>
      </w:r>
      <w:r>
        <w:rPr>
          <w:rFonts w:hint="eastAsia" w:ascii="宋体" w:hAnsi="宋体" w:cs="宋体"/>
          <w:b/>
          <w:bCs/>
          <w:kern w:val="0"/>
          <w:sz w:val="28"/>
        </w:rPr>
        <w:t>设施配建“一张图”升级迭代</w:t>
      </w:r>
    </w:p>
    <w:p w14:paraId="66CBE370">
      <w:pPr>
        <w:adjustRightInd/>
        <w:spacing w:line="360" w:lineRule="auto"/>
        <w:ind w:firstLine="480" w:firstLineChars="200"/>
        <w:rPr>
          <w:rFonts w:ascii="宋体" w:hAnsi="宋体" w:cs="宋体"/>
          <w:sz w:val="24"/>
        </w:rPr>
      </w:pPr>
      <w:r>
        <w:rPr>
          <w:rFonts w:hint="eastAsia"/>
          <w:sz w:val="24"/>
        </w:rPr>
        <w:t>业务治理端－数据驾驶舱：迭代升级设施配建“一张图”，通过管理端对规划/出让土地进行管理，实现规划/出让土地－移交使用（对外招托）－投入运行办托使用全链路监管，一屏掌握全市托育服务设施配建布局与当前状态</w:t>
      </w:r>
      <w:r>
        <w:rPr>
          <w:rFonts w:hint="eastAsia" w:ascii="宋体" w:hAnsi="宋体" w:cs="宋体"/>
          <w:sz w:val="24"/>
        </w:rPr>
        <w:t>。</w:t>
      </w:r>
    </w:p>
    <w:p w14:paraId="0BFAB024">
      <w:pPr>
        <w:keepNext/>
        <w:keepLines/>
        <w:tabs>
          <w:tab w:val="left" w:pos="0"/>
        </w:tabs>
        <w:spacing w:beforeLines="50" w:afterLines="50" w:line="360" w:lineRule="auto"/>
        <w:outlineLvl w:val="4"/>
        <w:rPr>
          <w:rFonts w:ascii="宋体" w:hAnsi="宋体" w:eastAsia="仿宋" w:cs="宋体"/>
          <w:b/>
          <w:bCs/>
          <w:kern w:val="0"/>
          <w:sz w:val="28"/>
          <w:szCs w:val="28"/>
        </w:rPr>
      </w:pPr>
      <w:r>
        <w:rPr>
          <w:rFonts w:hint="eastAsia" w:ascii="宋体" w:hAnsi="宋体" w:eastAsia="仿宋" w:cs="宋体"/>
          <w:b/>
          <w:bCs/>
          <w:kern w:val="0"/>
          <w:sz w:val="28"/>
          <w:szCs w:val="28"/>
        </w:rPr>
        <w:t>②善育在杭2.0-“托得起”服务</w:t>
      </w:r>
    </w:p>
    <w:p w14:paraId="3C75393F">
      <w:pPr>
        <w:adjustRightInd/>
        <w:spacing w:line="360" w:lineRule="auto"/>
        <w:ind w:firstLine="480" w:firstLineChars="200"/>
        <w:rPr>
          <w:sz w:val="24"/>
        </w:rPr>
      </w:pPr>
      <w:r>
        <w:rPr>
          <w:rFonts w:hint="eastAsia"/>
          <w:sz w:val="24"/>
        </w:rPr>
        <w:t>为进一步实现全市育儿家长“托得起”的目标，在善育在杭1.0建设基础上，建设完善养育照护券-托育券补助、托育数智守护应用等服务。</w:t>
      </w:r>
    </w:p>
    <w:p w14:paraId="01D91726">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1）</w:t>
      </w:r>
      <w:r>
        <w:rPr>
          <w:rFonts w:hint="eastAsia" w:ascii="宋体" w:hAnsi="宋体" w:cs="宋体"/>
          <w:b/>
          <w:bCs/>
          <w:kern w:val="0"/>
          <w:sz w:val="28"/>
        </w:rPr>
        <w:t>养育照护券-托育券补助</w:t>
      </w:r>
    </w:p>
    <w:p w14:paraId="4E7772D0">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托育券与补助申请资格管理</w:t>
      </w:r>
    </w:p>
    <w:p w14:paraId="0BB69D41">
      <w:pPr>
        <w:adjustRightInd/>
        <w:spacing w:line="360" w:lineRule="auto"/>
        <w:ind w:firstLine="480" w:firstLineChars="200"/>
        <w:jc w:val="left"/>
        <w:rPr>
          <w:rFonts w:ascii="宋体" w:hAnsi="宋体" w:cs="宋体"/>
          <w:sz w:val="24"/>
        </w:rPr>
      </w:pPr>
      <w:r>
        <w:rPr>
          <w:rFonts w:hint="eastAsia"/>
          <w:sz w:val="24"/>
        </w:rPr>
        <w:t>根据区域户籍信息、社保卡账号、出生医学证明等信息，实现对托育券与补助申请人员的初筛，提高托育券与补助申请的审核效率与准确性。育儿家长可通过服务端在线填写确认婴幼儿信息，签署诚信承诺书，提交托育券领取资格申请，管理历次领取资格申请记录。各区县卫健业务治理端可在线审核家长提交的申请</w:t>
      </w:r>
      <w:r>
        <w:rPr>
          <w:rFonts w:hint="eastAsia" w:ascii="宋体" w:hAnsi="宋体" w:cs="宋体"/>
          <w:sz w:val="24"/>
        </w:rPr>
        <w:t>。</w:t>
      </w:r>
    </w:p>
    <w:p w14:paraId="277B3251">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托育券申请</w:t>
      </w:r>
    </w:p>
    <w:p w14:paraId="186304A0">
      <w:pPr>
        <w:adjustRightInd/>
        <w:spacing w:line="360" w:lineRule="auto"/>
        <w:ind w:firstLine="480" w:firstLineChars="200"/>
        <w:rPr>
          <w:rFonts w:ascii="宋体" w:hAnsi="宋体" w:cs="宋体"/>
          <w:sz w:val="24"/>
        </w:rPr>
      </w:pPr>
      <w:r>
        <w:rPr>
          <w:rFonts w:hint="eastAsia"/>
          <w:sz w:val="24"/>
        </w:rPr>
        <w:t>家长服务端：已获得托育券领取资格的家长可在线领取托育券，查看托育券领取申请记录与补助记录，托育券使用状态与补助申请状态</w:t>
      </w:r>
      <w:r>
        <w:rPr>
          <w:rFonts w:hint="eastAsia" w:ascii="宋体" w:hAnsi="宋体" w:cs="宋体"/>
          <w:sz w:val="24"/>
        </w:rPr>
        <w:t>。</w:t>
      </w:r>
    </w:p>
    <w:p w14:paraId="4F7FB77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托育券核销</w:t>
      </w:r>
    </w:p>
    <w:p w14:paraId="2FF727C5">
      <w:pPr>
        <w:adjustRightInd/>
        <w:spacing w:line="360" w:lineRule="auto"/>
        <w:ind w:firstLine="480" w:firstLineChars="200"/>
        <w:jc w:val="left"/>
        <w:rPr>
          <w:sz w:val="24"/>
        </w:rPr>
      </w:pPr>
      <w:r>
        <w:rPr>
          <w:rFonts w:hint="eastAsia"/>
          <w:sz w:val="24"/>
        </w:rPr>
        <w:t>机构从业人员服务端：托育机构从业人员可在线通过浙里办扫码的形式对家长申领的托育券进行核销，核销记录将协同至托育服务机构业务管理端与照护服务业务治理端。</w:t>
      </w:r>
    </w:p>
    <w:p w14:paraId="35DA431B">
      <w:pPr>
        <w:adjustRightInd/>
        <w:spacing w:line="360" w:lineRule="auto"/>
        <w:ind w:firstLine="480" w:firstLineChars="200"/>
        <w:rPr>
          <w:rFonts w:ascii="宋体" w:hAnsi="宋体" w:cs="宋体"/>
          <w:sz w:val="24"/>
        </w:rPr>
      </w:pPr>
      <w:r>
        <w:rPr>
          <w:rFonts w:hint="eastAsia"/>
          <w:sz w:val="24"/>
        </w:rPr>
        <w:t>托育机构管理端：对使用托育券抵扣的在托婴幼儿家长的托育券使用与核销记录进行管理，相关核销记录将协同至照护服务业务治理端</w:t>
      </w:r>
      <w:r>
        <w:rPr>
          <w:rFonts w:hint="eastAsia" w:ascii="宋体" w:hAnsi="宋体" w:cs="宋体"/>
          <w:sz w:val="24"/>
        </w:rPr>
        <w:t>。</w:t>
      </w:r>
    </w:p>
    <w:p w14:paraId="3D152B17">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托育券补助申请提交</w:t>
      </w:r>
    </w:p>
    <w:p w14:paraId="4E7C1BC5">
      <w:pPr>
        <w:adjustRightInd/>
        <w:spacing w:line="360" w:lineRule="auto"/>
        <w:ind w:firstLine="480" w:firstLineChars="200"/>
        <w:rPr>
          <w:rFonts w:ascii="宋体" w:hAnsi="宋体" w:cs="宋体"/>
          <w:sz w:val="24"/>
        </w:rPr>
      </w:pPr>
      <w:r>
        <w:rPr>
          <w:rFonts w:hint="eastAsia"/>
          <w:sz w:val="24"/>
        </w:rPr>
        <w:t>家长服务端：家长可在“善育在杭”服务端在线申请托育券补助，进入办理申请，一键查看确认在托婴幼儿信息、托育记录、托育券、社保卡账号等信息，通过对托育券的申请与使用流程规范数字化管理实现托育券在线申请与补助</w:t>
      </w:r>
      <w:r>
        <w:rPr>
          <w:rFonts w:hint="eastAsia" w:ascii="宋体" w:hAnsi="宋体" w:cs="宋体"/>
          <w:sz w:val="24"/>
        </w:rPr>
        <w:t>。</w:t>
      </w:r>
    </w:p>
    <w:p w14:paraId="16ED152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托育券补助在线审核</w:t>
      </w:r>
    </w:p>
    <w:p w14:paraId="146C1A76">
      <w:pPr>
        <w:adjustRightInd/>
        <w:spacing w:line="360" w:lineRule="auto"/>
        <w:ind w:firstLine="480" w:firstLineChars="200"/>
        <w:rPr>
          <w:rFonts w:ascii="宋体" w:hAnsi="宋体" w:cs="宋体"/>
          <w:sz w:val="24"/>
        </w:rPr>
      </w:pPr>
      <w:r>
        <w:rPr>
          <w:rFonts w:hint="eastAsia"/>
          <w:sz w:val="24"/>
        </w:rPr>
        <w:t>业务治理端：针对用户提交的托育券补助申请，结合托育券规则与策略，各区县可在线审核发放，并生成审核记录</w:t>
      </w:r>
      <w:r>
        <w:rPr>
          <w:rFonts w:hint="eastAsia" w:ascii="宋体" w:hAnsi="宋体" w:cs="宋体"/>
          <w:sz w:val="24"/>
        </w:rPr>
        <w:t>。</w:t>
      </w:r>
    </w:p>
    <w:p w14:paraId="31CE7421">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f．</w:t>
      </w:r>
      <w:r>
        <w:rPr>
          <w:rFonts w:hint="eastAsia" w:ascii="宋体" w:hAnsi="宋体" w:cs="宋体"/>
          <w:b/>
          <w:bCs/>
          <w:sz w:val="24"/>
        </w:rPr>
        <w:t>托育券大数据分析</w:t>
      </w:r>
    </w:p>
    <w:p w14:paraId="21982B04">
      <w:pPr>
        <w:adjustRightInd/>
        <w:spacing w:line="360" w:lineRule="auto"/>
        <w:ind w:firstLine="480" w:firstLineChars="200"/>
        <w:rPr>
          <w:rFonts w:ascii="宋体" w:hAnsi="宋体" w:cs="宋体"/>
          <w:sz w:val="24"/>
        </w:rPr>
      </w:pPr>
      <w:r>
        <w:rPr>
          <w:rFonts w:hint="eastAsia"/>
          <w:sz w:val="24"/>
        </w:rPr>
        <w:t>业务治理端：杭州市卫健、妇儿健康中心及各区县可在线管理各用户的托育券补助申请与使用情况、审核情况，并生成多维度统计分析报告，支持导出后发放托育券补贴</w:t>
      </w:r>
      <w:r>
        <w:rPr>
          <w:rFonts w:hint="eastAsia" w:ascii="宋体" w:hAnsi="宋体" w:cs="宋体"/>
          <w:sz w:val="24"/>
        </w:rPr>
        <w:t>。</w:t>
      </w:r>
    </w:p>
    <w:p w14:paraId="1104F3AE">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2）</w:t>
      </w:r>
      <w:r>
        <w:rPr>
          <w:rFonts w:hint="eastAsia" w:ascii="宋体" w:hAnsi="宋体" w:cs="宋体"/>
          <w:b/>
          <w:bCs/>
          <w:kern w:val="0"/>
          <w:sz w:val="28"/>
        </w:rPr>
        <w:t>托育数智守护应用</w:t>
      </w:r>
    </w:p>
    <w:p w14:paraId="2D82854F">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托育服务机构智能设备统筹协同管理</w:t>
      </w:r>
    </w:p>
    <w:p w14:paraId="56E2BC59">
      <w:pPr>
        <w:adjustRightInd/>
        <w:spacing w:line="360" w:lineRule="auto"/>
        <w:ind w:firstLine="480" w:firstLineChars="200"/>
        <w:rPr>
          <w:rFonts w:ascii="宋体" w:hAnsi="宋体" w:cs="宋体"/>
          <w:sz w:val="24"/>
        </w:rPr>
      </w:pPr>
      <w:r>
        <w:rPr>
          <w:rFonts w:hint="eastAsia"/>
          <w:sz w:val="24"/>
        </w:rPr>
        <w:t>业务治理端：建设智慧守护应用服务管理模块，支持杭州市卫健委、妇儿健康中心、各区县卫健及相关监管部门统筹管理区域目标托育服务机构的智慧守护应用服务，生成并管理系统内的应用服务ID，实现全市托育机构智慧守护应用服务的新增、绑定、启用情况与服务状态管理等功能</w:t>
      </w:r>
      <w:r>
        <w:rPr>
          <w:rFonts w:hint="eastAsia" w:ascii="宋体" w:hAnsi="宋体" w:cs="宋体"/>
          <w:sz w:val="24"/>
        </w:rPr>
        <w:t>。</w:t>
      </w:r>
    </w:p>
    <w:p w14:paraId="51BD6FA6">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机构从业人员到岗管理</w:t>
      </w:r>
    </w:p>
    <w:p w14:paraId="30321F57">
      <w:pPr>
        <w:adjustRightInd/>
        <w:spacing w:line="360" w:lineRule="auto"/>
        <w:ind w:firstLine="480" w:firstLineChars="200"/>
        <w:jc w:val="left"/>
        <w:rPr>
          <w:sz w:val="24"/>
        </w:rPr>
      </w:pPr>
      <w:r>
        <w:rPr>
          <w:rFonts w:hint="eastAsia"/>
          <w:sz w:val="24"/>
        </w:rPr>
        <w:t>业务治理端：杭州市卫健委、妇儿健康中心、各区县卫健及相关监管部门管理区域目标托育服务机构的各类从业人员真实到岗离岗情况，包括区域目标托育服务机构各从业人员的每日到岗离岗时间等，保障区域托育机构服务质量。</w:t>
      </w:r>
    </w:p>
    <w:p w14:paraId="7E0E3BE9">
      <w:pPr>
        <w:adjustRightInd/>
        <w:spacing w:line="360" w:lineRule="auto"/>
        <w:ind w:firstLine="480" w:firstLineChars="200"/>
        <w:jc w:val="left"/>
        <w:rPr>
          <w:sz w:val="24"/>
        </w:rPr>
      </w:pPr>
      <w:r>
        <w:rPr>
          <w:rFonts w:hint="eastAsia"/>
          <w:sz w:val="24"/>
        </w:rPr>
        <w:t>托育机构管理端：托育服务机构通过业务管理端在线管理全机构从业人员真实到岗离岗情况，包括各从业人员的每日到岗离岗时间等。</w:t>
      </w:r>
    </w:p>
    <w:p w14:paraId="20398D7B">
      <w:pPr>
        <w:adjustRightInd/>
        <w:spacing w:line="360" w:lineRule="auto"/>
        <w:ind w:firstLine="480" w:firstLineChars="200"/>
        <w:rPr>
          <w:rFonts w:ascii="宋体" w:hAnsi="宋体" w:cs="宋体"/>
          <w:sz w:val="24"/>
        </w:rPr>
      </w:pPr>
      <w:r>
        <w:rPr>
          <w:rFonts w:hint="eastAsia"/>
          <w:sz w:val="24"/>
        </w:rPr>
        <w:t>机构从业人员服务端：支持通过托育服务数智守护应用管理从业人员在线管理出勤到岗离岗信息</w:t>
      </w:r>
      <w:r>
        <w:rPr>
          <w:rFonts w:hint="eastAsia" w:ascii="宋体" w:hAnsi="宋体" w:cs="宋体"/>
          <w:sz w:val="24"/>
        </w:rPr>
        <w:t>。</w:t>
      </w:r>
    </w:p>
    <w:p w14:paraId="610773E3">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婴幼儿入离园“一键晓”</w:t>
      </w:r>
    </w:p>
    <w:p w14:paraId="78ED12C0">
      <w:pPr>
        <w:adjustRightInd/>
        <w:spacing w:line="360" w:lineRule="auto"/>
        <w:ind w:firstLine="480" w:firstLineChars="200"/>
        <w:jc w:val="left"/>
        <w:rPr>
          <w:sz w:val="24"/>
        </w:rPr>
      </w:pPr>
      <w:r>
        <w:rPr>
          <w:rFonts w:hint="eastAsia"/>
          <w:sz w:val="24"/>
        </w:rPr>
        <w:t>业务治理端：杭州市卫健委、妇儿健康中心、各区县卫健及相关监管部门管理区域目标托育服务机构在托婴幼儿的入离园情况，包括婴幼儿每日入离园时间等，应用大数据分析区域托育服务机构的在托婴幼儿每日到园率，实现对在托婴幼儿入离园的精准协同守护，提高普惠托育机构补助申请发放的合规性与精准性。。</w:t>
      </w:r>
    </w:p>
    <w:p w14:paraId="41606681">
      <w:pPr>
        <w:adjustRightInd/>
        <w:spacing w:line="360" w:lineRule="auto"/>
        <w:ind w:firstLine="480" w:firstLineChars="200"/>
        <w:rPr>
          <w:rFonts w:ascii="宋体" w:hAnsi="宋体" w:cs="宋体"/>
          <w:sz w:val="24"/>
        </w:rPr>
      </w:pPr>
      <w:r>
        <w:rPr>
          <w:rFonts w:hint="eastAsia" w:ascii="宋体" w:hAnsi="宋体" w:cs="宋体"/>
          <w:sz w:val="24"/>
        </w:rPr>
        <w:t>托育机构管理端：托育服务机构通过业务管理端在线管理在托婴幼儿的入离园情况，包括婴幼儿每日入离园时间等。</w:t>
      </w:r>
    </w:p>
    <w:p w14:paraId="62A74229">
      <w:pPr>
        <w:adjustRightInd/>
        <w:spacing w:line="360" w:lineRule="auto"/>
        <w:ind w:firstLine="480" w:firstLineChars="200"/>
        <w:rPr>
          <w:rFonts w:ascii="宋体" w:hAnsi="宋体" w:cs="宋体"/>
          <w:sz w:val="24"/>
        </w:rPr>
      </w:pPr>
      <w:r>
        <w:rPr>
          <w:rFonts w:hint="eastAsia" w:ascii="宋体" w:hAnsi="宋体" w:cs="宋体"/>
          <w:sz w:val="24"/>
        </w:rPr>
        <w:t>机构从业人员服务端与家长服务端：机构从业人员与家长可动态感知在托婴幼儿的每日入园、离园消息，管理婴幼儿的每日入离园情况，实现婴幼儿入离园消息“一键晓”。</w:t>
      </w:r>
    </w:p>
    <w:p w14:paraId="6EDF03D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数智守护应用服务</w:t>
      </w:r>
    </w:p>
    <w:p w14:paraId="0BEA4CE7">
      <w:pPr>
        <w:adjustRightInd/>
        <w:spacing w:line="360" w:lineRule="auto"/>
        <w:ind w:firstLine="480" w:firstLineChars="200"/>
        <w:rPr>
          <w:sz w:val="24"/>
          <w:highlight w:val="yellow"/>
        </w:rPr>
      </w:pPr>
      <w:r>
        <w:rPr>
          <w:rFonts w:hint="eastAsia"/>
          <w:sz w:val="24"/>
        </w:rPr>
        <w:t>为全市已认定的和2025年前新认定普惠托育服务机构提供人脸识别智能设备（含测温功能）套装，共400套。应用人脸识别设备应用活体检测人脸识别技术，支持对在托婴幼儿及机构从业人员的人脸打卡签到，检测体温，并实现打卡数据与系统动态协同管理。套装包含人脸识别智能设备、电源及线材，并为每一使用设备的普惠托育机构免费提供上门安装与调试、接入系统，确保系统正常使用，提供3年质保与运维服务。人脸识别智能设备（含测温功能）套装需中标人上门安装，并调试接入本项目系统服务，设备产生的相关数据不出域，实现本地化部署。</w:t>
      </w:r>
    </w:p>
    <w:p w14:paraId="071C00F5">
      <w:pPr>
        <w:adjustRightInd/>
        <w:spacing w:line="360" w:lineRule="auto"/>
        <w:ind w:firstLine="480" w:firstLineChars="200"/>
        <w:rPr>
          <w:rFonts w:ascii="宋体" w:hAnsi="宋体" w:cs="宋体"/>
          <w:sz w:val="24"/>
        </w:rPr>
      </w:pPr>
      <w:r>
        <w:rPr>
          <w:rFonts w:hint="eastAsia"/>
          <w:sz w:val="24"/>
        </w:rPr>
        <w:t>人脸识别智能设备（含测温功能）套装及相关服务可实现在托婴幼儿及从业人员每日入离园人脸识别与体温检测业务服务、系统数据协同。通过人脸识别与体温检测数据及善育在杭2.0-“托得起”服务中托育数智守护应用系统数据协同，实现本地识别人脸信息及体温检测数据上传系统后台，满足普惠托育收托补助精准审核，规范发放的需求</w:t>
      </w:r>
      <w:r>
        <w:rPr>
          <w:rFonts w:hint="eastAsia" w:ascii="宋体" w:hAnsi="宋体" w:cs="宋体"/>
          <w:sz w:val="24"/>
        </w:rPr>
        <w:t>。</w:t>
      </w:r>
    </w:p>
    <w:tbl>
      <w:tblPr>
        <w:tblStyle w:val="12"/>
        <w:tblW w:w="7804" w:type="dxa"/>
        <w:jc w:val="center"/>
        <w:tblLayout w:type="fixed"/>
        <w:tblCellMar>
          <w:top w:w="0" w:type="dxa"/>
          <w:left w:w="108" w:type="dxa"/>
          <w:bottom w:w="0" w:type="dxa"/>
          <w:right w:w="108" w:type="dxa"/>
        </w:tblCellMar>
      </w:tblPr>
      <w:tblGrid>
        <w:gridCol w:w="1884"/>
        <w:gridCol w:w="4422"/>
        <w:gridCol w:w="781"/>
        <w:gridCol w:w="717"/>
      </w:tblGrid>
      <w:tr w14:paraId="3099D53A">
        <w:tblPrEx>
          <w:tblCellMar>
            <w:top w:w="0" w:type="dxa"/>
            <w:left w:w="108" w:type="dxa"/>
            <w:bottom w:w="0" w:type="dxa"/>
            <w:right w:w="108" w:type="dxa"/>
          </w:tblCellMar>
        </w:tblPrEx>
        <w:trPr>
          <w:trHeight w:val="680" w:hRule="atLeast"/>
          <w:jc w:val="center"/>
        </w:trPr>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6785">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托育服务数智守护应用项</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292E">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产品参数及要求</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40B6">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单位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8646">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数量</w:t>
            </w:r>
          </w:p>
        </w:tc>
      </w:tr>
      <w:tr w14:paraId="3CB0843B">
        <w:tblPrEx>
          <w:tblCellMar>
            <w:top w:w="0" w:type="dxa"/>
            <w:left w:w="108" w:type="dxa"/>
            <w:bottom w:w="0" w:type="dxa"/>
            <w:right w:w="108" w:type="dxa"/>
          </w:tblCellMar>
        </w:tblPrEx>
        <w:trPr>
          <w:trHeight w:val="2360" w:hRule="atLeast"/>
          <w:jc w:val="center"/>
        </w:trPr>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BEA1">
            <w:pPr>
              <w:snapToGrid w:val="0"/>
              <w:spacing w:line="360" w:lineRule="auto"/>
              <w:ind w:firstLine="42" w:firstLineChars="21"/>
              <w:rPr>
                <w:rFonts w:ascii="宋体" w:hAnsi="宋体"/>
                <w:kern w:val="0"/>
                <w:sz w:val="20"/>
                <w:szCs w:val="20"/>
              </w:rPr>
            </w:pPr>
            <w:r>
              <w:rPr>
                <w:rFonts w:hint="eastAsia" w:ascii="宋体" w:hAnsi="宋体"/>
                <w:kern w:val="0"/>
                <w:sz w:val="20"/>
                <w:szCs w:val="20"/>
              </w:rPr>
              <w:t>人脸识别智能设备（含测温功能）套装</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BC5C">
            <w:pPr>
              <w:snapToGrid w:val="0"/>
              <w:spacing w:line="360" w:lineRule="auto"/>
              <w:rPr>
                <w:rFonts w:ascii="宋体" w:hAnsi="宋体"/>
                <w:kern w:val="0"/>
                <w:sz w:val="20"/>
                <w:szCs w:val="20"/>
              </w:rPr>
            </w:pPr>
            <w:r>
              <w:rPr>
                <w:rFonts w:hint="eastAsia" w:ascii="宋体" w:hAnsi="宋体"/>
                <w:kern w:val="0"/>
                <w:sz w:val="20"/>
                <w:szCs w:val="20"/>
              </w:rPr>
              <w:t>1.人脸识别设备（含测温）采用4 英寸及以上 LCD 触摸显示屏，分辨率不小于 272╳480 ，屏幕防爆等级 IK04 ，屏幕流明度不低于 350cd/㎡；应支持选装壁挂、桌面、立式安装支架；结构后壳防暴等级 IK07 。（提供公安部检验报告证明）；</w:t>
            </w:r>
          </w:p>
          <w:p w14:paraId="0037E767">
            <w:pPr>
              <w:adjustRightInd/>
              <w:spacing w:line="360" w:lineRule="auto"/>
              <w:rPr>
                <w:sz w:val="24"/>
              </w:rPr>
            </w:pPr>
            <w:r>
              <w:rPr>
                <w:rFonts w:ascii="宋体" w:hAnsi="宋体"/>
                <w:kern w:val="0"/>
                <w:sz w:val="20"/>
                <w:szCs w:val="20"/>
              </w:rPr>
              <w:t>◆</w:t>
            </w:r>
            <w:r>
              <w:rPr>
                <w:rFonts w:hint="eastAsia" w:ascii="宋体" w:hAnsi="宋体"/>
                <w:kern w:val="0"/>
                <w:sz w:val="20"/>
                <w:szCs w:val="20"/>
              </w:rPr>
              <w:t>2.设备采用200万宽动态摄像头，支持可见光及红外光补光进行人脸验证，支持在 0.001lux 低照度无补光环境下正常实现人脸验证；能适应强光、逆光、暗光等条件下的人脸验证；应支持通过人脸及人体测光，快速调节图像亮度；支持防假体攻击功能，对视频、电子照片、打印照片、头模、3D 模型攻击应能防伪；支持人脸验证多阈值设置；应能设置脸识别垂直及水平区域范围，人脸上、下、左、右边界参数和上、下俯仰角，左右水平角度。（提供公安部检验报告证明）</w:t>
            </w:r>
            <w:r>
              <w:rPr>
                <w:rFonts w:hint="eastAsia"/>
                <w:sz w:val="24"/>
              </w:rPr>
              <w:t>；</w:t>
            </w:r>
          </w:p>
          <w:p w14:paraId="59291D4C">
            <w:pPr>
              <w:adjustRightInd/>
              <w:spacing w:line="360" w:lineRule="auto"/>
              <w:rPr>
                <w:sz w:val="24"/>
              </w:rPr>
            </w:pPr>
            <w:r>
              <w:rPr>
                <w:rFonts w:ascii="宋体" w:hAnsi="宋体"/>
                <w:kern w:val="0"/>
                <w:sz w:val="20"/>
                <w:szCs w:val="20"/>
              </w:rPr>
              <w:t>◆</w:t>
            </w:r>
            <w:r>
              <w:rPr>
                <w:rFonts w:hint="eastAsia" w:ascii="宋体" w:hAnsi="宋体"/>
                <w:kern w:val="0"/>
                <w:sz w:val="20"/>
                <w:szCs w:val="20"/>
              </w:rPr>
              <w:t>3.设备离线应支持 6000个用户，离线应支持6000个人脸特征存储 ，离线应支持10000 张卡片容量存储 ，离线应支持 150000 笔记录存储，离线应支持6000 个密码。（提供公安部检验报告证明）</w:t>
            </w:r>
            <w:r>
              <w:rPr>
                <w:rFonts w:hint="eastAsia"/>
                <w:sz w:val="24"/>
              </w:rPr>
              <w:t>；</w:t>
            </w:r>
          </w:p>
          <w:p w14:paraId="3EC39985">
            <w:pPr>
              <w:snapToGrid w:val="0"/>
              <w:spacing w:line="360" w:lineRule="auto"/>
              <w:ind w:firstLine="42" w:firstLineChars="21"/>
              <w:rPr>
                <w:rFonts w:ascii="宋体" w:hAnsi="宋体"/>
                <w:kern w:val="0"/>
                <w:sz w:val="20"/>
                <w:szCs w:val="20"/>
              </w:rPr>
            </w:pPr>
            <w:r>
              <w:rPr>
                <w:rFonts w:ascii="宋体" w:hAnsi="宋体"/>
                <w:kern w:val="0"/>
                <w:sz w:val="20"/>
                <w:szCs w:val="20"/>
              </w:rPr>
              <w:t>◆</w:t>
            </w:r>
            <w:r>
              <w:rPr>
                <w:rFonts w:hint="eastAsia" w:ascii="宋体" w:hAnsi="宋体"/>
                <w:kern w:val="0"/>
                <w:sz w:val="20"/>
                <w:szCs w:val="20"/>
              </w:rPr>
              <w:t>4.设备应采用热成像测温技术方案，分辨率 96×160，支持热成像图像预览；测温精度 0.1℃，测温误差≤±0.3℃，测温值：35℃～40℃；应支持 0.3m～2.0m 距离范围内非接触式自动人体测温；（提供公安部检验报告证明）；</w:t>
            </w:r>
          </w:p>
          <w:p w14:paraId="398AC709">
            <w:pPr>
              <w:snapToGrid w:val="0"/>
              <w:spacing w:line="360" w:lineRule="auto"/>
              <w:rPr>
                <w:rFonts w:ascii="宋体" w:hAnsi="宋体"/>
                <w:kern w:val="0"/>
                <w:sz w:val="20"/>
                <w:szCs w:val="20"/>
              </w:rPr>
            </w:pPr>
            <w:r>
              <w:rPr>
                <w:rFonts w:ascii="宋体" w:hAnsi="宋体"/>
                <w:kern w:val="0"/>
                <w:sz w:val="20"/>
                <w:szCs w:val="20"/>
              </w:rPr>
              <w:t>◆</w:t>
            </w:r>
            <w:r>
              <w:rPr>
                <w:rFonts w:hint="eastAsia" w:ascii="宋体" w:hAnsi="宋体"/>
                <w:kern w:val="0"/>
                <w:sz w:val="20"/>
                <w:szCs w:val="20"/>
              </w:rPr>
              <w:t>5.人脸比对平均时间应＜175ms；最大人脸验证距离：＞2m；最小人脸验证距离：＜0.25m；认假率（FAR）= 认假总次数/负样本对×100%，拒真率（FRR）= 拒真总次数/正样本对×100%，准确率=（正样本通过次数+负样本拒绝次数）/比对总次数×100%，认假率（FAR）＜0.001% ，拒真率（FRR）＜1%，准确率＞99.9%（提供公安部检验报告证明）</w:t>
            </w:r>
          </w:p>
          <w:p w14:paraId="3235D4ED">
            <w:pPr>
              <w:snapToGrid w:val="0"/>
              <w:spacing w:line="360" w:lineRule="auto"/>
              <w:rPr>
                <w:rFonts w:ascii="宋体" w:hAnsi="宋体"/>
                <w:kern w:val="0"/>
                <w:sz w:val="20"/>
                <w:szCs w:val="20"/>
              </w:rPr>
            </w:pPr>
            <w:r>
              <w:rPr>
                <w:rFonts w:hint="eastAsia" w:ascii="宋体" w:hAnsi="宋体"/>
                <w:kern w:val="0"/>
                <w:sz w:val="20"/>
                <w:szCs w:val="20"/>
              </w:rPr>
              <w:t>6.应支持过流保护，电源防反接等设计；接触放电：±6kV；空气放电：±2kV，±4kV，±8kV；间接放电：±6kV，试验期间样品工作正常，无误动作。（80±2）℃或（-40±3）℃、2h，试验期间及试验后样品应能正常工作。（提供公安部检验报告证明）</w:t>
            </w:r>
          </w:p>
          <w:p w14:paraId="4F02BF77">
            <w:pPr>
              <w:snapToGrid w:val="0"/>
              <w:spacing w:line="360" w:lineRule="auto"/>
              <w:rPr>
                <w:rFonts w:ascii="宋体" w:hAnsi="宋体"/>
                <w:kern w:val="0"/>
                <w:sz w:val="20"/>
                <w:szCs w:val="20"/>
              </w:rPr>
            </w:pPr>
            <w:r>
              <w:rPr>
                <w:rFonts w:ascii="宋体" w:hAnsi="宋体"/>
                <w:kern w:val="0"/>
                <w:sz w:val="20"/>
                <w:szCs w:val="20"/>
              </w:rPr>
              <w:t>◆</w:t>
            </w:r>
            <w:r>
              <w:rPr>
                <w:rFonts w:hint="eastAsia" w:ascii="宋体" w:hAnsi="宋体"/>
                <w:kern w:val="0"/>
                <w:sz w:val="20"/>
                <w:szCs w:val="20"/>
              </w:rPr>
              <w:t>7.设备需与善育在杭2.0-托育数智守护应用直接对接，实现人脸识别打卡数据与体温数据实时动态协同而不出域。（提供类似设备套装与“婴幼儿照护”类似项目软件系统直接对接的证明材料，如网络抓包截图等材料）</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4187">
            <w:pPr>
              <w:snapToGrid w:val="0"/>
              <w:spacing w:line="360" w:lineRule="auto"/>
              <w:ind w:firstLine="42" w:firstLineChars="21"/>
              <w:rPr>
                <w:rFonts w:ascii="宋体" w:hAnsi="宋体"/>
                <w:kern w:val="0"/>
                <w:sz w:val="20"/>
                <w:szCs w:val="20"/>
              </w:rPr>
            </w:pPr>
            <w:r>
              <w:rPr>
                <w:rFonts w:hint="eastAsia" w:ascii="宋体" w:hAnsi="宋体"/>
                <w:kern w:val="0"/>
                <w:sz w:val="20"/>
                <w:szCs w:val="20"/>
              </w:rPr>
              <w:t>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9085">
            <w:pPr>
              <w:snapToGrid w:val="0"/>
              <w:spacing w:line="360" w:lineRule="auto"/>
              <w:ind w:firstLine="42" w:firstLineChars="21"/>
              <w:rPr>
                <w:rFonts w:ascii="宋体" w:hAnsi="宋体"/>
                <w:kern w:val="0"/>
                <w:sz w:val="20"/>
                <w:szCs w:val="20"/>
              </w:rPr>
            </w:pPr>
            <w:r>
              <w:rPr>
                <w:rFonts w:hint="eastAsia" w:ascii="宋体" w:hAnsi="宋体"/>
                <w:kern w:val="0"/>
                <w:sz w:val="20"/>
                <w:szCs w:val="20"/>
              </w:rPr>
              <w:t>400</w:t>
            </w:r>
          </w:p>
        </w:tc>
      </w:tr>
    </w:tbl>
    <w:p w14:paraId="5FB2AD58">
      <w:pPr>
        <w:spacing w:after="120"/>
        <w:ind w:left="420" w:leftChars="200" w:firstLine="420" w:firstLineChars="200"/>
        <w:rPr>
          <w:rFonts w:ascii="宋体" w:hAnsi="宋体"/>
        </w:rPr>
      </w:pPr>
    </w:p>
    <w:p w14:paraId="12C3CBB6">
      <w:pPr>
        <w:keepNext/>
        <w:keepLines/>
        <w:tabs>
          <w:tab w:val="left" w:pos="0"/>
        </w:tabs>
        <w:spacing w:beforeLines="50" w:afterLines="50" w:line="360" w:lineRule="auto"/>
        <w:outlineLvl w:val="4"/>
        <w:rPr>
          <w:rFonts w:ascii="宋体" w:hAnsi="宋体" w:eastAsia="仿宋" w:cs="宋体"/>
          <w:b/>
          <w:bCs/>
          <w:kern w:val="0"/>
          <w:sz w:val="28"/>
          <w:szCs w:val="28"/>
        </w:rPr>
      </w:pPr>
      <w:r>
        <w:rPr>
          <w:rFonts w:hint="eastAsia" w:ascii="宋体" w:hAnsi="宋体" w:eastAsia="仿宋" w:cs="宋体"/>
          <w:b/>
          <w:bCs/>
          <w:kern w:val="0"/>
          <w:sz w:val="28"/>
          <w:szCs w:val="28"/>
        </w:rPr>
        <w:t>③善育在杭2.0-“托得好”服务</w:t>
      </w:r>
    </w:p>
    <w:p w14:paraId="681A89DC">
      <w:pPr>
        <w:adjustRightInd/>
        <w:spacing w:line="360" w:lineRule="auto"/>
        <w:ind w:firstLine="480" w:firstLineChars="200"/>
        <w:rPr>
          <w:sz w:val="24"/>
        </w:rPr>
      </w:pPr>
      <w:r>
        <w:rPr>
          <w:rFonts w:hint="eastAsia"/>
          <w:sz w:val="24"/>
        </w:rPr>
        <w:t>为进一步实现全市育儿家长“托得好”的目标，在善育在杭1.0建设基础上，建设完善用户角色与信息管理、家园共育、托育从业人员在线考核、杭州市托育机构质量评估、医育结合服务记录与管理、0-3岁婴幼儿早期发展数智预警服务系统、善育在杭大数据分析与治理等服务。</w:t>
      </w:r>
    </w:p>
    <w:p w14:paraId="228A589C">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1）</w:t>
      </w:r>
      <w:r>
        <w:rPr>
          <w:rFonts w:hint="eastAsia" w:ascii="宋体" w:hAnsi="宋体" w:cs="宋体"/>
          <w:b/>
          <w:bCs/>
          <w:kern w:val="0"/>
          <w:sz w:val="28"/>
        </w:rPr>
        <w:t>用户角色与信息管理</w:t>
      </w:r>
    </w:p>
    <w:p w14:paraId="4CC13BBA">
      <w:pPr>
        <w:adjustRightInd/>
        <w:spacing w:line="360" w:lineRule="auto"/>
        <w:ind w:firstLine="480" w:firstLineChars="200"/>
        <w:rPr>
          <w:rFonts w:ascii="宋体" w:hAnsi="宋体" w:cs="宋体"/>
          <w:sz w:val="24"/>
        </w:rPr>
      </w:pPr>
      <w:r>
        <w:rPr>
          <w:rFonts w:hint="eastAsia"/>
          <w:sz w:val="24"/>
        </w:rPr>
        <w:t>服务端：在“善育在杭”应用中新增托育服务从业人员、儿保医生角色，向托育机构从业人员、儿保医生开放，根据登录信息判断用户角色，支持用户通过角色切换以完成业务的数字化服务</w:t>
      </w:r>
      <w:r>
        <w:rPr>
          <w:rFonts w:hint="eastAsia" w:ascii="宋体" w:hAnsi="宋体" w:cs="宋体"/>
          <w:sz w:val="24"/>
        </w:rPr>
        <w:t>。</w:t>
      </w:r>
    </w:p>
    <w:p w14:paraId="0F25F8A2">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2）</w:t>
      </w:r>
      <w:r>
        <w:rPr>
          <w:rFonts w:hint="eastAsia" w:ascii="宋体" w:hAnsi="宋体" w:cs="宋体"/>
          <w:b/>
          <w:bCs/>
          <w:kern w:val="0"/>
          <w:sz w:val="28"/>
        </w:rPr>
        <w:t>家园共育</w:t>
      </w:r>
    </w:p>
    <w:p w14:paraId="448AAE83">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在托婴幼儿智能绑定与切换</w:t>
      </w:r>
    </w:p>
    <w:p w14:paraId="1D7048E1">
      <w:pPr>
        <w:adjustRightInd/>
        <w:spacing w:line="360" w:lineRule="auto"/>
        <w:ind w:firstLine="480" w:firstLineChars="200"/>
        <w:rPr>
          <w:rFonts w:ascii="宋体" w:hAnsi="宋体" w:cs="宋体"/>
          <w:sz w:val="24"/>
        </w:rPr>
      </w:pPr>
      <w:r>
        <w:rPr>
          <w:rFonts w:hint="eastAsia"/>
          <w:sz w:val="24"/>
        </w:rPr>
        <w:t>家长服务端：根据在托婴幼儿花名册与浙里办用户登录实名信息进行家长与婴幼儿的智能绑定，家长登录“善育在杭”即可在线查看自己孩子的在托情况，对于多孩家长可实现一键切换，管理每个孩子的托育日常</w:t>
      </w:r>
      <w:r>
        <w:rPr>
          <w:rFonts w:hint="eastAsia" w:ascii="宋体" w:hAnsi="宋体" w:cs="宋体"/>
          <w:sz w:val="24"/>
        </w:rPr>
        <w:t>。</w:t>
      </w:r>
    </w:p>
    <w:p w14:paraId="06283224">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班级在托婴幼儿管理</w:t>
      </w:r>
    </w:p>
    <w:p w14:paraId="51528559">
      <w:pPr>
        <w:adjustRightInd/>
        <w:spacing w:line="360" w:lineRule="auto"/>
        <w:ind w:firstLine="480" w:firstLineChars="200"/>
        <w:rPr>
          <w:rFonts w:ascii="宋体" w:hAnsi="宋体" w:cs="宋体"/>
          <w:sz w:val="24"/>
        </w:rPr>
      </w:pPr>
      <w:r>
        <w:rPr>
          <w:rFonts w:hint="eastAsia"/>
          <w:sz w:val="24"/>
        </w:rPr>
        <w:t>机构从业人员服务端：从业人员可通过服务端在线管理带班的班级及在托婴幼儿信息</w:t>
      </w:r>
      <w:r>
        <w:rPr>
          <w:rFonts w:hint="eastAsia" w:ascii="宋体" w:hAnsi="宋体" w:cs="宋体"/>
          <w:sz w:val="24"/>
        </w:rPr>
        <w:t>。</w:t>
      </w:r>
    </w:p>
    <w:p w14:paraId="5AF0FAA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婴幼儿请假管理</w:t>
      </w:r>
    </w:p>
    <w:p w14:paraId="67581327">
      <w:pPr>
        <w:adjustRightInd/>
        <w:spacing w:line="360" w:lineRule="auto"/>
        <w:ind w:firstLine="480" w:firstLineChars="200"/>
        <w:jc w:val="left"/>
        <w:rPr>
          <w:sz w:val="24"/>
        </w:rPr>
      </w:pPr>
      <w:r>
        <w:rPr>
          <w:rFonts w:hint="eastAsia"/>
          <w:sz w:val="24"/>
        </w:rPr>
        <w:t>业务治理端及托育机构管理端：杭州市卫健委、妇儿健康中心、各区县卫健及相关监管部门、托育服务机构管理区域在托婴幼儿请假情况。</w:t>
      </w:r>
    </w:p>
    <w:p w14:paraId="38F4F4F8">
      <w:pPr>
        <w:adjustRightInd/>
        <w:spacing w:line="360" w:lineRule="auto"/>
        <w:ind w:firstLine="480" w:firstLineChars="200"/>
        <w:jc w:val="left"/>
        <w:rPr>
          <w:sz w:val="24"/>
        </w:rPr>
      </w:pPr>
      <w:r>
        <w:rPr>
          <w:rFonts w:hint="eastAsia"/>
          <w:sz w:val="24"/>
        </w:rPr>
        <w:t>家长服务端：婴幼儿家长可在托育一件事管理婴幼儿的请假申请，查看托育机构从业人员对请假申请的审批情况。</w:t>
      </w:r>
    </w:p>
    <w:p w14:paraId="7D97CF45">
      <w:pPr>
        <w:adjustRightInd/>
        <w:spacing w:line="360" w:lineRule="auto"/>
        <w:ind w:firstLine="480" w:firstLineChars="200"/>
        <w:rPr>
          <w:rFonts w:ascii="宋体" w:hAnsi="宋体" w:cs="宋体"/>
          <w:sz w:val="24"/>
        </w:rPr>
      </w:pPr>
      <w:r>
        <w:rPr>
          <w:rFonts w:hint="eastAsia"/>
          <w:sz w:val="24"/>
        </w:rPr>
        <w:t>机构从业人员服务端：托育机构从业人员可在线审批家长提交的请假申请，审批结果可协同至家长端</w:t>
      </w:r>
      <w:r>
        <w:rPr>
          <w:rFonts w:hint="eastAsia" w:ascii="宋体" w:hAnsi="宋体" w:cs="宋体"/>
          <w:sz w:val="24"/>
        </w:rPr>
        <w:t>。</w:t>
      </w:r>
    </w:p>
    <w:p w14:paraId="218006F4">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托育每日照护报告</w:t>
      </w:r>
    </w:p>
    <w:p w14:paraId="0FF4C32E">
      <w:pPr>
        <w:adjustRightInd/>
        <w:spacing w:line="360" w:lineRule="auto"/>
        <w:ind w:firstLine="480" w:firstLineChars="200"/>
        <w:jc w:val="left"/>
        <w:rPr>
          <w:sz w:val="24"/>
        </w:rPr>
      </w:pPr>
      <w:r>
        <w:rPr>
          <w:rFonts w:hint="eastAsia"/>
          <w:sz w:val="24"/>
        </w:rPr>
        <w:t>家长服务端：系统每日智能生成由托育从业人员记录的在托婴幼儿每日照护记录表，包括休息睡眠、娱乐玩耍、尿布更换、饮食等说明，支持家长下载与分享。</w:t>
      </w:r>
    </w:p>
    <w:p w14:paraId="521D7297">
      <w:pPr>
        <w:adjustRightInd/>
        <w:spacing w:line="360" w:lineRule="auto"/>
        <w:ind w:firstLine="480" w:firstLineChars="200"/>
        <w:rPr>
          <w:rFonts w:ascii="宋体" w:hAnsi="宋体" w:cs="宋体"/>
          <w:sz w:val="24"/>
        </w:rPr>
      </w:pPr>
      <w:r>
        <w:rPr>
          <w:rFonts w:hint="eastAsia"/>
          <w:sz w:val="24"/>
        </w:rPr>
        <w:t>机构从业人员服务端：托育从业人员可在线记录在托婴幼儿每日照护记录，支持单人、批量录入，相关照护记录可协同至家长端</w:t>
      </w:r>
      <w:r>
        <w:rPr>
          <w:rFonts w:hint="eastAsia" w:ascii="宋体" w:hAnsi="宋体" w:cs="宋体"/>
          <w:sz w:val="24"/>
        </w:rPr>
        <w:t>。</w:t>
      </w:r>
    </w:p>
    <w:p w14:paraId="60BB2ECC">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托育成长日记</w:t>
      </w:r>
    </w:p>
    <w:p w14:paraId="78A8A3E1">
      <w:pPr>
        <w:adjustRightInd/>
        <w:spacing w:line="360" w:lineRule="auto"/>
        <w:ind w:firstLine="480" w:firstLineChars="200"/>
        <w:jc w:val="left"/>
        <w:rPr>
          <w:sz w:val="24"/>
        </w:rPr>
      </w:pPr>
      <w:r>
        <w:rPr>
          <w:rFonts w:hint="eastAsia"/>
          <w:sz w:val="24"/>
        </w:rPr>
        <w:t>家长服务端：根据婴幼儿每日在园照护情况，生成婴幼儿在园托育成长日记，支持家长在线查看、分享婴幼儿在园托育成长报告。</w:t>
      </w:r>
    </w:p>
    <w:p w14:paraId="1F6FD80B">
      <w:pPr>
        <w:adjustRightInd/>
        <w:spacing w:line="360" w:lineRule="auto"/>
        <w:ind w:firstLine="480" w:firstLineChars="200"/>
        <w:rPr>
          <w:rFonts w:ascii="宋体" w:hAnsi="宋体" w:cs="宋体"/>
          <w:sz w:val="24"/>
        </w:rPr>
      </w:pPr>
      <w:r>
        <w:rPr>
          <w:rFonts w:hint="eastAsia"/>
          <w:sz w:val="24"/>
        </w:rPr>
        <w:t>机构从业人员服务端：支持机构从业人员在线查看，编辑管理在托婴幼儿的托育成长日记，将婴幼儿每日在园照护情况，生成婴幼儿在园托育成长日记，支持家长在线查看、分享婴幼儿在园托育成长报告</w:t>
      </w:r>
      <w:r>
        <w:rPr>
          <w:rFonts w:hint="eastAsia" w:ascii="宋体" w:hAnsi="宋体" w:cs="宋体"/>
          <w:sz w:val="24"/>
        </w:rPr>
        <w:t>。</w:t>
      </w:r>
    </w:p>
    <w:p w14:paraId="572E6C7C">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f．</w:t>
      </w:r>
      <w:r>
        <w:rPr>
          <w:rFonts w:hint="eastAsia" w:ascii="宋体" w:hAnsi="宋体" w:cs="宋体"/>
          <w:b/>
          <w:bCs/>
          <w:sz w:val="24"/>
        </w:rPr>
        <w:t>用药委托管理</w:t>
      </w:r>
    </w:p>
    <w:p w14:paraId="47037AEB">
      <w:pPr>
        <w:adjustRightInd/>
        <w:spacing w:line="360" w:lineRule="auto"/>
        <w:ind w:firstLine="480" w:firstLineChars="200"/>
        <w:jc w:val="left"/>
        <w:rPr>
          <w:sz w:val="24"/>
        </w:rPr>
      </w:pPr>
      <w:r>
        <w:rPr>
          <w:rFonts w:hint="eastAsia"/>
          <w:sz w:val="24"/>
        </w:rPr>
        <w:t>家长服务端：对于患病婴幼儿，家长可在线填写用药授权书并记录药品信息，用药委托将协同至托育机构端与托育从业人员服务端，可在线查看在托婴幼儿的用药记录。</w:t>
      </w:r>
    </w:p>
    <w:p w14:paraId="06E88907">
      <w:pPr>
        <w:adjustRightInd/>
        <w:spacing w:line="360" w:lineRule="auto"/>
        <w:ind w:firstLine="480" w:firstLineChars="200"/>
        <w:rPr>
          <w:rFonts w:ascii="宋体" w:hAnsi="宋体" w:cs="宋体"/>
          <w:sz w:val="24"/>
        </w:rPr>
      </w:pPr>
      <w:r>
        <w:rPr>
          <w:rFonts w:hint="eastAsia"/>
          <w:sz w:val="24"/>
        </w:rPr>
        <w:t>机构从业人员服务端：托育机构从业人员可在线查看在托婴幼儿家长提交的用药委托申请，并针对该信息对婴幼儿进行按时按量喂药与记录，相关记录将协同至婴幼儿家长服务端</w:t>
      </w:r>
      <w:r>
        <w:rPr>
          <w:rFonts w:hint="eastAsia" w:ascii="宋体" w:hAnsi="宋体" w:cs="宋体"/>
          <w:sz w:val="24"/>
        </w:rPr>
        <w:t>。</w:t>
      </w:r>
    </w:p>
    <w:p w14:paraId="6E1731F6">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g．</w:t>
      </w:r>
      <w:r>
        <w:rPr>
          <w:rFonts w:hint="eastAsia" w:ascii="宋体" w:hAnsi="宋体" w:cs="宋体"/>
          <w:b/>
          <w:bCs/>
          <w:sz w:val="24"/>
        </w:rPr>
        <w:t>机构膳食管理</w:t>
      </w:r>
    </w:p>
    <w:p w14:paraId="2CA166A9">
      <w:pPr>
        <w:adjustRightInd/>
        <w:spacing w:line="360" w:lineRule="auto"/>
        <w:ind w:firstLine="480" w:firstLineChars="200"/>
        <w:rPr>
          <w:rFonts w:ascii="宋体" w:hAnsi="宋体" w:cs="宋体"/>
          <w:sz w:val="24"/>
        </w:rPr>
      </w:pPr>
      <w:r>
        <w:rPr>
          <w:rFonts w:hint="eastAsia"/>
          <w:sz w:val="24"/>
        </w:rPr>
        <w:t>在善育在杭1.0基础上，面向机构从业人员开放服务端：机构从业人员可在线管理机构每日的营养膳食照片，支持对照片进行上传与更改，协同至家长端</w:t>
      </w:r>
      <w:r>
        <w:rPr>
          <w:rFonts w:hint="eastAsia" w:ascii="宋体" w:hAnsi="宋体" w:cs="宋体"/>
          <w:sz w:val="24"/>
        </w:rPr>
        <w:t>。</w:t>
      </w:r>
    </w:p>
    <w:p w14:paraId="3A1E13A1">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h．</w:t>
      </w:r>
      <w:r>
        <w:rPr>
          <w:rFonts w:hint="eastAsia" w:ascii="宋体" w:hAnsi="宋体" w:cs="宋体"/>
          <w:b/>
          <w:bCs/>
          <w:sz w:val="24"/>
        </w:rPr>
        <w:t>在托医育结合指导服务</w:t>
      </w:r>
    </w:p>
    <w:p w14:paraId="3ED6FC9E">
      <w:pPr>
        <w:adjustRightInd/>
        <w:spacing w:line="360" w:lineRule="auto"/>
        <w:ind w:firstLine="480" w:firstLineChars="200"/>
        <w:jc w:val="left"/>
        <w:rPr>
          <w:sz w:val="24"/>
        </w:rPr>
      </w:pPr>
      <w:r>
        <w:rPr>
          <w:rFonts w:hint="eastAsia"/>
          <w:sz w:val="24"/>
        </w:rPr>
        <w:t>在善育在杭1.0基础上，面向家长开放服务端“家园共育”服务：家长可通过托育一件事“家园共育”栏中的在托医育结合指导服务，查看基层儿保医生对于在托婴幼儿的医育结合指导记录，获取最新的孩子健康状态与指导意见。</w:t>
      </w:r>
    </w:p>
    <w:p w14:paraId="115833E2">
      <w:pPr>
        <w:adjustRightInd/>
        <w:spacing w:line="360" w:lineRule="auto"/>
        <w:ind w:firstLine="480" w:firstLineChars="200"/>
        <w:rPr>
          <w:rFonts w:ascii="宋体" w:hAnsi="宋体" w:cs="宋体"/>
          <w:sz w:val="24"/>
        </w:rPr>
      </w:pPr>
      <w:r>
        <w:rPr>
          <w:rFonts w:hint="eastAsia"/>
          <w:sz w:val="24"/>
        </w:rPr>
        <w:t>在善育在杭1.0基础上，面向机构从业人员开放服务端：托育机构从业人员可查看基层儿保医生对于在托婴幼儿的医育结合指导记录，获取最新的孩子健康状态与日常照护指导意见</w:t>
      </w:r>
      <w:r>
        <w:rPr>
          <w:rFonts w:hint="eastAsia" w:ascii="宋体" w:hAnsi="宋体" w:cs="宋体"/>
          <w:sz w:val="24"/>
        </w:rPr>
        <w:t>。</w:t>
      </w:r>
    </w:p>
    <w:p w14:paraId="08053621">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i．</w:t>
      </w:r>
      <w:r>
        <w:rPr>
          <w:rFonts w:hint="eastAsia" w:ascii="宋体" w:hAnsi="宋体" w:cs="宋体"/>
          <w:b/>
          <w:bCs/>
          <w:sz w:val="24"/>
        </w:rPr>
        <w:t>机构公告</w:t>
      </w:r>
    </w:p>
    <w:p w14:paraId="6055B079">
      <w:pPr>
        <w:adjustRightInd/>
        <w:spacing w:line="360" w:lineRule="auto"/>
        <w:ind w:firstLine="480" w:firstLineChars="200"/>
        <w:jc w:val="left"/>
        <w:rPr>
          <w:sz w:val="24"/>
        </w:rPr>
      </w:pPr>
      <w:r>
        <w:rPr>
          <w:rFonts w:hint="eastAsia"/>
          <w:sz w:val="24"/>
        </w:rPr>
        <w:t>托育机构管理端：在线管理机构的机构公告，协同至家长服务端精准感知机构信息。</w:t>
      </w:r>
    </w:p>
    <w:p w14:paraId="1643D0BC">
      <w:pPr>
        <w:adjustRightInd/>
        <w:spacing w:line="360" w:lineRule="auto"/>
        <w:ind w:firstLine="480" w:firstLineChars="200"/>
        <w:jc w:val="left"/>
        <w:rPr>
          <w:sz w:val="24"/>
        </w:rPr>
      </w:pPr>
      <w:r>
        <w:rPr>
          <w:rFonts w:hint="eastAsia"/>
          <w:sz w:val="24"/>
        </w:rPr>
        <w:t>机构从业人员服务端：托育机构从业人员可在线管理机构公告，实现托育服务机构、育儿家长信息互通。</w:t>
      </w:r>
    </w:p>
    <w:p w14:paraId="7400780E">
      <w:pPr>
        <w:adjustRightInd/>
        <w:spacing w:line="360" w:lineRule="auto"/>
        <w:ind w:firstLine="480" w:firstLineChars="200"/>
        <w:rPr>
          <w:rFonts w:ascii="宋体" w:hAnsi="宋体" w:cs="宋体"/>
          <w:sz w:val="24"/>
        </w:rPr>
      </w:pPr>
      <w:r>
        <w:rPr>
          <w:rFonts w:hint="eastAsia"/>
          <w:sz w:val="24"/>
        </w:rPr>
        <w:t>家长服务端：婴幼儿家长可在线查看机构发布的公告，实现托育服务机构、育儿家长信息互通</w:t>
      </w:r>
      <w:r>
        <w:rPr>
          <w:rFonts w:hint="eastAsia" w:ascii="宋体" w:hAnsi="宋体" w:cs="宋体"/>
          <w:sz w:val="24"/>
        </w:rPr>
        <w:t>。</w:t>
      </w:r>
    </w:p>
    <w:p w14:paraId="7DB47D93">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j．</w:t>
      </w:r>
      <w:r>
        <w:rPr>
          <w:rFonts w:hint="eastAsia" w:ascii="宋体" w:hAnsi="宋体" w:cs="宋体"/>
          <w:b/>
          <w:bCs/>
          <w:sz w:val="24"/>
        </w:rPr>
        <w:t>在托婴幼儿入托体检报告管理</w:t>
      </w:r>
    </w:p>
    <w:p w14:paraId="61C9ECF9">
      <w:pPr>
        <w:adjustRightInd/>
        <w:spacing w:line="360" w:lineRule="auto"/>
        <w:rPr>
          <w:rFonts w:ascii="宋体" w:hAnsi="宋体" w:cs="宋体"/>
          <w:sz w:val="24"/>
        </w:rPr>
      </w:pPr>
      <w:r>
        <w:rPr>
          <w:rFonts w:hint="eastAsia"/>
          <w:sz w:val="24"/>
        </w:rPr>
        <w:t>在善育在杭1.0基础上，面向机构从业人员开放服务端：托育机构从业人员可在线查看在托婴幼儿的入园入托体检报告，实现婴幼儿体检报告的协同管理</w:t>
      </w:r>
      <w:r>
        <w:rPr>
          <w:rFonts w:hint="eastAsia" w:ascii="宋体" w:hAnsi="宋体" w:cs="宋体"/>
          <w:sz w:val="24"/>
        </w:rPr>
        <w:t>。</w:t>
      </w:r>
    </w:p>
    <w:p w14:paraId="2B1B0D19">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k．</w:t>
      </w:r>
      <w:r>
        <w:rPr>
          <w:rFonts w:hint="eastAsia" w:ascii="宋体" w:hAnsi="宋体" w:cs="宋体"/>
          <w:b/>
          <w:bCs/>
          <w:sz w:val="24"/>
        </w:rPr>
        <w:t>机构消毒管理记录</w:t>
      </w:r>
    </w:p>
    <w:p w14:paraId="606008AE">
      <w:pPr>
        <w:adjustRightInd/>
        <w:spacing w:line="360" w:lineRule="auto"/>
        <w:ind w:firstLine="480" w:firstLineChars="200"/>
        <w:rPr>
          <w:rFonts w:ascii="宋体" w:hAnsi="宋体" w:cs="宋体"/>
          <w:sz w:val="24"/>
        </w:rPr>
      </w:pPr>
      <w:r>
        <w:rPr>
          <w:rFonts w:hint="eastAsia"/>
          <w:sz w:val="24"/>
        </w:rPr>
        <w:t>在善育在杭1.0基础上，面向机构从业人员开放服务端：托育机构从业人员可应用服务端在线管理托育机构的消毒情况，消毒机构将协同至托育服务机构业务管理端与照护服务业务治理端</w:t>
      </w:r>
      <w:r>
        <w:rPr>
          <w:rFonts w:hint="eastAsia" w:ascii="宋体" w:hAnsi="宋体" w:cs="宋体"/>
          <w:sz w:val="24"/>
        </w:rPr>
        <w:t>。</w:t>
      </w:r>
    </w:p>
    <w:p w14:paraId="12128589">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3）</w:t>
      </w:r>
      <w:r>
        <w:rPr>
          <w:rFonts w:hint="eastAsia" w:ascii="宋体" w:hAnsi="宋体" w:cs="宋体"/>
          <w:b/>
          <w:bCs/>
          <w:kern w:val="0"/>
          <w:sz w:val="28"/>
        </w:rPr>
        <w:t>托育从业人员在线考核</w:t>
      </w:r>
    </w:p>
    <w:p w14:paraId="3CEEC15E">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在线考核管理</w:t>
      </w:r>
    </w:p>
    <w:p w14:paraId="4207C929">
      <w:pPr>
        <w:adjustRightInd/>
        <w:spacing w:line="360" w:lineRule="auto"/>
        <w:ind w:firstLine="480" w:firstLineChars="200"/>
        <w:rPr>
          <w:rFonts w:ascii="宋体" w:hAnsi="宋体" w:cs="宋体"/>
          <w:sz w:val="24"/>
        </w:rPr>
      </w:pPr>
      <w:r>
        <w:rPr>
          <w:rFonts w:hint="eastAsia"/>
          <w:sz w:val="24"/>
        </w:rPr>
        <w:t>业务治理端：在线管理编辑各类从业人员的考核题库，设置不同题型与正确选项及分值，在线发布等</w:t>
      </w:r>
      <w:r>
        <w:rPr>
          <w:rFonts w:hint="eastAsia" w:ascii="宋体" w:hAnsi="宋体" w:cs="宋体"/>
          <w:sz w:val="24"/>
        </w:rPr>
        <w:t>。</w:t>
      </w:r>
    </w:p>
    <w:p w14:paraId="7D8D3CF2">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从业人员在线考核</w:t>
      </w:r>
    </w:p>
    <w:p w14:paraId="07448063">
      <w:pPr>
        <w:adjustRightInd/>
        <w:spacing w:line="360" w:lineRule="auto"/>
        <w:ind w:firstLine="480" w:firstLineChars="200"/>
        <w:rPr>
          <w:rFonts w:ascii="宋体" w:hAnsi="宋体" w:cs="宋体"/>
          <w:sz w:val="24"/>
        </w:rPr>
      </w:pPr>
      <w:r>
        <w:rPr>
          <w:rFonts w:hint="eastAsia"/>
          <w:sz w:val="24"/>
        </w:rPr>
        <w:t>机构从业人员服务端：托育从业人员可在服务端选择从业人员培训考核并完成答题，保证从业人员培训考核的有效性与规范性，答题完成后根据题目预设分值信息生成答题分数</w:t>
      </w:r>
      <w:r>
        <w:rPr>
          <w:rFonts w:hint="eastAsia" w:ascii="宋体" w:hAnsi="宋体" w:cs="宋体"/>
          <w:sz w:val="24"/>
        </w:rPr>
        <w:t>。</w:t>
      </w:r>
    </w:p>
    <w:p w14:paraId="6679FEB4">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在线考核结果</w:t>
      </w:r>
    </w:p>
    <w:p w14:paraId="66162702">
      <w:pPr>
        <w:adjustRightInd/>
        <w:spacing w:line="360" w:lineRule="auto"/>
        <w:ind w:firstLine="480" w:firstLineChars="200"/>
        <w:rPr>
          <w:rFonts w:ascii="宋体" w:hAnsi="宋体" w:cs="宋体"/>
          <w:sz w:val="24"/>
        </w:rPr>
      </w:pPr>
      <w:r>
        <w:rPr>
          <w:rFonts w:hint="eastAsia"/>
          <w:sz w:val="24"/>
        </w:rPr>
        <w:t>业务治理端：在线查看全市各从业人员的培训考核结果，所得分数等，对考核结果进行数据分析，统计各分段人数等</w:t>
      </w:r>
      <w:r>
        <w:rPr>
          <w:rFonts w:hint="eastAsia" w:ascii="宋体" w:hAnsi="宋体" w:cs="宋体"/>
          <w:sz w:val="24"/>
        </w:rPr>
        <w:t>。</w:t>
      </w:r>
    </w:p>
    <w:p w14:paraId="20E02910">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从业人员证照发放</w:t>
      </w:r>
    </w:p>
    <w:p w14:paraId="2C66023E">
      <w:pPr>
        <w:adjustRightInd/>
        <w:spacing w:line="360" w:lineRule="auto"/>
        <w:ind w:firstLine="480" w:firstLineChars="200"/>
        <w:rPr>
          <w:rFonts w:ascii="宋体" w:hAnsi="宋体" w:cs="宋体"/>
          <w:sz w:val="24"/>
        </w:rPr>
      </w:pPr>
      <w:r>
        <w:rPr>
          <w:rFonts w:hint="eastAsia"/>
          <w:sz w:val="24"/>
        </w:rPr>
        <w:t>业务治理端：对考核通过的从业人员生成从业人员资格证，并协同至各从业人员服务端、托育机构管理端</w:t>
      </w:r>
      <w:r>
        <w:rPr>
          <w:rFonts w:hint="eastAsia" w:ascii="宋体" w:hAnsi="宋体" w:cs="宋体"/>
          <w:sz w:val="24"/>
        </w:rPr>
        <w:t>。</w:t>
      </w:r>
    </w:p>
    <w:p w14:paraId="0B70F9DF">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个人证照管理</w:t>
      </w:r>
    </w:p>
    <w:p w14:paraId="426CA0D1">
      <w:pPr>
        <w:adjustRightInd/>
        <w:spacing w:line="360" w:lineRule="auto"/>
        <w:ind w:firstLine="480" w:firstLineChars="200"/>
        <w:rPr>
          <w:rFonts w:ascii="宋体" w:hAnsi="宋体" w:cs="宋体"/>
          <w:sz w:val="24"/>
        </w:rPr>
      </w:pPr>
      <w:r>
        <w:rPr>
          <w:rFonts w:hint="eastAsia"/>
          <w:sz w:val="24"/>
        </w:rPr>
        <w:t>机构从业人员服务端：从业人员可通过服务端在线管理自己的个性画像，包括基础信息、证照可视化、证照有效期提醒等功能</w:t>
      </w:r>
      <w:r>
        <w:rPr>
          <w:rFonts w:hint="eastAsia" w:ascii="宋体" w:hAnsi="宋体" w:cs="宋体"/>
          <w:sz w:val="24"/>
        </w:rPr>
        <w:t>。</w:t>
      </w:r>
    </w:p>
    <w:p w14:paraId="43A511F2">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4）</w:t>
      </w:r>
      <w:r>
        <w:rPr>
          <w:rFonts w:hint="eastAsia" w:ascii="宋体" w:hAnsi="宋体" w:cs="宋体"/>
          <w:b/>
          <w:bCs/>
          <w:kern w:val="0"/>
          <w:sz w:val="28"/>
        </w:rPr>
        <w:t>杭州市托育机构质量评估</w:t>
      </w:r>
    </w:p>
    <w:p w14:paraId="1CE7E483">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托育质量评估态势</w:t>
      </w:r>
    </w:p>
    <w:p w14:paraId="2B6849BE">
      <w:pPr>
        <w:adjustRightInd/>
        <w:spacing w:line="360" w:lineRule="auto"/>
        <w:ind w:firstLine="420"/>
        <w:jc w:val="left"/>
        <w:rPr>
          <w:sz w:val="24"/>
        </w:rPr>
      </w:pPr>
      <w:r>
        <w:rPr>
          <w:rFonts w:hint="eastAsia"/>
          <w:sz w:val="24"/>
        </w:rPr>
        <w:t>支持按年度评估计划查看托育机构质量评估态势、支持以图表形式查看托育机构质量评估态势；可实时查看全市托育机构数量、机构自评数量、监管他评数量等情况；支持按机构自评、监管他评查看托育机构质量评估态势；可实时查看托育机构质量评估等级分析；可实时查看全市各区县托育机构质量评估完成数量及占比；可多维度查看托育机构质量评估趋势分析，支持时间段筛选；可实时查看托育机构质量评估7类指标的分值、平均得分、平均得分比重等评估概况；可实时查看托育机构质量评估中不合格问题排行榜等。</w:t>
      </w:r>
    </w:p>
    <w:p w14:paraId="7C756123">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托育机构自评管理</w:t>
      </w:r>
    </w:p>
    <w:p w14:paraId="35D7A3FD">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监管部门机构自评监管</w:t>
      </w:r>
    </w:p>
    <w:p w14:paraId="16686B76">
      <w:pPr>
        <w:adjustRightInd/>
        <w:spacing w:line="360" w:lineRule="auto"/>
        <w:ind w:firstLine="420"/>
        <w:jc w:val="left"/>
        <w:rPr>
          <w:rFonts w:ascii="宋体" w:hAnsi="宋体" w:cs="宋体"/>
          <w:sz w:val="24"/>
        </w:rPr>
      </w:pPr>
      <w:r>
        <w:rPr>
          <w:rFonts w:hint="eastAsia"/>
          <w:sz w:val="24"/>
        </w:rPr>
        <w:t>监管部门可应用业务治理端对区域托育机构的质量评估自我评估情况进行监管，包括各一级指标、二级指标、三级指标、核心重点指标、证明材料、各指标自我评估分值等，智能生成机构自评评估报告。</w:t>
      </w:r>
    </w:p>
    <w:p w14:paraId="6B44CB03">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托育机构质量评估自评</w:t>
      </w:r>
    </w:p>
    <w:p w14:paraId="564AB1C9">
      <w:pPr>
        <w:adjustRightInd/>
        <w:spacing w:line="360" w:lineRule="auto"/>
        <w:ind w:firstLine="420"/>
        <w:rPr>
          <w:sz w:val="24"/>
        </w:rPr>
      </w:pPr>
      <w:r>
        <w:rPr>
          <w:rFonts w:hint="eastAsia"/>
          <w:sz w:val="24"/>
        </w:rPr>
        <w:t>杭州市各托育机构可通过业务管理端，应用卫健发布的质量评估计划与质量评估题库完成在线自我评估，包括一级指标、二级指标、三级指标、核心重点指标等，上传证明材料得出评估分值，并评估等级，协同至卫健业务治理端。</w:t>
      </w:r>
    </w:p>
    <w:p w14:paraId="5B54C90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卫健部门他评管理</w:t>
      </w:r>
    </w:p>
    <w:p w14:paraId="0FAB7147">
      <w:pPr>
        <w:adjustRightInd/>
        <w:spacing w:line="360" w:lineRule="auto"/>
        <w:ind w:firstLine="480" w:firstLineChars="200"/>
        <w:rPr>
          <w:sz w:val="24"/>
        </w:rPr>
      </w:pPr>
      <w:r>
        <w:rPr>
          <w:rFonts w:hint="eastAsia"/>
          <w:sz w:val="24"/>
        </w:rPr>
        <w:t>支持卫健监管部门通过业务治理端在线管理区域托育机构的质量评估，查看机构自评的记录，可依此完成监管部门质量评估评审，包括一级指标、二级指标、三级指标、核心重点指标等，得出评估分值，并评估等级，协同机构端。</w:t>
      </w:r>
    </w:p>
    <w:p w14:paraId="34E08827">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题库管理</w:t>
      </w:r>
    </w:p>
    <w:p w14:paraId="4E849C6F">
      <w:pPr>
        <w:adjustRightInd/>
        <w:spacing w:line="360" w:lineRule="auto"/>
        <w:ind w:firstLine="480" w:firstLineChars="200"/>
        <w:jc w:val="left"/>
        <w:rPr>
          <w:rFonts w:ascii="宋体" w:hAnsi="宋体" w:cs="宋体"/>
          <w:sz w:val="24"/>
        </w:rPr>
      </w:pPr>
      <w:r>
        <w:rPr>
          <w:rFonts w:hint="eastAsia"/>
          <w:sz w:val="24"/>
        </w:rPr>
        <w:t>可在线管理国家托育机构质量评估标准中的7类数据指标题库，包含了衡量托育机构服务质量、管理水平、教育效果等方面的7大指标：办托条件、托育队伍、保育照护、卫生保健、养育支持、安全保障和机构管理。题库包括一级指标、二级指标、三级指标等指标。可查看托育机构质量评估中每项评估条目的评估说明，包括评估方式与信息采集和解释说明</w:t>
      </w:r>
      <w:r>
        <w:rPr>
          <w:rFonts w:hint="eastAsia" w:ascii="宋体" w:hAnsi="宋体" w:cs="宋体"/>
          <w:sz w:val="24"/>
        </w:rPr>
        <w:t>。</w:t>
      </w:r>
    </w:p>
    <w:p w14:paraId="1EFFE9CD">
      <w:pPr>
        <w:keepNext/>
        <w:keepLines/>
        <w:tabs>
          <w:tab w:val="left" w:pos="1296"/>
        </w:tabs>
        <w:spacing w:before="240" w:after="64" w:line="320" w:lineRule="auto"/>
        <w:outlineLvl w:val="6"/>
        <w:rPr>
          <w:rFonts w:ascii="宋体" w:hAnsi="宋体" w:cs="宋体"/>
          <w:b/>
          <w:bCs/>
          <w:kern w:val="0"/>
          <w:sz w:val="28"/>
          <w:szCs w:val="28"/>
        </w:rPr>
      </w:pPr>
      <w:r>
        <w:rPr>
          <w:rFonts w:hint="eastAsia" w:ascii="宋体" w:hAnsi="宋体" w:cs="宋体"/>
          <w:b/>
          <w:bCs/>
          <w:kern w:val="0"/>
          <w:sz w:val="28"/>
          <w:szCs w:val="28"/>
        </w:rPr>
        <w:t>5）医育结合服务记录与管理</w:t>
      </w:r>
    </w:p>
    <w:p w14:paraId="6F8A174C">
      <w:pPr>
        <w:adjustRightInd/>
        <w:spacing w:line="360" w:lineRule="auto"/>
        <w:ind w:firstLine="480" w:firstLineChars="200"/>
        <w:rPr>
          <w:sz w:val="24"/>
        </w:rPr>
      </w:pPr>
      <w:r>
        <w:rPr>
          <w:rFonts w:hint="eastAsia"/>
          <w:sz w:val="24"/>
        </w:rPr>
        <w:t>在善育在杭1.0基础上，面向儿保医生开放服务端：支持儿保医生通过服务端在线管理医育结合的机构服务，包括机构托育指导、在托婴幼儿保健指导等，可根据指导记录时间进行提醒，提醒医生按期按时对托育机构与驿站进行指导。</w:t>
      </w:r>
    </w:p>
    <w:p w14:paraId="6D6D4DAC">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6）</w:t>
      </w:r>
      <w:r>
        <w:rPr>
          <w:rFonts w:hint="eastAsia" w:ascii="宋体" w:hAnsi="宋体" w:cs="宋体"/>
          <w:b/>
          <w:bCs/>
          <w:kern w:val="0"/>
          <w:sz w:val="28"/>
        </w:rPr>
        <w:t>0-3岁婴幼儿早期发展数智预警服务系统</w:t>
      </w:r>
    </w:p>
    <w:p w14:paraId="788A7F1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智能预警</w:t>
      </w:r>
    </w:p>
    <w:p w14:paraId="2C40094D">
      <w:pPr>
        <w:adjustRightInd/>
        <w:spacing w:line="360" w:lineRule="auto"/>
        <w:ind w:firstLine="480" w:firstLineChars="200"/>
        <w:rPr>
          <w:rFonts w:ascii="宋体" w:hAnsi="宋体" w:cs="宋体"/>
          <w:sz w:val="24"/>
        </w:rPr>
      </w:pPr>
      <w:r>
        <w:rPr>
          <w:rFonts w:hint="eastAsia"/>
          <w:sz w:val="24"/>
        </w:rPr>
        <w:t>支持家长居家通过手机拍摄儿童日常行为数据，结合量表问卷，给出预警结果；支持机构医生对居家自我预警结果的线上审核，提升预警效率，提高预警精确度</w:t>
      </w:r>
      <w:r>
        <w:rPr>
          <w:rFonts w:hint="eastAsia" w:ascii="宋体" w:hAnsi="宋体" w:cs="宋体"/>
          <w:sz w:val="24"/>
        </w:rPr>
        <w:t>。</w:t>
      </w:r>
    </w:p>
    <w:p w14:paraId="0729CA93">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量表整理与设计</w:t>
      </w:r>
    </w:p>
    <w:p w14:paraId="5C1E2ACD">
      <w:pPr>
        <w:adjustRightInd/>
        <w:spacing w:line="360" w:lineRule="auto"/>
        <w:ind w:firstLine="480" w:firstLineChars="200"/>
        <w:rPr>
          <w:sz w:val="24"/>
        </w:rPr>
      </w:pPr>
      <w:r>
        <w:rPr>
          <w:rFonts w:hint="eastAsia"/>
          <w:sz w:val="24"/>
        </w:rPr>
        <w:t>医生业务端：面向0</w:t>
      </w:r>
      <w:r>
        <w:rPr>
          <w:sz w:val="24"/>
        </w:rPr>
        <w:t>-3</w:t>
      </w:r>
      <w:r>
        <w:rPr>
          <w:rFonts w:hint="eastAsia"/>
          <w:sz w:val="24"/>
        </w:rPr>
        <w:t>岁婴幼儿群体，根据传统早期发展评估量表，为了配合机器视觉、人工智能等交叉技术的应用，整合优化各功能的多个测评项，重新设计预警版本的量表，包括但不限于场景设计、测评项筛选以及评分标准等。</w:t>
      </w:r>
    </w:p>
    <w:p w14:paraId="4B815EAD">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量表重构与LLM解读</w:t>
      </w:r>
    </w:p>
    <w:p w14:paraId="382D624F">
      <w:pPr>
        <w:adjustRightInd/>
        <w:spacing w:line="360" w:lineRule="auto"/>
        <w:ind w:firstLine="480" w:firstLineChars="200"/>
        <w:rPr>
          <w:rFonts w:ascii="宋体" w:hAnsi="宋体" w:cs="宋体"/>
          <w:sz w:val="24"/>
        </w:rPr>
      </w:pPr>
      <w:r>
        <w:rPr>
          <w:rFonts w:hint="eastAsia"/>
          <w:sz w:val="24"/>
        </w:rPr>
        <w:t>医生业务端：针对整合优化后的量表，利用L</w:t>
      </w:r>
      <w:r>
        <w:rPr>
          <w:sz w:val="24"/>
        </w:rPr>
        <w:t>LM</w:t>
      </w:r>
      <w:r>
        <w:rPr>
          <w:rFonts w:hint="eastAsia"/>
          <w:sz w:val="24"/>
        </w:rPr>
        <w:t>大语言模型逐项进行解读，并筛选便于家长阅读和理解的解读内容，以“帮助提醒”的方式给家长及时的、有效的提醒。</w:t>
      </w:r>
    </w:p>
    <w:p w14:paraId="64AC26CE">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多模态行为数据采集</w:t>
      </w:r>
    </w:p>
    <w:p w14:paraId="63876F96">
      <w:pPr>
        <w:adjustRightInd/>
        <w:spacing w:line="360" w:lineRule="auto"/>
        <w:ind w:firstLine="480" w:firstLineChars="200"/>
        <w:rPr>
          <w:sz w:val="24"/>
        </w:rPr>
      </w:pPr>
      <w:r>
        <w:rPr>
          <w:rFonts w:hint="eastAsia"/>
          <w:sz w:val="24"/>
        </w:rPr>
        <w:t>将传统主观问答问卷模式升级为问答、视频，其他信息（文字与图片）等多模态方式，支持主观问答基础上上传行为视频的方式进行儿童发育评估与分析。</w:t>
      </w:r>
    </w:p>
    <w:p w14:paraId="07E52E48">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d）</w:t>
      </w:r>
      <w:r>
        <w:rPr>
          <w:rFonts w:hint="eastAsia" w:ascii="宋体" w:hAnsi="宋体" w:cs="宋体"/>
          <w:sz w:val="24"/>
        </w:rPr>
        <w:t>行为计算分析</w:t>
      </w:r>
    </w:p>
    <w:p w14:paraId="20FC340B">
      <w:pPr>
        <w:adjustRightInd/>
        <w:snapToGrid w:val="0"/>
        <w:spacing w:line="360" w:lineRule="auto"/>
        <w:ind w:firstLine="480" w:firstLineChars="200"/>
        <w:rPr>
          <w:rFonts w:ascii="宋体" w:hAnsi="宋体" w:cs="宋体"/>
          <w:sz w:val="24"/>
        </w:rPr>
      </w:pPr>
      <w:r>
        <w:rPr>
          <w:rFonts w:hint="eastAsia"/>
          <w:sz w:val="24"/>
        </w:rPr>
        <w:t>融合人体运动学，对视频数据进行精准、量化分析，分别提取低维、中维和高维特征，建立数字化模型。</w:t>
      </w:r>
    </w:p>
    <w:p w14:paraId="4ABE6ECA">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e）</w:t>
      </w:r>
      <w:r>
        <w:rPr>
          <w:rFonts w:hint="eastAsia" w:ascii="宋体" w:hAnsi="宋体" w:cs="宋体"/>
          <w:sz w:val="24"/>
        </w:rPr>
        <w:t>机构量表预警复核</w:t>
      </w:r>
    </w:p>
    <w:p w14:paraId="1C22282F">
      <w:pPr>
        <w:adjustRightInd/>
        <w:spacing w:line="360" w:lineRule="auto"/>
        <w:ind w:firstLine="480" w:firstLineChars="200"/>
        <w:rPr>
          <w:sz w:val="24"/>
        </w:rPr>
      </w:pPr>
      <w:r>
        <w:rPr>
          <w:rFonts w:hint="eastAsia"/>
          <w:sz w:val="24"/>
        </w:rPr>
        <w:t>机构端：面向妇幼保健机构，提供预警量表清单、预警量表详情查看、预警量表复核，以及机构场景下支持相关复筛数据的补充上传等，从而全面确保发育筛查质量。</w:t>
      </w:r>
    </w:p>
    <w:p w14:paraId="7975C1BD">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f）</w:t>
      </w:r>
      <w:r>
        <w:rPr>
          <w:rFonts w:hint="eastAsia" w:ascii="宋体" w:hAnsi="宋体" w:cs="宋体"/>
          <w:sz w:val="24"/>
        </w:rPr>
        <w:t>居家量表预警管理</w:t>
      </w:r>
    </w:p>
    <w:p w14:paraId="0039DF87">
      <w:pPr>
        <w:adjustRightInd/>
        <w:spacing w:line="360" w:lineRule="auto"/>
        <w:ind w:firstLine="480" w:firstLineChars="200"/>
        <w:rPr>
          <w:rFonts w:ascii="宋体" w:hAnsi="宋体" w:cs="宋体"/>
          <w:sz w:val="24"/>
        </w:rPr>
      </w:pPr>
      <w:r>
        <w:rPr>
          <w:rFonts w:hint="eastAsia"/>
          <w:sz w:val="24"/>
        </w:rPr>
        <w:t>家长端：面向0</w:t>
      </w:r>
      <w:r>
        <w:rPr>
          <w:sz w:val="24"/>
        </w:rPr>
        <w:t>-3</w:t>
      </w:r>
      <w:r>
        <w:rPr>
          <w:rFonts w:hint="eastAsia"/>
          <w:sz w:val="24"/>
        </w:rPr>
        <w:t>岁婴幼儿家长，提供预警量表，以及相关量表内容介绍、视频拍摄指南等，便于家长通过手机端完成预警量表的问卷填写、视频拍摄、以及其他信息补充等。</w:t>
      </w:r>
    </w:p>
    <w:p w14:paraId="37A28FA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预警评估报告管理</w:t>
      </w:r>
    </w:p>
    <w:p w14:paraId="172FC50C">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报告生成</w:t>
      </w:r>
    </w:p>
    <w:p w14:paraId="79DD3DA0">
      <w:pPr>
        <w:snapToGrid w:val="0"/>
        <w:spacing w:line="360" w:lineRule="auto"/>
        <w:ind w:left="420" w:leftChars="200"/>
        <w:rPr>
          <w:rFonts w:ascii="宋体" w:hAnsi="宋体" w:cs="宋体"/>
          <w:sz w:val="24"/>
        </w:rPr>
      </w:pPr>
      <w:r>
        <w:rPr>
          <w:rFonts w:hint="eastAsia" w:ascii="宋体" w:hAnsi="宋体" w:cs="宋体"/>
          <w:sz w:val="24"/>
        </w:rPr>
        <w:t>面向不同业务端，提供报告的生成功能。</w:t>
      </w:r>
    </w:p>
    <w:p w14:paraId="56AE8625">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报告解读</w:t>
      </w:r>
    </w:p>
    <w:p w14:paraId="0C4B5E73">
      <w:pPr>
        <w:adjustRightInd/>
        <w:snapToGrid w:val="0"/>
        <w:spacing w:line="360" w:lineRule="auto"/>
        <w:ind w:firstLine="480" w:firstLineChars="200"/>
        <w:rPr>
          <w:rFonts w:ascii="宋体" w:hAnsi="宋体" w:cs="宋体"/>
          <w:sz w:val="24"/>
        </w:rPr>
      </w:pPr>
      <w:r>
        <w:rPr>
          <w:rFonts w:hint="eastAsia"/>
          <w:sz w:val="24"/>
        </w:rPr>
        <w:t>面向不同业务端，提供报告查看与详情解读</w:t>
      </w:r>
      <w:r>
        <w:rPr>
          <w:rFonts w:hint="eastAsia" w:ascii="宋体" w:hAnsi="宋体" w:cs="宋体"/>
          <w:sz w:val="24"/>
        </w:rPr>
        <w:t>。</w:t>
      </w:r>
    </w:p>
    <w:p w14:paraId="3FCEA00D">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报告下载</w:t>
      </w:r>
    </w:p>
    <w:p w14:paraId="7FFD4266">
      <w:pPr>
        <w:adjustRightInd/>
        <w:spacing w:line="360" w:lineRule="auto"/>
        <w:ind w:firstLine="480" w:firstLineChars="200"/>
        <w:rPr>
          <w:rFonts w:ascii="宋体" w:hAnsi="宋体" w:cs="宋体"/>
          <w:sz w:val="24"/>
        </w:rPr>
      </w:pPr>
      <w:r>
        <w:rPr>
          <w:rFonts w:hint="eastAsia"/>
          <w:sz w:val="24"/>
        </w:rPr>
        <w:t>面向不同业务端，提供报告下载</w:t>
      </w:r>
      <w:r>
        <w:rPr>
          <w:rFonts w:hint="eastAsia" w:ascii="宋体" w:hAnsi="宋体" w:cs="宋体"/>
          <w:sz w:val="24"/>
        </w:rPr>
        <w:t>。</w:t>
      </w:r>
    </w:p>
    <w:p w14:paraId="7AECA760">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d）</w:t>
      </w:r>
      <w:r>
        <w:rPr>
          <w:rFonts w:hint="eastAsia" w:ascii="宋体" w:hAnsi="宋体" w:cs="宋体"/>
          <w:sz w:val="24"/>
        </w:rPr>
        <w:t>报告打印</w:t>
      </w:r>
    </w:p>
    <w:p w14:paraId="1294F0C7">
      <w:pPr>
        <w:adjustRightInd/>
        <w:spacing w:line="360" w:lineRule="auto"/>
        <w:ind w:firstLine="480" w:firstLineChars="200"/>
        <w:rPr>
          <w:rFonts w:ascii="宋体" w:hAnsi="宋体" w:cs="宋体"/>
          <w:sz w:val="24"/>
        </w:rPr>
      </w:pPr>
      <w:r>
        <w:rPr>
          <w:rFonts w:hint="eastAsia"/>
          <w:sz w:val="24"/>
        </w:rPr>
        <w:t>面向医生端，提供通过浏览器进行打印或者下载对应报告PDF</w:t>
      </w:r>
      <w:r>
        <w:rPr>
          <w:rFonts w:hint="eastAsia" w:ascii="宋体" w:hAnsi="宋体" w:cs="宋体"/>
          <w:sz w:val="24"/>
        </w:rPr>
        <w:t>。</w:t>
      </w:r>
    </w:p>
    <w:p w14:paraId="7055760E">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发育促进与异常干预管理</w:t>
      </w:r>
    </w:p>
    <w:p w14:paraId="07912F7E">
      <w:pPr>
        <w:adjustRightInd/>
        <w:spacing w:line="360" w:lineRule="auto"/>
        <w:ind w:firstLine="480" w:firstLineChars="200"/>
        <w:rPr>
          <w:sz w:val="24"/>
        </w:rPr>
      </w:pPr>
      <w:r>
        <w:rPr>
          <w:rFonts w:hint="eastAsia"/>
          <w:sz w:val="24"/>
        </w:rPr>
        <w:t>面向医生端与机构端：针对0-3岁婴幼儿早期发展，提供全面的课程库，包括针对正常儿童发育的养育照护指导，从居家儿童发育促进角度出发，提供行为发育指导：包括原始反射、姿势运动、异常姿势、大运动（翻爬坐站走）、精细运动、语言发育、认知发育等。以及异常儿童的居家干预指导，针对儿童能力评估结果，有针对性的提供居家训练指导，教授家长如何根据儿童实际的发育能力与兴趣选择训练活动，并指导家长按照提示准备相应的材料或者教具。</w:t>
      </w:r>
    </w:p>
    <w:p w14:paraId="712B6D7B">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干预课程库</w:t>
      </w:r>
    </w:p>
    <w:p w14:paraId="535443E4">
      <w:pPr>
        <w:adjustRightInd/>
        <w:spacing w:line="360" w:lineRule="auto"/>
        <w:ind w:firstLine="480" w:firstLineChars="200"/>
        <w:rPr>
          <w:sz w:val="24"/>
        </w:rPr>
      </w:pPr>
      <w:r>
        <w:rPr>
          <w:rFonts w:hint="eastAsia"/>
          <w:sz w:val="24"/>
        </w:rPr>
        <w:t>面向医生端与机构端：提供丰富的干预课程，包括日常养育照护指导、居家干预指导两部分。并支持课程库新建、编辑以及删除等操作</w:t>
      </w:r>
    </w:p>
    <w:p w14:paraId="71DC8449">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干预课程推送</w:t>
      </w:r>
    </w:p>
    <w:p w14:paraId="3D4DDF86">
      <w:pPr>
        <w:adjustRightInd/>
        <w:spacing w:line="360" w:lineRule="auto"/>
        <w:ind w:firstLine="480" w:firstLineChars="200"/>
        <w:rPr>
          <w:sz w:val="24"/>
        </w:rPr>
      </w:pPr>
      <w:r>
        <w:rPr>
          <w:rFonts w:hint="eastAsia"/>
          <w:sz w:val="24"/>
        </w:rPr>
        <w:t>面向医生端与机构端：支持根据预警结果推送个性化干预课程。支持推送课程配置、推送课程记录，以及推送课程浏览等。</w:t>
      </w:r>
    </w:p>
    <w:p w14:paraId="18ACCBCB">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高危儿专案管理</w:t>
      </w:r>
    </w:p>
    <w:p w14:paraId="5EF761E9">
      <w:pPr>
        <w:adjustRightInd/>
        <w:spacing w:line="360" w:lineRule="auto"/>
        <w:ind w:firstLine="480" w:firstLineChars="200"/>
        <w:rPr>
          <w:sz w:val="24"/>
          <w:highlight w:val="yellow"/>
        </w:rPr>
      </w:pPr>
      <w:r>
        <w:rPr>
          <w:rFonts w:hint="eastAsia"/>
          <w:sz w:val="24"/>
        </w:rPr>
        <w:t>面向医生端与机构端：对高危儿发育预警、干预指导进行专案管理。提供预警跟踪管理、干预跟踪管理。</w:t>
      </w:r>
    </w:p>
    <w:p w14:paraId="3785B3D2">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预警跟踪管理</w:t>
      </w:r>
    </w:p>
    <w:p w14:paraId="02803002">
      <w:pPr>
        <w:adjustRightInd/>
        <w:spacing w:line="360" w:lineRule="auto"/>
        <w:ind w:firstLine="480" w:firstLineChars="200"/>
        <w:rPr>
          <w:sz w:val="24"/>
        </w:rPr>
      </w:pPr>
      <w:r>
        <w:rPr>
          <w:rFonts w:hint="eastAsia"/>
          <w:sz w:val="24"/>
        </w:rPr>
        <w:t>面向医生端与机构端：对高危儿预警进行统一管理与分析，对每一次预警结果可以进行信息备注，对多次预警结果进行纵向对比分析，提示高危儿发育变化。制定复筛规则，根据预警结果进行后续预警的消息推送。</w:t>
      </w:r>
    </w:p>
    <w:p w14:paraId="7C228DE2">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干预跟踪管理</w:t>
      </w:r>
    </w:p>
    <w:p w14:paraId="24649790">
      <w:pPr>
        <w:adjustRightInd/>
        <w:snapToGrid w:val="0"/>
        <w:spacing w:line="360" w:lineRule="auto"/>
        <w:ind w:firstLine="480" w:firstLineChars="200"/>
        <w:rPr>
          <w:rFonts w:ascii="宋体" w:hAnsi="宋体" w:cs="宋体"/>
          <w:sz w:val="24"/>
        </w:rPr>
      </w:pPr>
      <w:r>
        <w:rPr>
          <w:rFonts w:hint="eastAsia"/>
          <w:sz w:val="24"/>
        </w:rPr>
        <w:t>面向医生端与机构端：对高危儿干预进行统一管理与分析。对多次干预结果进行纵向对比分析，提示高危儿发育变化。对目标人群的所有干预进行横断面分析。对每一次干预结果可以进行信息备注。制定复筛规则，根据干预结果进行后续干预的消息推送</w:t>
      </w:r>
    </w:p>
    <w:p w14:paraId="2589A2B4">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儿童管理</w:t>
      </w:r>
    </w:p>
    <w:p w14:paraId="1EB54383">
      <w:pPr>
        <w:adjustRightInd/>
        <w:spacing w:line="360" w:lineRule="auto"/>
        <w:ind w:firstLine="480" w:firstLineChars="200"/>
        <w:rPr>
          <w:sz w:val="24"/>
        </w:rPr>
      </w:pPr>
      <w:r>
        <w:rPr>
          <w:rFonts w:hint="eastAsia"/>
          <w:sz w:val="24"/>
        </w:rPr>
        <w:t>面向不同业务端：支持家长对多个儿童的管理、支持医生对多个儿童的管理、支持机构对所属的儿童进行管理</w:t>
      </w:r>
    </w:p>
    <w:p w14:paraId="016EAA51">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新增儿童</w:t>
      </w:r>
    </w:p>
    <w:p w14:paraId="1B899083">
      <w:pPr>
        <w:adjustRightInd/>
        <w:spacing w:line="360" w:lineRule="auto"/>
        <w:ind w:firstLine="480" w:firstLineChars="200"/>
        <w:rPr>
          <w:sz w:val="24"/>
        </w:rPr>
      </w:pPr>
      <w:r>
        <w:rPr>
          <w:rFonts w:hint="eastAsia"/>
          <w:sz w:val="24"/>
        </w:rPr>
        <w:t>添加儿童信息，包括必填信息与选填信息。这些基本信息是儿童档案的首要组成部分，也是儿童发育评估的必要条件。</w:t>
      </w:r>
    </w:p>
    <w:p w14:paraId="3696D6B6">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删除儿童</w:t>
      </w:r>
    </w:p>
    <w:p w14:paraId="7D0BB20A">
      <w:pPr>
        <w:adjustRightInd/>
        <w:spacing w:line="360" w:lineRule="auto"/>
        <w:ind w:firstLine="480" w:firstLineChars="200"/>
        <w:rPr>
          <w:sz w:val="24"/>
        </w:rPr>
      </w:pPr>
      <w:r>
        <w:rPr>
          <w:rFonts w:hint="eastAsia"/>
          <w:sz w:val="24"/>
        </w:rPr>
        <w:t>删除已添加儿童信息。</w:t>
      </w:r>
    </w:p>
    <w:p w14:paraId="36A27BD0">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编辑儿童</w:t>
      </w:r>
    </w:p>
    <w:p w14:paraId="466EAC1F">
      <w:pPr>
        <w:adjustRightInd/>
        <w:spacing w:line="360" w:lineRule="auto"/>
        <w:ind w:firstLine="480" w:firstLineChars="200"/>
        <w:rPr>
          <w:sz w:val="24"/>
        </w:rPr>
      </w:pPr>
      <w:r>
        <w:rPr>
          <w:rFonts w:hint="eastAsia"/>
          <w:sz w:val="24"/>
        </w:rPr>
        <w:t>修改已添加儿童信息。</w:t>
      </w:r>
    </w:p>
    <w:p w14:paraId="57954A77">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d）</w:t>
      </w:r>
      <w:r>
        <w:rPr>
          <w:rFonts w:hint="eastAsia" w:ascii="宋体" w:hAnsi="宋体" w:cs="宋体"/>
          <w:sz w:val="24"/>
        </w:rPr>
        <w:t>高危因素录入</w:t>
      </w:r>
    </w:p>
    <w:p w14:paraId="4A2057D5">
      <w:pPr>
        <w:adjustRightInd/>
        <w:spacing w:line="360" w:lineRule="auto"/>
        <w:ind w:firstLine="480" w:firstLineChars="200"/>
        <w:rPr>
          <w:sz w:val="24"/>
        </w:rPr>
      </w:pPr>
      <w:r>
        <w:rPr>
          <w:rFonts w:hint="eastAsia"/>
          <w:sz w:val="24"/>
        </w:rPr>
        <w:t>支持下拉列表选择母亲高危因素、儿童高危因素，以及手动补充其他高危因素等。</w:t>
      </w:r>
    </w:p>
    <w:p w14:paraId="7576E974">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f．</w:t>
      </w:r>
      <w:r>
        <w:rPr>
          <w:rFonts w:hint="eastAsia" w:ascii="宋体" w:hAnsi="宋体" w:cs="宋体"/>
          <w:b/>
          <w:bCs/>
          <w:sz w:val="24"/>
        </w:rPr>
        <w:t>机构管理</w:t>
      </w:r>
    </w:p>
    <w:p w14:paraId="41E3D926">
      <w:pPr>
        <w:adjustRightInd/>
        <w:spacing w:line="360" w:lineRule="auto"/>
        <w:ind w:firstLine="480" w:firstLineChars="200"/>
        <w:rPr>
          <w:sz w:val="24"/>
        </w:rPr>
      </w:pPr>
      <w:r>
        <w:rPr>
          <w:rFonts w:hint="eastAsia"/>
          <w:sz w:val="24"/>
        </w:rPr>
        <w:t>面向管理端：提供机构的管理操作，支持新增、删除与编辑等。</w:t>
      </w:r>
    </w:p>
    <w:p w14:paraId="7A7A5D02">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新增机构</w:t>
      </w:r>
    </w:p>
    <w:p w14:paraId="55E48A38">
      <w:pPr>
        <w:adjustRightInd/>
        <w:spacing w:line="360" w:lineRule="auto"/>
        <w:ind w:firstLine="480" w:firstLineChars="200"/>
        <w:rPr>
          <w:sz w:val="24"/>
        </w:rPr>
      </w:pPr>
      <w:r>
        <w:rPr>
          <w:rFonts w:hint="eastAsia"/>
          <w:sz w:val="24"/>
        </w:rPr>
        <w:t>支持用户创建一个新的组织机构，并对其进行详细设置。需要的字段有：机构名称、机构ID、机构账号、机构密码、机构菜单、机构欢迎语等。</w:t>
      </w:r>
    </w:p>
    <w:p w14:paraId="14329F93">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删除机构</w:t>
      </w:r>
    </w:p>
    <w:p w14:paraId="74CE287F">
      <w:pPr>
        <w:adjustRightInd/>
        <w:spacing w:line="360" w:lineRule="auto"/>
        <w:ind w:firstLine="480" w:firstLineChars="200"/>
        <w:rPr>
          <w:sz w:val="24"/>
        </w:rPr>
      </w:pPr>
      <w:r>
        <w:rPr>
          <w:rFonts w:hint="eastAsia"/>
          <w:sz w:val="24"/>
        </w:rPr>
        <w:t>删除已存在的组织机构。</w:t>
      </w:r>
    </w:p>
    <w:p w14:paraId="3D2AC931">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编辑机构</w:t>
      </w:r>
    </w:p>
    <w:p w14:paraId="4EB8C274">
      <w:pPr>
        <w:adjustRightInd/>
        <w:spacing w:line="360" w:lineRule="auto"/>
        <w:ind w:firstLine="480" w:firstLineChars="200"/>
        <w:rPr>
          <w:sz w:val="24"/>
        </w:rPr>
      </w:pPr>
      <w:r>
        <w:rPr>
          <w:rFonts w:hint="eastAsia"/>
          <w:sz w:val="24"/>
        </w:rPr>
        <w:t>编辑已存在的组织机构，仅支持对部分信息的修改，如确需修改部分核心信息，需要联系系统管理员操作。</w:t>
      </w:r>
    </w:p>
    <w:p w14:paraId="068B2DE2">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g．</w:t>
      </w:r>
      <w:r>
        <w:rPr>
          <w:rFonts w:hint="eastAsia" w:ascii="宋体" w:hAnsi="宋体" w:cs="宋体"/>
          <w:b/>
          <w:bCs/>
          <w:sz w:val="24"/>
        </w:rPr>
        <w:t>医生管理</w:t>
      </w:r>
    </w:p>
    <w:p w14:paraId="2542AA70">
      <w:pPr>
        <w:adjustRightInd/>
        <w:spacing w:line="360" w:lineRule="auto"/>
        <w:ind w:firstLine="480" w:firstLineChars="200"/>
        <w:rPr>
          <w:sz w:val="24"/>
        </w:rPr>
      </w:pPr>
      <w:r>
        <w:rPr>
          <w:rFonts w:hint="eastAsia"/>
          <w:sz w:val="24"/>
        </w:rPr>
        <w:t>面向管理端：提供医生的管理，包括新增、删除与编辑等操作。</w:t>
      </w:r>
    </w:p>
    <w:p w14:paraId="477D7C1A">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新增医生</w:t>
      </w:r>
    </w:p>
    <w:p w14:paraId="0BAD3147">
      <w:pPr>
        <w:adjustRightInd/>
        <w:spacing w:line="360" w:lineRule="auto"/>
        <w:ind w:firstLine="480" w:firstLineChars="200"/>
        <w:rPr>
          <w:sz w:val="24"/>
        </w:rPr>
      </w:pPr>
      <w:r>
        <w:rPr>
          <w:rFonts w:hint="eastAsia"/>
          <w:sz w:val="24"/>
        </w:rPr>
        <w:t>支持创建新的医生账户。</w:t>
      </w:r>
    </w:p>
    <w:p w14:paraId="1F838A1A">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删除医生</w:t>
      </w:r>
    </w:p>
    <w:p w14:paraId="7D49CFF6">
      <w:pPr>
        <w:adjustRightInd/>
        <w:spacing w:line="360" w:lineRule="auto"/>
        <w:ind w:firstLine="480" w:firstLineChars="200"/>
        <w:rPr>
          <w:sz w:val="24"/>
        </w:rPr>
      </w:pPr>
      <w:r>
        <w:rPr>
          <w:rFonts w:hint="eastAsia"/>
          <w:sz w:val="24"/>
        </w:rPr>
        <w:t>删除已存在的医生账户。</w:t>
      </w:r>
    </w:p>
    <w:p w14:paraId="31DF6897">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编辑医生</w:t>
      </w:r>
    </w:p>
    <w:p w14:paraId="6462B5E8">
      <w:pPr>
        <w:adjustRightInd/>
        <w:spacing w:line="360" w:lineRule="auto"/>
        <w:ind w:firstLine="480" w:firstLineChars="200"/>
        <w:rPr>
          <w:sz w:val="24"/>
        </w:rPr>
      </w:pPr>
      <w:r>
        <w:rPr>
          <w:rFonts w:hint="eastAsia"/>
          <w:sz w:val="24"/>
        </w:rPr>
        <w:t>编辑已存在的医生账户。</w:t>
      </w:r>
    </w:p>
    <w:p w14:paraId="7A483DE2">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h．</w:t>
      </w:r>
      <w:r>
        <w:rPr>
          <w:rFonts w:hint="eastAsia" w:ascii="宋体" w:hAnsi="宋体" w:cs="宋体"/>
          <w:b/>
          <w:bCs/>
          <w:sz w:val="24"/>
        </w:rPr>
        <w:t>权限管理</w:t>
      </w:r>
    </w:p>
    <w:p w14:paraId="7C7E9E85">
      <w:pPr>
        <w:adjustRightInd/>
        <w:spacing w:line="360" w:lineRule="auto"/>
        <w:ind w:firstLine="480" w:firstLineChars="200"/>
        <w:rPr>
          <w:sz w:val="24"/>
        </w:rPr>
      </w:pPr>
      <w:r>
        <w:rPr>
          <w:rFonts w:hint="eastAsia"/>
          <w:sz w:val="24"/>
        </w:rPr>
        <w:t>提供权限的管理，包括权限定义以及访问控制列表管理等。</w:t>
      </w:r>
    </w:p>
    <w:p w14:paraId="6B0B4BCC">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权限定义</w:t>
      </w:r>
    </w:p>
    <w:p w14:paraId="7C5D2506">
      <w:pPr>
        <w:adjustRightInd/>
        <w:spacing w:line="360" w:lineRule="auto"/>
        <w:ind w:firstLine="480" w:firstLineChars="200"/>
        <w:rPr>
          <w:sz w:val="24"/>
        </w:rPr>
      </w:pPr>
      <w:r>
        <w:rPr>
          <w:rFonts w:hint="eastAsia"/>
          <w:sz w:val="24"/>
        </w:rPr>
        <w:t>面向管理端：定义系统中的角色，配置角色权限。支持系统管理员创建并定义不同角色，并为这些角色分配具体的权限，以满足组织内不同层级和职能的需要。</w:t>
      </w:r>
    </w:p>
    <w:p w14:paraId="626D74F8">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访问控制列表</w:t>
      </w:r>
    </w:p>
    <w:p w14:paraId="5F26C28D">
      <w:pPr>
        <w:adjustRightInd/>
        <w:spacing w:line="360" w:lineRule="auto"/>
        <w:ind w:firstLine="480" w:firstLineChars="200"/>
        <w:rPr>
          <w:sz w:val="24"/>
        </w:rPr>
      </w:pPr>
      <w:r>
        <w:rPr>
          <w:rFonts w:hint="eastAsia"/>
          <w:sz w:val="24"/>
        </w:rPr>
        <w:t>支持通过访问控制列表对用户的操作权限和数据访问进行详细配置，包括可见范围、操作范围和访问时间段，增强系统安全性。包括：配置管理操作权限、配置数据访问权限、配置可见范围、配置可操作范围、配置访问时间段。</w:t>
      </w:r>
    </w:p>
    <w:p w14:paraId="7774967A">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权限检查</w:t>
      </w:r>
    </w:p>
    <w:p w14:paraId="19718AF2">
      <w:pPr>
        <w:adjustRightInd/>
        <w:spacing w:line="360" w:lineRule="auto"/>
        <w:ind w:firstLine="480" w:firstLineChars="200"/>
        <w:rPr>
          <w:sz w:val="24"/>
        </w:rPr>
      </w:pPr>
      <w:r>
        <w:rPr>
          <w:rFonts w:hint="eastAsia"/>
          <w:sz w:val="24"/>
        </w:rPr>
        <w:t>执行操作时进行权限检查，具体检查内容：操作人ID、操作人权限、操作时间戳、系统时间戳。</w:t>
      </w:r>
    </w:p>
    <w:p w14:paraId="1FB31703">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d）</w:t>
      </w:r>
      <w:r>
        <w:rPr>
          <w:rFonts w:hint="eastAsia" w:ascii="宋体" w:hAnsi="宋体" w:cs="宋体"/>
          <w:sz w:val="24"/>
        </w:rPr>
        <w:t>操作审计</w:t>
      </w:r>
    </w:p>
    <w:p w14:paraId="0273892D">
      <w:pPr>
        <w:adjustRightInd/>
        <w:spacing w:line="360" w:lineRule="auto"/>
        <w:ind w:left="560"/>
        <w:rPr>
          <w:sz w:val="24"/>
        </w:rPr>
      </w:pPr>
      <w:r>
        <w:rPr>
          <w:rFonts w:hint="eastAsia"/>
          <w:sz w:val="24"/>
        </w:rPr>
        <w:t>审计所有需要权限操作的操作和高危操作，并进行记录。</w:t>
      </w:r>
    </w:p>
    <w:p w14:paraId="499E43AF">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i．</w:t>
      </w:r>
      <w:r>
        <w:rPr>
          <w:rFonts w:hint="eastAsia" w:ascii="宋体" w:hAnsi="宋体" w:cs="宋体"/>
          <w:b/>
          <w:bCs/>
          <w:sz w:val="24"/>
        </w:rPr>
        <w:t>发育促进与异常干预标准库管理</w:t>
      </w:r>
    </w:p>
    <w:p w14:paraId="183FD7C1">
      <w:pPr>
        <w:adjustRightInd/>
        <w:spacing w:line="360" w:lineRule="auto"/>
        <w:ind w:firstLine="480" w:firstLineChars="200"/>
        <w:rPr>
          <w:sz w:val="24"/>
        </w:rPr>
      </w:pPr>
      <w:r>
        <w:rPr>
          <w:rFonts w:hint="eastAsia"/>
          <w:sz w:val="24"/>
        </w:rPr>
        <w:t>面向管理端：对正常儿童的养育照护、发育促进，以及异常儿童的康复干预的指导管理，包括课程库管理、课程方案管理等等。</w:t>
      </w:r>
    </w:p>
    <w:p w14:paraId="50F1A753">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发育促进标准库</w:t>
      </w:r>
    </w:p>
    <w:p w14:paraId="70569C44">
      <w:pPr>
        <w:adjustRightInd/>
        <w:spacing w:line="360" w:lineRule="auto"/>
        <w:ind w:firstLine="480" w:firstLineChars="200"/>
        <w:rPr>
          <w:sz w:val="24"/>
        </w:rPr>
      </w:pPr>
      <w:r>
        <w:rPr>
          <w:rFonts w:hint="eastAsia"/>
          <w:sz w:val="24"/>
        </w:rPr>
        <w:t>儿童发育促进是指一系列旨在支持和提高儿童身体、认知、情感和社会能力发展的活动和干预措施。从儿童大运动、精细运动、语言发展、社交等领域，提供相关指导。支持发育促进课程的新建、上传、删除等操作，支持机构端进行课程上传。支持发育促进课程方案设计，支持新建、编辑课程方案，支持课程方案中相关课程的选择、排序等设置。</w:t>
      </w:r>
    </w:p>
    <w:p w14:paraId="67ADF794">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异常干预标准库</w:t>
      </w:r>
    </w:p>
    <w:p w14:paraId="7AC2D6DE">
      <w:pPr>
        <w:adjustRightInd/>
        <w:spacing w:line="360" w:lineRule="auto"/>
        <w:ind w:firstLine="480" w:firstLineChars="200"/>
        <w:rPr>
          <w:sz w:val="24"/>
        </w:rPr>
      </w:pPr>
      <w:r>
        <w:rPr>
          <w:rFonts w:hint="eastAsia"/>
          <w:sz w:val="24"/>
        </w:rPr>
        <w:t>支持异常干预课程的新建、上传、删除等操作，支持机构端进行课程上传。支持异常干预课程方案设计，支持新建、编辑课程方案，支持课程方案中相关课程的选择、排序等设置。</w:t>
      </w:r>
    </w:p>
    <w:p w14:paraId="7CDB33D9">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j．</w:t>
      </w:r>
      <w:r>
        <w:rPr>
          <w:rFonts w:hint="eastAsia" w:ascii="宋体" w:hAnsi="宋体" w:cs="宋体"/>
          <w:b/>
          <w:bCs/>
          <w:sz w:val="24"/>
        </w:rPr>
        <w:t>多模态行为数据分析与管理</w:t>
      </w:r>
    </w:p>
    <w:p w14:paraId="1D6FB046">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多模态模型部署与调试</w:t>
      </w:r>
    </w:p>
    <w:p w14:paraId="69A39A5F">
      <w:pPr>
        <w:adjustRightInd/>
        <w:spacing w:line="360" w:lineRule="auto"/>
        <w:ind w:firstLine="480" w:firstLineChars="200"/>
        <w:rPr>
          <w:rFonts w:ascii="宋体" w:hAnsi="宋体" w:cs="宋体"/>
          <w:sz w:val="24"/>
        </w:rPr>
      </w:pPr>
      <w:r>
        <w:rPr>
          <w:rFonts w:hint="eastAsia"/>
          <w:sz w:val="24"/>
        </w:rPr>
        <w:t>支持基于计算行为学分析的儿童神经发育多模态模型部署与调试</w:t>
      </w:r>
      <w:r>
        <w:rPr>
          <w:rFonts w:hint="eastAsia" w:ascii="宋体" w:hAnsi="宋体" w:cs="宋体"/>
          <w:sz w:val="24"/>
        </w:rPr>
        <w:t>。</w:t>
      </w:r>
    </w:p>
    <w:p w14:paraId="6751392B">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多模态行为数据库</w:t>
      </w:r>
    </w:p>
    <w:p w14:paraId="469680FA">
      <w:pPr>
        <w:adjustRightInd/>
        <w:spacing w:line="360" w:lineRule="auto"/>
        <w:ind w:firstLine="480" w:firstLineChars="200"/>
        <w:rPr>
          <w:sz w:val="24"/>
        </w:rPr>
      </w:pPr>
      <w:r>
        <w:rPr>
          <w:rFonts w:hint="eastAsia"/>
          <w:sz w:val="24"/>
        </w:rPr>
        <w:t>建立儿童全生命周期与全场景的发育行为数据库。</w:t>
      </w:r>
    </w:p>
    <w:p w14:paraId="04A4115E">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多模态行为标记</w:t>
      </w:r>
    </w:p>
    <w:p w14:paraId="6AECE3EF">
      <w:pPr>
        <w:adjustRightInd/>
        <w:spacing w:line="360" w:lineRule="auto"/>
        <w:ind w:firstLine="480" w:firstLineChars="200"/>
        <w:rPr>
          <w:sz w:val="24"/>
        </w:rPr>
      </w:pPr>
      <w:r>
        <w:rPr>
          <w:rFonts w:hint="eastAsia"/>
          <w:sz w:val="24"/>
        </w:rPr>
        <w:t>对行为数据库进行标记与管理。提供Web版多模态数据标记与管理服务，医生可随时随地对多模态数据进行标记与管理。</w:t>
      </w:r>
    </w:p>
    <w:p w14:paraId="1C4BCF91">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d）</w:t>
      </w:r>
      <w:r>
        <w:rPr>
          <w:rFonts w:hint="eastAsia" w:ascii="宋体" w:hAnsi="宋体" w:cs="宋体"/>
          <w:sz w:val="24"/>
        </w:rPr>
        <w:t>行为计算与统计分析</w:t>
      </w:r>
    </w:p>
    <w:p w14:paraId="5C27045A">
      <w:pPr>
        <w:adjustRightInd/>
        <w:spacing w:line="360" w:lineRule="auto"/>
        <w:ind w:firstLine="480" w:firstLineChars="200"/>
        <w:rPr>
          <w:sz w:val="24"/>
        </w:rPr>
      </w:pPr>
      <w:r>
        <w:rPr>
          <w:rFonts w:hint="eastAsia"/>
          <w:sz w:val="24"/>
        </w:rPr>
        <w:t>脑科学计算行为学进行多维度多特征计算，支持评估数字化与定量化。支持单个儿童按照生长发育时间轴进行数据分析，诸如身高、体重、头围、发育测评能区等。支持群体的横断面分析，支持身高、体重、头围、发育测评能区的多维度数据统计分析。支持视频数据的多维度多层次特征提取，诸如关键点提取、行为标记、行为统计分析等等。支持相关统计分析结果的导出，支持csv、pdf等格式。</w:t>
      </w:r>
    </w:p>
    <w:p w14:paraId="6BBD0BC8">
      <w:pPr>
        <w:keepNext/>
        <w:keepLines/>
        <w:tabs>
          <w:tab w:val="left" w:pos="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7）</w:t>
      </w:r>
      <w:r>
        <w:rPr>
          <w:rFonts w:hint="eastAsia" w:ascii="宋体" w:hAnsi="宋体" w:cs="宋体"/>
          <w:b/>
          <w:bCs/>
          <w:kern w:val="0"/>
          <w:sz w:val="28"/>
        </w:rPr>
        <w:t>善育在杭大数据分析与治理</w:t>
      </w:r>
    </w:p>
    <w:p w14:paraId="48240E82">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全市婴育现状分析</w:t>
      </w:r>
    </w:p>
    <w:p w14:paraId="437750C7">
      <w:pPr>
        <w:adjustRightInd/>
        <w:spacing w:line="360" w:lineRule="auto"/>
        <w:ind w:firstLine="480" w:firstLineChars="200"/>
        <w:jc w:val="left"/>
        <w:rPr>
          <w:rFonts w:ascii="宋体" w:hAnsi="宋体" w:cs="宋体"/>
          <w:sz w:val="24"/>
        </w:rPr>
      </w:pPr>
      <w:r>
        <w:rPr>
          <w:rFonts w:hint="eastAsia"/>
          <w:sz w:val="24"/>
        </w:rPr>
        <w:t>业务治理端－数据驾驶舱：集成整合全市海量婴育照护服务数据，针对核心业务指标进行梳理并实现可视化呈现，实现全市婴育照护服务现状分析，便于后续工作部署安排</w:t>
      </w:r>
      <w:r>
        <w:rPr>
          <w:rFonts w:hint="eastAsia" w:ascii="宋体" w:hAnsi="宋体" w:cs="宋体"/>
          <w:sz w:val="24"/>
        </w:rPr>
        <w:t>。</w:t>
      </w:r>
    </w:p>
    <w:p w14:paraId="6BC88C26">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孕产妇健康管理大数据分析</w:t>
      </w:r>
    </w:p>
    <w:p w14:paraId="65A55B3C">
      <w:pPr>
        <w:adjustRightInd/>
        <w:spacing w:line="360" w:lineRule="auto"/>
        <w:ind w:firstLine="480" w:firstLineChars="200"/>
        <w:jc w:val="left"/>
        <w:rPr>
          <w:rFonts w:ascii="宋体" w:hAnsi="宋体" w:cs="宋体"/>
          <w:sz w:val="24"/>
        </w:rPr>
      </w:pPr>
      <w:r>
        <w:rPr>
          <w:rFonts w:hint="eastAsia"/>
          <w:sz w:val="24"/>
        </w:rPr>
        <w:t>业务治理端－数据驾驶舱：通过对全市各区县市孕产妇数据进行整合分析，通过BI可视化精准掌握全市孕产妇管理趋势、孕产妇分布情况、孕产妇高危因素等。</w:t>
      </w:r>
    </w:p>
    <w:p w14:paraId="6BE40FB2">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婴幼儿健康管理大数据分析</w:t>
      </w:r>
    </w:p>
    <w:p w14:paraId="6D0A60D3">
      <w:pPr>
        <w:adjustRightInd/>
        <w:spacing w:line="360" w:lineRule="auto"/>
        <w:ind w:firstLine="480" w:firstLineChars="200"/>
        <w:jc w:val="left"/>
        <w:rPr>
          <w:rFonts w:ascii="宋体" w:hAnsi="宋体" w:cs="宋体"/>
          <w:sz w:val="24"/>
        </w:rPr>
      </w:pPr>
      <w:r>
        <w:rPr>
          <w:rFonts w:hint="eastAsia"/>
          <w:sz w:val="24"/>
        </w:rPr>
        <w:t>业务治理端－数据驾驶舱：整合全市3岁以下婴幼儿健康数据，动态管理全市各区县婴幼儿健康管理情况，包括眼保健、发育筛查等情况，重点管理各区县市高危儿分布及类型，实现精准治理。</w:t>
      </w:r>
    </w:p>
    <w:p w14:paraId="7E50610D">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医育结合大数据分析</w:t>
      </w:r>
    </w:p>
    <w:p w14:paraId="78C6C5E9">
      <w:pPr>
        <w:adjustRightInd/>
        <w:spacing w:line="360" w:lineRule="auto"/>
        <w:ind w:firstLine="480" w:firstLineChars="200"/>
        <w:jc w:val="left"/>
        <w:rPr>
          <w:rFonts w:ascii="宋体" w:hAnsi="宋体" w:cs="宋体"/>
          <w:sz w:val="24"/>
        </w:rPr>
      </w:pPr>
      <w:r>
        <w:rPr>
          <w:rFonts w:hint="eastAsia"/>
          <w:sz w:val="24"/>
        </w:rPr>
        <w:t>业务治理端－数据驾驶舱：实时监管全市各区县照护服务机构（托育机构、婴幼儿成长驿站）医育结合签约情况，可视化管理各区县市婴幼儿入托体检情况等，包括各区县入托体检人次、体检合格率、体检检查结果等，精准指导全市医育结合业务高效落地推进。</w:t>
      </w:r>
    </w:p>
    <w:p w14:paraId="2E2047C6">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托育机构大数据分析</w:t>
      </w:r>
    </w:p>
    <w:p w14:paraId="0B1DC738">
      <w:pPr>
        <w:adjustRightInd/>
        <w:spacing w:line="360" w:lineRule="auto"/>
        <w:ind w:firstLine="480" w:firstLineChars="200"/>
        <w:jc w:val="left"/>
        <w:rPr>
          <w:rFonts w:ascii="宋体" w:hAnsi="宋体" w:cs="宋体"/>
          <w:sz w:val="24"/>
        </w:rPr>
      </w:pPr>
      <w:r>
        <w:rPr>
          <w:rFonts w:hint="eastAsia"/>
          <w:sz w:val="24"/>
        </w:rPr>
        <w:t>业务治理端－数据驾驶舱：一屏统览全市托育机构情况，包括托育机构类型分布、价格分布、班级类型分布等，高效监管全市各区县从业人员持证情况、培训情况等，支持查看各托育机构普惠补助金额，实现对全市托育机构的精准监管</w:t>
      </w:r>
      <w:r>
        <w:rPr>
          <w:rFonts w:hint="eastAsia" w:ascii="宋体" w:hAnsi="宋体" w:cs="宋体"/>
          <w:sz w:val="24"/>
        </w:rPr>
        <w:t>。</w:t>
      </w:r>
    </w:p>
    <w:p w14:paraId="1EEEE3E5">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f．</w:t>
      </w:r>
      <w:r>
        <w:rPr>
          <w:rFonts w:hint="eastAsia" w:ascii="宋体" w:hAnsi="宋体" w:cs="宋体"/>
          <w:b/>
          <w:bCs/>
          <w:sz w:val="24"/>
        </w:rPr>
        <w:t>婴幼儿成长驿站大数据分析</w:t>
      </w:r>
    </w:p>
    <w:p w14:paraId="5D7FCC9D">
      <w:pPr>
        <w:adjustRightInd/>
        <w:spacing w:line="360" w:lineRule="auto"/>
        <w:ind w:firstLine="480" w:firstLineChars="200"/>
        <w:jc w:val="left"/>
        <w:rPr>
          <w:rFonts w:ascii="宋体" w:hAnsi="宋体" w:cs="宋体"/>
          <w:sz w:val="24"/>
        </w:rPr>
      </w:pPr>
      <w:r>
        <w:rPr>
          <w:rFonts w:hint="eastAsia"/>
          <w:sz w:val="24"/>
        </w:rPr>
        <w:t>业务治理端－数据驾驶舱：统筹管理全市各区县婴幼儿成长驿站分布情况及服务情况，包括服务类型、服务人次、各区县养育照护小组活动参与情况、临时托分布情况等。</w:t>
      </w:r>
    </w:p>
    <w:p w14:paraId="3C568DBA">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g．</w:t>
      </w:r>
      <w:r>
        <w:rPr>
          <w:rFonts w:hint="eastAsia" w:ascii="宋体" w:hAnsi="宋体" w:cs="宋体"/>
          <w:b/>
          <w:bCs/>
          <w:sz w:val="24"/>
        </w:rPr>
        <w:t>善育在杭应用服务大数据分析</w:t>
      </w:r>
    </w:p>
    <w:p w14:paraId="726EE6EC">
      <w:pPr>
        <w:adjustRightInd/>
        <w:spacing w:line="360" w:lineRule="auto"/>
        <w:ind w:firstLine="480" w:firstLineChars="200"/>
        <w:jc w:val="left"/>
        <w:rPr>
          <w:rFonts w:ascii="宋体" w:hAnsi="宋体" w:cs="宋体"/>
          <w:sz w:val="24"/>
        </w:rPr>
      </w:pPr>
      <w:r>
        <w:rPr>
          <w:rFonts w:hint="eastAsia"/>
          <w:sz w:val="24"/>
        </w:rPr>
        <w:t>业务治理端－数据驾驶舱：一屏概览善育在杭服务端用户访问情况，包括各区县市用户的各服务模块访问人次等，精准掌握用户动向，辅助监管部门业务方向精准决策。</w:t>
      </w:r>
    </w:p>
    <w:p w14:paraId="5DFECE0B">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h．</w:t>
      </w:r>
      <w:r>
        <w:rPr>
          <w:rFonts w:ascii="宋体" w:hAnsi="宋体"/>
          <w:kern w:val="0"/>
          <w:sz w:val="20"/>
          <w:szCs w:val="20"/>
        </w:rPr>
        <w:t>◆</w:t>
      </w:r>
      <w:r>
        <w:rPr>
          <w:rFonts w:hint="eastAsia" w:ascii="宋体" w:hAnsi="宋体" w:cs="宋体"/>
          <w:b/>
          <w:bCs/>
          <w:sz w:val="24"/>
        </w:rPr>
        <w:t>照护服务量化图谱</w:t>
      </w:r>
    </w:p>
    <w:p w14:paraId="302ECFBB">
      <w:pPr>
        <w:adjustRightInd/>
        <w:spacing w:line="360" w:lineRule="auto"/>
        <w:ind w:firstLine="480" w:firstLineChars="200"/>
        <w:jc w:val="left"/>
        <w:rPr>
          <w:rFonts w:ascii="宋体" w:hAnsi="宋体" w:cs="宋体"/>
          <w:sz w:val="24"/>
        </w:rPr>
      </w:pPr>
      <w:r>
        <w:rPr>
          <w:rFonts w:hint="eastAsia"/>
          <w:sz w:val="24"/>
        </w:rPr>
        <w:t>业务治理端－数据驾驶舱：应用全市托育服务机构与照护服务数据，建立照护服务量化图谱，实现婴幼儿分布、机构托位数、托位使用率、婴幼儿入托率等多维度分析功能，并在地图上呈现各区县的排名情况。（提供照护服务量化图谱的详细且图文并茂的方案）</w:t>
      </w:r>
    </w:p>
    <w:p w14:paraId="4F39441E">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i．</w:t>
      </w:r>
      <w:r>
        <w:rPr>
          <w:rFonts w:hint="eastAsia" w:ascii="宋体" w:hAnsi="宋体" w:cs="宋体"/>
          <w:b/>
          <w:bCs/>
          <w:sz w:val="24"/>
        </w:rPr>
        <w:t>托育机构服务画像</w:t>
      </w:r>
    </w:p>
    <w:p w14:paraId="4BCEB05D">
      <w:pPr>
        <w:adjustRightInd/>
        <w:spacing w:line="360" w:lineRule="auto"/>
        <w:ind w:firstLine="480" w:firstLineChars="200"/>
        <w:jc w:val="left"/>
        <w:rPr>
          <w:rFonts w:ascii="宋体" w:hAnsi="宋体" w:cs="宋体"/>
          <w:sz w:val="24"/>
        </w:rPr>
      </w:pPr>
      <w:r>
        <w:rPr>
          <w:rFonts w:hint="eastAsia"/>
          <w:sz w:val="24"/>
        </w:rPr>
        <w:t>业务治理端－数据驾驶舱：建立全市托育机构的个性画像，包括基本信息、家长评价、VR全景预览、在托婴幼儿与从业人员状况、普惠补助情况、医育结合签约与指导情况等。</w:t>
      </w:r>
    </w:p>
    <w:p w14:paraId="2AAD4DD4">
      <w:pPr>
        <w:keepNext/>
        <w:keepLines/>
        <w:tabs>
          <w:tab w:val="left" w:pos="40"/>
        </w:tabs>
        <w:spacing w:before="240" w:after="64" w:line="320" w:lineRule="auto"/>
        <w:outlineLvl w:val="6"/>
        <w:rPr>
          <w:rFonts w:ascii="宋体" w:hAnsi="宋体" w:cs="宋体"/>
          <w:b/>
          <w:bCs/>
          <w:sz w:val="24"/>
        </w:rPr>
      </w:pPr>
      <w:r>
        <w:rPr>
          <w:rFonts w:hint="eastAsia" w:ascii="宋体" w:hAnsi="宋体" w:cs="宋体"/>
          <w:b/>
          <w:bCs/>
          <w:sz w:val="28"/>
          <w:szCs w:val="28"/>
        </w:rPr>
        <w:t>j．</w:t>
      </w:r>
      <w:r>
        <w:rPr>
          <w:rFonts w:ascii="宋体" w:hAnsi="宋体"/>
          <w:kern w:val="0"/>
          <w:sz w:val="20"/>
          <w:szCs w:val="20"/>
        </w:rPr>
        <w:t>◆</w:t>
      </w:r>
      <w:r>
        <w:rPr>
          <w:rFonts w:hint="eastAsia" w:ascii="宋体" w:hAnsi="宋体" w:cs="宋体"/>
          <w:b/>
          <w:bCs/>
          <w:sz w:val="24"/>
        </w:rPr>
        <w:t>业务数据治理与动态推演应用</w:t>
      </w:r>
    </w:p>
    <w:p w14:paraId="0CC72B8B">
      <w:pPr>
        <w:adjustRightInd/>
        <w:spacing w:line="360" w:lineRule="auto"/>
        <w:ind w:firstLine="480" w:firstLineChars="200"/>
        <w:jc w:val="left"/>
        <w:rPr>
          <w:rFonts w:ascii="宋体" w:hAnsi="宋体" w:cs="宋体"/>
          <w:sz w:val="24"/>
        </w:rPr>
      </w:pPr>
      <w:r>
        <w:rPr>
          <w:rFonts w:hint="eastAsia"/>
          <w:sz w:val="24"/>
        </w:rPr>
        <w:t>数据治理与分析，针对各业务场景与流程梳理，动态分析业务转化率。包括但不限于以下核心业务场景的数据治理与动态推演（提供图文并茂且详细的应用场景方案，包括场景清单、实现路径及实现效果）：</w:t>
      </w:r>
    </w:p>
    <w:tbl>
      <w:tblPr>
        <w:tblStyle w:val="65"/>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6159"/>
      </w:tblGrid>
      <w:tr w14:paraId="4252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14:paraId="681462EB">
            <w:pPr>
              <w:snapToGrid w:val="0"/>
              <w:spacing w:line="360" w:lineRule="auto"/>
              <w:ind w:firstLine="46" w:firstLineChars="21"/>
              <w:jc w:val="center"/>
              <w:rPr>
                <w:rFonts w:ascii="宋体" w:hAnsi="宋体" w:cs="宋体"/>
                <w:b/>
                <w:bCs/>
                <w:kern w:val="0"/>
                <w:sz w:val="22"/>
                <w:szCs w:val="22"/>
              </w:rPr>
            </w:pPr>
            <w:r>
              <w:rPr>
                <w:rFonts w:hint="eastAsia" w:ascii="宋体" w:hAnsi="宋体" w:cs="宋体"/>
                <w:b/>
                <w:bCs/>
                <w:kern w:val="0"/>
                <w:sz w:val="22"/>
                <w:szCs w:val="22"/>
              </w:rPr>
              <w:t>核心业务场景</w:t>
            </w:r>
          </w:p>
        </w:tc>
        <w:tc>
          <w:tcPr>
            <w:tcW w:w="6159" w:type="dxa"/>
            <w:vAlign w:val="center"/>
          </w:tcPr>
          <w:p w14:paraId="28C3E432">
            <w:pPr>
              <w:snapToGrid w:val="0"/>
              <w:spacing w:line="360" w:lineRule="auto"/>
              <w:ind w:firstLine="46" w:firstLineChars="21"/>
              <w:jc w:val="center"/>
              <w:rPr>
                <w:rFonts w:ascii="宋体" w:hAnsi="宋体" w:cs="宋体"/>
                <w:b/>
                <w:bCs/>
                <w:kern w:val="0"/>
                <w:sz w:val="22"/>
                <w:szCs w:val="22"/>
              </w:rPr>
            </w:pPr>
            <w:r>
              <w:rPr>
                <w:rFonts w:hint="eastAsia" w:ascii="宋体" w:hAnsi="宋体" w:cs="宋体"/>
                <w:b/>
                <w:bCs/>
                <w:kern w:val="0"/>
                <w:sz w:val="22"/>
                <w:szCs w:val="22"/>
              </w:rPr>
              <w:t>数据治理与分析</w:t>
            </w:r>
          </w:p>
        </w:tc>
      </w:tr>
      <w:tr w14:paraId="0C16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14:paraId="7F900795">
            <w:pPr>
              <w:snapToGrid w:val="0"/>
              <w:spacing w:line="360" w:lineRule="auto"/>
              <w:ind w:firstLine="46" w:firstLineChars="21"/>
              <w:rPr>
                <w:rFonts w:ascii="宋体" w:hAnsi="宋体" w:cs="宋体"/>
                <w:kern w:val="0"/>
                <w:sz w:val="22"/>
                <w:szCs w:val="22"/>
              </w:rPr>
            </w:pPr>
            <w:r>
              <w:rPr>
                <w:rFonts w:hint="eastAsia" w:ascii="宋体" w:hAnsi="宋体" w:cs="宋体"/>
                <w:kern w:val="0"/>
                <w:sz w:val="22"/>
                <w:szCs w:val="22"/>
              </w:rPr>
              <w:t>托育券补助数字化管理</w:t>
            </w:r>
          </w:p>
        </w:tc>
        <w:tc>
          <w:tcPr>
            <w:tcW w:w="6159" w:type="dxa"/>
            <w:vAlign w:val="center"/>
          </w:tcPr>
          <w:p w14:paraId="4CB57F52">
            <w:pPr>
              <w:snapToGrid w:val="0"/>
              <w:spacing w:line="360" w:lineRule="auto"/>
              <w:ind w:firstLine="46" w:firstLineChars="21"/>
              <w:rPr>
                <w:rFonts w:ascii="宋体" w:hAnsi="宋体" w:cs="宋体"/>
                <w:kern w:val="0"/>
                <w:sz w:val="22"/>
                <w:szCs w:val="22"/>
              </w:rPr>
            </w:pPr>
            <w:r>
              <w:rPr>
                <w:rFonts w:hint="eastAsia" w:ascii="宋体" w:hAnsi="宋体" w:cs="宋体"/>
                <w:kern w:val="0"/>
                <w:sz w:val="22"/>
                <w:szCs w:val="22"/>
              </w:rPr>
              <w:t>分析托育券领取率、托育券使用率、托育券补助申请率、托育券补助申请通过率等指标建立漏斗模型，根据托育券领取与使用情况，动态推演下一阶段的补助资金配额等</w:t>
            </w:r>
          </w:p>
        </w:tc>
      </w:tr>
      <w:tr w14:paraId="4856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14:paraId="7333AD14">
            <w:pPr>
              <w:snapToGrid w:val="0"/>
              <w:spacing w:line="360" w:lineRule="auto"/>
              <w:ind w:firstLine="46" w:firstLineChars="21"/>
              <w:rPr>
                <w:rFonts w:ascii="宋体" w:hAnsi="宋体" w:cs="宋体"/>
                <w:kern w:val="0"/>
                <w:sz w:val="22"/>
                <w:szCs w:val="22"/>
              </w:rPr>
            </w:pPr>
            <w:r>
              <w:rPr>
                <w:rFonts w:hint="eastAsia" w:ascii="宋体" w:hAnsi="宋体" w:cs="宋体"/>
                <w:kern w:val="0"/>
                <w:sz w:val="22"/>
                <w:szCs w:val="22"/>
              </w:rPr>
              <w:t>杭小育应用服务</w:t>
            </w:r>
          </w:p>
        </w:tc>
        <w:tc>
          <w:tcPr>
            <w:tcW w:w="6159" w:type="dxa"/>
            <w:vAlign w:val="center"/>
          </w:tcPr>
          <w:p w14:paraId="61C06E38">
            <w:pPr>
              <w:snapToGrid w:val="0"/>
              <w:spacing w:line="360" w:lineRule="auto"/>
              <w:ind w:firstLine="46" w:firstLineChars="21"/>
              <w:rPr>
                <w:rFonts w:ascii="宋体" w:hAnsi="宋体" w:cs="宋体"/>
                <w:kern w:val="0"/>
                <w:sz w:val="22"/>
                <w:szCs w:val="22"/>
              </w:rPr>
            </w:pPr>
            <w:r>
              <w:rPr>
                <w:rFonts w:hint="eastAsia" w:ascii="宋体" w:hAnsi="宋体" w:cs="宋体"/>
                <w:kern w:val="0"/>
                <w:sz w:val="22"/>
                <w:szCs w:val="22"/>
              </w:rPr>
              <w:t>分析智能问答错误反馈率、智能问答错误反馈修正率等，提升杭小育大语言模型与知识库的回答精准性等</w:t>
            </w:r>
          </w:p>
        </w:tc>
      </w:tr>
      <w:tr w14:paraId="4295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14:paraId="2606C1DB">
            <w:pPr>
              <w:snapToGrid w:val="0"/>
              <w:spacing w:line="360" w:lineRule="auto"/>
              <w:ind w:firstLine="46" w:firstLineChars="21"/>
              <w:rPr>
                <w:rFonts w:ascii="宋体" w:hAnsi="宋体" w:cs="宋体"/>
                <w:kern w:val="0"/>
                <w:sz w:val="22"/>
                <w:szCs w:val="22"/>
              </w:rPr>
            </w:pPr>
            <w:r>
              <w:rPr>
                <w:rFonts w:hint="eastAsia" w:ascii="宋体" w:hAnsi="宋体" w:cs="宋体"/>
                <w:kern w:val="0"/>
                <w:sz w:val="22"/>
                <w:szCs w:val="22"/>
              </w:rPr>
              <w:t>设施配建“一张图”</w:t>
            </w:r>
          </w:p>
        </w:tc>
        <w:tc>
          <w:tcPr>
            <w:tcW w:w="6159" w:type="dxa"/>
            <w:vAlign w:val="center"/>
          </w:tcPr>
          <w:p w14:paraId="5EDE7780">
            <w:pPr>
              <w:snapToGrid w:val="0"/>
              <w:spacing w:line="360" w:lineRule="auto"/>
              <w:ind w:firstLine="46" w:firstLineChars="21"/>
              <w:rPr>
                <w:rFonts w:ascii="宋体" w:hAnsi="宋体" w:cs="宋体"/>
                <w:kern w:val="0"/>
                <w:sz w:val="22"/>
                <w:szCs w:val="22"/>
              </w:rPr>
            </w:pPr>
            <w:r>
              <w:rPr>
                <w:rFonts w:hint="eastAsia" w:ascii="宋体" w:hAnsi="宋体" w:cs="宋体"/>
                <w:kern w:val="0"/>
                <w:sz w:val="22"/>
                <w:szCs w:val="22"/>
              </w:rPr>
              <w:t>根据15分钟托育服务生态圈算法，优化托育服务设施可及度、匹配度算法模型，权重配比；针对区域当前在托婴幼儿、托育需求率、区域0-3岁婴幼儿数及剩余托位数，根据不同需求权重建立算法分析模型计算托位需求等。</w:t>
            </w:r>
          </w:p>
        </w:tc>
      </w:tr>
    </w:tbl>
    <w:p w14:paraId="6EA92F53">
      <w:pPr>
        <w:keepNext/>
        <w:keepLines/>
        <w:tabs>
          <w:tab w:val="left" w:pos="0"/>
        </w:tabs>
        <w:spacing w:beforeLines="50" w:afterLines="50" w:line="360" w:lineRule="auto"/>
        <w:outlineLvl w:val="4"/>
        <w:rPr>
          <w:rFonts w:ascii="宋体" w:hAnsi="宋体" w:eastAsia="仿宋" w:cs="宋体"/>
          <w:b/>
          <w:bCs/>
          <w:kern w:val="0"/>
          <w:sz w:val="28"/>
          <w:szCs w:val="28"/>
        </w:rPr>
      </w:pPr>
      <w:r>
        <w:rPr>
          <w:rFonts w:hint="eastAsia" w:ascii="宋体" w:hAnsi="宋体" w:eastAsia="仿宋" w:cs="宋体"/>
          <w:b/>
          <w:bCs/>
          <w:kern w:val="0"/>
          <w:sz w:val="28"/>
          <w:szCs w:val="28"/>
        </w:rPr>
        <w:t>④善育在杭2.0-“杭小育应用”服务</w:t>
      </w:r>
    </w:p>
    <w:p w14:paraId="2B31D1EC">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1）</w:t>
      </w:r>
      <w:r>
        <w:rPr>
          <w:rFonts w:hint="eastAsia" w:ascii="宋体" w:hAnsi="宋体" w:cs="宋体"/>
          <w:b/>
          <w:bCs/>
          <w:kern w:val="0"/>
          <w:sz w:val="28"/>
        </w:rPr>
        <w:t>杭小育虚拟数字人设计建模应用</w:t>
      </w:r>
    </w:p>
    <w:p w14:paraId="417C55F6">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“杭小育”IP形象建模</w:t>
      </w:r>
    </w:p>
    <w:p w14:paraId="61DD7FBB">
      <w:pPr>
        <w:adjustRightInd/>
        <w:spacing w:line="360" w:lineRule="auto"/>
        <w:ind w:firstLine="480" w:firstLineChars="200"/>
        <w:rPr>
          <w:rFonts w:ascii="宋体" w:hAnsi="宋体" w:cs="宋体"/>
          <w:sz w:val="24"/>
        </w:rPr>
      </w:pPr>
      <w:r>
        <w:rPr>
          <w:rFonts w:hint="eastAsia"/>
          <w:sz w:val="24"/>
        </w:rPr>
        <w:t>通过对“杭小育”的IP形象进行设计，形成三视图并建立3D模型，包括模型设计、雕刻建模、材质球赋予等，并应用运动轨道与摄像机建立动画轨道等。</w:t>
      </w:r>
    </w:p>
    <w:p w14:paraId="59DDF57B">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“杭小育”IP形象拓扑优化</w:t>
      </w:r>
    </w:p>
    <w:p w14:paraId="12EB78C7">
      <w:pPr>
        <w:adjustRightInd/>
        <w:spacing w:line="360" w:lineRule="auto"/>
        <w:ind w:firstLine="480" w:firstLineChars="200"/>
        <w:rPr>
          <w:rFonts w:ascii="宋体" w:hAnsi="宋体" w:cs="宋体"/>
          <w:sz w:val="24"/>
        </w:rPr>
      </w:pPr>
      <w:r>
        <w:rPr>
          <w:rFonts w:hint="eastAsia"/>
          <w:sz w:val="24"/>
        </w:rPr>
        <w:t>为确保模型的动画友好性和高效渲染，将模型进行拓扑优化，创建合理的网格流和足够的多边形密度以支撑复杂的动作和面部表情。</w:t>
      </w:r>
    </w:p>
    <w:p w14:paraId="6EBF8AE0">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“杭小育”IP形象人物骨骼绑定</w:t>
      </w:r>
    </w:p>
    <w:p w14:paraId="187AC9ED">
      <w:pPr>
        <w:adjustRightInd/>
        <w:spacing w:line="360" w:lineRule="auto"/>
        <w:ind w:firstLine="480" w:firstLineChars="200"/>
        <w:rPr>
          <w:rFonts w:ascii="宋体" w:hAnsi="宋体" w:cs="宋体"/>
          <w:sz w:val="24"/>
        </w:rPr>
      </w:pPr>
      <w:r>
        <w:rPr>
          <w:rFonts w:hint="eastAsia"/>
          <w:sz w:val="24"/>
        </w:rPr>
        <w:t>构建一个符合人体解剖学的骨骼系统，对“杭小育”IP形象进行骨骼建模与绑定，驱动骨骼与动作捕捉，确保可以准确地模拟真实的运动。</w:t>
      </w:r>
    </w:p>
    <w:p w14:paraId="0BD99F6E">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“杭小育”骨骼权重分配与蒙皮</w:t>
      </w:r>
    </w:p>
    <w:p w14:paraId="216C6B64">
      <w:pPr>
        <w:adjustRightInd/>
        <w:spacing w:line="360" w:lineRule="auto"/>
        <w:ind w:firstLine="480" w:firstLineChars="200"/>
        <w:jc w:val="left"/>
        <w:rPr>
          <w:rFonts w:ascii="宋体" w:hAnsi="宋体" w:cs="宋体"/>
          <w:sz w:val="24"/>
        </w:rPr>
      </w:pPr>
      <w:r>
        <w:rPr>
          <w:rFonts w:hint="eastAsia"/>
          <w:sz w:val="24"/>
        </w:rPr>
        <w:t>通过精确的权重分配，确保模型的皮肤在移动时不会出现穿透或变形问题，并进行微调。设置直观的控制器，操纵模型，并进行一系列的测试以确保所有关节的运动自然流程。</w:t>
      </w:r>
    </w:p>
    <w:p w14:paraId="7EDEAC42">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场景动画建模</w:t>
      </w:r>
    </w:p>
    <w:p w14:paraId="2165F0D1">
      <w:pPr>
        <w:adjustRightInd/>
        <w:spacing w:line="360" w:lineRule="auto"/>
        <w:ind w:firstLine="480" w:firstLineChars="200"/>
        <w:jc w:val="left"/>
        <w:rPr>
          <w:rFonts w:ascii="宋体" w:hAnsi="宋体" w:cs="宋体"/>
          <w:sz w:val="24"/>
        </w:rPr>
      </w:pPr>
      <w:r>
        <w:rPr>
          <w:rFonts w:hint="eastAsia"/>
          <w:sz w:val="24"/>
        </w:rPr>
        <w:t>对“杭小育”的应用场景布局，确定场景的空间和附加元素的布局，针对场景内容涉及动态元素如托育机构、成长驿站、玩具等动态元素，增加场景的真实感和活力。设置合适的光照效果，包括光照循环、阴影投射等。</w:t>
      </w:r>
    </w:p>
    <w:p w14:paraId="3B829287">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f．</w:t>
      </w:r>
      <w:r>
        <w:rPr>
          <w:rFonts w:hint="eastAsia" w:ascii="宋体" w:hAnsi="宋体" w:cs="宋体"/>
          <w:b/>
          <w:bCs/>
          <w:sz w:val="24"/>
        </w:rPr>
        <w:t>动画设计与渲染</w:t>
      </w:r>
    </w:p>
    <w:p w14:paraId="2D3C1D3D">
      <w:pPr>
        <w:adjustRightInd/>
        <w:spacing w:line="360" w:lineRule="auto"/>
        <w:ind w:firstLine="480" w:firstLineChars="200"/>
        <w:jc w:val="left"/>
        <w:rPr>
          <w:rFonts w:ascii="宋体" w:hAnsi="宋体" w:cs="宋体"/>
          <w:sz w:val="24"/>
        </w:rPr>
      </w:pPr>
      <w:r>
        <w:rPr>
          <w:rFonts w:hint="eastAsia"/>
          <w:sz w:val="24"/>
        </w:rPr>
        <w:t>应用人物与骨骼建模，绑定及场景设计多元化动画，包括“杭小育”唇形动作动画、肢体动作动画等，并应用cycles等相关渲染引擎对动画进行调参渲染输出。</w:t>
      </w:r>
    </w:p>
    <w:p w14:paraId="09665292">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g．</w:t>
      </w:r>
      <w:r>
        <w:rPr>
          <w:rFonts w:hint="eastAsia" w:ascii="宋体" w:hAnsi="宋体" w:cs="宋体"/>
          <w:b/>
          <w:bCs/>
          <w:sz w:val="24"/>
        </w:rPr>
        <w:t>“杭小育”IP形象智能驱动</w:t>
      </w:r>
    </w:p>
    <w:p w14:paraId="4583D062">
      <w:pPr>
        <w:adjustRightInd/>
        <w:spacing w:line="360" w:lineRule="auto"/>
        <w:ind w:firstLine="480" w:firstLineChars="200"/>
        <w:jc w:val="left"/>
        <w:rPr>
          <w:rFonts w:ascii="宋体" w:hAnsi="宋体" w:cs="宋体"/>
          <w:sz w:val="24"/>
        </w:rPr>
      </w:pPr>
      <w:r>
        <w:rPr>
          <w:rFonts w:hint="eastAsia"/>
          <w:sz w:val="24"/>
        </w:rPr>
        <w:t>将“杭小育”IP形象引入AI模型并进行骨骼代码绑定，融入基于原生WebGL封装运行的三维引擎，实现根据语音或文字的用户指令控制3D模型执行内置的动画，实现唇形与肢体相协调的形象设计表达，达到与用户友好交互的效果。</w:t>
      </w:r>
    </w:p>
    <w:p w14:paraId="2A5D6425">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2）</w:t>
      </w:r>
      <w:r>
        <w:rPr>
          <w:rFonts w:hint="eastAsia" w:ascii="宋体" w:hAnsi="宋体" w:cs="宋体"/>
          <w:b/>
          <w:bCs/>
          <w:kern w:val="0"/>
          <w:sz w:val="28"/>
        </w:rPr>
        <w:t>婴幼儿健康管理大语言模型</w:t>
      </w:r>
    </w:p>
    <w:p w14:paraId="65BD004B">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嵌入模型（Embedding）部署接入</w:t>
      </w:r>
    </w:p>
    <w:p w14:paraId="31BD6BF3">
      <w:pPr>
        <w:adjustRightInd/>
        <w:spacing w:line="360" w:lineRule="auto"/>
        <w:ind w:firstLine="480" w:firstLineChars="200"/>
        <w:jc w:val="left"/>
        <w:rPr>
          <w:rFonts w:ascii="宋体" w:hAnsi="宋体" w:cs="宋体"/>
          <w:sz w:val="24"/>
        </w:rPr>
      </w:pPr>
      <w:r>
        <w:rPr>
          <w:rFonts w:hint="eastAsia"/>
          <w:sz w:val="24"/>
        </w:rPr>
        <w:t>部署接入Embedding模型，可优化知识库数据的搜索，将知识库的内容向量化处理优化搜索与用户问题的精准性与高效性。</w:t>
      </w:r>
    </w:p>
    <w:p w14:paraId="0F77A0B0">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结果重排模型（Reranker）部署接入</w:t>
      </w:r>
    </w:p>
    <w:p w14:paraId="4DF19FA1">
      <w:pPr>
        <w:adjustRightInd/>
        <w:spacing w:line="360" w:lineRule="auto"/>
        <w:ind w:firstLine="480" w:firstLineChars="200"/>
        <w:jc w:val="left"/>
        <w:rPr>
          <w:rFonts w:ascii="宋体" w:hAnsi="宋体" w:cs="宋体"/>
          <w:sz w:val="24"/>
        </w:rPr>
      </w:pPr>
      <w:r>
        <w:rPr>
          <w:rFonts w:hint="eastAsia"/>
          <w:sz w:val="24"/>
        </w:rPr>
        <w:t>部署接入结果重排模型（Reranker），将知识库的内容在嵌入模型（Embedding）的基础上对逐个结果进一步进行精细化重排，获取更精准的搜索质量。</w:t>
      </w:r>
    </w:p>
    <w:p w14:paraId="5CC52C71">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对话式大语言模型（LLM）部署优化</w:t>
      </w:r>
    </w:p>
    <w:p w14:paraId="7BC80CA9">
      <w:pPr>
        <w:adjustRightInd/>
        <w:spacing w:line="360" w:lineRule="auto"/>
        <w:ind w:firstLine="480" w:firstLineChars="200"/>
        <w:jc w:val="left"/>
        <w:rPr>
          <w:sz w:val="24"/>
        </w:rPr>
      </w:pPr>
      <w:r>
        <w:rPr>
          <w:rFonts w:hint="eastAsia"/>
          <w:sz w:val="24"/>
        </w:rPr>
        <w:t>多模型融合接入部署：接入基础通用大语言模型，知识库，向量分割模型等，使用模型相互控制模型的方式，保证大语言模型在对话方面更具有专业性智能性。同时使用向量分割模型帮助LLM模型理解用户输入以及在知识库的搜索。</w:t>
      </w:r>
    </w:p>
    <w:p w14:paraId="265D0A42">
      <w:pPr>
        <w:adjustRightInd/>
        <w:spacing w:line="360" w:lineRule="auto"/>
        <w:ind w:firstLine="480" w:firstLineChars="200"/>
        <w:jc w:val="left"/>
        <w:rPr>
          <w:sz w:val="24"/>
        </w:rPr>
      </w:pPr>
      <w:r>
        <w:rPr>
          <w:rFonts w:hint="eastAsia"/>
          <w:sz w:val="24"/>
        </w:rPr>
        <w:t>问答基础流程控制：构建问答流程控制模块，向量化处理用户问题，进行问题分类派别，对非法输入进行拒绝，对其他类正当问题进行流程控制，如进行知识库搜索，路径识别等流程。同时使用模型控制回答输出，对最终的答案进行prompt参数控制。</w:t>
      </w:r>
    </w:p>
    <w:p w14:paraId="11918547">
      <w:pPr>
        <w:adjustRightInd/>
        <w:spacing w:line="360" w:lineRule="auto"/>
        <w:ind w:firstLine="480" w:firstLineChars="200"/>
        <w:jc w:val="left"/>
        <w:rPr>
          <w:sz w:val="24"/>
        </w:rPr>
      </w:pPr>
      <w:r>
        <w:rPr>
          <w:rFonts w:hint="eastAsia"/>
          <w:sz w:val="24"/>
        </w:rPr>
        <w:t>用户信息/上下文历史记录调整：在用户创建每一个对话之前，获取用户基本信息，并使用模型判断用户所询问的问题，并在对应对话内对模型告知用户基础信息，针对性个性化为每位用户进行回答。</w:t>
      </w:r>
    </w:p>
    <w:p w14:paraId="326D025F">
      <w:pPr>
        <w:adjustRightInd/>
        <w:spacing w:line="360" w:lineRule="auto"/>
        <w:ind w:firstLine="480" w:firstLineChars="200"/>
        <w:rPr>
          <w:rFonts w:ascii="宋体" w:hAnsi="宋体" w:cs="宋体"/>
          <w:sz w:val="24"/>
        </w:rPr>
      </w:pPr>
      <w:r>
        <w:rPr>
          <w:rFonts w:hint="eastAsia"/>
          <w:sz w:val="24"/>
        </w:rPr>
        <w:t>大语言模型prompt推荐：为杭小育大模型添加模型提示词prompt，提高AI智能服务效率及与用户的交互效果。</w:t>
      </w:r>
    </w:p>
    <w:p w14:paraId="2D9AA6F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智能问答相似度管理与智能匹配</w:t>
      </w:r>
    </w:p>
    <w:p w14:paraId="011617A4">
      <w:pPr>
        <w:adjustRightInd/>
        <w:spacing w:line="360" w:lineRule="auto"/>
        <w:ind w:firstLine="480" w:firstLineChars="200"/>
        <w:jc w:val="left"/>
        <w:rPr>
          <w:sz w:val="24"/>
        </w:rPr>
      </w:pPr>
      <w:r>
        <w:rPr>
          <w:rFonts w:hint="eastAsia"/>
          <w:sz w:val="24"/>
        </w:rPr>
        <w:t>为使养育照护大语言模型高效稳定运行，在基础算力基础上满足并发要求，建立智能问答相似度管理体系，通过对用户提问信息与知识库内容进行智能匹配，计算问答相似度并根据相似度执行不同操作，回答不同内容。</w:t>
      </w:r>
    </w:p>
    <w:p w14:paraId="6DB8B68A">
      <w:pPr>
        <w:adjustRightInd/>
        <w:spacing w:line="360" w:lineRule="auto"/>
        <w:ind w:firstLine="480" w:firstLineChars="200"/>
        <w:jc w:val="left"/>
        <w:rPr>
          <w:rFonts w:ascii="宋体" w:hAnsi="宋体" w:cs="宋体"/>
          <w:sz w:val="24"/>
        </w:rPr>
      </w:pPr>
      <w:r>
        <w:rPr>
          <w:rFonts w:hint="eastAsia"/>
          <w:sz w:val="24"/>
        </w:rPr>
        <w:t>知识库内容与用户提问信息的相似度匹配值可根据业务发展情况与需求场景通过系统进行合理配置管理。</w:t>
      </w:r>
    </w:p>
    <w:p w14:paraId="42898167">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3）</w:t>
      </w:r>
      <w:r>
        <w:rPr>
          <w:rFonts w:hint="eastAsia" w:ascii="宋体" w:hAnsi="宋体" w:cs="宋体"/>
          <w:b/>
          <w:bCs/>
          <w:kern w:val="0"/>
          <w:sz w:val="28"/>
        </w:rPr>
        <w:t>婴幼儿照护知识库</w:t>
      </w:r>
    </w:p>
    <w:p w14:paraId="3C180F05">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养育知识库</w:t>
      </w:r>
    </w:p>
    <w:p w14:paraId="2874BF9C">
      <w:pPr>
        <w:adjustRightInd/>
        <w:spacing w:line="360" w:lineRule="auto"/>
        <w:ind w:firstLine="480" w:firstLineChars="200"/>
        <w:jc w:val="left"/>
        <w:rPr>
          <w:sz w:val="24"/>
        </w:rPr>
      </w:pPr>
      <w:r>
        <w:rPr>
          <w:rFonts w:hint="eastAsia"/>
          <w:sz w:val="24"/>
        </w:rPr>
        <w:t>建设各月龄阶段的婴幼儿养育知识库，包含主题、子主题（多级主题）、详细知识内容、对象标签、多模态知识路径等信息，部分核心知识库内容如下（具体为QA问答形式）：</w:t>
      </w:r>
    </w:p>
    <w:tbl>
      <w:tblPr>
        <w:tblStyle w:val="65"/>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30"/>
        <w:gridCol w:w="1088"/>
        <w:gridCol w:w="2129"/>
        <w:gridCol w:w="1416"/>
        <w:gridCol w:w="1416"/>
      </w:tblGrid>
      <w:tr w14:paraId="1DD2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33AAB7AA">
            <w:pPr>
              <w:snapToGrid w:val="0"/>
              <w:spacing w:line="360" w:lineRule="auto"/>
              <w:ind w:firstLine="42" w:firstLineChars="21"/>
              <w:rPr>
                <w:rFonts w:ascii="仿宋" w:hAnsi="仿宋"/>
                <w:b/>
                <w:kern w:val="0"/>
                <w:sz w:val="20"/>
              </w:rPr>
            </w:pPr>
            <w:r>
              <w:rPr>
                <w:rFonts w:hint="eastAsia" w:ascii="仿宋" w:hAnsi="仿宋"/>
                <w:b/>
                <w:kern w:val="0"/>
                <w:sz w:val="20"/>
              </w:rPr>
              <w:t>知识主题</w:t>
            </w:r>
          </w:p>
        </w:tc>
        <w:tc>
          <w:tcPr>
            <w:tcW w:w="1030" w:type="dxa"/>
            <w:vAlign w:val="center"/>
          </w:tcPr>
          <w:p w14:paraId="74D27E7E">
            <w:pPr>
              <w:snapToGrid w:val="0"/>
              <w:spacing w:line="360" w:lineRule="auto"/>
              <w:ind w:firstLine="42" w:firstLineChars="21"/>
              <w:rPr>
                <w:rFonts w:ascii="仿宋" w:hAnsi="仿宋"/>
                <w:b/>
                <w:kern w:val="0"/>
                <w:sz w:val="20"/>
              </w:rPr>
            </w:pPr>
            <w:r>
              <w:rPr>
                <w:rFonts w:hint="eastAsia" w:ascii="仿宋" w:hAnsi="仿宋"/>
                <w:b/>
                <w:kern w:val="0"/>
                <w:sz w:val="20"/>
              </w:rPr>
              <w:t>一级主题</w:t>
            </w:r>
          </w:p>
        </w:tc>
        <w:tc>
          <w:tcPr>
            <w:tcW w:w="1088" w:type="dxa"/>
            <w:vAlign w:val="center"/>
          </w:tcPr>
          <w:p w14:paraId="1BB4BD10">
            <w:pPr>
              <w:snapToGrid w:val="0"/>
              <w:spacing w:line="360" w:lineRule="auto"/>
              <w:ind w:firstLine="42" w:firstLineChars="21"/>
              <w:rPr>
                <w:rFonts w:ascii="仿宋" w:hAnsi="仿宋"/>
                <w:b/>
                <w:kern w:val="0"/>
                <w:sz w:val="20"/>
              </w:rPr>
            </w:pPr>
            <w:r>
              <w:rPr>
                <w:rFonts w:hint="eastAsia" w:ascii="仿宋" w:hAnsi="仿宋"/>
                <w:b/>
                <w:kern w:val="0"/>
                <w:sz w:val="20"/>
              </w:rPr>
              <w:t>二级主题</w:t>
            </w:r>
          </w:p>
        </w:tc>
        <w:tc>
          <w:tcPr>
            <w:tcW w:w="2129" w:type="dxa"/>
            <w:vAlign w:val="center"/>
          </w:tcPr>
          <w:p w14:paraId="166EF0FA">
            <w:pPr>
              <w:snapToGrid w:val="0"/>
              <w:spacing w:line="360" w:lineRule="auto"/>
              <w:ind w:firstLine="42" w:firstLineChars="21"/>
              <w:rPr>
                <w:rFonts w:ascii="仿宋" w:hAnsi="仿宋"/>
                <w:b/>
                <w:kern w:val="0"/>
                <w:sz w:val="20"/>
              </w:rPr>
            </w:pPr>
            <w:r>
              <w:rPr>
                <w:rFonts w:hint="eastAsia" w:ascii="仿宋" w:hAnsi="仿宋"/>
                <w:b/>
                <w:kern w:val="0"/>
                <w:sz w:val="20"/>
              </w:rPr>
              <w:t>详细知识内容</w:t>
            </w:r>
          </w:p>
        </w:tc>
        <w:tc>
          <w:tcPr>
            <w:tcW w:w="1416" w:type="dxa"/>
            <w:vAlign w:val="center"/>
          </w:tcPr>
          <w:p w14:paraId="55AB3CB6">
            <w:pPr>
              <w:snapToGrid w:val="0"/>
              <w:spacing w:line="360" w:lineRule="auto"/>
              <w:ind w:firstLine="42" w:firstLineChars="21"/>
              <w:rPr>
                <w:rFonts w:ascii="仿宋" w:hAnsi="仿宋"/>
                <w:b/>
                <w:kern w:val="0"/>
                <w:sz w:val="20"/>
              </w:rPr>
            </w:pPr>
            <w:r>
              <w:rPr>
                <w:rFonts w:hint="eastAsia" w:ascii="仿宋" w:hAnsi="仿宋"/>
                <w:b/>
                <w:kern w:val="0"/>
                <w:sz w:val="20"/>
              </w:rPr>
              <w:t>服务对象标签</w:t>
            </w:r>
          </w:p>
        </w:tc>
        <w:tc>
          <w:tcPr>
            <w:tcW w:w="1416" w:type="dxa"/>
            <w:vAlign w:val="center"/>
          </w:tcPr>
          <w:p w14:paraId="54998068">
            <w:pPr>
              <w:snapToGrid w:val="0"/>
              <w:spacing w:line="360" w:lineRule="auto"/>
              <w:ind w:firstLine="42" w:firstLineChars="21"/>
              <w:rPr>
                <w:rFonts w:ascii="仿宋" w:hAnsi="仿宋"/>
                <w:b/>
                <w:kern w:val="0"/>
                <w:sz w:val="20"/>
              </w:rPr>
            </w:pPr>
            <w:r>
              <w:rPr>
                <w:rFonts w:hint="eastAsia" w:ascii="仿宋" w:hAnsi="仿宋"/>
                <w:b/>
                <w:kern w:val="0"/>
                <w:sz w:val="20"/>
              </w:rPr>
              <w:t>多模态知识路径</w:t>
            </w:r>
          </w:p>
        </w:tc>
      </w:tr>
      <w:tr w14:paraId="0C82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20EF431A">
            <w:pPr>
              <w:snapToGrid w:val="0"/>
              <w:spacing w:line="360" w:lineRule="auto"/>
              <w:ind w:firstLine="42" w:firstLineChars="21"/>
              <w:rPr>
                <w:rFonts w:ascii="仿宋" w:hAnsi="仿宋"/>
                <w:kern w:val="0"/>
                <w:sz w:val="20"/>
              </w:rPr>
            </w:pPr>
            <w:r>
              <w:rPr>
                <w:rFonts w:hint="eastAsia" w:ascii="仿宋" w:hAnsi="仿宋"/>
                <w:kern w:val="0"/>
                <w:sz w:val="20"/>
              </w:rPr>
              <w:t>3月龄婴幼儿养育知识库</w:t>
            </w:r>
          </w:p>
        </w:tc>
        <w:tc>
          <w:tcPr>
            <w:tcW w:w="1030" w:type="dxa"/>
            <w:vAlign w:val="center"/>
          </w:tcPr>
          <w:p w14:paraId="4EAC6A95">
            <w:pPr>
              <w:snapToGrid w:val="0"/>
              <w:spacing w:line="360" w:lineRule="auto"/>
              <w:ind w:firstLine="42" w:firstLineChars="21"/>
              <w:rPr>
                <w:rFonts w:ascii="仿宋" w:hAnsi="仿宋"/>
                <w:kern w:val="0"/>
                <w:sz w:val="20"/>
              </w:rPr>
            </w:pPr>
            <w:r>
              <w:rPr>
                <w:rFonts w:hint="eastAsia" w:ascii="仿宋" w:hAnsi="仿宋"/>
                <w:kern w:val="0"/>
                <w:sz w:val="20"/>
              </w:rPr>
              <w:t>如何喂养</w:t>
            </w:r>
          </w:p>
        </w:tc>
        <w:tc>
          <w:tcPr>
            <w:tcW w:w="1088" w:type="dxa"/>
            <w:vAlign w:val="center"/>
          </w:tcPr>
          <w:p w14:paraId="096F18A8">
            <w:pPr>
              <w:snapToGrid w:val="0"/>
              <w:spacing w:line="360" w:lineRule="auto"/>
              <w:ind w:firstLine="42" w:firstLineChars="21"/>
              <w:rPr>
                <w:rFonts w:ascii="仿宋" w:hAnsi="仿宋"/>
                <w:kern w:val="0"/>
                <w:sz w:val="20"/>
              </w:rPr>
            </w:pPr>
            <w:r>
              <w:rPr>
                <w:rFonts w:hint="eastAsia" w:ascii="仿宋" w:hAnsi="仿宋"/>
                <w:kern w:val="0"/>
                <w:sz w:val="20"/>
              </w:rPr>
              <w:t>合理喂养</w:t>
            </w:r>
          </w:p>
        </w:tc>
        <w:tc>
          <w:tcPr>
            <w:tcW w:w="2129" w:type="dxa"/>
            <w:vAlign w:val="center"/>
          </w:tcPr>
          <w:p w14:paraId="6891DA31">
            <w:pPr>
              <w:snapToGrid w:val="0"/>
              <w:spacing w:line="360" w:lineRule="auto"/>
              <w:ind w:firstLine="42" w:firstLineChars="21"/>
              <w:rPr>
                <w:rFonts w:ascii="仿宋" w:hAnsi="仿宋"/>
                <w:kern w:val="0"/>
                <w:sz w:val="20"/>
              </w:rPr>
            </w:pPr>
            <w:r>
              <w:rPr>
                <w:rFonts w:hint="eastAsia" w:ascii="仿宋" w:hAnsi="仿宋"/>
                <w:kern w:val="0"/>
                <w:sz w:val="20"/>
              </w:rPr>
              <w:t>继续坚持母乳喂养，可适当延长喂奶时间间隔，平均3小时左右喂1次，每日保持两次，每日奶量 800ml以上，逐渐养成定时喂奶习惯。</w:t>
            </w:r>
          </w:p>
        </w:tc>
        <w:tc>
          <w:tcPr>
            <w:tcW w:w="1416" w:type="dxa"/>
            <w:vAlign w:val="center"/>
          </w:tcPr>
          <w:p w14:paraId="2E9782B5">
            <w:pPr>
              <w:snapToGrid w:val="0"/>
              <w:spacing w:line="360" w:lineRule="auto"/>
              <w:ind w:firstLine="42" w:firstLineChars="21"/>
              <w:rPr>
                <w:rFonts w:ascii="仿宋" w:hAnsi="仿宋"/>
                <w:kern w:val="0"/>
                <w:sz w:val="20"/>
              </w:rPr>
            </w:pPr>
            <w:r>
              <w:rPr>
                <w:rFonts w:hint="eastAsia" w:ascii="仿宋" w:hAnsi="仿宋"/>
                <w:kern w:val="0"/>
                <w:sz w:val="20"/>
              </w:rPr>
              <w:t>3月龄、养育知识、喂养</w:t>
            </w:r>
          </w:p>
        </w:tc>
        <w:tc>
          <w:tcPr>
            <w:tcW w:w="1416" w:type="dxa"/>
            <w:vAlign w:val="center"/>
          </w:tcPr>
          <w:p w14:paraId="762660BD">
            <w:pPr>
              <w:snapToGrid w:val="0"/>
              <w:spacing w:line="360" w:lineRule="auto"/>
              <w:ind w:firstLine="42" w:firstLineChars="21"/>
              <w:rPr>
                <w:rFonts w:ascii="仿宋" w:hAnsi="仿宋"/>
                <w:kern w:val="0"/>
                <w:sz w:val="20"/>
              </w:rPr>
            </w:pPr>
            <w:r>
              <w:rPr>
                <w:rFonts w:hint="eastAsia" w:ascii="仿宋" w:hAnsi="仿宋"/>
                <w:kern w:val="0"/>
                <w:sz w:val="20"/>
              </w:rPr>
              <w:t>①3月龄婴幼儿合理喂养图片：https：//XXXXXX；</w:t>
            </w:r>
          </w:p>
          <w:p w14:paraId="6C913915">
            <w:pPr>
              <w:snapToGrid w:val="0"/>
              <w:spacing w:line="360" w:lineRule="auto"/>
              <w:ind w:firstLine="42" w:firstLineChars="21"/>
              <w:rPr>
                <w:rFonts w:ascii="仿宋" w:hAnsi="仿宋"/>
                <w:kern w:val="0"/>
                <w:sz w:val="20"/>
              </w:rPr>
            </w:pPr>
            <w:r>
              <w:rPr>
                <w:rFonts w:hint="eastAsia" w:ascii="仿宋" w:hAnsi="仿宋"/>
                <w:kern w:val="0"/>
                <w:sz w:val="20"/>
              </w:rPr>
              <w:t>②3月龄婴幼儿合理喂视频：https：//XXXXXX</w:t>
            </w:r>
          </w:p>
        </w:tc>
      </w:tr>
    </w:tbl>
    <w:p w14:paraId="14722C8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食育知识库</w:t>
      </w:r>
    </w:p>
    <w:p w14:paraId="7AFD4967">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婴幼儿营养数据库</w:t>
      </w:r>
    </w:p>
    <w:p w14:paraId="07774D70">
      <w:pPr>
        <w:adjustRightInd/>
        <w:spacing w:line="360" w:lineRule="auto"/>
        <w:ind w:firstLine="480" w:firstLineChars="200"/>
        <w:jc w:val="left"/>
        <w:rPr>
          <w:rFonts w:ascii="宋体" w:hAnsi="宋体" w:cs="宋体"/>
          <w:sz w:val="24"/>
        </w:rPr>
      </w:pPr>
      <w:r>
        <w:rPr>
          <w:rFonts w:hint="eastAsia" w:ascii="宋体" w:hAnsi="宋体" w:cs="宋体"/>
          <w:sz w:val="24"/>
        </w:rPr>
        <w:t>通过国家卫健委发布的专业婴幼儿各月龄阶段的营养数据，建立婴幼儿营养数据库，建立食物的种类及营养成分结构化数据，并结合各类高危儿、体弱儿等特殊儿童的特殊需求进行完善，整合喂养指南，在确保数据可靠与精准的同时，定期更新最新的营养数据库，赋能食育知识库的前沿性应用。</w:t>
      </w:r>
    </w:p>
    <w:p w14:paraId="719CDE54">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婴幼儿食材信息库</w:t>
      </w:r>
    </w:p>
    <w:p w14:paraId="467D31E8">
      <w:pPr>
        <w:adjustRightInd/>
        <w:spacing w:line="360" w:lineRule="auto"/>
        <w:ind w:firstLine="480" w:firstLineChars="200"/>
        <w:jc w:val="left"/>
        <w:rPr>
          <w:rFonts w:ascii="宋体" w:hAnsi="宋体" w:cs="宋体"/>
          <w:sz w:val="24"/>
        </w:rPr>
      </w:pPr>
      <w:r>
        <w:rPr>
          <w:rFonts w:hint="eastAsia" w:ascii="宋体" w:hAnsi="宋体" w:cs="宋体"/>
          <w:sz w:val="24"/>
        </w:rPr>
        <w:t>建立婴幼儿食材信息库，包含各种食材的基本信息、营养成分表、可能的过敏原以及适宜的食用人群。食材信息库课根据婴幼儿的特定需求，筛选出合适的食材，避免食物过敏等问题，同时确保食谱的营养均衡。</w:t>
      </w:r>
    </w:p>
    <w:p w14:paraId="2CBC00BF">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婴幼儿食谱库</w:t>
      </w:r>
    </w:p>
    <w:p w14:paraId="21CB8869">
      <w:pPr>
        <w:adjustRightInd/>
        <w:spacing w:line="360" w:lineRule="auto"/>
        <w:ind w:firstLine="480" w:firstLineChars="200"/>
        <w:jc w:val="left"/>
        <w:rPr>
          <w:sz w:val="24"/>
        </w:rPr>
      </w:pPr>
      <w:r>
        <w:rPr>
          <w:rFonts w:hint="eastAsia" w:ascii="宋体" w:hAnsi="宋体" w:cs="宋体"/>
          <w:sz w:val="24"/>
        </w:rPr>
        <w:t>建立婴幼儿食谱库，包含为不同年龄段和营养需求的婴幼儿设计的食谱。每个食谱都配有详细的制作步骤、所需食材列表和营养分析，方便家长和护理人员根据婴幼儿的实际情况选择合适的食谱，实现个性化的营养供给。</w:t>
      </w:r>
    </w:p>
    <w:p w14:paraId="3AF90D74">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d）</w:t>
      </w:r>
      <w:r>
        <w:rPr>
          <w:rFonts w:hint="eastAsia" w:ascii="宋体" w:hAnsi="宋体" w:cs="宋体"/>
          <w:sz w:val="24"/>
        </w:rPr>
        <w:t>婴幼儿季节性食材库</w:t>
      </w:r>
    </w:p>
    <w:p w14:paraId="790F6D5C">
      <w:pPr>
        <w:adjustRightInd/>
        <w:spacing w:line="360" w:lineRule="auto"/>
        <w:ind w:firstLine="480" w:firstLineChars="200"/>
        <w:jc w:val="left"/>
        <w:rPr>
          <w:rFonts w:ascii="宋体" w:hAnsi="宋体" w:cs="宋体"/>
          <w:sz w:val="24"/>
        </w:rPr>
      </w:pPr>
      <w:r>
        <w:rPr>
          <w:rFonts w:hint="eastAsia" w:ascii="宋体" w:hAnsi="宋体" w:cs="宋体"/>
          <w:sz w:val="24"/>
        </w:rPr>
        <w:t>建立婴幼儿季节性食材库，根据24节气及时令食物，结合婴幼儿营养价值分析，推荐当季的新鲜食材，并提供相应的食谱。</w:t>
      </w:r>
    </w:p>
    <w:p w14:paraId="1C43358C">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e）</w:t>
      </w:r>
      <w:r>
        <w:rPr>
          <w:rFonts w:hint="eastAsia" w:ascii="宋体" w:hAnsi="宋体" w:cs="宋体"/>
          <w:sz w:val="24"/>
        </w:rPr>
        <w:t>婴幼儿多媒体素材库</w:t>
      </w:r>
    </w:p>
    <w:p w14:paraId="1A47EF3D">
      <w:pPr>
        <w:numPr>
          <w:ilvl w:val="0"/>
          <w:numId w:val="2"/>
        </w:numPr>
        <w:adjustRightInd/>
        <w:spacing w:line="360" w:lineRule="auto"/>
        <w:jc w:val="left"/>
        <w:rPr>
          <w:rFonts w:ascii="宋体" w:hAnsi="宋体" w:cs="宋体"/>
          <w:sz w:val="24"/>
        </w:rPr>
      </w:pPr>
      <w:r>
        <w:rPr>
          <w:rFonts w:hint="eastAsia" w:ascii="宋体" w:hAnsi="宋体" w:cs="宋体"/>
          <w:sz w:val="24"/>
        </w:rPr>
        <w:t>个性化营养食谱推送知识库</w:t>
      </w:r>
    </w:p>
    <w:p w14:paraId="38883EDA">
      <w:pPr>
        <w:adjustRightInd/>
        <w:spacing w:line="360" w:lineRule="auto"/>
        <w:ind w:firstLine="480" w:firstLineChars="200"/>
        <w:jc w:val="left"/>
        <w:rPr>
          <w:rFonts w:ascii="宋体" w:hAnsi="宋体" w:cs="宋体"/>
          <w:sz w:val="24"/>
        </w:rPr>
      </w:pPr>
      <w:r>
        <w:rPr>
          <w:rFonts w:hint="eastAsia" w:ascii="宋体" w:hAnsi="宋体" w:cs="宋体"/>
          <w:sz w:val="24"/>
        </w:rPr>
        <w:t>这一部分的素材库专注于根据婴幼儿的个体差异，如年龄、体重、健康状况和口味偏好，提供个性化的营养食谱。通过视频和图文的形式，展示食谱的制作过程、所需食材和营养价值，使家长能够轻松制作出既营养又符合孩子喜好的食物。</w:t>
      </w:r>
    </w:p>
    <w:p w14:paraId="5443BD9B">
      <w:pPr>
        <w:numPr>
          <w:ilvl w:val="0"/>
          <w:numId w:val="2"/>
        </w:numPr>
        <w:adjustRightInd/>
        <w:spacing w:line="360" w:lineRule="auto"/>
        <w:jc w:val="left"/>
        <w:rPr>
          <w:rFonts w:ascii="宋体" w:hAnsi="宋体" w:cs="宋体"/>
          <w:sz w:val="24"/>
        </w:rPr>
      </w:pPr>
      <w:r>
        <w:rPr>
          <w:rFonts w:hint="eastAsia" w:ascii="宋体" w:hAnsi="宋体" w:cs="宋体"/>
          <w:sz w:val="24"/>
        </w:rPr>
        <w:t>特殊儿童食谱推送知识库</w:t>
      </w:r>
    </w:p>
    <w:p w14:paraId="67580E33">
      <w:pPr>
        <w:adjustRightInd/>
        <w:spacing w:line="360" w:lineRule="auto"/>
        <w:ind w:firstLine="480" w:firstLineChars="200"/>
        <w:jc w:val="left"/>
        <w:rPr>
          <w:rFonts w:ascii="宋体" w:hAnsi="宋体" w:cs="宋体"/>
          <w:sz w:val="24"/>
        </w:rPr>
      </w:pPr>
      <w:r>
        <w:rPr>
          <w:rFonts w:hint="eastAsia" w:ascii="宋体" w:hAnsi="宋体" w:cs="宋体"/>
          <w:sz w:val="24"/>
        </w:rPr>
        <w:t>针对有特殊营养需求的儿童，如食物过敏、糖尿病或消化吸收障碍的儿童，这一部分的素材库提供了专门的食谱推荐和营养指导。视频和图文资料详细介绍了特殊儿童的饮食安排和营养调整，帮助家长更好地满足孩子的营养需求。</w:t>
      </w:r>
    </w:p>
    <w:p w14:paraId="7FD11C1E">
      <w:pPr>
        <w:numPr>
          <w:ilvl w:val="0"/>
          <w:numId w:val="2"/>
        </w:numPr>
        <w:adjustRightInd/>
        <w:spacing w:line="360" w:lineRule="auto"/>
        <w:jc w:val="left"/>
        <w:rPr>
          <w:rFonts w:ascii="宋体" w:hAnsi="宋体" w:cs="宋体"/>
          <w:sz w:val="24"/>
        </w:rPr>
      </w:pPr>
      <w:r>
        <w:rPr>
          <w:rFonts w:hint="eastAsia" w:ascii="宋体" w:hAnsi="宋体" w:cs="宋体"/>
          <w:sz w:val="24"/>
        </w:rPr>
        <w:t>婴幼儿阶段性食育知识库</w:t>
      </w:r>
    </w:p>
    <w:p w14:paraId="51E0E8F2">
      <w:pPr>
        <w:adjustRightInd/>
        <w:spacing w:line="360" w:lineRule="auto"/>
        <w:ind w:firstLine="480" w:firstLineChars="200"/>
        <w:jc w:val="left"/>
        <w:rPr>
          <w:rFonts w:ascii="宋体" w:hAnsi="宋体" w:cs="宋体"/>
          <w:sz w:val="24"/>
        </w:rPr>
      </w:pPr>
      <w:r>
        <w:rPr>
          <w:rFonts w:hint="eastAsia" w:ascii="宋体" w:hAnsi="宋体" w:cs="宋体"/>
          <w:sz w:val="24"/>
        </w:rPr>
        <w:t>婴幼儿在不同的成长阶段有不同的营养需求。这一部分的素材库提供了阶段性的营养知识，包括新生儿期、婴儿期和幼儿期的营养指导。通过多媒体内容，家长可以了解到每个阶段的关键营养素和喂养建议。</w:t>
      </w:r>
    </w:p>
    <w:p w14:paraId="136523D3">
      <w:pPr>
        <w:numPr>
          <w:ilvl w:val="0"/>
          <w:numId w:val="2"/>
        </w:numPr>
        <w:adjustRightInd/>
        <w:spacing w:line="360" w:lineRule="auto"/>
        <w:jc w:val="left"/>
        <w:rPr>
          <w:rFonts w:ascii="宋体" w:hAnsi="宋体" w:cs="宋体"/>
          <w:sz w:val="24"/>
        </w:rPr>
      </w:pPr>
      <w:r>
        <w:rPr>
          <w:rFonts w:hint="eastAsia" w:ascii="宋体" w:hAnsi="宋体" w:cs="宋体"/>
          <w:sz w:val="24"/>
        </w:rPr>
        <w:t>婴幼儿常见疾病食疗建议知识库</w:t>
      </w:r>
    </w:p>
    <w:p w14:paraId="38F7D6C4">
      <w:pPr>
        <w:adjustRightInd/>
        <w:spacing w:line="360" w:lineRule="auto"/>
        <w:ind w:firstLine="480" w:firstLineChars="200"/>
        <w:jc w:val="left"/>
        <w:rPr>
          <w:rFonts w:ascii="宋体" w:hAnsi="宋体" w:cs="宋体"/>
          <w:sz w:val="24"/>
        </w:rPr>
      </w:pPr>
      <w:r>
        <w:rPr>
          <w:rFonts w:hint="eastAsia" w:ascii="宋体" w:hAnsi="宋体" w:cs="宋体"/>
          <w:sz w:val="24"/>
        </w:rPr>
        <w:t>针对婴幼儿常见的疾病，如感冒、腹泻、便秘等，这一部分的素材库提供了食疗建议和营养调理方案。通过视频和图文的形式，教授家长如何通过合理的饮食来缓解孩子的病情，促进身体健康。</w:t>
      </w:r>
    </w:p>
    <w:p w14:paraId="3DF19825">
      <w:pPr>
        <w:numPr>
          <w:ilvl w:val="0"/>
          <w:numId w:val="2"/>
        </w:numPr>
        <w:adjustRightInd/>
        <w:spacing w:line="360" w:lineRule="auto"/>
        <w:jc w:val="left"/>
        <w:rPr>
          <w:rFonts w:ascii="宋体" w:hAnsi="宋体" w:cs="宋体"/>
          <w:sz w:val="24"/>
        </w:rPr>
      </w:pPr>
      <w:r>
        <w:rPr>
          <w:rFonts w:hint="eastAsia" w:ascii="宋体" w:hAnsi="宋体" w:cs="宋体"/>
          <w:sz w:val="24"/>
        </w:rPr>
        <w:t>二十四节气顺时养育食育知识库</w:t>
      </w:r>
    </w:p>
    <w:p w14:paraId="7976F6EC">
      <w:pPr>
        <w:adjustRightInd/>
        <w:spacing w:line="360" w:lineRule="auto"/>
        <w:ind w:firstLine="480" w:firstLineChars="200"/>
        <w:jc w:val="left"/>
        <w:rPr>
          <w:rFonts w:ascii="宋体" w:hAnsi="宋体" w:cs="宋体"/>
          <w:sz w:val="24"/>
        </w:rPr>
      </w:pPr>
      <w:r>
        <w:rPr>
          <w:rFonts w:hint="eastAsia" w:ascii="宋体" w:hAnsi="宋体" w:cs="宋体"/>
          <w:sz w:val="24"/>
        </w:rPr>
        <w:t>结合中国传统的二十四节气，这一部分的素材库提供了顺时养育的营养知识。通过多媒体内容，家长可以了解到在不同节气中，如何调整孩子的饮食结构，以适应季节变化，促进健康成长。</w:t>
      </w:r>
    </w:p>
    <w:p w14:paraId="5D7613CA">
      <w:pPr>
        <w:numPr>
          <w:ilvl w:val="0"/>
          <w:numId w:val="2"/>
        </w:numPr>
        <w:adjustRightInd/>
        <w:spacing w:line="360" w:lineRule="auto"/>
        <w:jc w:val="left"/>
        <w:rPr>
          <w:rFonts w:ascii="宋体" w:hAnsi="宋体" w:cs="宋体"/>
          <w:sz w:val="24"/>
        </w:rPr>
      </w:pPr>
      <w:r>
        <w:rPr>
          <w:rFonts w:hint="eastAsia" w:ascii="宋体" w:hAnsi="宋体" w:cs="宋体"/>
          <w:sz w:val="24"/>
        </w:rPr>
        <w:t>特殊儿童营养摄入知识库</w:t>
      </w:r>
    </w:p>
    <w:p w14:paraId="016FAB94">
      <w:pPr>
        <w:adjustRightInd/>
        <w:spacing w:line="360" w:lineRule="auto"/>
        <w:ind w:firstLine="480" w:firstLineChars="200"/>
        <w:jc w:val="left"/>
        <w:rPr>
          <w:rFonts w:ascii="宋体" w:hAnsi="宋体" w:cs="宋体"/>
          <w:sz w:val="24"/>
        </w:rPr>
      </w:pPr>
      <w:r>
        <w:rPr>
          <w:rFonts w:hint="eastAsia" w:ascii="宋体" w:hAnsi="宋体" w:cs="宋体"/>
          <w:sz w:val="24"/>
        </w:rPr>
        <w:t>针对有特殊营养需求的儿童，如早产儿、低体重儿等，这一部分的素材库提供了专门的营养摄入建议。视频和图文资料详细介绍了特殊儿童的营养需求和喂养技巧，帮助家长为孩子提供科学的营养支持。</w:t>
      </w:r>
    </w:p>
    <w:p w14:paraId="5F93BC6D">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发育知识库</w:t>
      </w:r>
    </w:p>
    <w:p w14:paraId="727956D3">
      <w:pPr>
        <w:adjustRightInd/>
        <w:spacing w:line="360" w:lineRule="auto"/>
        <w:ind w:firstLine="480" w:firstLineChars="200"/>
        <w:jc w:val="left"/>
        <w:rPr>
          <w:rFonts w:ascii="宋体" w:hAnsi="宋体" w:cs="宋体"/>
          <w:sz w:val="24"/>
        </w:rPr>
      </w:pPr>
      <w:r>
        <w:rPr>
          <w:rFonts w:hint="eastAsia" w:ascii="宋体" w:hAnsi="宋体" w:cs="宋体"/>
          <w:sz w:val="24"/>
        </w:rPr>
        <w:t>建设各月龄阶段的婴幼儿发育知识库，包含主题、子主题（多级主题）、详细知识内容、对象标签、多模态知识路径等信息，举例如下（具体为QA问答形式）：</w:t>
      </w:r>
    </w:p>
    <w:p w14:paraId="2B55F426">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动作发育</w:t>
      </w:r>
    </w:p>
    <w:tbl>
      <w:tblPr>
        <w:tblStyle w:val="12"/>
        <w:tblW w:w="7983" w:type="dxa"/>
        <w:tblInd w:w="88" w:type="dxa"/>
        <w:tblLayout w:type="fixed"/>
        <w:tblCellMar>
          <w:top w:w="0" w:type="dxa"/>
          <w:left w:w="108" w:type="dxa"/>
          <w:bottom w:w="0" w:type="dxa"/>
          <w:right w:w="108" w:type="dxa"/>
        </w:tblCellMar>
      </w:tblPr>
      <w:tblGrid>
        <w:gridCol w:w="2516"/>
        <w:gridCol w:w="5467"/>
      </w:tblGrid>
      <w:tr w14:paraId="4076306C">
        <w:tblPrEx>
          <w:tblCellMar>
            <w:top w:w="0" w:type="dxa"/>
            <w:left w:w="108" w:type="dxa"/>
            <w:bottom w:w="0" w:type="dxa"/>
            <w:right w:w="108" w:type="dxa"/>
          </w:tblCellMar>
        </w:tblPrEx>
        <w:trPr>
          <w:trHeight w:val="336" w:hRule="atLeast"/>
        </w:trPr>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CF68">
            <w:pPr>
              <w:adjustRightInd/>
              <w:spacing w:line="360" w:lineRule="auto"/>
              <w:ind w:firstLine="480" w:firstLineChars="200"/>
              <w:jc w:val="left"/>
              <w:rPr>
                <w:rFonts w:ascii="宋体" w:hAnsi="宋体" w:cs="宋体"/>
                <w:sz w:val="24"/>
              </w:rPr>
            </w:pPr>
            <w:r>
              <w:rPr>
                <w:rFonts w:hint="eastAsia" w:ascii="宋体" w:hAnsi="宋体" w:cs="宋体"/>
                <w:sz w:val="24"/>
              </w:rPr>
              <w:t>婴幼儿月龄</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813C">
            <w:pPr>
              <w:adjustRightInd/>
              <w:spacing w:line="360" w:lineRule="auto"/>
              <w:ind w:firstLine="480" w:firstLineChars="200"/>
              <w:jc w:val="left"/>
              <w:rPr>
                <w:rFonts w:ascii="宋体" w:hAnsi="宋体" w:cs="宋体"/>
                <w:sz w:val="24"/>
              </w:rPr>
            </w:pPr>
            <w:r>
              <w:rPr>
                <w:rFonts w:hint="eastAsia" w:ascii="宋体" w:hAnsi="宋体" w:cs="宋体"/>
                <w:sz w:val="24"/>
              </w:rPr>
              <w:t>动作发育</w:t>
            </w:r>
          </w:p>
        </w:tc>
      </w:tr>
      <w:tr w14:paraId="06E86454">
        <w:tblPrEx>
          <w:tblCellMar>
            <w:top w:w="0" w:type="dxa"/>
            <w:left w:w="108" w:type="dxa"/>
            <w:bottom w:w="0" w:type="dxa"/>
            <w:right w:w="108" w:type="dxa"/>
          </w:tblCellMar>
        </w:tblPrEx>
        <w:trPr>
          <w:trHeight w:val="3040" w:hRule="atLeast"/>
        </w:trPr>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9C8D">
            <w:pPr>
              <w:adjustRightInd/>
              <w:spacing w:line="360" w:lineRule="auto"/>
              <w:ind w:firstLine="480" w:firstLineChars="200"/>
              <w:jc w:val="left"/>
              <w:rPr>
                <w:rFonts w:ascii="宋体" w:hAnsi="宋体" w:cs="宋体"/>
                <w:sz w:val="24"/>
              </w:rPr>
            </w:pPr>
            <w:r>
              <w:rPr>
                <w:rFonts w:hint="eastAsia" w:ascii="宋体" w:hAnsi="宋体" w:cs="宋体"/>
                <w:sz w:val="24"/>
              </w:rPr>
              <w:t>0-3月龄</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B02A">
            <w:pPr>
              <w:adjustRightInd/>
              <w:spacing w:line="360" w:lineRule="auto"/>
              <w:ind w:firstLine="480" w:firstLineChars="200"/>
              <w:jc w:val="left"/>
              <w:rPr>
                <w:rFonts w:ascii="宋体" w:hAnsi="宋体" w:cs="宋体"/>
                <w:sz w:val="24"/>
              </w:rPr>
            </w:pPr>
            <w:r>
              <w:rPr>
                <w:rFonts w:hint="eastAsia" w:ascii="宋体" w:hAnsi="宋体" w:cs="宋体"/>
                <w:sz w:val="24"/>
              </w:rPr>
              <w:t>1. 能自由地转动颈部</w:t>
            </w:r>
          </w:p>
          <w:p w14:paraId="0FCB951B">
            <w:pPr>
              <w:adjustRightInd/>
              <w:spacing w:line="360" w:lineRule="auto"/>
              <w:ind w:firstLine="480" w:firstLineChars="200"/>
              <w:jc w:val="left"/>
              <w:rPr>
                <w:rFonts w:ascii="宋体" w:hAnsi="宋体" w:cs="宋体"/>
                <w:sz w:val="24"/>
              </w:rPr>
            </w:pPr>
            <w:r>
              <w:rPr>
                <w:rFonts w:hint="eastAsia" w:ascii="宋体" w:hAnsi="宋体" w:cs="宋体"/>
                <w:sz w:val="24"/>
              </w:rPr>
              <w:t>2. 蹬腿和踢掉身上东西</w:t>
            </w:r>
          </w:p>
          <w:p w14:paraId="5590DFE4">
            <w:pPr>
              <w:adjustRightInd/>
              <w:spacing w:line="360" w:lineRule="auto"/>
              <w:ind w:firstLine="480" w:firstLineChars="200"/>
              <w:jc w:val="left"/>
              <w:rPr>
                <w:rFonts w:ascii="宋体" w:hAnsi="宋体" w:cs="宋体"/>
                <w:sz w:val="24"/>
              </w:rPr>
            </w:pPr>
            <w:r>
              <w:rPr>
                <w:rFonts w:hint="eastAsia" w:ascii="宋体" w:hAnsi="宋体" w:cs="宋体"/>
                <w:sz w:val="24"/>
              </w:rPr>
              <w:t>3. 触碰婴儿手掌，会紧握拳头，清醒时两手握拳为主</w:t>
            </w:r>
          </w:p>
          <w:p w14:paraId="0FA4FFEA">
            <w:pPr>
              <w:adjustRightInd/>
              <w:spacing w:line="360" w:lineRule="auto"/>
              <w:ind w:firstLine="480" w:firstLineChars="200"/>
              <w:jc w:val="left"/>
              <w:rPr>
                <w:rFonts w:ascii="宋体" w:hAnsi="宋体" w:cs="宋体"/>
                <w:sz w:val="24"/>
              </w:rPr>
            </w:pPr>
            <w:r>
              <w:rPr>
                <w:rFonts w:hint="eastAsia" w:ascii="宋体" w:hAnsi="宋体" w:cs="宋体"/>
                <w:sz w:val="24"/>
              </w:rPr>
              <w:t>4. 二月龄时俯卧位抬头可离开床面甚至呈30度，扶宝宝坐位时头能竖立数秒至一分钟</w:t>
            </w:r>
          </w:p>
          <w:p w14:paraId="5273EFA8">
            <w:pPr>
              <w:adjustRightInd/>
              <w:spacing w:line="360" w:lineRule="auto"/>
              <w:ind w:firstLine="480" w:firstLineChars="200"/>
              <w:jc w:val="left"/>
              <w:rPr>
                <w:rFonts w:ascii="宋体" w:hAnsi="宋体" w:cs="宋体"/>
                <w:sz w:val="24"/>
              </w:rPr>
            </w:pPr>
            <w:r>
              <w:rPr>
                <w:rFonts w:hint="eastAsia" w:ascii="宋体" w:hAnsi="宋体" w:cs="宋体"/>
                <w:sz w:val="24"/>
              </w:rPr>
              <w:t>5. 二月龄时拨浪鼓在手中可留握片刻</w:t>
            </w:r>
          </w:p>
          <w:p w14:paraId="51A2D7E8">
            <w:pPr>
              <w:adjustRightInd/>
              <w:spacing w:line="360" w:lineRule="auto"/>
              <w:ind w:firstLine="480" w:firstLineChars="200"/>
              <w:jc w:val="left"/>
              <w:rPr>
                <w:rFonts w:ascii="宋体" w:hAnsi="宋体" w:cs="宋体"/>
                <w:sz w:val="24"/>
              </w:rPr>
            </w:pPr>
            <w:r>
              <w:rPr>
                <w:rFonts w:hint="eastAsia" w:ascii="宋体" w:hAnsi="宋体" w:cs="宋体"/>
                <w:sz w:val="24"/>
              </w:rPr>
              <w:t>6. 三月龄时俯卧抬头45° -90°及撑卧抬胸</w:t>
            </w:r>
          </w:p>
          <w:p w14:paraId="0B2A3392">
            <w:pPr>
              <w:adjustRightInd/>
              <w:spacing w:line="360" w:lineRule="auto"/>
              <w:ind w:firstLine="480" w:firstLineChars="200"/>
              <w:jc w:val="left"/>
              <w:rPr>
                <w:rFonts w:ascii="宋体" w:hAnsi="宋体" w:cs="宋体"/>
                <w:sz w:val="24"/>
              </w:rPr>
            </w:pPr>
            <w:r>
              <w:rPr>
                <w:rFonts w:hint="eastAsia" w:ascii="宋体" w:hAnsi="宋体" w:cs="宋体"/>
                <w:sz w:val="24"/>
              </w:rPr>
              <w:t>7. 三月龄时能手握玩具并放入口中，能主动抓握、触摸玩具，拨浪鼓留握30秒以上</w:t>
            </w:r>
          </w:p>
        </w:tc>
      </w:tr>
    </w:tbl>
    <w:p w14:paraId="79C37E2C">
      <w:pPr>
        <w:keepNext/>
        <w:keepLines/>
        <w:tabs>
          <w:tab w:val="left" w:pos="1440"/>
        </w:tabs>
        <w:spacing w:before="240" w:after="64" w:line="320" w:lineRule="auto"/>
        <w:outlineLvl w:val="7"/>
        <w:rPr>
          <w:rFonts w:ascii="宋体" w:hAnsi="宋体" w:cs="宋体"/>
          <w:sz w:val="24"/>
        </w:rPr>
      </w:pPr>
      <w:r>
        <w:rPr>
          <w:rFonts w:hint="eastAsia" w:ascii="宋体" w:hAnsi="宋体" w:cs="宋体"/>
          <w:sz w:val="24"/>
          <w:szCs w:val="28"/>
        </w:rPr>
        <w:t>b）</w:t>
      </w:r>
      <w:r>
        <w:rPr>
          <w:rFonts w:hint="eastAsia" w:ascii="宋体" w:hAnsi="宋体" w:cs="宋体"/>
          <w:sz w:val="24"/>
        </w:rPr>
        <w:t>情感与社会性发育</w:t>
      </w:r>
    </w:p>
    <w:tbl>
      <w:tblPr>
        <w:tblStyle w:val="12"/>
        <w:tblW w:w="7983" w:type="dxa"/>
        <w:tblInd w:w="88" w:type="dxa"/>
        <w:tblLayout w:type="fixed"/>
        <w:tblCellMar>
          <w:top w:w="0" w:type="dxa"/>
          <w:left w:w="108" w:type="dxa"/>
          <w:bottom w:w="0" w:type="dxa"/>
          <w:right w:w="108" w:type="dxa"/>
        </w:tblCellMar>
      </w:tblPr>
      <w:tblGrid>
        <w:gridCol w:w="2516"/>
        <w:gridCol w:w="5467"/>
      </w:tblGrid>
      <w:tr w14:paraId="71C5DB3D">
        <w:tblPrEx>
          <w:tblCellMar>
            <w:top w:w="0" w:type="dxa"/>
            <w:left w:w="108" w:type="dxa"/>
            <w:bottom w:w="0" w:type="dxa"/>
            <w:right w:w="108" w:type="dxa"/>
          </w:tblCellMar>
        </w:tblPrEx>
        <w:trPr>
          <w:trHeight w:val="336" w:hRule="atLeast"/>
        </w:trPr>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FF0E">
            <w:pPr>
              <w:adjustRightInd/>
              <w:spacing w:line="360" w:lineRule="auto"/>
              <w:ind w:firstLine="480" w:firstLineChars="200"/>
              <w:jc w:val="left"/>
              <w:rPr>
                <w:rFonts w:ascii="宋体" w:hAnsi="宋体" w:cs="宋体"/>
                <w:sz w:val="24"/>
              </w:rPr>
            </w:pPr>
            <w:r>
              <w:rPr>
                <w:rFonts w:hint="eastAsia" w:ascii="宋体" w:hAnsi="宋体" w:cs="宋体"/>
                <w:sz w:val="24"/>
              </w:rPr>
              <w:t>婴幼儿月龄</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2BCA">
            <w:pPr>
              <w:adjustRightInd/>
              <w:spacing w:line="360" w:lineRule="auto"/>
              <w:ind w:firstLine="480" w:firstLineChars="200"/>
              <w:jc w:val="left"/>
              <w:rPr>
                <w:rFonts w:ascii="宋体" w:hAnsi="宋体" w:cs="宋体"/>
                <w:sz w:val="24"/>
              </w:rPr>
            </w:pPr>
            <w:r>
              <w:rPr>
                <w:rFonts w:hint="eastAsia" w:ascii="宋体" w:hAnsi="宋体" w:cs="宋体"/>
                <w:sz w:val="24"/>
              </w:rPr>
              <w:t>情感与社会性发育</w:t>
            </w:r>
          </w:p>
        </w:tc>
      </w:tr>
      <w:tr w14:paraId="6DD91854">
        <w:tblPrEx>
          <w:tblCellMar>
            <w:top w:w="0" w:type="dxa"/>
            <w:left w:w="108" w:type="dxa"/>
            <w:bottom w:w="0" w:type="dxa"/>
            <w:right w:w="108" w:type="dxa"/>
          </w:tblCellMar>
        </w:tblPrEx>
        <w:trPr>
          <w:trHeight w:val="3360" w:hRule="atLeast"/>
        </w:trPr>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2233">
            <w:pPr>
              <w:adjustRightInd/>
              <w:spacing w:line="360" w:lineRule="auto"/>
              <w:ind w:firstLine="480" w:firstLineChars="200"/>
              <w:jc w:val="left"/>
              <w:rPr>
                <w:rFonts w:ascii="宋体" w:hAnsi="宋体" w:cs="宋体"/>
                <w:sz w:val="24"/>
              </w:rPr>
            </w:pPr>
            <w:r>
              <w:rPr>
                <w:rFonts w:hint="eastAsia" w:ascii="宋体" w:hAnsi="宋体" w:cs="宋体"/>
                <w:sz w:val="24"/>
              </w:rPr>
              <w:t>0-3月龄</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BFDB">
            <w:pPr>
              <w:adjustRightInd/>
              <w:spacing w:line="360" w:lineRule="auto"/>
              <w:ind w:firstLine="480" w:firstLineChars="200"/>
              <w:jc w:val="left"/>
              <w:rPr>
                <w:rFonts w:ascii="宋体" w:hAnsi="宋体" w:cs="宋体"/>
                <w:sz w:val="24"/>
              </w:rPr>
            </w:pPr>
            <w:r>
              <w:rPr>
                <w:rFonts w:hint="eastAsia" w:ascii="宋体" w:hAnsi="宋体" w:cs="宋体"/>
                <w:sz w:val="24"/>
              </w:rPr>
              <w:t>1. 眼睛会跟踪走动的人，会跟至红球过中线，听懂声音有反应</w:t>
            </w:r>
          </w:p>
          <w:p w14:paraId="7C61F027">
            <w:pPr>
              <w:adjustRightInd/>
              <w:spacing w:line="360" w:lineRule="auto"/>
              <w:ind w:firstLine="480" w:firstLineChars="200"/>
              <w:jc w:val="left"/>
              <w:rPr>
                <w:rFonts w:ascii="宋体" w:hAnsi="宋体" w:cs="宋体"/>
                <w:sz w:val="24"/>
              </w:rPr>
            </w:pPr>
            <w:r>
              <w:rPr>
                <w:rFonts w:hint="eastAsia" w:ascii="宋体" w:hAnsi="宋体" w:cs="宋体"/>
                <w:sz w:val="24"/>
              </w:rPr>
              <w:t>2. 对孩子讲话或抱着时表现安静，当抱着时，孩子表现独特的有特征性的姿势（如紧紧地蜷曲像一个小猫）</w:t>
            </w:r>
          </w:p>
          <w:p w14:paraId="07487D32">
            <w:pPr>
              <w:adjustRightInd/>
              <w:spacing w:line="360" w:lineRule="auto"/>
              <w:ind w:firstLine="480" w:firstLineChars="200"/>
              <w:jc w:val="left"/>
              <w:rPr>
                <w:rFonts w:ascii="宋体" w:hAnsi="宋体" w:cs="宋体"/>
                <w:sz w:val="24"/>
              </w:rPr>
            </w:pPr>
            <w:r>
              <w:rPr>
                <w:rFonts w:hint="eastAsia" w:ascii="宋体" w:hAnsi="宋体" w:cs="宋体"/>
                <w:sz w:val="24"/>
              </w:rPr>
              <w:t>3. 能忍受喂奶的短时间停顿</w:t>
            </w:r>
          </w:p>
          <w:p w14:paraId="5E5A1B84">
            <w:pPr>
              <w:adjustRightInd/>
              <w:spacing w:line="360" w:lineRule="auto"/>
              <w:ind w:firstLine="480" w:firstLineChars="200"/>
              <w:jc w:val="left"/>
              <w:rPr>
                <w:rFonts w:ascii="宋体" w:hAnsi="宋体" w:cs="宋体"/>
                <w:sz w:val="24"/>
              </w:rPr>
            </w:pPr>
            <w:r>
              <w:rPr>
                <w:rFonts w:hint="eastAsia" w:ascii="宋体" w:hAnsi="宋体" w:cs="宋体"/>
                <w:sz w:val="24"/>
              </w:rPr>
              <w:t>4. 能立刻注意到大玩具，逗引时有反应，会微笑，妈妈哄抱时哭闹少</w:t>
            </w:r>
          </w:p>
          <w:p w14:paraId="03F0E5F3">
            <w:pPr>
              <w:adjustRightInd/>
              <w:spacing w:line="360" w:lineRule="auto"/>
              <w:ind w:firstLine="480" w:firstLineChars="200"/>
              <w:jc w:val="left"/>
              <w:rPr>
                <w:rFonts w:ascii="宋体" w:hAnsi="宋体" w:cs="宋体"/>
                <w:sz w:val="24"/>
              </w:rPr>
            </w:pPr>
            <w:r>
              <w:rPr>
                <w:rFonts w:hint="eastAsia" w:ascii="宋体" w:hAnsi="宋体" w:cs="宋体"/>
                <w:sz w:val="24"/>
              </w:rPr>
              <w:t>5. 眼睛会跟着物体一直看，且见人会笑，兴奋时有表情</w:t>
            </w:r>
          </w:p>
          <w:p w14:paraId="5E2842C5">
            <w:pPr>
              <w:adjustRightInd/>
              <w:spacing w:line="360" w:lineRule="auto"/>
              <w:ind w:firstLine="480" w:firstLineChars="200"/>
              <w:jc w:val="left"/>
              <w:rPr>
                <w:rFonts w:ascii="宋体" w:hAnsi="宋体" w:cs="宋体"/>
                <w:sz w:val="24"/>
              </w:rPr>
            </w:pPr>
            <w:r>
              <w:rPr>
                <w:rFonts w:hint="eastAsia" w:ascii="宋体" w:hAnsi="宋体" w:cs="宋体"/>
                <w:sz w:val="24"/>
              </w:rPr>
              <w:t>6. 会注视人脸，注视移动的人或物品</w:t>
            </w:r>
          </w:p>
        </w:tc>
      </w:tr>
    </w:tbl>
    <w:p w14:paraId="23D7523B">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认知发育</w:t>
      </w:r>
    </w:p>
    <w:tbl>
      <w:tblPr>
        <w:tblStyle w:val="12"/>
        <w:tblW w:w="8153" w:type="dxa"/>
        <w:jc w:val="center"/>
        <w:tblLayout w:type="fixed"/>
        <w:tblCellMar>
          <w:top w:w="0" w:type="dxa"/>
          <w:left w:w="108" w:type="dxa"/>
          <w:bottom w:w="0" w:type="dxa"/>
          <w:right w:w="108" w:type="dxa"/>
        </w:tblCellMar>
      </w:tblPr>
      <w:tblGrid>
        <w:gridCol w:w="2686"/>
        <w:gridCol w:w="5467"/>
      </w:tblGrid>
      <w:tr w14:paraId="1025B327">
        <w:tblPrEx>
          <w:tblCellMar>
            <w:top w:w="0" w:type="dxa"/>
            <w:left w:w="108" w:type="dxa"/>
            <w:bottom w:w="0" w:type="dxa"/>
            <w:right w:w="108" w:type="dxa"/>
          </w:tblCellMar>
        </w:tblPrEx>
        <w:trPr>
          <w:trHeight w:val="336" w:hRule="atLeast"/>
          <w:jc w:val="center"/>
        </w:trPr>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6EDD">
            <w:pPr>
              <w:adjustRightInd/>
              <w:spacing w:line="360" w:lineRule="auto"/>
              <w:ind w:firstLine="480" w:firstLineChars="200"/>
              <w:jc w:val="left"/>
              <w:rPr>
                <w:rFonts w:ascii="宋体" w:hAnsi="宋体" w:cs="宋体"/>
                <w:sz w:val="24"/>
              </w:rPr>
            </w:pPr>
            <w:r>
              <w:rPr>
                <w:rFonts w:hint="eastAsia" w:ascii="宋体" w:hAnsi="宋体" w:cs="宋体"/>
                <w:sz w:val="24"/>
              </w:rPr>
              <w:t>婴幼儿月龄</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0718">
            <w:pPr>
              <w:adjustRightInd/>
              <w:spacing w:line="360" w:lineRule="auto"/>
              <w:ind w:firstLine="480" w:firstLineChars="200"/>
              <w:jc w:val="left"/>
              <w:rPr>
                <w:rFonts w:ascii="宋体" w:hAnsi="宋体" w:cs="宋体"/>
                <w:sz w:val="24"/>
              </w:rPr>
            </w:pPr>
            <w:r>
              <w:rPr>
                <w:rFonts w:hint="eastAsia" w:ascii="宋体" w:hAnsi="宋体" w:cs="宋体"/>
                <w:sz w:val="24"/>
              </w:rPr>
              <w:t>认知发育</w:t>
            </w:r>
          </w:p>
        </w:tc>
      </w:tr>
      <w:tr w14:paraId="7AD47BDC">
        <w:tblPrEx>
          <w:tblCellMar>
            <w:top w:w="0" w:type="dxa"/>
            <w:left w:w="108" w:type="dxa"/>
            <w:bottom w:w="0" w:type="dxa"/>
            <w:right w:w="108" w:type="dxa"/>
          </w:tblCellMar>
        </w:tblPrEx>
        <w:trPr>
          <w:trHeight w:val="2360" w:hRule="atLeast"/>
          <w:jc w:val="center"/>
        </w:trPr>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26D1">
            <w:pPr>
              <w:adjustRightInd/>
              <w:spacing w:line="360" w:lineRule="auto"/>
              <w:ind w:firstLine="480" w:firstLineChars="200"/>
              <w:jc w:val="left"/>
              <w:rPr>
                <w:rFonts w:ascii="宋体" w:hAnsi="宋体" w:cs="宋体"/>
                <w:sz w:val="24"/>
              </w:rPr>
            </w:pPr>
            <w:r>
              <w:rPr>
                <w:rFonts w:hint="eastAsia" w:ascii="宋体" w:hAnsi="宋体" w:cs="宋体"/>
                <w:sz w:val="24"/>
              </w:rPr>
              <w:t>0-3月龄</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C89E">
            <w:pPr>
              <w:adjustRightInd/>
              <w:spacing w:line="360" w:lineRule="auto"/>
              <w:ind w:firstLine="480" w:firstLineChars="200"/>
              <w:jc w:val="left"/>
              <w:rPr>
                <w:rFonts w:ascii="宋体" w:hAnsi="宋体" w:cs="宋体"/>
                <w:sz w:val="24"/>
              </w:rPr>
            </w:pPr>
            <w:r>
              <w:rPr>
                <w:rFonts w:hint="eastAsia" w:ascii="宋体" w:hAnsi="宋体" w:cs="宋体"/>
                <w:sz w:val="24"/>
              </w:rPr>
              <w:t>1. 仰卧位时会注意到视线内物体</w:t>
            </w:r>
          </w:p>
          <w:p w14:paraId="1445AE79">
            <w:pPr>
              <w:adjustRightInd/>
              <w:spacing w:line="360" w:lineRule="auto"/>
              <w:ind w:firstLine="480" w:firstLineChars="200"/>
              <w:jc w:val="left"/>
              <w:rPr>
                <w:rFonts w:ascii="宋体" w:hAnsi="宋体" w:cs="宋体"/>
                <w:sz w:val="24"/>
              </w:rPr>
            </w:pPr>
            <w:r>
              <w:rPr>
                <w:rFonts w:hint="eastAsia" w:ascii="宋体" w:hAnsi="宋体" w:cs="宋体"/>
                <w:sz w:val="24"/>
              </w:rPr>
              <w:t>2. 追视红球或听到声音会皱眉、 微笑、眼睛睁大</w:t>
            </w:r>
          </w:p>
          <w:p w14:paraId="4C3E56BA">
            <w:pPr>
              <w:adjustRightInd/>
              <w:spacing w:line="360" w:lineRule="auto"/>
              <w:ind w:firstLine="480" w:firstLineChars="200"/>
              <w:jc w:val="left"/>
              <w:rPr>
                <w:rFonts w:ascii="宋体" w:hAnsi="宋体" w:cs="宋体"/>
                <w:sz w:val="24"/>
              </w:rPr>
            </w:pPr>
            <w:r>
              <w:rPr>
                <w:rFonts w:hint="eastAsia" w:ascii="宋体" w:hAnsi="宋体" w:cs="宋体"/>
                <w:sz w:val="24"/>
              </w:rPr>
              <w:t>3. 眼睛追视黑白图片、红球或人脸90-180度</w:t>
            </w:r>
          </w:p>
          <w:p w14:paraId="30F404E7">
            <w:pPr>
              <w:adjustRightInd/>
              <w:spacing w:line="360" w:lineRule="auto"/>
              <w:ind w:firstLine="480" w:firstLineChars="200"/>
              <w:jc w:val="left"/>
              <w:rPr>
                <w:rFonts w:ascii="宋体" w:hAnsi="宋体" w:cs="宋体"/>
                <w:sz w:val="24"/>
              </w:rPr>
            </w:pPr>
            <w:r>
              <w:rPr>
                <w:rFonts w:hint="eastAsia" w:ascii="宋体" w:hAnsi="宋体" w:cs="宋体"/>
                <w:sz w:val="24"/>
              </w:rPr>
              <w:t>4. 两手会互握</w:t>
            </w:r>
          </w:p>
          <w:p w14:paraId="366904B9">
            <w:pPr>
              <w:adjustRightInd/>
              <w:spacing w:line="360" w:lineRule="auto"/>
              <w:ind w:firstLine="480" w:firstLineChars="200"/>
              <w:jc w:val="left"/>
              <w:rPr>
                <w:rFonts w:ascii="宋体" w:hAnsi="宋体" w:cs="宋体"/>
                <w:sz w:val="24"/>
              </w:rPr>
            </w:pPr>
            <w:r>
              <w:rPr>
                <w:rFonts w:hint="eastAsia" w:ascii="宋体" w:hAnsi="宋体" w:cs="宋体"/>
                <w:sz w:val="24"/>
              </w:rPr>
              <w:t>5.  眼睛会看自己的手</w:t>
            </w:r>
          </w:p>
          <w:p w14:paraId="36448E64">
            <w:pPr>
              <w:adjustRightInd/>
              <w:spacing w:line="360" w:lineRule="auto"/>
              <w:ind w:firstLine="480" w:firstLineChars="200"/>
              <w:jc w:val="left"/>
              <w:rPr>
                <w:rFonts w:ascii="宋体" w:hAnsi="宋体" w:cs="宋体"/>
                <w:sz w:val="24"/>
              </w:rPr>
            </w:pPr>
            <w:r>
              <w:rPr>
                <w:rFonts w:hint="eastAsia" w:ascii="宋体" w:hAnsi="宋体" w:cs="宋体"/>
                <w:sz w:val="24"/>
              </w:rPr>
              <w:t>6. 宝宝能将玩具握在手中，会举着看</w:t>
            </w:r>
          </w:p>
          <w:p w14:paraId="42C02248">
            <w:pPr>
              <w:adjustRightInd/>
              <w:spacing w:line="360" w:lineRule="auto"/>
              <w:ind w:firstLine="480" w:firstLineChars="200"/>
              <w:jc w:val="left"/>
              <w:rPr>
                <w:rFonts w:ascii="宋体" w:hAnsi="宋体" w:cs="宋体"/>
                <w:sz w:val="24"/>
              </w:rPr>
            </w:pPr>
            <w:r>
              <w:rPr>
                <w:rFonts w:hint="eastAsia" w:ascii="宋体" w:hAnsi="宋体" w:cs="宋体"/>
                <w:sz w:val="24"/>
              </w:rPr>
              <w:t>7. 见物后能双臂活动，目光追随移动球180度</w:t>
            </w:r>
          </w:p>
        </w:tc>
      </w:tr>
    </w:tbl>
    <w:p w14:paraId="1E91920E">
      <w:pPr>
        <w:keepNext/>
        <w:keepLines/>
        <w:tabs>
          <w:tab w:val="left" w:pos="1440"/>
        </w:tabs>
        <w:spacing w:before="240" w:after="64" w:line="320" w:lineRule="auto"/>
        <w:outlineLvl w:val="7"/>
        <w:rPr>
          <w:rFonts w:ascii="宋体" w:hAnsi="宋体" w:cs="宋体"/>
          <w:sz w:val="24"/>
        </w:rPr>
      </w:pPr>
      <w:r>
        <w:rPr>
          <w:rFonts w:hint="eastAsia" w:ascii="宋体" w:hAnsi="宋体" w:cs="宋体"/>
          <w:sz w:val="24"/>
          <w:szCs w:val="28"/>
        </w:rPr>
        <w:t>d）</w:t>
      </w:r>
      <w:r>
        <w:rPr>
          <w:rFonts w:hint="eastAsia" w:ascii="宋体" w:hAnsi="宋体" w:cs="宋体"/>
          <w:sz w:val="24"/>
        </w:rPr>
        <w:t>语言发育</w:t>
      </w:r>
    </w:p>
    <w:tbl>
      <w:tblPr>
        <w:tblStyle w:val="12"/>
        <w:tblW w:w="7983" w:type="dxa"/>
        <w:jc w:val="center"/>
        <w:tblLayout w:type="fixed"/>
        <w:tblCellMar>
          <w:top w:w="0" w:type="dxa"/>
          <w:left w:w="108" w:type="dxa"/>
          <w:bottom w:w="0" w:type="dxa"/>
          <w:right w:w="108" w:type="dxa"/>
        </w:tblCellMar>
      </w:tblPr>
      <w:tblGrid>
        <w:gridCol w:w="2516"/>
        <w:gridCol w:w="5467"/>
      </w:tblGrid>
      <w:tr w14:paraId="141BFCDA">
        <w:tblPrEx>
          <w:tblCellMar>
            <w:top w:w="0" w:type="dxa"/>
            <w:left w:w="108" w:type="dxa"/>
            <w:bottom w:w="0" w:type="dxa"/>
            <w:right w:w="108" w:type="dxa"/>
          </w:tblCellMar>
        </w:tblPrEx>
        <w:trPr>
          <w:trHeight w:val="336" w:hRule="atLeast"/>
          <w:jc w:val="center"/>
        </w:trPr>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6BEE">
            <w:pPr>
              <w:adjustRightInd/>
              <w:spacing w:line="360" w:lineRule="auto"/>
              <w:ind w:firstLine="480" w:firstLineChars="200"/>
              <w:jc w:val="left"/>
              <w:rPr>
                <w:rFonts w:ascii="宋体" w:hAnsi="宋体" w:cs="宋体"/>
                <w:sz w:val="24"/>
              </w:rPr>
            </w:pPr>
            <w:r>
              <w:rPr>
                <w:rFonts w:hint="eastAsia" w:ascii="宋体" w:hAnsi="宋体" w:cs="宋体"/>
                <w:sz w:val="24"/>
              </w:rPr>
              <w:t>婴幼儿月龄</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8379">
            <w:pPr>
              <w:adjustRightInd/>
              <w:spacing w:line="360" w:lineRule="auto"/>
              <w:ind w:firstLine="480" w:firstLineChars="200"/>
              <w:jc w:val="left"/>
              <w:rPr>
                <w:rFonts w:ascii="宋体" w:hAnsi="宋体" w:cs="宋体"/>
                <w:sz w:val="24"/>
              </w:rPr>
            </w:pPr>
            <w:r>
              <w:rPr>
                <w:rFonts w:hint="eastAsia" w:ascii="宋体" w:hAnsi="宋体" w:cs="宋体"/>
                <w:sz w:val="24"/>
              </w:rPr>
              <w:t>语言发育</w:t>
            </w:r>
          </w:p>
        </w:tc>
      </w:tr>
      <w:tr w14:paraId="1FAF17EB">
        <w:tblPrEx>
          <w:tblCellMar>
            <w:top w:w="0" w:type="dxa"/>
            <w:left w:w="108" w:type="dxa"/>
            <w:bottom w:w="0" w:type="dxa"/>
            <w:right w:w="108" w:type="dxa"/>
          </w:tblCellMar>
        </w:tblPrEx>
        <w:trPr>
          <w:trHeight w:val="2700" w:hRule="atLeast"/>
          <w:jc w:val="center"/>
        </w:trPr>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E173">
            <w:pPr>
              <w:adjustRightInd/>
              <w:spacing w:line="360" w:lineRule="auto"/>
              <w:ind w:firstLine="480" w:firstLineChars="200"/>
              <w:jc w:val="left"/>
              <w:rPr>
                <w:rFonts w:ascii="宋体" w:hAnsi="宋体" w:cs="宋体"/>
                <w:sz w:val="24"/>
              </w:rPr>
            </w:pPr>
            <w:r>
              <w:rPr>
                <w:rFonts w:hint="eastAsia" w:ascii="宋体" w:hAnsi="宋体" w:cs="宋体"/>
                <w:sz w:val="24"/>
              </w:rPr>
              <w:t>0-3月龄</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69E6">
            <w:pPr>
              <w:adjustRightInd/>
              <w:spacing w:line="360" w:lineRule="auto"/>
              <w:ind w:firstLine="480" w:firstLineChars="200"/>
              <w:jc w:val="left"/>
              <w:rPr>
                <w:rFonts w:ascii="宋体" w:hAnsi="宋体" w:cs="宋体"/>
                <w:sz w:val="24"/>
              </w:rPr>
            </w:pPr>
            <w:r>
              <w:rPr>
                <w:rFonts w:hint="eastAsia" w:ascii="宋体" w:hAnsi="宋体" w:cs="宋体"/>
                <w:sz w:val="24"/>
              </w:rPr>
              <w:t>1. 当与妈妈交流谈话时，会注意妈妈脸部，自己会发出细小的声音</w:t>
            </w:r>
          </w:p>
          <w:p w14:paraId="02FDC0F0">
            <w:pPr>
              <w:adjustRightInd/>
              <w:spacing w:line="360" w:lineRule="auto"/>
              <w:ind w:firstLine="480" w:firstLineChars="200"/>
              <w:jc w:val="left"/>
              <w:rPr>
                <w:rFonts w:ascii="宋体" w:hAnsi="宋体" w:cs="宋体"/>
                <w:sz w:val="24"/>
              </w:rPr>
            </w:pPr>
            <w:r>
              <w:rPr>
                <w:rFonts w:hint="eastAsia" w:ascii="宋体" w:hAnsi="宋体" w:cs="宋体"/>
                <w:sz w:val="24"/>
              </w:rPr>
              <w:t>2. 能发出a，o，e等元音</w:t>
            </w:r>
          </w:p>
          <w:p w14:paraId="517A6032">
            <w:pPr>
              <w:adjustRightInd/>
              <w:spacing w:line="360" w:lineRule="auto"/>
              <w:ind w:firstLine="480" w:firstLineChars="200"/>
              <w:jc w:val="left"/>
              <w:rPr>
                <w:rFonts w:ascii="宋体" w:hAnsi="宋体" w:cs="宋体"/>
                <w:sz w:val="24"/>
              </w:rPr>
            </w:pPr>
            <w:r>
              <w:rPr>
                <w:rFonts w:hint="eastAsia" w:ascii="宋体" w:hAnsi="宋体" w:cs="宋体"/>
                <w:sz w:val="24"/>
              </w:rPr>
              <w:t>3. 朝说话者的方向看或笑，能笑出声，发出“咕咕”和“咯咯”声</w:t>
            </w:r>
          </w:p>
          <w:p w14:paraId="2924057E">
            <w:pPr>
              <w:adjustRightInd/>
              <w:spacing w:line="360" w:lineRule="auto"/>
              <w:ind w:firstLine="480" w:firstLineChars="200"/>
              <w:jc w:val="left"/>
              <w:rPr>
                <w:rFonts w:ascii="宋体" w:hAnsi="宋体" w:cs="宋体"/>
                <w:sz w:val="24"/>
              </w:rPr>
            </w:pPr>
            <w:r>
              <w:rPr>
                <w:rFonts w:hint="eastAsia" w:ascii="宋体" w:hAnsi="宋体" w:cs="宋体"/>
                <w:sz w:val="24"/>
              </w:rPr>
              <w:t>4. 对声音刺激有反应。宝宝对关门、说话、摇铃等声音刺激有表情变化，眼神寻找，转头等反应</w:t>
            </w:r>
          </w:p>
          <w:p w14:paraId="6DEB358D">
            <w:pPr>
              <w:adjustRightInd/>
              <w:spacing w:line="360" w:lineRule="auto"/>
              <w:ind w:firstLine="480" w:firstLineChars="200"/>
              <w:jc w:val="left"/>
              <w:rPr>
                <w:rFonts w:ascii="宋体" w:hAnsi="宋体" w:cs="宋体"/>
                <w:sz w:val="24"/>
              </w:rPr>
            </w:pPr>
            <w:r>
              <w:rPr>
                <w:rFonts w:hint="eastAsia" w:ascii="宋体" w:hAnsi="宋体" w:cs="宋体"/>
                <w:sz w:val="24"/>
              </w:rPr>
              <w:t>5. 宝宝会注视父母，和父母有眼神交流</w:t>
            </w:r>
          </w:p>
        </w:tc>
      </w:tr>
    </w:tbl>
    <w:p w14:paraId="53FB9966">
      <w:pPr>
        <w:keepNext/>
        <w:keepLines/>
        <w:tabs>
          <w:tab w:val="left" w:pos="1440"/>
        </w:tabs>
        <w:spacing w:before="240" w:after="64" w:line="320" w:lineRule="auto"/>
        <w:outlineLvl w:val="7"/>
        <w:rPr>
          <w:rFonts w:ascii="宋体" w:hAnsi="宋体" w:cs="宋体"/>
          <w:sz w:val="24"/>
        </w:rPr>
      </w:pPr>
      <w:r>
        <w:rPr>
          <w:rFonts w:hint="eastAsia" w:ascii="宋体" w:hAnsi="宋体" w:cs="宋体"/>
          <w:sz w:val="24"/>
          <w:szCs w:val="28"/>
        </w:rPr>
        <w:t>e）</w:t>
      </w:r>
      <w:r>
        <w:rPr>
          <w:rFonts w:hint="eastAsia" w:ascii="宋体" w:hAnsi="宋体" w:cs="宋体"/>
          <w:sz w:val="24"/>
        </w:rPr>
        <w:t>身体发育</w:t>
      </w:r>
    </w:p>
    <w:tbl>
      <w:tblPr>
        <w:tblStyle w:val="12"/>
        <w:tblW w:w="7983" w:type="dxa"/>
        <w:tblInd w:w="88" w:type="dxa"/>
        <w:tblLayout w:type="fixed"/>
        <w:tblCellMar>
          <w:top w:w="0" w:type="dxa"/>
          <w:left w:w="108" w:type="dxa"/>
          <w:bottom w:w="0" w:type="dxa"/>
          <w:right w:w="108" w:type="dxa"/>
        </w:tblCellMar>
      </w:tblPr>
      <w:tblGrid>
        <w:gridCol w:w="2516"/>
        <w:gridCol w:w="5467"/>
      </w:tblGrid>
      <w:tr w14:paraId="7D21A99F">
        <w:tblPrEx>
          <w:tblCellMar>
            <w:top w:w="0" w:type="dxa"/>
            <w:left w:w="108" w:type="dxa"/>
            <w:bottom w:w="0" w:type="dxa"/>
            <w:right w:w="108" w:type="dxa"/>
          </w:tblCellMar>
        </w:tblPrEx>
        <w:trPr>
          <w:trHeight w:val="336" w:hRule="atLeast"/>
        </w:trPr>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53E5">
            <w:pPr>
              <w:adjustRightInd/>
              <w:spacing w:line="360" w:lineRule="auto"/>
              <w:ind w:firstLine="480" w:firstLineChars="200"/>
              <w:jc w:val="left"/>
              <w:rPr>
                <w:rFonts w:ascii="宋体" w:hAnsi="宋体" w:cs="宋体"/>
                <w:sz w:val="24"/>
              </w:rPr>
            </w:pPr>
            <w:r>
              <w:rPr>
                <w:rFonts w:hint="eastAsia" w:ascii="宋体" w:hAnsi="宋体" w:cs="宋体"/>
                <w:sz w:val="24"/>
              </w:rPr>
              <w:t>婴幼儿月龄</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FF90">
            <w:pPr>
              <w:adjustRightInd/>
              <w:spacing w:line="360" w:lineRule="auto"/>
              <w:ind w:firstLine="480" w:firstLineChars="200"/>
              <w:jc w:val="left"/>
              <w:rPr>
                <w:rFonts w:ascii="宋体" w:hAnsi="宋体" w:cs="宋体"/>
                <w:sz w:val="24"/>
              </w:rPr>
            </w:pPr>
            <w:r>
              <w:rPr>
                <w:rFonts w:hint="eastAsia" w:ascii="宋体" w:hAnsi="宋体" w:cs="宋体"/>
                <w:sz w:val="24"/>
              </w:rPr>
              <w:t>身体发育</w:t>
            </w:r>
          </w:p>
        </w:tc>
      </w:tr>
      <w:tr w14:paraId="047EC0A1">
        <w:tblPrEx>
          <w:tblCellMar>
            <w:top w:w="0" w:type="dxa"/>
            <w:left w:w="108" w:type="dxa"/>
            <w:bottom w:w="0" w:type="dxa"/>
            <w:right w:w="108" w:type="dxa"/>
          </w:tblCellMar>
        </w:tblPrEx>
        <w:trPr>
          <w:trHeight w:val="1020" w:hRule="atLeast"/>
        </w:trPr>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4971">
            <w:pPr>
              <w:adjustRightInd/>
              <w:spacing w:line="360" w:lineRule="auto"/>
              <w:ind w:firstLine="480" w:firstLineChars="200"/>
              <w:jc w:val="left"/>
              <w:rPr>
                <w:rFonts w:ascii="宋体" w:hAnsi="宋体" w:cs="宋体"/>
                <w:sz w:val="24"/>
              </w:rPr>
            </w:pPr>
            <w:r>
              <w:rPr>
                <w:rFonts w:hint="eastAsia" w:ascii="宋体" w:hAnsi="宋体" w:cs="宋体"/>
                <w:sz w:val="24"/>
              </w:rPr>
              <w:t>新生儿</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5507">
            <w:pPr>
              <w:adjustRightInd/>
              <w:spacing w:line="360" w:lineRule="auto"/>
              <w:ind w:firstLine="480" w:firstLineChars="200"/>
              <w:jc w:val="left"/>
              <w:rPr>
                <w:rFonts w:ascii="宋体" w:hAnsi="宋体" w:cs="宋体"/>
                <w:sz w:val="24"/>
              </w:rPr>
            </w:pPr>
            <w:r>
              <w:rPr>
                <w:rFonts w:hint="eastAsia" w:ascii="宋体" w:hAnsi="宋体" w:cs="宋体"/>
                <w:sz w:val="24"/>
              </w:rPr>
              <w:t>1.身高。满月时身高平均增长4—5cm。</w:t>
            </w:r>
          </w:p>
          <w:p w14:paraId="72F1F645">
            <w:pPr>
              <w:adjustRightInd/>
              <w:spacing w:line="360" w:lineRule="auto"/>
              <w:ind w:firstLine="480" w:firstLineChars="200"/>
              <w:jc w:val="left"/>
              <w:rPr>
                <w:rFonts w:ascii="宋体" w:hAnsi="宋体" w:cs="宋体"/>
                <w:sz w:val="24"/>
              </w:rPr>
            </w:pPr>
            <w:r>
              <w:rPr>
                <w:rFonts w:hint="eastAsia" w:ascii="宋体" w:hAnsi="宋体" w:cs="宋体"/>
                <w:sz w:val="24"/>
              </w:rPr>
              <w:t>2.头围。出生时平均头围33—34cm，满月时头围平均增长2.6—2.8cm。</w:t>
            </w:r>
          </w:p>
        </w:tc>
      </w:tr>
    </w:tbl>
    <w:p w14:paraId="354E302E">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医育知识库</w:t>
      </w:r>
    </w:p>
    <w:p w14:paraId="30100DCB">
      <w:pPr>
        <w:adjustRightInd/>
        <w:spacing w:line="360" w:lineRule="auto"/>
        <w:ind w:firstLine="480" w:firstLineChars="200"/>
        <w:jc w:val="left"/>
        <w:rPr>
          <w:rFonts w:ascii="宋体" w:hAnsi="宋体" w:cs="宋体"/>
          <w:sz w:val="24"/>
        </w:rPr>
      </w:pPr>
      <w:r>
        <w:rPr>
          <w:rFonts w:hint="eastAsia" w:ascii="宋体" w:hAnsi="宋体" w:cs="宋体"/>
          <w:sz w:val="24"/>
        </w:rPr>
        <w:t>建设各类高危儿如早产儿、低体重、发育偏离或迟缓、发育异常（反射异常、肌张力异常、姿势异常、运动异常）等婴幼儿医育知识库，包含主题、子主题（多级主题）、详细知识内容、对象标签、多模态知识路径等信息，举例如下（具体为QA问答形式）：</w:t>
      </w:r>
    </w:p>
    <w:tbl>
      <w:tblPr>
        <w:tblStyle w:val="65"/>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934"/>
        <w:gridCol w:w="982"/>
        <w:gridCol w:w="1967"/>
        <w:gridCol w:w="1673"/>
        <w:gridCol w:w="1657"/>
      </w:tblGrid>
      <w:tr w14:paraId="557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Align w:val="center"/>
          </w:tcPr>
          <w:p w14:paraId="5E68258C">
            <w:pPr>
              <w:adjustRightInd/>
              <w:spacing w:line="360" w:lineRule="auto"/>
              <w:ind w:firstLine="480" w:firstLineChars="200"/>
              <w:jc w:val="left"/>
              <w:rPr>
                <w:rFonts w:ascii="宋体" w:hAnsi="宋体" w:cs="宋体"/>
                <w:sz w:val="24"/>
              </w:rPr>
            </w:pPr>
            <w:r>
              <w:rPr>
                <w:rFonts w:hint="eastAsia" w:ascii="宋体" w:hAnsi="宋体" w:cs="宋体"/>
                <w:sz w:val="24"/>
              </w:rPr>
              <w:t>知识主题</w:t>
            </w:r>
          </w:p>
        </w:tc>
        <w:tc>
          <w:tcPr>
            <w:tcW w:w="934" w:type="dxa"/>
            <w:vAlign w:val="center"/>
          </w:tcPr>
          <w:p w14:paraId="6F2ACA1C">
            <w:pPr>
              <w:adjustRightInd/>
              <w:spacing w:line="360" w:lineRule="auto"/>
              <w:ind w:firstLine="480" w:firstLineChars="200"/>
              <w:jc w:val="left"/>
              <w:rPr>
                <w:rFonts w:ascii="宋体" w:hAnsi="宋体" w:cs="宋体"/>
                <w:sz w:val="24"/>
              </w:rPr>
            </w:pPr>
            <w:r>
              <w:rPr>
                <w:rFonts w:hint="eastAsia" w:ascii="宋体" w:hAnsi="宋体" w:cs="宋体"/>
                <w:sz w:val="24"/>
              </w:rPr>
              <w:t>一级主题</w:t>
            </w:r>
          </w:p>
        </w:tc>
        <w:tc>
          <w:tcPr>
            <w:tcW w:w="982" w:type="dxa"/>
            <w:vAlign w:val="center"/>
          </w:tcPr>
          <w:p w14:paraId="5F8A7177">
            <w:pPr>
              <w:adjustRightInd/>
              <w:spacing w:line="360" w:lineRule="auto"/>
              <w:ind w:firstLine="480" w:firstLineChars="200"/>
              <w:jc w:val="left"/>
              <w:rPr>
                <w:rFonts w:ascii="宋体" w:hAnsi="宋体" w:cs="宋体"/>
                <w:sz w:val="24"/>
              </w:rPr>
            </w:pPr>
            <w:r>
              <w:rPr>
                <w:rFonts w:hint="eastAsia" w:ascii="宋体" w:hAnsi="宋体" w:cs="宋体"/>
                <w:sz w:val="24"/>
              </w:rPr>
              <w:t>二级主题</w:t>
            </w:r>
          </w:p>
        </w:tc>
        <w:tc>
          <w:tcPr>
            <w:tcW w:w="1967" w:type="dxa"/>
            <w:vAlign w:val="center"/>
          </w:tcPr>
          <w:p w14:paraId="4F428146">
            <w:pPr>
              <w:adjustRightInd/>
              <w:spacing w:line="360" w:lineRule="auto"/>
              <w:ind w:firstLine="480" w:firstLineChars="200"/>
              <w:jc w:val="left"/>
              <w:rPr>
                <w:rFonts w:ascii="宋体" w:hAnsi="宋体" w:cs="宋体"/>
                <w:sz w:val="24"/>
              </w:rPr>
            </w:pPr>
            <w:r>
              <w:rPr>
                <w:rFonts w:hint="eastAsia" w:ascii="宋体" w:hAnsi="宋体" w:cs="宋体"/>
                <w:sz w:val="24"/>
              </w:rPr>
              <w:t>详细知识内容</w:t>
            </w:r>
          </w:p>
        </w:tc>
        <w:tc>
          <w:tcPr>
            <w:tcW w:w="1673" w:type="dxa"/>
            <w:vAlign w:val="center"/>
          </w:tcPr>
          <w:p w14:paraId="4C4963B4">
            <w:pPr>
              <w:adjustRightInd/>
              <w:spacing w:line="360" w:lineRule="auto"/>
              <w:ind w:firstLine="480" w:firstLineChars="200"/>
              <w:jc w:val="left"/>
              <w:rPr>
                <w:rFonts w:ascii="宋体" w:hAnsi="宋体" w:cs="宋体"/>
                <w:sz w:val="24"/>
              </w:rPr>
            </w:pPr>
            <w:r>
              <w:rPr>
                <w:rFonts w:hint="eastAsia" w:ascii="宋体" w:hAnsi="宋体" w:cs="宋体"/>
                <w:sz w:val="24"/>
              </w:rPr>
              <w:t>服务对象标签</w:t>
            </w:r>
          </w:p>
        </w:tc>
        <w:tc>
          <w:tcPr>
            <w:tcW w:w="1657" w:type="dxa"/>
            <w:vAlign w:val="center"/>
          </w:tcPr>
          <w:p w14:paraId="5C544DC6">
            <w:pPr>
              <w:adjustRightInd/>
              <w:spacing w:line="360" w:lineRule="auto"/>
              <w:ind w:firstLine="480" w:firstLineChars="200"/>
              <w:jc w:val="left"/>
              <w:rPr>
                <w:rFonts w:ascii="宋体" w:hAnsi="宋体" w:cs="宋体"/>
                <w:sz w:val="24"/>
              </w:rPr>
            </w:pPr>
            <w:r>
              <w:rPr>
                <w:rFonts w:hint="eastAsia" w:ascii="宋体" w:hAnsi="宋体" w:cs="宋体"/>
                <w:sz w:val="24"/>
              </w:rPr>
              <w:t>多模态知识路径</w:t>
            </w:r>
          </w:p>
        </w:tc>
      </w:tr>
      <w:tr w14:paraId="4521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9" w:type="dxa"/>
            <w:vAlign w:val="center"/>
          </w:tcPr>
          <w:p w14:paraId="155574F5">
            <w:pPr>
              <w:adjustRightInd/>
              <w:spacing w:line="360" w:lineRule="auto"/>
              <w:ind w:firstLine="480" w:firstLineChars="200"/>
              <w:jc w:val="left"/>
              <w:rPr>
                <w:rFonts w:ascii="宋体" w:hAnsi="宋体" w:cs="宋体"/>
                <w:sz w:val="24"/>
              </w:rPr>
            </w:pPr>
            <w:r>
              <w:rPr>
                <w:rFonts w:hint="eastAsia" w:ascii="宋体" w:hAnsi="宋体" w:cs="宋体"/>
                <w:sz w:val="24"/>
              </w:rPr>
              <w:t>神经发育监测</w:t>
            </w:r>
          </w:p>
        </w:tc>
        <w:tc>
          <w:tcPr>
            <w:tcW w:w="934" w:type="dxa"/>
            <w:vAlign w:val="center"/>
          </w:tcPr>
          <w:p w14:paraId="3D07CDDF">
            <w:pPr>
              <w:adjustRightInd/>
              <w:spacing w:line="360" w:lineRule="auto"/>
              <w:ind w:firstLine="480" w:firstLineChars="200"/>
              <w:jc w:val="left"/>
              <w:rPr>
                <w:rFonts w:ascii="宋体" w:hAnsi="宋体" w:cs="宋体"/>
                <w:sz w:val="24"/>
              </w:rPr>
            </w:pPr>
            <w:r>
              <w:rPr>
                <w:rFonts w:hint="eastAsia" w:ascii="宋体" w:hAnsi="宋体" w:cs="宋体"/>
                <w:sz w:val="24"/>
              </w:rPr>
              <w:t>全身运动评估</w:t>
            </w:r>
          </w:p>
        </w:tc>
        <w:tc>
          <w:tcPr>
            <w:tcW w:w="982" w:type="dxa"/>
            <w:vAlign w:val="center"/>
          </w:tcPr>
          <w:p w14:paraId="4C56FD6D">
            <w:pPr>
              <w:adjustRightInd/>
              <w:spacing w:line="360" w:lineRule="auto"/>
              <w:ind w:firstLine="480" w:firstLineChars="200"/>
              <w:jc w:val="left"/>
              <w:rPr>
                <w:rFonts w:ascii="宋体" w:hAnsi="宋体" w:cs="宋体"/>
                <w:sz w:val="24"/>
              </w:rPr>
            </w:pPr>
            <w:r>
              <w:rPr>
                <w:rFonts w:hint="eastAsia" w:ascii="宋体" w:hAnsi="宋体" w:cs="宋体"/>
                <w:sz w:val="24"/>
              </w:rPr>
              <w:t>全身运动简介</w:t>
            </w:r>
          </w:p>
        </w:tc>
        <w:tc>
          <w:tcPr>
            <w:tcW w:w="1967" w:type="dxa"/>
            <w:vAlign w:val="center"/>
          </w:tcPr>
          <w:p w14:paraId="4768A87F">
            <w:pPr>
              <w:adjustRightInd/>
              <w:spacing w:line="360" w:lineRule="auto"/>
              <w:ind w:firstLine="480" w:firstLineChars="200"/>
              <w:jc w:val="left"/>
              <w:rPr>
                <w:rFonts w:ascii="宋体" w:hAnsi="宋体" w:cs="宋体"/>
                <w:sz w:val="24"/>
              </w:rPr>
            </w:pPr>
            <w:r>
              <w:rPr>
                <w:rFonts w:hint="eastAsia" w:ascii="宋体" w:hAnsi="宋体" w:cs="宋体"/>
                <w:sz w:val="24"/>
              </w:rPr>
              <w:t>全身运动概念</w:t>
            </w:r>
          </w:p>
          <w:p w14:paraId="61DB86F0">
            <w:pPr>
              <w:adjustRightInd/>
              <w:spacing w:line="360" w:lineRule="auto"/>
              <w:ind w:firstLine="480" w:firstLineChars="200"/>
              <w:jc w:val="left"/>
              <w:rPr>
                <w:rFonts w:ascii="宋体" w:hAnsi="宋体" w:cs="宋体"/>
                <w:sz w:val="24"/>
              </w:rPr>
            </w:pPr>
            <w:r>
              <w:rPr>
                <w:rFonts w:hint="eastAsia" w:ascii="宋体" w:hAnsi="宋体" w:cs="宋体"/>
                <w:sz w:val="24"/>
              </w:rPr>
              <w:t>全身运动历史</w:t>
            </w:r>
          </w:p>
          <w:p w14:paraId="13611F1B">
            <w:pPr>
              <w:adjustRightInd/>
              <w:spacing w:line="360" w:lineRule="auto"/>
              <w:ind w:firstLine="480" w:firstLineChars="200"/>
              <w:jc w:val="left"/>
              <w:rPr>
                <w:rFonts w:ascii="宋体" w:hAnsi="宋体" w:cs="宋体"/>
                <w:sz w:val="24"/>
              </w:rPr>
            </w:pPr>
            <w:r>
              <w:rPr>
                <w:rFonts w:hint="eastAsia" w:ascii="宋体" w:hAnsi="宋体" w:cs="宋体"/>
                <w:sz w:val="24"/>
              </w:rPr>
              <w:t>全身运动临床应用</w:t>
            </w:r>
          </w:p>
        </w:tc>
        <w:tc>
          <w:tcPr>
            <w:tcW w:w="1673" w:type="dxa"/>
            <w:vAlign w:val="center"/>
          </w:tcPr>
          <w:p w14:paraId="337995C1">
            <w:pPr>
              <w:adjustRightInd/>
              <w:spacing w:line="360" w:lineRule="auto"/>
              <w:ind w:firstLine="480" w:firstLineChars="200"/>
              <w:jc w:val="left"/>
              <w:rPr>
                <w:rFonts w:ascii="宋体" w:hAnsi="宋体" w:cs="宋体"/>
                <w:sz w:val="24"/>
              </w:rPr>
            </w:pPr>
            <w:r>
              <w:rPr>
                <w:rFonts w:hint="eastAsia" w:ascii="宋体" w:hAnsi="宋体" w:cs="宋体"/>
                <w:sz w:val="24"/>
              </w:rPr>
              <w:t>0-6月龄、神经发育</w:t>
            </w:r>
          </w:p>
        </w:tc>
        <w:tc>
          <w:tcPr>
            <w:tcW w:w="1657" w:type="dxa"/>
            <w:vAlign w:val="center"/>
          </w:tcPr>
          <w:p w14:paraId="1E32BF51">
            <w:pPr>
              <w:adjustRightInd/>
              <w:spacing w:line="360" w:lineRule="auto"/>
              <w:ind w:firstLine="480" w:firstLineChars="200"/>
              <w:jc w:val="left"/>
              <w:rPr>
                <w:rFonts w:ascii="宋体" w:hAnsi="宋体" w:cs="宋体"/>
                <w:sz w:val="24"/>
              </w:rPr>
            </w:pPr>
            <w:r>
              <w:rPr>
                <w:rFonts w:hint="eastAsia" w:ascii="宋体" w:hAnsi="宋体" w:cs="宋体"/>
                <w:sz w:val="24"/>
              </w:rPr>
              <w:t>视频：https://XXXX</w:t>
            </w:r>
          </w:p>
        </w:tc>
      </w:tr>
    </w:tbl>
    <w:p w14:paraId="228CD5EE">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知识库数据边界分割</w:t>
      </w:r>
    </w:p>
    <w:p w14:paraId="32A10F4E">
      <w:pPr>
        <w:adjustRightInd/>
        <w:spacing w:line="360" w:lineRule="auto"/>
        <w:ind w:firstLine="480" w:firstLineChars="200"/>
        <w:jc w:val="left"/>
        <w:rPr>
          <w:rFonts w:ascii="宋体" w:hAnsi="宋体" w:cs="宋体"/>
          <w:sz w:val="24"/>
        </w:rPr>
      </w:pPr>
      <w:r>
        <w:rPr>
          <w:rFonts w:hint="eastAsia"/>
          <w:sz w:val="24"/>
        </w:rPr>
        <w:t>明确各类知识数据的边界，使用模型甄选出知识库边界不清晰的数据。将边界划分模糊不清的数据进行切割，清洗。同时使用模型自行优化知识库内各类数据，丰富其内容，增加知识库可使用性，增强最终呈现的模型鲁棒性</w:t>
      </w:r>
      <w:r>
        <w:rPr>
          <w:rFonts w:hint="eastAsia" w:ascii="宋体" w:hAnsi="宋体" w:cs="宋体"/>
          <w:sz w:val="24"/>
        </w:rPr>
        <w:t>。</w:t>
      </w:r>
    </w:p>
    <w:p w14:paraId="01606137">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f．</w:t>
      </w:r>
      <w:r>
        <w:rPr>
          <w:rFonts w:hint="eastAsia" w:ascii="宋体" w:hAnsi="宋体" w:cs="宋体"/>
          <w:b/>
          <w:bCs/>
          <w:sz w:val="24"/>
        </w:rPr>
        <w:t>海量大数据精细化加工</w:t>
      </w:r>
    </w:p>
    <w:p w14:paraId="058A8974">
      <w:pPr>
        <w:adjustRightInd/>
        <w:spacing w:line="360" w:lineRule="auto"/>
        <w:ind w:firstLine="480" w:firstLineChars="200"/>
        <w:jc w:val="left"/>
        <w:rPr>
          <w:rFonts w:ascii="宋体" w:hAnsi="宋体" w:cs="宋体"/>
          <w:sz w:val="24"/>
        </w:rPr>
      </w:pPr>
      <w:r>
        <w:rPr>
          <w:rFonts w:hint="eastAsia"/>
          <w:sz w:val="24"/>
        </w:rPr>
        <w:t>海量婴幼儿照护与保健服务知识数据经过去重去噪操作后建立数据索引，同时将数据使用词向量化技术建立向量数据库作为大模型的外挂知识库。在索引建立完成后，使用数据标引技术为数据建立主题词标引，用于初步区分数据在查询时所归属的功能模块，最后将标引后的数据与向量化数据建立连接并标准化为元数据存储</w:t>
      </w:r>
      <w:r>
        <w:rPr>
          <w:rFonts w:hint="eastAsia" w:ascii="宋体" w:hAnsi="宋体" w:cs="宋体"/>
          <w:sz w:val="24"/>
        </w:rPr>
        <w:t>。</w:t>
      </w:r>
    </w:p>
    <w:p w14:paraId="1D89EE72">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g．</w:t>
      </w:r>
      <w:r>
        <w:rPr>
          <w:rFonts w:hint="eastAsia" w:ascii="宋体" w:hAnsi="宋体" w:cs="宋体"/>
          <w:b/>
          <w:bCs/>
          <w:sz w:val="24"/>
        </w:rPr>
        <w:t>知识库优化处理</w:t>
      </w:r>
    </w:p>
    <w:p w14:paraId="054D7C50">
      <w:pPr>
        <w:adjustRightInd/>
        <w:spacing w:line="360" w:lineRule="auto"/>
        <w:ind w:firstLine="480" w:firstLineChars="200"/>
        <w:jc w:val="left"/>
        <w:rPr>
          <w:rFonts w:ascii="宋体" w:hAnsi="宋体" w:cs="宋体"/>
          <w:sz w:val="24"/>
        </w:rPr>
      </w:pPr>
      <w:r>
        <w:rPr>
          <w:rFonts w:hint="eastAsia"/>
          <w:sz w:val="24"/>
        </w:rPr>
        <w:t>使用高效缓存索引技术，优化用户问题知识库搜索速度与质量，同时人工测试并添加知识库索引，保证用户搜索出的知识库相关性，对于每一份搜索出来的知识库进行把关，更加针对性的增强知识库的精准性</w:t>
      </w:r>
      <w:r>
        <w:rPr>
          <w:rFonts w:hint="eastAsia" w:ascii="宋体" w:hAnsi="宋体" w:cs="宋体"/>
          <w:sz w:val="24"/>
        </w:rPr>
        <w:t>。</w:t>
      </w:r>
    </w:p>
    <w:p w14:paraId="2BC6CD7F">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h．</w:t>
      </w:r>
      <w:r>
        <w:rPr>
          <w:rFonts w:hint="eastAsia" w:ascii="宋体" w:hAnsi="宋体" w:cs="宋体"/>
          <w:b/>
          <w:bCs/>
          <w:sz w:val="24"/>
        </w:rPr>
        <w:t>知识库应用管理</w:t>
      </w:r>
    </w:p>
    <w:p w14:paraId="34EBCC60">
      <w:pPr>
        <w:adjustRightInd/>
        <w:spacing w:line="360" w:lineRule="auto"/>
        <w:ind w:firstLine="480" w:firstLineChars="200"/>
        <w:jc w:val="left"/>
        <w:rPr>
          <w:sz w:val="24"/>
        </w:rPr>
      </w:pPr>
      <w:r>
        <w:rPr>
          <w:rFonts w:hint="eastAsia"/>
          <w:sz w:val="24"/>
        </w:rPr>
        <w:t>知识库的管理依赖于全流程数字化服务的工作流与权限管理，同时系统对知识库应用的情况进行大数据分析管理，精准感知家长感兴趣的知识内容，实现知识库内容更好的更新与迭代，详述如下：</w:t>
      </w:r>
    </w:p>
    <w:p w14:paraId="3104308C">
      <w:pPr>
        <w:numPr>
          <w:ilvl w:val="0"/>
          <w:numId w:val="3"/>
        </w:numPr>
        <w:tabs>
          <w:tab w:val="left" w:pos="0"/>
        </w:tabs>
        <w:adjustRightInd/>
        <w:spacing w:line="360" w:lineRule="auto"/>
        <w:ind w:left="176" w:firstLine="300"/>
        <w:rPr>
          <w:b/>
          <w:bCs/>
          <w:sz w:val="24"/>
        </w:rPr>
      </w:pPr>
      <w:r>
        <w:rPr>
          <w:rFonts w:hint="eastAsia"/>
          <w:b/>
          <w:bCs/>
          <w:sz w:val="24"/>
        </w:rPr>
        <w:t>知识库应用与管理工作流</w:t>
      </w:r>
    </w:p>
    <w:p w14:paraId="495DDA92">
      <w:pPr>
        <w:adjustRightInd/>
        <w:spacing w:line="360" w:lineRule="auto"/>
        <w:ind w:firstLine="480" w:firstLineChars="200"/>
        <w:jc w:val="left"/>
        <w:rPr>
          <w:sz w:val="24"/>
        </w:rPr>
      </w:pPr>
      <w:r>
        <w:rPr>
          <w:rFonts w:hint="eastAsia"/>
          <w:sz w:val="24"/>
        </w:rPr>
        <w:t>业务治理端：对于知识库的高效管理依赖成熟的管理的工作流体系，系统支持上传文本知识库内容，在线导入、校准、删除等功能的工作流，上架的知识库将被精细化加工为向量数据库应用于智能问答服务。</w:t>
      </w:r>
    </w:p>
    <w:p w14:paraId="49B63A6F">
      <w:pPr>
        <w:numPr>
          <w:ilvl w:val="0"/>
          <w:numId w:val="3"/>
        </w:numPr>
        <w:tabs>
          <w:tab w:val="left" w:pos="0"/>
        </w:tabs>
        <w:adjustRightInd/>
        <w:spacing w:line="360" w:lineRule="auto"/>
        <w:ind w:left="176" w:firstLine="300"/>
        <w:rPr>
          <w:b/>
          <w:bCs/>
          <w:sz w:val="24"/>
        </w:rPr>
      </w:pPr>
      <w:r>
        <w:rPr>
          <w:rFonts w:hint="eastAsia"/>
          <w:b/>
          <w:bCs/>
          <w:sz w:val="24"/>
        </w:rPr>
        <w:t>知识库应用权限管理</w:t>
      </w:r>
    </w:p>
    <w:p w14:paraId="16937C12">
      <w:pPr>
        <w:adjustRightInd/>
        <w:spacing w:line="360" w:lineRule="auto"/>
        <w:ind w:firstLine="480" w:firstLineChars="200"/>
        <w:jc w:val="left"/>
        <w:rPr>
          <w:sz w:val="24"/>
        </w:rPr>
      </w:pPr>
      <w:r>
        <w:rPr>
          <w:rFonts w:hint="eastAsia"/>
          <w:sz w:val="24"/>
        </w:rPr>
        <w:t>业务治理端：知识库的应用质量依赖于知识库的内容权威科学性，为保证知识库上架质量，需对系统角色用户进行权限管理。系统支持对知识库审核上架的人员进行权限管理，包括新增导入权限、命名、删除、移动、知识库内容查看权限等。</w:t>
      </w:r>
    </w:p>
    <w:p w14:paraId="73946F85">
      <w:pPr>
        <w:numPr>
          <w:ilvl w:val="0"/>
          <w:numId w:val="3"/>
        </w:numPr>
        <w:tabs>
          <w:tab w:val="left" w:pos="0"/>
        </w:tabs>
        <w:adjustRightInd/>
        <w:spacing w:line="360" w:lineRule="auto"/>
        <w:ind w:left="176" w:firstLine="300"/>
        <w:rPr>
          <w:b/>
          <w:bCs/>
          <w:sz w:val="24"/>
        </w:rPr>
      </w:pPr>
      <w:r>
        <w:rPr>
          <w:rFonts w:hint="eastAsia"/>
          <w:b/>
          <w:bCs/>
          <w:sz w:val="24"/>
        </w:rPr>
        <w:t>知识库应用大数据分析</w:t>
      </w:r>
    </w:p>
    <w:p w14:paraId="383527D5">
      <w:pPr>
        <w:adjustRightInd/>
        <w:spacing w:line="360" w:lineRule="auto"/>
        <w:ind w:firstLine="480" w:firstLineChars="200"/>
        <w:jc w:val="left"/>
        <w:rPr>
          <w:rFonts w:ascii="宋体" w:hAnsi="宋体" w:cs="宋体"/>
          <w:sz w:val="24"/>
        </w:rPr>
      </w:pPr>
      <w:r>
        <w:rPr>
          <w:rFonts w:hint="eastAsia"/>
          <w:sz w:val="24"/>
        </w:rPr>
        <w:t>业务治理端：知识库应用的全面与否，质量好坏需依赖于精准的大数据分析，系统根据家长的提问与回答信息进行集成整合，大数据分析，动态分析家长的高频问题与高频回答，知识库未涉及的问题等内容，利于对知识的有效分析与迭代更新。</w:t>
      </w:r>
    </w:p>
    <w:p w14:paraId="0FB68A3C">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4）</w:t>
      </w:r>
      <w:r>
        <w:rPr>
          <w:rFonts w:hint="eastAsia" w:ascii="宋体" w:hAnsi="宋体" w:cs="宋体"/>
          <w:b/>
          <w:bCs/>
          <w:kern w:val="0"/>
          <w:sz w:val="28"/>
        </w:rPr>
        <w:t>AI智能问答服务交互</w:t>
      </w:r>
    </w:p>
    <w:p w14:paraId="3820D7C2">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服务对话交互</w:t>
      </w:r>
    </w:p>
    <w:p w14:paraId="5F38AABF">
      <w:pPr>
        <w:adjustRightInd/>
        <w:spacing w:line="360" w:lineRule="auto"/>
        <w:ind w:firstLine="480" w:firstLineChars="200"/>
        <w:jc w:val="left"/>
        <w:rPr>
          <w:sz w:val="24"/>
        </w:rPr>
      </w:pPr>
      <w:r>
        <w:rPr>
          <w:rFonts w:hint="eastAsia"/>
          <w:sz w:val="24"/>
        </w:rPr>
        <w:t>家长服务端：用户可通过服务端与“杭小育”进行对话，获取所需的服务与内容，可通过文字输入、语音识别等方式进行对话。</w:t>
      </w:r>
    </w:p>
    <w:p w14:paraId="7AF005FF">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服务路径管理</w:t>
      </w:r>
    </w:p>
    <w:p w14:paraId="07F55AEC">
      <w:pPr>
        <w:adjustRightInd/>
        <w:spacing w:line="360" w:lineRule="auto"/>
        <w:ind w:firstLine="480" w:firstLineChars="200"/>
        <w:jc w:val="left"/>
        <w:rPr>
          <w:sz w:val="24"/>
        </w:rPr>
      </w:pPr>
      <w:r>
        <w:rPr>
          <w:rFonts w:hint="eastAsia"/>
          <w:sz w:val="24"/>
        </w:rPr>
        <w:t>业务治理端：系统支持对“杭小育”的服务路径与应用映射进行管理，包括服务应用标签、服务应用路径等。</w:t>
      </w:r>
    </w:p>
    <w:p w14:paraId="5297B2A7">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服务路径识别与应用</w:t>
      </w:r>
    </w:p>
    <w:p w14:paraId="47FD7065">
      <w:pPr>
        <w:adjustRightInd/>
        <w:spacing w:line="360" w:lineRule="auto"/>
        <w:ind w:firstLine="480" w:firstLineChars="200"/>
        <w:jc w:val="left"/>
        <w:rPr>
          <w:sz w:val="24"/>
        </w:rPr>
      </w:pPr>
      <w:r>
        <w:rPr>
          <w:rFonts w:hint="eastAsia"/>
          <w:sz w:val="24"/>
        </w:rPr>
        <w:t>家长服务端：用户可在服务端应用选择不同的服务目录精准获取所需服务，包括养育、发育、医育知识获取、善育在杭应用相关服务，并应用大数据埋点精准分析用户服务热榜做高质量排序。</w:t>
      </w:r>
    </w:p>
    <w:p w14:paraId="36A1C161">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服务路径大数据分析</w:t>
      </w:r>
    </w:p>
    <w:p w14:paraId="37969D66">
      <w:pPr>
        <w:adjustRightInd/>
        <w:spacing w:line="360" w:lineRule="auto"/>
        <w:ind w:firstLine="480" w:firstLineChars="200"/>
        <w:jc w:val="left"/>
        <w:rPr>
          <w:sz w:val="24"/>
        </w:rPr>
      </w:pPr>
      <w:r>
        <w:rPr>
          <w:rFonts w:hint="eastAsia"/>
          <w:sz w:val="24"/>
        </w:rPr>
        <w:t>业务治理端：系统针对育儿家长常用热门的服务进行大数据分析，记录服务应用的热度与服务量，并通过大数据分析按序推荐服务路径供家长选择。</w:t>
      </w:r>
    </w:p>
    <w:p w14:paraId="76123FE8">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智能问答对话日志管理</w:t>
      </w:r>
    </w:p>
    <w:p w14:paraId="4A327A9C">
      <w:pPr>
        <w:adjustRightInd/>
        <w:spacing w:line="360" w:lineRule="auto"/>
        <w:ind w:firstLine="480" w:firstLineChars="200"/>
        <w:jc w:val="left"/>
        <w:rPr>
          <w:sz w:val="24"/>
        </w:rPr>
      </w:pPr>
      <w:r>
        <w:rPr>
          <w:rFonts w:hint="eastAsia"/>
          <w:sz w:val="24"/>
        </w:rPr>
        <w:t>业务治理端：系统支持查看家长与“杭小育”的智能对话日志，利用大数据分析等技术，综合分析用户当前真实需求与痛点，辅助相关业务部门实现精准决策。</w:t>
      </w:r>
    </w:p>
    <w:p w14:paraId="23671473">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5）</w:t>
      </w:r>
      <w:r>
        <w:rPr>
          <w:rFonts w:hint="eastAsia" w:ascii="宋体" w:hAnsi="宋体" w:cs="宋体"/>
          <w:b/>
          <w:bCs/>
          <w:kern w:val="0"/>
          <w:sz w:val="28"/>
        </w:rPr>
        <w:t>输入输出语音模型</w:t>
      </w:r>
    </w:p>
    <w:p w14:paraId="54DA3F41">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模型应用与训练</w:t>
      </w:r>
    </w:p>
    <w:p w14:paraId="750C55C2">
      <w:pPr>
        <w:adjustRightInd/>
        <w:spacing w:line="360" w:lineRule="auto"/>
        <w:ind w:firstLine="480" w:firstLineChars="200"/>
        <w:jc w:val="left"/>
        <w:rPr>
          <w:sz w:val="24"/>
        </w:rPr>
      </w:pPr>
      <w:r>
        <w:rPr>
          <w:rFonts w:hint="eastAsia"/>
          <w:sz w:val="24"/>
        </w:rPr>
        <w:t>应用自动语音识别模型（ASR），对用户的语音问题进行智能识别，将语音问题转化为文本问题。</w:t>
      </w:r>
    </w:p>
    <w:p w14:paraId="7DF0E761">
      <w:pPr>
        <w:adjustRightInd/>
        <w:spacing w:line="360" w:lineRule="auto"/>
        <w:ind w:firstLine="480" w:firstLineChars="200"/>
        <w:jc w:val="left"/>
        <w:rPr>
          <w:rFonts w:ascii="宋体" w:hAnsi="宋体" w:cs="宋体"/>
          <w:sz w:val="24"/>
        </w:rPr>
      </w:pPr>
      <w:r>
        <w:rPr>
          <w:rFonts w:hint="eastAsia"/>
          <w:sz w:val="24"/>
        </w:rPr>
        <w:t>为生成更加人性化非机械式的语音，训练语音合成模型（TTS），基于文本内容生成对应语音</w:t>
      </w:r>
      <w:r>
        <w:rPr>
          <w:rFonts w:hint="eastAsia" w:ascii="宋体" w:hAnsi="宋体" w:cs="宋体"/>
          <w:sz w:val="24"/>
        </w:rPr>
        <w:t>。</w:t>
      </w:r>
    </w:p>
    <w:p w14:paraId="40A9921F">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标点预测模型构建/训练</w:t>
      </w:r>
    </w:p>
    <w:p w14:paraId="57945AA8">
      <w:pPr>
        <w:adjustRightInd/>
        <w:spacing w:line="360" w:lineRule="auto"/>
        <w:ind w:firstLine="480" w:firstLineChars="200"/>
        <w:jc w:val="left"/>
        <w:rPr>
          <w:rFonts w:ascii="宋体" w:hAnsi="宋体" w:cs="宋体"/>
          <w:sz w:val="24"/>
        </w:rPr>
      </w:pPr>
      <w:r>
        <w:rPr>
          <w:rFonts w:hint="eastAsia"/>
          <w:sz w:val="24"/>
        </w:rPr>
        <w:t>采用深度学习技术，构建中文标点预测模型。学习文本中的复杂模式，并根据学习到的模式进行预测。中文标点符号预测模型的任务是理解无标点的文本，在忠于原语义的基础上进行标点符号预测，从而提高文本的质量和可读性，减少文本歧义。构建完成后使用人工标注的大批量标点数据送入模型进行训练，多次迭代后经过人工筛选获取最优模型</w:t>
      </w:r>
      <w:r>
        <w:rPr>
          <w:rFonts w:hint="eastAsia" w:ascii="宋体" w:hAnsi="宋体" w:cs="宋体"/>
          <w:sz w:val="24"/>
        </w:rPr>
        <w:t>。</w:t>
      </w:r>
    </w:p>
    <w:p w14:paraId="0F989868">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语音时间戳预测模型构建/训练</w:t>
      </w:r>
    </w:p>
    <w:p w14:paraId="28DF36F3">
      <w:pPr>
        <w:adjustRightInd/>
        <w:spacing w:line="360" w:lineRule="auto"/>
        <w:ind w:firstLine="480" w:firstLineChars="200"/>
        <w:jc w:val="left"/>
        <w:rPr>
          <w:rFonts w:ascii="宋体" w:hAnsi="宋体" w:cs="宋体"/>
          <w:sz w:val="24"/>
        </w:rPr>
      </w:pPr>
      <w:r>
        <w:rPr>
          <w:rFonts w:hint="eastAsia"/>
          <w:sz w:val="24"/>
        </w:rPr>
        <w:t>采用深度学习技术，构建语音时间戳预测模型。预测语音字级别的时间戳序列，从而服务于语音驱动，优化模型匹配质量。数据集采用经过去噪、分帧、特征提取等预处理而且经过人工标注好的语音数据集，使用其进行模型的训练，根据评估指标以及模型优化等手段遴选出最优模型</w:t>
      </w:r>
      <w:r>
        <w:rPr>
          <w:rFonts w:hint="eastAsia" w:ascii="宋体" w:hAnsi="宋体" w:cs="宋体"/>
          <w:sz w:val="24"/>
        </w:rPr>
        <w:t>。</w:t>
      </w:r>
    </w:p>
    <w:p w14:paraId="19D2E438">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6）</w:t>
      </w:r>
      <w:r>
        <w:rPr>
          <w:rFonts w:hint="eastAsia" w:ascii="宋体" w:hAnsi="宋体" w:cs="宋体"/>
          <w:b/>
          <w:bCs/>
          <w:kern w:val="0"/>
          <w:sz w:val="28"/>
        </w:rPr>
        <w:t>育儿知识精准推荐</w:t>
      </w:r>
    </w:p>
    <w:p w14:paraId="0590A1F4">
      <w:pPr>
        <w:adjustRightInd/>
        <w:spacing w:line="360" w:lineRule="auto"/>
        <w:ind w:firstLine="480" w:firstLineChars="200"/>
        <w:jc w:val="left"/>
        <w:rPr>
          <w:rFonts w:ascii="宋体" w:hAnsi="宋体" w:cs="宋体"/>
          <w:sz w:val="24"/>
        </w:rPr>
      </w:pPr>
      <w:r>
        <w:rPr>
          <w:rFonts w:hint="eastAsia"/>
          <w:sz w:val="24"/>
        </w:rPr>
        <w:t>家长服务端：家长可通过“善育在杭”服务端获取专业的养育、发育、医育相关知识，系统支持根据知识内容的浏览量、知识标签与服务对象标签的匹配机制向家长推荐养育与发育知识，知识类型包括图文、视频等</w:t>
      </w:r>
      <w:r>
        <w:rPr>
          <w:rFonts w:hint="eastAsia" w:ascii="宋体" w:hAnsi="宋体" w:cs="宋体"/>
          <w:sz w:val="24"/>
        </w:rPr>
        <w:t>。</w:t>
      </w:r>
    </w:p>
    <w:p w14:paraId="280811DB">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7）</w:t>
      </w:r>
      <w:r>
        <w:rPr>
          <w:rFonts w:hint="eastAsia" w:ascii="宋体" w:hAnsi="宋体" w:cs="宋体"/>
          <w:b/>
          <w:bCs/>
          <w:kern w:val="0"/>
          <w:sz w:val="28"/>
        </w:rPr>
        <w:t>服务与内容标签管理</w:t>
      </w:r>
    </w:p>
    <w:p w14:paraId="27DC59AE">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服务对象标签管理</w:t>
      </w:r>
    </w:p>
    <w:p w14:paraId="0442284D">
      <w:pPr>
        <w:adjustRightInd/>
        <w:spacing w:line="360" w:lineRule="auto"/>
        <w:ind w:firstLine="480" w:firstLineChars="200"/>
        <w:rPr>
          <w:rFonts w:ascii="宋体" w:hAnsi="宋体" w:cs="宋体"/>
          <w:sz w:val="24"/>
        </w:rPr>
      </w:pPr>
      <w:r>
        <w:rPr>
          <w:rFonts w:hint="eastAsia"/>
          <w:sz w:val="24"/>
        </w:rPr>
        <w:t>业务治理端：对系统服务对象进行精细化管理，建立多维度的用户服务标签体系，包括个人标签、婴幼儿标签、行为标签等，并进行标签信息与标签组集成整合管理</w:t>
      </w:r>
      <w:r>
        <w:rPr>
          <w:rFonts w:hint="eastAsia" w:ascii="宋体" w:hAnsi="宋体" w:cs="宋体"/>
          <w:sz w:val="24"/>
        </w:rPr>
        <w:t>。</w:t>
      </w:r>
    </w:p>
    <w:p w14:paraId="4BF778F6">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服务内容标签管理</w:t>
      </w:r>
    </w:p>
    <w:p w14:paraId="4BC97B46">
      <w:pPr>
        <w:adjustRightInd/>
        <w:spacing w:line="360" w:lineRule="auto"/>
        <w:ind w:firstLine="480" w:firstLineChars="200"/>
        <w:rPr>
          <w:rFonts w:ascii="宋体" w:hAnsi="宋体" w:cs="宋体"/>
          <w:sz w:val="24"/>
        </w:rPr>
      </w:pPr>
      <w:r>
        <w:rPr>
          <w:rFonts w:hint="eastAsia"/>
          <w:sz w:val="24"/>
        </w:rPr>
        <w:t>业务治理端：对系统各模块服务进行精细化管理，建立多维度的服务标签体系，包括内容标签、服务知识标签等，并进行标签信息与标签组集成整合管理</w:t>
      </w:r>
      <w:r>
        <w:rPr>
          <w:rFonts w:hint="eastAsia" w:ascii="宋体" w:hAnsi="宋体" w:cs="宋体"/>
          <w:sz w:val="24"/>
        </w:rPr>
        <w:t>。</w:t>
      </w:r>
    </w:p>
    <w:p w14:paraId="7F39ADCC">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标签智能生成与管理</w:t>
      </w:r>
    </w:p>
    <w:p w14:paraId="407BD0DF">
      <w:pPr>
        <w:adjustRightInd/>
        <w:spacing w:line="360" w:lineRule="auto"/>
        <w:ind w:firstLine="480" w:firstLineChars="200"/>
        <w:jc w:val="left"/>
        <w:rPr>
          <w:rFonts w:ascii="宋体" w:hAnsi="宋体" w:cs="宋体"/>
          <w:sz w:val="24"/>
        </w:rPr>
      </w:pPr>
      <w:r>
        <w:rPr>
          <w:rFonts w:hint="eastAsia"/>
          <w:sz w:val="24"/>
        </w:rPr>
        <w:t>业务治理端：根据系统内用户信息、行为信息、服务信息内容、类型等智能生成对应用户标签、服务标签，支持编辑、修改、删除智能生成的标签</w:t>
      </w:r>
      <w:r>
        <w:rPr>
          <w:rFonts w:hint="eastAsia" w:ascii="宋体" w:hAnsi="宋体" w:cs="宋体"/>
          <w:sz w:val="24"/>
        </w:rPr>
        <w:t>。</w:t>
      </w:r>
    </w:p>
    <w:p w14:paraId="2804DFAF">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服务对象与内容智能匹配</w:t>
      </w:r>
    </w:p>
    <w:p w14:paraId="1A206F30">
      <w:pPr>
        <w:adjustRightInd/>
        <w:spacing w:line="360" w:lineRule="auto"/>
        <w:ind w:firstLine="480" w:firstLineChars="200"/>
        <w:jc w:val="left"/>
        <w:rPr>
          <w:rFonts w:ascii="宋体" w:hAnsi="宋体" w:cs="宋体"/>
          <w:sz w:val="24"/>
        </w:rPr>
      </w:pPr>
      <w:r>
        <w:rPr>
          <w:rFonts w:hint="eastAsia"/>
          <w:sz w:val="24"/>
        </w:rPr>
        <w:t>业务治理端：应用服务标签与服务对象标签进行精准匹配，实现个性化“千人千面”式的系统服务与内容的推荐策略</w:t>
      </w:r>
      <w:r>
        <w:rPr>
          <w:rFonts w:hint="eastAsia" w:ascii="宋体" w:hAnsi="宋体" w:cs="宋体"/>
          <w:sz w:val="24"/>
        </w:rPr>
        <w:t>。</w:t>
      </w:r>
    </w:p>
    <w:p w14:paraId="34606FFA">
      <w:pPr>
        <w:keepNext/>
        <w:keepLines/>
        <w:tabs>
          <w:tab w:val="left" w:pos="40"/>
        </w:tabs>
        <w:spacing w:beforeLines="50" w:afterLines="50" w:line="360" w:lineRule="auto"/>
        <w:outlineLvl w:val="5"/>
        <w:rPr>
          <w:rFonts w:ascii="宋体" w:hAnsi="宋体" w:cs="宋体"/>
          <w:b/>
          <w:bCs/>
          <w:kern w:val="0"/>
          <w:sz w:val="28"/>
        </w:rPr>
      </w:pPr>
      <w:r>
        <w:rPr>
          <w:rFonts w:hint="eastAsia" w:ascii="宋体" w:hAnsi="宋体" w:cs="宋体"/>
          <w:b/>
          <w:bCs/>
          <w:kern w:val="0"/>
          <w:sz w:val="28"/>
          <w:szCs w:val="28"/>
        </w:rPr>
        <w:t>8）</w:t>
      </w:r>
      <w:r>
        <w:rPr>
          <w:rFonts w:hint="eastAsia" w:ascii="宋体" w:hAnsi="宋体" w:cs="宋体"/>
          <w:b/>
          <w:bCs/>
          <w:kern w:val="0"/>
          <w:sz w:val="28"/>
        </w:rPr>
        <w:t>消息应用服务</w:t>
      </w:r>
    </w:p>
    <w:p w14:paraId="3AB26769">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a．</w:t>
      </w:r>
      <w:r>
        <w:rPr>
          <w:rFonts w:hint="eastAsia" w:ascii="宋体" w:hAnsi="宋体" w:cs="宋体"/>
          <w:b/>
          <w:bCs/>
          <w:sz w:val="24"/>
        </w:rPr>
        <w:t>消息生产管理</w:t>
      </w:r>
    </w:p>
    <w:p w14:paraId="5F6EAE1D">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消息类型管理</w:t>
      </w:r>
    </w:p>
    <w:p w14:paraId="2155DCD1">
      <w:pPr>
        <w:adjustRightInd/>
        <w:spacing w:line="360" w:lineRule="auto"/>
        <w:ind w:firstLine="480" w:firstLineChars="200"/>
        <w:rPr>
          <w:rFonts w:ascii="宋体" w:hAnsi="宋体" w:cs="宋体"/>
          <w:sz w:val="24"/>
        </w:rPr>
      </w:pPr>
      <w:r>
        <w:rPr>
          <w:rFonts w:hint="eastAsia" w:ascii="宋体" w:hAnsi="宋体" w:cs="宋体"/>
          <w:sz w:val="24"/>
        </w:rPr>
        <w:t>业务治理端：支持消息类型的新增、删除、修改、查询服务。消息类型管理如下表所示：</w:t>
      </w:r>
    </w:p>
    <w:tbl>
      <w:tblPr>
        <w:tblStyle w:val="65"/>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7"/>
        <w:gridCol w:w="5028"/>
      </w:tblGrid>
      <w:tr w14:paraId="7B9A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Align w:val="center"/>
          </w:tcPr>
          <w:p w14:paraId="6612C673">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消息一级分类</w:t>
            </w:r>
          </w:p>
        </w:tc>
        <w:tc>
          <w:tcPr>
            <w:tcW w:w="5028" w:type="dxa"/>
            <w:vAlign w:val="center"/>
          </w:tcPr>
          <w:p w14:paraId="3C274D57">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消息二级分类</w:t>
            </w:r>
          </w:p>
        </w:tc>
      </w:tr>
      <w:tr w14:paraId="75F1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restart"/>
            <w:vAlign w:val="center"/>
          </w:tcPr>
          <w:p w14:paraId="3193B06E">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服务内容推荐消息</w:t>
            </w:r>
          </w:p>
        </w:tc>
        <w:tc>
          <w:tcPr>
            <w:tcW w:w="5028" w:type="dxa"/>
            <w:vAlign w:val="center"/>
          </w:tcPr>
          <w:p w14:paraId="5B56A5BE">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养育知识服务消息</w:t>
            </w:r>
          </w:p>
        </w:tc>
      </w:tr>
      <w:tr w14:paraId="42DE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continue"/>
            <w:vAlign w:val="center"/>
          </w:tcPr>
          <w:p w14:paraId="6E50ADAE">
            <w:pPr>
              <w:snapToGrid w:val="0"/>
              <w:spacing w:line="360" w:lineRule="auto"/>
              <w:ind w:firstLine="42" w:firstLineChars="21"/>
              <w:rPr>
                <w:rFonts w:ascii="宋体" w:hAnsi="宋体" w:cs="宋体"/>
                <w:kern w:val="0"/>
                <w:sz w:val="20"/>
                <w:szCs w:val="20"/>
              </w:rPr>
            </w:pPr>
          </w:p>
        </w:tc>
        <w:tc>
          <w:tcPr>
            <w:tcW w:w="5028" w:type="dxa"/>
            <w:vAlign w:val="center"/>
          </w:tcPr>
          <w:p w14:paraId="4AB28CD7">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发育知识服务消息</w:t>
            </w:r>
          </w:p>
        </w:tc>
      </w:tr>
      <w:tr w14:paraId="153A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continue"/>
            <w:vAlign w:val="center"/>
          </w:tcPr>
          <w:p w14:paraId="78682926">
            <w:pPr>
              <w:snapToGrid w:val="0"/>
              <w:spacing w:line="360" w:lineRule="auto"/>
              <w:ind w:firstLine="42" w:firstLineChars="21"/>
              <w:rPr>
                <w:rFonts w:ascii="宋体" w:hAnsi="宋体" w:cs="宋体"/>
                <w:kern w:val="0"/>
                <w:sz w:val="20"/>
                <w:szCs w:val="20"/>
              </w:rPr>
            </w:pPr>
          </w:p>
        </w:tc>
        <w:tc>
          <w:tcPr>
            <w:tcW w:w="5028" w:type="dxa"/>
            <w:vAlign w:val="center"/>
          </w:tcPr>
          <w:p w14:paraId="24B83C20">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医育知识服务消息</w:t>
            </w:r>
          </w:p>
        </w:tc>
      </w:tr>
      <w:tr w14:paraId="298A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continue"/>
            <w:vAlign w:val="center"/>
          </w:tcPr>
          <w:p w14:paraId="4C2B858A">
            <w:pPr>
              <w:snapToGrid w:val="0"/>
              <w:spacing w:line="360" w:lineRule="auto"/>
              <w:ind w:firstLine="42" w:firstLineChars="21"/>
              <w:rPr>
                <w:rFonts w:ascii="宋体" w:hAnsi="宋体" w:cs="宋体"/>
                <w:kern w:val="0"/>
                <w:sz w:val="20"/>
                <w:szCs w:val="20"/>
              </w:rPr>
            </w:pPr>
          </w:p>
        </w:tc>
        <w:tc>
          <w:tcPr>
            <w:tcW w:w="5028" w:type="dxa"/>
            <w:vAlign w:val="center"/>
          </w:tcPr>
          <w:p w14:paraId="0D770194">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其他</w:t>
            </w:r>
          </w:p>
        </w:tc>
      </w:tr>
      <w:tr w14:paraId="4ECB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restart"/>
            <w:vAlign w:val="center"/>
          </w:tcPr>
          <w:p w14:paraId="229700E4">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业务消息</w:t>
            </w:r>
          </w:p>
        </w:tc>
        <w:tc>
          <w:tcPr>
            <w:tcW w:w="5028" w:type="dxa"/>
            <w:vAlign w:val="center"/>
          </w:tcPr>
          <w:p w14:paraId="43BD6CE0">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机构每日照护服务消息</w:t>
            </w:r>
          </w:p>
        </w:tc>
      </w:tr>
      <w:tr w14:paraId="2501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continue"/>
            <w:vAlign w:val="center"/>
          </w:tcPr>
          <w:p w14:paraId="76759EAE">
            <w:pPr>
              <w:snapToGrid w:val="0"/>
              <w:spacing w:line="360" w:lineRule="auto"/>
              <w:ind w:firstLine="42" w:firstLineChars="21"/>
              <w:rPr>
                <w:rFonts w:ascii="宋体" w:hAnsi="宋体" w:cs="宋体"/>
                <w:kern w:val="0"/>
                <w:sz w:val="20"/>
                <w:szCs w:val="20"/>
              </w:rPr>
            </w:pPr>
          </w:p>
        </w:tc>
        <w:tc>
          <w:tcPr>
            <w:tcW w:w="5028" w:type="dxa"/>
            <w:vAlign w:val="center"/>
          </w:tcPr>
          <w:p w14:paraId="1E83D21C">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发育里程碑打卡服务消息</w:t>
            </w:r>
          </w:p>
        </w:tc>
      </w:tr>
      <w:tr w14:paraId="40A8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continue"/>
            <w:vAlign w:val="center"/>
          </w:tcPr>
          <w:p w14:paraId="5A77AB79">
            <w:pPr>
              <w:snapToGrid w:val="0"/>
              <w:spacing w:line="360" w:lineRule="auto"/>
              <w:ind w:firstLine="42" w:firstLineChars="21"/>
              <w:rPr>
                <w:rFonts w:ascii="宋体" w:hAnsi="宋体" w:cs="宋体"/>
                <w:kern w:val="0"/>
                <w:sz w:val="20"/>
                <w:szCs w:val="20"/>
              </w:rPr>
            </w:pPr>
          </w:p>
        </w:tc>
        <w:tc>
          <w:tcPr>
            <w:tcW w:w="5028" w:type="dxa"/>
            <w:vAlign w:val="center"/>
          </w:tcPr>
          <w:p w14:paraId="69EF2FDF">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养育照护小组服务消息</w:t>
            </w:r>
          </w:p>
        </w:tc>
      </w:tr>
      <w:tr w14:paraId="6263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continue"/>
            <w:vAlign w:val="center"/>
          </w:tcPr>
          <w:p w14:paraId="0C099815">
            <w:pPr>
              <w:snapToGrid w:val="0"/>
              <w:spacing w:line="360" w:lineRule="auto"/>
              <w:ind w:firstLine="42" w:firstLineChars="21"/>
              <w:rPr>
                <w:rFonts w:ascii="宋体" w:hAnsi="宋体" w:cs="宋体"/>
                <w:kern w:val="0"/>
                <w:sz w:val="20"/>
                <w:szCs w:val="20"/>
              </w:rPr>
            </w:pPr>
          </w:p>
        </w:tc>
        <w:tc>
          <w:tcPr>
            <w:tcW w:w="5028" w:type="dxa"/>
            <w:vAlign w:val="center"/>
          </w:tcPr>
          <w:p w14:paraId="31954AE1">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体检预约提醒消息</w:t>
            </w:r>
          </w:p>
        </w:tc>
      </w:tr>
      <w:tr w14:paraId="286C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continue"/>
            <w:vAlign w:val="center"/>
          </w:tcPr>
          <w:p w14:paraId="21D213D5">
            <w:pPr>
              <w:snapToGrid w:val="0"/>
              <w:spacing w:line="360" w:lineRule="auto"/>
              <w:ind w:firstLine="42" w:firstLineChars="21"/>
              <w:rPr>
                <w:rFonts w:ascii="宋体" w:hAnsi="宋体" w:cs="宋体"/>
                <w:kern w:val="0"/>
                <w:sz w:val="20"/>
                <w:szCs w:val="20"/>
              </w:rPr>
            </w:pPr>
          </w:p>
        </w:tc>
        <w:tc>
          <w:tcPr>
            <w:tcW w:w="5028" w:type="dxa"/>
            <w:vAlign w:val="center"/>
          </w:tcPr>
          <w:p w14:paraId="5CFDBBBE">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从业人员证照有效期到期提醒消息</w:t>
            </w:r>
          </w:p>
        </w:tc>
      </w:tr>
      <w:tr w14:paraId="130D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vMerge w:val="continue"/>
            <w:vAlign w:val="center"/>
          </w:tcPr>
          <w:p w14:paraId="2E64D4DB">
            <w:pPr>
              <w:snapToGrid w:val="0"/>
              <w:spacing w:line="360" w:lineRule="auto"/>
              <w:ind w:firstLine="42" w:firstLineChars="21"/>
              <w:rPr>
                <w:rFonts w:ascii="宋体" w:hAnsi="宋体" w:cs="宋体"/>
                <w:kern w:val="0"/>
                <w:sz w:val="20"/>
                <w:szCs w:val="20"/>
              </w:rPr>
            </w:pPr>
          </w:p>
        </w:tc>
        <w:tc>
          <w:tcPr>
            <w:tcW w:w="5028" w:type="dxa"/>
            <w:vAlign w:val="center"/>
          </w:tcPr>
          <w:p w14:paraId="0D446E99">
            <w:pPr>
              <w:snapToGrid w:val="0"/>
              <w:spacing w:line="360" w:lineRule="auto"/>
              <w:ind w:firstLine="42" w:firstLineChars="21"/>
              <w:rPr>
                <w:rFonts w:ascii="宋体" w:hAnsi="宋体" w:cs="宋体"/>
                <w:kern w:val="0"/>
                <w:sz w:val="20"/>
                <w:szCs w:val="20"/>
              </w:rPr>
            </w:pPr>
            <w:r>
              <w:rPr>
                <w:rFonts w:hint="eastAsia" w:ascii="宋体" w:hAnsi="宋体" w:cs="宋体"/>
                <w:kern w:val="0"/>
                <w:sz w:val="20"/>
                <w:szCs w:val="20"/>
              </w:rPr>
              <w:t>其他</w:t>
            </w:r>
          </w:p>
        </w:tc>
      </w:tr>
    </w:tbl>
    <w:p w14:paraId="0A52B8C1">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ascii="宋体" w:hAnsi="宋体"/>
          <w:kern w:val="0"/>
          <w:sz w:val="20"/>
          <w:szCs w:val="20"/>
        </w:rPr>
        <w:t>◆</w:t>
      </w:r>
      <w:r>
        <w:rPr>
          <w:rFonts w:hint="eastAsia" w:ascii="宋体" w:hAnsi="宋体" w:cs="宋体"/>
          <w:sz w:val="24"/>
        </w:rPr>
        <w:t>源消息生产</w:t>
      </w:r>
    </w:p>
    <w:p w14:paraId="4338E4D2">
      <w:pPr>
        <w:adjustRightInd/>
        <w:spacing w:line="360" w:lineRule="auto"/>
        <w:ind w:firstLine="480" w:firstLineChars="200"/>
        <w:jc w:val="left"/>
        <w:rPr>
          <w:rFonts w:ascii="宋体" w:hAnsi="宋体" w:cs="宋体"/>
          <w:sz w:val="24"/>
        </w:rPr>
      </w:pPr>
      <w:r>
        <w:rPr>
          <w:rFonts w:hint="eastAsia" w:ascii="宋体" w:hAnsi="宋体" w:cs="宋体"/>
          <w:sz w:val="24"/>
        </w:rPr>
        <w:t>业务治理端：根据消息业务规则与对象服务标签，生产源消息内容。举例如下：</w:t>
      </w:r>
    </w:p>
    <w:p w14:paraId="3F334FA2">
      <w:pPr>
        <w:adjustRightInd/>
        <w:spacing w:line="360" w:lineRule="auto"/>
        <w:ind w:firstLine="480" w:firstLineChars="200"/>
        <w:jc w:val="left"/>
        <w:rPr>
          <w:rFonts w:ascii="宋体" w:hAnsi="宋体" w:cs="宋体"/>
          <w:sz w:val="24"/>
        </w:rPr>
      </w:pPr>
      <w:r>
        <w:rPr>
          <w:rFonts w:hint="eastAsia" w:ascii="宋体" w:hAnsi="宋体" w:cs="宋体"/>
          <w:sz w:val="24"/>
        </w:rPr>
        <w:t>消息类型：体检预约提醒消息。</w:t>
      </w:r>
    </w:p>
    <w:p w14:paraId="15361F5C">
      <w:pPr>
        <w:adjustRightInd/>
        <w:spacing w:line="360" w:lineRule="auto"/>
        <w:ind w:firstLine="480" w:firstLineChars="200"/>
        <w:jc w:val="left"/>
        <w:rPr>
          <w:rFonts w:ascii="宋体" w:hAnsi="宋体" w:cs="宋体"/>
          <w:sz w:val="24"/>
        </w:rPr>
      </w:pPr>
      <w:r>
        <w:rPr>
          <w:rFonts w:hint="eastAsia" w:ascii="宋体" w:hAnsi="宋体" w:cs="宋体"/>
          <w:sz w:val="24"/>
        </w:rPr>
        <w:t>消息内容：尊敬的张三小朋友家长，提醒您于2024年5月1日前预约张三小朋友的下次体检。</w:t>
      </w:r>
    </w:p>
    <w:p w14:paraId="0A94AF7D">
      <w:pPr>
        <w:adjustRightInd/>
        <w:spacing w:line="360" w:lineRule="auto"/>
        <w:ind w:firstLine="480" w:firstLineChars="200"/>
        <w:jc w:val="left"/>
        <w:rPr>
          <w:rFonts w:ascii="宋体" w:hAnsi="宋体" w:cs="宋体"/>
          <w:sz w:val="24"/>
        </w:rPr>
      </w:pPr>
      <w:r>
        <w:rPr>
          <w:rFonts w:hint="eastAsia" w:ascii="宋体" w:hAnsi="宋体" w:cs="宋体"/>
          <w:sz w:val="24"/>
        </w:rPr>
        <w:t>消息链接业务服务页：********</w:t>
      </w:r>
    </w:p>
    <w:p w14:paraId="0227567A">
      <w:pPr>
        <w:adjustRightInd/>
        <w:spacing w:line="360" w:lineRule="auto"/>
        <w:ind w:firstLine="480" w:firstLineChars="200"/>
        <w:jc w:val="left"/>
        <w:rPr>
          <w:rFonts w:ascii="宋体" w:hAnsi="宋体" w:cs="宋体"/>
          <w:sz w:val="24"/>
        </w:rPr>
      </w:pPr>
      <w:r>
        <w:rPr>
          <w:rFonts w:hint="eastAsia" w:ascii="宋体" w:hAnsi="宋体" w:cs="宋体"/>
          <w:sz w:val="24"/>
        </w:rPr>
        <w:t>消息触达终端应用：善育在杭</w:t>
      </w:r>
    </w:p>
    <w:p w14:paraId="47FC333F">
      <w:pPr>
        <w:adjustRightInd/>
        <w:spacing w:line="360" w:lineRule="auto"/>
        <w:ind w:firstLine="480" w:firstLineChars="200"/>
        <w:jc w:val="left"/>
        <w:rPr>
          <w:rFonts w:ascii="宋体" w:hAnsi="宋体" w:cs="宋体"/>
          <w:sz w:val="24"/>
        </w:rPr>
      </w:pPr>
      <w:r>
        <w:rPr>
          <w:rFonts w:hint="eastAsia" w:ascii="宋体" w:hAnsi="宋体" w:cs="宋体"/>
          <w:sz w:val="24"/>
        </w:rPr>
        <w:t>消息触达目标对象手机号：15812345678</w:t>
      </w:r>
    </w:p>
    <w:p w14:paraId="430D56B7">
      <w:pPr>
        <w:adjustRightInd/>
        <w:spacing w:line="360" w:lineRule="auto"/>
        <w:ind w:firstLine="480" w:firstLineChars="200"/>
        <w:jc w:val="left"/>
        <w:rPr>
          <w:rFonts w:ascii="宋体" w:hAnsi="宋体" w:cs="宋体"/>
          <w:sz w:val="24"/>
        </w:rPr>
      </w:pPr>
      <w:r>
        <w:rPr>
          <w:rFonts w:hint="eastAsia" w:ascii="宋体" w:hAnsi="宋体" w:cs="宋体"/>
          <w:sz w:val="24"/>
        </w:rPr>
        <w:t>消息触达目标对象身份证号：3301**************</w:t>
      </w:r>
    </w:p>
    <w:p w14:paraId="2E880848">
      <w:pPr>
        <w:adjustRightInd/>
        <w:spacing w:line="360" w:lineRule="auto"/>
        <w:ind w:firstLine="480" w:firstLineChars="200"/>
        <w:jc w:val="left"/>
        <w:rPr>
          <w:rFonts w:ascii="宋体" w:hAnsi="宋体" w:cs="宋体"/>
          <w:sz w:val="24"/>
        </w:rPr>
      </w:pPr>
      <w:r>
        <w:rPr>
          <w:rFonts w:hint="eastAsia" w:ascii="宋体" w:hAnsi="宋体" w:cs="宋体"/>
          <w:sz w:val="24"/>
        </w:rPr>
        <w:t>（提供上述各类场景的详细消息实例及应用效果图）</w:t>
      </w:r>
    </w:p>
    <w:p w14:paraId="235B77C4">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消息链接业务服务管理</w:t>
      </w:r>
    </w:p>
    <w:p w14:paraId="3267DC32">
      <w:pPr>
        <w:adjustRightInd/>
        <w:spacing w:line="360" w:lineRule="auto"/>
        <w:ind w:firstLine="480" w:firstLineChars="200"/>
        <w:jc w:val="left"/>
        <w:rPr>
          <w:rFonts w:ascii="宋体" w:hAnsi="宋体" w:cs="宋体"/>
          <w:sz w:val="24"/>
        </w:rPr>
      </w:pPr>
      <w:r>
        <w:rPr>
          <w:rFonts w:hint="eastAsia"/>
          <w:sz w:val="24"/>
        </w:rPr>
        <w:t>针对各类消息可配置不同的消息服务链接，如养育照护小组活动消息触达后用户点击该消息可跳转到养育照护小组活动详情预约页面、养育知识服务消息触达后用户点击该消息可跳转到知识内容详情页</w:t>
      </w:r>
      <w:r>
        <w:rPr>
          <w:rFonts w:hint="eastAsia" w:ascii="宋体" w:hAnsi="宋体" w:cs="宋体"/>
          <w:sz w:val="24"/>
        </w:rPr>
        <w:t>。</w:t>
      </w:r>
    </w:p>
    <w:p w14:paraId="2AFA7128">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d）</w:t>
      </w:r>
      <w:r>
        <w:rPr>
          <w:rFonts w:hint="eastAsia" w:ascii="宋体" w:hAnsi="宋体" w:cs="宋体"/>
          <w:sz w:val="24"/>
        </w:rPr>
        <w:t>消息触达对象管理</w:t>
      </w:r>
    </w:p>
    <w:p w14:paraId="4D1971D6">
      <w:pPr>
        <w:adjustRightInd/>
        <w:spacing w:line="360" w:lineRule="auto"/>
        <w:ind w:firstLine="480" w:firstLineChars="200"/>
        <w:jc w:val="left"/>
        <w:rPr>
          <w:rFonts w:ascii="宋体" w:hAnsi="宋体" w:cs="宋体"/>
          <w:sz w:val="24"/>
        </w:rPr>
      </w:pPr>
      <w:r>
        <w:rPr>
          <w:rFonts w:hint="eastAsia"/>
          <w:sz w:val="24"/>
        </w:rPr>
        <w:t>业务治理端：可在各类消息配置与管理模块根据对象标签进行各类消息的推荐，包括月龄标签、婴幼儿健康状态标签等。选择标签后一键查看推送消息对象列表，可再次根据个性化的修改选择是否推送</w:t>
      </w:r>
      <w:r>
        <w:rPr>
          <w:rFonts w:hint="eastAsia" w:ascii="宋体" w:hAnsi="宋体" w:cs="宋体"/>
          <w:sz w:val="24"/>
        </w:rPr>
        <w:t>。</w:t>
      </w:r>
    </w:p>
    <w:p w14:paraId="12BEF217">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e）</w:t>
      </w:r>
      <w:r>
        <w:rPr>
          <w:rFonts w:hint="eastAsia" w:ascii="宋体" w:hAnsi="宋体" w:cs="宋体"/>
          <w:sz w:val="24"/>
        </w:rPr>
        <w:t>时间段管理</w:t>
      </w:r>
    </w:p>
    <w:p w14:paraId="3C45FE99">
      <w:pPr>
        <w:adjustRightInd/>
        <w:spacing w:line="360" w:lineRule="auto"/>
        <w:ind w:firstLine="480" w:firstLineChars="200"/>
        <w:jc w:val="left"/>
        <w:rPr>
          <w:rFonts w:ascii="宋体" w:hAnsi="宋体" w:cs="宋体"/>
          <w:sz w:val="24"/>
        </w:rPr>
      </w:pPr>
      <w:r>
        <w:rPr>
          <w:rFonts w:hint="eastAsia"/>
          <w:sz w:val="24"/>
        </w:rPr>
        <w:t>业务治理端：可在消息推送管理页面选择消息推送的时间，选择即时推送或定时推送等</w:t>
      </w:r>
      <w:r>
        <w:rPr>
          <w:rFonts w:hint="eastAsia" w:ascii="宋体" w:hAnsi="宋体" w:cs="宋体"/>
          <w:sz w:val="24"/>
        </w:rPr>
        <w:t>。</w:t>
      </w:r>
    </w:p>
    <w:p w14:paraId="48BD7324">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b．</w:t>
      </w:r>
      <w:r>
        <w:rPr>
          <w:rFonts w:hint="eastAsia" w:ascii="宋体" w:hAnsi="宋体" w:cs="宋体"/>
          <w:b/>
          <w:bCs/>
          <w:sz w:val="24"/>
        </w:rPr>
        <w:t>服务消息推送内容管理</w:t>
      </w:r>
    </w:p>
    <w:p w14:paraId="381A3A90">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a）</w:t>
      </w:r>
      <w:r>
        <w:rPr>
          <w:rFonts w:hint="eastAsia" w:ascii="宋体" w:hAnsi="宋体" w:cs="宋体"/>
          <w:sz w:val="24"/>
        </w:rPr>
        <w:t>养育知识推送</w:t>
      </w:r>
    </w:p>
    <w:p w14:paraId="46A4A8EE">
      <w:pPr>
        <w:adjustRightInd/>
        <w:spacing w:line="360" w:lineRule="auto"/>
        <w:ind w:firstLine="480" w:firstLineChars="200"/>
        <w:jc w:val="left"/>
        <w:rPr>
          <w:rFonts w:ascii="宋体" w:hAnsi="宋体" w:cs="宋体"/>
          <w:sz w:val="24"/>
        </w:rPr>
      </w:pPr>
      <w:r>
        <w:rPr>
          <w:rFonts w:hint="eastAsia" w:ascii="宋体" w:hAnsi="宋体" w:cs="宋体"/>
          <w:sz w:val="24"/>
        </w:rPr>
        <w:t>向家长个性化推送孩子对应月龄阶段的图文声多模态的养育照护知识，如交流与玩耍知识等。</w:t>
      </w:r>
    </w:p>
    <w:p w14:paraId="57CE2BC7">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b）</w:t>
      </w:r>
      <w:r>
        <w:rPr>
          <w:rFonts w:hint="eastAsia" w:ascii="宋体" w:hAnsi="宋体" w:cs="宋体"/>
          <w:sz w:val="24"/>
        </w:rPr>
        <w:t>营养膳食知识推送</w:t>
      </w:r>
    </w:p>
    <w:p w14:paraId="479EF8DB">
      <w:pPr>
        <w:adjustRightInd/>
        <w:spacing w:line="360" w:lineRule="auto"/>
        <w:ind w:firstLine="480" w:firstLineChars="200"/>
        <w:jc w:val="left"/>
        <w:rPr>
          <w:rFonts w:ascii="宋体" w:hAnsi="宋体" w:cs="宋体"/>
          <w:sz w:val="24"/>
        </w:rPr>
      </w:pPr>
      <w:r>
        <w:rPr>
          <w:rFonts w:hint="eastAsia" w:ascii="宋体" w:hAnsi="宋体" w:cs="宋体"/>
          <w:sz w:val="24"/>
        </w:rPr>
        <w:t>向家长个性化推送孩子对应月龄阶段的图文声多模态的营养膳食知识，如营养膳食知识、个性化食谱等。</w:t>
      </w:r>
    </w:p>
    <w:p w14:paraId="4A03E289">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c）</w:t>
      </w:r>
      <w:r>
        <w:rPr>
          <w:rFonts w:hint="eastAsia" w:ascii="宋体" w:hAnsi="宋体" w:cs="宋体"/>
          <w:sz w:val="24"/>
        </w:rPr>
        <w:t>发育知识推送</w:t>
      </w:r>
    </w:p>
    <w:p w14:paraId="68AFA43D">
      <w:pPr>
        <w:adjustRightInd/>
        <w:spacing w:line="360" w:lineRule="auto"/>
        <w:ind w:firstLine="480" w:firstLineChars="200"/>
        <w:jc w:val="left"/>
        <w:rPr>
          <w:rFonts w:ascii="宋体" w:hAnsi="宋体" w:cs="宋体"/>
          <w:sz w:val="24"/>
        </w:rPr>
      </w:pPr>
      <w:r>
        <w:rPr>
          <w:rFonts w:hint="eastAsia" w:ascii="宋体" w:hAnsi="宋体" w:cs="宋体"/>
          <w:sz w:val="24"/>
        </w:rPr>
        <w:t>向家长个性化推送孩子对应月龄阶段的图文声多模态的婴幼儿发育知识，如体格检查、神经发育知识等。</w:t>
      </w:r>
    </w:p>
    <w:p w14:paraId="7B2C7FE5">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d）</w:t>
      </w:r>
      <w:r>
        <w:rPr>
          <w:rFonts w:hint="eastAsia" w:ascii="宋体" w:hAnsi="宋体" w:cs="宋体"/>
          <w:sz w:val="24"/>
        </w:rPr>
        <w:t>医育知识推送</w:t>
      </w:r>
    </w:p>
    <w:p w14:paraId="06F5E420">
      <w:pPr>
        <w:adjustRightInd/>
        <w:spacing w:line="360" w:lineRule="auto"/>
        <w:ind w:firstLine="480" w:firstLineChars="200"/>
        <w:jc w:val="left"/>
        <w:rPr>
          <w:rFonts w:ascii="宋体" w:hAnsi="宋体" w:cs="宋体"/>
          <w:sz w:val="24"/>
        </w:rPr>
      </w:pPr>
      <w:r>
        <w:rPr>
          <w:rFonts w:hint="eastAsia" w:ascii="宋体" w:hAnsi="宋体" w:cs="宋体"/>
          <w:sz w:val="24"/>
        </w:rPr>
        <w:t>向家长个性化推送高危儿、体弱儿等发育异常孩子的婴幼儿医育知识，如超重、肥胖、营养性疾病等知识。</w:t>
      </w:r>
    </w:p>
    <w:p w14:paraId="50F753FA">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e）</w:t>
      </w:r>
      <w:r>
        <w:rPr>
          <w:rFonts w:hint="eastAsia" w:ascii="宋体" w:hAnsi="宋体" w:cs="宋体"/>
          <w:sz w:val="24"/>
        </w:rPr>
        <w:t>发育里程碑打卡提醒推送</w:t>
      </w:r>
    </w:p>
    <w:p w14:paraId="216A81EC">
      <w:pPr>
        <w:adjustRightInd/>
        <w:spacing w:line="360" w:lineRule="auto"/>
        <w:ind w:firstLine="480" w:firstLineChars="200"/>
        <w:jc w:val="left"/>
        <w:rPr>
          <w:rFonts w:ascii="宋体" w:hAnsi="宋体" w:cs="宋体"/>
          <w:sz w:val="24"/>
        </w:rPr>
      </w:pPr>
      <w:r>
        <w:rPr>
          <w:rFonts w:hint="eastAsia" w:ascii="宋体" w:hAnsi="宋体" w:cs="宋体"/>
          <w:sz w:val="24"/>
        </w:rPr>
        <w:t>针对孩子当前月龄阶段向家长智能推送发育里程碑打卡信息，如翻身、爬、站立、走路等里程碑，家长可在线记录，提高家长育儿的获得感和幸福感。</w:t>
      </w:r>
    </w:p>
    <w:p w14:paraId="7405F100">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f）</w:t>
      </w:r>
      <w:r>
        <w:rPr>
          <w:rFonts w:hint="eastAsia" w:ascii="宋体" w:hAnsi="宋体" w:cs="宋体"/>
          <w:sz w:val="24"/>
        </w:rPr>
        <w:t>养育照护小组活动消息推送</w:t>
      </w:r>
    </w:p>
    <w:p w14:paraId="06851573">
      <w:pPr>
        <w:adjustRightInd/>
        <w:spacing w:line="360" w:lineRule="auto"/>
        <w:ind w:firstLine="480" w:firstLineChars="200"/>
        <w:jc w:val="left"/>
        <w:rPr>
          <w:rFonts w:ascii="宋体" w:hAnsi="宋体" w:cs="宋体"/>
          <w:sz w:val="24"/>
        </w:rPr>
      </w:pPr>
      <w:r>
        <w:rPr>
          <w:rFonts w:hint="eastAsia" w:ascii="宋体" w:hAnsi="宋体" w:cs="宋体"/>
          <w:sz w:val="24"/>
        </w:rPr>
        <w:t>向家长个性化推送养育照护小组活动，包括活动预约提醒、签到提醒、活动评价提醒等。</w:t>
      </w:r>
    </w:p>
    <w:p w14:paraId="723B942D">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g）</w:t>
      </w:r>
      <w:r>
        <w:rPr>
          <w:rFonts w:hint="eastAsia" w:ascii="宋体" w:hAnsi="宋体" w:cs="宋体"/>
          <w:sz w:val="24"/>
        </w:rPr>
        <w:t>机构每日照护服务消息推送</w:t>
      </w:r>
    </w:p>
    <w:p w14:paraId="4F669A55">
      <w:pPr>
        <w:adjustRightInd/>
        <w:spacing w:line="360" w:lineRule="auto"/>
        <w:ind w:firstLine="480" w:firstLineChars="200"/>
        <w:jc w:val="left"/>
        <w:rPr>
          <w:rFonts w:ascii="宋体" w:hAnsi="宋体" w:cs="宋体"/>
          <w:sz w:val="24"/>
        </w:rPr>
      </w:pPr>
      <w:r>
        <w:rPr>
          <w:rFonts w:hint="eastAsia" w:ascii="宋体" w:hAnsi="宋体" w:cs="宋体"/>
          <w:sz w:val="24"/>
        </w:rPr>
        <w:t>向在托婴幼儿家长推送机构每日的照护信息、入离园信息等托育数智守护应用信息。</w:t>
      </w:r>
    </w:p>
    <w:p w14:paraId="618836D7">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h）</w:t>
      </w:r>
      <w:r>
        <w:rPr>
          <w:rFonts w:hint="eastAsia" w:ascii="宋体" w:hAnsi="宋体" w:cs="宋体"/>
          <w:sz w:val="24"/>
        </w:rPr>
        <w:t>从业人员证照有效期到期提醒消息推送</w:t>
      </w:r>
    </w:p>
    <w:p w14:paraId="2AF4ECD5">
      <w:pPr>
        <w:adjustRightInd/>
        <w:spacing w:line="360" w:lineRule="auto"/>
        <w:ind w:firstLine="480" w:firstLineChars="200"/>
        <w:jc w:val="left"/>
        <w:rPr>
          <w:rFonts w:ascii="宋体" w:hAnsi="宋体" w:cs="宋体"/>
          <w:sz w:val="24"/>
        </w:rPr>
      </w:pPr>
      <w:r>
        <w:rPr>
          <w:rFonts w:hint="eastAsia" w:ascii="宋体" w:hAnsi="宋体" w:cs="宋体"/>
          <w:sz w:val="24"/>
        </w:rPr>
        <w:t>向全市范围内的从业人员精准推送从业资格证有效期监测情况，对证照即将到期的从业人员进行消息推送，提醒其重新预约体检。</w:t>
      </w:r>
    </w:p>
    <w:p w14:paraId="1CFA3611">
      <w:pPr>
        <w:keepNext/>
        <w:keepLines/>
        <w:tabs>
          <w:tab w:val="left" w:pos="1440"/>
        </w:tabs>
        <w:spacing w:before="240" w:after="64" w:line="320" w:lineRule="auto"/>
        <w:outlineLvl w:val="7"/>
        <w:rPr>
          <w:rFonts w:ascii="宋体" w:hAnsi="宋体" w:cs="宋体"/>
          <w:sz w:val="24"/>
        </w:rPr>
      </w:pPr>
      <w:r>
        <w:rPr>
          <w:rFonts w:hint="eastAsia" w:ascii="宋体" w:hAnsi="宋体" w:cs="宋体"/>
          <w:sz w:val="28"/>
          <w:szCs w:val="28"/>
        </w:rPr>
        <w:t>i）</w:t>
      </w:r>
      <w:r>
        <w:rPr>
          <w:rFonts w:hint="eastAsia" w:ascii="宋体" w:hAnsi="宋体" w:cs="宋体"/>
          <w:sz w:val="24"/>
        </w:rPr>
        <w:t>体检预约提醒消息推送</w:t>
      </w:r>
    </w:p>
    <w:p w14:paraId="14BEFA3A">
      <w:pPr>
        <w:adjustRightInd/>
        <w:spacing w:line="360" w:lineRule="auto"/>
        <w:ind w:firstLine="480" w:firstLineChars="200"/>
        <w:jc w:val="left"/>
        <w:rPr>
          <w:rFonts w:ascii="宋体" w:hAnsi="宋体" w:cs="宋体"/>
          <w:sz w:val="24"/>
        </w:rPr>
      </w:pPr>
      <w:r>
        <w:rPr>
          <w:rFonts w:hint="eastAsia" w:ascii="宋体" w:hAnsi="宋体" w:cs="宋体"/>
          <w:sz w:val="24"/>
        </w:rPr>
        <w:t>针对已体检的婴幼儿，向该婴幼儿家长推送下次体检时间，并在体检时间前预设时间范围提醒家长在线预约体检。</w:t>
      </w:r>
    </w:p>
    <w:p w14:paraId="614D7418">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c．</w:t>
      </w:r>
      <w:r>
        <w:rPr>
          <w:rFonts w:hint="eastAsia" w:ascii="宋体" w:hAnsi="宋体" w:cs="宋体"/>
          <w:b/>
          <w:bCs/>
          <w:sz w:val="24"/>
        </w:rPr>
        <w:t>消息推送流量控制</w:t>
      </w:r>
    </w:p>
    <w:p w14:paraId="391DE54C">
      <w:pPr>
        <w:adjustRightInd/>
        <w:spacing w:line="360" w:lineRule="auto"/>
        <w:ind w:firstLine="480" w:firstLineChars="200"/>
        <w:jc w:val="left"/>
        <w:rPr>
          <w:rFonts w:ascii="宋体" w:hAnsi="宋体" w:cs="宋体"/>
          <w:sz w:val="24"/>
        </w:rPr>
      </w:pPr>
      <w:r>
        <w:rPr>
          <w:rFonts w:hint="eastAsia"/>
          <w:sz w:val="24"/>
        </w:rPr>
        <w:t>业务治理端：对需要的触达的海量消息进行流量控制，针对海量的服务消息进行削峰填谷推送至家长服务端，保证系统稳定</w:t>
      </w:r>
      <w:r>
        <w:rPr>
          <w:rFonts w:hint="eastAsia" w:ascii="宋体" w:hAnsi="宋体" w:cs="宋体"/>
          <w:sz w:val="24"/>
        </w:rPr>
        <w:t>。</w:t>
      </w:r>
    </w:p>
    <w:p w14:paraId="6DA39A87">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d．</w:t>
      </w:r>
      <w:r>
        <w:rPr>
          <w:rFonts w:hint="eastAsia" w:ascii="宋体" w:hAnsi="宋体" w:cs="宋体"/>
          <w:b/>
          <w:bCs/>
          <w:sz w:val="24"/>
        </w:rPr>
        <w:t>推送消息记录管理</w:t>
      </w:r>
    </w:p>
    <w:p w14:paraId="78A7770B">
      <w:pPr>
        <w:adjustRightInd/>
        <w:spacing w:line="360" w:lineRule="auto"/>
        <w:ind w:firstLine="480" w:firstLineChars="200"/>
        <w:jc w:val="left"/>
        <w:rPr>
          <w:rFonts w:ascii="宋体" w:hAnsi="宋体" w:cs="宋体"/>
          <w:sz w:val="24"/>
        </w:rPr>
      </w:pPr>
      <w:r>
        <w:rPr>
          <w:rFonts w:hint="eastAsia"/>
          <w:sz w:val="24"/>
        </w:rPr>
        <w:t>业务治理端：支持通过消息管理服务，查询今日、过往时间段推送的消息记录，包括消息内容、消息类型、终端系统、终端系统对象用户信息等信息</w:t>
      </w:r>
      <w:r>
        <w:rPr>
          <w:rFonts w:hint="eastAsia" w:ascii="宋体" w:hAnsi="宋体" w:cs="宋体"/>
          <w:sz w:val="24"/>
        </w:rPr>
        <w:t>。</w:t>
      </w:r>
    </w:p>
    <w:p w14:paraId="51C17698">
      <w:pPr>
        <w:keepNext/>
        <w:keepLines/>
        <w:tabs>
          <w:tab w:val="left" w:pos="1296"/>
        </w:tabs>
        <w:spacing w:before="240" w:after="64" w:line="320" w:lineRule="auto"/>
        <w:outlineLvl w:val="6"/>
        <w:rPr>
          <w:rFonts w:ascii="宋体" w:hAnsi="宋体" w:cs="宋体"/>
          <w:b/>
          <w:bCs/>
          <w:sz w:val="24"/>
        </w:rPr>
      </w:pPr>
      <w:r>
        <w:rPr>
          <w:rFonts w:hint="eastAsia" w:ascii="宋体" w:hAnsi="宋体" w:cs="宋体"/>
          <w:b/>
          <w:bCs/>
          <w:sz w:val="28"/>
          <w:szCs w:val="28"/>
        </w:rPr>
        <w:t>e．</w:t>
      </w:r>
      <w:r>
        <w:rPr>
          <w:rFonts w:hint="eastAsia" w:ascii="宋体" w:hAnsi="宋体" w:cs="宋体"/>
          <w:b/>
          <w:bCs/>
          <w:sz w:val="24"/>
        </w:rPr>
        <w:t>消息服务大数据分析</w:t>
      </w:r>
    </w:p>
    <w:p w14:paraId="256CB879">
      <w:pPr>
        <w:adjustRightInd/>
        <w:spacing w:line="360" w:lineRule="auto"/>
        <w:ind w:firstLine="480" w:firstLineChars="200"/>
        <w:jc w:val="left"/>
        <w:rPr>
          <w:rFonts w:ascii="宋体" w:hAnsi="宋体" w:cs="宋体"/>
          <w:sz w:val="24"/>
        </w:rPr>
      </w:pPr>
      <w:r>
        <w:rPr>
          <w:rFonts w:hint="eastAsia"/>
          <w:sz w:val="24"/>
        </w:rPr>
        <w:t>业务治理端：应用大数据分析与BI可视化技术，可视化呈现各类消息的推送与服务情况，各类消息推送占比等</w:t>
      </w:r>
      <w:r>
        <w:rPr>
          <w:rFonts w:hint="eastAsia" w:ascii="宋体" w:hAnsi="宋体" w:cs="宋体"/>
          <w:sz w:val="24"/>
        </w:rPr>
        <w:t>。</w:t>
      </w:r>
    </w:p>
    <w:p w14:paraId="5D98CEE8">
      <w:pPr>
        <w:keepNext/>
        <w:keepLines/>
        <w:numPr>
          <w:ilvl w:val="2"/>
          <w:numId w:val="1"/>
        </w:numPr>
        <w:tabs>
          <w:tab w:val="left" w:pos="432"/>
          <w:tab w:val="left" w:pos="1400"/>
        </w:tabs>
        <w:adjustRightInd/>
        <w:spacing w:before="260" w:after="260" w:line="416" w:lineRule="auto"/>
        <w:outlineLvl w:val="2"/>
        <w:rPr>
          <w:rFonts w:ascii="宋体" w:hAnsi="宋体" w:cs="宋体"/>
          <w:b/>
          <w:bCs/>
          <w:sz w:val="24"/>
          <w:szCs w:val="28"/>
        </w:rPr>
      </w:pPr>
      <w:r>
        <w:rPr>
          <w:rFonts w:hint="eastAsia" w:ascii="宋体" w:hAnsi="宋体" w:cs="宋体"/>
          <w:b/>
          <w:bCs/>
          <w:sz w:val="24"/>
          <w:szCs w:val="28"/>
        </w:rPr>
        <w:t>云资源服务</w:t>
      </w:r>
    </w:p>
    <w:p w14:paraId="211FD80F">
      <w:pPr>
        <w:adjustRightInd/>
        <w:spacing w:line="360" w:lineRule="auto"/>
        <w:ind w:firstLine="480" w:firstLineChars="200"/>
        <w:rPr>
          <w:rFonts w:ascii="宋体" w:hAnsi="宋体" w:cs="宋体"/>
          <w:sz w:val="24"/>
        </w:rPr>
      </w:pPr>
      <w:r>
        <w:rPr>
          <w:rFonts w:hint="eastAsia" w:ascii="宋体" w:hAnsi="宋体" w:cs="宋体"/>
          <w:sz w:val="24"/>
        </w:rPr>
        <w:t>本项目系统部署在杭州市信创云，云资源与网络资源，参照浙江电子政务要求，采用服务购买模式进行建设，投标人需提供为期一年的云资源服务工作，所需云资源清单如下：</w:t>
      </w:r>
    </w:p>
    <w:tbl>
      <w:tblPr>
        <w:tblStyle w:val="12"/>
        <w:tblW w:w="8396" w:type="dxa"/>
        <w:tblInd w:w="0" w:type="dxa"/>
        <w:tblLayout w:type="fixed"/>
        <w:tblCellMar>
          <w:top w:w="0" w:type="dxa"/>
          <w:left w:w="108" w:type="dxa"/>
          <w:bottom w:w="0" w:type="dxa"/>
          <w:right w:w="108" w:type="dxa"/>
        </w:tblCellMar>
      </w:tblPr>
      <w:tblGrid>
        <w:gridCol w:w="664"/>
        <w:gridCol w:w="694"/>
        <w:gridCol w:w="831"/>
        <w:gridCol w:w="959"/>
        <w:gridCol w:w="1135"/>
        <w:gridCol w:w="1248"/>
        <w:gridCol w:w="1093"/>
        <w:gridCol w:w="917"/>
        <w:gridCol w:w="855"/>
      </w:tblGrid>
      <w:tr w14:paraId="5B220572">
        <w:tblPrEx>
          <w:tblCellMar>
            <w:top w:w="0" w:type="dxa"/>
            <w:left w:w="108" w:type="dxa"/>
            <w:bottom w:w="0" w:type="dxa"/>
            <w:right w:w="108" w:type="dxa"/>
          </w:tblCellMar>
        </w:tblPrEx>
        <w:trPr>
          <w:trHeight w:val="6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496C">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序号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E640">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资源类型</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0A16">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CPU（核）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E1A0">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内存（G）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2DF6">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存储（G）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6272">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网络区域</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6DBE">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带宽（M）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5127">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数量（台）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4B55">
            <w:pPr>
              <w:snapToGrid w:val="0"/>
              <w:spacing w:line="360" w:lineRule="auto"/>
              <w:ind w:firstLine="42" w:firstLineChars="21"/>
              <w:rPr>
                <w:rFonts w:ascii="宋体" w:hAnsi="宋体"/>
                <w:b/>
                <w:kern w:val="0"/>
                <w:sz w:val="20"/>
                <w:szCs w:val="20"/>
              </w:rPr>
            </w:pPr>
            <w:r>
              <w:rPr>
                <w:rFonts w:hint="eastAsia" w:ascii="宋体" w:hAnsi="宋体"/>
                <w:b/>
                <w:kern w:val="0"/>
                <w:sz w:val="20"/>
                <w:szCs w:val="20"/>
              </w:rPr>
              <w:t>备注</w:t>
            </w:r>
          </w:p>
        </w:tc>
      </w:tr>
      <w:tr w14:paraId="51E39B6F">
        <w:tblPrEx>
          <w:tblCellMar>
            <w:top w:w="0" w:type="dxa"/>
            <w:left w:w="108" w:type="dxa"/>
            <w:bottom w:w="0" w:type="dxa"/>
            <w:right w:w="108" w:type="dxa"/>
          </w:tblCellMar>
        </w:tblPrEx>
        <w:trPr>
          <w:trHeight w:val="12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DB35">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5085">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6B32">
            <w:pPr>
              <w:snapToGrid w:val="0"/>
              <w:spacing w:line="360" w:lineRule="auto"/>
              <w:ind w:firstLine="42" w:firstLineChars="21"/>
              <w:rPr>
                <w:rFonts w:ascii="宋体" w:hAnsi="宋体"/>
                <w:kern w:val="0"/>
                <w:sz w:val="20"/>
                <w:szCs w:val="20"/>
              </w:rPr>
            </w:pPr>
            <w:r>
              <w:rPr>
                <w:rFonts w:hint="eastAsia" w:ascii="宋体" w:hAnsi="宋体"/>
                <w:kern w:val="0"/>
                <w:sz w:val="20"/>
                <w:szCs w:val="20"/>
              </w:rPr>
              <w:t>4核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28C3">
            <w:pPr>
              <w:snapToGrid w:val="0"/>
              <w:spacing w:line="360" w:lineRule="auto"/>
              <w:ind w:firstLine="42" w:firstLineChars="21"/>
              <w:rPr>
                <w:rFonts w:ascii="宋体" w:hAnsi="宋体"/>
                <w:kern w:val="0"/>
                <w:sz w:val="20"/>
                <w:szCs w:val="20"/>
              </w:rPr>
            </w:pPr>
            <w:r>
              <w:rPr>
                <w:rFonts w:hint="eastAsia" w:ascii="宋体" w:hAnsi="宋体"/>
                <w:kern w:val="0"/>
                <w:sz w:val="20"/>
                <w:szCs w:val="20"/>
              </w:rPr>
              <w:t>8G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9935">
            <w:pPr>
              <w:snapToGrid w:val="0"/>
              <w:spacing w:line="360" w:lineRule="auto"/>
              <w:ind w:firstLine="42" w:firstLineChars="21"/>
              <w:rPr>
                <w:rFonts w:ascii="宋体" w:hAnsi="宋体"/>
                <w:kern w:val="0"/>
                <w:sz w:val="20"/>
                <w:szCs w:val="20"/>
              </w:rPr>
            </w:pPr>
            <w:r>
              <w:rPr>
                <w:rFonts w:hint="eastAsia" w:ascii="宋体" w:hAnsi="宋体"/>
                <w:kern w:val="0"/>
                <w:sz w:val="20"/>
                <w:szCs w:val="20"/>
              </w:rPr>
              <w:t>200G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7366">
            <w:pPr>
              <w:snapToGrid w:val="0"/>
              <w:spacing w:line="360" w:lineRule="auto"/>
              <w:ind w:firstLine="42" w:firstLineChars="21"/>
              <w:rPr>
                <w:rFonts w:ascii="宋体" w:hAnsi="宋体"/>
                <w:kern w:val="0"/>
                <w:sz w:val="20"/>
                <w:szCs w:val="20"/>
              </w:rPr>
            </w:pPr>
            <w:r>
              <w:rPr>
                <w:rFonts w:hint="eastAsia" w:ascii="宋体" w:hAnsi="宋体"/>
                <w:kern w:val="0"/>
                <w:sz w:val="20"/>
                <w:szCs w:val="20"/>
              </w:rPr>
              <w:t>VPN1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44D9">
            <w:pPr>
              <w:snapToGrid w:val="0"/>
              <w:spacing w:line="360" w:lineRule="auto"/>
              <w:ind w:firstLine="42" w:firstLineChars="21"/>
              <w:rPr>
                <w:rFonts w:ascii="宋体" w:hAnsi="宋体"/>
                <w:kern w:val="0"/>
                <w:sz w:val="20"/>
                <w:szCs w:val="20"/>
              </w:rPr>
            </w:pPr>
            <w:r>
              <w:rPr>
                <w:rFonts w:hint="eastAsia" w:ascii="宋体" w:hAnsi="宋体"/>
                <w:kern w:val="0"/>
                <w:sz w:val="20"/>
                <w:szCs w:val="20"/>
              </w:rPr>
              <w:t>100M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7A4B">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81B7">
            <w:pPr>
              <w:snapToGrid w:val="0"/>
              <w:spacing w:line="360" w:lineRule="auto"/>
              <w:ind w:firstLine="42" w:firstLineChars="21"/>
              <w:rPr>
                <w:rFonts w:ascii="宋体" w:hAnsi="宋体"/>
                <w:kern w:val="0"/>
                <w:sz w:val="20"/>
                <w:szCs w:val="20"/>
              </w:rPr>
            </w:pPr>
          </w:p>
        </w:tc>
      </w:tr>
      <w:tr w14:paraId="01F58F8C">
        <w:tblPrEx>
          <w:tblCellMar>
            <w:top w:w="0" w:type="dxa"/>
            <w:left w:w="108" w:type="dxa"/>
            <w:bottom w:w="0" w:type="dxa"/>
            <w:right w:w="108" w:type="dxa"/>
          </w:tblCellMar>
        </w:tblPrEx>
        <w:trPr>
          <w:trHeight w:val="102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EED">
            <w:pPr>
              <w:snapToGrid w:val="0"/>
              <w:spacing w:line="360" w:lineRule="auto"/>
              <w:ind w:firstLine="42" w:firstLineChars="21"/>
              <w:rPr>
                <w:rFonts w:ascii="宋体" w:hAnsi="宋体"/>
                <w:kern w:val="0"/>
                <w:sz w:val="20"/>
                <w:szCs w:val="20"/>
              </w:rPr>
            </w:pPr>
            <w:r>
              <w:rPr>
                <w:rFonts w:hint="eastAsia" w:ascii="宋体" w:hAnsi="宋体"/>
                <w:kern w:val="0"/>
                <w:sz w:val="20"/>
                <w:szCs w:val="20"/>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B7C1">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470A">
            <w:pPr>
              <w:snapToGrid w:val="0"/>
              <w:spacing w:line="360" w:lineRule="auto"/>
              <w:ind w:firstLine="42" w:firstLineChars="21"/>
              <w:rPr>
                <w:rFonts w:ascii="宋体" w:hAnsi="宋体"/>
                <w:kern w:val="0"/>
                <w:sz w:val="20"/>
                <w:szCs w:val="20"/>
              </w:rPr>
            </w:pPr>
            <w:r>
              <w:rPr>
                <w:rFonts w:hint="eastAsia" w:ascii="宋体" w:hAnsi="宋体"/>
                <w:kern w:val="0"/>
                <w:sz w:val="20"/>
                <w:szCs w:val="20"/>
              </w:rPr>
              <w:t>8核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3935">
            <w:pPr>
              <w:snapToGrid w:val="0"/>
              <w:spacing w:line="360" w:lineRule="auto"/>
              <w:ind w:firstLine="42" w:firstLineChars="21"/>
              <w:rPr>
                <w:rFonts w:ascii="宋体" w:hAnsi="宋体"/>
                <w:kern w:val="0"/>
                <w:sz w:val="20"/>
                <w:szCs w:val="20"/>
              </w:rPr>
            </w:pPr>
            <w:r>
              <w:rPr>
                <w:rFonts w:hint="eastAsia" w:ascii="宋体" w:hAnsi="宋体"/>
                <w:kern w:val="0"/>
                <w:sz w:val="20"/>
                <w:szCs w:val="20"/>
              </w:rPr>
              <w:t>16G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495E">
            <w:pPr>
              <w:snapToGrid w:val="0"/>
              <w:spacing w:line="360" w:lineRule="auto"/>
              <w:ind w:firstLine="42" w:firstLineChars="21"/>
              <w:rPr>
                <w:rFonts w:ascii="宋体" w:hAnsi="宋体"/>
                <w:kern w:val="0"/>
                <w:sz w:val="20"/>
                <w:szCs w:val="20"/>
              </w:rPr>
            </w:pPr>
            <w:r>
              <w:rPr>
                <w:rFonts w:hint="eastAsia" w:ascii="宋体" w:hAnsi="宋体"/>
                <w:kern w:val="0"/>
                <w:sz w:val="20"/>
                <w:szCs w:val="20"/>
              </w:rPr>
              <w:t>500G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6CEF">
            <w:pPr>
              <w:snapToGrid w:val="0"/>
              <w:spacing w:line="360" w:lineRule="auto"/>
              <w:ind w:firstLine="42" w:firstLineChars="21"/>
              <w:rPr>
                <w:rFonts w:ascii="宋体" w:hAnsi="宋体"/>
                <w:kern w:val="0"/>
                <w:sz w:val="20"/>
                <w:szCs w:val="20"/>
              </w:rPr>
            </w:pPr>
            <w:r>
              <w:rPr>
                <w:rFonts w:hint="eastAsia" w:ascii="宋体" w:hAnsi="宋体"/>
                <w:kern w:val="0"/>
                <w:sz w:val="20"/>
                <w:szCs w:val="20"/>
              </w:rPr>
              <w:t>VPN2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BDF2">
            <w:pPr>
              <w:snapToGrid w:val="0"/>
              <w:spacing w:line="360" w:lineRule="auto"/>
              <w:ind w:firstLine="42" w:firstLineChars="21"/>
              <w:rPr>
                <w:rFonts w:ascii="宋体" w:hAnsi="宋体"/>
                <w:kern w:val="0"/>
                <w:sz w:val="20"/>
                <w:szCs w:val="20"/>
              </w:rPr>
            </w:pPr>
            <w:r>
              <w:rPr>
                <w:rFonts w:hint="eastAsia" w:ascii="宋体" w:hAnsi="宋体"/>
                <w:kern w:val="0"/>
                <w:sz w:val="20"/>
                <w:szCs w:val="20"/>
              </w:rPr>
              <w:t>200M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01BD">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42BC">
            <w:pPr>
              <w:snapToGrid w:val="0"/>
              <w:spacing w:line="360" w:lineRule="auto"/>
              <w:ind w:firstLine="42" w:firstLineChars="21"/>
              <w:rPr>
                <w:rFonts w:ascii="宋体" w:hAnsi="宋体"/>
                <w:kern w:val="0"/>
                <w:sz w:val="20"/>
                <w:szCs w:val="20"/>
              </w:rPr>
            </w:pPr>
          </w:p>
        </w:tc>
      </w:tr>
      <w:tr w14:paraId="35402551">
        <w:tblPrEx>
          <w:tblCellMar>
            <w:top w:w="0" w:type="dxa"/>
            <w:left w:w="108" w:type="dxa"/>
            <w:bottom w:w="0" w:type="dxa"/>
            <w:right w:w="108" w:type="dxa"/>
          </w:tblCellMar>
        </w:tblPrEx>
        <w:trPr>
          <w:trHeight w:val="15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B3A4">
            <w:pPr>
              <w:snapToGrid w:val="0"/>
              <w:spacing w:line="360" w:lineRule="auto"/>
              <w:ind w:firstLine="42" w:firstLineChars="21"/>
              <w:rPr>
                <w:rFonts w:ascii="宋体" w:hAnsi="宋体"/>
                <w:kern w:val="0"/>
                <w:sz w:val="20"/>
                <w:szCs w:val="20"/>
              </w:rPr>
            </w:pPr>
            <w:r>
              <w:rPr>
                <w:rFonts w:hint="eastAsia" w:ascii="宋体" w:hAnsi="宋体"/>
                <w:kern w:val="0"/>
                <w:sz w:val="20"/>
                <w:szCs w:val="20"/>
              </w:rPr>
              <w:t>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1A49">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C199">
            <w:pPr>
              <w:snapToGrid w:val="0"/>
              <w:spacing w:line="360" w:lineRule="auto"/>
              <w:ind w:firstLine="42" w:firstLineChars="21"/>
              <w:rPr>
                <w:rFonts w:ascii="宋体" w:hAnsi="宋体"/>
                <w:kern w:val="0"/>
                <w:sz w:val="20"/>
                <w:szCs w:val="20"/>
              </w:rPr>
            </w:pPr>
            <w:r>
              <w:rPr>
                <w:rFonts w:hint="eastAsia" w:ascii="宋体" w:hAnsi="宋体"/>
                <w:kern w:val="0"/>
                <w:sz w:val="20"/>
                <w:szCs w:val="20"/>
              </w:rPr>
              <w:t>8核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34DD">
            <w:pPr>
              <w:snapToGrid w:val="0"/>
              <w:spacing w:line="360" w:lineRule="auto"/>
              <w:ind w:firstLine="42" w:firstLineChars="21"/>
              <w:rPr>
                <w:rFonts w:ascii="宋体" w:hAnsi="宋体"/>
                <w:kern w:val="0"/>
                <w:sz w:val="20"/>
                <w:szCs w:val="20"/>
              </w:rPr>
            </w:pPr>
            <w:r>
              <w:rPr>
                <w:rFonts w:hint="eastAsia" w:ascii="宋体" w:hAnsi="宋体"/>
                <w:kern w:val="0"/>
                <w:sz w:val="20"/>
                <w:szCs w:val="20"/>
              </w:rPr>
              <w:t>32G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77B6">
            <w:pPr>
              <w:snapToGrid w:val="0"/>
              <w:spacing w:line="360" w:lineRule="auto"/>
              <w:ind w:firstLine="42" w:firstLineChars="21"/>
              <w:rPr>
                <w:rFonts w:ascii="宋体" w:hAnsi="宋体"/>
                <w:kern w:val="0"/>
                <w:sz w:val="20"/>
                <w:szCs w:val="20"/>
              </w:rPr>
            </w:pPr>
            <w:r>
              <w:rPr>
                <w:rFonts w:hint="eastAsia" w:ascii="宋体" w:hAnsi="宋体"/>
                <w:kern w:val="0"/>
                <w:sz w:val="20"/>
                <w:szCs w:val="20"/>
              </w:rPr>
              <w:t>500G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9FCB">
            <w:pPr>
              <w:snapToGrid w:val="0"/>
              <w:spacing w:line="360" w:lineRule="auto"/>
              <w:ind w:firstLine="42" w:firstLineChars="21"/>
              <w:rPr>
                <w:rFonts w:ascii="宋体" w:hAnsi="宋体"/>
                <w:kern w:val="0"/>
                <w:sz w:val="20"/>
                <w:szCs w:val="20"/>
              </w:rPr>
            </w:pPr>
            <w:r>
              <w:rPr>
                <w:rFonts w:hint="eastAsia" w:ascii="宋体" w:hAnsi="宋体"/>
                <w:kern w:val="0"/>
                <w:sz w:val="20"/>
                <w:szCs w:val="20"/>
              </w:rPr>
              <w:t>VPN2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49E8">
            <w:pPr>
              <w:snapToGrid w:val="0"/>
              <w:spacing w:line="360" w:lineRule="auto"/>
              <w:ind w:firstLine="42" w:firstLineChars="21"/>
              <w:rPr>
                <w:rFonts w:ascii="宋体" w:hAnsi="宋体"/>
                <w:kern w:val="0"/>
                <w:sz w:val="20"/>
                <w:szCs w:val="20"/>
              </w:rPr>
            </w:pPr>
            <w:r>
              <w:rPr>
                <w:rFonts w:hint="eastAsia" w:ascii="宋体" w:hAnsi="宋体"/>
                <w:kern w:val="0"/>
                <w:sz w:val="20"/>
                <w:szCs w:val="20"/>
              </w:rPr>
              <w:t>100M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C221">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B725">
            <w:pPr>
              <w:snapToGrid w:val="0"/>
              <w:spacing w:line="360" w:lineRule="auto"/>
              <w:ind w:firstLine="42" w:firstLineChars="21"/>
              <w:rPr>
                <w:rFonts w:ascii="宋体" w:hAnsi="宋体"/>
                <w:kern w:val="0"/>
                <w:sz w:val="20"/>
                <w:szCs w:val="20"/>
              </w:rPr>
            </w:pPr>
            <w:r>
              <w:rPr>
                <w:rFonts w:hint="eastAsia" w:ascii="宋体" w:hAnsi="宋体"/>
                <w:kern w:val="0"/>
                <w:sz w:val="20"/>
                <w:szCs w:val="20"/>
              </w:rPr>
              <w:t>安装国产数据库，参照达梦、人大进仓等。</w:t>
            </w:r>
          </w:p>
        </w:tc>
      </w:tr>
      <w:tr w14:paraId="205641E1">
        <w:tblPrEx>
          <w:tblCellMar>
            <w:top w:w="0" w:type="dxa"/>
            <w:left w:w="108" w:type="dxa"/>
            <w:bottom w:w="0" w:type="dxa"/>
            <w:right w:w="108" w:type="dxa"/>
          </w:tblCellMar>
        </w:tblPrEx>
        <w:trPr>
          <w:trHeight w:val="18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9E81">
            <w:pPr>
              <w:snapToGrid w:val="0"/>
              <w:spacing w:line="360" w:lineRule="auto"/>
              <w:ind w:firstLine="42" w:firstLineChars="21"/>
              <w:rPr>
                <w:rFonts w:ascii="宋体" w:hAnsi="宋体"/>
                <w:kern w:val="0"/>
                <w:sz w:val="20"/>
                <w:szCs w:val="20"/>
              </w:rPr>
            </w:pPr>
            <w:r>
              <w:rPr>
                <w:rFonts w:hint="eastAsia" w:ascii="宋体" w:hAnsi="宋体"/>
                <w:kern w:val="0"/>
                <w:sz w:val="20"/>
                <w:szCs w:val="20"/>
              </w:rPr>
              <w:t>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BB0C">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1952">
            <w:pPr>
              <w:snapToGrid w:val="0"/>
              <w:spacing w:line="360" w:lineRule="auto"/>
              <w:ind w:firstLine="42" w:firstLineChars="21"/>
              <w:rPr>
                <w:rFonts w:ascii="宋体" w:hAnsi="宋体"/>
                <w:kern w:val="0"/>
                <w:sz w:val="20"/>
                <w:szCs w:val="20"/>
              </w:rPr>
            </w:pPr>
            <w:r>
              <w:rPr>
                <w:rFonts w:hint="eastAsia" w:ascii="宋体" w:hAnsi="宋体"/>
                <w:kern w:val="0"/>
                <w:sz w:val="20"/>
                <w:szCs w:val="20"/>
              </w:rPr>
              <w:t>8核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17E2">
            <w:pPr>
              <w:snapToGrid w:val="0"/>
              <w:spacing w:line="360" w:lineRule="auto"/>
              <w:ind w:firstLine="42" w:firstLineChars="21"/>
              <w:rPr>
                <w:rFonts w:ascii="宋体" w:hAnsi="宋体"/>
                <w:kern w:val="0"/>
                <w:sz w:val="20"/>
                <w:szCs w:val="20"/>
              </w:rPr>
            </w:pPr>
            <w:r>
              <w:rPr>
                <w:rFonts w:hint="eastAsia" w:ascii="宋体" w:hAnsi="宋体"/>
                <w:kern w:val="0"/>
                <w:sz w:val="20"/>
                <w:szCs w:val="20"/>
              </w:rPr>
              <w:t>32G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576">
            <w:pPr>
              <w:snapToGrid w:val="0"/>
              <w:spacing w:line="360" w:lineRule="auto"/>
              <w:ind w:firstLine="42" w:firstLineChars="21"/>
              <w:rPr>
                <w:rFonts w:ascii="宋体" w:hAnsi="宋体"/>
                <w:kern w:val="0"/>
                <w:sz w:val="20"/>
                <w:szCs w:val="20"/>
              </w:rPr>
            </w:pPr>
            <w:r>
              <w:rPr>
                <w:rFonts w:hint="eastAsia" w:ascii="宋体" w:hAnsi="宋体"/>
                <w:kern w:val="0"/>
                <w:sz w:val="20"/>
                <w:szCs w:val="20"/>
              </w:rPr>
              <w:t>500G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38BF">
            <w:pPr>
              <w:snapToGrid w:val="0"/>
              <w:spacing w:line="360" w:lineRule="auto"/>
              <w:ind w:firstLine="42" w:firstLineChars="21"/>
              <w:rPr>
                <w:rFonts w:ascii="宋体" w:hAnsi="宋体"/>
                <w:kern w:val="0"/>
                <w:sz w:val="20"/>
                <w:szCs w:val="20"/>
              </w:rPr>
            </w:pPr>
            <w:r>
              <w:rPr>
                <w:rFonts w:hint="eastAsia" w:ascii="宋体" w:hAnsi="宋体"/>
                <w:kern w:val="0"/>
                <w:sz w:val="20"/>
                <w:szCs w:val="20"/>
              </w:rPr>
              <w:t>VPN1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AB31">
            <w:pPr>
              <w:snapToGrid w:val="0"/>
              <w:spacing w:line="360" w:lineRule="auto"/>
              <w:ind w:firstLine="42" w:firstLineChars="21"/>
              <w:rPr>
                <w:rFonts w:ascii="宋体" w:hAnsi="宋体"/>
                <w:kern w:val="0"/>
                <w:sz w:val="20"/>
                <w:szCs w:val="20"/>
              </w:rPr>
            </w:pPr>
            <w:r>
              <w:rPr>
                <w:rFonts w:hint="eastAsia" w:ascii="宋体" w:hAnsi="宋体"/>
                <w:kern w:val="0"/>
                <w:sz w:val="20"/>
                <w:szCs w:val="20"/>
              </w:rPr>
              <w:t>500M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06C2">
            <w:pPr>
              <w:snapToGrid w:val="0"/>
              <w:spacing w:line="360" w:lineRule="auto"/>
              <w:ind w:firstLine="42" w:firstLineChars="21"/>
              <w:rPr>
                <w:rFonts w:ascii="宋体" w:hAnsi="宋体"/>
                <w:kern w:val="0"/>
                <w:sz w:val="20"/>
                <w:szCs w:val="20"/>
              </w:rPr>
            </w:pPr>
            <w:r>
              <w:rPr>
                <w:rFonts w:hint="eastAsia" w:ascii="宋体" w:hAnsi="宋体"/>
                <w:kern w:val="0"/>
                <w:sz w:val="20"/>
                <w:szCs w:val="20"/>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E426">
            <w:pPr>
              <w:snapToGrid w:val="0"/>
              <w:spacing w:line="360" w:lineRule="auto"/>
              <w:ind w:firstLine="42" w:firstLineChars="21"/>
              <w:rPr>
                <w:rFonts w:ascii="宋体" w:hAnsi="宋体"/>
                <w:kern w:val="0"/>
                <w:sz w:val="20"/>
                <w:szCs w:val="20"/>
              </w:rPr>
            </w:pPr>
            <w:r>
              <w:rPr>
                <w:rFonts w:hint="eastAsia" w:ascii="宋体" w:hAnsi="宋体"/>
                <w:kern w:val="0"/>
                <w:sz w:val="20"/>
                <w:szCs w:val="20"/>
              </w:rPr>
              <w:t>申请1路500M VPN1互联网带宽</w:t>
            </w:r>
          </w:p>
        </w:tc>
      </w:tr>
      <w:tr w14:paraId="1D650280">
        <w:tblPrEx>
          <w:tblCellMar>
            <w:top w:w="0" w:type="dxa"/>
            <w:left w:w="108" w:type="dxa"/>
            <w:bottom w:w="0" w:type="dxa"/>
            <w:right w:w="108" w:type="dxa"/>
          </w:tblCellMar>
        </w:tblPrEx>
        <w:trPr>
          <w:trHeight w:val="38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EB216">
            <w:pPr>
              <w:snapToGrid w:val="0"/>
              <w:spacing w:line="360" w:lineRule="auto"/>
              <w:ind w:firstLine="42" w:firstLineChars="21"/>
              <w:rPr>
                <w:rFonts w:ascii="宋体" w:hAnsi="宋体"/>
                <w:kern w:val="0"/>
                <w:sz w:val="20"/>
                <w:szCs w:val="20"/>
              </w:rPr>
            </w:pPr>
            <w:r>
              <w:rPr>
                <w:rFonts w:hint="eastAsia" w:ascii="宋体" w:hAnsi="宋体"/>
                <w:kern w:val="0"/>
                <w:sz w:val="20"/>
                <w:szCs w:val="20"/>
              </w:rPr>
              <w:t>5</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D5C34">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19D55">
            <w:pPr>
              <w:snapToGrid w:val="0"/>
              <w:spacing w:line="360" w:lineRule="auto"/>
              <w:ind w:firstLine="42" w:firstLineChars="21"/>
              <w:rPr>
                <w:rFonts w:ascii="宋体" w:hAnsi="宋体"/>
                <w:kern w:val="0"/>
                <w:sz w:val="20"/>
                <w:szCs w:val="20"/>
              </w:rPr>
            </w:pPr>
            <w:r>
              <w:rPr>
                <w:rFonts w:hint="eastAsia" w:ascii="宋体" w:hAnsi="宋体"/>
                <w:kern w:val="0"/>
                <w:sz w:val="20"/>
                <w:szCs w:val="20"/>
              </w:rPr>
              <w:t>8核</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71E94">
            <w:pPr>
              <w:snapToGrid w:val="0"/>
              <w:spacing w:line="360" w:lineRule="auto"/>
              <w:ind w:firstLine="42" w:firstLineChars="21"/>
              <w:rPr>
                <w:rFonts w:ascii="宋体" w:hAnsi="宋体"/>
                <w:kern w:val="0"/>
                <w:sz w:val="20"/>
                <w:szCs w:val="20"/>
              </w:rPr>
            </w:pPr>
            <w:r>
              <w:rPr>
                <w:rFonts w:hint="eastAsia" w:ascii="宋体" w:hAnsi="宋体"/>
                <w:kern w:val="0"/>
                <w:sz w:val="20"/>
                <w:szCs w:val="20"/>
              </w:rPr>
              <w:t>32G</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F49D8">
            <w:pPr>
              <w:snapToGrid w:val="0"/>
              <w:spacing w:line="360" w:lineRule="auto"/>
              <w:ind w:firstLine="42" w:firstLineChars="21"/>
              <w:rPr>
                <w:rFonts w:ascii="宋体" w:hAnsi="宋体"/>
                <w:kern w:val="0"/>
                <w:sz w:val="20"/>
                <w:szCs w:val="20"/>
              </w:rPr>
            </w:pPr>
            <w:r>
              <w:rPr>
                <w:rFonts w:hint="eastAsia" w:ascii="宋体" w:hAnsi="宋体"/>
                <w:kern w:val="0"/>
                <w:sz w:val="20"/>
                <w:szCs w:val="20"/>
              </w:rPr>
              <w:t>500G</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B000">
            <w:pPr>
              <w:snapToGrid w:val="0"/>
              <w:spacing w:line="360" w:lineRule="auto"/>
              <w:ind w:firstLine="42" w:firstLineChars="21"/>
              <w:rPr>
                <w:rFonts w:ascii="宋体" w:hAnsi="宋体"/>
                <w:kern w:val="0"/>
                <w:sz w:val="20"/>
                <w:szCs w:val="20"/>
              </w:rPr>
            </w:pPr>
            <w:r>
              <w:rPr>
                <w:rFonts w:hint="eastAsia" w:ascii="宋体" w:hAnsi="宋体"/>
                <w:kern w:val="0"/>
                <w:sz w:val="20"/>
                <w:szCs w:val="20"/>
              </w:rPr>
              <w:t>VPN2</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0CE5B">
            <w:pPr>
              <w:snapToGrid w:val="0"/>
              <w:spacing w:line="360" w:lineRule="auto"/>
              <w:ind w:firstLine="42" w:firstLineChars="21"/>
              <w:rPr>
                <w:rFonts w:ascii="宋体" w:hAnsi="宋体"/>
                <w:kern w:val="0"/>
                <w:sz w:val="20"/>
                <w:szCs w:val="20"/>
              </w:rPr>
            </w:pPr>
            <w:r>
              <w:rPr>
                <w:rFonts w:hint="eastAsia" w:ascii="宋体" w:hAnsi="宋体"/>
                <w:kern w:val="0"/>
                <w:sz w:val="20"/>
                <w:szCs w:val="20"/>
              </w:rPr>
              <w:t>100M</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4A3B5">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D3786">
            <w:pPr>
              <w:snapToGrid w:val="0"/>
              <w:spacing w:line="360" w:lineRule="auto"/>
              <w:ind w:firstLine="42" w:firstLineChars="21"/>
              <w:rPr>
                <w:rFonts w:ascii="宋体" w:hAnsi="宋体"/>
                <w:kern w:val="0"/>
                <w:sz w:val="20"/>
                <w:szCs w:val="20"/>
              </w:rPr>
            </w:pPr>
          </w:p>
        </w:tc>
      </w:tr>
      <w:tr w14:paraId="1DFBA5D9">
        <w:tblPrEx>
          <w:tblCellMar>
            <w:top w:w="0" w:type="dxa"/>
            <w:left w:w="108" w:type="dxa"/>
            <w:bottom w:w="0" w:type="dxa"/>
            <w:right w:w="108" w:type="dxa"/>
          </w:tblCellMar>
        </w:tblPrEx>
        <w:trPr>
          <w:trHeight w:val="38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4699">
            <w:pPr>
              <w:snapToGrid w:val="0"/>
              <w:spacing w:line="360" w:lineRule="auto"/>
              <w:ind w:firstLine="42" w:firstLineChars="21"/>
              <w:rPr>
                <w:rFonts w:ascii="宋体" w:hAnsi="宋体"/>
                <w:kern w:val="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FD854">
            <w:pPr>
              <w:snapToGrid w:val="0"/>
              <w:spacing w:line="360" w:lineRule="auto"/>
              <w:ind w:firstLine="42" w:firstLineChars="21"/>
              <w:rPr>
                <w:rFonts w:ascii="宋体" w:hAnsi="宋体"/>
                <w:kern w:val="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8499">
            <w:pPr>
              <w:snapToGrid w:val="0"/>
              <w:spacing w:line="360" w:lineRule="auto"/>
              <w:ind w:firstLine="42" w:firstLineChars="21"/>
              <w:rPr>
                <w:rFonts w:ascii="宋体" w:hAnsi="宋体"/>
                <w:kern w:val="0"/>
                <w:sz w:val="20"/>
                <w:szCs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EFEF4">
            <w:pPr>
              <w:snapToGrid w:val="0"/>
              <w:spacing w:line="360" w:lineRule="auto"/>
              <w:ind w:firstLine="42" w:firstLineChars="21"/>
              <w:rPr>
                <w:rFonts w:ascii="宋体" w:hAnsi="宋体"/>
                <w:kern w:val="0"/>
                <w:sz w:val="20"/>
                <w:szCs w:val="20"/>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3465A">
            <w:pPr>
              <w:snapToGrid w:val="0"/>
              <w:spacing w:line="360" w:lineRule="auto"/>
              <w:ind w:firstLine="42" w:firstLineChars="21"/>
              <w:rPr>
                <w:rFonts w:ascii="宋体" w:hAnsi="宋体"/>
                <w:kern w:val="0"/>
                <w:sz w:val="20"/>
                <w:szCs w:val="20"/>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B08CD">
            <w:pPr>
              <w:snapToGrid w:val="0"/>
              <w:spacing w:line="360" w:lineRule="auto"/>
              <w:ind w:firstLine="42" w:firstLineChars="21"/>
              <w:rPr>
                <w:rFonts w:ascii="宋体" w:hAnsi="宋体"/>
                <w:kern w:val="0"/>
                <w:sz w:val="20"/>
                <w:szCs w:val="20"/>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6A7C">
            <w:pPr>
              <w:snapToGrid w:val="0"/>
              <w:spacing w:line="360" w:lineRule="auto"/>
              <w:ind w:firstLine="42" w:firstLineChars="21"/>
              <w:rPr>
                <w:rFonts w:ascii="宋体" w:hAnsi="宋体"/>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B2E00">
            <w:pPr>
              <w:snapToGrid w:val="0"/>
              <w:spacing w:line="360" w:lineRule="auto"/>
              <w:ind w:firstLine="42" w:firstLineChars="21"/>
              <w:rPr>
                <w:rFonts w:ascii="宋体" w:hAnsi="宋体"/>
                <w:kern w:val="0"/>
                <w:sz w:val="20"/>
                <w:szCs w:val="20"/>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1370">
            <w:pPr>
              <w:snapToGrid w:val="0"/>
              <w:spacing w:line="360" w:lineRule="auto"/>
              <w:ind w:firstLine="42" w:firstLineChars="21"/>
              <w:rPr>
                <w:rFonts w:ascii="宋体" w:hAnsi="宋体"/>
                <w:kern w:val="0"/>
                <w:sz w:val="20"/>
                <w:szCs w:val="20"/>
              </w:rPr>
            </w:pPr>
          </w:p>
        </w:tc>
      </w:tr>
      <w:tr w14:paraId="1D9B531E">
        <w:tblPrEx>
          <w:tblCellMar>
            <w:top w:w="0" w:type="dxa"/>
            <w:left w:w="108" w:type="dxa"/>
            <w:bottom w:w="0" w:type="dxa"/>
            <w:right w:w="108" w:type="dxa"/>
          </w:tblCellMar>
        </w:tblPrEx>
        <w:trPr>
          <w:trHeight w:val="63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397">
            <w:pPr>
              <w:snapToGrid w:val="0"/>
              <w:spacing w:line="360" w:lineRule="auto"/>
              <w:ind w:firstLine="42" w:firstLineChars="21"/>
              <w:rPr>
                <w:rFonts w:ascii="宋体" w:hAnsi="宋体"/>
                <w:kern w:val="0"/>
                <w:sz w:val="20"/>
                <w:szCs w:val="20"/>
              </w:rPr>
            </w:pPr>
            <w:r>
              <w:rPr>
                <w:rFonts w:hint="eastAsia" w:ascii="宋体" w:hAnsi="宋体"/>
                <w:kern w:val="0"/>
                <w:sz w:val="20"/>
                <w:szCs w:val="20"/>
              </w:rPr>
              <w:t>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E729">
            <w:pPr>
              <w:snapToGrid w:val="0"/>
              <w:spacing w:line="360" w:lineRule="auto"/>
              <w:ind w:firstLine="42" w:firstLineChars="21"/>
              <w:rPr>
                <w:rFonts w:ascii="宋体" w:hAnsi="宋体"/>
                <w:kern w:val="0"/>
                <w:sz w:val="20"/>
                <w:szCs w:val="20"/>
              </w:rPr>
            </w:pPr>
            <w:r>
              <w:rPr>
                <w:rFonts w:hint="eastAsia" w:ascii="宋体" w:hAnsi="宋体"/>
                <w:kern w:val="0"/>
                <w:sz w:val="20"/>
                <w:szCs w:val="20"/>
              </w:rPr>
              <w:t>SLB</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9B8C">
            <w:pPr>
              <w:snapToGrid w:val="0"/>
              <w:spacing w:line="360" w:lineRule="auto"/>
              <w:ind w:firstLine="42" w:firstLineChars="21"/>
              <w:rPr>
                <w:rFonts w:ascii="宋体" w:hAnsi="宋体"/>
                <w:kern w:val="0"/>
                <w:sz w:val="20"/>
                <w:szCs w:val="20"/>
              </w:rPr>
            </w:pPr>
            <w:r>
              <w:rPr>
                <w:rFonts w:hint="eastAsia" w:ascii="宋体" w:hAnsi="宋体"/>
                <w:kern w:val="0"/>
                <w:sz w:val="20"/>
                <w:szCs w:val="20"/>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46E">
            <w:pPr>
              <w:snapToGrid w:val="0"/>
              <w:spacing w:line="360" w:lineRule="auto"/>
              <w:ind w:firstLine="42" w:firstLineChars="21"/>
              <w:rPr>
                <w:rFonts w:ascii="宋体" w:hAnsi="宋体"/>
                <w:kern w:val="0"/>
                <w:sz w:val="20"/>
                <w:szCs w:val="20"/>
              </w:rPr>
            </w:pPr>
            <w:r>
              <w:rPr>
                <w:rFonts w:hint="eastAsia" w:ascii="宋体" w:hAnsi="宋体"/>
                <w:kern w:val="0"/>
                <w:sz w:val="20"/>
                <w:szCs w:val="20"/>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90D">
            <w:pPr>
              <w:snapToGrid w:val="0"/>
              <w:spacing w:line="360" w:lineRule="auto"/>
              <w:ind w:firstLine="42" w:firstLineChars="21"/>
              <w:rPr>
                <w:rFonts w:ascii="宋体" w:hAnsi="宋体"/>
                <w:kern w:val="0"/>
                <w:sz w:val="20"/>
                <w:szCs w:val="20"/>
              </w:rPr>
            </w:pPr>
            <w:r>
              <w:rPr>
                <w:rFonts w:hint="eastAsia" w:ascii="宋体" w:hAnsi="宋体"/>
                <w:kern w:val="0"/>
                <w:sz w:val="20"/>
                <w:szCs w:val="20"/>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A12F">
            <w:pPr>
              <w:snapToGrid w:val="0"/>
              <w:spacing w:line="360" w:lineRule="auto"/>
              <w:ind w:firstLine="42" w:firstLineChars="21"/>
              <w:rPr>
                <w:rFonts w:ascii="宋体" w:hAnsi="宋体"/>
                <w:kern w:val="0"/>
                <w:sz w:val="20"/>
                <w:szCs w:val="20"/>
              </w:rPr>
            </w:pPr>
            <w:r>
              <w:rPr>
                <w:rFonts w:hint="eastAsia" w:ascii="宋体" w:hAnsi="宋体"/>
                <w:kern w:val="0"/>
                <w:sz w:val="20"/>
                <w:szCs w:val="20"/>
              </w:rPr>
              <w:t>VPN1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B3A4">
            <w:pPr>
              <w:snapToGrid w:val="0"/>
              <w:spacing w:line="360" w:lineRule="auto"/>
              <w:ind w:firstLine="42" w:firstLineChars="21"/>
              <w:rPr>
                <w:rFonts w:ascii="宋体" w:hAnsi="宋体"/>
                <w:kern w:val="0"/>
                <w:sz w:val="20"/>
                <w:szCs w:val="20"/>
              </w:rPr>
            </w:pPr>
            <w:r>
              <w:rPr>
                <w:rFonts w:hint="eastAsia" w:ascii="宋体" w:hAnsi="宋体"/>
                <w:kern w:val="0"/>
                <w:sz w:val="20"/>
                <w:szCs w:val="20"/>
              </w:rPr>
              <w:t>500M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A55C">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40DE">
            <w:pPr>
              <w:snapToGrid w:val="0"/>
              <w:spacing w:line="360" w:lineRule="auto"/>
              <w:ind w:firstLine="42" w:firstLineChars="21"/>
              <w:rPr>
                <w:rFonts w:ascii="宋体" w:hAnsi="宋体"/>
                <w:kern w:val="0"/>
                <w:sz w:val="20"/>
                <w:szCs w:val="20"/>
              </w:rPr>
            </w:pPr>
          </w:p>
        </w:tc>
      </w:tr>
      <w:tr w14:paraId="3D86C4A8">
        <w:tblPrEx>
          <w:tblCellMar>
            <w:top w:w="0" w:type="dxa"/>
            <w:left w:w="108" w:type="dxa"/>
            <w:bottom w:w="0" w:type="dxa"/>
            <w:right w:w="108" w:type="dxa"/>
          </w:tblCellMar>
        </w:tblPrEx>
        <w:trPr>
          <w:trHeight w:val="108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385">
            <w:pPr>
              <w:snapToGrid w:val="0"/>
              <w:spacing w:line="360" w:lineRule="auto"/>
              <w:ind w:firstLine="42" w:firstLineChars="21"/>
              <w:rPr>
                <w:rFonts w:ascii="宋体" w:hAnsi="宋体"/>
                <w:kern w:val="0"/>
                <w:sz w:val="20"/>
                <w:szCs w:val="20"/>
              </w:rPr>
            </w:pPr>
            <w:r>
              <w:rPr>
                <w:rFonts w:hint="eastAsia" w:ascii="宋体" w:hAnsi="宋体"/>
                <w:kern w:val="0"/>
                <w:sz w:val="20"/>
                <w:szCs w:val="20"/>
              </w:rPr>
              <w:t>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6D75">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022A">
            <w:pPr>
              <w:snapToGrid w:val="0"/>
              <w:spacing w:line="360" w:lineRule="auto"/>
              <w:ind w:firstLine="42" w:firstLineChars="21"/>
              <w:rPr>
                <w:rFonts w:ascii="宋体" w:hAnsi="宋体"/>
                <w:kern w:val="0"/>
                <w:sz w:val="20"/>
                <w:szCs w:val="20"/>
              </w:rPr>
            </w:pPr>
            <w:r>
              <w:rPr>
                <w:rFonts w:hint="eastAsia" w:ascii="宋体" w:hAnsi="宋体"/>
                <w:kern w:val="0"/>
                <w:sz w:val="20"/>
                <w:szCs w:val="20"/>
              </w:rPr>
              <w:t>8核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1EB3">
            <w:pPr>
              <w:snapToGrid w:val="0"/>
              <w:spacing w:line="360" w:lineRule="auto"/>
              <w:ind w:firstLine="42" w:firstLineChars="21"/>
              <w:rPr>
                <w:rFonts w:ascii="宋体" w:hAnsi="宋体"/>
                <w:kern w:val="0"/>
                <w:sz w:val="20"/>
                <w:szCs w:val="20"/>
              </w:rPr>
            </w:pPr>
            <w:r>
              <w:rPr>
                <w:rFonts w:hint="eastAsia" w:ascii="宋体" w:hAnsi="宋体"/>
                <w:kern w:val="0"/>
                <w:sz w:val="20"/>
                <w:szCs w:val="20"/>
              </w:rPr>
              <w:t>32G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BEAB">
            <w:pPr>
              <w:snapToGrid w:val="0"/>
              <w:spacing w:line="360" w:lineRule="auto"/>
              <w:ind w:firstLine="42" w:firstLineChars="21"/>
              <w:rPr>
                <w:rFonts w:ascii="宋体" w:hAnsi="宋体"/>
                <w:kern w:val="0"/>
                <w:sz w:val="20"/>
                <w:szCs w:val="20"/>
              </w:rPr>
            </w:pPr>
            <w:r>
              <w:rPr>
                <w:rFonts w:hint="eastAsia" w:ascii="宋体" w:hAnsi="宋体"/>
                <w:kern w:val="0"/>
                <w:sz w:val="20"/>
                <w:szCs w:val="20"/>
              </w:rPr>
              <w:t>500G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8435">
            <w:pPr>
              <w:snapToGrid w:val="0"/>
              <w:spacing w:line="360" w:lineRule="auto"/>
              <w:ind w:firstLine="42" w:firstLineChars="21"/>
              <w:rPr>
                <w:rFonts w:ascii="宋体" w:hAnsi="宋体"/>
                <w:kern w:val="0"/>
                <w:sz w:val="20"/>
                <w:szCs w:val="20"/>
              </w:rPr>
            </w:pPr>
            <w:r>
              <w:rPr>
                <w:rFonts w:hint="eastAsia" w:ascii="宋体" w:hAnsi="宋体"/>
                <w:kern w:val="0"/>
                <w:sz w:val="20"/>
                <w:szCs w:val="20"/>
              </w:rPr>
              <w:t>VPN2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CF9">
            <w:pPr>
              <w:snapToGrid w:val="0"/>
              <w:spacing w:line="360" w:lineRule="auto"/>
              <w:ind w:firstLine="42" w:firstLineChars="21"/>
              <w:rPr>
                <w:rFonts w:ascii="宋体" w:hAnsi="宋体"/>
                <w:kern w:val="0"/>
                <w:sz w:val="20"/>
                <w:szCs w:val="20"/>
              </w:rPr>
            </w:pPr>
            <w:r>
              <w:rPr>
                <w:rFonts w:hint="eastAsia" w:ascii="宋体" w:hAnsi="宋体"/>
                <w:kern w:val="0"/>
                <w:sz w:val="20"/>
                <w:szCs w:val="20"/>
              </w:rPr>
              <w:t>100M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6A54">
            <w:pPr>
              <w:snapToGrid w:val="0"/>
              <w:spacing w:line="360" w:lineRule="auto"/>
              <w:ind w:firstLine="42" w:firstLineChars="21"/>
              <w:rPr>
                <w:rFonts w:ascii="宋体" w:hAnsi="宋体"/>
                <w:kern w:val="0"/>
                <w:sz w:val="20"/>
                <w:szCs w:val="20"/>
              </w:rPr>
            </w:pPr>
            <w:r>
              <w:rPr>
                <w:rFonts w:hint="eastAsia" w:ascii="宋体" w:hAnsi="宋体"/>
                <w:kern w:val="0"/>
                <w:sz w:val="20"/>
                <w:szCs w:val="20"/>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D812">
            <w:pPr>
              <w:snapToGrid w:val="0"/>
              <w:spacing w:line="360" w:lineRule="auto"/>
              <w:ind w:firstLine="42" w:firstLineChars="21"/>
              <w:rPr>
                <w:rFonts w:ascii="宋体" w:hAnsi="宋体"/>
                <w:kern w:val="0"/>
                <w:sz w:val="20"/>
                <w:szCs w:val="20"/>
              </w:rPr>
            </w:pPr>
            <w:r>
              <w:rPr>
                <w:rFonts w:hint="eastAsia" w:ascii="宋体" w:hAnsi="宋体"/>
                <w:kern w:val="0"/>
                <w:sz w:val="20"/>
                <w:szCs w:val="20"/>
              </w:rPr>
              <w:t>安装国产数据库，参照达梦、人大进仓等。</w:t>
            </w:r>
          </w:p>
        </w:tc>
      </w:tr>
      <w:tr w14:paraId="336F1016">
        <w:tblPrEx>
          <w:tblCellMar>
            <w:top w:w="0" w:type="dxa"/>
            <w:left w:w="108" w:type="dxa"/>
            <w:bottom w:w="0" w:type="dxa"/>
            <w:right w:w="108" w:type="dxa"/>
          </w:tblCellMar>
        </w:tblPrEx>
        <w:trPr>
          <w:trHeight w:val="56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1C91">
            <w:pPr>
              <w:snapToGrid w:val="0"/>
              <w:spacing w:line="360" w:lineRule="auto"/>
              <w:ind w:firstLine="42" w:firstLineChars="21"/>
              <w:rPr>
                <w:rFonts w:ascii="宋体" w:hAnsi="宋体"/>
                <w:kern w:val="0"/>
                <w:sz w:val="20"/>
                <w:szCs w:val="20"/>
              </w:rPr>
            </w:pPr>
            <w:r>
              <w:rPr>
                <w:rFonts w:hint="eastAsia" w:ascii="宋体" w:hAnsi="宋体"/>
                <w:kern w:val="0"/>
                <w:sz w:val="20"/>
                <w:szCs w:val="20"/>
              </w:rPr>
              <w:t>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0333">
            <w:pPr>
              <w:snapToGrid w:val="0"/>
              <w:spacing w:line="360" w:lineRule="auto"/>
              <w:ind w:firstLine="42" w:firstLineChars="21"/>
              <w:rPr>
                <w:rFonts w:ascii="宋体" w:hAnsi="宋体"/>
                <w:kern w:val="0"/>
                <w:sz w:val="20"/>
                <w:szCs w:val="20"/>
              </w:rPr>
            </w:pPr>
            <w:r>
              <w:rPr>
                <w:rFonts w:hint="eastAsia" w:ascii="宋体" w:hAnsi="宋体"/>
                <w:kern w:val="0"/>
                <w:sz w:val="20"/>
                <w:szCs w:val="20"/>
              </w:rPr>
              <w:t>OSS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78B0">
            <w:pPr>
              <w:snapToGrid w:val="0"/>
              <w:spacing w:line="360" w:lineRule="auto"/>
              <w:ind w:firstLine="42" w:firstLineChars="21"/>
              <w:rPr>
                <w:rFonts w:ascii="宋体" w:hAnsi="宋体"/>
                <w:kern w:val="0"/>
                <w:sz w:val="20"/>
                <w:szCs w:val="20"/>
              </w:rPr>
            </w:pPr>
            <w:r>
              <w:rPr>
                <w:rFonts w:hint="eastAsia" w:ascii="宋体" w:hAnsi="宋体"/>
                <w:kern w:val="0"/>
                <w:sz w:val="20"/>
                <w:szCs w:val="20"/>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2ADF">
            <w:pPr>
              <w:snapToGrid w:val="0"/>
              <w:spacing w:line="360" w:lineRule="auto"/>
              <w:ind w:firstLine="42" w:firstLineChars="21"/>
              <w:rPr>
                <w:rFonts w:ascii="宋体" w:hAnsi="宋体"/>
                <w:kern w:val="0"/>
                <w:sz w:val="20"/>
                <w:szCs w:val="20"/>
              </w:rPr>
            </w:pPr>
            <w:r>
              <w:rPr>
                <w:rFonts w:hint="eastAsia" w:ascii="宋体" w:hAnsi="宋体"/>
                <w:kern w:val="0"/>
                <w:sz w:val="20"/>
                <w:szCs w:val="20"/>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B24">
            <w:pPr>
              <w:snapToGrid w:val="0"/>
              <w:spacing w:line="360" w:lineRule="auto"/>
              <w:ind w:firstLine="42" w:firstLineChars="21"/>
              <w:rPr>
                <w:rFonts w:ascii="宋体" w:hAnsi="宋体"/>
                <w:kern w:val="0"/>
                <w:sz w:val="20"/>
                <w:szCs w:val="20"/>
              </w:rPr>
            </w:pPr>
            <w:r>
              <w:rPr>
                <w:rFonts w:hint="eastAsia" w:ascii="宋体" w:hAnsi="宋体"/>
                <w:kern w:val="0"/>
                <w:sz w:val="20"/>
                <w:szCs w:val="20"/>
              </w:rPr>
              <w:t>2000G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C35F">
            <w:pPr>
              <w:snapToGrid w:val="0"/>
              <w:spacing w:line="360" w:lineRule="auto"/>
              <w:ind w:firstLine="42" w:firstLineChars="21"/>
              <w:rPr>
                <w:rFonts w:ascii="宋体" w:hAnsi="宋体"/>
                <w:kern w:val="0"/>
                <w:sz w:val="20"/>
                <w:szCs w:val="20"/>
              </w:rPr>
            </w:pPr>
            <w:r>
              <w:rPr>
                <w:rFonts w:hint="eastAsia" w:ascii="宋体" w:hAnsi="宋体"/>
                <w:kern w:val="0"/>
                <w:sz w:val="20"/>
                <w:szCs w:val="20"/>
              </w:rPr>
              <w:t>VPN1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0DC1">
            <w:pPr>
              <w:snapToGrid w:val="0"/>
              <w:spacing w:line="360" w:lineRule="auto"/>
              <w:ind w:firstLine="42" w:firstLineChars="21"/>
              <w:rPr>
                <w:rFonts w:ascii="宋体" w:hAnsi="宋体"/>
                <w:kern w:val="0"/>
                <w:sz w:val="20"/>
                <w:szCs w:val="20"/>
              </w:rPr>
            </w:pPr>
            <w:r>
              <w:rPr>
                <w:rFonts w:hint="eastAsia" w:ascii="宋体" w:hAnsi="宋体"/>
                <w:kern w:val="0"/>
                <w:sz w:val="20"/>
                <w:szCs w:val="20"/>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0E8F">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366B">
            <w:pPr>
              <w:snapToGrid w:val="0"/>
              <w:spacing w:line="360" w:lineRule="auto"/>
              <w:ind w:firstLine="42" w:firstLineChars="21"/>
              <w:rPr>
                <w:rFonts w:ascii="宋体" w:hAnsi="宋体"/>
                <w:kern w:val="0"/>
                <w:sz w:val="20"/>
                <w:szCs w:val="20"/>
              </w:rPr>
            </w:pPr>
          </w:p>
        </w:tc>
      </w:tr>
      <w:tr w14:paraId="73426AE6">
        <w:tblPrEx>
          <w:tblCellMar>
            <w:top w:w="0" w:type="dxa"/>
            <w:left w:w="108" w:type="dxa"/>
            <w:bottom w:w="0" w:type="dxa"/>
            <w:right w:w="108" w:type="dxa"/>
          </w:tblCellMar>
        </w:tblPrEx>
        <w:trPr>
          <w:trHeight w:val="138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D19F">
            <w:pPr>
              <w:snapToGrid w:val="0"/>
              <w:spacing w:line="360" w:lineRule="auto"/>
              <w:ind w:firstLine="42" w:firstLineChars="21"/>
              <w:rPr>
                <w:rFonts w:ascii="宋体" w:hAnsi="宋体"/>
                <w:kern w:val="0"/>
                <w:sz w:val="20"/>
                <w:szCs w:val="20"/>
              </w:rPr>
            </w:pPr>
            <w:r>
              <w:rPr>
                <w:rFonts w:hint="eastAsia" w:ascii="宋体" w:hAnsi="宋体"/>
                <w:kern w:val="0"/>
                <w:sz w:val="20"/>
                <w:szCs w:val="20"/>
              </w:rPr>
              <w:t>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CA0E">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3CDF">
            <w:pPr>
              <w:snapToGrid w:val="0"/>
              <w:spacing w:line="360" w:lineRule="auto"/>
              <w:ind w:firstLine="42" w:firstLineChars="21"/>
              <w:rPr>
                <w:rFonts w:ascii="宋体" w:hAnsi="宋体"/>
                <w:kern w:val="0"/>
                <w:sz w:val="20"/>
                <w:szCs w:val="20"/>
              </w:rPr>
            </w:pPr>
            <w:r>
              <w:rPr>
                <w:rFonts w:hint="eastAsia" w:ascii="宋体" w:hAnsi="宋体"/>
                <w:kern w:val="0"/>
                <w:sz w:val="20"/>
                <w:szCs w:val="20"/>
              </w:rPr>
              <w:t>32核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4E15">
            <w:pPr>
              <w:snapToGrid w:val="0"/>
              <w:spacing w:line="360" w:lineRule="auto"/>
              <w:ind w:firstLine="42" w:firstLineChars="21"/>
              <w:rPr>
                <w:rFonts w:ascii="宋体" w:hAnsi="宋体"/>
                <w:kern w:val="0"/>
                <w:sz w:val="20"/>
                <w:szCs w:val="20"/>
              </w:rPr>
            </w:pPr>
            <w:r>
              <w:rPr>
                <w:rFonts w:hint="eastAsia" w:ascii="宋体" w:hAnsi="宋体"/>
                <w:kern w:val="0"/>
                <w:sz w:val="20"/>
                <w:szCs w:val="20"/>
              </w:rPr>
              <w:t>128G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84EF">
            <w:pPr>
              <w:snapToGrid w:val="0"/>
              <w:spacing w:line="360" w:lineRule="auto"/>
              <w:ind w:firstLine="42" w:firstLineChars="21"/>
              <w:rPr>
                <w:rFonts w:ascii="宋体" w:hAnsi="宋体"/>
                <w:kern w:val="0"/>
                <w:sz w:val="20"/>
                <w:szCs w:val="20"/>
              </w:rPr>
            </w:pPr>
            <w:r>
              <w:rPr>
                <w:rFonts w:hint="eastAsia" w:ascii="宋体" w:hAnsi="宋体"/>
                <w:kern w:val="0"/>
                <w:sz w:val="20"/>
                <w:szCs w:val="20"/>
              </w:rPr>
              <w:t>1000G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8470">
            <w:pPr>
              <w:snapToGrid w:val="0"/>
              <w:spacing w:line="360" w:lineRule="auto"/>
              <w:ind w:firstLine="42" w:firstLineChars="21"/>
              <w:rPr>
                <w:rFonts w:ascii="宋体" w:hAnsi="宋体"/>
                <w:kern w:val="0"/>
                <w:sz w:val="20"/>
                <w:szCs w:val="20"/>
              </w:rPr>
            </w:pPr>
            <w:r>
              <w:rPr>
                <w:rFonts w:hint="eastAsia" w:ascii="宋体" w:hAnsi="宋体"/>
                <w:kern w:val="0"/>
                <w:sz w:val="20"/>
                <w:szCs w:val="20"/>
              </w:rPr>
              <w:t>VPN1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7ACD">
            <w:pPr>
              <w:snapToGrid w:val="0"/>
              <w:spacing w:line="360" w:lineRule="auto"/>
              <w:ind w:firstLine="42" w:firstLineChars="21"/>
              <w:rPr>
                <w:rFonts w:ascii="宋体" w:hAnsi="宋体"/>
                <w:kern w:val="0"/>
                <w:sz w:val="20"/>
                <w:szCs w:val="20"/>
              </w:rPr>
            </w:pPr>
            <w:r>
              <w:rPr>
                <w:rFonts w:hint="eastAsia" w:ascii="宋体" w:hAnsi="宋体"/>
                <w:kern w:val="0"/>
                <w:sz w:val="20"/>
                <w:szCs w:val="20"/>
              </w:rPr>
              <w:t>100M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5E62">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9B6C">
            <w:pPr>
              <w:snapToGrid w:val="0"/>
              <w:spacing w:line="360" w:lineRule="auto"/>
              <w:ind w:firstLine="42" w:firstLineChars="21"/>
              <w:rPr>
                <w:rFonts w:ascii="宋体" w:hAnsi="宋体"/>
                <w:kern w:val="0"/>
                <w:sz w:val="20"/>
                <w:szCs w:val="20"/>
              </w:rPr>
            </w:pPr>
            <w:r>
              <w:rPr>
                <w:rFonts w:hint="eastAsia" w:ascii="宋体" w:hAnsi="宋体"/>
                <w:kern w:val="0"/>
                <w:sz w:val="20"/>
                <w:szCs w:val="20"/>
              </w:rPr>
              <w:t>2张国产GPU卡（参照昇腾910）</w:t>
            </w:r>
          </w:p>
        </w:tc>
      </w:tr>
      <w:tr w14:paraId="20F1AFB8">
        <w:tblPrEx>
          <w:tblCellMar>
            <w:top w:w="0" w:type="dxa"/>
            <w:left w:w="108" w:type="dxa"/>
            <w:bottom w:w="0" w:type="dxa"/>
            <w:right w:w="108" w:type="dxa"/>
          </w:tblCellMar>
        </w:tblPrEx>
        <w:trPr>
          <w:trHeight w:val="108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7289">
            <w:pPr>
              <w:snapToGrid w:val="0"/>
              <w:spacing w:line="360" w:lineRule="auto"/>
              <w:ind w:firstLine="42" w:firstLineChars="21"/>
              <w:rPr>
                <w:rFonts w:ascii="宋体" w:hAnsi="宋体"/>
                <w:kern w:val="0"/>
                <w:sz w:val="20"/>
                <w:szCs w:val="20"/>
              </w:rPr>
            </w:pPr>
            <w:r>
              <w:rPr>
                <w:rFonts w:hint="eastAsia" w:ascii="宋体" w:hAnsi="宋体"/>
                <w:kern w:val="0"/>
                <w:sz w:val="20"/>
                <w:szCs w:val="20"/>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39E">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C4A8">
            <w:pPr>
              <w:snapToGrid w:val="0"/>
              <w:spacing w:line="360" w:lineRule="auto"/>
              <w:ind w:firstLine="42" w:firstLineChars="21"/>
              <w:rPr>
                <w:rFonts w:ascii="宋体" w:hAnsi="宋体"/>
                <w:kern w:val="0"/>
                <w:sz w:val="20"/>
                <w:szCs w:val="20"/>
              </w:rPr>
            </w:pPr>
            <w:r>
              <w:rPr>
                <w:rFonts w:hint="eastAsia" w:ascii="宋体" w:hAnsi="宋体"/>
                <w:kern w:val="0"/>
                <w:sz w:val="20"/>
                <w:szCs w:val="20"/>
              </w:rPr>
              <w:t>4核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1101">
            <w:pPr>
              <w:snapToGrid w:val="0"/>
              <w:spacing w:line="360" w:lineRule="auto"/>
              <w:ind w:firstLine="42" w:firstLineChars="21"/>
              <w:rPr>
                <w:rFonts w:ascii="宋体" w:hAnsi="宋体"/>
                <w:kern w:val="0"/>
                <w:sz w:val="20"/>
                <w:szCs w:val="20"/>
              </w:rPr>
            </w:pPr>
            <w:r>
              <w:rPr>
                <w:rFonts w:hint="eastAsia" w:ascii="宋体" w:hAnsi="宋体"/>
                <w:kern w:val="0"/>
                <w:sz w:val="20"/>
                <w:szCs w:val="20"/>
              </w:rPr>
              <w:t>8G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B559">
            <w:pPr>
              <w:snapToGrid w:val="0"/>
              <w:spacing w:line="360" w:lineRule="auto"/>
              <w:ind w:firstLine="42" w:firstLineChars="21"/>
              <w:rPr>
                <w:rFonts w:ascii="宋体" w:hAnsi="宋体"/>
                <w:kern w:val="0"/>
                <w:sz w:val="20"/>
                <w:szCs w:val="20"/>
              </w:rPr>
            </w:pPr>
            <w:r>
              <w:rPr>
                <w:rFonts w:hint="eastAsia" w:ascii="宋体" w:hAnsi="宋体"/>
                <w:kern w:val="0"/>
                <w:sz w:val="20"/>
                <w:szCs w:val="20"/>
              </w:rPr>
              <w:t>200G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A5CB">
            <w:pPr>
              <w:snapToGrid w:val="0"/>
              <w:spacing w:line="360" w:lineRule="auto"/>
              <w:ind w:firstLine="42" w:firstLineChars="21"/>
              <w:rPr>
                <w:rFonts w:ascii="宋体" w:hAnsi="宋体"/>
                <w:kern w:val="0"/>
                <w:sz w:val="20"/>
                <w:szCs w:val="20"/>
              </w:rPr>
            </w:pPr>
            <w:r>
              <w:rPr>
                <w:rFonts w:hint="eastAsia" w:ascii="宋体" w:hAnsi="宋体"/>
                <w:kern w:val="0"/>
                <w:sz w:val="20"/>
                <w:szCs w:val="20"/>
              </w:rPr>
              <w:t>VPN1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CC60">
            <w:pPr>
              <w:snapToGrid w:val="0"/>
              <w:spacing w:line="360" w:lineRule="auto"/>
              <w:ind w:firstLine="42" w:firstLineChars="21"/>
              <w:rPr>
                <w:rFonts w:ascii="宋体" w:hAnsi="宋体"/>
                <w:kern w:val="0"/>
                <w:sz w:val="20"/>
                <w:szCs w:val="20"/>
              </w:rPr>
            </w:pPr>
            <w:r>
              <w:rPr>
                <w:rFonts w:hint="eastAsia" w:ascii="宋体" w:hAnsi="宋体"/>
                <w:kern w:val="0"/>
                <w:sz w:val="20"/>
                <w:szCs w:val="20"/>
              </w:rPr>
              <w:t>50M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3FC7">
            <w:pPr>
              <w:snapToGrid w:val="0"/>
              <w:spacing w:line="360" w:lineRule="auto"/>
              <w:ind w:firstLine="42" w:firstLineChars="21"/>
              <w:rPr>
                <w:rFonts w:ascii="宋体" w:hAnsi="宋体"/>
                <w:kern w:val="0"/>
                <w:sz w:val="20"/>
                <w:szCs w:val="20"/>
              </w:rPr>
            </w:pPr>
            <w:r>
              <w:rPr>
                <w:rFonts w:hint="eastAsia" w:ascii="宋体" w:hAnsi="宋体"/>
                <w:kern w:val="0"/>
                <w:sz w:val="20"/>
                <w:szCs w:val="20"/>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A836">
            <w:pPr>
              <w:snapToGrid w:val="0"/>
              <w:spacing w:line="360" w:lineRule="auto"/>
              <w:ind w:firstLine="42" w:firstLineChars="21"/>
              <w:rPr>
                <w:rFonts w:ascii="宋体" w:hAnsi="宋体"/>
                <w:kern w:val="0"/>
                <w:sz w:val="20"/>
                <w:szCs w:val="20"/>
              </w:rPr>
            </w:pPr>
            <w:r>
              <w:rPr>
                <w:rFonts w:hint="eastAsia" w:ascii="宋体" w:hAnsi="宋体"/>
                <w:kern w:val="0"/>
                <w:sz w:val="20"/>
                <w:szCs w:val="20"/>
              </w:rPr>
              <w:t>从公网接入</w:t>
            </w:r>
          </w:p>
        </w:tc>
      </w:tr>
      <w:tr w14:paraId="354E0528">
        <w:tblPrEx>
          <w:tblCellMar>
            <w:top w:w="0" w:type="dxa"/>
            <w:left w:w="108" w:type="dxa"/>
            <w:bottom w:w="0" w:type="dxa"/>
            <w:right w:w="108" w:type="dxa"/>
          </w:tblCellMar>
        </w:tblPrEx>
        <w:trPr>
          <w:trHeight w:val="16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95EB">
            <w:pPr>
              <w:snapToGrid w:val="0"/>
              <w:spacing w:line="360" w:lineRule="auto"/>
              <w:ind w:firstLine="42" w:firstLineChars="21"/>
              <w:rPr>
                <w:rFonts w:ascii="宋体" w:hAnsi="宋体"/>
                <w:kern w:val="0"/>
                <w:sz w:val="20"/>
                <w:szCs w:val="20"/>
              </w:rPr>
            </w:pPr>
            <w:r>
              <w:rPr>
                <w:rFonts w:hint="eastAsia" w:ascii="宋体" w:hAnsi="宋体"/>
                <w:kern w:val="0"/>
                <w:sz w:val="20"/>
                <w:szCs w:val="20"/>
              </w:rPr>
              <w:t>11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9D15">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745">
            <w:pPr>
              <w:snapToGrid w:val="0"/>
              <w:spacing w:line="360" w:lineRule="auto"/>
              <w:ind w:firstLine="42" w:firstLineChars="21"/>
              <w:rPr>
                <w:rFonts w:ascii="宋体" w:hAnsi="宋体"/>
                <w:kern w:val="0"/>
                <w:sz w:val="20"/>
                <w:szCs w:val="20"/>
              </w:rPr>
            </w:pPr>
            <w:r>
              <w:rPr>
                <w:rFonts w:hint="eastAsia" w:ascii="宋体" w:hAnsi="宋体"/>
                <w:kern w:val="0"/>
                <w:sz w:val="20"/>
                <w:szCs w:val="20"/>
              </w:rPr>
              <w:t>8核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5995">
            <w:pPr>
              <w:snapToGrid w:val="0"/>
              <w:spacing w:line="360" w:lineRule="auto"/>
              <w:ind w:firstLine="42" w:firstLineChars="21"/>
              <w:rPr>
                <w:rFonts w:ascii="宋体" w:hAnsi="宋体"/>
                <w:kern w:val="0"/>
                <w:sz w:val="20"/>
                <w:szCs w:val="20"/>
              </w:rPr>
            </w:pPr>
            <w:r>
              <w:rPr>
                <w:rFonts w:hint="eastAsia" w:ascii="宋体" w:hAnsi="宋体"/>
                <w:kern w:val="0"/>
                <w:sz w:val="20"/>
                <w:szCs w:val="20"/>
              </w:rPr>
              <w:t>64G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853B">
            <w:pPr>
              <w:snapToGrid w:val="0"/>
              <w:spacing w:line="360" w:lineRule="auto"/>
              <w:ind w:firstLine="42" w:firstLineChars="21"/>
              <w:rPr>
                <w:rFonts w:ascii="宋体" w:hAnsi="宋体"/>
                <w:kern w:val="0"/>
                <w:sz w:val="20"/>
                <w:szCs w:val="20"/>
              </w:rPr>
            </w:pPr>
            <w:r>
              <w:rPr>
                <w:rFonts w:hint="eastAsia" w:ascii="宋体" w:hAnsi="宋体"/>
                <w:kern w:val="0"/>
                <w:sz w:val="20"/>
                <w:szCs w:val="20"/>
              </w:rPr>
              <w:t>500G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7F61">
            <w:pPr>
              <w:snapToGrid w:val="0"/>
              <w:spacing w:line="360" w:lineRule="auto"/>
              <w:ind w:firstLine="42" w:firstLineChars="21"/>
              <w:rPr>
                <w:rFonts w:ascii="宋体" w:hAnsi="宋体"/>
                <w:kern w:val="0"/>
                <w:sz w:val="20"/>
                <w:szCs w:val="20"/>
              </w:rPr>
            </w:pPr>
            <w:r>
              <w:rPr>
                <w:rFonts w:hint="eastAsia" w:ascii="宋体" w:hAnsi="宋体"/>
                <w:kern w:val="0"/>
                <w:sz w:val="20"/>
                <w:szCs w:val="20"/>
              </w:rPr>
              <w:t>VPN2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7079">
            <w:pPr>
              <w:snapToGrid w:val="0"/>
              <w:spacing w:line="360" w:lineRule="auto"/>
              <w:ind w:firstLine="42" w:firstLineChars="21"/>
              <w:rPr>
                <w:rFonts w:ascii="宋体" w:hAnsi="宋体"/>
                <w:kern w:val="0"/>
                <w:sz w:val="20"/>
                <w:szCs w:val="20"/>
              </w:rPr>
            </w:pPr>
            <w:r>
              <w:rPr>
                <w:rFonts w:hint="eastAsia" w:ascii="宋体" w:hAnsi="宋体"/>
                <w:kern w:val="0"/>
                <w:sz w:val="20"/>
                <w:szCs w:val="20"/>
              </w:rPr>
              <w:t>50M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0B45">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D39F">
            <w:pPr>
              <w:snapToGrid w:val="0"/>
              <w:spacing w:line="360" w:lineRule="auto"/>
              <w:ind w:firstLine="42" w:firstLineChars="21"/>
              <w:rPr>
                <w:rFonts w:ascii="宋体" w:hAnsi="宋体"/>
                <w:kern w:val="0"/>
                <w:sz w:val="20"/>
                <w:szCs w:val="20"/>
              </w:rPr>
            </w:pPr>
            <w:r>
              <w:rPr>
                <w:rFonts w:hint="eastAsia" w:ascii="宋体" w:hAnsi="宋体"/>
                <w:kern w:val="0"/>
                <w:sz w:val="20"/>
                <w:szCs w:val="20"/>
              </w:rPr>
              <w:t>4张国产GPU卡（参照海光Z100L等）</w:t>
            </w:r>
          </w:p>
        </w:tc>
      </w:tr>
      <w:tr w14:paraId="5FC51C56">
        <w:tblPrEx>
          <w:tblCellMar>
            <w:top w:w="0" w:type="dxa"/>
            <w:left w:w="108" w:type="dxa"/>
            <w:bottom w:w="0" w:type="dxa"/>
            <w:right w:w="108" w:type="dxa"/>
          </w:tblCellMar>
        </w:tblPrEx>
        <w:trPr>
          <w:trHeight w:val="61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9E01">
            <w:pPr>
              <w:snapToGrid w:val="0"/>
              <w:spacing w:line="360" w:lineRule="auto"/>
              <w:ind w:firstLine="42" w:firstLineChars="21"/>
              <w:rPr>
                <w:rFonts w:ascii="宋体" w:hAnsi="宋体"/>
                <w:kern w:val="0"/>
                <w:sz w:val="20"/>
                <w:szCs w:val="20"/>
              </w:rPr>
            </w:pPr>
            <w:r>
              <w:rPr>
                <w:rFonts w:hint="eastAsia" w:ascii="宋体" w:hAnsi="宋体"/>
                <w:kern w:val="0"/>
                <w:sz w:val="20"/>
                <w:szCs w:val="20"/>
              </w:rPr>
              <w:t>12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B087">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6E2B">
            <w:pPr>
              <w:snapToGrid w:val="0"/>
              <w:spacing w:line="360" w:lineRule="auto"/>
              <w:ind w:firstLine="42" w:firstLineChars="21"/>
              <w:rPr>
                <w:rFonts w:ascii="宋体" w:hAnsi="宋体"/>
                <w:kern w:val="0"/>
                <w:sz w:val="20"/>
                <w:szCs w:val="20"/>
              </w:rPr>
            </w:pPr>
            <w:r>
              <w:rPr>
                <w:rFonts w:hint="eastAsia" w:ascii="宋体" w:hAnsi="宋体"/>
                <w:kern w:val="0"/>
                <w:sz w:val="20"/>
                <w:szCs w:val="20"/>
              </w:rPr>
              <w:t>4核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E670">
            <w:pPr>
              <w:snapToGrid w:val="0"/>
              <w:spacing w:line="360" w:lineRule="auto"/>
              <w:ind w:firstLine="42" w:firstLineChars="21"/>
              <w:rPr>
                <w:rFonts w:ascii="宋体" w:hAnsi="宋体"/>
                <w:kern w:val="0"/>
                <w:sz w:val="20"/>
                <w:szCs w:val="20"/>
              </w:rPr>
            </w:pPr>
            <w:r>
              <w:rPr>
                <w:rFonts w:hint="eastAsia" w:ascii="宋体" w:hAnsi="宋体"/>
                <w:kern w:val="0"/>
                <w:sz w:val="20"/>
                <w:szCs w:val="20"/>
              </w:rPr>
              <w:t>8G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BD2B">
            <w:pPr>
              <w:snapToGrid w:val="0"/>
              <w:spacing w:line="360" w:lineRule="auto"/>
              <w:ind w:firstLine="42" w:firstLineChars="21"/>
              <w:rPr>
                <w:rFonts w:ascii="宋体" w:hAnsi="宋体"/>
                <w:kern w:val="0"/>
                <w:sz w:val="20"/>
                <w:szCs w:val="20"/>
              </w:rPr>
            </w:pPr>
            <w:r>
              <w:rPr>
                <w:rFonts w:hint="eastAsia" w:ascii="宋体" w:hAnsi="宋体"/>
                <w:kern w:val="0"/>
                <w:sz w:val="20"/>
                <w:szCs w:val="20"/>
              </w:rPr>
              <w:t>500G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957">
            <w:pPr>
              <w:snapToGrid w:val="0"/>
              <w:spacing w:line="360" w:lineRule="auto"/>
              <w:ind w:firstLine="42" w:firstLineChars="21"/>
              <w:rPr>
                <w:rFonts w:ascii="宋体" w:hAnsi="宋体"/>
                <w:kern w:val="0"/>
                <w:sz w:val="20"/>
                <w:szCs w:val="20"/>
              </w:rPr>
            </w:pPr>
            <w:r>
              <w:rPr>
                <w:rFonts w:hint="eastAsia" w:ascii="宋体" w:hAnsi="宋体"/>
                <w:kern w:val="0"/>
                <w:sz w:val="20"/>
                <w:szCs w:val="20"/>
              </w:rPr>
              <w:t>VPN2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A47B">
            <w:pPr>
              <w:snapToGrid w:val="0"/>
              <w:spacing w:line="360" w:lineRule="auto"/>
              <w:ind w:firstLine="42" w:firstLineChars="21"/>
              <w:rPr>
                <w:rFonts w:ascii="宋体" w:hAnsi="宋体"/>
                <w:kern w:val="0"/>
                <w:sz w:val="20"/>
                <w:szCs w:val="20"/>
              </w:rPr>
            </w:pPr>
            <w:r>
              <w:rPr>
                <w:rFonts w:hint="eastAsia" w:ascii="宋体" w:hAnsi="宋体"/>
                <w:kern w:val="0"/>
                <w:sz w:val="20"/>
                <w:szCs w:val="20"/>
              </w:rPr>
              <w:t>20M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E6D5">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02C5">
            <w:pPr>
              <w:snapToGrid w:val="0"/>
              <w:spacing w:line="360" w:lineRule="auto"/>
              <w:ind w:firstLine="42" w:firstLineChars="21"/>
              <w:rPr>
                <w:rFonts w:ascii="宋体" w:hAnsi="宋体"/>
                <w:kern w:val="0"/>
                <w:sz w:val="20"/>
                <w:szCs w:val="20"/>
              </w:rPr>
            </w:pPr>
          </w:p>
        </w:tc>
      </w:tr>
      <w:tr w14:paraId="3E35561C">
        <w:tblPrEx>
          <w:tblCellMar>
            <w:top w:w="0" w:type="dxa"/>
            <w:left w:w="108" w:type="dxa"/>
            <w:bottom w:w="0" w:type="dxa"/>
            <w:right w:w="108" w:type="dxa"/>
          </w:tblCellMar>
        </w:tblPrEx>
        <w:trPr>
          <w:trHeight w:val="87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B677">
            <w:pPr>
              <w:snapToGrid w:val="0"/>
              <w:spacing w:line="360" w:lineRule="auto"/>
              <w:ind w:firstLine="42" w:firstLineChars="21"/>
              <w:rPr>
                <w:rFonts w:ascii="宋体" w:hAnsi="宋体"/>
                <w:kern w:val="0"/>
                <w:sz w:val="20"/>
                <w:szCs w:val="20"/>
              </w:rPr>
            </w:pPr>
            <w:r>
              <w:rPr>
                <w:rFonts w:hint="eastAsia" w:ascii="宋体" w:hAnsi="宋体"/>
                <w:kern w:val="0"/>
                <w:sz w:val="20"/>
                <w:szCs w:val="20"/>
              </w:rPr>
              <w:t>13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E197">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7E5F">
            <w:pPr>
              <w:snapToGrid w:val="0"/>
              <w:spacing w:line="360" w:lineRule="auto"/>
              <w:ind w:firstLine="42" w:firstLineChars="21"/>
              <w:rPr>
                <w:rFonts w:ascii="宋体" w:hAnsi="宋体"/>
                <w:kern w:val="0"/>
                <w:sz w:val="20"/>
                <w:szCs w:val="20"/>
              </w:rPr>
            </w:pPr>
            <w:r>
              <w:rPr>
                <w:rFonts w:hint="eastAsia" w:ascii="宋体" w:hAnsi="宋体"/>
                <w:kern w:val="0"/>
                <w:sz w:val="20"/>
                <w:szCs w:val="20"/>
              </w:rPr>
              <w:t>8核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9C29">
            <w:pPr>
              <w:snapToGrid w:val="0"/>
              <w:spacing w:line="360" w:lineRule="auto"/>
              <w:ind w:firstLine="42" w:firstLineChars="21"/>
              <w:rPr>
                <w:rFonts w:ascii="宋体" w:hAnsi="宋体"/>
                <w:kern w:val="0"/>
                <w:sz w:val="20"/>
                <w:szCs w:val="20"/>
              </w:rPr>
            </w:pPr>
            <w:r>
              <w:rPr>
                <w:rFonts w:hint="eastAsia" w:ascii="宋体" w:hAnsi="宋体"/>
                <w:kern w:val="0"/>
                <w:sz w:val="20"/>
                <w:szCs w:val="20"/>
              </w:rPr>
              <w:t>64G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B200">
            <w:pPr>
              <w:snapToGrid w:val="0"/>
              <w:spacing w:line="360" w:lineRule="auto"/>
              <w:ind w:firstLine="42" w:firstLineChars="21"/>
              <w:rPr>
                <w:rFonts w:ascii="宋体" w:hAnsi="宋体"/>
                <w:kern w:val="0"/>
                <w:sz w:val="20"/>
                <w:szCs w:val="20"/>
              </w:rPr>
            </w:pPr>
            <w:r>
              <w:rPr>
                <w:rFonts w:hint="eastAsia" w:ascii="宋体" w:hAnsi="宋体"/>
                <w:kern w:val="0"/>
                <w:sz w:val="20"/>
                <w:szCs w:val="20"/>
              </w:rPr>
              <w:t>500G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11CE">
            <w:pPr>
              <w:snapToGrid w:val="0"/>
              <w:spacing w:line="360" w:lineRule="auto"/>
              <w:ind w:firstLine="42" w:firstLineChars="21"/>
              <w:rPr>
                <w:rFonts w:ascii="宋体" w:hAnsi="宋体"/>
                <w:kern w:val="0"/>
                <w:sz w:val="20"/>
                <w:szCs w:val="20"/>
              </w:rPr>
            </w:pPr>
            <w:r>
              <w:rPr>
                <w:rFonts w:hint="eastAsia" w:ascii="宋体" w:hAnsi="宋体"/>
                <w:kern w:val="0"/>
                <w:sz w:val="20"/>
                <w:szCs w:val="20"/>
              </w:rPr>
              <w:t>VPN2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AE21">
            <w:pPr>
              <w:snapToGrid w:val="0"/>
              <w:spacing w:line="360" w:lineRule="auto"/>
              <w:ind w:firstLine="42" w:firstLineChars="21"/>
              <w:rPr>
                <w:rFonts w:ascii="宋体" w:hAnsi="宋体"/>
                <w:kern w:val="0"/>
                <w:sz w:val="20"/>
                <w:szCs w:val="20"/>
              </w:rPr>
            </w:pPr>
            <w:r>
              <w:rPr>
                <w:rFonts w:hint="eastAsia" w:ascii="宋体" w:hAnsi="宋体"/>
                <w:kern w:val="0"/>
                <w:sz w:val="20"/>
                <w:szCs w:val="20"/>
              </w:rPr>
              <w:t>20M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269C">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C8E9">
            <w:pPr>
              <w:snapToGrid w:val="0"/>
              <w:spacing w:line="360" w:lineRule="auto"/>
              <w:ind w:firstLine="42" w:firstLineChars="21"/>
              <w:rPr>
                <w:rFonts w:ascii="宋体" w:hAnsi="宋体"/>
                <w:kern w:val="0"/>
                <w:sz w:val="20"/>
                <w:szCs w:val="20"/>
              </w:rPr>
            </w:pPr>
            <w:r>
              <w:rPr>
                <w:rFonts w:hint="eastAsia" w:ascii="宋体" w:hAnsi="宋体"/>
                <w:kern w:val="0"/>
                <w:sz w:val="20"/>
                <w:szCs w:val="20"/>
              </w:rPr>
              <w:t>4张国产GPU卡（参照昇腾910等）</w:t>
            </w:r>
          </w:p>
        </w:tc>
      </w:tr>
      <w:tr w14:paraId="79AD4538">
        <w:tblPrEx>
          <w:tblCellMar>
            <w:top w:w="0" w:type="dxa"/>
            <w:left w:w="108" w:type="dxa"/>
            <w:bottom w:w="0" w:type="dxa"/>
            <w:right w:w="108" w:type="dxa"/>
          </w:tblCellMar>
        </w:tblPrEx>
        <w:trPr>
          <w:trHeight w:val="76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AA42">
            <w:pPr>
              <w:snapToGrid w:val="0"/>
              <w:spacing w:line="360" w:lineRule="auto"/>
              <w:ind w:firstLine="42" w:firstLineChars="21"/>
              <w:rPr>
                <w:rFonts w:ascii="宋体" w:hAnsi="宋体"/>
                <w:kern w:val="0"/>
                <w:sz w:val="20"/>
                <w:szCs w:val="20"/>
              </w:rPr>
            </w:pPr>
            <w:r>
              <w:rPr>
                <w:rFonts w:hint="eastAsia" w:ascii="宋体" w:hAnsi="宋体"/>
                <w:kern w:val="0"/>
                <w:sz w:val="20"/>
                <w:szCs w:val="20"/>
              </w:rPr>
              <w:t>14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402A">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0545">
            <w:pPr>
              <w:snapToGrid w:val="0"/>
              <w:spacing w:line="360" w:lineRule="auto"/>
              <w:ind w:firstLine="42" w:firstLineChars="21"/>
              <w:rPr>
                <w:rFonts w:ascii="宋体" w:hAnsi="宋体"/>
                <w:kern w:val="0"/>
                <w:sz w:val="20"/>
                <w:szCs w:val="20"/>
              </w:rPr>
            </w:pPr>
            <w:r>
              <w:rPr>
                <w:rFonts w:hint="eastAsia" w:ascii="宋体" w:hAnsi="宋体"/>
                <w:kern w:val="0"/>
                <w:sz w:val="20"/>
                <w:szCs w:val="20"/>
              </w:rPr>
              <w:t>4核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0DFC">
            <w:pPr>
              <w:snapToGrid w:val="0"/>
              <w:spacing w:line="360" w:lineRule="auto"/>
              <w:ind w:firstLine="42" w:firstLineChars="21"/>
              <w:rPr>
                <w:rFonts w:ascii="宋体" w:hAnsi="宋体"/>
                <w:kern w:val="0"/>
                <w:sz w:val="20"/>
                <w:szCs w:val="20"/>
              </w:rPr>
            </w:pPr>
            <w:r>
              <w:rPr>
                <w:rFonts w:hint="eastAsia" w:ascii="宋体" w:hAnsi="宋体"/>
                <w:kern w:val="0"/>
                <w:sz w:val="20"/>
                <w:szCs w:val="20"/>
              </w:rPr>
              <w:t>16G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168A">
            <w:pPr>
              <w:snapToGrid w:val="0"/>
              <w:spacing w:line="360" w:lineRule="auto"/>
              <w:ind w:firstLine="42" w:firstLineChars="21"/>
              <w:rPr>
                <w:rFonts w:ascii="宋体" w:hAnsi="宋体"/>
                <w:kern w:val="0"/>
                <w:sz w:val="20"/>
                <w:szCs w:val="20"/>
              </w:rPr>
            </w:pPr>
            <w:r>
              <w:rPr>
                <w:rFonts w:hint="eastAsia" w:ascii="宋体" w:hAnsi="宋体"/>
                <w:kern w:val="0"/>
                <w:sz w:val="20"/>
                <w:szCs w:val="20"/>
              </w:rPr>
              <w:t>200G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950C">
            <w:pPr>
              <w:snapToGrid w:val="0"/>
              <w:spacing w:line="360" w:lineRule="auto"/>
              <w:ind w:firstLine="42" w:firstLineChars="21"/>
              <w:rPr>
                <w:rFonts w:ascii="宋体" w:hAnsi="宋体"/>
                <w:kern w:val="0"/>
                <w:sz w:val="20"/>
                <w:szCs w:val="20"/>
              </w:rPr>
            </w:pPr>
            <w:r>
              <w:rPr>
                <w:rFonts w:hint="eastAsia" w:ascii="宋体" w:hAnsi="宋体"/>
                <w:kern w:val="0"/>
                <w:sz w:val="20"/>
                <w:szCs w:val="20"/>
              </w:rPr>
              <w:t>卫生专网</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514B">
            <w:pPr>
              <w:snapToGrid w:val="0"/>
              <w:spacing w:line="360" w:lineRule="auto"/>
              <w:ind w:firstLine="42" w:firstLineChars="21"/>
              <w:rPr>
                <w:rFonts w:ascii="宋体" w:hAnsi="宋体"/>
                <w:kern w:val="0"/>
                <w:sz w:val="20"/>
                <w:szCs w:val="20"/>
              </w:rPr>
            </w:pPr>
            <w:r>
              <w:rPr>
                <w:rFonts w:hint="eastAsia" w:ascii="宋体" w:hAnsi="宋体"/>
                <w:kern w:val="0"/>
                <w:sz w:val="20"/>
                <w:szCs w:val="20"/>
              </w:rPr>
              <w:t>50M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2CEA">
            <w:pPr>
              <w:snapToGrid w:val="0"/>
              <w:spacing w:line="360" w:lineRule="auto"/>
              <w:ind w:firstLine="42" w:firstLineChars="21"/>
              <w:rPr>
                <w:rFonts w:ascii="宋体" w:hAnsi="宋体"/>
                <w:kern w:val="0"/>
                <w:sz w:val="20"/>
                <w:szCs w:val="20"/>
              </w:rPr>
            </w:pPr>
            <w:r>
              <w:rPr>
                <w:rFonts w:hint="eastAsia" w:ascii="宋体" w:hAnsi="宋体"/>
                <w:kern w:val="0"/>
                <w:sz w:val="20"/>
                <w:szCs w:val="20"/>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60E1">
            <w:pPr>
              <w:snapToGrid w:val="0"/>
              <w:spacing w:line="360" w:lineRule="auto"/>
              <w:ind w:firstLine="42" w:firstLineChars="21"/>
              <w:rPr>
                <w:rFonts w:ascii="宋体" w:hAnsi="宋体"/>
                <w:kern w:val="0"/>
                <w:sz w:val="20"/>
                <w:szCs w:val="20"/>
              </w:rPr>
            </w:pPr>
          </w:p>
        </w:tc>
      </w:tr>
      <w:tr w14:paraId="1718CB5A">
        <w:tblPrEx>
          <w:tblCellMar>
            <w:top w:w="0" w:type="dxa"/>
            <w:left w:w="108" w:type="dxa"/>
            <w:bottom w:w="0" w:type="dxa"/>
            <w:right w:w="108" w:type="dxa"/>
          </w:tblCellMar>
        </w:tblPrEx>
        <w:trPr>
          <w:trHeight w:val="11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5895">
            <w:pPr>
              <w:snapToGrid w:val="0"/>
              <w:spacing w:line="360" w:lineRule="auto"/>
              <w:ind w:firstLine="42" w:firstLineChars="21"/>
              <w:rPr>
                <w:rFonts w:ascii="宋体" w:hAnsi="宋体"/>
                <w:kern w:val="0"/>
                <w:sz w:val="20"/>
                <w:szCs w:val="20"/>
              </w:rPr>
            </w:pPr>
            <w:r>
              <w:rPr>
                <w:rFonts w:hint="eastAsia" w:ascii="宋体" w:hAnsi="宋体"/>
                <w:kern w:val="0"/>
                <w:sz w:val="20"/>
                <w:szCs w:val="20"/>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03CB">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09F1">
            <w:pPr>
              <w:snapToGrid w:val="0"/>
              <w:spacing w:line="360" w:lineRule="auto"/>
              <w:ind w:firstLine="42" w:firstLineChars="21"/>
              <w:rPr>
                <w:rFonts w:ascii="宋体" w:hAnsi="宋体"/>
                <w:kern w:val="0"/>
                <w:sz w:val="20"/>
                <w:szCs w:val="20"/>
              </w:rPr>
            </w:pPr>
            <w:r>
              <w:rPr>
                <w:rFonts w:hint="eastAsia" w:ascii="宋体" w:hAnsi="宋体"/>
                <w:kern w:val="0"/>
                <w:sz w:val="20"/>
                <w:szCs w:val="20"/>
              </w:rPr>
              <w:t>8核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754B">
            <w:pPr>
              <w:snapToGrid w:val="0"/>
              <w:spacing w:line="360" w:lineRule="auto"/>
              <w:ind w:firstLine="42" w:firstLineChars="21"/>
              <w:rPr>
                <w:rFonts w:ascii="宋体" w:hAnsi="宋体"/>
                <w:kern w:val="0"/>
                <w:sz w:val="20"/>
                <w:szCs w:val="20"/>
              </w:rPr>
            </w:pPr>
            <w:r>
              <w:rPr>
                <w:rFonts w:hint="eastAsia" w:ascii="宋体" w:hAnsi="宋体"/>
                <w:kern w:val="0"/>
                <w:sz w:val="20"/>
                <w:szCs w:val="20"/>
              </w:rPr>
              <w:t>16G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43DD">
            <w:pPr>
              <w:snapToGrid w:val="0"/>
              <w:spacing w:line="360" w:lineRule="auto"/>
              <w:ind w:firstLine="42" w:firstLineChars="21"/>
              <w:rPr>
                <w:rFonts w:ascii="宋体" w:hAnsi="宋体"/>
                <w:kern w:val="0"/>
                <w:sz w:val="20"/>
                <w:szCs w:val="20"/>
              </w:rPr>
            </w:pPr>
            <w:r>
              <w:rPr>
                <w:rFonts w:hint="eastAsia" w:ascii="宋体" w:hAnsi="宋体"/>
                <w:kern w:val="0"/>
                <w:sz w:val="20"/>
                <w:szCs w:val="20"/>
              </w:rPr>
              <w:t>1T</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E263">
            <w:pPr>
              <w:snapToGrid w:val="0"/>
              <w:spacing w:line="360" w:lineRule="auto"/>
              <w:ind w:firstLine="42" w:firstLineChars="21"/>
              <w:rPr>
                <w:rFonts w:ascii="宋体" w:hAnsi="宋体"/>
                <w:kern w:val="0"/>
                <w:sz w:val="20"/>
                <w:szCs w:val="20"/>
              </w:rPr>
            </w:pPr>
            <w:r>
              <w:rPr>
                <w:rFonts w:hint="eastAsia" w:ascii="宋体" w:hAnsi="宋体"/>
                <w:kern w:val="0"/>
                <w:sz w:val="20"/>
                <w:szCs w:val="20"/>
              </w:rPr>
              <w:t>卫生专网</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10E3">
            <w:pPr>
              <w:snapToGrid w:val="0"/>
              <w:spacing w:line="360" w:lineRule="auto"/>
              <w:ind w:firstLine="42" w:firstLineChars="21"/>
              <w:rPr>
                <w:rFonts w:ascii="宋体" w:hAnsi="宋体"/>
                <w:kern w:val="0"/>
                <w:sz w:val="20"/>
                <w:szCs w:val="20"/>
              </w:rPr>
            </w:pPr>
            <w:r>
              <w:rPr>
                <w:rFonts w:hint="eastAsia" w:ascii="宋体" w:hAnsi="宋体"/>
                <w:kern w:val="0"/>
                <w:sz w:val="20"/>
                <w:szCs w:val="20"/>
              </w:rPr>
              <w:t>200M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5276">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80C">
            <w:pPr>
              <w:snapToGrid w:val="0"/>
              <w:spacing w:line="360" w:lineRule="auto"/>
              <w:ind w:firstLine="42" w:firstLineChars="21"/>
              <w:rPr>
                <w:rFonts w:ascii="宋体" w:hAnsi="宋体"/>
                <w:kern w:val="0"/>
                <w:sz w:val="20"/>
                <w:szCs w:val="20"/>
              </w:rPr>
            </w:pPr>
            <w:r>
              <w:rPr>
                <w:rFonts w:hint="eastAsia" w:ascii="宋体" w:hAnsi="宋体"/>
                <w:kern w:val="0"/>
                <w:sz w:val="20"/>
                <w:szCs w:val="20"/>
              </w:rPr>
              <w:t>X86架构+国产CPU（参照海光等）+国产操作系统（参照统信UOS等）</w:t>
            </w:r>
          </w:p>
        </w:tc>
      </w:tr>
      <w:tr w14:paraId="08960615">
        <w:tblPrEx>
          <w:tblCellMar>
            <w:top w:w="0" w:type="dxa"/>
            <w:left w:w="108" w:type="dxa"/>
            <w:bottom w:w="0" w:type="dxa"/>
            <w:right w:w="108" w:type="dxa"/>
          </w:tblCellMar>
        </w:tblPrEx>
        <w:trPr>
          <w:trHeight w:val="14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7EE7">
            <w:pPr>
              <w:snapToGrid w:val="0"/>
              <w:spacing w:line="360" w:lineRule="auto"/>
              <w:ind w:firstLine="42" w:firstLineChars="21"/>
              <w:rPr>
                <w:rFonts w:ascii="宋体" w:hAnsi="宋体"/>
                <w:kern w:val="0"/>
                <w:sz w:val="20"/>
                <w:szCs w:val="20"/>
              </w:rPr>
            </w:pPr>
            <w:r>
              <w:rPr>
                <w:rFonts w:hint="eastAsia" w:ascii="宋体" w:hAnsi="宋体"/>
                <w:kern w:val="0"/>
                <w:sz w:val="20"/>
                <w:szCs w:val="20"/>
              </w:rPr>
              <w:t>16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F2F">
            <w:pPr>
              <w:snapToGrid w:val="0"/>
              <w:spacing w:line="360" w:lineRule="auto"/>
              <w:ind w:firstLine="42" w:firstLineChars="21"/>
              <w:rPr>
                <w:rFonts w:ascii="宋体" w:hAnsi="宋体"/>
                <w:kern w:val="0"/>
                <w:sz w:val="20"/>
                <w:szCs w:val="20"/>
              </w:rPr>
            </w:pPr>
            <w:r>
              <w:rPr>
                <w:rFonts w:hint="eastAsia" w:ascii="宋体" w:hAnsi="宋体"/>
                <w:kern w:val="0"/>
                <w:sz w:val="20"/>
                <w:szCs w:val="20"/>
              </w:rPr>
              <w:t>ECS</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405B">
            <w:pPr>
              <w:snapToGrid w:val="0"/>
              <w:spacing w:line="360" w:lineRule="auto"/>
              <w:ind w:firstLine="42" w:firstLineChars="21"/>
              <w:rPr>
                <w:rFonts w:ascii="宋体" w:hAnsi="宋体"/>
                <w:kern w:val="0"/>
                <w:sz w:val="20"/>
                <w:szCs w:val="20"/>
              </w:rPr>
            </w:pPr>
            <w:r>
              <w:rPr>
                <w:rFonts w:hint="eastAsia" w:ascii="宋体" w:hAnsi="宋体"/>
                <w:kern w:val="0"/>
                <w:sz w:val="20"/>
                <w:szCs w:val="20"/>
              </w:rPr>
              <w:t>8核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AC85">
            <w:pPr>
              <w:snapToGrid w:val="0"/>
              <w:spacing w:line="360" w:lineRule="auto"/>
              <w:ind w:firstLine="42" w:firstLineChars="21"/>
              <w:rPr>
                <w:rFonts w:ascii="宋体" w:hAnsi="宋体"/>
                <w:kern w:val="0"/>
                <w:sz w:val="20"/>
                <w:szCs w:val="20"/>
              </w:rPr>
            </w:pPr>
            <w:r>
              <w:rPr>
                <w:rFonts w:hint="eastAsia" w:ascii="宋体" w:hAnsi="宋体"/>
                <w:kern w:val="0"/>
                <w:sz w:val="20"/>
                <w:szCs w:val="20"/>
              </w:rPr>
              <w:t>16G</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DF8">
            <w:pPr>
              <w:snapToGrid w:val="0"/>
              <w:spacing w:line="360" w:lineRule="auto"/>
              <w:ind w:firstLine="42" w:firstLineChars="21"/>
              <w:rPr>
                <w:rFonts w:ascii="宋体" w:hAnsi="宋体"/>
                <w:kern w:val="0"/>
                <w:sz w:val="20"/>
                <w:szCs w:val="20"/>
              </w:rPr>
            </w:pPr>
            <w:r>
              <w:rPr>
                <w:rFonts w:hint="eastAsia" w:ascii="宋体" w:hAnsi="宋体"/>
                <w:kern w:val="0"/>
                <w:sz w:val="20"/>
                <w:szCs w:val="20"/>
              </w:rPr>
              <w:t>1T</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1CDD">
            <w:pPr>
              <w:snapToGrid w:val="0"/>
              <w:spacing w:line="360" w:lineRule="auto"/>
              <w:ind w:firstLine="42" w:firstLineChars="21"/>
              <w:rPr>
                <w:rFonts w:ascii="宋体" w:hAnsi="宋体"/>
                <w:kern w:val="0"/>
                <w:sz w:val="20"/>
                <w:szCs w:val="20"/>
              </w:rPr>
            </w:pPr>
            <w:r>
              <w:rPr>
                <w:rFonts w:hint="eastAsia" w:ascii="宋体" w:hAnsi="宋体"/>
                <w:kern w:val="0"/>
                <w:sz w:val="20"/>
                <w:szCs w:val="20"/>
              </w:rPr>
              <w:t>卫生专网</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C46B">
            <w:pPr>
              <w:snapToGrid w:val="0"/>
              <w:spacing w:line="360" w:lineRule="auto"/>
              <w:ind w:firstLine="42" w:firstLineChars="21"/>
              <w:rPr>
                <w:rFonts w:ascii="宋体" w:hAnsi="宋体"/>
                <w:kern w:val="0"/>
                <w:sz w:val="20"/>
                <w:szCs w:val="20"/>
              </w:rPr>
            </w:pPr>
            <w:r>
              <w:rPr>
                <w:rFonts w:hint="eastAsia" w:ascii="宋体" w:hAnsi="宋体"/>
                <w:kern w:val="0"/>
                <w:sz w:val="20"/>
                <w:szCs w:val="20"/>
              </w:rPr>
              <w:t>200M</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7629">
            <w:pPr>
              <w:snapToGrid w:val="0"/>
              <w:spacing w:line="360" w:lineRule="auto"/>
              <w:ind w:firstLine="42" w:firstLineChars="21"/>
              <w:rPr>
                <w:rFonts w:ascii="宋体" w:hAnsi="宋体"/>
                <w:kern w:val="0"/>
                <w:sz w:val="20"/>
                <w:szCs w:val="20"/>
              </w:rPr>
            </w:pPr>
            <w:r>
              <w:rPr>
                <w:rFonts w:hint="eastAsia" w:ascii="宋体" w:hAnsi="宋体"/>
                <w:kern w:val="0"/>
                <w:sz w:val="20"/>
                <w:szCs w:val="20"/>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66A6">
            <w:pPr>
              <w:snapToGrid w:val="0"/>
              <w:spacing w:line="360" w:lineRule="auto"/>
              <w:ind w:firstLine="42" w:firstLineChars="21"/>
              <w:rPr>
                <w:rFonts w:ascii="宋体" w:hAnsi="宋体"/>
                <w:kern w:val="0"/>
                <w:sz w:val="20"/>
                <w:szCs w:val="20"/>
              </w:rPr>
            </w:pPr>
            <w:r>
              <w:rPr>
                <w:rFonts w:hint="eastAsia" w:ascii="宋体" w:hAnsi="宋体"/>
                <w:kern w:val="0"/>
                <w:sz w:val="20"/>
                <w:szCs w:val="20"/>
              </w:rPr>
              <w:t>国产芯片（参照鲲鹏等），国产操作系统（参照银河麒麟V10sp1等）</w:t>
            </w:r>
          </w:p>
        </w:tc>
      </w:tr>
    </w:tbl>
    <w:p w14:paraId="37DAF879">
      <w:pPr>
        <w:spacing w:after="120"/>
        <w:ind w:left="420" w:leftChars="200" w:firstLine="420" w:firstLineChars="200"/>
        <w:rPr>
          <w:rFonts w:ascii="宋体" w:hAnsi="宋体"/>
        </w:rPr>
      </w:pPr>
    </w:p>
    <w:p w14:paraId="446A8FDF">
      <w:pPr>
        <w:keepNext/>
        <w:keepLines/>
        <w:numPr>
          <w:ilvl w:val="2"/>
          <w:numId w:val="1"/>
        </w:numPr>
        <w:tabs>
          <w:tab w:val="left" w:pos="432"/>
          <w:tab w:val="left" w:pos="1400"/>
        </w:tabs>
        <w:adjustRightInd/>
        <w:spacing w:before="260" w:after="260" w:line="416" w:lineRule="auto"/>
        <w:outlineLvl w:val="2"/>
        <w:rPr>
          <w:rFonts w:ascii="宋体" w:hAnsi="宋体" w:cs="宋体"/>
          <w:b/>
          <w:bCs/>
          <w:sz w:val="24"/>
          <w:szCs w:val="28"/>
        </w:rPr>
      </w:pPr>
      <w:r>
        <w:rPr>
          <w:rFonts w:hint="eastAsia" w:ascii="宋体" w:hAnsi="宋体" w:cs="宋体"/>
          <w:b/>
          <w:bCs/>
          <w:sz w:val="24"/>
          <w:szCs w:val="28"/>
        </w:rPr>
        <w:t>安全建设</w:t>
      </w:r>
    </w:p>
    <w:p w14:paraId="3F2D4BE2">
      <w:pPr>
        <w:adjustRightInd/>
        <w:spacing w:line="360" w:lineRule="auto"/>
        <w:ind w:firstLine="480" w:firstLineChars="200"/>
        <w:rPr>
          <w:rFonts w:ascii="宋体" w:hAnsi="宋体" w:cs="宋体"/>
          <w:sz w:val="24"/>
        </w:rPr>
      </w:pPr>
      <w:r>
        <w:rPr>
          <w:rFonts w:hint="eastAsia" w:ascii="宋体" w:hAnsi="宋体" w:cs="宋体"/>
          <w:sz w:val="24"/>
        </w:rPr>
        <w:t>本系统应遵循的信息系统等级保护2.0等级为：三级。系统的设计、实施必须遵照和满足信创相关标准规范，以及相应等级的信息系统等级保护2.0应用安全、数据安全等相关要求，落实安全可靠建设任务。</w:t>
      </w:r>
    </w:p>
    <w:p w14:paraId="13926FA4">
      <w:pPr>
        <w:adjustRightInd/>
        <w:spacing w:line="360" w:lineRule="auto"/>
        <w:ind w:firstLine="480" w:firstLineChars="200"/>
        <w:rPr>
          <w:rFonts w:ascii="宋体" w:hAnsi="宋体" w:cs="宋体"/>
          <w:sz w:val="24"/>
        </w:rPr>
      </w:pPr>
      <w:r>
        <w:rPr>
          <w:rFonts w:hint="eastAsia" w:ascii="宋体" w:hAnsi="宋体" w:cs="宋体"/>
          <w:sz w:val="24"/>
        </w:rPr>
        <w:t>中标方需在软件系统方案设计中包含《商用密码应用方案》，内容包括密码应用需求分析环节、密码设计技术方案以及依据《GB/T 39786-2021信息安全技术 信息系统密码应用基本要求》密码应用合理规性自评。系统实施环节需出具《商用密码应用方案》。</w:t>
      </w:r>
    </w:p>
    <w:p w14:paraId="6B34F034">
      <w:pPr>
        <w:adjustRightInd/>
        <w:spacing w:line="360" w:lineRule="auto"/>
        <w:ind w:firstLine="480" w:firstLineChars="200"/>
        <w:rPr>
          <w:rFonts w:ascii="宋体" w:hAnsi="宋体" w:cs="宋体"/>
          <w:sz w:val="24"/>
        </w:rPr>
      </w:pPr>
      <w:r>
        <w:rPr>
          <w:rFonts w:hint="eastAsia" w:ascii="宋体" w:hAnsi="宋体" w:cs="宋体"/>
          <w:sz w:val="24"/>
        </w:rPr>
        <w:t>本项目需完成信息系统等级保护2.0 三级要求，并达到80分；通过密评，并达到60分以上；完成项目信创测评及软件功能测试、性能测试等第三方测评；完成安全、密评整改加固</w:t>
      </w:r>
      <w:r>
        <w:rPr>
          <w:rFonts w:ascii="宋体" w:hAnsi="宋体" w:cs="宋体"/>
          <w:sz w:val="24"/>
        </w:rPr>
        <w:t>。</w:t>
      </w:r>
      <w:r>
        <w:rPr>
          <w:rFonts w:hint="eastAsia" w:ascii="宋体" w:hAnsi="宋体" w:cs="宋体"/>
          <w:sz w:val="24"/>
        </w:rPr>
        <w:t>此外，中标供应商需要购买并提供</w:t>
      </w:r>
      <w:r>
        <w:rPr>
          <w:rFonts w:ascii="宋体" w:hAnsi="宋体" w:cs="宋体"/>
          <w:sz w:val="24"/>
        </w:rPr>
        <w:t>3年其他安全服务，主要包括数据库审计、日志审计服务，及相应的信创环境部署实施。</w:t>
      </w:r>
    </w:p>
    <w:p w14:paraId="40BE9AB7">
      <w:pPr>
        <w:adjustRightInd/>
        <w:spacing w:line="360" w:lineRule="auto"/>
        <w:ind w:firstLine="480" w:firstLineChars="200"/>
        <w:rPr>
          <w:rFonts w:ascii="宋体" w:hAnsi="宋体" w:cs="宋体"/>
          <w:sz w:val="24"/>
        </w:rPr>
      </w:pPr>
      <w:r>
        <w:rPr>
          <w:rFonts w:hint="eastAsia" w:ascii="宋体" w:hAnsi="宋体" w:cs="宋体"/>
          <w:sz w:val="24"/>
        </w:rPr>
        <w:t>中标人所投服务需包含上述信息系统安全建设内容。</w:t>
      </w:r>
    </w:p>
    <w:p w14:paraId="64F045FB">
      <w:pPr>
        <w:adjustRightInd/>
        <w:spacing w:line="360" w:lineRule="auto"/>
        <w:ind w:firstLine="480" w:firstLineChars="200"/>
        <w:rPr>
          <w:rFonts w:ascii="宋体" w:hAnsi="宋体" w:cs="宋体"/>
          <w:sz w:val="24"/>
        </w:rPr>
      </w:pPr>
      <w:r>
        <w:rPr>
          <w:rFonts w:hint="eastAsia" w:ascii="宋体" w:hAnsi="宋体" w:cs="宋体"/>
          <w:sz w:val="24"/>
        </w:rPr>
        <w:t>日志审计服务技术参数如下：</w:t>
      </w:r>
    </w:p>
    <w:tbl>
      <w:tblPr>
        <w:tblStyle w:val="12"/>
        <w:tblW w:w="84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7077"/>
      </w:tblGrid>
      <w:tr w14:paraId="7C5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325" w:type="dxa"/>
            <w:shd w:val="clear" w:color="000000" w:fill="CFCDCD"/>
            <w:vAlign w:val="center"/>
          </w:tcPr>
          <w:p w14:paraId="4641FA40">
            <w:pPr>
              <w:widowControl/>
              <w:adjustRightInd/>
              <w:spacing w:line="360" w:lineRule="auto"/>
              <w:jc w:val="left"/>
              <w:rPr>
                <w:rFonts w:ascii="宋体" w:hAnsi="宋体" w:cs="宋体"/>
                <w:sz w:val="24"/>
              </w:rPr>
            </w:pPr>
            <w:r>
              <w:rPr>
                <w:rFonts w:hint="eastAsia" w:ascii="宋体" w:hAnsi="宋体" w:cs="宋体"/>
                <w:sz w:val="24"/>
              </w:rPr>
              <w:t>指标项</w:t>
            </w:r>
          </w:p>
        </w:tc>
        <w:tc>
          <w:tcPr>
            <w:tcW w:w="7077" w:type="dxa"/>
            <w:shd w:val="clear" w:color="000000" w:fill="CFCDCD"/>
            <w:vAlign w:val="center"/>
          </w:tcPr>
          <w:p w14:paraId="79E58CB1">
            <w:pPr>
              <w:widowControl/>
              <w:adjustRightInd/>
              <w:spacing w:line="360" w:lineRule="auto"/>
              <w:jc w:val="left"/>
              <w:rPr>
                <w:rFonts w:ascii="宋体" w:hAnsi="宋体" w:cs="宋体"/>
                <w:sz w:val="24"/>
              </w:rPr>
            </w:pPr>
            <w:r>
              <w:rPr>
                <w:rFonts w:hint="eastAsia" w:ascii="宋体" w:hAnsi="宋体" w:cs="宋体"/>
                <w:sz w:val="24"/>
              </w:rPr>
              <w:t>技术参数</w:t>
            </w:r>
          </w:p>
        </w:tc>
      </w:tr>
      <w:tr w14:paraId="7017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5" w:type="dxa"/>
            <w:shd w:val="clear" w:color="auto" w:fill="auto"/>
            <w:vAlign w:val="center"/>
          </w:tcPr>
          <w:p w14:paraId="0F697780">
            <w:pPr>
              <w:adjustRightInd/>
              <w:spacing w:line="360" w:lineRule="auto"/>
              <w:jc w:val="left"/>
              <w:rPr>
                <w:rFonts w:ascii="宋体" w:hAnsi="宋体" w:cs="宋体"/>
                <w:sz w:val="24"/>
              </w:rPr>
            </w:pPr>
            <w:r>
              <w:rPr>
                <w:rFonts w:hint="eastAsia" w:ascii="宋体" w:hAnsi="宋体" w:cs="宋体"/>
                <w:sz w:val="24"/>
              </w:rPr>
              <w:t>性能要求</w:t>
            </w:r>
          </w:p>
        </w:tc>
        <w:tc>
          <w:tcPr>
            <w:tcW w:w="7077" w:type="dxa"/>
            <w:shd w:val="clear" w:color="auto" w:fill="auto"/>
            <w:vAlign w:val="center"/>
          </w:tcPr>
          <w:p w14:paraId="19BA8FCC">
            <w:pPr>
              <w:adjustRightInd/>
              <w:spacing w:line="360" w:lineRule="auto"/>
              <w:rPr>
                <w:rFonts w:ascii="宋体" w:hAnsi="宋体" w:cs="宋体"/>
                <w:sz w:val="24"/>
              </w:rPr>
            </w:pPr>
            <w:r>
              <w:rPr>
                <w:rFonts w:hint="eastAsia" w:ascii="宋体" w:hAnsi="宋体" w:cs="宋体"/>
                <w:sz w:val="24"/>
              </w:rPr>
              <w:t>支持100个日志源；</w:t>
            </w:r>
          </w:p>
          <w:p w14:paraId="32527F0A">
            <w:pPr>
              <w:adjustRightInd/>
              <w:spacing w:line="360" w:lineRule="auto"/>
              <w:rPr>
                <w:rFonts w:ascii="宋体" w:hAnsi="宋体" w:cs="宋体"/>
                <w:sz w:val="24"/>
              </w:rPr>
            </w:pPr>
            <w:r>
              <w:rPr>
                <w:rFonts w:hint="eastAsia" w:ascii="宋体" w:hAnsi="宋体" w:cs="宋体"/>
                <w:sz w:val="24"/>
              </w:rPr>
              <w:t>日志处理能力EPS：10000条/秒（峰值：14000条/秒）</w:t>
            </w:r>
          </w:p>
        </w:tc>
      </w:tr>
      <w:tr w14:paraId="37B5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restart"/>
            <w:shd w:val="clear" w:color="auto" w:fill="auto"/>
            <w:vAlign w:val="center"/>
          </w:tcPr>
          <w:p w14:paraId="17252F2D">
            <w:pPr>
              <w:widowControl/>
              <w:adjustRightInd/>
              <w:spacing w:line="360" w:lineRule="auto"/>
              <w:jc w:val="left"/>
              <w:rPr>
                <w:rFonts w:ascii="宋体" w:hAnsi="宋体" w:cs="宋体"/>
                <w:sz w:val="24"/>
              </w:rPr>
            </w:pPr>
            <w:r>
              <w:rPr>
                <w:rFonts w:hint="eastAsia" w:ascii="宋体" w:hAnsi="宋体" w:cs="宋体"/>
                <w:sz w:val="24"/>
              </w:rPr>
              <w:t>工作模式</w:t>
            </w:r>
          </w:p>
        </w:tc>
        <w:tc>
          <w:tcPr>
            <w:tcW w:w="7077" w:type="dxa"/>
            <w:shd w:val="clear" w:color="auto" w:fill="auto"/>
            <w:vAlign w:val="center"/>
          </w:tcPr>
          <w:p w14:paraId="6D2D388B">
            <w:pPr>
              <w:widowControl/>
              <w:adjustRightInd/>
              <w:spacing w:line="360" w:lineRule="auto"/>
              <w:jc w:val="left"/>
              <w:rPr>
                <w:rFonts w:ascii="宋体" w:hAnsi="宋体" w:cs="宋体"/>
                <w:sz w:val="24"/>
              </w:rPr>
            </w:pPr>
            <w:r>
              <w:rPr>
                <w:rFonts w:hint="eastAsia" w:ascii="宋体" w:hAnsi="宋体" w:cs="宋体"/>
                <w:sz w:val="24"/>
              </w:rPr>
              <w:t>独立完成审计日志采集，不依赖于设备或系统自身的日志系统。</w:t>
            </w:r>
          </w:p>
        </w:tc>
      </w:tr>
      <w:tr w14:paraId="2379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2A89E24B">
            <w:pPr>
              <w:widowControl/>
              <w:adjustRightInd/>
              <w:spacing w:line="360" w:lineRule="auto"/>
              <w:jc w:val="left"/>
              <w:rPr>
                <w:rFonts w:ascii="宋体" w:hAnsi="宋体" w:cs="宋体"/>
                <w:sz w:val="24"/>
              </w:rPr>
            </w:pPr>
          </w:p>
        </w:tc>
        <w:tc>
          <w:tcPr>
            <w:tcW w:w="7077" w:type="dxa"/>
            <w:shd w:val="clear" w:color="auto" w:fill="auto"/>
            <w:vAlign w:val="center"/>
          </w:tcPr>
          <w:p w14:paraId="2D4572E2">
            <w:pPr>
              <w:widowControl/>
              <w:adjustRightInd/>
              <w:spacing w:line="360" w:lineRule="auto"/>
              <w:jc w:val="left"/>
              <w:rPr>
                <w:rFonts w:ascii="宋体" w:hAnsi="宋体" w:cs="宋体"/>
                <w:sz w:val="24"/>
              </w:rPr>
            </w:pPr>
            <w:r>
              <w:rPr>
                <w:rFonts w:hint="eastAsia" w:ascii="宋体" w:hAnsi="宋体" w:cs="宋体"/>
                <w:sz w:val="24"/>
              </w:rPr>
              <w:t>自身用户管理与设备或主机的管理、使用、权限无关联。</w:t>
            </w:r>
          </w:p>
        </w:tc>
      </w:tr>
      <w:tr w14:paraId="1382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25" w:type="dxa"/>
            <w:vMerge w:val="restart"/>
            <w:shd w:val="clear" w:color="auto" w:fill="auto"/>
            <w:vAlign w:val="center"/>
          </w:tcPr>
          <w:p w14:paraId="2D40BD13">
            <w:pPr>
              <w:widowControl/>
              <w:adjustRightInd/>
              <w:spacing w:line="360" w:lineRule="auto"/>
              <w:jc w:val="left"/>
              <w:rPr>
                <w:rFonts w:ascii="宋体" w:hAnsi="宋体" w:cs="宋体"/>
                <w:sz w:val="24"/>
              </w:rPr>
            </w:pPr>
            <w:r>
              <w:rPr>
                <w:rFonts w:hint="eastAsia" w:ascii="宋体" w:hAnsi="宋体" w:cs="宋体"/>
                <w:sz w:val="24"/>
              </w:rPr>
              <w:t>功能扩展</w:t>
            </w:r>
          </w:p>
        </w:tc>
        <w:tc>
          <w:tcPr>
            <w:tcW w:w="7077" w:type="dxa"/>
            <w:shd w:val="clear" w:color="auto" w:fill="auto"/>
            <w:vAlign w:val="center"/>
          </w:tcPr>
          <w:p w14:paraId="40B76DFA">
            <w:pPr>
              <w:widowControl/>
              <w:adjustRightInd/>
              <w:spacing w:line="360" w:lineRule="auto"/>
              <w:jc w:val="left"/>
              <w:rPr>
                <w:rFonts w:ascii="宋体" w:hAnsi="宋体" w:cs="宋体"/>
                <w:sz w:val="24"/>
              </w:rPr>
            </w:pPr>
            <w:r>
              <w:rPr>
                <w:rFonts w:hint="eastAsia" w:ascii="宋体" w:hAnsi="宋体" w:cs="宋体"/>
                <w:sz w:val="24"/>
              </w:rPr>
              <w:t>采用解决方案包上传对产品进行功能扩展，无需代码开发。</w:t>
            </w:r>
          </w:p>
        </w:tc>
      </w:tr>
      <w:tr w14:paraId="77CE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772D5EEA">
            <w:pPr>
              <w:widowControl/>
              <w:adjustRightInd/>
              <w:spacing w:line="360" w:lineRule="auto"/>
              <w:jc w:val="left"/>
              <w:rPr>
                <w:rFonts w:ascii="宋体" w:hAnsi="宋体" w:cs="宋体"/>
                <w:sz w:val="24"/>
              </w:rPr>
            </w:pPr>
          </w:p>
        </w:tc>
        <w:tc>
          <w:tcPr>
            <w:tcW w:w="7077" w:type="dxa"/>
            <w:shd w:val="clear" w:color="auto" w:fill="auto"/>
            <w:vAlign w:val="center"/>
          </w:tcPr>
          <w:p w14:paraId="0D1FD437">
            <w:pPr>
              <w:widowControl/>
              <w:adjustRightInd/>
              <w:spacing w:line="360" w:lineRule="auto"/>
              <w:jc w:val="left"/>
              <w:rPr>
                <w:rFonts w:ascii="宋体" w:hAnsi="宋体" w:cs="宋体"/>
                <w:sz w:val="24"/>
              </w:rPr>
            </w:pPr>
            <w:r>
              <w:rPr>
                <w:rFonts w:hint="eastAsia" w:ascii="宋体" w:hAnsi="宋体" w:cs="宋体"/>
                <w:sz w:val="24"/>
              </w:rPr>
              <w:t>支持配置平台信息，包括logo、名称及版权信息。</w:t>
            </w:r>
          </w:p>
        </w:tc>
      </w:tr>
      <w:tr w14:paraId="1825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25" w:type="dxa"/>
            <w:shd w:val="clear" w:color="auto" w:fill="auto"/>
            <w:vAlign w:val="center"/>
          </w:tcPr>
          <w:p w14:paraId="7D776A98">
            <w:pPr>
              <w:widowControl/>
              <w:adjustRightInd/>
              <w:spacing w:line="360" w:lineRule="auto"/>
              <w:jc w:val="left"/>
              <w:rPr>
                <w:rFonts w:ascii="宋体" w:hAnsi="宋体" w:cs="宋体"/>
                <w:sz w:val="24"/>
              </w:rPr>
            </w:pPr>
            <w:r>
              <w:rPr>
                <w:rFonts w:hint="eastAsia" w:ascii="宋体" w:hAnsi="宋体" w:cs="宋体"/>
                <w:sz w:val="24"/>
              </w:rPr>
              <w:t>日志收集</w:t>
            </w:r>
          </w:p>
        </w:tc>
        <w:tc>
          <w:tcPr>
            <w:tcW w:w="7077" w:type="dxa"/>
            <w:shd w:val="clear" w:color="auto" w:fill="auto"/>
            <w:vAlign w:val="center"/>
          </w:tcPr>
          <w:p w14:paraId="7239429E">
            <w:pPr>
              <w:widowControl/>
              <w:adjustRightInd/>
              <w:spacing w:line="360" w:lineRule="auto"/>
              <w:jc w:val="left"/>
              <w:rPr>
                <w:rFonts w:ascii="宋体" w:hAnsi="宋体" w:cs="宋体"/>
                <w:sz w:val="24"/>
              </w:rPr>
            </w:pPr>
            <w:r>
              <w:rPr>
                <w:rFonts w:hint="eastAsia" w:ascii="宋体" w:hAnsi="宋体" w:cs="宋体"/>
                <w:sz w:val="24"/>
              </w:rPr>
              <w:t>支持对Agent进行统一管控，包括卸载、升级、启动及停止操作，支持将日志收集策略统一分发。（以上参数提供Web配置界面截图）</w:t>
            </w:r>
          </w:p>
        </w:tc>
      </w:tr>
      <w:tr w14:paraId="1CF4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restart"/>
            <w:shd w:val="clear" w:color="auto" w:fill="auto"/>
            <w:vAlign w:val="center"/>
          </w:tcPr>
          <w:p w14:paraId="4AF9DFD0">
            <w:pPr>
              <w:widowControl/>
              <w:adjustRightInd/>
              <w:spacing w:line="360" w:lineRule="auto"/>
              <w:jc w:val="left"/>
              <w:rPr>
                <w:rFonts w:ascii="宋体" w:hAnsi="宋体" w:cs="宋体"/>
                <w:sz w:val="24"/>
              </w:rPr>
            </w:pPr>
            <w:r>
              <w:rPr>
                <w:rFonts w:hint="eastAsia" w:ascii="宋体" w:hAnsi="宋体" w:cs="宋体"/>
                <w:sz w:val="24"/>
              </w:rPr>
              <w:t>日志分析</w:t>
            </w:r>
          </w:p>
        </w:tc>
        <w:tc>
          <w:tcPr>
            <w:tcW w:w="7077" w:type="dxa"/>
            <w:shd w:val="clear" w:color="auto" w:fill="auto"/>
            <w:vAlign w:val="center"/>
          </w:tcPr>
          <w:p w14:paraId="55BD0845">
            <w:pPr>
              <w:widowControl/>
              <w:adjustRightInd/>
              <w:spacing w:line="360" w:lineRule="auto"/>
              <w:jc w:val="left"/>
              <w:rPr>
                <w:rFonts w:ascii="宋体" w:hAnsi="宋体" w:cs="宋体"/>
                <w:sz w:val="24"/>
              </w:rPr>
            </w:pPr>
            <w:r>
              <w:rPr>
                <w:rFonts w:hint="eastAsia" w:ascii="宋体" w:hAnsi="宋体" w:cs="宋体"/>
                <w:sz w:val="24"/>
              </w:rPr>
              <w:t>支持对收集到的重复日志进行自动聚合归并，减少日志量。</w:t>
            </w:r>
          </w:p>
        </w:tc>
      </w:tr>
      <w:tr w14:paraId="49EB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634FC7D5">
            <w:pPr>
              <w:widowControl/>
              <w:adjustRightInd/>
              <w:spacing w:line="360" w:lineRule="auto"/>
              <w:jc w:val="left"/>
              <w:rPr>
                <w:rFonts w:ascii="宋体" w:hAnsi="宋体" w:cs="宋体"/>
                <w:sz w:val="24"/>
              </w:rPr>
            </w:pPr>
          </w:p>
        </w:tc>
        <w:tc>
          <w:tcPr>
            <w:tcW w:w="7077" w:type="dxa"/>
            <w:shd w:val="clear" w:color="auto" w:fill="auto"/>
            <w:vAlign w:val="center"/>
          </w:tcPr>
          <w:p w14:paraId="3A4235D3">
            <w:pPr>
              <w:widowControl/>
              <w:adjustRightInd/>
              <w:spacing w:line="360" w:lineRule="auto"/>
              <w:jc w:val="left"/>
              <w:rPr>
                <w:rFonts w:ascii="宋体" w:hAnsi="宋体" w:cs="宋体"/>
                <w:sz w:val="24"/>
              </w:rPr>
            </w:pPr>
            <w:r>
              <w:rPr>
                <w:rFonts w:hint="eastAsia" w:ascii="宋体" w:hAnsi="宋体" w:cs="宋体"/>
                <w:sz w:val="24"/>
              </w:rPr>
              <w:t>支持可由用户定义和修改的日志聚合归并逻辑规则</w:t>
            </w:r>
          </w:p>
        </w:tc>
      </w:tr>
      <w:tr w14:paraId="51A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25" w:type="dxa"/>
            <w:vMerge w:val="continue"/>
            <w:vAlign w:val="center"/>
          </w:tcPr>
          <w:p w14:paraId="06FA7245">
            <w:pPr>
              <w:widowControl/>
              <w:adjustRightInd/>
              <w:spacing w:line="360" w:lineRule="auto"/>
              <w:jc w:val="left"/>
              <w:rPr>
                <w:rFonts w:ascii="宋体" w:hAnsi="宋体" w:cs="宋体"/>
                <w:sz w:val="24"/>
              </w:rPr>
            </w:pPr>
          </w:p>
        </w:tc>
        <w:tc>
          <w:tcPr>
            <w:tcW w:w="7077" w:type="dxa"/>
            <w:shd w:val="clear" w:color="auto" w:fill="auto"/>
            <w:vAlign w:val="center"/>
          </w:tcPr>
          <w:p w14:paraId="54FC7EED">
            <w:pPr>
              <w:widowControl/>
              <w:adjustRightInd/>
              <w:spacing w:line="360" w:lineRule="auto"/>
              <w:jc w:val="left"/>
              <w:rPr>
                <w:rFonts w:ascii="宋体" w:hAnsi="宋体" w:cs="宋体"/>
                <w:sz w:val="24"/>
              </w:rPr>
            </w:pPr>
            <w:r>
              <w:rPr>
                <w:rFonts w:hint="eastAsia" w:ascii="宋体" w:hAnsi="宋体" w:cs="宋体"/>
                <w:sz w:val="24"/>
              </w:rPr>
              <w:t>内置5000+解析规则，支持对收集的5000+设备类型日志进行解析（标准化、归一化），解析维度多达200+，解析规则可以根据客户要求定制扩展。</w:t>
            </w:r>
          </w:p>
        </w:tc>
      </w:tr>
      <w:tr w14:paraId="024A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25" w:type="dxa"/>
            <w:vMerge w:val="continue"/>
            <w:vAlign w:val="center"/>
          </w:tcPr>
          <w:p w14:paraId="1510FDB5">
            <w:pPr>
              <w:widowControl/>
              <w:adjustRightInd/>
              <w:spacing w:line="360" w:lineRule="auto"/>
              <w:jc w:val="left"/>
              <w:rPr>
                <w:rFonts w:ascii="宋体" w:hAnsi="宋体" w:cs="宋体"/>
                <w:sz w:val="24"/>
              </w:rPr>
            </w:pPr>
          </w:p>
        </w:tc>
        <w:tc>
          <w:tcPr>
            <w:tcW w:w="7077" w:type="dxa"/>
            <w:shd w:val="clear" w:color="auto" w:fill="auto"/>
            <w:vAlign w:val="center"/>
          </w:tcPr>
          <w:p w14:paraId="28165083">
            <w:pPr>
              <w:widowControl/>
              <w:adjustRightInd/>
              <w:spacing w:line="360" w:lineRule="auto"/>
              <w:jc w:val="left"/>
              <w:rPr>
                <w:rFonts w:ascii="宋体" w:hAnsi="宋体" w:cs="宋体"/>
                <w:sz w:val="24"/>
              </w:rPr>
            </w:pPr>
            <w:r>
              <w:rPr>
                <w:rFonts w:hint="eastAsia" w:ascii="宋体" w:hAnsi="宋体" w:cs="宋体"/>
                <w:sz w:val="24"/>
              </w:rPr>
              <w:t>对日志样例可进行划词辅助解析，一键生成正则表达式。（以上参数提供Web配置界面截图）</w:t>
            </w:r>
          </w:p>
        </w:tc>
      </w:tr>
      <w:tr w14:paraId="348B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25" w:type="dxa"/>
            <w:vMerge w:val="continue"/>
            <w:vAlign w:val="center"/>
          </w:tcPr>
          <w:p w14:paraId="6C5E0666">
            <w:pPr>
              <w:widowControl/>
              <w:adjustRightInd/>
              <w:spacing w:line="360" w:lineRule="auto"/>
              <w:jc w:val="left"/>
              <w:rPr>
                <w:rFonts w:ascii="宋体" w:hAnsi="宋体" w:cs="宋体"/>
                <w:sz w:val="24"/>
              </w:rPr>
            </w:pPr>
          </w:p>
        </w:tc>
        <w:tc>
          <w:tcPr>
            <w:tcW w:w="7077" w:type="dxa"/>
            <w:shd w:val="clear" w:color="auto" w:fill="auto"/>
            <w:vAlign w:val="center"/>
          </w:tcPr>
          <w:p w14:paraId="203ED35B">
            <w:pPr>
              <w:widowControl/>
              <w:adjustRightInd/>
              <w:spacing w:line="360" w:lineRule="auto"/>
              <w:jc w:val="left"/>
              <w:rPr>
                <w:rFonts w:ascii="宋体" w:hAnsi="宋体" w:cs="宋体"/>
                <w:sz w:val="24"/>
              </w:rPr>
            </w:pPr>
            <w:r>
              <w:rPr>
                <w:rFonts w:hint="eastAsia" w:ascii="宋体" w:hAnsi="宋体" w:cs="宋体"/>
                <w:sz w:val="24"/>
              </w:rPr>
              <w:t>支持关联规则性能以界面列表形式显示，可了解触发次数、最近一周监控状态等信息。</w:t>
            </w:r>
          </w:p>
        </w:tc>
      </w:tr>
      <w:tr w14:paraId="6DF9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25" w:type="dxa"/>
            <w:vMerge w:val="continue"/>
            <w:vAlign w:val="center"/>
          </w:tcPr>
          <w:p w14:paraId="2B86617D">
            <w:pPr>
              <w:widowControl/>
              <w:adjustRightInd/>
              <w:spacing w:line="360" w:lineRule="auto"/>
              <w:jc w:val="left"/>
              <w:rPr>
                <w:rFonts w:ascii="宋体" w:hAnsi="宋体" w:cs="宋体"/>
                <w:sz w:val="24"/>
              </w:rPr>
            </w:pPr>
          </w:p>
        </w:tc>
        <w:tc>
          <w:tcPr>
            <w:tcW w:w="7077" w:type="dxa"/>
            <w:shd w:val="clear" w:color="auto" w:fill="auto"/>
            <w:vAlign w:val="center"/>
          </w:tcPr>
          <w:p w14:paraId="4CCB2996">
            <w:pPr>
              <w:widowControl/>
              <w:adjustRightInd/>
              <w:spacing w:line="360" w:lineRule="auto"/>
              <w:jc w:val="left"/>
              <w:rPr>
                <w:rFonts w:ascii="宋体" w:hAnsi="宋体" w:cs="宋体"/>
                <w:sz w:val="24"/>
              </w:rPr>
            </w:pPr>
            <w:r>
              <w:rPr>
                <w:rFonts w:hint="eastAsia" w:ascii="宋体" w:hAnsi="宋体" w:cs="宋体"/>
                <w:sz w:val="24"/>
              </w:rPr>
              <w:t>内置设备异常、漏洞利用、横向渗透、权限提升、命令执行、可疑行为6大类50+子类的安全分析场景。</w:t>
            </w:r>
          </w:p>
        </w:tc>
      </w:tr>
      <w:tr w14:paraId="075A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25" w:type="dxa"/>
            <w:vMerge w:val="continue"/>
            <w:vAlign w:val="center"/>
          </w:tcPr>
          <w:p w14:paraId="5CC7B55E">
            <w:pPr>
              <w:widowControl/>
              <w:adjustRightInd/>
              <w:spacing w:line="360" w:lineRule="auto"/>
              <w:jc w:val="left"/>
              <w:rPr>
                <w:rFonts w:ascii="宋体" w:hAnsi="宋体" w:cs="宋体"/>
                <w:sz w:val="24"/>
              </w:rPr>
            </w:pPr>
          </w:p>
        </w:tc>
        <w:tc>
          <w:tcPr>
            <w:tcW w:w="7077" w:type="dxa"/>
            <w:shd w:val="clear" w:color="auto" w:fill="auto"/>
            <w:vAlign w:val="center"/>
          </w:tcPr>
          <w:p w14:paraId="56C07219">
            <w:pPr>
              <w:widowControl/>
              <w:adjustRightInd/>
              <w:spacing w:line="360" w:lineRule="auto"/>
              <w:jc w:val="left"/>
              <w:rPr>
                <w:rFonts w:ascii="宋体" w:hAnsi="宋体" w:cs="宋体"/>
                <w:sz w:val="24"/>
              </w:rPr>
            </w:pPr>
            <w:r>
              <w:rPr>
                <w:rFonts w:ascii="宋体" w:hAnsi="宋体" w:cs="宋体"/>
                <w:sz w:val="24"/>
              </w:rPr>
              <w:t>◆</w:t>
            </w:r>
            <w:r>
              <w:rPr>
                <w:rFonts w:hint="eastAsia" w:ascii="宋体" w:hAnsi="宋体" w:cs="宋体"/>
                <w:sz w:val="24"/>
              </w:rPr>
              <w:t>三维关联分析；支持通过资产、安全知识库、弱点库三个维度分析事件是否存在威胁，并形成关联事件。（提供带有CMA或CNAS或CAL标识国家认证认可的第三方检测机构出具检测报告，检测报告需提供原件扫描件或复印件）</w:t>
            </w:r>
          </w:p>
        </w:tc>
      </w:tr>
      <w:tr w14:paraId="6B9E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restart"/>
            <w:shd w:val="clear" w:color="auto" w:fill="auto"/>
            <w:vAlign w:val="center"/>
          </w:tcPr>
          <w:p w14:paraId="5FBA6235">
            <w:pPr>
              <w:widowControl/>
              <w:adjustRightInd/>
              <w:spacing w:line="360" w:lineRule="auto"/>
              <w:jc w:val="left"/>
              <w:rPr>
                <w:rFonts w:ascii="宋体" w:hAnsi="宋体" w:cs="宋体"/>
                <w:sz w:val="24"/>
              </w:rPr>
            </w:pPr>
            <w:r>
              <w:rPr>
                <w:rFonts w:hint="eastAsia" w:ascii="宋体" w:hAnsi="宋体" w:cs="宋体"/>
                <w:sz w:val="24"/>
              </w:rPr>
              <w:t>日志备份</w:t>
            </w:r>
          </w:p>
        </w:tc>
        <w:tc>
          <w:tcPr>
            <w:tcW w:w="7077" w:type="dxa"/>
            <w:shd w:val="clear" w:color="auto" w:fill="auto"/>
            <w:vAlign w:val="center"/>
          </w:tcPr>
          <w:p w14:paraId="153D1DEB">
            <w:pPr>
              <w:widowControl/>
              <w:adjustRightInd/>
              <w:spacing w:line="360" w:lineRule="auto"/>
              <w:jc w:val="left"/>
              <w:rPr>
                <w:rFonts w:ascii="宋体" w:hAnsi="宋体" w:cs="宋体"/>
                <w:sz w:val="24"/>
              </w:rPr>
            </w:pPr>
            <w:r>
              <w:rPr>
                <w:rFonts w:hint="eastAsia" w:ascii="宋体" w:hAnsi="宋体" w:cs="宋体"/>
                <w:sz w:val="24"/>
              </w:rPr>
              <w:t>支持从远程仓库恢复数据。</w:t>
            </w:r>
          </w:p>
        </w:tc>
      </w:tr>
      <w:tr w14:paraId="0677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0101DB71">
            <w:pPr>
              <w:widowControl/>
              <w:adjustRightInd/>
              <w:spacing w:line="360" w:lineRule="auto"/>
              <w:jc w:val="left"/>
              <w:rPr>
                <w:rFonts w:ascii="宋体" w:hAnsi="宋体" w:cs="宋体"/>
                <w:sz w:val="24"/>
              </w:rPr>
            </w:pPr>
          </w:p>
        </w:tc>
        <w:tc>
          <w:tcPr>
            <w:tcW w:w="7077" w:type="dxa"/>
            <w:shd w:val="clear" w:color="auto" w:fill="auto"/>
            <w:vAlign w:val="center"/>
          </w:tcPr>
          <w:p w14:paraId="0C34EB0C">
            <w:pPr>
              <w:widowControl/>
              <w:adjustRightInd/>
              <w:spacing w:line="360" w:lineRule="auto"/>
              <w:jc w:val="left"/>
              <w:rPr>
                <w:rFonts w:ascii="宋体" w:hAnsi="宋体" w:cs="宋体"/>
                <w:sz w:val="24"/>
              </w:rPr>
            </w:pPr>
            <w:r>
              <w:rPr>
                <w:rFonts w:hint="eastAsia" w:ascii="宋体" w:hAnsi="宋体" w:cs="宋体"/>
                <w:sz w:val="24"/>
              </w:rPr>
              <w:t>支持FTP、SAMBA、NFS和FILE，4种方式的远程服务器。</w:t>
            </w:r>
          </w:p>
        </w:tc>
      </w:tr>
      <w:tr w14:paraId="71A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shd w:val="clear" w:color="auto" w:fill="auto"/>
            <w:vAlign w:val="center"/>
          </w:tcPr>
          <w:p w14:paraId="7B9F9472">
            <w:pPr>
              <w:widowControl/>
              <w:adjustRightInd/>
              <w:spacing w:line="360" w:lineRule="auto"/>
              <w:jc w:val="left"/>
              <w:rPr>
                <w:rFonts w:ascii="宋体" w:hAnsi="宋体" w:cs="宋体"/>
                <w:sz w:val="24"/>
              </w:rPr>
            </w:pPr>
            <w:r>
              <w:rPr>
                <w:rFonts w:hint="eastAsia" w:ascii="宋体" w:hAnsi="宋体" w:cs="宋体"/>
                <w:sz w:val="24"/>
              </w:rPr>
              <w:t>日志查询</w:t>
            </w:r>
          </w:p>
        </w:tc>
        <w:tc>
          <w:tcPr>
            <w:tcW w:w="7077" w:type="dxa"/>
            <w:shd w:val="clear" w:color="auto" w:fill="auto"/>
            <w:vAlign w:val="center"/>
          </w:tcPr>
          <w:p w14:paraId="0CAE467C">
            <w:pPr>
              <w:widowControl/>
              <w:adjustRightInd/>
              <w:spacing w:line="360" w:lineRule="auto"/>
              <w:jc w:val="left"/>
              <w:rPr>
                <w:rFonts w:ascii="宋体" w:hAnsi="宋体" w:cs="宋体"/>
                <w:sz w:val="24"/>
              </w:rPr>
            </w:pPr>
            <w:r>
              <w:rPr>
                <w:rFonts w:hint="eastAsia" w:ascii="宋体" w:hAnsi="宋体" w:cs="宋体"/>
                <w:sz w:val="24"/>
              </w:rPr>
              <w:t>支持将查询的条件存储为查询模版，方便再次使用。</w:t>
            </w:r>
          </w:p>
        </w:tc>
      </w:tr>
      <w:tr w14:paraId="17B7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25" w:type="dxa"/>
            <w:shd w:val="clear" w:color="auto" w:fill="auto"/>
            <w:vAlign w:val="center"/>
          </w:tcPr>
          <w:p w14:paraId="579C2C82">
            <w:pPr>
              <w:widowControl/>
              <w:adjustRightInd/>
              <w:spacing w:line="360" w:lineRule="auto"/>
              <w:jc w:val="left"/>
              <w:rPr>
                <w:rFonts w:ascii="宋体" w:hAnsi="宋体" w:cs="宋体"/>
                <w:sz w:val="24"/>
              </w:rPr>
            </w:pPr>
            <w:r>
              <w:rPr>
                <w:rFonts w:hint="eastAsia" w:ascii="宋体" w:hAnsi="宋体" w:cs="宋体"/>
                <w:sz w:val="24"/>
              </w:rPr>
              <w:t>应用性能监控（APM）</w:t>
            </w:r>
          </w:p>
        </w:tc>
        <w:tc>
          <w:tcPr>
            <w:tcW w:w="7077" w:type="dxa"/>
            <w:shd w:val="clear" w:color="auto" w:fill="auto"/>
            <w:vAlign w:val="center"/>
          </w:tcPr>
          <w:p w14:paraId="6A4BD3A3">
            <w:pPr>
              <w:widowControl/>
              <w:adjustRightInd/>
              <w:spacing w:line="360" w:lineRule="auto"/>
              <w:jc w:val="left"/>
              <w:rPr>
                <w:rFonts w:ascii="宋体" w:hAnsi="宋体" w:cs="宋体"/>
                <w:sz w:val="24"/>
              </w:rPr>
            </w:pPr>
            <w:r>
              <w:rPr>
                <w:rFonts w:ascii="宋体" w:hAnsi="宋体" w:cs="宋体"/>
                <w:sz w:val="24"/>
              </w:rPr>
              <w:t>◆</w:t>
            </w:r>
            <w:r>
              <w:rPr>
                <w:rFonts w:hint="eastAsia" w:ascii="宋体" w:hAnsi="宋体" w:cs="宋体"/>
                <w:sz w:val="24"/>
              </w:rPr>
              <w:t>通过在目标主机上安装Agent程序，支持监测目标主机的CPU利用率、内存使用率、硬盘使用率、硬盘使用情况、流量等信息。（提供带有CMA或CNAS或CAL标识国家认证认可的第三方检测机构出具检测报告，检测报告需提供原件扫描件或复印件）</w:t>
            </w:r>
          </w:p>
        </w:tc>
      </w:tr>
      <w:tr w14:paraId="3814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restart"/>
            <w:shd w:val="clear" w:color="auto" w:fill="auto"/>
            <w:vAlign w:val="center"/>
          </w:tcPr>
          <w:p w14:paraId="608B4F04">
            <w:pPr>
              <w:widowControl/>
              <w:adjustRightInd/>
              <w:spacing w:line="360" w:lineRule="auto"/>
              <w:jc w:val="left"/>
              <w:rPr>
                <w:rFonts w:ascii="宋体" w:hAnsi="宋体" w:cs="宋体"/>
                <w:sz w:val="24"/>
              </w:rPr>
            </w:pPr>
            <w:r>
              <w:rPr>
                <w:rFonts w:hint="eastAsia" w:ascii="宋体" w:hAnsi="宋体" w:cs="宋体"/>
                <w:sz w:val="24"/>
              </w:rPr>
              <w:t>脆弱性管理</w:t>
            </w:r>
          </w:p>
        </w:tc>
        <w:tc>
          <w:tcPr>
            <w:tcW w:w="7077" w:type="dxa"/>
            <w:shd w:val="clear" w:color="auto" w:fill="auto"/>
            <w:vAlign w:val="center"/>
          </w:tcPr>
          <w:p w14:paraId="042E081E">
            <w:pPr>
              <w:widowControl/>
              <w:adjustRightInd/>
              <w:spacing w:line="360" w:lineRule="auto"/>
              <w:jc w:val="left"/>
              <w:rPr>
                <w:rFonts w:ascii="宋体" w:hAnsi="宋体" w:cs="宋体"/>
                <w:sz w:val="24"/>
              </w:rPr>
            </w:pPr>
            <w:r>
              <w:rPr>
                <w:rFonts w:hint="eastAsia" w:ascii="宋体" w:hAnsi="宋体" w:cs="宋体"/>
                <w:sz w:val="24"/>
              </w:rPr>
              <w:t>支持从安恒明鉴®数据库弱点扫描器导入数据库弱点漏洞信息。</w:t>
            </w:r>
          </w:p>
        </w:tc>
      </w:tr>
      <w:tr w14:paraId="09A0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3CF16D1F">
            <w:pPr>
              <w:widowControl/>
              <w:adjustRightInd/>
              <w:spacing w:line="360" w:lineRule="auto"/>
              <w:jc w:val="left"/>
              <w:rPr>
                <w:rFonts w:ascii="宋体" w:hAnsi="宋体" w:cs="宋体"/>
                <w:sz w:val="24"/>
              </w:rPr>
            </w:pPr>
          </w:p>
        </w:tc>
        <w:tc>
          <w:tcPr>
            <w:tcW w:w="7077" w:type="dxa"/>
            <w:shd w:val="clear" w:color="auto" w:fill="auto"/>
            <w:vAlign w:val="center"/>
          </w:tcPr>
          <w:p w14:paraId="199350E8">
            <w:pPr>
              <w:widowControl/>
              <w:adjustRightInd/>
              <w:spacing w:line="360" w:lineRule="auto"/>
              <w:jc w:val="left"/>
              <w:rPr>
                <w:rFonts w:ascii="宋体" w:hAnsi="宋体" w:cs="宋体"/>
                <w:sz w:val="24"/>
              </w:rPr>
            </w:pPr>
            <w:r>
              <w:rPr>
                <w:rFonts w:hint="eastAsia" w:ascii="宋体" w:hAnsi="宋体" w:cs="宋体"/>
                <w:sz w:val="24"/>
              </w:rPr>
              <w:t>支持从NetSparker Web应用扫描器导入网站弱点漏洞信息。</w:t>
            </w:r>
          </w:p>
        </w:tc>
      </w:tr>
      <w:tr w14:paraId="1D82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746213E0">
            <w:pPr>
              <w:widowControl/>
              <w:adjustRightInd/>
              <w:spacing w:line="360" w:lineRule="auto"/>
              <w:jc w:val="left"/>
              <w:rPr>
                <w:rFonts w:ascii="宋体" w:hAnsi="宋体" w:cs="宋体"/>
                <w:sz w:val="24"/>
              </w:rPr>
            </w:pPr>
          </w:p>
        </w:tc>
        <w:tc>
          <w:tcPr>
            <w:tcW w:w="7077" w:type="dxa"/>
            <w:shd w:val="clear" w:color="auto" w:fill="auto"/>
            <w:vAlign w:val="center"/>
          </w:tcPr>
          <w:p w14:paraId="40824B50">
            <w:pPr>
              <w:widowControl/>
              <w:adjustRightInd/>
              <w:spacing w:line="360" w:lineRule="auto"/>
              <w:jc w:val="left"/>
              <w:rPr>
                <w:rFonts w:ascii="宋体" w:hAnsi="宋体" w:cs="宋体"/>
                <w:sz w:val="24"/>
              </w:rPr>
            </w:pPr>
            <w:r>
              <w:rPr>
                <w:rFonts w:hint="eastAsia" w:ascii="宋体" w:hAnsi="宋体" w:cs="宋体"/>
                <w:sz w:val="24"/>
              </w:rPr>
              <w:t>支持从OpenVAS扫描器导入弱点漏洞信息。</w:t>
            </w:r>
          </w:p>
        </w:tc>
      </w:tr>
      <w:tr w14:paraId="31C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627B726A">
            <w:pPr>
              <w:widowControl/>
              <w:adjustRightInd/>
              <w:spacing w:line="360" w:lineRule="auto"/>
              <w:jc w:val="left"/>
              <w:rPr>
                <w:rFonts w:ascii="宋体" w:hAnsi="宋体" w:cs="宋体"/>
                <w:sz w:val="24"/>
              </w:rPr>
            </w:pPr>
          </w:p>
        </w:tc>
        <w:tc>
          <w:tcPr>
            <w:tcW w:w="7077" w:type="dxa"/>
            <w:shd w:val="clear" w:color="auto" w:fill="auto"/>
            <w:vAlign w:val="center"/>
          </w:tcPr>
          <w:p w14:paraId="5AC6B3C5">
            <w:pPr>
              <w:widowControl/>
              <w:adjustRightInd/>
              <w:spacing w:line="360" w:lineRule="auto"/>
              <w:jc w:val="left"/>
              <w:rPr>
                <w:rFonts w:ascii="宋体" w:hAnsi="宋体" w:cs="宋体"/>
                <w:sz w:val="24"/>
              </w:rPr>
            </w:pPr>
            <w:r>
              <w:rPr>
                <w:rFonts w:hint="eastAsia" w:ascii="宋体" w:hAnsi="宋体" w:cs="宋体"/>
                <w:sz w:val="24"/>
              </w:rPr>
              <w:t>内置73000+条CVE漏洞数据知识库。</w:t>
            </w:r>
          </w:p>
        </w:tc>
      </w:tr>
      <w:tr w14:paraId="2D42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12ED7A3E">
            <w:pPr>
              <w:widowControl/>
              <w:adjustRightInd/>
              <w:spacing w:line="360" w:lineRule="auto"/>
              <w:jc w:val="left"/>
              <w:rPr>
                <w:rFonts w:ascii="宋体" w:hAnsi="宋体" w:cs="宋体"/>
                <w:sz w:val="24"/>
              </w:rPr>
            </w:pPr>
          </w:p>
        </w:tc>
        <w:tc>
          <w:tcPr>
            <w:tcW w:w="7077" w:type="dxa"/>
            <w:shd w:val="clear" w:color="auto" w:fill="auto"/>
            <w:vAlign w:val="center"/>
          </w:tcPr>
          <w:p w14:paraId="4B5BB5A8">
            <w:pPr>
              <w:widowControl/>
              <w:adjustRightInd/>
              <w:spacing w:line="360" w:lineRule="auto"/>
              <w:jc w:val="left"/>
              <w:rPr>
                <w:rFonts w:ascii="宋体" w:hAnsi="宋体" w:cs="宋体"/>
                <w:sz w:val="24"/>
              </w:rPr>
            </w:pPr>
            <w:r>
              <w:rPr>
                <w:rFonts w:hint="eastAsia" w:ascii="宋体" w:hAnsi="宋体" w:cs="宋体"/>
                <w:sz w:val="24"/>
              </w:rPr>
              <w:t>内置数十项符合OWASP的Web漏洞数据知识库。</w:t>
            </w:r>
          </w:p>
        </w:tc>
      </w:tr>
      <w:tr w14:paraId="3FCB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restart"/>
            <w:shd w:val="clear" w:color="auto" w:fill="auto"/>
            <w:vAlign w:val="center"/>
          </w:tcPr>
          <w:p w14:paraId="57C12AA2">
            <w:pPr>
              <w:widowControl/>
              <w:adjustRightInd/>
              <w:spacing w:line="360" w:lineRule="auto"/>
              <w:jc w:val="left"/>
              <w:rPr>
                <w:rFonts w:ascii="宋体" w:hAnsi="宋体" w:cs="宋体"/>
                <w:sz w:val="24"/>
              </w:rPr>
            </w:pPr>
            <w:r>
              <w:rPr>
                <w:rFonts w:hint="eastAsia" w:ascii="宋体" w:hAnsi="宋体" w:cs="宋体"/>
                <w:sz w:val="24"/>
              </w:rPr>
              <w:t>地理安全系统</w:t>
            </w:r>
          </w:p>
        </w:tc>
        <w:tc>
          <w:tcPr>
            <w:tcW w:w="7077" w:type="dxa"/>
            <w:shd w:val="clear" w:color="auto" w:fill="auto"/>
            <w:vAlign w:val="center"/>
          </w:tcPr>
          <w:p w14:paraId="52286652">
            <w:pPr>
              <w:widowControl/>
              <w:adjustRightInd/>
              <w:spacing w:line="360" w:lineRule="auto"/>
              <w:jc w:val="left"/>
              <w:rPr>
                <w:rFonts w:ascii="宋体" w:hAnsi="宋体" w:cs="宋体"/>
                <w:sz w:val="24"/>
              </w:rPr>
            </w:pPr>
            <w:r>
              <w:rPr>
                <w:rFonts w:hint="eastAsia" w:ascii="宋体" w:hAnsi="宋体" w:cs="宋体"/>
                <w:sz w:val="24"/>
              </w:rPr>
              <w:t>内置GeoSec地理安全子系统，内置世界以及中国安全GIS地图。目前更新到艾文地理库</w:t>
            </w:r>
          </w:p>
        </w:tc>
      </w:tr>
      <w:tr w14:paraId="636E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31AD48A8">
            <w:pPr>
              <w:widowControl/>
              <w:adjustRightInd/>
              <w:spacing w:line="360" w:lineRule="auto"/>
              <w:jc w:val="left"/>
              <w:rPr>
                <w:rFonts w:ascii="宋体" w:hAnsi="宋体" w:cs="宋体"/>
                <w:sz w:val="24"/>
              </w:rPr>
            </w:pPr>
          </w:p>
        </w:tc>
        <w:tc>
          <w:tcPr>
            <w:tcW w:w="7077" w:type="dxa"/>
            <w:shd w:val="clear" w:color="auto" w:fill="auto"/>
            <w:vAlign w:val="center"/>
          </w:tcPr>
          <w:p w14:paraId="48E1EA9C">
            <w:pPr>
              <w:widowControl/>
              <w:adjustRightInd/>
              <w:spacing w:line="360" w:lineRule="auto"/>
              <w:jc w:val="left"/>
              <w:rPr>
                <w:rFonts w:ascii="宋体" w:hAnsi="宋体" w:cs="宋体"/>
                <w:sz w:val="24"/>
              </w:rPr>
            </w:pPr>
            <w:r>
              <w:rPr>
                <w:rFonts w:hint="eastAsia" w:ascii="宋体" w:hAnsi="宋体" w:cs="宋体"/>
                <w:sz w:val="24"/>
              </w:rPr>
              <w:t>支持在地理地图上标注威胁事件的发生分布。</w:t>
            </w:r>
          </w:p>
        </w:tc>
      </w:tr>
      <w:tr w14:paraId="22DB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restart"/>
            <w:shd w:val="clear" w:color="auto" w:fill="auto"/>
            <w:vAlign w:val="center"/>
          </w:tcPr>
          <w:p w14:paraId="4483269A">
            <w:pPr>
              <w:widowControl/>
              <w:adjustRightInd/>
              <w:spacing w:line="360" w:lineRule="auto"/>
              <w:jc w:val="left"/>
              <w:rPr>
                <w:rFonts w:ascii="宋体" w:hAnsi="宋体" w:cs="宋体"/>
                <w:sz w:val="24"/>
              </w:rPr>
            </w:pPr>
            <w:r>
              <w:rPr>
                <w:rFonts w:hint="eastAsia" w:ascii="宋体" w:hAnsi="宋体" w:cs="宋体"/>
                <w:sz w:val="24"/>
              </w:rPr>
              <w:t>告警功能</w:t>
            </w:r>
          </w:p>
        </w:tc>
        <w:tc>
          <w:tcPr>
            <w:tcW w:w="7077" w:type="dxa"/>
            <w:shd w:val="clear" w:color="auto" w:fill="auto"/>
            <w:vAlign w:val="center"/>
          </w:tcPr>
          <w:p w14:paraId="1CA1FAA8">
            <w:pPr>
              <w:widowControl/>
              <w:adjustRightInd/>
              <w:spacing w:line="360" w:lineRule="auto"/>
              <w:jc w:val="left"/>
              <w:rPr>
                <w:rFonts w:ascii="宋体" w:hAnsi="宋体" w:cs="宋体"/>
                <w:sz w:val="24"/>
              </w:rPr>
            </w:pPr>
            <w:r>
              <w:rPr>
                <w:rFonts w:hint="eastAsia" w:ascii="宋体" w:hAnsi="宋体" w:cs="宋体"/>
                <w:sz w:val="24"/>
              </w:rPr>
              <w:t>支持数据阀值设置，超过阀值将产生告警。</w:t>
            </w:r>
          </w:p>
        </w:tc>
      </w:tr>
      <w:tr w14:paraId="1997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22F5339F">
            <w:pPr>
              <w:widowControl/>
              <w:adjustRightInd/>
              <w:spacing w:line="360" w:lineRule="auto"/>
              <w:jc w:val="left"/>
              <w:rPr>
                <w:rFonts w:ascii="宋体" w:hAnsi="宋体" w:cs="宋体"/>
                <w:sz w:val="24"/>
              </w:rPr>
            </w:pPr>
          </w:p>
        </w:tc>
        <w:tc>
          <w:tcPr>
            <w:tcW w:w="7077" w:type="dxa"/>
            <w:shd w:val="clear" w:color="auto" w:fill="auto"/>
            <w:vAlign w:val="center"/>
          </w:tcPr>
          <w:p w14:paraId="26E90EF6">
            <w:pPr>
              <w:widowControl/>
              <w:adjustRightInd/>
              <w:spacing w:line="360" w:lineRule="auto"/>
              <w:jc w:val="left"/>
              <w:rPr>
                <w:rFonts w:ascii="宋体" w:hAnsi="宋体" w:cs="宋体"/>
                <w:sz w:val="24"/>
              </w:rPr>
            </w:pPr>
            <w:r>
              <w:rPr>
                <w:rFonts w:hint="eastAsia" w:ascii="宋体" w:hAnsi="宋体" w:cs="宋体"/>
                <w:sz w:val="24"/>
              </w:rPr>
              <w:t>自动防止在短时间内大量发送报警信息(告警抑制)。</w:t>
            </w:r>
          </w:p>
        </w:tc>
      </w:tr>
      <w:tr w14:paraId="415E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06E9F8B8">
            <w:pPr>
              <w:widowControl/>
              <w:adjustRightInd/>
              <w:spacing w:line="360" w:lineRule="auto"/>
              <w:jc w:val="left"/>
              <w:rPr>
                <w:rFonts w:ascii="宋体" w:hAnsi="宋体" w:cs="宋体"/>
                <w:sz w:val="24"/>
              </w:rPr>
            </w:pPr>
          </w:p>
        </w:tc>
        <w:tc>
          <w:tcPr>
            <w:tcW w:w="7077" w:type="dxa"/>
            <w:shd w:val="clear" w:color="auto" w:fill="auto"/>
            <w:vAlign w:val="center"/>
          </w:tcPr>
          <w:p w14:paraId="3FDA704A">
            <w:pPr>
              <w:widowControl/>
              <w:adjustRightInd/>
              <w:spacing w:line="360" w:lineRule="auto"/>
              <w:jc w:val="left"/>
              <w:rPr>
                <w:rFonts w:ascii="宋体" w:hAnsi="宋体" w:cs="宋体"/>
                <w:sz w:val="24"/>
              </w:rPr>
            </w:pPr>
            <w:r>
              <w:rPr>
                <w:rFonts w:hint="eastAsia" w:ascii="宋体" w:hAnsi="宋体" w:cs="宋体"/>
                <w:sz w:val="24"/>
              </w:rPr>
              <w:t>具备报警合并和在一个时间段内抑制报警次数的能力。</w:t>
            </w:r>
          </w:p>
        </w:tc>
      </w:tr>
      <w:tr w14:paraId="7676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25" w:type="dxa"/>
            <w:vMerge w:val="continue"/>
            <w:vAlign w:val="center"/>
          </w:tcPr>
          <w:p w14:paraId="61C42090">
            <w:pPr>
              <w:widowControl/>
              <w:adjustRightInd/>
              <w:spacing w:line="360" w:lineRule="auto"/>
              <w:jc w:val="left"/>
              <w:rPr>
                <w:rFonts w:ascii="宋体" w:hAnsi="宋体" w:cs="宋体"/>
                <w:sz w:val="24"/>
              </w:rPr>
            </w:pPr>
          </w:p>
        </w:tc>
        <w:tc>
          <w:tcPr>
            <w:tcW w:w="7077" w:type="dxa"/>
            <w:shd w:val="clear" w:color="auto" w:fill="auto"/>
            <w:vAlign w:val="center"/>
          </w:tcPr>
          <w:p w14:paraId="0A80FD14">
            <w:pPr>
              <w:widowControl/>
              <w:adjustRightInd/>
              <w:spacing w:line="360" w:lineRule="auto"/>
              <w:jc w:val="left"/>
              <w:rPr>
                <w:rFonts w:ascii="宋体" w:hAnsi="宋体" w:cs="宋体"/>
                <w:sz w:val="24"/>
              </w:rPr>
            </w:pPr>
            <w:r>
              <w:rPr>
                <w:rFonts w:hint="eastAsia" w:ascii="宋体" w:hAnsi="宋体" w:cs="宋体"/>
                <w:sz w:val="24"/>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14:paraId="2ABB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restart"/>
            <w:shd w:val="clear" w:color="auto" w:fill="auto"/>
            <w:vAlign w:val="center"/>
          </w:tcPr>
          <w:p w14:paraId="511DDE0F">
            <w:pPr>
              <w:widowControl/>
              <w:adjustRightInd/>
              <w:spacing w:line="360" w:lineRule="auto"/>
              <w:jc w:val="left"/>
              <w:rPr>
                <w:rFonts w:ascii="宋体" w:hAnsi="宋体" w:cs="宋体"/>
                <w:sz w:val="24"/>
              </w:rPr>
            </w:pPr>
            <w:r>
              <w:rPr>
                <w:rFonts w:hint="eastAsia" w:ascii="宋体" w:hAnsi="宋体" w:cs="宋体"/>
                <w:sz w:val="24"/>
              </w:rPr>
              <w:t>综合查询及报表管理</w:t>
            </w:r>
          </w:p>
        </w:tc>
        <w:tc>
          <w:tcPr>
            <w:tcW w:w="7077" w:type="dxa"/>
            <w:shd w:val="clear" w:color="auto" w:fill="auto"/>
            <w:vAlign w:val="center"/>
          </w:tcPr>
          <w:p w14:paraId="4180CFDB">
            <w:pPr>
              <w:widowControl/>
              <w:adjustRightInd/>
              <w:spacing w:line="360" w:lineRule="auto"/>
              <w:jc w:val="left"/>
              <w:rPr>
                <w:rFonts w:ascii="宋体" w:hAnsi="宋体" w:cs="宋体"/>
                <w:sz w:val="24"/>
              </w:rPr>
            </w:pPr>
            <w:r>
              <w:rPr>
                <w:rFonts w:hint="eastAsia" w:ascii="宋体" w:hAnsi="宋体" w:cs="宋体"/>
                <w:sz w:val="24"/>
              </w:rPr>
              <w:t>内置合规性报表1000+种。</w:t>
            </w:r>
          </w:p>
        </w:tc>
      </w:tr>
      <w:tr w14:paraId="4E3A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447A63D0">
            <w:pPr>
              <w:widowControl/>
              <w:adjustRightInd/>
              <w:spacing w:line="360" w:lineRule="auto"/>
              <w:jc w:val="left"/>
              <w:rPr>
                <w:rFonts w:ascii="宋体" w:hAnsi="宋体" w:cs="宋体"/>
                <w:sz w:val="24"/>
              </w:rPr>
            </w:pPr>
          </w:p>
        </w:tc>
        <w:tc>
          <w:tcPr>
            <w:tcW w:w="7077" w:type="dxa"/>
            <w:shd w:val="clear" w:color="auto" w:fill="auto"/>
            <w:vAlign w:val="center"/>
          </w:tcPr>
          <w:p w14:paraId="51242246">
            <w:pPr>
              <w:widowControl/>
              <w:adjustRightInd/>
              <w:spacing w:line="360" w:lineRule="auto"/>
              <w:jc w:val="left"/>
              <w:rPr>
                <w:rFonts w:ascii="宋体" w:hAnsi="宋体" w:cs="宋体"/>
                <w:sz w:val="24"/>
              </w:rPr>
            </w:pPr>
            <w:r>
              <w:rPr>
                <w:rFonts w:hint="eastAsia" w:ascii="宋体" w:hAnsi="宋体" w:cs="宋体"/>
                <w:sz w:val="24"/>
              </w:rPr>
              <w:t>支持报表导出为PDF和Word格式文件。</w:t>
            </w:r>
          </w:p>
        </w:tc>
      </w:tr>
      <w:tr w14:paraId="12E1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restart"/>
            <w:shd w:val="clear" w:color="auto" w:fill="auto"/>
            <w:vAlign w:val="center"/>
          </w:tcPr>
          <w:p w14:paraId="4CBBD963">
            <w:pPr>
              <w:widowControl/>
              <w:adjustRightInd/>
              <w:spacing w:line="360" w:lineRule="auto"/>
              <w:jc w:val="left"/>
              <w:rPr>
                <w:rFonts w:ascii="宋体" w:hAnsi="宋体" w:cs="宋体"/>
                <w:sz w:val="24"/>
              </w:rPr>
            </w:pPr>
            <w:r>
              <w:rPr>
                <w:rFonts w:hint="eastAsia" w:ascii="宋体" w:hAnsi="宋体" w:cs="宋体"/>
                <w:sz w:val="24"/>
              </w:rPr>
              <w:t>用户管理</w:t>
            </w:r>
          </w:p>
        </w:tc>
        <w:tc>
          <w:tcPr>
            <w:tcW w:w="7077" w:type="dxa"/>
            <w:shd w:val="clear" w:color="auto" w:fill="auto"/>
            <w:vAlign w:val="center"/>
          </w:tcPr>
          <w:p w14:paraId="1F83BA58">
            <w:pPr>
              <w:widowControl/>
              <w:adjustRightInd/>
              <w:spacing w:line="360" w:lineRule="auto"/>
              <w:jc w:val="left"/>
              <w:rPr>
                <w:rFonts w:ascii="宋体" w:hAnsi="宋体" w:cs="宋体"/>
                <w:sz w:val="24"/>
              </w:rPr>
            </w:pPr>
            <w:r>
              <w:rPr>
                <w:rFonts w:hint="eastAsia" w:ascii="宋体" w:hAnsi="宋体" w:cs="宋体"/>
                <w:sz w:val="24"/>
              </w:rPr>
              <w:t>用户支持双因子认证登录，双因子认证令牌支持绑定至具体用户。</w:t>
            </w:r>
          </w:p>
        </w:tc>
      </w:tr>
      <w:tr w14:paraId="7333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5" w:type="dxa"/>
            <w:vMerge w:val="continue"/>
            <w:vAlign w:val="center"/>
          </w:tcPr>
          <w:p w14:paraId="5D716479">
            <w:pPr>
              <w:widowControl/>
              <w:adjustRightInd/>
              <w:spacing w:line="360" w:lineRule="auto"/>
              <w:jc w:val="left"/>
              <w:rPr>
                <w:rFonts w:ascii="宋体" w:hAnsi="宋体" w:cs="宋体"/>
                <w:sz w:val="24"/>
              </w:rPr>
            </w:pPr>
          </w:p>
        </w:tc>
        <w:tc>
          <w:tcPr>
            <w:tcW w:w="7077" w:type="dxa"/>
            <w:shd w:val="clear" w:color="auto" w:fill="auto"/>
            <w:vAlign w:val="center"/>
          </w:tcPr>
          <w:p w14:paraId="67221675">
            <w:pPr>
              <w:widowControl/>
              <w:adjustRightInd/>
              <w:spacing w:line="360" w:lineRule="auto"/>
              <w:jc w:val="left"/>
              <w:rPr>
                <w:rFonts w:ascii="宋体" w:hAnsi="宋体" w:cs="宋体"/>
                <w:sz w:val="24"/>
              </w:rPr>
            </w:pPr>
            <w:r>
              <w:rPr>
                <w:rFonts w:hint="eastAsia" w:ascii="宋体" w:hAnsi="宋体" w:cs="宋体"/>
                <w:sz w:val="24"/>
              </w:rPr>
              <w:t>提供一键式故障排除功能。</w:t>
            </w:r>
          </w:p>
        </w:tc>
      </w:tr>
      <w:tr w14:paraId="57FB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25" w:type="dxa"/>
            <w:shd w:val="clear" w:color="auto" w:fill="auto"/>
            <w:vAlign w:val="center"/>
          </w:tcPr>
          <w:p w14:paraId="4AD43CBC">
            <w:pPr>
              <w:widowControl/>
              <w:adjustRightInd/>
              <w:spacing w:line="360" w:lineRule="auto"/>
              <w:jc w:val="left"/>
              <w:rPr>
                <w:rFonts w:ascii="宋体" w:hAnsi="宋体" w:cs="宋体"/>
                <w:sz w:val="24"/>
              </w:rPr>
            </w:pPr>
            <w:r>
              <w:rPr>
                <w:rFonts w:hint="eastAsia" w:ascii="宋体" w:hAnsi="宋体" w:cs="宋体"/>
                <w:sz w:val="24"/>
              </w:rPr>
              <w:t>资产管理</w:t>
            </w:r>
          </w:p>
        </w:tc>
        <w:tc>
          <w:tcPr>
            <w:tcW w:w="7077" w:type="dxa"/>
            <w:shd w:val="clear" w:color="auto" w:fill="auto"/>
            <w:vAlign w:val="center"/>
          </w:tcPr>
          <w:p w14:paraId="377579CC">
            <w:pPr>
              <w:widowControl/>
              <w:adjustRightInd/>
              <w:spacing w:line="360" w:lineRule="auto"/>
              <w:jc w:val="left"/>
              <w:rPr>
                <w:rFonts w:ascii="宋体" w:hAnsi="宋体" w:cs="宋体"/>
                <w:sz w:val="24"/>
              </w:rPr>
            </w:pPr>
            <w:r>
              <w:rPr>
                <w:rFonts w:ascii="宋体" w:hAnsi="宋体" w:cs="宋体"/>
                <w:sz w:val="24"/>
              </w:rPr>
              <w:t>◆</w:t>
            </w:r>
            <w:r>
              <w:rPr>
                <w:rFonts w:hint="eastAsia" w:ascii="宋体" w:hAnsi="宋体" w:cs="宋体"/>
                <w:sz w:val="24"/>
              </w:rPr>
              <w:t>资产拓扑支持按照实际的用户环境进行编辑发布并可以和资产进行绑定，拓扑可以显示资产采集的事件数量被采集资产的状态等信息。（提供带有CMA或CNAS或CAL标识国家认证认可的第三方检测机构出具检测报告，检测报告需提供原件扫描件或复印件）</w:t>
            </w:r>
          </w:p>
        </w:tc>
      </w:tr>
    </w:tbl>
    <w:p w14:paraId="7C6D72CB">
      <w:pPr>
        <w:adjustRightInd/>
        <w:spacing w:line="360" w:lineRule="auto"/>
        <w:ind w:firstLine="480" w:firstLineChars="200"/>
        <w:rPr>
          <w:rFonts w:ascii="宋体" w:hAnsi="宋体" w:cs="宋体"/>
          <w:sz w:val="24"/>
        </w:rPr>
      </w:pPr>
    </w:p>
    <w:p w14:paraId="7BB53491">
      <w:pPr>
        <w:widowControl/>
        <w:adjustRightInd/>
        <w:spacing w:line="360" w:lineRule="auto"/>
        <w:ind w:firstLine="480" w:firstLineChars="200"/>
        <w:jc w:val="left"/>
        <w:rPr>
          <w:rFonts w:ascii="宋体" w:hAnsi="宋体" w:cs="宋体"/>
          <w:sz w:val="24"/>
        </w:rPr>
      </w:pPr>
      <w:r>
        <w:rPr>
          <w:rFonts w:hint="eastAsia" w:ascii="宋体" w:hAnsi="宋体" w:cs="宋体"/>
          <w:sz w:val="24"/>
        </w:rPr>
        <w:t>数据库审计服务技术参数如下：</w:t>
      </w:r>
    </w:p>
    <w:tbl>
      <w:tblPr>
        <w:tblStyle w:val="1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7585"/>
      </w:tblGrid>
      <w:tr w14:paraId="40DD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shd w:val="clear" w:color="000000" w:fill="CFCDCD"/>
            <w:vAlign w:val="center"/>
          </w:tcPr>
          <w:p w14:paraId="498BDA3D">
            <w:pPr>
              <w:widowControl/>
              <w:adjustRightInd/>
              <w:jc w:val="left"/>
              <w:rPr>
                <w:rFonts w:ascii="宋体" w:hAnsi="宋体" w:cs="宋体"/>
                <w:sz w:val="24"/>
              </w:rPr>
            </w:pPr>
            <w:r>
              <w:rPr>
                <w:rFonts w:hint="eastAsia" w:ascii="宋体" w:hAnsi="宋体" w:cs="宋体"/>
                <w:sz w:val="24"/>
              </w:rPr>
              <w:t>指标项</w:t>
            </w:r>
          </w:p>
        </w:tc>
        <w:tc>
          <w:tcPr>
            <w:tcW w:w="7585" w:type="dxa"/>
            <w:shd w:val="clear" w:color="000000" w:fill="CFCDCD"/>
            <w:vAlign w:val="center"/>
          </w:tcPr>
          <w:p w14:paraId="1C7FCB5A">
            <w:pPr>
              <w:widowControl/>
              <w:adjustRightInd/>
              <w:jc w:val="left"/>
              <w:rPr>
                <w:rFonts w:ascii="宋体" w:hAnsi="宋体" w:cs="宋体"/>
                <w:sz w:val="24"/>
              </w:rPr>
            </w:pPr>
            <w:r>
              <w:rPr>
                <w:rFonts w:hint="eastAsia" w:ascii="宋体" w:hAnsi="宋体" w:cs="宋体"/>
                <w:sz w:val="24"/>
              </w:rPr>
              <w:t>技术参数</w:t>
            </w:r>
          </w:p>
        </w:tc>
      </w:tr>
      <w:tr w14:paraId="5B42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0" w:type="dxa"/>
            <w:shd w:val="clear" w:color="auto" w:fill="auto"/>
            <w:vAlign w:val="center"/>
          </w:tcPr>
          <w:p w14:paraId="1682D14F">
            <w:pPr>
              <w:widowControl/>
              <w:adjustRightInd/>
              <w:jc w:val="left"/>
              <w:rPr>
                <w:rFonts w:ascii="宋体" w:hAnsi="宋体" w:cs="宋体"/>
                <w:sz w:val="24"/>
              </w:rPr>
            </w:pPr>
            <w:r>
              <w:rPr>
                <w:rFonts w:hint="eastAsia" w:ascii="宋体" w:hAnsi="宋体" w:cs="宋体"/>
                <w:sz w:val="24"/>
              </w:rPr>
              <w:t>性能要求</w:t>
            </w:r>
          </w:p>
        </w:tc>
        <w:tc>
          <w:tcPr>
            <w:tcW w:w="7585" w:type="dxa"/>
            <w:shd w:val="clear" w:color="auto" w:fill="auto"/>
            <w:vAlign w:val="center"/>
          </w:tcPr>
          <w:p w14:paraId="7260BA54">
            <w:pPr>
              <w:widowControl/>
              <w:adjustRightInd/>
              <w:jc w:val="left"/>
              <w:rPr>
                <w:rFonts w:ascii="宋体" w:hAnsi="宋体" w:cs="宋体"/>
                <w:sz w:val="24"/>
              </w:rPr>
            </w:pPr>
            <w:r>
              <w:rPr>
                <w:rFonts w:hint="eastAsia" w:ascii="宋体" w:hAnsi="宋体" w:cs="宋体"/>
                <w:sz w:val="24"/>
              </w:rPr>
              <w:t>支持的数据库实例个数：25；</w:t>
            </w:r>
          </w:p>
          <w:p w14:paraId="74CAC30A">
            <w:pPr>
              <w:widowControl/>
              <w:adjustRightInd/>
              <w:jc w:val="left"/>
              <w:rPr>
                <w:rFonts w:ascii="宋体" w:hAnsi="宋体" w:cs="宋体"/>
                <w:sz w:val="24"/>
              </w:rPr>
            </w:pPr>
            <w:r>
              <w:rPr>
                <w:rFonts w:hint="eastAsia" w:ascii="宋体" w:hAnsi="宋体" w:cs="宋体"/>
                <w:sz w:val="24"/>
              </w:rPr>
              <w:t>硬件最大吞吐量4Gbps；</w:t>
            </w:r>
          </w:p>
          <w:p w14:paraId="56C42B8F">
            <w:pPr>
              <w:widowControl/>
              <w:adjustRightInd/>
              <w:jc w:val="left"/>
              <w:rPr>
                <w:rFonts w:ascii="宋体" w:hAnsi="宋体" w:cs="宋体"/>
                <w:sz w:val="24"/>
              </w:rPr>
            </w:pPr>
            <w:r>
              <w:rPr>
                <w:rFonts w:hint="eastAsia" w:ascii="宋体" w:hAnsi="宋体" w:cs="宋体"/>
                <w:sz w:val="24"/>
              </w:rPr>
              <w:t>双向审计数据库流量400Mbps；</w:t>
            </w:r>
          </w:p>
          <w:p w14:paraId="18C5ED7C">
            <w:pPr>
              <w:widowControl/>
              <w:adjustRightInd/>
              <w:jc w:val="left"/>
              <w:rPr>
                <w:rFonts w:ascii="宋体" w:hAnsi="宋体" w:cs="宋体"/>
                <w:sz w:val="24"/>
              </w:rPr>
            </w:pPr>
            <w:r>
              <w:rPr>
                <w:rFonts w:hint="eastAsia" w:ascii="宋体" w:hAnsi="宋体" w:cs="宋体"/>
                <w:sz w:val="24"/>
              </w:rPr>
              <w:t>标配日志存储数40亿条；</w:t>
            </w:r>
          </w:p>
          <w:p w14:paraId="44E93284">
            <w:pPr>
              <w:widowControl/>
              <w:adjustRightInd/>
              <w:jc w:val="left"/>
              <w:rPr>
                <w:rFonts w:ascii="宋体" w:hAnsi="宋体" w:cs="宋体"/>
                <w:sz w:val="24"/>
              </w:rPr>
            </w:pPr>
            <w:r>
              <w:rPr>
                <w:rFonts w:hint="eastAsia" w:ascii="宋体" w:hAnsi="宋体" w:cs="宋体"/>
                <w:sz w:val="24"/>
              </w:rPr>
              <w:t>审计日志检索能力≥1500万条/秒。</w:t>
            </w:r>
          </w:p>
        </w:tc>
      </w:tr>
      <w:tr w14:paraId="604C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0" w:type="dxa"/>
            <w:vMerge w:val="restart"/>
            <w:shd w:val="clear" w:color="auto" w:fill="auto"/>
            <w:vAlign w:val="center"/>
          </w:tcPr>
          <w:p w14:paraId="07E01D5E">
            <w:pPr>
              <w:widowControl/>
              <w:adjustRightInd/>
              <w:jc w:val="left"/>
              <w:rPr>
                <w:rFonts w:ascii="宋体" w:hAnsi="宋体" w:cs="宋体"/>
                <w:sz w:val="24"/>
              </w:rPr>
            </w:pPr>
            <w:r>
              <w:rPr>
                <w:rFonts w:hint="eastAsia" w:ascii="宋体" w:hAnsi="宋体" w:cs="宋体"/>
                <w:sz w:val="24"/>
              </w:rPr>
              <w:t>部署方式</w:t>
            </w:r>
          </w:p>
        </w:tc>
        <w:tc>
          <w:tcPr>
            <w:tcW w:w="7585" w:type="dxa"/>
            <w:shd w:val="clear" w:color="auto" w:fill="auto"/>
            <w:vAlign w:val="center"/>
          </w:tcPr>
          <w:p w14:paraId="4AFC7F46">
            <w:pPr>
              <w:widowControl/>
              <w:adjustRightInd/>
              <w:jc w:val="left"/>
              <w:rPr>
                <w:rFonts w:ascii="宋体" w:hAnsi="宋体" w:cs="宋体"/>
                <w:sz w:val="24"/>
              </w:rPr>
            </w:pPr>
            <w:r>
              <w:rPr>
                <w:rFonts w:hint="eastAsia" w:ascii="宋体" w:hAnsi="宋体" w:cs="宋体"/>
                <w:sz w:val="24"/>
              </w:rPr>
              <w:t>可在云环境操作系统中安装软件代理。</w:t>
            </w:r>
          </w:p>
        </w:tc>
      </w:tr>
      <w:tr w14:paraId="0C0C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10" w:type="dxa"/>
            <w:vMerge w:val="continue"/>
            <w:vAlign w:val="center"/>
          </w:tcPr>
          <w:p w14:paraId="118DD428">
            <w:pPr>
              <w:widowControl/>
              <w:adjustRightInd/>
              <w:jc w:val="left"/>
              <w:rPr>
                <w:rFonts w:ascii="宋体" w:hAnsi="宋体" w:cs="宋体"/>
                <w:sz w:val="24"/>
              </w:rPr>
            </w:pPr>
          </w:p>
        </w:tc>
        <w:tc>
          <w:tcPr>
            <w:tcW w:w="7585" w:type="dxa"/>
            <w:shd w:val="clear" w:color="auto" w:fill="auto"/>
            <w:vAlign w:val="center"/>
          </w:tcPr>
          <w:p w14:paraId="57CE9D0E">
            <w:pPr>
              <w:widowControl/>
              <w:adjustRightInd/>
              <w:jc w:val="left"/>
              <w:rPr>
                <w:rFonts w:ascii="宋体" w:hAnsi="宋体" w:cs="宋体"/>
                <w:sz w:val="24"/>
              </w:rPr>
            </w:pPr>
            <w:r>
              <w:rPr>
                <w:rFonts w:hint="eastAsia" w:ascii="宋体" w:hAnsi="宋体" w:cs="宋体"/>
                <w:sz w:val="24"/>
              </w:rPr>
              <w:t>支持分布式部署，管理中心可实现统一配置、一键批量升级所有节点、统一查询；</w:t>
            </w:r>
          </w:p>
        </w:tc>
      </w:tr>
      <w:tr w14:paraId="5E5A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0" w:type="dxa"/>
            <w:vMerge w:val="continue"/>
            <w:vAlign w:val="center"/>
          </w:tcPr>
          <w:p w14:paraId="02268A26">
            <w:pPr>
              <w:widowControl/>
              <w:adjustRightInd/>
              <w:jc w:val="left"/>
              <w:rPr>
                <w:rFonts w:ascii="宋体" w:hAnsi="宋体" w:cs="宋体"/>
                <w:sz w:val="24"/>
              </w:rPr>
            </w:pPr>
          </w:p>
        </w:tc>
        <w:tc>
          <w:tcPr>
            <w:tcW w:w="7585" w:type="dxa"/>
            <w:shd w:val="clear" w:color="auto" w:fill="auto"/>
            <w:vAlign w:val="center"/>
          </w:tcPr>
          <w:p w14:paraId="5C68D5C4">
            <w:pPr>
              <w:widowControl/>
              <w:adjustRightInd/>
              <w:jc w:val="left"/>
              <w:rPr>
                <w:rFonts w:ascii="宋体" w:hAnsi="宋体" w:cs="宋体"/>
                <w:sz w:val="24"/>
              </w:rPr>
            </w:pPr>
            <w:r>
              <w:rPr>
                <w:rFonts w:hint="eastAsia" w:ascii="宋体" w:hAnsi="宋体" w:cs="宋体"/>
                <w:sz w:val="24"/>
              </w:rPr>
              <w:t>在分布式部署模式下，管理节点和探测器节点都可存储审计数据，实现大数据环境下磁盘空间的有效利用和扩展；</w:t>
            </w:r>
          </w:p>
        </w:tc>
      </w:tr>
      <w:tr w14:paraId="0223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continue"/>
            <w:vAlign w:val="center"/>
          </w:tcPr>
          <w:p w14:paraId="58C4492B">
            <w:pPr>
              <w:widowControl/>
              <w:adjustRightInd/>
              <w:jc w:val="left"/>
              <w:rPr>
                <w:rFonts w:ascii="宋体" w:hAnsi="宋体" w:cs="宋体"/>
                <w:sz w:val="24"/>
              </w:rPr>
            </w:pPr>
          </w:p>
        </w:tc>
        <w:tc>
          <w:tcPr>
            <w:tcW w:w="7585" w:type="dxa"/>
            <w:shd w:val="clear" w:color="auto" w:fill="auto"/>
            <w:vAlign w:val="center"/>
          </w:tcPr>
          <w:p w14:paraId="5D575AB5">
            <w:pPr>
              <w:widowControl/>
              <w:adjustRightInd/>
              <w:jc w:val="left"/>
              <w:rPr>
                <w:rFonts w:ascii="宋体" w:hAnsi="宋体" w:cs="宋体"/>
                <w:sz w:val="24"/>
              </w:rPr>
            </w:pPr>
            <w:r>
              <w:rPr>
                <w:rFonts w:hint="eastAsia" w:ascii="宋体" w:hAnsi="宋体" w:cs="宋体"/>
                <w:sz w:val="24"/>
              </w:rPr>
              <w:t>支持IPv4/IPv6双栈审计；</w:t>
            </w:r>
          </w:p>
        </w:tc>
      </w:tr>
      <w:tr w14:paraId="70DC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10" w:type="dxa"/>
            <w:vMerge w:val="restart"/>
            <w:shd w:val="clear" w:color="auto" w:fill="auto"/>
            <w:vAlign w:val="center"/>
          </w:tcPr>
          <w:p w14:paraId="771CBADF">
            <w:pPr>
              <w:widowControl/>
              <w:adjustRightInd/>
              <w:jc w:val="left"/>
              <w:rPr>
                <w:rFonts w:ascii="宋体" w:hAnsi="宋体" w:cs="宋体"/>
                <w:sz w:val="24"/>
              </w:rPr>
            </w:pPr>
            <w:r>
              <w:rPr>
                <w:rFonts w:hint="eastAsia" w:ascii="宋体" w:hAnsi="宋体" w:cs="宋体"/>
                <w:sz w:val="24"/>
              </w:rPr>
              <w:t>协议支持</w:t>
            </w:r>
          </w:p>
        </w:tc>
        <w:tc>
          <w:tcPr>
            <w:tcW w:w="7585" w:type="dxa"/>
            <w:shd w:val="clear" w:color="auto" w:fill="auto"/>
            <w:vAlign w:val="center"/>
          </w:tcPr>
          <w:p w14:paraId="280C6C1B">
            <w:pPr>
              <w:widowControl/>
              <w:adjustRightInd/>
              <w:spacing w:line="360" w:lineRule="auto"/>
              <w:jc w:val="left"/>
              <w:rPr>
                <w:rFonts w:ascii="宋体" w:hAnsi="宋体" w:cs="宋体"/>
                <w:sz w:val="24"/>
              </w:rPr>
            </w:pPr>
            <w:r>
              <w:rPr>
                <w:rFonts w:ascii="宋体" w:hAnsi="宋体" w:cs="宋体"/>
                <w:sz w:val="24"/>
              </w:rPr>
              <w:t>◆</w:t>
            </w:r>
            <w:r>
              <w:rPr>
                <w:rFonts w:hint="eastAsia" w:ascii="宋体" w:hAnsi="宋体" w:cs="宋体"/>
                <w:sz w:val="24"/>
              </w:rPr>
              <w:t>支持达梦（DM8及其他版本）、南大通用(GBase）、高斯（GaussDB）、人大金仓（KingbaseV8、V7及其他版本）、K-DB、神舟通用（Oscar）、OceanBase、瀚高（HighGo DB)、天翼云数据库Teledb-MySQL、天翼云数据库Teledb-PostgreSQL、优炫（UXDB）等国产数据库的审计；（需提供功能截图）</w:t>
            </w:r>
          </w:p>
        </w:tc>
      </w:tr>
      <w:tr w14:paraId="313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0" w:type="dxa"/>
            <w:vMerge w:val="continue"/>
            <w:vAlign w:val="center"/>
          </w:tcPr>
          <w:p w14:paraId="2DAE475C">
            <w:pPr>
              <w:widowControl/>
              <w:adjustRightInd/>
              <w:jc w:val="left"/>
              <w:rPr>
                <w:rFonts w:ascii="宋体" w:hAnsi="宋体" w:cs="宋体"/>
                <w:sz w:val="24"/>
              </w:rPr>
            </w:pPr>
          </w:p>
        </w:tc>
        <w:tc>
          <w:tcPr>
            <w:tcW w:w="7585" w:type="dxa"/>
            <w:shd w:val="clear" w:color="auto" w:fill="auto"/>
            <w:vAlign w:val="center"/>
          </w:tcPr>
          <w:p w14:paraId="4CC762A4">
            <w:pPr>
              <w:widowControl/>
              <w:adjustRightInd/>
              <w:jc w:val="left"/>
              <w:rPr>
                <w:rFonts w:ascii="宋体" w:hAnsi="宋体" w:cs="宋体"/>
                <w:sz w:val="24"/>
              </w:rPr>
            </w:pPr>
            <w:r>
              <w:rPr>
                <w:rFonts w:hint="eastAsia" w:ascii="宋体" w:hAnsi="宋体" w:cs="宋体"/>
                <w:sz w:val="24"/>
              </w:rPr>
              <w:t>支持主流业务协议HTTP、Telnet、FTP的审计；</w:t>
            </w:r>
          </w:p>
        </w:tc>
      </w:tr>
      <w:tr w14:paraId="2C79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0" w:type="dxa"/>
            <w:vMerge w:val="restart"/>
            <w:shd w:val="clear" w:color="auto" w:fill="auto"/>
            <w:vAlign w:val="center"/>
          </w:tcPr>
          <w:p w14:paraId="3CB7F3F6">
            <w:pPr>
              <w:widowControl/>
              <w:adjustRightInd/>
              <w:jc w:val="left"/>
              <w:rPr>
                <w:rFonts w:ascii="宋体" w:hAnsi="宋体" w:cs="宋体"/>
                <w:sz w:val="24"/>
              </w:rPr>
            </w:pPr>
            <w:r>
              <w:rPr>
                <w:rFonts w:hint="eastAsia" w:ascii="宋体" w:hAnsi="宋体" w:cs="宋体"/>
                <w:sz w:val="24"/>
              </w:rPr>
              <w:t>审计功能</w:t>
            </w:r>
          </w:p>
        </w:tc>
        <w:tc>
          <w:tcPr>
            <w:tcW w:w="7585" w:type="dxa"/>
            <w:shd w:val="clear" w:color="auto" w:fill="auto"/>
            <w:vAlign w:val="center"/>
          </w:tcPr>
          <w:p w14:paraId="68C5CD8C">
            <w:pPr>
              <w:widowControl/>
              <w:adjustRightInd/>
              <w:jc w:val="left"/>
              <w:rPr>
                <w:rFonts w:ascii="宋体" w:hAnsi="宋体" w:cs="宋体"/>
                <w:sz w:val="24"/>
              </w:rPr>
            </w:pPr>
            <w:r>
              <w:rPr>
                <w:rFonts w:hint="eastAsia" w:ascii="宋体" w:hAnsi="宋体" w:cs="宋体"/>
                <w:sz w:val="24"/>
              </w:rPr>
              <w:t>审计信息能够记录执行时长、影响行数、执行结果描述、返回结果集。</w:t>
            </w:r>
          </w:p>
        </w:tc>
      </w:tr>
      <w:tr w14:paraId="4B7B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0" w:type="dxa"/>
            <w:vMerge w:val="continue"/>
            <w:vAlign w:val="center"/>
          </w:tcPr>
          <w:p w14:paraId="3A119361">
            <w:pPr>
              <w:widowControl/>
              <w:adjustRightInd/>
              <w:jc w:val="left"/>
              <w:rPr>
                <w:rFonts w:ascii="宋体" w:hAnsi="宋体" w:cs="宋体"/>
                <w:sz w:val="24"/>
              </w:rPr>
            </w:pPr>
          </w:p>
        </w:tc>
        <w:tc>
          <w:tcPr>
            <w:tcW w:w="7585" w:type="dxa"/>
            <w:shd w:val="clear" w:color="auto" w:fill="auto"/>
            <w:vAlign w:val="center"/>
          </w:tcPr>
          <w:p w14:paraId="1A358531">
            <w:pPr>
              <w:widowControl/>
              <w:adjustRightInd/>
              <w:jc w:val="left"/>
              <w:rPr>
                <w:rFonts w:ascii="宋体" w:hAnsi="宋体" w:cs="宋体"/>
                <w:sz w:val="24"/>
              </w:rPr>
            </w:pPr>
            <w:r>
              <w:rPr>
                <w:rFonts w:hint="eastAsia" w:ascii="宋体" w:hAnsi="宋体" w:cs="宋体"/>
                <w:sz w:val="24"/>
              </w:rPr>
              <w:t>支持在双向审计场景下根据以往审计命中情况设置结果集存储策略，支持设置保存行数与最大保存长度;</w:t>
            </w:r>
          </w:p>
        </w:tc>
      </w:tr>
      <w:tr w14:paraId="5368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0" w:type="dxa"/>
            <w:vMerge w:val="continue"/>
            <w:vAlign w:val="center"/>
          </w:tcPr>
          <w:p w14:paraId="31FB2D99">
            <w:pPr>
              <w:widowControl/>
              <w:adjustRightInd/>
              <w:jc w:val="left"/>
              <w:rPr>
                <w:rFonts w:ascii="宋体" w:hAnsi="宋体" w:cs="宋体"/>
                <w:sz w:val="24"/>
              </w:rPr>
            </w:pPr>
          </w:p>
        </w:tc>
        <w:tc>
          <w:tcPr>
            <w:tcW w:w="7585" w:type="dxa"/>
            <w:shd w:val="clear" w:color="auto" w:fill="auto"/>
            <w:vAlign w:val="center"/>
          </w:tcPr>
          <w:p w14:paraId="4B0051EF">
            <w:pPr>
              <w:widowControl/>
              <w:adjustRightInd/>
              <w:jc w:val="left"/>
              <w:rPr>
                <w:rFonts w:ascii="宋体" w:hAnsi="宋体" w:cs="宋体"/>
                <w:sz w:val="24"/>
              </w:rPr>
            </w:pPr>
            <w:r>
              <w:rPr>
                <w:rFonts w:hint="eastAsia" w:ascii="宋体" w:hAnsi="宋体" w:cs="宋体"/>
                <w:sz w:val="24"/>
              </w:rPr>
              <w:t>支持本地直连数据库场景下的审计，通过本地Agent捕获本地数据库客户端程序中实际响应的SQL指令，实现对本地运维人员的数据库操作行为的审计。</w:t>
            </w:r>
          </w:p>
        </w:tc>
      </w:tr>
      <w:tr w14:paraId="5C1B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continue"/>
            <w:vAlign w:val="center"/>
          </w:tcPr>
          <w:p w14:paraId="4911412A">
            <w:pPr>
              <w:widowControl/>
              <w:adjustRightInd/>
              <w:jc w:val="left"/>
              <w:rPr>
                <w:rFonts w:ascii="宋体" w:hAnsi="宋体" w:cs="宋体"/>
                <w:sz w:val="24"/>
              </w:rPr>
            </w:pPr>
          </w:p>
        </w:tc>
        <w:tc>
          <w:tcPr>
            <w:tcW w:w="7585" w:type="dxa"/>
            <w:shd w:val="clear" w:color="auto" w:fill="auto"/>
            <w:vAlign w:val="center"/>
          </w:tcPr>
          <w:p w14:paraId="314AF839">
            <w:pPr>
              <w:widowControl/>
              <w:adjustRightInd/>
              <w:jc w:val="left"/>
              <w:rPr>
                <w:rFonts w:ascii="宋体" w:hAnsi="宋体" w:cs="宋体"/>
                <w:sz w:val="24"/>
              </w:rPr>
            </w:pPr>
            <w:r>
              <w:rPr>
                <w:rFonts w:hint="eastAsia" w:ascii="宋体" w:hAnsi="宋体" w:cs="宋体"/>
                <w:sz w:val="24"/>
              </w:rPr>
              <w:t>支持超长SQL语句（最长4M）审计；</w:t>
            </w:r>
          </w:p>
        </w:tc>
      </w:tr>
      <w:tr w14:paraId="09CA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0" w:type="dxa"/>
            <w:vMerge w:val="restart"/>
            <w:shd w:val="clear" w:color="auto" w:fill="auto"/>
            <w:vAlign w:val="center"/>
          </w:tcPr>
          <w:p w14:paraId="6332F0F1">
            <w:pPr>
              <w:widowControl/>
              <w:adjustRightInd/>
              <w:jc w:val="left"/>
              <w:rPr>
                <w:rFonts w:ascii="宋体" w:hAnsi="宋体" w:cs="宋体"/>
                <w:sz w:val="24"/>
              </w:rPr>
            </w:pPr>
            <w:r>
              <w:rPr>
                <w:rFonts w:hint="eastAsia" w:ascii="宋体" w:hAnsi="宋体" w:cs="宋体"/>
                <w:sz w:val="24"/>
              </w:rPr>
              <w:t>安全审计</w:t>
            </w:r>
          </w:p>
        </w:tc>
        <w:tc>
          <w:tcPr>
            <w:tcW w:w="7585" w:type="dxa"/>
            <w:shd w:val="clear" w:color="auto" w:fill="auto"/>
            <w:vAlign w:val="center"/>
          </w:tcPr>
          <w:p w14:paraId="6597C0F8">
            <w:pPr>
              <w:widowControl/>
              <w:adjustRightInd/>
              <w:jc w:val="left"/>
              <w:rPr>
                <w:rFonts w:ascii="宋体" w:hAnsi="宋体" w:cs="宋体"/>
                <w:sz w:val="24"/>
              </w:rPr>
            </w:pPr>
            <w:r>
              <w:rPr>
                <w:rFonts w:hint="eastAsia" w:ascii="宋体" w:hAnsi="宋体" w:cs="宋体"/>
                <w:sz w:val="24"/>
              </w:rPr>
              <w:t>产品具有内置规则，规则类型有SQL注入、账号安全、数据泄露和违规操作等，并可依据规则进行邮件告警。</w:t>
            </w:r>
          </w:p>
        </w:tc>
      </w:tr>
      <w:tr w14:paraId="473B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continue"/>
            <w:vAlign w:val="center"/>
          </w:tcPr>
          <w:p w14:paraId="5FAEA48F">
            <w:pPr>
              <w:widowControl/>
              <w:adjustRightInd/>
              <w:jc w:val="left"/>
              <w:rPr>
                <w:rFonts w:ascii="宋体" w:hAnsi="宋体" w:cs="宋体"/>
                <w:sz w:val="24"/>
              </w:rPr>
            </w:pPr>
          </w:p>
        </w:tc>
        <w:tc>
          <w:tcPr>
            <w:tcW w:w="7585" w:type="dxa"/>
            <w:shd w:val="clear" w:color="auto" w:fill="auto"/>
            <w:vAlign w:val="center"/>
          </w:tcPr>
          <w:p w14:paraId="109BD015">
            <w:pPr>
              <w:widowControl/>
              <w:adjustRightInd/>
              <w:jc w:val="left"/>
              <w:rPr>
                <w:rFonts w:ascii="宋体" w:hAnsi="宋体" w:cs="宋体"/>
                <w:sz w:val="24"/>
              </w:rPr>
            </w:pPr>
            <w:r>
              <w:rPr>
                <w:rFonts w:hint="eastAsia" w:ascii="宋体" w:hAnsi="宋体" w:cs="宋体"/>
                <w:sz w:val="24"/>
              </w:rPr>
              <w:t>可自定义审计规则，审计规则至少支持18个条件；</w:t>
            </w:r>
          </w:p>
        </w:tc>
      </w:tr>
      <w:tr w14:paraId="2661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0" w:type="dxa"/>
            <w:vMerge w:val="continue"/>
            <w:vAlign w:val="center"/>
          </w:tcPr>
          <w:p w14:paraId="46C80623">
            <w:pPr>
              <w:widowControl/>
              <w:adjustRightInd/>
              <w:jc w:val="left"/>
              <w:rPr>
                <w:rFonts w:ascii="宋体" w:hAnsi="宋体" w:cs="宋体"/>
                <w:sz w:val="24"/>
              </w:rPr>
            </w:pPr>
          </w:p>
        </w:tc>
        <w:tc>
          <w:tcPr>
            <w:tcW w:w="7585" w:type="dxa"/>
            <w:shd w:val="clear" w:color="auto" w:fill="auto"/>
            <w:vAlign w:val="center"/>
          </w:tcPr>
          <w:p w14:paraId="79B14AC2">
            <w:pPr>
              <w:widowControl/>
              <w:adjustRightInd/>
              <w:jc w:val="left"/>
              <w:rPr>
                <w:rFonts w:ascii="宋体" w:hAnsi="宋体" w:cs="宋体"/>
                <w:sz w:val="24"/>
              </w:rPr>
            </w:pPr>
            <w:r>
              <w:rPr>
                <w:rFonts w:hint="eastAsia" w:ascii="宋体" w:hAnsi="宋体" w:cs="宋体"/>
                <w:sz w:val="24"/>
              </w:rPr>
              <w:t>支持安全规则遍历匹配，针对某个操作，将全部安全规则进行匹配，并返回所有匹配的告警结果；</w:t>
            </w:r>
          </w:p>
        </w:tc>
      </w:tr>
      <w:tr w14:paraId="470D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0" w:type="dxa"/>
            <w:vMerge w:val="continue"/>
            <w:vAlign w:val="center"/>
          </w:tcPr>
          <w:p w14:paraId="0366B96D">
            <w:pPr>
              <w:widowControl/>
              <w:adjustRightInd/>
              <w:jc w:val="left"/>
              <w:rPr>
                <w:rFonts w:ascii="宋体" w:hAnsi="宋体" w:cs="宋体"/>
                <w:sz w:val="24"/>
              </w:rPr>
            </w:pPr>
          </w:p>
        </w:tc>
        <w:tc>
          <w:tcPr>
            <w:tcW w:w="7585" w:type="dxa"/>
            <w:shd w:val="clear" w:color="auto" w:fill="auto"/>
            <w:vAlign w:val="center"/>
          </w:tcPr>
          <w:p w14:paraId="755D51F7">
            <w:pPr>
              <w:widowControl/>
              <w:adjustRightInd/>
              <w:jc w:val="left"/>
              <w:rPr>
                <w:rFonts w:ascii="宋体" w:hAnsi="宋体" w:cs="宋体"/>
                <w:sz w:val="24"/>
              </w:rPr>
            </w:pPr>
            <w:r>
              <w:rPr>
                <w:rFonts w:hint="eastAsia" w:ascii="宋体" w:hAnsi="宋体" w:cs="宋体"/>
                <w:sz w:val="24"/>
              </w:rPr>
              <w:t>支持安全规则优先级设置，在匹配规则时支持按照优先级顺序进行匹配并返回唯一匹配结果；</w:t>
            </w:r>
          </w:p>
        </w:tc>
      </w:tr>
      <w:tr w14:paraId="1687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0" w:type="dxa"/>
            <w:vMerge w:val="continue"/>
            <w:vAlign w:val="center"/>
          </w:tcPr>
          <w:p w14:paraId="46B87E1A">
            <w:pPr>
              <w:widowControl/>
              <w:adjustRightInd/>
              <w:jc w:val="left"/>
              <w:rPr>
                <w:rFonts w:ascii="宋体" w:hAnsi="宋体" w:cs="宋体"/>
                <w:sz w:val="24"/>
              </w:rPr>
            </w:pPr>
          </w:p>
        </w:tc>
        <w:tc>
          <w:tcPr>
            <w:tcW w:w="7585" w:type="dxa"/>
            <w:shd w:val="clear" w:color="auto" w:fill="auto"/>
            <w:vAlign w:val="center"/>
          </w:tcPr>
          <w:p w14:paraId="4D38CD53">
            <w:pPr>
              <w:widowControl/>
              <w:adjustRightInd/>
              <w:jc w:val="left"/>
              <w:rPr>
                <w:rFonts w:ascii="宋体" w:hAnsi="宋体" w:cs="宋体"/>
                <w:sz w:val="24"/>
              </w:rPr>
            </w:pPr>
            <w:r>
              <w:rPr>
                <w:rFonts w:ascii="宋体" w:hAnsi="宋体" w:cs="宋体"/>
                <w:sz w:val="24"/>
              </w:rPr>
              <w:t>◆</w:t>
            </w:r>
            <w:r>
              <w:rPr>
                <w:rFonts w:hint="eastAsia" w:ascii="宋体" w:hAnsi="宋体" w:cs="宋体"/>
                <w:sz w:val="24"/>
              </w:rPr>
              <w:t>支持内置安全规则可通过规则包进行单独升级。（提供带有CMA或CNAS或CAL标识国家认证认可的第三方检测机构出具检测报告，检测报告需提供原件扫描件或复印件）</w:t>
            </w:r>
          </w:p>
        </w:tc>
      </w:tr>
      <w:tr w14:paraId="7577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shd w:val="clear" w:color="auto" w:fill="auto"/>
            <w:vAlign w:val="center"/>
          </w:tcPr>
          <w:p w14:paraId="49806E48">
            <w:pPr>
              <w:widowControl/>
              <w:adjustRightInd/>
              <w:jc w:val="left"/>
              <w:rPr>
                <w:rFonts w:ascii="宋体" w:hAnsi="宋体" w:cs="宋体"/>
                <w:sz w:val="24"/>
              </w:rPr>
            </w:pPr>
            <w:r>
              <w:rPr>
                <w:rFonts w:hint="eastAsia" w:ascii="宋体" w:hAnsi="宋体" w:cs="宋体"/>
                <w:sz w:val="24"/>
              </w:rPr>
              <w:t>查询分析</w:t>
            </w:r>
          </w:p>
        </w:tc>
        <w:tc>
          <w:tcPr>
            <w:tcW w:w="7585" w:type="dxa"/>
            <w:shd w:val="clear" w:color="auto" w:fill="auto"/>
            <w:vAlign w:val="center"/>
          </w:tcPr>
          <w:p w14:paraId="35F3180A">
            <w:pPr>
              <w:widowControl/>
              <w:adjustRightInd/>
              <w:jc w:val="left"/>
              <w:rPr>
                <w:rFonts w:ascii="宋体" w:hAnsi="宋体" w:cs="宋体"/>
                <w:sz w:val="24"/>
              </w:rPr>
            </w:pPr>
            <w:r>
              <w:rPr>
                <w:rFonts w:hint="eastAsia" w:ascii="宋体" w:hAnsi="宋体" w:cs="宋体"/>
                <w:sz w:val="24"/>
              </w:rPr>
              <w:t>设置日志检索条件时，检索条件可根据历史信息自动弹出，即输入检索条件时支持智能联想；（以上参数提供Web配置界面截图）</w:t>
            </w:r>
          </w:p>
        </w:tc>
      </w:tr>
      <w:tr w14:paraId="4A6A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continue"/>
            <w:vAlign w:val="center"/>
          </w:tcPr>
          <w:p w14:paraId="78418387">
            <w:pPr>
              <w:widowControl/>
              <w:adjustRightInd/>
              <w:jc w:val="left"/>
              <w:rPr>
                <w:rFonts w:ascii="宋体" w:hAnsi="宋体" w:cs="宋体"/>
                <w:sz w:val="24"/>
              </w:rPr>
            </w:pPr>
          </w:p>
        </w:tc>
        <w:tc>
          <w:tcPr>
            <w:tcW w:w="7585" w:type="dxa"/>
            <w:shd w:val="clear" w:color="auto" w:fill="auto"/>
            <w:vAlign w:val="center"/>
          </w:tcPr>
          <w:p w14:paraId="2C68A828">
            <w:pPr>
              <w:widowControl/>
              <w:adjustRightInd/>
              <w:jc w:val="left"/>
              <w:rPr>
                <w:rFonts w:ascii="宋体" w:hAnsi="宋体" w:cs="宋体"/>
                <w:sz w:val="24"/>
              </w:rPr>
            </w:pPr>
            <w:r>
              <w:rPr>
                <w:rFonts w:hint="eastAsia" w:ascii="宋体" w:hAnsi="宋体" w:cs="宋体"/>
                <w:sz w:val="24"/>
              </w:rPr>
              <w:t>支持告警日志按规则组搜索，支持的规则组包括SQL注入、漏洞攻击等。</w:t>
            </w:r>
          </w:p>
        </w:tc>
      </w:tr>
      <w:tr w14:paraId="24CF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0" w:type="dxa"/>
            <w:vMerge w:val="restart"/>
            <w:shd w:val="clear" w:color="auto" w:fill="auto"/>
            <w:vAlign w:val="center"/>
          </w:tcPr>
          <w:p w14:paraId="4E691AA6">
            <w:pPr>
              <w:widowControl/>
              <w:adjustRightInd/>
              <w:jc w:val="left"/>
              <w:rPr>
                <w:rFonts w:ascii="宋体" w:hAnsi="宋体" w:cs="宋体"/>
                <w:sz w:val="24"/>
              </w:rPr>
            </w:pPr>
            <w:r>
              <w:rPr>
                <w:rFonts w:hint="eastAsia" w:ascii="宋体" w:hAnsi="宋体" w:cs="宋体"/>
                <w:sz w:val="24"/>
              </w:rPr>
              <w:t>统计报表</w:t>
            </w:r>
          </w:p>
        </w:tc>
        <w:tc>
          <w:tcPr>
            <w:tcW w:w="7585" w:type="dxa"/>
            <w:shd w:val="clear" w:color="auto" w:fill="auto"/>
            <w:vAlign w:val="center"/>
          </w:tcPr>
          <w:p w14:paraId="6C3B93BC">
            <w:pPr>
              <w:widowControl/>
              <w:adjustRightInd/>
              <w:jc w:val="left"/>
              <w:rPr>
                <w:rFonts w:ascii="宋体" w:hAnsi="宋体" w:cs="宋体"/>
                <w:sz w:val="24"/>
              </w:rPr>
            </w:pPr>
            <w:r>
              <w:fldChar w:fldCharType="begin"/>
            </w:r>
            <w:r>
              <w:instrText xml:space="preserve"> HYPERLINK "file:///C:\\Users\\ASUS\\Desktop\\数据处理.xlsx" \l "RANGE!_SOX、等级保护合规多维度" </w:instrText>
            </w:r>
            <w:r>
              <w:fldChar w:fldCharType="separate"/>
            </w:r>
            <w:r>
              <w:rPr>
                <w:rFonts w:hint="eastAsia" w:ascii="宋体" w:hAnsi="宋体" w:cs="宋体"/>
                <w:sz w:val="24"/>
              </w:rPr>
              <w:t>报表支持严格按照塞班斯（SOX）法案、等级保护标准要求生成多维度综合报告；</w:t>
            </w:r>
            <w:r>
              <w:rPr>
                <w:rFonts w:hint="eastAsia" w:ascii="宋体" w:hAnsi="宋体" w:cs="宋体"/>
                <w:sz w:val="24"/>
              </w:rPr>
              <w:fldChar w:fldCharType="end"/>
            </w:r>
          </w:p>
        </w:tc>
      </w:tr>
      <w:tr w14:paraId="0B36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0" w:type="dxa"/>
            <w:vMerge w:val="continue"/>
            <w:shd w:val="clear" w:color="auto" w:fill="auto"/>
            <w:vAlign w:val="center"/>
          </w:tcPr>
          <w:p w14:paraId="1BD29AD2">
            <w:pPr>
              <w:widowControl/>
              <w:adjustRightInd/>
              <w:jc w:val="left"/>
              <w:rPr>
                <w:rFonts w:ascii="宋体" w:hAnsi="宋体" w:cs="宋体"/>
                <w:sz w:val="24"/>
              </w:rPr>
            </w:pPr>
          </w:p>
        </w:tc>
        <w:tc>
          <w:tcPr>
            <w:tcW w:w="7585" w:type="dxa"/>
            <w:shd w:val="clear" w:color="auto" w:fill="auto"/>
            <w:vAlign w:val="center"/>
          </w:tcPr>
          <w:p w14:paraId="6FE0A2CA">
            <w:pPr>
              <w:widowControl/>
              <w:adjustRightInd/>
              <w:jc w:val="left"/>
              <w:rPr>
                <w:rFonts w:ascii="宋体" w:hAnsi="宋体" w:cs="宋体"/>
                <w:sz w:val="24"/>
              </w:rPr>
            </w:pPr>
            <w:r>
              <w:rPr>
                <w:rFonts w:hint="eastAsia" w:ascii="宋体" w:hAnsi="宋体" w:cs="宋体"/>
                <w:sz w:val="24"/>
              </w:rPr>
              <w:t>支持自定义报表，自定义报表支持告警名称、告警等级、操作类型、操作系统用户名、数据库名/实例名、主机名、数据库账号、客户端IP、客户端工具、数据库类型、客户端端口11种统计维度，支持来自审计日志、告警日志、会话日志的29种统计指标，根据以上条件进行灵活选择后生成报表。（以上参数提供Web配置界面截图）</w:t>
            </w:r>
          </w:p>
        </w:tc>
      </w:tr>
      <w:tr w14:paraId="6D35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10" w:type="dxa"/>
            <w:shd w:val="clear" w:color="auto" w:fill="auto"/>
            <w:vAlign w:val="center"/>
          </w:tcPr>
          <w:p w14:paraId="71356839">
            <w:pPr>
              <w:widowControl/>
              <w:adjustRightInd/>
              <w:jc w:val="left"/>
              <w:rPr>
                <w:rFonts w:ascii="宋体" w:hAnsi="宋体" w:cs="宋体"/>
                <w:sz w:val="24"/>
              </w:rPr>
            </w:pPr>
            <w:r>
              <w:rPr>
                <w:rFonts w:hint="eastAsia" w:ascii="宋体" w:hAnsi="宋体" w:cs="宋体"/>
                <w:sz w:val="24"/>
              </w:rPr>
              <w:t>模型分析</w:t>
            </w:r>
          </w:p>
        </w:tc>
        <w:tc>
          <w:tcPr>
            <w:tcW w:w="7585" w:type="dxa"/>
            <w:shd w:val="clear" w:color="auto" w:fill="auto"/>
            <w:vAlign w:val="center"/>
          </w:tcPr>
          <w:p w14:paraId="00858B7C">
            <w:pPr>
              <w:widowControl/>
              <w:adjustRightInd/>
              <w:jc w:val="left"/>
              <w:rPr>
                <w:rFonts w:ascii="宋体" w:hAnsi="宋体" w:cs="宋体"/>
                <w:sz w:val="24"/>
              </w:rPr>
            </w:pPr>
            <w:r>
              <w:rPr>
                <w:rFonts w:hint="eastAsia" w:ascii="宋体" w:hAnsi="宋体" w:cs="宋体"/>
                <w:sz w:val="24"/>
              </w:rPr>
              <w:t>◆可依据客户端工具名、数据库用户名、客户端IP、操作系统用户名、客户端主机名、数据库名、操作类型、服务器IP等配置行为模型，并可查看相应告警日志。（提供带有CMA或CNAS或CAL标识国家认证认可的第三方检测机构出具检测报告，检测报告需提供原件扫描件或复印件）</w:t>
            </w:r>
          </w:p>
        </w:tc>
      </w:tr>
      <w:tr w14:paraId="4160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0" w:type="dxa"/>
            <w:shd w:val="clear" w:color="auto" w:fill="auto"/>
            <w:vAlign w:val="center"/>
          </w:tcPr>
          <w:p w14:paraId="5B7FC89F">
            <w:pPr>
              <w:widowControl/>
              <w:adjustRightInd/>
              <w:jc w:val="left"/>
              <w:rPr>
                <w:rFonts w:ascii="宋体" w:hAnsi="宋体" w:cs="宋体"/>
                <w:sz w:val="24"/>
              </w:rPr>
            </w:pPr>
            <w:r>
              <w:rPr>
                <w:rFonts w:hint="eastAsia" w:ascii="宋体" w:hAnsi="宋体" w:cs="宋体"/>
                <w:sz w:val="24"/>
              </w:rPr>
              <w:t>数据管理</w:t>
            </w:r>
          </w:p>
        </w:tc>
        <w:tc>
          <w:tcPr>
            <w:tcW w:w="7585" w:type="dxa"/>
            <w:shd w:val="clear" w:color="auto" w:fill="auto"/>
            <w:vAlign w:val="center"/>
          </w:tcPr>
          <w:p w14:paraId="51C0EB97">
            <w:pPr>
              <w:widowControl/>
              <w:adjustRightInd/>
              <w:jc w:val="left"/>
              <w:rPr>
                <w:rFonts w:ascii="宋体" w:hAnsi="宋体" w:cs="宋体"/>
                <w:sz w:val="24"/>
              </w:rPr>
            </w:pPr>
            <w:r>
              <w:rPr>
                <w:rFonts w:hint="eastAsia" w:ascii="宋体" w:hAnsi="宋体" w:cs="宋体"/>
                <w:sz w:val="24"/>
              </w:rPr>
              <w:t>支持将审计日志通过FTP/SFTP的方式外送，支持自定义在线数据备份时间周期，支持恢复数据并展示恢复进度；</w:t>
            </w:r>
          </w:p>
        </w:tc>
      </w:tr>
      <w:tr w14:paraId="0AD1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0" w:type="dxa"/>
            <w:vMerge w:val="restart"/>
            <w:shd w:val="clear" w:color="auto" w:fill="auto"/>
            <w:vAlign w:val="center"/>
          </w:tcPr>
          <w:p w14:paraId="30FDC81E">
            <w:pPr>
              <w:widowControl/>
              <w:adjustRightInd/>
              <w:jc w:val="left"/>
              <w:rPr>
                <w:rFonts w:ascii="宋体" w:hAnsi="宋体" w:cs="宋体"/>
                <w:sz w:val="24"/>
              </w:rPr>
            </w:pPr>
            <w:r>
              <w:rPr>
                <w:rFonts w:hint="eastAsia" w:ascii="宋体" w:hAnsi="宋体" w:cs="宋体"/>
                <w:sz w:val="24"/>
              </w:rPr>
              <w:t>系统管理</w:t>
            </w:r>
          </w:p>
        </w:tc>
        <w:tc>
          <w:tcPr>
            <w:tcW w:w="7585" w:type="dxa"/>
            <w:shd w:val="clear" w:color="auto" w:fill="auto"/>
            <w:vAlign w:val="center"/>
          </w:tcPr>
          <w:p w14:paraId="08A42BA4">
            <w:pPr>
              <w:widowControl/>
              <w:adjustRightInd/>
              <w:jc w:val="left"/>
              <w:rPr>
                <w:rFonts w:ascii="宋体" w:hAnsi="宋体" w:cs="宋体"/>
                <w:sz w:val="24"/>
              </w:rPr>
            </w:pPr>
            <w:r>
              <w:rPr>
                <w:rFonts w:hint="eastAsia" w:ascii="宋体" w:hAnsi="宋体" w:cs="宋体"/>
                <w:sz w:val="24"/>
              </w:rPr>
              <w:t>支持在界面查看告警日志，同时支持邮件、短信、企业微信、钉钉、SNMP、SYSLOG等方式告警；</w:t>
            </w:r>
          </w:p>
        </w:tc>
      </w:tr>
      <w:tr w14:paraId="4DD9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10" w:type="dxa"/>
            <w:vMerge w:val="continue"/>
            <w:vAlign w:val="center"/>
          </w:tcPr>
          <w:p w14:paraId="7B7B31BE">
            <w:pPr>
              <w:widowControl/>
              <w:adjustRightInd/>
              <w:jc w:val="left"/>
              <w:rPr>
                <w:rFonts w:ascii="宋体" w:hAnsi="宋体" w:cs="宋体"/>
                <w:sz w:val="24"/>
              </w:rPr>
            </w:pPr>
          </w:p>
        </w:tc>
        <w:tc>
          <w:tcPr>
            <w:tcW w:w="7585" w:type="dxa"/>
            <w:shd w:val="clear" w:color="auto" w:fill="auto"/>
            <w:vAlign w:val="center"/>
          </w:tcPr>
          <w:p w14:paraId="4EAD24BF">
            <w:pPr>
              <w:widowControl/>
              <w:adjustRightInd/>
              <w:jc w:val="left"/>
              <w:rPr>
                <w:rFonts w:ascii="宋体" w:hAnsi="宋体" w:cs="宋体"/>
                <w:sz w:val="24"/>
              </w:rPr>
            </w:pPr>
            <w:r>
              <w:rPr>
                <w:rFonts w:hint="eastAsia" w:ascii="宋体" w:hAnsi="宋体" w:cs="宋体"/>
                <w:sz w:val="24"/>
              </w:rPr>
              <w:t>支持用户安全配置，包括登录超时、用户锁定（密码尝试次数、锁定时长，以及自定义设置登录尝试密码失败之后，将登录尝试失败计数器重置为0次所需要的时间）、密码策略（密码强度、密码使用期限）等；</w:t>
            </w:r>
          </w:p>
        </w:tc>
      </w:tr>
      <w:tr w14:paraId="4AB6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continue"/>
            <w:vAlign w:val="center"/>
          </w:tcPr>
          <w:p w14:paraId="5006102C">
            <w:pPr>
              <w:widowControl/>
              <w:adjustRightInd/>
              <w:jc w:val="left"/>
              <w:rPr>
                <w:rFonts w:ascii="宋体" w:hAnsi="宋体" w:cs="宋体"/>
                <w:sz w:val="24"/>
              </w:rPr>
            </w:pPr>
          </w:p>
        </w:tc>
        <w:tc>
          <w:tcPr>
            <w:tcW w:w="7585" w:type="dxa"/>
            <w:shd w:val="clear" w:color="auto" w:fill="auto"/>
            <w:vAlign w:val="center"/>
          </w:tcPr>
          <w:p w14:paraId="3438D23A">
            <w:pPr>
              <w:widowControl/>
              <w:adjustRightInd/>
              <w:jc w:val="left"/>
              <w:rPr>
                <w:rFonts w:ascii="宋体" w:hAnsi="宋体" w:cs="宋体"/>
                <w:sz w:val="24"/>
              </w:rPr>
            </w:pPr>
            <w:r>
              <w:rPr>
                <w:rFonts w:hint="eastAsia" w:ascii="宋体" w:hAnsi="宋体" w:cs="宋体"/>
                <w:sz w:val="24"/>
              </w:rPr>
              <w:t>支持记录系统自身报表外送、短信通知等自动触发操作行为，留存操作日志</w:t>
            </w:r>
          </w:p>
        </w:tc>
      </w:tr>
      <w:tr w14:paraId="5B26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10" w:type="dxa"/>
            <w:vMerge w:val="restart"/>
            <w:shd w:val="clear" w:color="auto" w:fill="auto"/>
            <w:vAlign w:val="center"/>
          </w:tcPr>
          <w:p w14:paraId="6200F4F8">
            <w:pPr>
              <w:widowControl/>
              <w:adjustRightInd/>
              <w:jc w:val="left"/>
              <w:rPr>
                <w:rFonts w:ascii="宋体" w:hAnsi="宋体" w:cs="宋体"/>
                <w:sz w:val="24"/>
              </w:rPr>
            </w:pPr>
            <w:r>
              <w:rPr>
                <w:rFonts w:hint="eastAsia" w:ascii="宋体" w:hAnsi="宋体" w:cs="宋体"/>
                <w:sz w:val="24"/>
              </w:rPr>
              <w:t>Agent管理</w:t>
            </w:r>
          </w:p>
        </w:tc>
        <w:tc>
          <w:tcPr>
            <w:tcW w:w="7585" w:type="dxa"/>
            <w:shd w:val="clear" w:color="auto" w:fill="auto"/>
            <w:vAlign w:val="center"/>
          </w:tcPr>
          <w:p w14:paraId="1E7BEF23">
            <w:pPr>
              <w:widowControl/>
              <w:adjustRightInd/>
              <w:jc w:val="left"/>
              <w:rPr>
                <w:rFonts w:ascii="宋体" w:hAnsi="宋体" w:cs="宋体"/>
                <w:sz w:val="24"/>
              </w:rPr>
            </w:pPr>
            <w:r>
              <w:rPr>
                <w:rFonts w:ascii="宋体" w:hAnsi="宋体" w:cs="宋体"/>
                <w:sz w:val="24"/>
              </w:rPr>
              <w:t>◆</w:t>
            </w:r>
            <w:r>
              <w:rPr>
                <w:rFonts w:hint="eastAsia" w:ascii="宋体" w:hAnsi="宋体" w:cs="宋体"/>
                <w:sz w:val="24"/>
              </w:rPr>
              <w:t>可监控Agent的转发速率，以及Agent所在数据库服务器的CPU、内存利用率，并可设置CPU、内存利用率的上限阈值，超阈值时Agent将自动停止转发数据。（提供带有CMA或CNAS或CAL标识国家认证认可的第三方检测机构出具检测报告，检测报告需提供原件扫描件或复印件）</w:t>
            </w:r>
          </w:p>
        </w:tc>
      </w:tr>
      <w:tr w14:paraId="1BE2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0" w:type="dxa"/>
            <w:vMerge w:val="continue"/>
            <w:vAlign w:val="center"/>
          </w:tcPr>
          <w:p w14:paraId="2F0B72D8">
            <w:pPr>
              <w:widowControl/>
              <w:adjustRightInd/>
              <w:jc w:val="left"/>
              <w:rPr>
                <w:rFonts w:ascii="宋体" w:hAnsi="宋体" w:cs="宋体"/>
                <w:sz w:val="24"/>
              </w:rPr>
            </w:pPr>
          </w:p>
        </w:tc>
        <w:tc>
          <w:tcPr>
            <w:tcW w:w="7585" w:type="dxa"/>
            <w:shd w:val="clear" w:color="auto" w:fill="auto"/>
            <w:vAlign w:val="center"/>
          </w:tcPr>
          <w:p w14:paraId="72FA1066">
            <w:pPr>
              <w:widowControl/>
              <w:adjustRightInd/>
              <w:jc w:val="left"/>
              <w:rPr>
                <w:rFonts w:ascii="宋体" w:hAnsi="宋体" w:cs="宋体"/>
                <w:sz w:val="24"/>
              </w:rPr>
            </w:pPr>
            <w:r>
              <w:rPr>
                <w:rFonts w:hint="eastAsia" w:ascii="宋体" w:hAnsi="宋体" w:cs="宋体"/>
                <w:sz w:val="24"/>
              </w:rPr>
              <w:t>Agent支持设置抓包网口和抓包过滤串，且支持按照客户端工具、数据库账号过滤；</w:t>
            </w:r>
          </w:p>
        </w:tc>
      </w:tr>
      <w:tr w14:paraId="455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0" w:type="dxa"/>
            <w:vMerge w:val="continue"/>
            <w:vAlign w:val="center"/>
          </w:tcPr>
          <w:p w14:paraId="24B3869A">
            <w:pPr>
              <w:widowControl/>
              <w:adjustRightInd/>
              <w:jc w:val="left"/>
              <w:rPr>
                <w:rFonts w:ascii="宋体" w:hAnsi="宋体" w:cs="宋体"/>
                <w:sz w:val="24"/>
              </w:rPr>
            </w:pPr>
          </w:p>
        </w:tc>
        <w:tc>
          <w:tcPr>
            <w:tcW w:w="7585" w:type="dxa"/>
            <w:shd w:val="clear" w:color="auto" w:fill="auto"/>
            <w:vAlign w:val="center"/>
          </w:tcPr>
          <w:p w14:paraId="704D123E">
            <w:pPr>
              <w:widowControl/>
              <w:adjustRightInd/>
              <w:jc w:val="left"/>
              <w:rPr>
                <w:rFonts w:ascii="宋体" w:hAnsi="宋体" w:cs="宋体"/>
                <w:sz w:val="24"/>
              </w:rPr>
            </w:pPr>
            <w:r>
              <w:rPr>
                <w:rFonts w:hint="eastAsia" w:ascii="宋体" w:hAnsi="宋体" w:cs="宋体"/>
                <w:sz w:val="24"/>
              </w:rPr>
              <w:t>Agent支持配置回环网口、回环抓包过滤串、回环网口替换IP，支持远程登录审计（远程登录审计开启后，本地流量中的IP端口会被远程连接的IP端口替换）；</w:t>
            </w:r>
          </w:p>
        </w:tc>
      </w:tr>
      <w:tr w14:paraId="2005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shd w:val="clear" w:color="auto" w:fill="auto"/>
            <w:vAlign w:val="center"/>
          </w:tcPr>
          <w:p w14:paraId="66685A5E">
            <w:pPr>
              <w:widowControl/>
              <w:adjustRightInd/>
              <w:jc w:val="left"/>
              <w:rPr>
                <w:rFonts w:ascii="宋体" w:hAnsi="宋体" w:cs="宋体"/>
                <w:sz w:val="24"/>
              </w:rPr>
            </w:pPr>
            <w:r>
              <w:rPr>
                <w:rFonts w:hint="eastAsia" w:ascii="宋体" w:hAnsi="宋体" w:cs="宋体"/>
                <w:sz w:val="24"/>
              </w:rPr>
              <w:t>API化</w:t>
            </w:r>
          </w:p>
        </w:tc>
        <w:tc>
          <w:tcPr>
            <w:tcW w:w="7585" w:type="dxa"/>
            <w:shd w:val="clear" w:color="auto" w:fill="auto"/>
            <w:vAlign w:val="center"/>
          </w:tcPr>
          <w:p w14:paraId="7B78907E">
            <w:pPr>
              <w:widowControl/>
              <w:adjustRightInd/>
              <w:jc w:val="left"/>
              <w:rPr>
                <w:rFonts w:ascii="宋体" w:hAnsi="宋体" w:cs="宋体"/>
                <w:sz w:val="24"/>
              </w:rPr>
            </w:pPr>
            <w:r>
              <w:rPr>
                <w:rFonts w:hint="eastAsia" w:ascii="宋体" w:hAnsi="宋体" w:cs="宋体"/>
                <w:sz w:val="24"/>
              </w:rPr>
              <w:t xml:space="preserve">功能全面API化，支持第三方调用； </w:t>
            </w:r>
          </w:p>
        </w:tc>
      </w:tr>
      <w:tr w14:paraId="0269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0" w:type="dxa"/>
            <w:vMerge w:val="restart"/>
            <w:shd w:val="clear" w:color="auto" w:fill="auto"/>
            <w:vAlign w:val="center"/>
          </w:tcPr>
          <w:p w14:paraId="6D11FCDD">
            <w:pPr>
              <w:widowControl/>
              <w:adjustRightInd/>
              <w:jc w:val="left"/>
              <w:rPr>
                <w:rFonts w:ascii="宋体" w:hAnsi="宋体" w:cs="宋体"/>
                <w:sz w:val="24"/>
              </w:rPr>
            </w:pPr>
            <w:r>
              <w:rPr>
                <w:rFonts w:hint="eastAsia" w:ascii="宋体" w:hAnsi="宋体" w:cs="宋体"/>
                <w:sz w:val="24"/>
              </w:rPr>
              <w:t>易用性</w:t>
            </w:r>
          </w:p>
        </w:tc>
        <w:tc>
          <w:tcPr>
            <w:tcW w:w="7585" w:type="dxa"/>
            <w:shd w:val="clear" w:color="auto" w:fill="auto"/>
            <w:vAlign w:val="center"/>
          </w:tcPr>
          <w:p w14:paraId="62034CD1">
            <w:pPr>
              <w:widowControl/>
              <w:adjustRightInd/>
              <w:jc w:val="left"/>
              <w:rPr>
                <w:rFonts w:ascii="宋体" w:hAnsi="宋体" w:cs="宋体"/>
                <w:sz w:val="24"/>
              </w:rPr>
            </w:pPr>
            <w:r>
              <w:rPr>
                <w:rFonts w:hint="eastAsia" w:ascii="宋体" w:hAnsi="宋体" w:cs="宋体"/>
                <w:sz w:val="24"/>
              </w:rPr>
              <w:t>支持对SQL语句进行业务化翻译，为用户提供SQL语句概述，便于用户理解；</w:t>
            </w:r>
          </w:p>
        </w:tc>
      </w:tr>
      <w:tr w14:paraId="6EC4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0" w:type="dxa"/>
            <w:vMerge w:val="continue"/>
            <w:vAlign w:val="center"/>
          </w:tcPr>
          <w:p w14:paraId="11D075AA">
            <w:pPr>
              <w:widowControl/>
              <w:adjustRightInd/>
              <w:jc w:val="left"/>
              <w:rPr>
                <w:rFonts w:ascii="宋体" w:hAnsi="宋体" w:cs="宋体"/>
                <w:sz w:val="24"/>
              </w:rPr>
            </w:pPr>
          </w:p>
        </w:tc>
        <w:tc>
          <w:tcPr>
            <w:tcW w:w="7585" w:type="dxa"/>
            <w:shd w:val="clear" w:color="auto" w:fill="auto"/>
            <w:vAlign w:val="center"/>
          </w:tcPr>
          <w:p w14:paraId="7BA5CEC2">
            <w:pPr>
              <w:widowControl/>
              <w:adjustRightInd/>
              <w:jc w:val="left"/>
              <w:rPr>
                <w:rFonts w:ascii="宋体" w:hAnsi="宋体" w:cs="宋体"/>
                <w:sz w:val="24"/>
              </w:rPr>
            </w:pPr>
            <w:r>
              <w:rPr>
                <w:rFonts w:hint="eastAsia" w:ascii="宋体" w:hAnsi="宋体" w:cs="宋体"/>
                <w:sz w:val="24"/>
              </w:rPr>
              <w:t>支持LADP认证配置；</w:t>
            </w:r>
          </w:p>
        </w:tc>
      </w:tr>
      <w:tr w14:paraId="5B39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0" w:type="dxa"/>
            <w:vMerge w:val="continue"/>
            <w:vAlign w:val="center"/>
          </w:tcPr>
          <w:p w14:paraId="6428B1F5">
            <w:pPr>
              <w:widowControl/>
              <w:adjustRightInd/>
              <w:jc w:val="left"/>
              <w:rPr>
                <w:rFonts w:ascii="宋体" w:hAnsi="宋体" w:cs="宋体"/>
                <w:sz w:val="24"/>
              </w:rPr>
            </w:pPr>
          </w:p>
        </w:tc>
        <w:tc>
          <w:tcPr>
            <w:tcW w:w="7585" w:type="dxa"/>
            <w:shd w:val="clear" w:color="auto" w:fill="auto"/>
            <w:vAlign w:val="center"/>
          </w:tcPr>
          <w:p w14:paraId="71D28F99">
            <w:pPr>
              <w:widowControl/>
              <w:adjustRightInd/>
              <w:jc w:val="left"/>
              <w:rPr>
                <w:rFonts w:ascii="宋体" w:hAnsi="宋体" w:cs="宋体"/>
                <w:sz w:val="24"/>
              </w:rPr>
            </w:pPr>
            <w:r>
              <w:rPr>
                <w:rFonts w:hint="eastAsia" w:ascii="宋体" w:hAnsi="宋体" w:cs="宋体"/>
                <w:sz w:val="24"/>
              </w:rPr>
              <w:t xml:space="preserve">在页面支持ping、nc、traceroute命令进行连通性测试； </w:t>
            </w:r>
          </w:p>
        </w:tc>
      </w:tr>
      <w:tr w14:paraId="1047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0" w:type="dxa"/>
            <w:vMerge w:val="continue"/>
            <w:vAlign w:val="center"/>
          </w:tcPr>
          <w:p w14:paraId="4BCD43D1">
            <w:pPr>
              <w:widowControl/>
              <w:adjustRightInd/>
              <w:jc w:val="left"/>
              <w:rPr>
                <w:rFonts w:ascii="宋体" w:hAnsi="宋体" w:cs="宋体"/>
                <w:sz w:val="24"/>
              </w:rPr>
            </w:pPr>
          </w:p>
        </w:tc>
        <w:tc>
          <w:tcPr>
            <w:tcW w:w="7585" w:type="dxa"/>
            <w:shd w:val="clear" w:color="auto" w:fill="auto"/>
            <w:vAlign w:val="center"/>
          </w:tcPr>
          <w:p w14:paraId="386400CA">
            <w:pPr>
              <w:widowControl/>
              <w:adjustRightInd/>
              <w:jc w:val="left"/>
              <w:rPr>
                <w:rFonts w:ascii="宋体" w:hAnsi="宋体" w:cs="宋体"/>
                <w:sz w:val="24"/>
              </w:rPr>
            </w:pPr>
            <w:r>
              <w:rPr>
                <w:rFonts w:hint="eastAsia" w:ascii="宋体" w:hAnsi="宋体" w:cs="宋体"/>
                <w:sz w:val="24"/>
              </w:rPr>
              <w:t>具备良好的信息可读性，首页仪表盘中的审计和告警数量归整显示，在中文界面中，以万、亿为取整显示单位，在英文界面中，以 K（kilo）、M(million)、B(billion) 为取整显示单位</w:t>
            </w:r>
          </w:p>
        </w:tc>
      </w:tr>
      <w:tr w14:paraId="0C94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continue"/>
            <w:vAlign w:val="center"/>
          </w:tcPr>
          <w:p w14:paraId="2DAA2D55">
            <w:pPr>
              <w:widowControl/>
              <w:adjustRightInd/>
              <w:jc w:val="left"/>
              <w:rPr>
                <w:rFonts w:ascii="宋体" w:hAnsi="宋体" w:cs="宋体"/>
                <w:sz w:val="24"/>
              </w:rPr>
            </w:pPr>
          </w:p>
        </w:tc>
        <w:tc>
          <w:tcPr>
            <w:tcW w:w="7585" w:type="dxa"/>
            <w:shd w:val="clear" w:color="auto" w:fill="auto"/>
            <w:vAlign w:val="center"/>
          </w:tcPr>
          <w:p w14:paraId="33FE427E">
            <w:pPr>
              <w:widowControl/>
              <w:adjustRightInd/>
              <w:jc w:val="left"/>
              <w:rPr>
                <w:rFonts w:ascii="宋体" w:hAnsi="宋体" w:cs="宋体"/>
                <w:sz w:val="24"/>
              </w:rPr>
            </w:pPr>
            <w:r>
              <w:rPr>
                <w:rFonts w:hint="eastAsia" w:ascii="宋体" w:hAnsi="宋体" w:cs="宋体"/>
                <w:sz w:val="24"/>
              </w:rPr>
              <w:t>支持中英文界面；</w:t>
            </w:r>
          </w:p>
        </w:tc>
      </w:tr>
      <w:tr w14:paraId="3DB1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0" w:type="dxa"/>
            <w:vMerge w:val="restart"/>
            <w:shd w:val="clear" w:color="auto" w:fill="auto"/>
            <w:vAlign w:val="center"/>
          </w:tcPr>
          <w:p w14:paraId="7F375B3D">
            <w:pPr>
              <w:widowControl/>
              <w:adjustRightInd/>
              <w:jc w:val="left"/>
              <w:rPr>
                <w:rFonts w:ascii="宋体" w:hAnsi="宋体" w:cs="宋体"/>
                <w:sz w:val="24"/>
              </w:rPr>
            </w:pPr>
            <w:r>
              <w:rPr>
                <w:rFonts w:hint="eastAsia" w:ascii="宋体" w:hAnsi="宋体" w:cs="宋体"/>
                <w:sz w:val="24"/>
              </w:rPr>
              <w:t>可维护性</w:t>
            </w:r>
          </w:p>
        </w:tc>
        <w:tc>
          <w:tcPr>
            <w:tcW w:w="7585" w:type="dxa"/>
            <w:shd w:val="clear" w:color="auto" w:fill="auto"/>
            <w:vAlign w:val="center"/>
          </w:tcPr>
          <w:p w14:paraId="146C146E">
            <w:pPr>
              <w:widowControl/>
              <w:adjustRightInd/>
              <w:jc w:val="left"/>
              <w:rPr>
                <w:rFonts w:ascii="宋体" w:hAnsi="宋体" w:cs="宋体"/>
                <w:sz w:val="24"/>
              </w:rPr>
            </w:pPr>
            <w:r>
              <w:rPr>
                <w:rFonts w:hint="eastAsia" w:ascii="宋体" w:hAnsi="宋体" w:cs="宋体"/>
                <w:sz w:val="24"/>
              </w:rPr>
              <w:t>内置一键检测功能，可检测设备状态，包括流量、服务状态、设备状态、配置、许可和日志等；</w:t>
            </w:r>
          </w:p>
        </w:tc>
      </w:tr>
      <w:tr w14:paraId="317B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0" w:type="dxa"/>
            <w:vMerge w:val="continue"/>
            <w:vAlign w:val="center"/>
          </w:tcPr>
          <w:p w14:paraId="51630744">
            <w:pPr>
              <w:widowControl/>
              <w:adjustRightInd/>
              <w:jc w:val="left"/>
              <w:rPr>
                <w:rFonts w:ascii="宋体" w:hAnsi="宋体" w:cs="宋体"/>
                <w:sz w:val="24"/>
              </w:rPr>
            </w:pPr>
          </w:p>
        </w:tc>
        <w:tc>
          <w:tcPr>
            <w:tcW w:w="7585" w:type="dxa"/>
            <w:shd w:val="clear" w:color="auto" w:fill="auto"/>
            <w:vAlign w:val="center"/>
          </w:tcPr>
          <w:p w14:paraId="49EC1CFC">
            <w:pPr>
              <w:widowControl/>
              <w:adjustRightInd/>
              <w:jc w:val="left"/>
              <w:rPr>
                <w:rFonts w:ascii="宋体" w:hAnsi="宋体" w:cs="宋体"/>
                <w:sz w:val="24"/>
              </w:rPr>
            </w:pPr>
            <w:r>
              <w:rPr>
                <w:rFonts w:hint="eastAsia" w:ascii="宋体" w:hAnsi="宋体" w:cs="宋体"/>
                <w:sz w:val="24"/>
              </w:rPr>
              <w:t>内置运维终端，可实现日志查看与下载、监控日志、设备状态检测、查看系统资源使用、查看共享内存使用、查看Kafka消费情况、执行SQL语句、执行常用命令、特权运维等；（以上参数提供Web配置界面截图）</w:t>
            </w:r>
          </w:p>
        </w:tc>
      </w:tr>
      <w:tr w14:paraId="1FC7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0" w:type="dxa"/>
            <w:vMerge w:val="continue"/>
            <w:vAlign w:val="center"/>
          </w:tcPr>
          <w:p w14:paraId="7719B209">
            <w:pPr>
              <w:widowControl/>
              <w:adjustRightInd/>
              <w:jc w:val="left"/>
              <w:rPr>
                <w:rFonts w:ascii="宋体" w:hAnsi="宋体" w:cs="宋体"/>
                <w:sz w:val="24"/>
              </w:rPr>
            </w:pPr>
          </w:p>
        </w:tc>
        <w:tc>
          <w:tcPr>
            <w:tcW w:w="7585" w:type="dxa"/>
            <w:shd w:val="clear" w:color="auto" w:fill="auto"/>
            <w:vAlign w:val="center"/>
          </w:tcPr>
          <w:p w14:paraId="526713DE">
            <w:pPr>
              <w:widowControl/>
              <w:adjustRightInd/>
              <w:jc w:val="left"/>
              <w:rPr>
                <w:rFonts w:ascii="宋体" w:hAnsi="宋体" w:cs="宋体"/>
                <w:sz w:val="24"/>
              </w:rPr>
            </w:pPr>
            <w:r>
              <w:rPr>
                <w:rFonts w:hint="eastAsia" w:ascii="宋体" w:hAnsi="宋体" w:cs="宋体"/>
                <w:sz w:val="24"/>
              </w:rPr>
              <w:t>支持系统引擎管理，支持查看引擎运行状态，并支持调整引擎运行参数；</w:t>
            </w:r>
          </w:p>
        </w:tc>
      </w:tr>
    </w:tbl>
    <w:p w14:paraId="62C0F4D8">
      <w:pPr>
        <w:widowControl/>
        <w:adjustRightInd/>
        <w:spacing w:line="360" w:lineRule="auto"/>
        <w:jc w:val="left"/>
        <w:rPr>
          <w:rFonts w:ascii="宋体" w:hAnsi="宋体" w:cs="宋体"/>
          <w:sz w:val="24"/>
        </w:rPr>
      </w:pPr>
    </w:p>
    <w:p w14:paraId="44DABEF2">
      <w:pPr>
        <w:keepNext/>
        <w:keepLines/>
        <w:numPr>
          <w:ilvl w:val="1"/>
          <w:numId w:val="1"/>
        </w:numPr>
        <w:tabs>
          <w:tab w:val="left" w:pos="432"/>
        </w:tabs>
        <w:adjustRightInd/>
        <w:spacing w:line="360" w:lineRule="auto"/>
        <w:jc w:val="left"/>
        <w:outlineLvl w:val="1"/>
        <w:rPr>
          <w:rFonts w:ascii="宋体" w:hAnsi="宋体" w:cs="宋体"/>
          <w:b/>
          <w:bCs/>
          <w:sz w:val="24"/>
          <w:szCs w:val="28"/>
          <w:lang w:val="zh-CN"/>
        </w:rPr>
      </w:pPr>
      <w:r>
        <w:rPr>
          <w:rFonts w:hint="eastAsia" w:ascii="宋体" w:hAnsi="宋体" w:cs="宋体"/>
          <w:b/>
          <w:bCs/>
          <w:sz w:val="24"/>
          <w:szCs w:val="28"/>
          <w:lang w:val="zh-CN"/>
        </w:rPr>
        <w:t>系统部署要求</w:t>
      </w:r>
    </w:p>
    <w:p w14:paraId="39E6498C">
      <w:pPr>
        <w:adjustRightInd/>
        <w:spacing w:line="360" w:lineRule="auto"/>
        <w:ind w:firstLine="480" w:firstLineChars="200"/>
        <w:rPr>
          <w:rFonts w:ascii="宋体" w:hAnsi="宋体" w:cs="宋体"/>
          <w:sz w:val="24"/>
        </w:rPr>
      </w:pPr>
      <w:r>
        <w:rPr>
          <w:rFonts w:hint="eastAsia" w:ascii="宋体" w:hAnsi="宋体" w:cs="宋体"/>
          <w:sz w:val="24"/>
        </w:rPr>
        <w:t>本项目系统建设需要按照杭州市数据资源管理局等相关部门的信创要求，完成系统部署实施。</w:t>
      </w:r>
    </w:p>
    <w:p w14:paraId="1911C48B">
      <w:pPr>
        <w:keepNext/>
        <w:keepLines/>
        <w:numPr>
          <w:ilvl w:val="1"/>
          <w:numId w:val="1"/>
        </w:numPr>
        <w:tabs>
          <w:tab w:val="left" w:pos="432"/>
        </w:tabs>
        <w:adjustRightInd/>
        <w:spacing w:line="360" w:lineRule="auto"/>
        <w:jc w:val="left"/>
        <w:outlineLvl w:val="1"/>
        <w:rPr>
          <w:rFonts w:ascii="宋体" w:hAnsi="宋体" w:cs="宋体"/>
          <w:b/>
          <w:bCs/>
          <w:sz w:val="24"/>
          <w:szCs w:val="28"/>
          <w:lang w:val="zh-CN"/>
        </w:rPr>
      </w:pPr>
      <w:r>
        <w:rPr>
          <w:rFonts w:hint="eastAsia" w:ascii="宋体" w:hAnsi="宋体" w:cs="宋体"/>
          <w:b/>
          <w:bCs/>
          <w:sz w:val="24"/>
          <w:szCs w:val="28"/>
          <w:lang w:val="zh-CN"/>
        </w:rPr>
        <w:t>技术要求</w:t>
      </w:r>
    </w:p>
    <w:p w14:paraId="5644F7A1">
      <w:pPr>
        <w:keepNext/>
        <w:keepLines/>
        <w:numPr>
          <w:ilvl w:val="2"/>
          <w:numId w:val="1"/>
        </w:numPr>
        <w:tabs>
          <w:tab w:val="left" w:pos="432"/>
        </w:tabs>
        <w:adjustRightInd/>
        <w:spacing w:before="260" w:after="260" w:line="416" w:lineRule="auto"/>
        <w:outlineLvl w:val="2"/>
        <w:rPr>
          <w:rFonts w:ascii="宋体" w:hAnsi="宋体" w:cs="宋体"/>
          <w:b/>
          <w:bCs/>
          <w:sz w:val="24"/>
          <w:szCs w:val="28"/>
        </w:rPr>
      </w:pPr>
      <w:r>
        <w:rPr>
          <w:rFonts w:hint="eastAsia" w:ascii="宋体" w:hAnsi="宋体" w:cs="宋体"/>
          <w:b/>
          <w:bCs/>
          <w:sz w:val="24"/>
          <w:szCs w:val="28"/>
        </w:rPr>
        <w:t>性能要求</w:t>
      </w:r>
    </w:p>
    <w:p w14:paraId="2B7475DE">
      <w:pPr>
        <w:numPr>
          <w:ilvl w:val="255"/>
          <w:numId w:val="0"/>
        </w:numPr>
        <w:adjustRightInd/>
        <w:snapToGrid w:val="0"/>
        <w:spacing w:line="360" w:lineRule="auto"/>
        <w:ind w:firstLine="480" w:firstLineChars="200"/>
        <w:rPr>
          <w:rFonts w:ascii="宋体" w:hAnsi="宋体" w:cs="宋体"/>
          <w:sz w:val="24"/>
        </w:rPr>
      </w:pPr>
      <w:r>
        <w:rPr>
          <w:rFonts w:hint="eastAsia" w:ascii="宋体" w:hAnsi="宋体" w:cs="宋体"/>
          <w:sz w:val="24"/>
        </w:rPr>
        <w:t>考虑到应用的整体规范、方便易用、稳定可靠等特性，在功能和性能上对应用提出如下需求：</w:t>
      </w:r>
    </w:p>
    <w:p w14:paraId="2D46BB17">
      <w:pPr>
        <w:numPr>
          <w:ilvl w:val="255"/>
          <w:numId w:val="0"/>
        </w:numPr>
        <w:adjustRightInd/>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应具有海量数据存储和管理能力。</w:t>
      </w:r>
    </w:p>
    <w:p w14:paraId="57AF8FC7">
      <w:pPr>
        <w:numPr>
          <w:ilvl w:val="255"/>
          <w:numId w:val="0"/>
        </w:numPr>
        <w:adjustRightInd/>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应具有良好的并发响应能力，支持200用户并发，页面响应不超过3s。</w:t>
      </w:r>
    </w:p>
    <w:p w14:paraId="4CCD2026">
      <w:pPr>
        <w:numPr>
          <w:ilvl w:val="255"/>
          <w:numId w:val="0"/>
        </w:numPr>
        <w:adjustRightInd/>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应具有完备的信息安全体系，能对登录用户的身份进行安全认证。</w:t>
      </w:r>
    </w:p>
    <w:p w14:paraId="3B6C9AB3">
      <w:pPr>
        <w:keepNext/>
        <w:keepLines/>
        <w:numPr>
          <w:ilvl w:val="2"/>
          <w:numId w:val="1"/>
        </w:numPr>
        <w:tabs>
          <w:tab w:val="left" w:pos="432"/>
        </w:tabs>
        <w:adjustRightInd/>
        <w:spacing w:before="260" w:after="260" w:line="416" w:lineRule="auto"/>
        <w:outlineLvl w:val="2"/>
        <w:rPr>
          <w:rFonts w:ascii="宋体" w:hAnsi="宋体" w:cs="宋体"/>
          <w:b/>
          <w:bCs/>
          <w:sz w:val="24"/>
          <w:szCs w:val="28"/>
        </w:rPr>
      </w:pPr>
      <w:r>
        <w:rPr>
          <w:rFonts w:hint="eastAsia" w:ascii="宋体" w:hAnsi="宋体" w:cs="宋体"/>
          <w:b/>
          <w:bCs/>
          <w:sz w:val="24"/>
          <w:szCs w:val="28"/>
        </w:rPr>
        <w:t>稳定（可靠）性</w:t>
      </w:r>
    </w:p>
    <w:p w14:paraId="6903350C">
      <w:pPr>
        <w:adjustRightInd/>
        <w:spacing w:line="360" w:lineRule="auto"/>
        <w:ind w:firstLine="480" w:firstLineChars="200"/>
        <w:rPr>
          <w:rFonts w:ascii="宋体" w:hAnsi="宋体" w:cs="宋体"/>
          <w:sz w:val="24"/>
        </w:rPr>
      </w:pPr>
      <w:r>
        <w:rPr>
          <w:rFonts w:hint="eastAsia" w:ascii="宋体" w:hAnsi="宋体" w:cs="宋体"/>
          <w:sz w:val="24"/>
        </w:rPr>
        <w:t>数据的定期安全备份，防止误操作，权限设置合理，网络、数据安全，有完善的灾难应急功能和恢复能力，系统应提供7×24小时的连续运行，平均年故障时间：&lt;1天，平均故障修复时间：&lt;30分钟；各业务系统对用户的操作顺序、输入的数据进行正确性检查，并以显著方式提示错误信息。系统需有出错处理机制，当系统运行过程中发生错误时，系统将明确提示错误信息并指导用户按照系统错误处理手册进行处理。系统应提供运行监视和故障恢复机制，建立系统运行日志文件，能跟踪系统的所有操作。</w:t>
      </w:r>
    </w:p>
    <w:p w14:paraId="5AF15BD4">
      <w:pPr>
        <w:keepNext/>
        <w:keepLines/>
        <w:numPr>
          <w:ilvl w:val="2"/>
          <w:numId w:val="1"/>
        </w:numPr>
        <w:tabs>
          <w:tab w:val="left" w:pos="432"/>
        </w:tabs>
        <w:adjustRightInd/>
        <w:spacing w:before="260" w:after="260" w:line="416" w:lineRule="auto"/>
        <w:outlineLvl w:val="2"/>
        <w:rPr>
          <w:rFonts w:ascii="宋体" w:hAnsi="宋体" w:cs="宋体"/>
          <w:b/>
          <w:bCs/>
          <w:sz w:val="24"/>
          <w:szCs w:val="28"/>
        </w:rPr>
      </w:pPr>
      <w:r>
        <w:rPr>
          <w:rFonts w:hint="eastAsia" w:ascii="宋体" w:hAnsi="宋体" w:cs="宋体"/>
          <w:b/>
          <w:bCs/>
          <w:sz w:val="24"/>
          <w:szCs w:val="28"/>
        </w:rPr>
        <w:t>系统健壮性</w:t>
      </w:r>
    </w:p>
    <w:p w14:paraId="74BE0F2A">
      <w:pPr>
        <w:tabs>
          <w:tab w:val="left" w:pos="851"/>
        </w:tabs>
        <w:spacing w:line="360" w:lineRule="auto"/>
        <w:ind w:firstLine="480" w:firstLineChars="200"/>
        <w:rPr>
          <w:rFonts w:ascii="宋体" w:hAnsi="宋体" w:cs="宋体"/>
          <w:sz w:val="24"/>
        </w:rPr>
      </w:pPr>
      <w:r>
        <w:rPr>
          <w:rFonts w:hint="eastAsia" w:ascii="宋体" w:hAnsi="宋体" w:cs="宋体"/>
          <w:sz w:val="24"/>
        </w:rPr>
        <w:t>所有操作必须返回成功或失败信息（要求返回原因的，系统能返回失败 原因）；某个应用进程或模块的故障不能导致其他进程或模块不可用，不会导致 系统崩溃；发生用户操作错误或失败的情况下，系统能够继续运行，功能不受影响。</w:t>
      </w:r>
    </w:p>
    <w:p w14:paraId="3B5662C5">
      <w:pPr>
        <w:keepNext/>
        <w:keepLines/>
        <w:numPr>
          <w:ilvl w:val="2"/>
          <w:numId w:val="1"/>
        </w:numPr>
        <w:tabs>
          <w:tab w:val="left" w:pos="432"/>
        </w:tabs>
        <w:adjustRightInd/>
        <w:spacing w:before="260" w:after="260" w:line="416" w:lineRule="auto"/>
        <w:outlineLvl w:val="2"/>
        <w:rPr>
          <w:rFonts w:ascii="宋体" w:hAnsi="宋体" w:cs="宋体"/>
          <w:b/>
          <w:bCs/>
          <w:sz w:val="24"/>
          <w:szCs w:val="28"/>
        </w:rPr>
      </w:pPr>
      <w:r>
        <w:rPr>
          <w:rFonts w:hint="eastAsia" w:ascii="宋体" w:hAnsi="宋体" w:cs="宋体"/>
          <w:b/>
          <w:bCs/>
          <w:sz w:val="24"/>
          <w:szCs w:val="28"/>
        </w:rPr>
        <w:t>易用性</w:t>
      </w:r>
    </w:p>
    <w:p w14:paraId="652A7BE8">
      <w:pPr>
        <w:adjustRightInd/>
        <w:spacing w:line="360" w:lineRule="auto"/>
        <w:ind w:firstLine="480" w:firstLineChars="200"/>
        <w:rPr>
          <w:rFonts w:ascii="宋体" w:hAnsi="宋体" w:cs="宋体"/>
          <w:sz w:val="24"/>
        </w:rPr>
      </w:pPr>
      <w:r>
        <w:rPr>
          <w:rFonts w:hint="eastAsia" w:ascii="宋体" w:hAnsi="宋体" w:cs="宋体"/>
          <w:sz w:val="24"/>
        </w:rPr>
        <w:t>系统用户界面友好，功能模块可根据用户角色不同、用户的工作任务不同而实现自由定制。应兼容主流浏览器版本，包括但不限于：IE、360、QQ、Firefox、Google、统信浏览器等。</w:t>
      </w:r>
    </w:p>
    <w:p w14:paraId="2855E475">
      <w:pPr>
        <w:keepNext/>
        <w:keepLines/>
        <w:numPr>
          <w:ilvl w:val="2"/>
          <w:numId w:val="1"/>
        </w:numPr>
        <w:tabs>
          <w:tab w:val="left" w:pos="432"/>
        </w:tabs>
        <w:adjustRightInd/>
        <w:spacing w:before="260" w:after="260" w:line="416" w:lineRule="auto"/>
        <w:outlineLvl w:val="2"/>
        <w:rPr>
          <w:rFonts w:ascii="宋体" w:hAnsi="宋体" w:cs="宋体"/>
          <w:b/>
          <w:bCs/>
          <w:sz w:val="24"/>
          <w:szCs w:val="28"/>
        </w:rPr>
      </w:pPr>
      <w:r>
        <w:rPr>
          <w:rFonts w:hint="eastAsia" w:ascii="宋体" w:hAnsi="宋体" w:cs="宋体"/>
          <w:b/>
          <w:bCs/>
          <w:sz w:val="24"/>
          <w:szCs w:val="28"/>
        </w:rPr>
        <w:t>系统合规性</w:t>
      </w:r>
    </w:p>
    <w:p w14:paraId="61142857">
      <w:pPr>
        <w:adjustRightInd/>
        <w:spacing w:line="360" w:lineRule="auto"/>
        <w:ind w:firstLine="480" w:firstLineChars="200"/>
        <w:rPr>
          <w:rFonts w:ascii="宋体" w:hAnsi="宋体" w:cs="宋体"/>
          <w:sz w:val="24"/>
        </w:rPr>
      </w:pPr>
      <w:r>
        <w:rPr>
          <w:rFonts w:hint="eastAsia" w:ascii="宋体" w:hAnsi="宋体" w:cs="宋体"/>
          <w:sz w:val="24"/>
        </w:rPr>
        <w:t xml:space="preserve">系统开发测试应符合相关行业规范，软件代码应满足甲方审查规范；除本文专门约定外，系统开发实施及最终产品应符合最新国家标准或更高的国际工业标准；系统需要满足服务器、操作系统、数据库、安全机制等方面的国产化要求。 </w:t>
      </w:r>
    </w:p>
    <w:p w14:paraId="7D5EFE34">
      <w:pPr>
        <w:keepNext/>
        <w:keepLines/>
        <w:numPr>
          <w:ilvl w:val="2"/>
          <w:numId w:val="1"/>
        </w:numPr>
        <w:tabs>
          <w:tab w:val="left" w:pos="432"/>
        </w:tabs>
        <w:spacing w:beforeLines="50" w:afterLines="50" w:line="360" w:lineRule="auto"/>
        <w:outlineLvl w:val="2"/>
        <w:rPr>
          <w:rFonts w:ascii="宋体" w:hAnsi="宋体" w:eastAsia="仿宋" w:cs="宋体"/>
          <w:b/>
          <w:bCs/>
          <w:kern w:val="0"/>
          <w:sz w:val="32"/>
          <w:szCs w:val="32"/>
        </w:rPr>
      </w:pPr>
      <w:r>
        <w:rPr>
          <w:rFonts w:hint="eastAsia" w:ascii="宋体" w:hAnsi="宋体" w:eastAsia="仿宋" w:cs="宋体"/>
          <w:b/>
          <w:bCs/>
          <w:kern w:val="0"/>
          <w:sz w:val="32"/>
          <w:szCs w:val="32"/>
        </w:rPr>
        <w:t>系统可维护性</w:t>
      </w:r>
    </w:p>
    <w:p w14:paraId="4B5960EB">
      <w:pPr>
        <w:tabs>
          <w:tab w:val="left" w:pos="851"/>
        </w:tabs>
        <w:spacing w:line="360" w:lineRule="auto"/>
        <w:ind w:firstLine="480" w:firstLineChars="200"/>
        <w:rPr>
          <w:rFonts w:ascii="宋体" w:hAnsi="宋体" w:cs="宋体"/>
          <w:sz w:val="24"/>
        </w:rPr>
      </w:pPr>
      <w:r>
        <w:rPr>
          <w:rFonts w:hint="eastAsia" w:ascii="宋体" w:hAnsi="宋体" w:cs="宋体"/>
          <w:sz w:val="24"/>
        </w:rPr>
        <w:t xml:space="preserve">系统备份数据视数据量而定，一般不超过 3 个小时；系统停机重新部署数据模型的时间不超过 1 小时；系统停机部署除数据模型以外配置的时间不超过半小时；系统重启所有相关服务的时间不超过半小时；一个掌握基本的数据库和操作系统知识、技能的专职系统管理员，成功解决一个系统故障或技术问题的时间平均不超过 2 小时（硬件更换、系统停机部署、操作系统重装等操作时间可能较长，一般会超过 2 小时， 可不包括该需求的限制之内），不包含需要修改程序代码的问题。 </w:t>
      </w:r>
    </w:p>
    <w:p w14:paraId="4D6DE12C">
      <w:pPr>
        <w:keepNext/>
        <w:keepLines/>
        <w:numPr>
          <w:ilvl w:val="2"/>
          <w:numId w:val="1"/>
        </w:numPr>
        <w:tabs>
          <w:tab w:val="left" w:pos="432"/>
        </w:tabs>
        <w:spacing w:beforeLines="50" w:afterLines="50" w:line="360" w:lineRule="auto"/>
        <w:ind w:left="720" w:hanging="720"/>
        <w:outlineLvl w:val="2"/>
        <w:rPr>
          <w:rFonts w:ascii="宋体" w:hAnsi="宋体" w:eastAsia="仿宋" w:cs="宋体"/>
          <w:b/>
          <w:bCs/>
          <w:kern w:val="0"/>
          <w:sz w:val="32"/>
          <w:szCs w:val="32"/>
        </w:rPr>
      </w:pPr>
      <w:r>
        <w:rPr>
          <w:rFonts w:hint="eastAsia" w:ascii="宋体" w:hAnsi="宋体" w:eastAsia="仿宋" w:cs="宋体"/>
          <w:b/>
          <w:bCs/>
          <w:kern w:val="0"/>
          <w:sz w:val="32"/>
          <w:szCs w:val="32"/>
        </w:rPr>
        <w:t>系统开放性</w:t>
      </w:r>
    </w:p>
    <w:p w14:paraId="7809588D">
      <w:pPr>
        <w:tabs>
          <w:tab w:val="left" w:pos="851"/>
        </w:tabs>
        <w:spacing w:line="360" w:lineRule="auto"/>
        <w:ind w:firstLine="480" w:firstLineChars="200"/>
        <w:rPr>
          <w:rFonts w:ascii="宋体" w:hAnsi="宋体" w:cs="宋体"/>
          <w:sz w:val="24"/>
        </w:rPr>
      </w:pPr>
      <w:r>
        <w:rPr>
          <w:rFonts w:hint="eastAsia" w:ascii="宋体" w:hAnsi="宋体" w:cs="宋体"/>
          <w:sz w:val="24"/>
        </w:rPr>
        <w:t>系统具有适应性和可扩展性，扩充、维护和使用方便；</w:t>
      </w:r>
    </w:p>
    <w:p w14:paraId="7B4E8A6D">
      <w:pPr>
        <w:tabs>
          <w:tab w:val="left" w:pos="851"/>
        </w:tabs>
        <w:spacing w:line="360" w:lineRule="auto"/>
        <w:ind w:firstLine="480" w:firstLineChars="200"/>
        <w:rPr>
          <w:rFonts w:ascii="宋体" w:hAnsi="宋体" w:cs="宋体"/>
          <w:sz w:val="24"/>
        </w:rPr>
      </w:pPr>
      <w:r>
        <w:rPr>
          <w:rFonts w:hint="eastAsia" w:ascii="宋体" w:hAnsi="宋体" w:cs="宋体"/>
          <w:sz w:val="24"/>
        </w:rPr>
        <w:t>系统具有良好的灵活性，自定义功能齐全、根据企业需求提供二次开发环 境与工具，并按用户需求进行二次开发；</w:t>
      </w:r>
    </w:p>
    <w:p w14:paraId="3DED45F2">
      <w:pPr>
        <w:tabs>
          <w:tab w:val="left" w:pos="851"/>
        </w:tabs>
        <w:spacing w:line="360" w:lineRule="auto"/>
        <w:ind w:firstLine="480" w:firstLineChars="200"/>
        <w:rPr>
          <w:rFonts w:ascii="宋体" w:hAnsi="宋体" w:cs="宋体"/>
          <w:sz w:val="24"/>
        </w:rPr>
      </w:pPr>
      <w:r>
        <w:rPr>
          <w:rFonts w:hint="eastAsia" w:ascii="宋体" w:hAnsi="宋体" w:cs="宋体"/>
          <w:sz w:val="24"/>
        </w:rPr>
        <w:t>系统具有与其他异构系统集成的能力；</w:t>
      </w:r>
    </w:p>
    <w:p w14:paraId="2EAC9AEE">
      <w:pPr>
        <w:tabs>
          <w:tab w:val="left" w:pos="851"/>
        </w:tabs>
        <w:spacing w:line="360" w:lineRule="auto"/>
        <w:ind w:firstLine="480" w:firstLineChars="200"/>
        <w:rPr>
          <w:rFonts w:ascii="宋体" w:hAnsi="宋体" w:cs="宋体"/>
          <w:sz w:val="24"/>
        </w:rPr>
      </w:pPr>
      <w:r>
        <w:rPr>
          <w:rFonts w:hint="eastAsia" w:ascii="宋体" w:hAnsi="宋体" w:cs="宋体"/>
          <w:sz w:val="24"/>
        </w:rPr>
        <w:t>系统基于成熟的技术架构（例如 J2EE 等），具有可伸缩、可靠并与其他 企业级应用兼容的特性；</w:t>
      </w:r>
    </w:p>
    <w:p w14:paraId="5274A7F8">
      <w:pPr>
        <w:tabs>
          <w:tab w:val="left" w:pos="851"/>
        </w:tabs>
        <w:spacing w:line="360" w:lineRule="auto"/>
        <w:ind w:firstLine="480" w:firstLineChars="200"/>
        <w:rPr>
          <w:rFonts w:ascii="宋体" w:hAnsi="宋体" w:cs="宋体"/>
          <w:sz w:val="24"/>
        </w:rPr>
      </w:pPr>
      <w:r>
        <w:rPr>
          <w:rFonts w:hint="eastAsia" w:ascii="宋体" w:hAnsi="宋体" w:cs="宋体"/>
          <w:sz w:val="24"/>
        </w:rPr>
        <w:t>允许跨平台部署的构架。</w:t>
      </w:r>
    </w:p>
    <w:p w14:paraId="66F956DF">
      <w:pPr>
        <w:keepNext/>
        <w:keepLines/>
        <w:numPr>
          <w:ilvl w:val="2"/>
          <w:numId w:val="1"/>
        </w:numPr>
        <w:tabs>
          <w:tab w:val="left" w:pos="432"/>
        </w:tabs>
        <w:spacing w:beforeLines="50" w:afterLines="50" w:line="360" w:lineRule="auto"/>
        <w:ind w:left="720" w:hanging="720"/>
        <w:outlineLvl w:val="2"/>
        <w:rPr>
          <w:rFonts w:ascii="宋体" w:hAnsi="宋体" w:eastAsia="仿宋" w:cs="宋体"/>
          <w:b/>
          <w:bCs/>
          <w:kern w:val="0"/>
          <w:sz w:val="32"/>
          <w:szCs w:val="32"/>
        </w:rPr>
      </w:pPr>
      <w:r>
        <w:rPr>
          <w:rFonts w:hint="eastAsia" w:ascii="宋体" w:hAnsi="宋体" w:eastAsia="仿宋" w:cs="宋体"/>
          <w:b/>
          <w:bCs/>
          <w:kern w:val="0"/>
          <w:sz w:val="32"/>
          <w:szCs w:val="32"/>
        </w:rPr>
        <w:t>终端建设</w:t>
      </w:r>
    </w:p>
    <w:p w14:paraId="22D975BB">
      <w:pPr>
        <w:adjustRightInd/>
        <w:spacing w:line="360" w:lineRule="auto"/>
        <w:ind w:firstLine="480" w:firstLineChars="200"/>
        <w:rPr>
          <w:rFonts w:ascii="宋体" w:hAnsi="宋体" w:cs="宋体"/>
          <w:sz w:val="24"/>
        </w:rPr>
      </w:pPr>
      <w:r>
        <w:rPr>
          <w:rFonts w:hint="eastAsia" w:ascii="宋体" w:hAnsi="宋体" w:cs="宋体"/>
          <w:sz w:val="24"/>
        </w:rPr>
        <w:t>杭州市卫健委贯彻落实浙江省、杭州市数字化改革的总体部署要求，本项目按照“四横四纵五门户”总体架构来展开，四横即基础设施、数据资源、应用支撑和业务应用；四纵即政策制度体系、标准规范体系、组织保障体系和信息安全体系。本项目涉及公众服务的内容统一面向浙里办“善育在杭”透出，包括“杭小育”、家园共育等。托育机构、成长驿站、医防护儿童健康管理中心等机构用户通过PC管理端访问。市级及各区县卫健作为监管单位，统一使用浙政钉统一身份认证通过PC管理端访问。</w:t>
      </w:r>
    </w:p>
    <w:p w14:paraId="19F30D33">
      <w:pPr>
        <w:keepNext/>
        <w:keepLines/>
        <w:numPr>
          <w:ilvl w:val="2"/>
          <w:numId w:val="1"/>
        </w:numPr>
        <w:tabs>
          <w:tab w:val="left" w:pos="432"/>
        </w:tabs>
        <w:adjustRightInd/>
        <w:spacing w:before="260" w:after="260" w:line="416" w:lineRule="auto"/>
        <w:outlineLvl w:val="2"/>
        <w:rPr>
          <w:rFonts w:ascii="宋体" w:hAnsi="宋体" w:cs="宋体"/>
          <w:b/>
          <w:bCs/>
          <w:sz w:val="24"/>
          <w:szCs w:val="28"/>
        </w:rPr>
      </w:pPr>
      <w:r>
        <w:rPr>
          <w:rFonts w:hint="eastAsia" w:ascii="宋体" w:hAnsi="宋体" w:cs="宋体"/>
          <w:b/>
          <w:bCs/>
          <w:sz w:val="24"/>
          <w:szCs w:val="28"/>
        </w:rPr>
        <w:t>安全方面</w:t>
      </w:r>
    </w:p>
    <w:p w14:paraId="5C8E83A0">
      <w:pPr>
        <w:adjustRightInd/>
        <w:spacing w:line="360" w:lineRule="auto"/>
        <w:ind w:firstLine="480" w:firstLineChars="200"/>
        <w:rPr>
          <w:rFonts w:ascii="宋体" w:hAnsi="宋体" w:cs="宋体"/>
          <w:sz w:val="24"/>
        </w:rPr>
      </w:pPr>
      <w:r>
        <w:rPr>
          <w:rFonts w:hint="eastAsia" w:ascii="宋体" w:hAnsi="宋体" w:cs="宋体"/>
          <w:sz w:val="24"/>
        </w:rPr>
        <w:t>项目在建设时，需保障系统的应用程序安全、网络安全、设备安全和数据安全。系统在建设完成后，不仅要有效地提供服务，同时需确保不影响数据网络的安全、可靠、稳定运行。系统整体建设需达到计算机网络三级等保2.0要求，保障平台和数据的安全。项目服务期内，中标人需配合采购人做好等保测评，商用密码测评，信创测评及第三方测评，密评、安全整改加固以及其他系统整改等相关工作。</w:t>
      </w:r>
    </w:p>
    <w:p w14:paraId="0AFD77A5">
      <w:pPr>
        <w:keepNext/>
        <w:keepLines/>
        <w:numPr>
          <w:ilvl w:val="1"/>
          <w:numId w:val="1"/>
        </w:numPr>
        <w:tabs>
          <w:tab w:val="left" w:pos="432"/>
        </w:tabs>
        <w:adjustRightInd/>
        <w:spacing w:line="360" w:lineRule="auto"/>
        <w:jc w:val="left"/>
        <w:outlineLvl w:val="1"/>
        <w:rPr>
          <w:rFonts w:ascii="宋体" w:hAnsi="宋体" w:cs="宋体"/>
          <w:b/>
          <w:bCs/>
          <w:sz w:val="24"/>
          <w:szCs w:val="28"/>
          <w:lang w:val="zh-CN"/>
        </w:rPr>
      </w:pPr>
      <w:r>
        <w:rPr>
          <w:rFonts w:hint="eastAsia" w:ascii="宋体" w:hAnsi="宋体" w:cs="宋体"/>
          <w:b/>
          <w:bCs/>
          <w:sz w:val="24"/>
          <w:szCs w:val="28"/>
          <w:lang w:val="zh-CN"/>
        </w:rPr>
        <w:t>付款条件</w:t>
      </w:r>
    </w:p>
    <w:p w14:paraId="200C209F">
      <w:pPr>
        <w:adjustRightInd/>
        <w:spacing w:line="360" w:lineRule="auto"/>
        <w:ind w:firstLine="480" w:firstLineChars="200"/>
        <w:rPr>
          <w:rFonts w:ascii="宋体" w:hAnsi="宋体" w:cs="宋体"/>
          <w:sz w:val="24"/>
        </w:rPr>
      </w:pPr>
      <w:r>
        <w:rPr>
          <w:rFonts w:hint="eastAsia" w:ascii="宋体" w:hAnsi="宋体" w:cs="宋体"/>
          <w:sz w:val="24"/>
        </w:rPr>
        <w:t>1、履约保证金：供应商应当以支票、汇票、本票或者金融机构、担保机构出具的保函等非现金形式提交。履约保证金的数额不得超过政府采购合同金额的1%。</w:t>
      </w:r>
    </w:p>
    <w:p w14:paraId="5FE37954">
      <w:pPr>
        <w:adjustRightInd/>
        <w:spacing w:line="360" w:lineRule="auto"/>
        <w:ind w:firstLine="480" w:firstLineChars="200"/>
        <w:rPr>
          <w:rFonts w:ascii="宋体" w:hAnsi="宋体" w:cs="宋体"/>
          <w:sz w:val="24"/>
        </w:rPr>
      </w:pPr>
      <w:r>
        <w:rPr>
          <w:rFonts w:hint="eastAsia" w:ascii="宋体" w:hAnsi="宋体" w:cs="宋体"/>
          <w:sz w:val="24"/>
        </w:rPr>
        <w:t>2、付款方式：</w:t>
      </w:r>
    </w:p>
    <w:p w14:paraId="66E79DAC">
      <w:pPr>
        <w:adjustRightInd/>
        <w:spacing w:line="360" w:lineRule="auto"/>
        <w:ind w:firstLine="480" w:firstLineChars="200"/>
        <w:rPr>
          <w:rFonts w:ascii="宋体" w:hAnsi="宋体" w:cs="宋体"/>
          <w:sz w:val="24"/>
        </w:rPr>
      </w:pPr>
      <w:r>
        <w:rPr>
          <w:rFonts w:hint="eastAsia" w:ascii="宋体" w:hAnsi="宋体" w:cs="宋体"/>
          <w:sz w:val="24"/>
        </w:rPr>
        <w:t>第一期付款：</w:t>
      </w:r>
      <w:r>
        <w:rPr>
          <w:rFonts w:ascii="宋体" w:hAnsi="宋体" w:cs="宋体"/>
          <w:sz w:val="24"/>
        </w:rPr>
        <w:t>预付款支付比例为合同总价的40%，于项目合同生效具备支付条件后，中标人凭发票办理预付款结算手续，甲方在收到发票后5个工作日内支付。</w:t>
      </w:r>
    </w:p>
    <w:p w14:paraId="4564D9E5">
      <w:pPr>
        <w:adjustRightInd/>
        <w:spacing w:line="360" w:lineRule="auto"/>
        <w:ind w:firstLine="480" w:firstLineChars="200"/>
        <w:rPr>
          <w:rFonts w:ascii="宋体" w:hAnsi="宋体" w:cs="宋体"/>
          <w:sz w:val="24"/>
        </w:rPr>
      </w:pPr>
      <w:r>
        <w:rPr>
          <w:rFonts w:hint="eastAsia" w:ascii="宋体" w:hAnsi="宋体" w:cs="宋体"/>
          <w:sz w:val="24"/>
        </w:rPr>
        <w:t>第二期付款：</w:t>
      </w:r>
      <w:r>
        <w:rPr>
          <w:rFonts w:ascii="宋体" w:hAnsi="宋体" w:cs="宋体"/>
          <w:sz w:val="24"/>
        </w:rPr>
        <w:t>完成项目初验合格且具备支付条件后，乙方凭发票、甲方签字盖章的支付意见、初验意见办理合同总价35%的合同款支付手续</w:t>
      </w:r>
      <w:r>
        <w:rPr>
          <w:rFonts w:hint="eastAsia" w:ascii="宋体" w:hAnsi="宋体" w:cs="宋体"/>
          <w:sz w:val="24"/>
        </w:rPr>
        <w:t>。</w:t>
      </w:r>
    </w:p>
    <w:p w14:paraId="6C985E3E">
      <w:pPr>
        <w:adjustRightInd/>
        <w:spacing w:line="360" w:lineRule="auto"/>
        <w:ind w:firstLine="480" w:firstLineChars="200"/>
        <w:rPr>
          <w:rFonts w:ascii="宋体" w:hAnsi="宋体" w:cs="宋体"/>
          <w:sz w:val="24"/>
        </w:rPr>
      </w:pPr>
      <w:r>
        <w:rPr>
          <w:rFonts w:hint="eastAsia" w:ascii="宋体" w:hAnsi="宋体" w:cs="宋体"/>
          <w:sz w:val="24"/>
        </w:rPr>
        <w:t>第三期付款：</w:t>
      </w:r>
      <w:r>
        <w:rPr>
          <w:rFonts w:ascii="宋体" w:hAnsi="宋体" w:cs="宋体"/>
          <w:sz w:val="24"/>
        </w:rPr>
        <w:t>完成项目终验合格且具备支付条件后，乙方凭发票、甲方签字盖章的支付意见、</w:t>
      </w:r>
      <w:r>
        <w:rPr>
          <w:rFonts w:hint="eastAsia" w:ascii="宋体" w:hAnsi="宋体" w:cs="宋体"/>
          <w:sz w:val="24"/>
        </w:rPr>
        <w:t>验收</w:t>
      </w:r>
      <w:r>
        <w:rPr>
          <w:rFonts w:ascii="宋体" w:hAnsi="宋体" w:cs="宋体"/>
          <w:sz w:val="24"/>
        </w:rPr>
        <w:t>意见办理合同总价25%的合同款支付手续</w:t>
      </w:r>
      <w:r>
        <w:rPr>
          <w:rFonts w:hint="eastAsia" w:ascii="宋体" w:hAnsi="宋体" w:cs="宋体"/>
          <w:sz w:val="24"/>
        </w:rPr>
        <w:t>。</w:t>
      </w:r>
    </w:p>
    <w:p w14:paraId="6E2EA2FF">
      <w:pPr>
        <w:keepNext/>
        <w:keepLines/>
        <w:numPr>
          <w:ilvl w:val="1"/>
          <w:numId w:val="1"/>
        </w:numPr>
        <w:tabs>
          <w:tab w:val="left" w:pos="432"/>
        </w:tabs>
        <w:adjustRightInd/>
        <w:spacing w:line="360" w:lineRule="auto"/>
        <w:jc w:val="left"/>
        <w:outlineLvl w:val="1"/>
        <w:rPr>
          <w:rFonts w:ascii="宋体" w:hAnsi="宋体" w:cs="宋体"/>
          <w:b/>
          <w:bCs/>
          <w:sz w:val="24"/>
          <w:szCs w:val="28"/>
          <w:lang w:val="zh-CN"/>
        </w:rPr>
      </w:pPr>
      <w:r>
        <w:rPr>
          <w:rFonts w:hint="eastAsia" w:ascii="宋体" w:hAnsi="宋体" w:cs="宋体"/>
          <w:b/>
          <w:bCs/>
          <w:sz w:val="24"/>
          <w:szCs w:val="28"/>
          <w:lang w:val="zh-CN"/>
        </w:rPr>
        <w:t>服务与验收</w:t>
      </w:r>
    </w:p>
    <w:p w14:paraId="11227D9F">
      <w:pPr>
        <w:keepNext/>
        <w:keepLines/>
        <w:numPr>
          <w:ilvl w:val="2"/>
          <w:numId w:val="1"/>
        </w:numPr>
        <w:tabs>
          <w:tab w:val="left" w:pos="432"/>
        </w:tabs>
        <w:adjustRightInd/>
        <w:spacing w:before="260" w:after="260" w:line="416" w:lineRule="auto"/>
        <w:outlineLvl w:val="2"/>
        <w:rPr>
          <w:rFonts w:ascii="宋体" w:hAnsi="宋体" w:cs="宋体"/>
          <w:b/>
          <w:bCs/>
          <w:sz w:val="24"/>
          <w:szCs w:val="28"/>
        </w:rPr>
      </w:pPr>
      <w:r>
        <w:rPr>
          <w:rFonts w:hint="eastAsia" w:ascii="宋体" w:hAnsi="宋体" w:cs="宋体"/>
          <w:b/>
          <w:bCs/>
          <w:sz w:val="24"/>
          <w:szCs w:val="28"/>
        </w:rPr>
        <w:t>项目实施地点</w:t>
      </w:r>
    </w:p>
    <w:p w14:paraId="0FD0C6AE">
      <w:pPr>
        <w:adjustRightInd/>
        <w:spacing w:line="360" w:lineRule="auto"/>
        <w:ind w:firstLine="480" w:firstLineChars="200"/>
        <w:rPr>
          <w:rFonts w:ascii="宋体" w:hAnsi="宋体" w:cs="宋体"/>
          <w:sz w:val="24"/>
        </w:rPr>
      </w:pPr>
      <w:r>
        <w:rPr>
          <w:rFonts w:hint="eastAsia" w:ascii="宋体" w:hAnsi="宋体" w:cs="宋体"/>
          <w:sz w:val="24"/>
        </w:rPr>
        <w:t>采购人指定地点</w:t>
      </w:r>
    </w:p>
    <w:p w14:paraId="27A8002D">
      <w:pPr>
        <w:keepNext/>
        <w:keepLines/>
        <w:numPr>
          <w:ilvl w:val="2"/>
          <w:numId w:val="1"/>
        </w:numPr>
        <w:tabs>
          <w:tab w:val="left" w:pos="432"/>
        </w:tabs>
        <w:adjustRightInd/>
        <w:spacing w:before="260" w:after="260" w:line="416" w:lineRule="auto"/>
        <w:outlineLvl w:val="2"/>
        <w:rPr>
          <w:rFonts w:ascii="宋体" w:hAnsi="宋体" w:cs="宋体"/>
          <w:b/>
          <w:bCs/>
          <w:sz w:val="32"/>
          <w:szCs w:val="32"/>
        </w:rPr>
      </w:pPr>
      <w:r>
        <w:rPr>
          <w:rFonts w:hint="eastAsia" w:ascii="宋体" w:hAnsi="宋体" w:cs="宋体"/>
          <w:b/>
          <w:bCs/>
          <w:sz w:val="32"/>
          <w:szCs w:val="32"/>
        </w:rPr>
        <w:t>项目进度要求</w:t>
      </w:r>
    </w:p>
    <w:p w14:paraId="04EC0EDD">
      <w:pPr>
        <w:adjustRightInd/>
        <w:spacing w:line="360" w:lineRule="auto"/>
        <w:ind w:firstLine="480" w:firstLineChars="200"/>
        <w:rPr>
          <w:rFonts w:ascii="宋体" w:hAnsi="宋体" w:cs="宋体"/>
          <w:sz w:val="24"/>
        </w:rPr>
      </w:pPr>
      <w:r>
        <w:rPr>
          <w:rFonts w:hint="eastAsia" w:ascii="宋体" w:hAnsi="宋体" w:cs="宋体"/>
          <w:sz w:val="24"/>
        </w:rPr>
        <w:t>2024年12月10日前完成初验，2025年9月底前完成终验 。</w:t>
      </w:r>
    </w:p>
    <w:p w14:paraId="2D39F87F">
      <w:pPr>
        <w:keepNext/>
        <w:keepLines/>
        <w:numPr>
          <w:ilvl w:val="2"/>
          <w:numId w:val="1"/>
        </w:numPr>
        <w:tabs>
          <w:tab w:val="left" w:pos="432"/>
        </w:tabs>
        <w:adjustRightInd/>
        <w:spacing w:before="260" w:after="260" w:line="416" w:lineRule="auto"/>
        <w:outlineLvl w:val="2"/>
        <w:rPr>
          <w:rFonts w:ascii="宋体" w:hAnsi="宋体" w:cs="宋体"/>
          <w:b/>
          <w:bCs/>
          <w:sz w:val="32"/>
          <w:szCs w:val="32"/>
        </w:rPr>
      </w:pPr>
      <w:r>
        <w:rPr>
          <w:rFonts w:hint="eastAsia" w:ascii="宋体" w:hAnsi="宋体" w:cs="宋体"/>
          <w:b/>
          <w:bCs/>
          <w:sz w:val="32"/>
          <w:szCs w:val="32"/>
        </w:rPr>
        <w:t>项目实施要求</w:t>
      </w:r>
    </w:p>
    <w:p w14:paraId="49994C3A">
      <w:pPr>
        <w:numPr>
          <w:ilvl w:val="0"/>
          <w:numId w:val="4"/>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投标人应在投标文件中提交项目实施计划。项目实施计划要根据系统的特点和要求确定，包括需求调研、资源梳理、内容规划、页面开发、部署、培训等。</w:t>
      </w:r>
    </w:p>
    <w:p w14:paraId="225580C7">
      <w:pPr>
        <w:numPr>
          <w:ilvl w:val="0"/>
          <w:numId w:val="4"/>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质量保证要求：在项目建设实施过程中，应建立完善的质量管理体系和完整的项目质量保证计划，确保系统设计、开发、定制工作的顺利实施。</w:t>
      </w:r>
    </w:p>
    <w:p w14:paraId="0D7AE996">
      <w:pPr>
        <w:numPr>
          <w:ilvl w:val="0"/>
          <w:numId w:val="4"/>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用户需求在开发期和试运行期内，仍有可能不断完善，中标人须承诺在采购需求和政策法规范围内，随着用户需求的变动随时做出响应，修改应用软件。正式验收通过后，若有需求变动，在免费维护期内，仍应免费按用户需求对整个系统做出相应修改，以满足用户的需求。</w:t>
      </w:r>
    </w:p>
    <w:p w14:paraId="624B5320">
      <w:pPr>
        <w:keepNext/>
        <w:keepLines/>
        <w:numPr>
          <w:ilvl w:val="2"/>
          <w:numId w:val="1"/>
        </w:numPr>
        <w:tabs>
          <w:tab w:val="left" w:pos="432"/>
        </w:tabs>
        <w:adjustRightInd/>
        <w:spacing w:before="260" w:after="260" w:line="416" w:lineRule="auto"/>
        <w:outlineLvl w:val="2"/>
        <w:rPr>
          <w:rFonts w:ascii="宋体" w:hAnsi="宋体" w:cs="宋体"/>
          <w:b/>
          <w:bCs/>
          <w:sz w:val="32"/>
          <w:szCs w:val="32"/>
        </w:rPr>
      </w:pPr>
      <w:r>
        <w:rPr>
          <w:rFonts w:hint="eastAsia" w:ascii="宋体" w:hAnsi="宋体" w:cs="宋体"/>
          <w:b/>
          <w:bCs/>
          <w:sz w:val="32"/>
          <w:szCs w:val="32"/>
        </w:rPr>
        <w:t>安全保密要求</w:t>
      </w:r>
    </w:p>
    <w:p w14:paraId="18E424D0">
      <w:pPr>
        <w:numPr>
          <w:ilvl w:val="0"/>
          <w:numId w:val="5"/>
        </w:numPr>
        <w:tabs>
          <w:tab w:val="left" w:pos="851"/>
        </w:tabs>
        <w:spacing w:line="360" w:lineRule="auto"/>
        <w:rPr>
          <w:rFonts w:ascii="宋体" w:hAnsi="宋体" w:cs="宋体"/>
          <w:sz w:val="24"/>
        </w:rPr>
      </w:pPr>
      <w:r>
        <w:rPr>
          <w:rFonts w:hint="eastAsia" w:ascii="宋体" w:hAnsi="宋体" w:cs="宋体"/>
          <w:sz w:val="24"/>
        </w:rPr>
        <w:t>安全责任</w:t>
      </w:r>
    </w:p>
    <w:p w14:paraId="215A9373">
      <w:pPr>
        <w:numPr>
          <w:ilvl w:val="0"/>
          <w:numId w:val="6"/>
        </w:numPr>
        <w:spacing w:line="360" w:lineRule="auto"/>
        <w:ind w:left="0" w:firstLine="480" w:firstLineChars="200"/>
        <w:rPr>
          <w:rFonts w:ascii="宋体" w:hAnsi="宋体" w:cs="宋体"/>
          <w:sz w:val="24"/>
        </w:rPr>
      </w:pPr>
      <w:r>
        <w:rPr>
          <w:rFonts w:hint="eastAsia" w:ascii="宋体" w:hAnsi="宋体" w:cs="宋体"/>
          <w:sz w:val="24"/>
        </w:rPr>
        <w:t>供应商应按照我国《网络安全法》、《数据安全法》的要求，履行网络和数据安全保护义务。</w:t>
      </w:r>
    </w:p>
    <w:p w14:paraId="37EEE32A">
      <w:pPr>
        <w:numPr>
          <w:ilvl w:val="0"/>
          <w:numId w:val="6"/>
        </w:numPr>
        <w:spacing w:line="360" w:lineRule="auto"/>
        <w:ind w:left="0" w:firstLine="480" w:firstLineChars="200"/>
        <w:rPr>
          <w:rFonts w:ascii="宋体" w:hAnsi="宋体" w:cs="宋体"/>
          <w:sz w:val="24"/>
        </w:rPr>
      </w:pPr>
      <w:r>
        <w:rPr>
          <w:rFonts w:hint="eastAsia" w:ascii="宋体" w:hAnsi="宋体" w:cs="宋体"/>
          <w:sz w:val="24"/>
        </w:rPr>
        <w:t>项目涉及供应商及供应商工作人员均需签订《信息技术服务外包单位网络安全承诺书》、《信息技术服务人员网络安全承诺书》，且供应商应对项目涉及工作人员进行背景审查。</w:t>
      </w:r>
    </w:p>
    <w:p w14:paraId="3A2DDE3E">
      <w:pPr>
        <w:numPr>
          <w:ilvl w:val="0"/>
          <w:numId w:val="6"/>
        </w:numPr>
        <w:spacing w:line="360" w:lineRule="auto"/>
        <w:ind w:left="0" w:firstLine="480" w:firstLineChars="200"/>
        <w:rPr>
          <w:rFonts w:ascii="宋体" w:hAnsi="宋体" w:cs="宋体"/>
          <w:sz w:val="24"/>
        </w:rPr>
      </w:pPr>
      <w:r>
        <w:rPr>
          <w:rFonts w:hint="eastAsia" w:ascii="宋体" w:hAnsi="宋体" w:cs="宋体"/>
          <w:sz w:val="24"/>
        </w:rPr>
        <w:t>供应商应当采取技术措施和其他必要措施，确保其网络和数据安全，防止信息泄露、毁损、丢失。在发生或者可能发生信息泄露、毁损、丢失的情况时，应当立即采取补救措施，并在第一时间告知甲方。</w:t>
      </w:r>
    </w:p>
    <w:p w14:paraId="085AEA32">
      <w:pPr>
        <w:numPr>
          <w:ilvl w:val="0"/>
          <w:numId w:val="6"/>
        </w:numPr>
        <w:spacing w:line="360" w:lineRule="auto"/>
        <w:ind w:left="0" w:firstLine="480" w:firstLineChars="200"/>
        <w:rPr>
          <w:rFonts w:ascii="宋体" w:hAnsi="宋体" w:cs="宋体"/>
          <w:sz w:val="24"/>
        </w:rPr>
      </w:pPr>
      <w:r>
        <w:rPr>
          <w:rFonts w:hint="eastAsia" w:ascii="宋体" w:hAnsi="宋体" w:cs="宋体"/>
          <w:sz w:val="24"/>
        </w:rPr>
        <w:t>项目中所包含的建设、运营、运维的信息系统、应用、数据库等，供应商开通相关账号、权限等必须经过甲方审批允许，不得撕开账号、擅自更改权限等。</w:t>
      </w:r>
    </w:p>
    <w:p w14:paraId="18DCC65F">
      <w:pPr>
        <w:numPr>
          <w:ilvl w:val="0"/>
          <w:numId w:val="6"/>
        </w:numPr>
        <w:spacing w:line="360" w:lineRule="auto"/>
        <w:ind w:left="0" w:firstLine="480" w:firstLineChars="200"/>
        <w:rPr>
          <w:rFonts w:ascii="宋体" w:hAnsi="宋体" w:cs="宋体"/>
          <w:sz w:val="24"/>
        </w:rPr>
      </w:pPr>
      <w:r>
        <w:rPr>
          <w:rFonts w:hint="eastAsia" w:ascii="宋体" w:hAnsi="宋体" w:cs="宋体"/>
          <w:sz w:val="24"/>
        </w:rPr>
        <w:t>供应商应合理使用操作账号，严禁供应商存在多名工作人员共用一个操作账号的情形，同时操作账号应采用高强度的密码，供应商应妥善保管密码并定期更新账号密码。</w:t>
      </w:r>
    </w:p>
    <w:p w14:paraId="02B4C445">
      <w:pPr>
        <w:numPr>
          <w:ilvl w:val="0"/>
          <w:numId w:val="6"/>
        </w:numPr>
        <w:spacing w:line="360" w:lineRule="auto"/>
        <w:ind w:left="0" w:firstLine="480" w:firstLineChars="200"/>
        <w:rPr>
          <w:rFonts w:ascii="宋体" w:hAnsi="宋体" w:cs="宋体"/>
          <w:sz w:val="24"/>
        </w:rPr>
      </w:pPr>
      <w:r>
        <w:rPr>
          <w:rFonts w:hint="eastAsia" w:ascii="宋体" w:hAnsi="宋体" w:cs="宋体"/>
          <w:sz w:val="24"/>
        </w:rPr>
        <w:t>未经采购人允许，供应商不得对项目云资源私开端口，不得利用项目资源进行与该项目无关的工作，不得将政务网和互联网私自打通。</w:t>
      </w:r>
    </w:p>
    <w:p w14:paraId="28E1A617">
      <w:pPr>
        <w:numPr>
          <w:ilvl w:val="0"/>
          <w:numId w:val="6"/>
        </w:numPr>
        <w:spacing w:line="360" w:lineRule="auto"/>
        <w:ind w:left="0" w:firstLine="480" w:firstLineChars="200"/>
        <w:rPr>
          <w:rFonts w:ascii="宋体" w:hAnsi="宋体" w:cs="宋体"/>
          <w:sz w:val="24"/>
        </w:rPr>
      </w:pPr>
      <w:r>
        <w:rPr>
          <w:rFonts w:hint="eastAsia" w:ascii="宋体" w:hAnsi="宋体" w:cs="宋体"/>
          <w:sz w:val="24"/>
        </w:rPr>
        <w:t>供应商应严格按照相关要求收集、归集、存储、加工、传输、共享、开放、利用数据资源。做好数据落地相应的数据保护工作，严格执行数据安全技术标准和安全管理措施，避免相关数据出现篡改、破坏、泄露、丢失、非法利用等风险。</w:t>
      </w:r>
    </w:p>
    <w:p w14:paraId="7568EE8E">
      <w:pPr>
        <w:numPr>
          <w:ilvl w:val="0"/>
          <w:numId w:val="6"/>
        </w:numPr>
        <w:spacing w:line="360" w:lineRule="auto"/>
        <w:ind w:left="0" w:firstLine="480" w:firstLineChars="200"/>
        <w:rPr>
          <w:rFonts w:ascii="宋体" w:hAnsi="宋体" w:cs="宋体"/>
          <w:sz w:val="24"/>
        </w:rPr>
      </w:pPr>
      <w:r>
        <w:rPr>
          <w:rFonts w:hint="eastAsia" w:ascii="宋体" w:hAnsi="宋体" w:cs="宋体"/>
          <w:sz w:val="24"/>
        </w:rPr>
        <w:t>供应商应认真组织开展各项数据处理活动，查找项目数据安全隐患和漏洞，对薄弱环节和潜在威胁采取有力措施进行整改，避免和消除数据安全风险，履行数据安全保护义务。</w:t>
      </w:r>
    </w:p>
    <w:p w14:paraId="2DCB224F">
      <w:pPr>
        <w:numPr>
          <w:ilvl w:val="0"/>
          <w:numId w:val="6"/>
        </w:numPr>
        <w:spacing w:line="360" w:lineRule="auto"/>
        <w:ind w:left="0" w:firstLine="480" w:firstLineChars="200"/>
        <w:rPr>
          <w:rFonts w:ascii="宋体" w:hAnsi="宋体" w:cs="宋体"/>
          <w:sz w:val="24"/>
        </w:rPr>
      </w:pPr>
      <w:r>
        <w:rPr>
          <w:rFonts w:hint="eastAsia" w:ascii="宋体" w:hAnsi="宋体" w:cs="宋体"/>
          <w:sz w:val="24"/>
        </w:rPr>
        <w:t>供应商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24C48800">
      <w:pPr>
        <w:numPr>
          <w:ilvl w:val="0"/>
          <w:numId w:val="6"/>
        </w:numPr>
        <w:spacing w:line="360" w:lineRule="auto"/>
        <w:ind w:left="0" w:firstLine="480" w:firstLineChars="200"/>
        <w:rPr>
          <w:rFonts w:ascii="宋体" w:hAnsi="宋体" w:cs="宋体"/>
          <w:sz w:val="24"/>
        </w:rPr>
      </w:pPr>
      <w:r>
        <w:rPr>
          <w:rFonts w:hint="eastAsia" w:ascii="宋体" w:hAnsi="宋体" w:cs="宋体"/>
          <w:sz w:val="24"/>
        </w:rPr>
        <w:t>若由于供应商原因导致甲方受到市级以上（含本级）安全问题通报的，每次通报后，供应商应及时解决并递交书面整改报告，同时按采购人审核通过的整改报告按期完成整改。</w:t>
      </w:r>
    </w:p>
    <w:p w14:paraId="18AF1954">
      <w:pPr>
        <w:numPr>
          <w:ilvl w:val="0"/>
          <w:numId w:val="6"/>
        </w:numPr>
        <w:spacing w:line="360" w:lineRule="auto"/>
        <w:ind w:left="0" w:firstLine="480" w:firstLineChars="200"/>
        <w:rPr>
          <w:rFonts w:ascii="宋体" w:hAnsi="宋体" w:cs="宋体"/>
          <w:sz w:val="24"/>
        </w:rPr>
      </w:pPr>
      <w:r>
        <w:rPr>
          <w:rFonts w:hint="eastAsia" w:ascii="宋体" w:hAnsi="宋体" w:cs="宋体"/>
          <w:sz w:val="24"/>
        </w:rPr>
        <w:t>供应商应及时响应、处置甲方布置的安全工作，对其主管的系统、组件、云资源等所属安全事件、隐患及时发现、阻断、排查、处置、溯源（包括但不限于攻防演练等相关活动中发现的）。</w:t>
      </w:r>
    </w:p>
    <w:p w14:paraId="06859C20">
      <w:pPr>
        <w:numPr>
          <w:ilvl w:val="0"/>
          <w:numId w:val="6"/>
        </w:numPr>
        <w:spacing w:line="360" w:lineRule="auto"/>
        <w:ind w:left="0" w:firstLine="480" w:firstLineChars="200"/>
        <w:rPr>
          <w:rFonts w:ascii="宋体" w:hAnsi="宋体" w:cs="宋体"/>
          <w:sz w:val="24"/>
        </w:rPr>
      </w:pPr>
      <w:r>
        <w:rPr>
          <w:rFonts w:hint="eastAsia" w:ascii="宋体" w:hAnsi="宋体" w:cs="宋体"/>
          <w:sz w:val="24"/>
        </w:rPr>
        <w:t>项目中所建设的系统、提供的基础设施服务等，供应商应无偿提供操作、告警等安全日志以及资产清单，并且按照规范要求与采购人审计平台实现对接，并且提供相关解析服务（如日志字典等）供甲方进行安全审计。</w:t>
      </w:r>
    </w:p>
    <w:p w14:paraId="2D271410">
      <w:pPr>
        <w:numPr>
          <w:ilvl w:val="0"/>
          <w:numId w:val="6"/>
        </w:numPr>
        <w:spacing w:line="360" w:lineRule="auto"/>
        <w:ind w:left="0" w:firstLine="480" w:firstLineChars="200"/>
        <w:rPr>
          <w:rFonts w:ascii="宋体" w:hAnsi="宋体" w:cs="宋体"/>
          <w:sz w:val="24"/>
        </w:rPr>
      </w:pPr>
      <w:r>
        <w:rPr>
          <w:rFonts w:hint="eastAsia" w:ascii="宋体" w:hAnsi="宋体" w:cs="宋体"/>
          <w:sz w:val="24"/>
        </w:rPr>
        <w:t>供应商派驻的驻场人员应按照采购人要求办理入场、离场等手续，并且遵守甲方劳动、工作纪律，按照采购人要求的工作时间进行出勤。</w:t>
      </w:r>
    </w:p>
    <w:p w14:paraId="777BA569">
      <w:pPr>
        <w:numPr>
          <w:ilvl w:val="0"/>
          <w:numId w:val="6"/>
        </w:numPr>
        <w:spacing w:line="360" w:lineRule="auto"/>
        <w:ind w:left="0" w:firstLine="480" w:firstLineChars="200"/>
        <w:rPr>
          <w:rFonts w:ascii="宋体" w:hAnsi="宋体" w:cs="宋体"/>
          <w:sz w:val="24"/>
        </w:rPr>
      </w:pPr>
      <w:r>
        <w:rPr>
          <w:rFonts w:hint="eastAsia" w:ascii="宋体" w:hAnsi="宋体" w:cs="宋体"/>
          <w:sz w:val="24"/>
        </w:rPr>
        <w:t>供应商应配合采购人完成项目中所建设、运营的应用系统、服务等的网络数据安全检查，并且按要求及时完成检查中发现问题的整改。</w:t>
      </w:r>
    </w:p>
    <w:p w14:paraId="44FD1D1B">
      <w:pPr>
        <w:tabs>
          <w:tab w:val="left" w:pos="851"/>
        </w:tabs>
        <w:adjustRightInd/>
        <w:spacing w:line="360" w:lineRule="auto"/>
        <w:ind w:firstLine="480" w:firstLineChars="200"/>
        <w:rPr>
          <w:rFonts w:ascii="宋体" w:hAnsi="宋体" w:cs="宋体"/>
          <w:sz w:val="24"/>
        </w:rPr>
      </w:pPr>
      <w:r>
        <w:rPr>
          <w:rFonts w:hint="eastAsia" w:ascii="宋体" w:hAnsi="宋体" w:cs="宋体"/>
          <w:sz w:val="24"/>
        </w:rPr>
        <w:t>如违反“安全责任特别约定”中任一条款，供应商应按合同总额的5%/次承担违约责任，若甲方实际损失超过违约金数额，超出部分由供应商另行承担。若供应商累计  3  次违反的，采购人有权解除合同，要求供应商退还已收取的全部合同款并按合同总额的20%承担违约金。若采购人要求供应商继续履行合同，不免除供应商承担违约金的义务。</w:t>
      </w:r>
    </w:p>
    <w:p w14:paraId="44B3D5F0">
      <w:pPr>
        <w:keepNext/>
        <w:keepLines/>
        <w:numPr>
          <w:ilvl w:val="2"/>
          <w:numId w:val="1"/>
        </w:numPr>
        <w:tabs>
          <w:tab w:val="left" w:pos="432"/>
        </w:tabs>
        <w:adjustRightInd/>
        <w:spacing w:before="260" w:after="260" w:line="416" w:lineRule="auto"/>
        <w:outlineLvl w:val="2"/>
        <w:rPr>
          <w:rFonts w:ascii="宋体" w:hAnsi="宋体" w:cs="宋体"/>
          <w:b/>
          <w:bCs/>
          <w:sz w:val="32"/>
          <w:szCs w:val="32"/>
        </w:rPr>
      </w:pPr>
      <w:r>
        <w:rPr>
          <w:rFonts w:hint="eastAsia" w:ascii="宋体" w:hAnsi="宋体" w:cs="宋体"/>
          <w:b/>
          <w:bCs/>
          <w:sz w:val="32"/>
          <w:szCs w:val="32"/>
        </w:rPr>
        <w:t>实施人员要求</w:t>
      </w:r>
    </w:p>
    <w:p w14:paraId="6623032F">
      <w:pPr>
        <w:adjustRightInd/>
        <w:spacing w:line="360" w:lineRule="auto"/>
        <w:ind w:firstLine="480" w:firstLineChars="200"/>
        <w:rPr>
          <w:rFonts w:ascii="宋体" w:hAnsi="宋体" w:cs="宋体"/>
          <w:sz w:val="24"/>
        </w:rPr>
      </w:pPr>
      <w:r>
        <w:rPr>
          <w:rFonts w:hint="eastAsia" w:ascii="宋体" w:hAnsi="宋体" w:cs="宋体"/>
          <w:sz w:val="24"/>
        </w:rPr>
        <w:t>项目组项目负责人、技术负责人及实施团队成员需要具备专业素质、技能能力和经验，并提供相关证书及履历表，需提供项目团队人员在投标单位社保缴纳记录。</w:t>
      </w:r>
    </w:p>
    <w:p w14:paraId="00EFF62C">
      <w:pPr>
        <w:keepNext/>
        <w:keepLines/>
        <w:numPr>
          <w:ilvl w:val="2"/>
          <w:numId w:val="1"/>
        </w:numPr>
        <w:tabs>
          <w:tab w:val="left" w:pos="432"/>
        </w:tabs>
        <w:adjustRightInd/>
        <w:spacing w:before="260" w:after="260" w:line="416" w:lineRule="auto"/>
        <w:outlineLvl w:val="2"/>
        <w:rPr>
          <w:rFonts w:ascii="宋体" w:hAnsi="宋体" w:cs="宋体"/>
          <w:b/>
          <w:bCs/>
          <w:sz w:val="32"/>
          <w:szCs w:val="32"/>
        </w:rPr>
      </w:pPr>
      <w:r>
        <w:rPr>
          <w:rFonts w:hint="eastAsia" w:ascii="宋体" w:hAnsi="宋体" w:cs="宋体"/>
          <w:b/>
          <w:bCs/>
          <w:sz w:val="32"/>
          <w:szCs w:val="32"/>
        </w:rPr>
        <w:t>培训要求</w:t>
      </w:r>
    </w:p>
    <w:p w14:paraId="010FC1ED">
      <w:pPr>
        <w:adjustRightInd/>
        <w:snapToGrid w:val="0"/>
        <w:spacing w:line="360" w:lineRule="auto"/>
        <w:ind w:firstLine="480" w:firstLineChars="200"/>
        <w:rPr>
          <w:rFonts w:ascii="宋体" w:hAnsi="宋体" w:cs="宋体"/>
          <w:kern w:val="0"/>
          <w:sz w:val="24"/>
          <w:szCs w:val="20"/>
        </w:rPr>
      </w:pPr>
      <w:r>
        <w:rPr>
          <w:rFonts w:hint="eastAsia" w:ascii="宋体" w:hAnsi="宋体" w:cs="宋体"/>
          <w:kern w:val="0"/>
          <w:sz w:val="24"/>
          <w:szCs w:val="20"/>
        </w:rPr>
        <w:t>投标人需制定完整的培训方案，并编制培训教材，对系统普通用户及管理员开展培训，确保相关人员熟练掌握系统的使用与管理。</w:t>
      </w:r>
    </w:p>
    <w:p w14:paraId="4749BD1C">
      <w:pPr>
        <w:keepNext/>
        <w:keepLines/>
        <w:numPr>
          <w:ilvl w:val="2"/>
          <w:numId w:val="1"/>
        </w:numPr>
        <w:tabs>
          <w:tab w:val="left" w:pos="432"/>
        </w:tabs>
        <w:adjustRightInd/>
        <w:spacing w:before="260" w:after="260" w:line="416" w:lineRule="auto"/>
        <w:outlineLvl w:val="2"/>
        <w:rPr>
          <w:rFonts w:ascii="宋体" w:hAnsi="宋体" w:cs="宋体"/>
          <w:b/>
          <w:bCs/>
          <w:sz w:val="32"/>
          <w:szCs w:val="32"/>
        </w:rPr>
      </w:pPr>
      <w:r>
        <w:rPr>
          <w:rFonts w:hint="eastAsia" w:ascii="宋体" w:hAnsi="宋体" w:cs="宋体"/>
          <w:b/>
          <w:bCs/>
          <w:sz w:val="32"/>
          <w:szCs w:val="32"/>
        </w:rPr>
        <w:t>售后质保要求</w:t>
      </w:r>
    </w:p>
    <w:p w14:paraId="5B2942FD">
      <w:pPr>
        <w:adjustRightInd/>
        <w:spacing w:line="360" w:lineRule="auto"/>
        <w:ind w:firstLine="480" w:firstLineChars="200"/>
        <w:rPr>
          <w:rFonts w:ascii="宋体" w:hAnsi="宋体" w:cs="宋体"/>
          <w:sz w:val="24"/>
        </w:rPr>
      </w:pPr>
      <w:r>
        <w:rPr>
          <w:rFonts w:hint="eastAsia" w:ascii="宋体" w:hAnsi="宋体" w:cs="宋体"/>
          <w:sz w:val="24"/>
        </w:rPr>
        <w:t>项目验收完成后，投标人须提供至少三年的质保期。为了保证本次项目顺利成功，要求投标人承诺项目验收后提供7*24小时售后技术服务，1小时内做出明确响应和安排，现场响应时间要求是接到用户需求电话后4小时内到达。包括免费升级、功能完善、故障排除、性能调优、技术咨询等，并负责系统的问题处理、协调与各系统软件等供应商的关系。</w:t>
      </w:r>
    </w:p>
    <w:p w14:paraId="47AE7420">
      <w:pPr>
        <w:adjustRightInd/>
        <w:spacing w:line="360" w:lineRule="auto"/>
        <w:ind w:firstLine="480" w:firstLineChars="200"/>
        <w:rPr>
          <w:rFonts w:ascii="宋体" w:hAnsi="宋体" w:cs="宋体"/>
          <w:sz w:val="24"/>
        </w:rPr>
      </w:pPr>
      <w:r>
        <w:rPr>
          <w:rFonts w:hint="eastAsia" w:ascii="宋体" w:hAnsi="宋体" w:cs="宋体"/>
          <w:sz w:val="24"/>
        </w:rPr>
        <w:t>投标人应按照以上要求，规划设计合理可行的售后服务方案。</w:t>
      </w:r>
    </w:p>
    <w:p w14:paraId="29A1074C">
      <w:pPr>
        <w:keepNext/>
        <w:keepLines/>
        <w:numPr>
          <w:ilvl w:val="2"/>
          <w:numId w:val="1"/>
        </w:numPr>
        <w:tabs>
          <w:tab w:val="left" w:pos="432"/>
        </w:tabs>
        <w:adjustRightInd/>
        <w:spacing w:before="260" w:after="260" w:line="416" w:lineRule="auto"/>
        <w:outlineLvl w:val="2"/>
        <w:rPr>
          <w:rFonts w:ascii="宋体" w:hAnsi="宋体" w:cs="宋体"/>
          <w:b/>
          <w:bCs/>
          <w:sz w:val="32"/>
          <w:szCs w:val="32"/>
        </w:rPr>
      </w:pPr>
      <w:r>
        <w:rPr>
          <w:rFonts w:hint="eastAsia" w:ascii="宋体" w:hAnsi="宋体" w:cs="宋体"/>
          <w:b/>
          <w:bCs/>
          <w:sz w:val="32"/>
          <w:szCs w:val="32"/>
        </w:rPr>
        <w:t>项目知识产权</w:t>
      </w:r>
    </w:p>
    <w:p w14:paraId="03FE6F47">
      <w:pPr>
        <w:numPr>
          <w:ilvl w:val="0"/>
          <w:numId w:val="7"/>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本项目所产生的系统、组件（可解耦）、文档、软件代码、数据及衍生数据等数字资源成果的知识产权采购人独享。</w:t>
      </w:r>
    </w:p>
    <w:p w14:paraId="4D352FB4">
      <w:pPr>
        <w:numPr>
          <w:ilvl w:val="0"/>
          <w:numId w:val="7"/>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中标人保证采购人不受到第三方关于侵犯知识产权（包括版权和专利权、商标权等）的指控，任何第三方如果提出指控，中标人与第三方交涉，承担可能发生的一切法律责任、费用和后果。</w:t>
      </w:r>
    </w:p>
    <w:p w14:paraId="49EC1327">
      <w:pPr>
        <w:keepNext/>
        <w:keepLines/>
        <w:numPr>
          <w:ilvl w:val="2"/>
          <w:numId w:val="1"/>
        </w:numPr>
        <w:tabs>
          <w:tab w:val="left" w:pos="432"/>
        </w:tabs>
        <w:adjustRightInd/>
        <w:spacing w:before="260" w:after="260" w:line="416" w:lineRule="auto"/>
        <w:outlineLvl w:val="2"/>
        <w:rPr>
          <w:rFonts w:ascii="宋体" w:hAnsi="宋体" w:cs="宋体"/>
          <w:b/>
          <w:bCs/>
          <w:sz w:val="32"/>
          <w:szCs w:val="32"/>
        </w:rPr>
      </w:pPr>
      <w:r>
        <w:rPr>
          <w:rFonts w:hint="eastAsia" w:ascii="宋体" w:hAnsi="宋体" w:cs="宋体"/>
          <w:b/>
          <w:bCs/>
          <w:sz w:val="32"/>
          <w:szCs w:val="32"/>
        </w:rPr>
        <w:t>验收要求</w:t>
      </w:r>
    </w:p>
    <w:p w14:paraId="171865DC">
      <w:pPr>
        <w:numPr>
          <w:ilvl w:val="1"/>
          <w:numId w:val="8"/>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项目分为初验和终验，中标人完成项目建设内容，通过测试后，采购人组织初步验收，初步验收通过并在系统试运行后无重大故障，方可进行系统整体验收。</w:t>
      </w:r>
    </w:p>
    <w:p w14:paraId="013C26A8">
      <w:pPr>
        <w:numPr>
          <w:ilvl w:val="1"/>
          <w:numId w:val="8"/>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项目终验前，中标人必须提交包含不限于源代码、系统安装部署手册、软件需求规格说明书、数据库设计说明书、详细设计说明书、系统测试报告、操作手册、运行维护手册、试运行报告、</w:t>
      </w:r>
      <w:r>
        <w:rPr>
          <w:rFonts w:hint="eastAsia" w:ascii="宋体" w:hAnsi="宋体" w:cs="宋体"/>
          <w:kern w:val="0"/>
          <w:sz w:val="24"/>
          <w:lang w:val="zh-TW" w:eastAsia="zh-TW"/>
        </w:rPr>
        <w:t>项目总结报告、项目用户报告</w:t>
      </w:r>
      <w:r>
        <w:rPr>
          <w:rFonts w:hint="eastAsia" w:ascii="宋体" w:hAnsi="宋体" w:cs="宋体"/>
          <w:sz w:val="24"/>
        </w:rPr>
        <w:t>等成果资料。</w:t>
      </w:r>
    </w:p>
    <w:p w14:paraId="71205CCF">
      <w:pPr>
        <w:numPr>
          <w:ilvl w:val="1"/>
          <w:numId w:val="8"/>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中标人对项目内的数据没有任何处置权和使用权。</w:t>
      </w:r>
    </w:p>
    <w:p w14:paraId="58BCE30D">
      <w:pPr>
        <w:numPr>
          <w:ilvl w:val="1"/>
          <w:numId w:val="8"/>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项目终验前，中标人须提供等保测评报告、密评报告、信创测评及第三方软件测试报告（含功能、性能，测试依据必须包含招标文件），相应测评费用由中标人承担。</w:t>
      </w:r>
    </w:p>
    <w:p w14:paraId="3B735285">
      <w:pPr>
        <w:keepNext/>
        <w:keepLines/>
        <w:numPr>
          <w:ilvl w:val="2"/>
          <w:numId w:val="1"/>
        </w:numPr>
        <w:tabs>
          <w:tab w:val="left" w:pos="432"/>
        </w:tabs>
        <w:adjustRightInd/>
        <w:spacing w:before="260" w:after="260" w:line="416" w:lineRule="auto"/>
        <w:outlineLvl w:val="2"/>
        <w:rPr>
          <w:rFonts w:ascii="宋体" w:hAnsi="宋体" w:cs="宋体"/>
          <w:b/>
          <w:bCs/>
          <w:sz w:val="32"/>
          <w:szCs w:val="32"/>
        </w:rPr>
      </w:pPr>
      <w:r>
        <w:rPr>
          <w:rFonts w:hint="eastAsia" w:ascii="宋体" w:hAnsi="宋体" w:cs="宋体"/>
          <w:b/>
          <w:bCs/>
          <w:sz w:val="32"/>
          <w:szCs w:val="32"/>
        </w:rPr>
        <w:t>项目监理</w:t>
      </w:r>
    </w:p>
    <w:p w14:paraId="0AC0D748">
      <w:pPr>
        <w:adjustRightInd/>
        <w:spacing w:line="360" w:lineRule="auto"/>
        <w:ind w:firstLine="480" w:firstLineChars="200"/>
        <w:rPr>
          <w:rFonts w:ascii="宋体" w:hAnsi="宋体" w:cs="宋体"/>
          <w:sz w:val="24"/>
        </w:rPr>
      </w:pPr>
      <w:r>
        <w:rPr>
          <w:rFonts w:hint="eastAsia" w:ascii="宋体" w:hAnsi="宋体" w:cs="宋体"/>
          <w:sz w:val="24"/>
        </w:rPr>
        <w:t>本项目执行监理制度，中标单位需承诺服从建设单位和监理单位要求，配合开展相应项目监理工作。</w:t>
      </w:r>
    </w:p>
    <w:p w14:paraId="12FC0F0E">
      <w:pPr>
        <w:keepNext/>
        <w:keepLines/>
        <w:numPr>
          <w:ilvl w:val="1"/>
          <w:numId w:val="1"/>
        </w:numPr>
        <w:tabs>
          <w:tab w:val="left" w:pos="432"/>
        </w:tabs>
        <w:adjustRightInd/>
        <w:spacing w:line="360" w:lineRule="auto"/>
        <w:jc w:val="left"/>
        <w:outlineLvl w:val="1"/>
        <w:rPr>
          <w:rFonts w:ascii="宋体" w:hAnsi="宋体" w:cs="宋体"/>
          <w:b/>
          <w:bCs/>
          <w:sz w:val="32"/>
          <w:szCs w:val="32"/>
        </w:rPr>
      </w:pPr>
      <w:r>
        <w:rPr>
          <w:rFonts w:hint="eastAsia" w:ascii="宋体" w:hAnsi="宋体" w:cs="宋体"/>
          <w:b/>
          <w:bCs/>
          <w:sz w:val="32"/>
          <w:szCs w:val="32"/>
        </w:rPr>
        <w:t>其他</w:t>
      </w:r>
    </w:p>
    <w:p w14:paraId="3D590530">
      <w:pPr>
        <w:numPr>
          <w:ilvl w:val="1"/>
          <w:numId w:val="9"/>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本系统建设须符合杭州市本级电子政务项目建设管理相关政策文件要求。</w:t>
      </w:r>
    </w:p>
    <w:p w14:paraId="708F63C9">
      <w:pPr>
        <w:numPr>
          <w:ilvl w:val="1"/>
          <w:numId w:val="9"/>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中标方须保证所提供产品符合国家有关规定，在系统建设过程中如遇到与标准相关的内容须按照国家标准、行业标准、企业标准等方面考虑系统建设。</w:t>
      </w:r>
    </w:p>
    <w:p w14:paraId="738287DD">
      <w:pPr>
        <w:numPr>
          <w:ilvl w:val="1"/>
          <w:numId w:val="9"/>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中标方须保证解决项目所涉及的技术问题，如因技术原因无法满足用户需求，由此产生的风险由中标方承担。</w:t>
      </w:r>
    </w:p>
    <w:p w14:paraId="49BFAE8E">
      <w:pPr>
        <w:numPr>
          <w:ilvl w:val="1"/>
          <w:numId w:val="9"/>
        </w:numPr>
        <w:tabs>
          <w:tab w:val="left" w:pos="851"/>
        </w:tabs>
        <w:adjustRightInd/>
        <w:spacing w:line="360" w:lineRule="auto"/>
        <w:ind w:left="0" w:firstLine="480" w:firstLineChars="200"/>
        <w:rPr>
          <w:rFonts w:ascii="宋体" w:hAnsi="宋体" w:cs="宋体"/>
          <w:sz w:val="24"/>
        </w:rPr>
      </w:pPr>
      <w:r>
        <w:rPr>
          <w:rFonts w:hint="eastAsia" w:ascii="宋体" w:hAnsi="宋体" w:cs="宋体"/>
          <w:sz w:val="24"/>
        </w:rPr>
        <w:t>如中标方对本次项目建设内容范围理解不全面，要以采购人的要求为准。</w:t>
      </w:r>
    </w:p>
    <w:p w14:paraId="63D6C77B">
      <w:pPr>
        <w:adjustRightInd/>
        <w:spacing w:line="360" w:lineRule="auto"/>
        <w:ind w:firstLine="181" w:firstLineChars="50"/>
        <w:rPr>
          <w:rFonts w:ascii="宋体" w:hAnsi="宋体" w:cs="宋体"/>
          <w:b/>
          <w:sz w:val="36"/>
          <w:szCs w:val="36"/>
        </w:rPr>
      </w:pPr>
    </w:p>
    <w:p w14:paraId="47C74607">
      <w:pPr>
        <w:adjustRightInd/>
        <w:spacing w:line="360" w:lineRule="auto"/>
        <w:ind w:firstLine="480" w:firstLineChars="200"/>
        <w:rPr>
          <w:rFonts w:ascii="宋体" w:hAnsi="宋体" w:cs="宋体"/>
          <w:sz w:val="24"/>
        </w:rPr>
      </w:pPr>
    </w:p>
    <w:p w14:paraId="4C55B365">
      <w:pPr>
        <w:rPr>
          <w:rFonts w:ascii="宋体" w:hAnsi="宋体" w:cs="宋体"/>
          <w:b/>
          <w:sz w:val="36"/>
          <w:szCs w:val="36"/>
        </w:rPr>
      </w:pPr>
      <w:r>
        <w:rPr>
          <w:rFonts w:hint="eastAsia" w:ascii="宋体" w:hAnsi="宋体" w:cs="宋体"/>
          <w:b/>
          <w:sz w:val="36"/>
          <w:szCs w:val="36"/>
        </w:rPr>
        <w:br w:type="page"/>
      </w:r>
    </w:p>
    <w:p w14:paraId="4AEBBAFC">
      <w:pPr>
        <w:spacing w:line="360" w:lineRule="auto"/>
        <w:ind w:firstLine="181" w:firstLineChars="50"/>
        <w:jc w:val="center"/>
        <w:rPr>
          <w:rFonts w:ascii="宋体" w:hAnsi="宋体" w:cs="宋体"/>
          <w:b/>
          <w:sz w:val="36"/>
          <w:szCs w:val="36"/>
        </w:rPr>
      </w:pPr>
      <w:r>
        <w:rPr>
          <w:rFonts w:hint="eastAsia" w:ascii="宋体" w:hAnsi="宋体" w:cs="宋体"/>
          <w:b/>
          <w:sz w:val="36"/>
          <w:szCs w:val="36"/>
        </w:rPr>
        <w:t xml:space="preserve">第四部分   </w:t>
      </w:r>
      <w:bookmarkStart w:id="29" w:name="_Toc184310297"/>
      <w:bookmarkEnd w:id="29"/>
      <w:bookmarkStart w:id="30" w:name="_Toc184308054"/>
      <w:bookmarkEnd w:id="30"/>
      <w:bookmarkStart w:id="31" w:name="_Toc184314423"/>
      <w:bookmarkEnd w:id="31"/>
      <w:bookmarkStart w:id="32" w:name="_Toc184312116"/>
      <w:bookmarkEnd w:id="32"/>
      <w:bookmarkStart w:id="33" w:name="_Toc184313239"/>
      <w:bookmarkEnd w:id="33"/>
      <w:bookmarkStart w:id="34" w:name="_Toc184310333"/>
      <w:bookmarkEnd w:id="34"/>
      <w:bookmarkStart w:id="35" w:name="_Toc184313308"/>
      <w:bookmarkEnd w:id="35"/>
      <w:bookmarkStart w:id="36" w:name="_Toc184308079"/>
      <w:bookmarkEnd w:id="36"/>
      <w:bookmarkStart w:id="37" w:name="_Toc184312080"/>
      <w:bookmarkEnd w:id="37"/>
      <w:bookmarkStart w:id="38" w:name="_Toc184310316"/>
      <w:bookmarkEnd w:id="38"/>
      <w:bookmarkStart w:id="39" w:name="_Toc184314467"/>
      <w:bookmarkEnd w:id="39"/>
      <w:bookmarkStart w:id="40" w:name="_Toc184312108"/>
      <w:bookmarkEnd w:id="40"/>
      <w:bookmarkStart w:id="41" w:name="_Toc184308049"/>
      <w:bookmarkEnd w:id="41"/>
      <w:bookmarkStart w:id="42" w:name="_Toc184310308"/>
      <w:bookmarkEnd w:id="42"/>
      <w:bookmarkStart w:id="43" w:name="_Toc184313289"/>
      <w:bookmarkEnd w:id="43"/>
      <w:bookmarkStart w:id="44" w:name="_Toc184312100"/>
      <w:bookmarkEnd w:id="44"/>
      <w:bookmarkStart w:id="45" w:name="_Toc184310320"/>
      <w:bookmarkEnd w:id="45"/>
      <w:bookmarkStart w:id="46" w:name="_Toc184312094"/>
      <w:bookmarkEnd w:id="46"/>
      <w:bookmarkStart w:id="47" w:name="_Toc184313278"/>
      <w:bookmarkEnd w:id="47"/>
      <w:bookmarkStart w:id="48" w:name="_Toc184312078"/>
      <w:bookmarkEnd w:id="48"/>
      <w:bookmarkStart w:id="49" w:name="_Toc184313297"/>
      <w:bookmarkEnd w:id="49"/>
      <w:bookmarkStart w:id="50" w:name="_Toc184313257"/>
      <w:bookmarkEnd w:id="50"/>
      <w:bookmarkStart w:id="51" w:name="_Toc184308039"/>
      <w:bookmarkEnd w:id="51"/>
      <w:bookmarkStart w:id="52" w:name="_Toc184308097"/>
      <w:bookmarkEnd w:id="52"/>
      <w:bookmarkStart w:id="53" w:name="_Toc184314435"/>
      <w:bookmarkEnd w:id="53"/>
      <w:bookmarkStart w:id="54" w:name="_Toc184313293"/>
      <w:bookmarkEnd w:id="54"/>
      <w:bookmarkStart w:id="55" w:name="_Toc184312085"/>
      <w:bookmarkEnd w:id="55"/>
      <w:bookmarkStart w:id="56" w:name="_Toc184310306"/>
      <w:bookmarkEnd w:id="56"/>
      <w:bookmarkStart w:id="57" w:name="_Toc184314475"/>
      <w:bookmarkEnd w:id="57"/>
      <w:bookmarkStart w:id="58" w:name="_Toc184313303"/>
      <w:bookmarkEnd w:id="58"/>
      <w:bookmarkStart w:id="59" w:name="_Toc184314449"/>
      <w:bookmarkEnd w:id="59"/>
      <w:bookmarkStart w:id="60" w:name="_Toc184310296"/>
      <w:bookmarkEnd w:id="60"/>
      <w:bookmarkStart w:id="61" w:name="_Toc184313242"/>
      <w:bookmarkEnd w:id="61"/>
      <w:bookmarkStart w:id="62" w:name="_Toc184312118"/>
      <w:bookmarkEnd w:id="62"/>
      <w:bookmarkStart w:id="63" w:name="_Toc184310323"/>
      <w:bookmarkEnd w:id="63"/>
      <w:bookmarkStart w:id="64" w:name="_Toc184312120"/>
      <w:bookmarkEnd w:id="64"/>
      <w:bookmarkStart w:id="65" w:name="_Toc184310319"/>
      <w:bookmarkEnd w:id="65"/>
      <w:bookmarkStart w:id="66" w:name="_Toc184312126"/>
      <w:bookmarkEnd w:id="66"/>
      <w:bookmarkStart w:id="67" w:name="_Toc184314478"/>
      <w:bookmarkEnd w:id="67"/>
      <w:bookmarkStart w:id="68" w:name="_Toc184312104"/>
      <w:bookmarkEnd w:id="68"/>
      <w:bookmarkStart w:id="69" w:name="_Toc184314433"/>
      <w:bookmarkEnd w:id="69"/>
      <w:bookmarkStart w:id="70" w:name="_Toc184310273"/>
      <w:bookmarkEnd w:id="70"/>
      <w:bookmarkStart w:id="71" w:name="_Toc184310326"/>
      <w:bookmarkEnd w:id="71"/>
      <w:bookmarkStart w:id="72" w:name="_Toc184314448"/>
      <w:bookmarkEnd w:id="72"/>
      <w:bookmarkStart w:id="73" w:name="_Toc184310303"/>
      <w:bookmarkEnd w:id="73"/>
      <w:bookmarkStart w:id="74" w:name="_Toc184310310"/>
      <w:bookmarkEnd w:id="74"/>
      <w:bookmarkStart w:id="75" w:name="_Toc184312107"/>
      <w:bookmarkEnd w:id="75"/>
      <w:bookmarkStart w:id="76" w:name="_Toc184312128"/>
      <w:bookmarkEnd w:id="76"/>
      <w:bookmarkStart w:id="77" w:name="_Toc184314455"/>
      <w:bookmarkEnd w:id="77"/>
      <w:bookmarkStart w:id="78" w:name="_Toc184312109"/>
      <w:bookmarkEnd w:id="78"/>
      <w:bookmarkStart w:id="79" w:name="_Toc184314481"/>
      <w:bookmarkEnd w:id="79"/>
      <w:bookmarkStart w:id="80" w:name="_Toc184313305"/>
      <w:bookmarkEnd w:id="80"/>
      <w:bookmarkStart w:id="81" w:name="_Toc184308084"/>
      <w:bookmarkEnd w:id="81"/>
      <w:bookmarkStart w:id="82" w:name="_Toc184308070"/>
      <w:bookmarkEnd w:id="82"/>
      <w:bookmarkStart w:id="83" w:name="_Toc184308078"/>
      <w:bookmarkEnd w:id="83"/>
      <w:bookmarkStart w:id="84" w:name="_Toc184312090"/>
      <w:bookmarkEnd w:id="84"/>
      <w:bookmarkStart w:id="85" w:name="_Toc184310311"/>
      <w:bookmarkEnd w:id="85"/>
      <w:bookmarkStart w:id="86" w:name="_Toc184312071"/>
      <w:bookmarkEnd w:id="86"/>
      <w:bookmarkStart w:id="87" w:name="_Toc184313264"/>
      <w:bookmarkEnd w:id="87"/>
      <w:bookmarkStart w:id="88" w:name="_Toc184312136"/>
      <w:bookmarkEnd w:id="88"/>
      <w:bookmarkStart w:id="89" w:name="_Toc184308103"/>
      <w:bookmarkEnd w:id="89"/>
      <w:bookmarkStart w:id="90" w:name="_Toc184310286"/>
      <w:bookmarkEnd w:id="90"/>
      <w:bookmarkStart w:id="91" w:name="_Toc184314473"/>
      <w:bookmarkEnd w:id="91"/>
      <w:bookmarkStart w:id="92" w:name="_Toc184314470"/>
      <w:bookmarkEnd w:id="92"/>
      <w:bookmarkStart w:id="93" w:name="_Toc184310280"/>
      <w:bookmarkEnd w:id="93"/>
      <w:bookmarkStart w:id="94" w:name="_Toc184312081"/>
      <w:bookmarkEnd w:id="94"/>
      <w:bookmarkStart w:id="95" w:name="_Toc184308090"/>
      <w:bookmarkEnd w:id="95"/>
      <w:bookmarkStart w:id="96" w:name="_Toc184308037"/>
      <w:bookmarkEnd w:id="96"/>
      <w:bookmarkStart w:id="97" w:name="_Toc184310278"/>
      <w:bookmarkEnd w:id="97"/>
      <w:bookmarkStart w:id="98" w:name="_Toc184310344"/>
      <w:bookmarkEnd w:id="98"/>
      <w:bookmarkStart w:id="99" w:name="_Toc184308098"/>
      <w:bookmarkEnd w:id="99"/>
      <w:bookmarkStart w:id="100" w:name="_Toc184314471"/>
      <w:bookmarkEnd w:id="100"/>
      <w:bookmarkStart w:id="101" w:name="_Toc184310290"/>
      <w:bookmarkEnd w:id="101"/>
      <w:bookmarkStart w:id="102" w:name="_Toc184313302"/>
      <w:bookmarkEnd w:id="102"/>
      <w:bookmarkStart w:id="103" w:name="_Toc184310294"/>
      <w:bookmarkEnd w:id="103"/>
      <w:bookmarkStart w:id="104" w:name="_Toc184308057"/>
      <w:bookmarkEnd w:id="104"/>
      <w:bookmarkStart w:id="105" w:name="_Toc184313294"/>
      <w:bookmarkEnd w:id="105"/>
      <w:bookmarkStart w:id="106" w:name="_Toc184312139"/>
      <w:bookmarkEnd w:id="106"/>
      <w:bookmarkStart w:id="107" w:name="_Toc184314446"/>
      <w:bookmarkEnd w:id="107"/>
      <w:bookmarkStart w:id="108" w:name="_Toc184312068"/>
      <w:bookmarkEnd w:id="108"/>
      <w:bookmarkStart w:id="109" w:name="_Toc184312123"/>
      <w:bookmarkEnd w:id="109"/>
      <w:bookmarkStart w:id="110" w:name="_Toc184312069"/>
      <w:bookmarkEnd w:id="110"/>
      <w:bookmarkStart w:id="111" w:name="_Toc184312115"/>
      <w:bookmarkEnd w:id="111"/>
      <w:bookmarkStart w:id="112" w:name="_Toc184314430"/>
      <w:bookmarkEnd w:id="112"/>
      <w:bookmarkStart w:id="113" w:name="_Toc184308043"/>
      <w:bookmarkEnd w:id="113"/>
      <w:bookmarkStart w:id="114" w:name="_Toc184314432"/>
      <w:bookmarkEnd w:id="114"/>
      <w:bookmarkStart w:id="115" w:name="_Toc184308091"/>
      <w:bookmarkEnd w:id="115"/>
      <w:bookmarkStart w:id="116" w:name="_Toc184314426"/>
      <w:bookmarkEnd w:id="116"/>
      <w:bookmarkStart w:id="117" w:name="_Toc184313275"/>
      <w:bookmarkEnd w:id="117"/>
      <w:bookmarkStart w:id="118" w:name="_Toc184310275"/>
      <w:bookmarkEnd w:id="118"/>
      <w:bookmarkStart w:id="119" w:name="_Toc184312129"/>
      <w:bookmarkEnd w:id="119"/>
      <w:bookmarkStart w:id="120" w:name="_Toc184314465"/>
      <w:bookmarkEnd w:id="120"/>
      <w:bookmarkStart w:id="121" w:name="_Toc184312111"/>
      <w:bookmarkEnd w:id="121"/>
      <w:bookmarkStart w:id="122" w:name="_Toc184312130"/>
      <w:bookmarkEnd w:id="122"/>
      <w:bookmarkStart w:id="123" w:name="_Toc184313259"/>
      <w:bookmarkEnd w:id="123"/>
      <w:bookmarkStart w:id="124" w:name="_Toc184314454"/>
      <w:bookmarkEnd w:id="124"/>
      <w:bookmarkStart w:id="125" w:name="_Toc184308062"/>
      <w:bookmarkEnd w:id="125"/>
      <w:bookmarkStart w:id="126" w:name="_Toc184310340"/>
      <w:bookmarkEnd w:id="126"/>
      <w:bookmarkStart w:id="127" w:name="_Toc184313272"/>
      <w:bookmarkEnd w:id="127"/>
      <w:bookmarkStart w:id="128" w:name="_Toc184308046"/>
      <w:bookmarkEnd w:id="128"/>
      <w:bookmarkStart w:id="129" w:name="_Toc184313261"/>
      <w:bookmarkEnd w:id="129"/>
      <w:bookmarkStart w:id="130" w:name="_Toc184312092"/>
      <w:bookmarkEnd w:id="130"/>
      <w:bookmarkStart w:id="131" w:name="_Toc184313310"/>
      <w:bookmarkEnd w:id="131"/>
      <w:bookmarkStart w:id="132" w:name="_Toc184312087"/>
      <w:bookmarkEnd w:id="132"/>
      <w:bookmarkStart w:id="133" w:name="_Toc184310314"/>
      <w:bookmarkEnd w:id="133"/>
      <w:bookmarkStart w:id="134" w:name="_Toc184308088"/>
      <w:bookmarkEnd w:id="134"/>
      <w:bookmarkStart w:id="135" w:name="_Toc184312114"/>
      <w:bookmarkEnd w:id="135"/>
      <w:bookmarkStart w:id="136" w:name="_Toc184314476"/>
      <w:bookmarkEnd w:id="136"/>
      <w:bookmarkStart w:id="137" w:name="_Toc184308044"/>
      <w:bookmarkEnd w:id="137"/>
      <w:bookmarkStart w:id="138" w:name="_Toc184310287"/>
      <w:bookmarkEnd w:id="138"/>
      <w:bookmarkStart w:id="139" w:name="_Toc184312105"/>
      <w:bookmarkEnd w:id="139"/>
      <w:bookmarkStart w:id="140" w:name="_Toc184308059"/>
      <w:bookmarkEnd w:id="140"/>
      <w:bookmarkStart w:id="141" w:name="_Toc184308052"/>
      <w:bookmarkEnd w:id="141"/>
      <w:bookmarkStart w:id="142" w:name="_Toc184310337"/>
      <w:bookmarkEnd w:id="142"/>
      <w:bookmarkStart w:id="143" w:name="_Toc184313243"/>
      <w:bookmarkEnd w:id="143"/>
      <w:bookmarkStart w:id="144" w:name="_Toc184314451"/>
      <w:bookmarkEnd w:id="144"/>
      <w:bookmarkStart w:id="145" w:name="_Toc184312110"/>
      <w:bookmarkEnd w:id="145"/>
      <w:bookmarkStart w:id="146" w:name="_Toc184308061"/>
      <w:bookmarkEnd w:id="146"/>
      <w:bookmarkStart w:id="147" w:name="_Toc184314411"/>
      <w:bookmarkEnd w:id="147"/>
      <w:bookmarkStart w:id="148" w:name="_Toc184312117"/>
      <w:bookmarkEnd w:id="148"/>
      <w:bookmarkStart w:id="149" w:name="_Toc184308104"/>
      <w:bookmarkEnd w:id="149"/>
      <w:bookmarkStart w:id="150" w:name="_Toc184313298"/>
      <w:bookmarkEnd w:id="150"/>
      <w:bookmarkStart w:id="151" w:name="_Toc184313253"/>
      <w:bookmarkEnd w:id="151"/>
      <w:bookmarkStart w:id="152" w:name="_Toc184312137"/>
      <w:bookmarkEnd w:id="152"/>
      <w:bookmarkStart w:id="153" w:name="_Toc184310328"/>
      <w:bookmarkEnd w:id="153"/>
      <w:bookmarkStart w:id="154" w:name="_Toc184308089"/>
      <w:bookmarkEnd w:id="154"/>
      <w:bookmarkStart w:id="155" w:name="_Toc184312127"/>
      <w:bookmarkEnd w:id="155"/>
      <w:bookmarkStart w:id="156" w:name="_Toc184312121"/>
      <w:bookmarkEnd w:id="156"/>
      <w:bookmarkStart w:id="157" w:name="_Toc184308085"/>
      <w:bookmarkEnd w:id="157"/>
      <w:bookmarkStart w:id="158" w:name="_Toc184310300"/>
      <w:bookmarkEnd w:id="158"/>
      <w:bookmarkStart w:id="159" w:name="_Toc184308050"/>
      <w:bookmarkEnd w:id="159"/>
      <w:bookmarkStart w:id="160" w:name="_Toc184312132"/>
      <w:bookmarkEnd w:id="160"/>
      <w:bookmarkStart w:id="161" w:name="_Toc184308067"/>
      <w:bookmarkEnd w:id="161"/>
      <w:bookmarkStart w:id="162" w:name="_Toc184312083"/>
      <w:bookmarkEnd w:id="162"/>
      <w:bookmarkStart w:id="163" w:name="_Toc184308106"/>
      <w:bookmarkEnd w:id="163"/>
      <w:bookmarkStart w:id="164" w:name="_Toc184312113"/>
      <w:bookmarkEnd w:id="164"/>
      <w:bookmarkStart w:id="165" w:name="_Toc184308071"/>
      <w:bookmarkEnd w:id="165"/>
      <w:bookmarkStart w:id="166" w:name="_Toc184308087"/>
      <w:bookmarkEnd w:id="166"/>
      <w:bookmarkStart w:id="167" w:name="_Toc184312103"/>
      <w:bookmarkEnd w:id="167"/>
      <w:bookmarkStart w:id="168" w:name="_Toc184310289"/>
      <w:bookmarkEnd w:id="168"/>
      <w:bookmarkStart w:id="169" w:name="_Toc184312098"/>
      <w:bookmarkEnd w:id="169"/>
      <w:bookmarkStart w:id="170" w:name="_Toc184310334"/>
      <w:bookmarkEnd w:id="170"/>
      <w:bookmarkStart w:id="171" w:name="_Toc184314482"/>
      <w:bookmarkEnd w:id="171"/>
      <w:bookmarkStart w:id="172" w:name="_Toc184312091"/>
      <w:bookmarkEnd w:id="172"/>
      <w:bookmarkStart w:id="173" w:name="_Toc184313299"/>
      <w:bookmarkEnd w:id="173"/>
      <w:bookmarkStart w:id="174" w:name="_Toc184314477"/>
      <w:bookmarkEnd w:id="174"/>
      <w:bookmarkStart w:id="175" w:name="_Toc184314413"/>
      <w:bookmarkEnd w:id="175"/>
      <w:bookmarkStart w:id="176" w:name="_Toc184308108"/>
      <w:bookmarkEnd w:id="176"/>
      <w:bookmarkStart w:id="177" w:name="_Toc184310305"/>
      <w:bookmarkEnd w:id="177"/>
      <w:bookmarkStart w:id="178" w:name="_Toc184312096"/>
      <w:bookmarkEnd w:id="178"/>
      <w:bookmarkStart w:id="179" w:name="_Toc184310332"/>
      <w:bookmarkEnd w:id="179"/>
      <w:bookmarkStart w:id="180" w:name="_Toc184314464"/>
      <w:bookmarkEnd w:id="180"/>
      <w:bookmarkStart w:id="181" w:name="_Toc184314419"/>
      <w:bookmarkEnd w:id="181"/>
      <w:bookmarkStart w:id="182" w:name="_Toc184313266"/>
      <w:bookmarkEnd w:id="182"/>
      <w:bookmarkStart w:id="183" w:name="_Toc184312082"/>
      <w:bookmarkEnd w:id="183"/>
      <w:bookmarkStart w:id="184" w:name="_Toc184313260"/>
      <w:bookmarkEnd w:id="184"/>
      <w:bookmarkStart w:id="185" w:name="_Toc184308105"/>
      <w:bookmarkEnd w:id="185"/>
      <w:bookmarkStart w:id="186" w:name="_Toc184314458"/>
      <w:bookmarkEnd w:id="186"/>
      <w:bookmarkStart w:id="187" w:name="_Toc184310302"/>
      <w:bookmarkEnd w:id="187"/>
      <w:bookmarkStart w:id="188" w:name="_Toc184314418"/>
      <w:bookmarkEnd w:id="188"/>
      <w:bookmarkStart w:id="189" w:name="_Toc184310307"/>
      <w:bookmarkEnd w:id="189"/>
      <w:bookmarkStart w:id="190" w:name="_Toc184314447"/>
      <w:bookmarkEnd w:id="190"/>
      <w:bookmarkStart w:id="191" w:name="_Toc184313286"/>
      <w:bookmarkEnd w:id="191"/>
      <w:bookmarkStart w:id="192" w:name="_Toc184314429"/>
      <w:bookmarkEnd w:id="192"/>
      <w:bookmarkStart w:id="193" w:name="_Toc184314422"/>
      <w:bookmarkEnd w:id="193"/>
      <w:bookmarkStart w:id="194" w:name="_Toc184314421"/>
      <w:bookmarkEnd w:id="194"/>
      <w:bookmarkStart w:id="195" w:name="_Toc184312125"/>
      <w:bookmarkEnd w:id="195"/>
      <w:bookmarkStart w:id="196" w:name="_Toc184310277"/>
      <w:bookmarkEnd w:id="196"/>
      <w:bookmarkStart w:id="197" w:name="_Toc184312131"/>
      <w:bookmarkEnd w:id="197"/>
      <w:bookmarkStart w:id="198" w:name="_Toc184312089"/>
      <w:bookmarkEnd w:id="198"/>
      <w:bookmarkStart w:id="199" w:name="_Toc184314424"/>
      <w:bookmarkEnd w:id="199"/>
      <w:bookmarkStart w:id="200" w:name="_Toc184312097"/>
      <w:bookmarkEnd w:id="200"/>
      <w:bookmarkStart w:id="201" w:name="_Toc184314468"/>
      <w:bookmarkEnd w:id="201"/>
      <w:bookmarkStart w:id="202" w:name="_Toc184313248"/>
      <w:bookmarkEnd w:id="202"/>
      <w:bookmarkStart w:id="203" w:name="_Toc184314416"/>
      <w:bookmarkEnd w:id="203"/>
      <w:bookmarkStart w:id="204" w:name="_Toc184310295"/>
      <w:bookmarkEnd w:id="204"/>
      <w:bookmarkStart w:id="205" w:name="_Toc184313251"/>
      <w:bookmarkEnd w:id="205"/>
      <w:bookmarkStart w:id="206" w:name="_Toc184313281"/>
      <w:bookmarkEnd w:id="206"/>
      <w:bookmarkStart w:id="207" w:name="_Toc184308051"/>
      <w:bookmarkEnd w:id="207"/>
      <w:bookmarkStart w:id="208" w:name="_Toc184313273"/>
      <w:bookmarkEnd w:id="208"/>
      <w:bookmarkStart w:id="209" w:name="_Toc184310321"/>
      <w:bookmarkEnd w:id="209"/>
      <w:bookmarkStart w:id="210" w:name="_Toc184312093"/>
      <w:bookmarkEnd w:id="210"/>
      <w:bookmarkStart w:id="211" w:name="_Toc184308099"/>
      <w:bookmarkEnd w:id="211"/>
      <w:bookmarkStart w:id="212" w:name="_Toc184310301"/>
      <w:bookmarkEnd w:id="212"/>
      <w:bookmarkStart w:id="213" w:name="_Toc184312079"/>
      <w:bookmarkEnd w:id="213"/>
      <w:bookmarkStart w:id="214" w:name="_Toc184310291"/>
      <w:bookmarkEnd w:id="214"/>
      <w:bookmarkStart w:id="215" w:name="_Toc184313269"/>
      <w:bookmarkEnd w:id="215"/>
      <w:bookmarkStart w:id="216" w:name="_Toc184312134"/>
      <w:bookmarkEnd w:id="216"/>
      <w:bookmarkStart w:id="217" w:name="_Toc184308038"/>
      <w:bookmarkEnd w:id="217"/>
      <w:bookmarkStart w:id="218" w:name="_Toc184313300"/>
      <w:bookmarkEnd w:id="218"/>
      <w:bookmarkStart w:id="219" w:name="_Toc184314474"/>
      <w:bookmarkEnd w:id="219"/>
      <w:bookmarkStart w:id="220" w:name="_Toc184313268"/>
      <w:bookmarkEnd w:id="220"/>
      <w:bookmarkStart w:id="221" w:name="_Toc184313295"/>
      <w:bookmarkEnd w:id="221"/>
      <w:bookmarkStart w:id="222" w:name="_Toc184313276"/>
      <w:bookmarkEnd w:id="222"/>
      <w:bookmarkStart w:id="223" w:name="_Toc184314436"/>
      <w:bookmarkEnd w:id="223"/>
      <w:bookmarkStart w:id="224" w:name="_Toc184310299"/>
      <w:bookmarkEnd w:id="224"/>
      <w:bookmarkStart w:id="225" w:name="_Toc184313279"/>
      <w:bookmarkEnd w:id="225"/>
      <w:bookmarkStart w:id="226" w:name="_Toc184313245"/>
      <w:bookmarkEnd w:id="226"/>
      <w:bookmarkStart w:id="227" w:name="_Toc184308040"/>
      <w:bookmarkEnd w:id="227"/>
      <w:bookmarkStart w:id="228" w:name="_Toc184308060"/>
      <w:bookmarkEnd w:id="228"/>
      <w:bookmarkStart w:id="229" w:name="_Toc184310324"/>
      <w:bookmarkEnd w:id="229"/>
      <w:bookmarkStart w:id="230" w:name="_Toc184308063"/>
      <w:bookmarkEnd w:id="230"/>
      <w:bookmarkStart w:id="231" w:name="_Toc184314425"/>
      <w:bookmarkEnd w:id="231"/>
      <w:bookmarkStart w:id="232" w:name="_Toc184310281"/>
      <w:bookmarkEnd w:id="232"/>
      <w:bookmarkStart w:id="233" w:name="_Toc184308081"/>
      <w:bookmarkEnd w:id="233"/>
      <w:bookmarkStart w:id="234" w:name="_Toc184313284"/>
      <w:bookmarkEnd w:id="234"/>
      <w:bookmarkStart w:id="235" w:name="_Toc184312076"/>
      <w:bookmarkEnd w:id="235"/>
      <w:bookmarkStart w:id="236" w:name="_Toc184310272"/>
      <w:bookmarkEnd w:id="236"/>
      <w:bookmarkStart w:id="237" w:name="_Toc184312077"/>
      <w:bookmarkEnd w:id="237"/>
      <w:bookmarkStart w:id="238" w:name="_Toc184310292"/>
      <w:bookmarkEnd w:id="238"/>
      <w:bookmarkStart w:id="239" w:name="_Toc184314460"/>
      <w:bookmarkEnd w:id="239"/>
      <w:bookmarkStart w:id="240" w:name="_Toc184313249"/>
      <w:bookmarkEnd w:id="240"/>
      <w:bookmarkStart w:id="241" w:name="_Toc184313292"/>
      <w:bookmarkEnd w:id="241"/>
      <w:bookmarkStart w:id="242" w:name="_Toc184312135"/>
      <w:bookmarkEnd w:id="242"/>
      <w:bookmarkStart w:id="243" w:name="_Toc184308075"/>
      <w:bookmarkEnd w:id="243"/>
      <w:bookmarkStart w:id="244" w:name="_Toc184313258"/>
      <w:bookmarkEnd w:id="244"/>
      <w:bookmarkStart w:id="245" w:name="_Toc184312074"/>
      <w:bookmarkEnd w:id="245"/>
      <w:bookmarkStart w:id="246" w:name="_Toc184308069"/>
      <w:bookmarkEnd w:id="246"/>
      <w:bookmarkStart w:id="247" w:name="_Toc184313256"/>
      <w:bookmarkEnd w:id="247"/>
      <w:bookmarkStart w:id="248" w:name="_Toc184313277"/>
      <w:bookmarkEnd w:id="248"/>
      <w:bookmarkStart w:id="249" w:name="_Toc184313280"/>
      <w:bookmarkEnd w:id="249"/>
      <w:bookmarkStart w:id="250" w:name="_Toc184314466"/>
      <w:bookmarkEnd w:id="250"/>
      <w:bookmarkStart w:id="251" w:name="_Toc184310322"/>
      <w:bookmarkEnd w:id="251"/>
      <w:bookmarkStart w:id="252" w:name="_Toc184313255"/>
      <w:bookmarkEnd w:id="252"/>
      <w:bookmarkStart w:id="253" w:name="_Toc184312119"/>
      <w:bookmarkEnd w:id="253"/>
      <w:bookmarkStart w:id="254" w:name="_Toc184313241"/>
      <w:bookmarkEnd w:id="254"/>
      <w:bookmarkStart w:id="255" w:name="_Toc184314450"/>
      <w:bookmarkEnd w:id="255"/>
      <w:bookmarkStart w:id="256" w:name="_Toc184313283"/>
      <w:bookmarkEnd w:id="256"/>
      <w:bookmarkStart w:id="257" w:name="_Toc184308056"/>
      <w:bookmarkEnd w:id="257"/>
      <w:bookmarkStart w:id="258" w:name="_Toc184310312"/>
      <w:bookmarkEnd w:id="258"/>
      <w:bookmarkStart w:id="259" w:name="_Toc184308041"/>
      <w:bookmarkEnd w:id="259"/>
      <w:bookmarkStart w:id="260" w:name="_Toc184308095"/>
      <w:bookmarkEnd w:id="260"/>
      <w:bookmarkStart w:id="261" w:name="_Toc184310284"/>
      <w:bookmarkEnd w:id="261"/>
      <w:bookmarkStart w:id="262" w:name="_Toc184314420"/>
      <w:bookmarkEnd w:id="262"/>
      <w:bookmarkStart w:id="263" w:name="_Toc184314410"/>
      <w:bookmarkEnd w:id="263"/>
      <w:bookmarkStart w:id="264" w:name="_Toc184310341"/>
      <w:bookmarkEnd w:id="264"/>
      <w:bookmarkStart w:id="265" w:name="_Toc184308080"/>
      <w:bookmarkEnd w:id="265"/>
      <w:bookmarkStart w:id="266" w:name="_Toc184314456"/>
      <w:bookmarkEnd w:id="266"/>
      <w:bookmarkStart w:id="267" w:name="_Toc184314469"/>
      <w:bookmarkEnd w:id="267"/>
      <w:bookmarkStart w:id="268" w:name="_Toc184310293"/>
      <w:bookmarkEnd w:id="268"/>
      <w:bookmarkStart w:id="269" w:name="_Toc184312102"/>
      <w:bookmarkEnd w:id="269"/>
      <w:bookmarkStart w:id="270" w:name="_Toc184314439"/>
      <w:bookmarkEnd w:id="270"/>
      <w:bookmarkStart w:id="271" w:name="_Toc184308073"/>
      <w:bookmarkEnd w:id="271"/>
      <w:bookmarkStart w:id="272" w:name="_Toc184308092"/>
      <w:bookmarkEnd w:id="272"/>
      <w:bookmarkStart w:id="273" w:name="_Toc184310285"/>
      <w:bookmarkEnd w:id="273"/>
      <w:bookmarkStart w:id="274" w:name="_Toc184313291"/>
      <w:bookmarkEnd w:id="274"/>
      <w:bookmarkStart w:id="275" w:name="_Toc184308068"/>
      <w:bookmarkEnd w:id="275"/>
      <w:bookmarkStart w:id="276" w:name="_Toc184313296"/>
      <w:bookmarkEnd w:id="276"/>
      <w:bookmarkStart w:id="277" w:name="_Toc184308102"/>
      <w:bookmarkEnd w:id="277"/>
      <w:bookmarkStart w:id="278" w:name="_Toc184308064"/>
      <w:bookmarkEnd w:id="278"/>
      <w:bookmarkStart w:id="279" w:name="_Toc184310318"/>
      <w:bookmarkEnd w:id="279"/>
      <w:bookmarkStart w:id="280" w:name="_Toc184310309"/>
      <w:bookmarkEnd w:id="280"/>
      <w:bookmarkStart w:id="281" w:name="_Toc184312101"/>
      <w:bookmarkEnd w:id="281"/>
      <w:bookmarkStart w:id="282" w:name="_Toc184312122"/>
      <w:bookmarkEnd w:id="282"/>
      <w:bookmarkStart w:id="283" w:name="_Toc184314415"/>
      <w:bookmarkEnd w:id="283"/>
      <w:bookmarkStart w:id="284" w:name="_Toc184312070"/>
      <w:bookmarkEnd w:id="284"/>
      <w:bookmarkStart w:id="285" w:name="_Toc184313287"/>
      <w:bookmarkEnd w:id="285"/>
      <w:bookmarkStart w:id="286" w:name="_Toc184310288"/>
      <w:bookmarkEnd w:id="286"/>
      <w:bookmarkStart w:id="287" w:name="_Toc184310283"/>
      <w:bookmarkEnd w:id="287"/>
      <w:bookmarkStart w:id="288" w:name="_Toc184310315"/>
      <w:bookmarkEnd w:id="288"/>
      <w:bookmarkStart w:id="289" w:name="_Toc184310313"/>
      <w:bookmarkEnd w:id="289"/>
      <w:bookmarkStart w:id="290" w:name="_Toc184312099"/>
      <w:bookmarkEnd w:id="290"/>
      <w:bookmarkStart w:id="291" w:name="_Toc184308101"/>
      <w:bookmarkEnd w:id="291"/>
      <w:bookmarkStart w:id="292" w:name="_Toc184314445"/>
      <w:bookmarkEnd w:id="292"/>
      <w:bookmarkStart w:id="293" w:name="_Toc184313307"/>
      <w:bookmarkEnd w:id="293"/>
      <w:bookmarkStart w:id="294" w:name="_Toc184310342"/>
      <w:bookmarkEnd w:id="294"/>
      <w:bookmarkStart w:id="295" w:name="_Toc184313240"/>
      <w:bookmarkEnd w:id="295"/>
      <w:bookmarkStart w:id="296" w:name="_Toc184308065"/>
      <w:bookmarkEnd w:id="296"/>
      <w:bookmarkStart w:id="297" w:name="_Toc184314440"/>
      <w:bookmarkEnd w:id="297"/>
      <w:bookmarkStart w:id="298" w:name="_Toc184308036"/>
      <w:bookmarkEnd w:id="298"/>
      <w:bookmarkStart w:id="299" w:name="_Toc184312084"/>
      <w:bookmarkEnd w:id="299"/>
      <w:bookmarkStart w:id="300" w:name="_Toc184313282"/>
      <w:bookmarkEnd w:id="300"/>
      <w:bookmarkStart w:id="301" w:name="_Toc184310330"/>
      <w:bookmarkEnd w:id="301"/>
      <w:bookmarkStart w:id="302" w:name="_Toc184314463"/>
      <w:bookmarkEnd w:id="302"/>
      <w:bookmarkStart w:id="303" w:name="_Toc184314453"/>
      <w:bookmarkEnd w:id="303"/>
      <w:bookmarkStart w:id="304" w:name="_Toc184308055"/>
      <w:bookmarkEnd w:id="304"/>
      <w:bookmarkStart w:id="305" w:name="_Toc184313306"/>
      <w:bookmarkEnd w:id="305"/>
      <w:bookmarkStart w:id="306" w:name="_Toc184310336"/>
      <w:bookmarkEnd w:id="306"/>
      <w:bookmarkStart w:id="307" w:name="_Toc184308077"/>
      <w:bookmarkEnd w:id="307"/>
      <w:bookmarkStart w:id="308" w:name="_Toc184314472"/>
      <w:bookmarkEnd w:id="308"/>
      <w:bookmarkStart w:id="309" w:name="_Toc184308076"/>
      <w:bookmarkEnd w:id="309"/>
      <w:bookmarkStart w:id="310" w:name="_Toc184312133"/>
      <w:bookmarkEnd w:id="310"/>
      <w:bookmarkStart w:id="311" w:name="_Toc184313252"/>
      <w:bookmarkEnd w:id="311"/>
      <w:bookmarkStart w:id="312" w:name="_Toc184313247"/>
      <w:bookmarkEnd w:id="312"/>
      <w:bookmarkStart w:id="313" w:name="_Toc184314441"/>
      <w:bookmarkEnd w:id="313"/>
      <w:bookmarkStart w:id="314" w:name="_Toc184310298"/>
      <w:bookmarkEnd w:id="314"/>
      <w:bookmarkStart w:id="315" w:name="_Toc184308100"/>
      <w:bookmarkEnd w:id="315"/>
      <w:bookmarkStart w:id="316" w:name="_Toc184312124"/>
      <w:bookmarkEnd w:id="316"/>
      <w:bookmarkStart w:id="317" w:name="_Toc184313254"/>
      <w:bookmarkEnd w:id="317"/>
      <w:bookmarkStart w:id="318" w:name="_Toc184314452"/>
      <w:bookmarkEnd w:id="318"/>
      <w:bookmarkStart w:id="319" w:name="_Toc184314457"/>
      <w:bookmarkEnd w:id="319"/>
      <w:bookmarkStart w:id="320" w:name="_Toc184308045"/>
      <w:bookmarkEnd w:id="320"/>
      <w:bookmarkStart w:id="321" w:name="_Toc184313263"/>
      <w:bookmarkEnd w:id="321"/>
      <w:bookmarkStart w:id="322" w:name="_Toc184312072"/>
      <w:bookmarkEnd w:id="322"/>
      <w:bookmarkStart w:id="323" w:name="_Toc184308093"/>
      <w:bookmarkEnd w:id="323"/>
      <w:bookmarkStart w:id="324" w:name="_Toc184308074"/>
      <w:bookmarkEnd w:id="324"/>
      <w:bookmarkStart w:id="325" w:name="_Toc184308048"/>
      <w:bookmarkEnd w:id="325"/>
      <w:bookmarkStart w:id="326" w:name="_Toc184314443"/>
      <w:bookmarkEnd w:id="326"/>
      <w:bookmarkStart w:id="327" w:name="_Toc184308096"/>
      <w:bookmarkEnd w:id="327"/>
      <w:bookmarkStart w:id="328" w:name="_Toc184312112"/>
      <w:bookmarkEnd w:id="328"/>
      <w:bookmarkStart w:id="329" w:name="_Toc184308083"/>
      <w:bookmarkEnd w:id="329"/>
      <w:bookmarkStart w:id="330" w:name="_Toc184314427"/>
      <w:bookmarkEnd w:id="330"/>
      <w:bookmarkStart w:id="331" w:name="_Toc184310331"/>
      <w:bookmarkEnd w:id="331"/>
      <w:bookmarkStart w:id="332" w:name="_Toc184308107"/>
      <w:bookmarkEnd w:id="332"/>
      <w:bookmarkStart w:id="333" w:name="_Toc184313274"/>
      <w:bookmarkEnd w:id="333"/>
      <w:bookmarkStart w:id="334" w:name="_Toc184313290"/>
      <w:bookmarkEnd w:id="334"/>
      <w:bookmarkStart w:id="335" w:name="_Toc184312086"/>
      <w:bookmarkEnd w:id="335"/>
      <w:bookmarkStart w:id="336" w:name="_Toc184308058"/>
      <w:bookmarkEnd w:id="336"/>
      <w:bookmarkStart w:id="337" w:name="_Toc184310338"/>
      <w:bookmarkEnd w:id="337"/>
      <w:bookmarkStart w:id="338" w:name="_Toc184310335"/>
      <w:bookmarkEnd w:id="338"/>
      <w:bookmarkStart w:id="339" w:name="_Toc184314461"/>
      <w:bookmarkEnd w:id="339"/>
      <w:bookmarkStart w:id="340" w:name="_Toc184308047"/>
      <w:bookmarkEnd w:id="340"/>
      <w:bookmarkStart w:id="341" w:name="_Toc184312138"/>
      <w:bookmarkEnd w:id="341"/>
      <w:bookmarkStart w:id="342" w:name="_Toc184308082"/>
      <w:bookmarkEnd w:id="342"/>
      <w:bookmarkStart w:id="343" w:name="_Toc184313285"/>
      <w:bookmarkEnd w:id="343"/>
      <w:bookmarkStart w:id="344" w:name="_Toc184313267"/>
      <w:bookmarkEnd w:id="344"/>
      <w:bookmarkStart w:id="345" w:name="_Toc184314431"/>
      <w:bookmarkEnd w:id="345"/>
      <w:bookmarkStart w:id="346" w:name="_Toc184310339"/>
      <w:bookmarkEnd w:id="346"/>
      <w:bookmarkStart w:id="347" w:name="_Toc184314442"/>
      <w:bookmarkEnd w:id="347"/>
      <w:bookmarkStart w:id="348" w:name="_Toc184313271"/>
      <w:bookmarkEnd w:id="348"/>
      <w:bookmarkStart w:id="349" w:name="_Toc184308086"/>
      <w:bookmarkEnd w:id="349"/>
      <w:bookmarkStart w:id="350" w:name="_Toc184310325"/>
      <w:bookmarkEnd w:id="350"/>
      <w:bookmarkStart w:id="351" w:name="_Toc184313250"/>
      <w:bookmarkEnd w:id="351"/>
      <w:bookmarkStart w:id="352" w:name="_Toc184313246"/>
      <w:bookmarkEnd w:id="352"/>
      <w:bookmarkStart w:id="353" w:name="_Toc184310343"/>
      <w:bookmarkEnd w:id="353"/>
      <w:bookmarkStart w:id="354" w:name="_Toc184310317"/>
      <w:bookmarkEnd w:id="354"/>
      <w:bookmarkStart w:id="355" w:name="_Toc184310274"/>
      <w:bookmarkEnd w:id="355"/>
      <w:bookmarkStart w:id="356" w:name="_Toc184314479"/>
      <w:bookmarkEnd w:id="356"/>
      <w:bookmarkStart w:id="357" w:name="_Toc184314438"/>
      <w:bookmarkEnd w:id="357"/>
      <w:bookmarkStart w:id="358" w:name="_Toc184308042"/>
      <w:bookmarkEnd w:id="358"/>
      <w:bookmarkStart w:id="359" w:name="_Toc184314412"/>
      <w:bookmarkEnd w:id="359"/>
      <w:bookmarkStart w:id="360" w:name="_Toc184313238"/>
      <w:bookmarkEnd w:id="360"/>
      <w:bookmarkStart w:id="361" w:name="_Toc184308053"/>
      <w:bookmarkEnd w:id="361"/>
      <w:bookmarkStart w:id="362" w:name="_Toc184314428"/>
      <w:bookmarkEnd w:id="362"/>
      <w:bookmarkStart w:id="363" w:name="_Toc184313304"/>
      <w:bookmarkEnd w:id="363"/>
      <w:bookmarkStart w:id="364" w:name="_Toc184314437"/>
      <w:bookmarkEnd w:id="364"/>
      <w:bookmarkStart w:id="365" w:name="_Toc184310329"/>
      <w:bookmarkEnd w:id="365"/>
      <w:bookmarkStart w:id="366" w:name="_Toc184310276"/>
      <w:bookmarkEnd w:id="366"/>
      <w:bookmarkStart w:id="367" w:name="_Toc184313309"/>
      <w:bookmarkEnd w:id="367"/>
      <w:bookmarkStart w:id="368" w:name="_Toc184314414"/>
      <w:bookmarkEnd w:id="368"/>
      <w:bookmarkStart w:id="369" w:name="_Toc184314417"/>
      <w:bookmarkEnd w:id="369"/>
      <w:bookmarkStart w:id="370" w:name="_Toc184308066"/>
      <w:bookmarkEnd w:id="370"/>
      <w:bookmarkStart w:id="371" w:name="_Toc184310279"/>
      <w:bookmarkEnd w:id="371"/>
      <w:bookmarkStart w:id="372" w:name="_Toc184313265"/>
      <w:bookmarkEnd w:id="372"/>
      <w:bookmarkStart w:id="373" w:name="_Toc184308072"/>
      <w:bookmarkEnd w:id="373"/>
      <w:bookmarkStart w:id="374" w:name="_Toc184312067"/>
      <w:bookmarkEnd w:id="374"/>
      <w:bookmarkStart w:id="375" w:name="_Toc184312095"/>
      <w:bookmarkEnd w:id="375"/>
      <w:bookmarkStart w:id="376" w:name="_Toc184314462"/>
      <w:bookmarkEnd w:id="376"/>
      <w:bookmarkStart w:id="377" w:name="_Toc184312088"/>
      <w:bookmarkEnd w:id="377"/>
      <w:bookmarkStart w:id="378" w:name="_Toc184312075"/>
      <w:bookmarkEnd w:id="378"/>
      <w:bookmarkStart w:id="379" w:name="_Toc184310304"/>
      <w:bookmarkEnd w:id="379"/>
      <w:bookmarkStart w:id="380" w:name="_Toc184312106"/>
      <w:bookmarkEnd w:id="380"/>
      <w:bookmarkStart w:id="381" w:name="_Toc184314444"/>
      <w:bookmarkEnd w:id="381"/>
      <w:bookmarkStart w:id="382" w:name="_Toc184313301"/>
      <w:bookmarkEnd w:id="382"/>
      <w:bookmarkStart w:id="383" w:name="_Toc184310282"/>
      <w:bookmarkEnd w:id="383"/>
      <w:bookmarkStart w:id="384" w:name="_Toc184313288"/>
      <w:bookmarkEnd w:id="384"/>
      <w:bookmarkStart w:id="385" w:name="_Toc184313262"/>
      <w:bookmarkEnd w:id="385"/>
      <w:bookmarkStart w:id="386" w:name="_Toc184314480"/>
      <w:bookmarkEnd w:id="386"/>
      <w:bookmarkStart w:id="387" w:name="_Toc184314459"/>
      <w:bookmarkEnd w:id="387"/>
      <w:bookmarkStart w:id="388" w:name="_Toc184313244"/>
      <w:bookmarkEnd w:id="388"/>
      <w:bookmarkStart w:id="389" w:name="_Toc184313270"/>
      <w:bookmarkEnd w:id="389"/>
      <w:bookmarkStart w:id="390" w:name="_Toc184314434"/>
      <w:bookmarkEnd w:id="390"/>
      <w:bookmarkStart w:id="391" w:name="_Toc184312073"/>
      <w:bookmarkEnd w:id="391"/>
      <w:bookmarkStart w:id="392" w:name="_Toc184308094"/>
      <w:bookmarkEnd w:id="392"/>
      <w:bookmarkStart w:id="393" w:name="_Toc184310327"/>
      <w:bookmarkEnd w:id="393"/>
      <w:r>
        <w:rPr>
          <w:rFonts w:hint="eastAsia" w:ascii="宋体" w:hAnsi="宋体" w:cs="宋体"/>
          <w:b/>
          <w:sz w:val="36"/>
          <w:szCs w:val="36"/>
        </w:rPr>
        <w:t>评标办法</w:t>
      </w:r>
    </w:p>
    <w:p w14:paraId="0B2752F2">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5CB12784">
      <w:pPr>
        <w:snapToGrid w:val="0"/>
        <w:spacing w:line="360" w:lineRule="auto"/>
        <w:jc w:val="center"/>
        <w:rPr>
          <w:rFonts w:ascii="宋体" w:hAnsi="宋体" w:cs="宋体"/>
          <w:b/>
          <w:sz w:val="32"/>
          <w:szCs w:val="20"/>
        </w:rPr>
      </w:pPr>
    </w:p>
    <w:tbl>
      <w:tblPr>
        <w:tblStyle w:val="12"/>
        <w:tblW w:w="8199" w:type="dxa"/>
        <w:tblInd w:w="88" w:type="dxa"/>
        <w:tblLayout w:type="fixed"/>
        <w:tblCellMar>
          <w:top w:w="0" w:type="dxa"/>
          <w:left w:w="108" w:type="dxa"/>
          <w:bottom w:w="0" w:type="dxa"/>
          <w:right w:w="108" w:type="dxa"/>
        </w:tblCellMar>
      </w:tblPr>
      <w:tblGrid>
        <w:gridCol w:w="916"/>
        <w:gridCol w:w="4116"/>
        <w:gridCol w:w="975"/>
        <w:gridCol w:w="820"/>
        <w:gridCol w:w="1372"/>
      </w:tblGrid>
      <w:tr w14:paraId="7281D3EA">
        <w:tblPrEx>
          <w:tblCellMar>
            <w:top w:w="0" w:type="dxa"/>
            <w:left w:w="108" w:type="dxa"/>
            <w:bottom w:w="0" w:type="dxa"/>
            <w:right w:w="108" w:type="dxa"/>
          </w:tblCellMar>
        </w:tblPrEx>
        <w:trPr>
          <w:trHeight w:val="13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EBC1">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4B10">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评标标准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3CB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最高分值</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907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主观分/客观分属性</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53BE">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投标文件中评标标准相应的商务技术资料目录 *</w:t>
            </w:r>
          </w:p>
        </w:tc>
      </w:tr>
      <w:tr w14:paraId="4A0B2DD6">
        <w:tblPrEx>
          <w:tblCellMar>
            <w:top w:w="0" w:type="dxa"/>
            <w:left w:w="108" w:type="dxa"/>
            <w:bottom w:w="0" w:type="dxa"/>
            <w:right w:w="108" w:type="dxa"/>
          </w:tblCellMar>
        </w:tblPrEx>
        <w:trPr>
          <w:trHeight w:val="380" w:hRule="atLeast"/>
        </w:trPr>
        <w:tc>
          <w:tcPr>
            <w:tcW w:w="81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4CE75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商务分（10分）</w:t>
            </w:r>
          </w:p>
        </w:tc>
      </w:tr>
      <w:tr w14:paraId="416A70FA">
        <w:tblPrEx>
          <w:tblCellMar>
            <w:top w:w="0" w:type="dxa"/>
            <w:left w:w="108" w:type="dxa"/>
            <w:bottom w:w="0" w:type="dxa"/>
            <w:right w:w="108" w:type="dxa"/>
          </w:tblCellMar>
        </w:tblPrEx>
        <w:trPr>
          <w:trHeight w:val="16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936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A7D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1.自2020年1月1日以来（以合同签订时间为准）投标人承担过类似项目(含“婴幼儿照护”)开发业绩，每提供一个得0.2分，最多得0.6分。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2.自2020年1月1日以来（以合同签订时间为准）投标人承担的类似项目（含“婴幼儿照护”）开发业绩并在1000万以上常住人口城市或城区应用，每提供一个得0.4分，最多得0.4分。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【1和2中投标人提供的项目开发业绩不可重复，最多得1分。证明材料：1）须提供合同复印件并加盖单位公章；2）提供的证明材料须能体现相关评审因素，不提供或者不能提供有效证明的，不得分。】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0E81">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18A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客观分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E716">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项目业绩</w:t>
            </w:r>
          </w:p>
        </w:tc>
      </w:tr>
      <w:tr w14:paraId="70DD04DA">
        <w:tblPrEx>
          <w:tblCellMar>
            <w:top w:w="0" w:type="dxa"/>
            <w:left w:w="108" w:type="dxa"/>
            <w:bottom w:w="0" w:type="dxa"/>
            <w:right w:w="108" w:type="dxa"/>
          </w:tblCellMar>
        </w:tblPrEx>
        <w:trPr>
          <w:trHeight w:val="3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E82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7D29">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投标人提供自2020年1月1日以来所具备的“智慧托育”相关软件著作权证书，每提供一项相关软件著作权证书得0.5分，最多得1分。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6C7">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6BD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客观分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50C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企业资质</w:t>
            </w:r>
          </w:p>
        </w:tc>
      </w:tr>
      <w:tr w14:paraId="05E57494">
        <w:tblPrEx>
          <w:tblCellMar>
            <w:top w:w="0" w:type="dxa"/>
            <w:left w:w="108" w:type="dxa"/>
            <w:bottom w:w="0" w:type="dxa"/>
            <w:right w:w="108" w:type="dxa"/>
          </w:tblCellMar>
        </w:tblPrEx>
        <w:trPr>
          <w:trHeight w:val="7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17E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DE28">
            <w:pPr>
              <w:widowControl/>
              <w:textAlignment w:val="center"/>
              <w:rPr>
                <w:rFonts w:ascii="宋体" w:hAnsi="宋体" w:cs="宋体"/>
                <w:color w:val="000000"/>
                <w:kern w:val="0"/>
                <w:sz w:val="22"/>
                <w:szCs w:val="22"/>
              </w:rPr>
            </w:pPr>
            <w:bookmarkStart w:id="394" w:name="OLE_LINK2"/>
            <w:r>
              <w:rPr>
                <w:rFonts w:hint="eastAsia" w:ascii="宋体" w:hAnsi="宋体" w:cs="宋体"/>
                <w:color w:val="000000"/>
                <w:kern w:val="0"/>
                <w:sz w:val="22"/>
                <w:szCs w:val="22"/>
              </w:rPr>
              <w:t>投标人提供自2022年1月1日以来承建的“婴幼儿照护”类似信息化项目建设案例符合的国家信创改造要</w:t>
            </w:r>
            <w:bookmarkStart w:id="395" w:name="OLE_LINK6"/>
            <w:r>
              <w:rPr>
                <w:rFonts w:hint="eastAsia" w:ascii="宋体" w:hAnsi="宋体" w:cs="宋体"/>
                <w:color w:val="000000"/>
                <w:kern w:val="0"/>
                <w:sz w:val="22"/>
                <w:szCs w:val="22"/>
                <w:highlight w:val="none"/>
              </w:rPr>
              <w:t>求的得3分。【证明材料：提供相关项目的合同及</w:t>
            </w:r>
            <w:bookmarkStart w:id="396" w:name="OLE_LINK3"/>
            <w:r>
              <w:rPr>
                <w:rFonts w:hint="eastAsia" w:ascii="宋体" w:hAnsi="宋体" w:cs="宋体"/>
                <w:color w:val="000000"/>
                <w:kern w:val="0"/>
                <w:sz w:val="22"/>
                <w:szCs w:val="22"/>
                <w:highlight w:val="none"/>
              </w:rPr>
              <w:t>各省市获批信创测评资质的第三方机构</w:t>
            </w:r>
            <w:bookmarkEnd w:id="396"/>
            <w:r>
              <w:rPr>
                <w:rFonts w:hint="eastAsia" w:ascii="宋体" w:hAnsi="宋体" w:cs="宋体"/>
                <w:color w:val="000000"/>
                <w:kern w:val="0"/>
                <w:sz w:val="22"/>
                <w:szCs w:val="22"/>
                <w:highlight w:val="none"/>
              </w:rPr>
              <w:t>针</w:t>
            </w:r>
            <w:bookmarkEnd w:id="395"/>
            <w:r>
              <w:rPr>
                <w:rFonts w:hint="eastAsia" w:ascii="宋体" w:hAnsi="宋体" w:cs="宋体"/>
                <w:color w:val="000000"/>
                <w:kern w:val="0"/>
                <w:sz w:val="22"/>
                <w:szCs w:val="22"/>
              </w:rPr>
              <w:t>对该项目出具的信创符合性测评通过的报告】</w:t>
            </w:r>
            <w:bookmarkEnd w:id="394"/>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9542">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C7FB">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客观分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EFFA">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信创符合情况</w:t>
            </w:r>
          </w:p>
        </w:tc>
      </w:tr>
      <w:tr w14:paraId="5151F0FA">
        <w:tblPrEx>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C516">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660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1.拟担任本项目的项目负责人具有承担“婴幼儿照护”类似项目负责人的经历，对项目负责人的项目实践证明资料和参保证明等情况综合评审。满足得2分，不满足不得分。</w:t>
            </w:r>
          </w:p>
          <w:p w14:paraId="36A0065A">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【证明材料：由社保部门出具的被授权人近三个月在投标单位有缴纳社保的证明材料复印件并加盖公章、履历表】</w:t>
            </w:r>
          </w:p>
          <w:p w14:paraId="280E57A3">
            <w:pPr>
              <w:widowControl/>
              <w:textAlignment w:val="center"/>
              <w:rPr>
                <w:rFonts w:ascii="宋体" w:hAnsi="宋体" w:cs="宋体"/>
                <w:color w:val="000000"/>
                <w:kern w:val="0"/>
                <w:sz w:val="22"/>
                <w:szCs w:val="22"/>
              </w:rPr>
            </w:pPr>
          </w:p>
          <w:p w14:paraId="1B10DEC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2.拟配备的项目组实施人员（除项目负责人外）中具有“婴幼儿照护”类似项目建设经验的，每一人得2分，最高2分；</w:t>
            </w:r>
          </w:p>
          <w:p w14:paraId="1E02B2B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【证明材料：由社保部门出具的被授权人近三个月在投标单位有缴纳社保的证明材料复印件并加盖公章、履历表，未提供不得分】</w:t>
            </w:r>
          </w:p>
          <w:p w14:paraId="4281B13E">
            <w:pPr>
              <w:widowControl/>
              <w:textAlignment w:val="center"/>
              <w:rPr>
                <w:rFonts w:ascii="宋体" w:hAnsi="宋体" w:cs="宋体"/>
                <w:color w:val="000000"/>
                <w:kern w:val="0"/>
                <w:sz w:val="22"/>
                <w:szCs w:val="22"/>
                <w:highlight w:val="none"/>
              </w:rPr>
            </w:pPr>
            <w:bookmarkStart w:id="397" w:name="OLE_LINK5"/>
          </w:p>
          <w:p w14:paraId="45DBDB0D">
            <w:pPr>
              <w:widowControl/>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3.拟配备的项目组实施人员（除项目负责人外）</w:t>
            </w:r>
            <w:bookmarkStart w:id="398" w:name="OLE_LINK4"/>
            <w:r>
              <w:rPr>
                <w:rFonts w:hint="eastAsia" w:ascii="宋体" w:hAnsi="宋体" w:cs="宋体"/>
                <w:color w:val="000000"/>
                <w:kern w:val="0"/>
                <w:sz w:val="22"/>
                <w:szCs w:val="22"/>
                <w:highlight w:val="none"/>
              </w:rPr>
              <w:t>中具有</w:t>
            </w:r>
            <w:bookmarkStart w:id="399" w:name="OLE_LINK7"/>
            <w:r>
              <w:rPr>
                <w:rFonts w:hint="eastAsia" w:ascii="宋体" w:hAnsi="宋体" w:cs="宋体"/>
                <w:color w:val="000000"/>
                <w:kern w:val="0"/>
                <w:sz w:val="22"/>
                <w:szCs w:val="22"/>
                <w:highlight w:val="none"/>
              </w:rPr>
              <w:t>计算机技术与软件专业技术资格软件设计师（中级）</w:t>
            </w:r>
            <w:bookmarkEnd w:id="398"/>
            <w:r>
              <w:rPr>
                <w:rFonts w:hint="eastAsia" w:ascii="宋体" w:hAnsi="宋体" w:cs="宋体"/>
                <w:color w:val="000000"/>
                <w:kern w:val="0"/>
                <w:sz w:val="22"/>
                <w:szCs w:val="22"/>
                <w:highlight w:val="none"/>
              </w:rPr>
              <w:t>的得1分，最高1分，不满足不得分。</w:t>
            </w:r>
          </w:p>
          <w:bookmarkEnd w:id="397"/>
          <w:bookmarkEnd w:id="399"/>
          <w:p w14:paraId="7B94A18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【证明材料：由社保部门出具的被授权人近三个月在投标单位有缴纳社保的证明材料复印件并加盖公章、证书复印件，未提供不得分】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5FF2">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607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客观分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EEC1">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人员资质</w:t>
            </w:r>
          </w:p>
        </w:tc>
      </w:tr>
      <w:tr w14:paraId="1125523D">
        <w:tblPrEx>
          <w:tblCellMar>
            <w:top w:w="0" w:type="dxa"/>
            <w:left w:w="108" w:type="dxa"/>
            <w:bottom w:w="0" w:type="dxa"/>
            <w:right w:w="108" w:type="dxa"/>
          </w:tblCellMar>
        </w:tblPrEx>
        <w:trPr>
          <w:trHeight w:val="400" w:hRule="atLeast"/>
        </w:trPr>
        <w:tc>
          <w:tcPr>
            <w:tcW w:w="81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408D4">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技术分（80分）</w:t>
            </w:r>
          </w:p>
        </w:tc>
      </w:tr>
      <w:tr w14:paraId="61B51F23">
        <w:tblPrEx>
          <w:tblCellMar>
            <w:top w:w="0" w:type="dxa"/>
            <w:left w:w="108" w:type="dxa"/>
            <w:bottom w:w="0" w:type="dxa"/>
            <w:right w:w="108" w:type="dxa"/>
          </w:tblCellMar>
        </w:tblPrEx>
        <w:trPr>
          <w:trHeight w:val="1414"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BC3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CC10">
            <w:pPr>
              <w:widowControl/>
              <w:numPr>
                <w:ilvl w:val="0"/>
                <w:numId w:val="10"/>
              </w:numPr>
              <w:textAlignment w:val="center"/>
              <w:rPr>
                <w:rFonts w:ascii="宋体" w:hAnsi="宋体" w:cs="宋体"/>
                <w:color w:val="000000"/>
                <w:kern w:val="0"/>
                <w:sz w:val="22"/>
                <w:szCs w:val="22"/>
              </w:rPr>
            </w:pPr>
            <w:r>
              <w:rPr>
                <w:rFonts w:hint="eastAsia" w:ascii="宋体" w:hAnsi="宋体" w:cs="宋体"/>
                <w:color w:val="000000"/>
                <w:kern w:val="0"/>
                <w:sz w:val="22"/>
                <w:szCs w:val="22"/>
              </w:rPr>
              <w:t>根据投标人对本项目建设背景、依据、必要性、建设目标进行综合打分，理解分析全面、准确、透彻、到位的得2分，理解分析相对简单粗略的得1分，理解分析有明显不足或未提供不得分。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2.根据投标人对当前“善育在杭”业务及数字化应用现状的分析进行综合打分，分析全面、准确、透彻、到位的得2分，分析相对简单粗略的得1分，分析有明显不足或未提供不得分。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3.投标人对当前“善育在杭”数据应用与融合情况进行分析，分析全面、准确、透彻、到位的得2分，分析内容相对简单粗略的得1分，分析有明显不足或未提供不得分。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根据投标人对本项目善育在杭-“便捷托”服务、善育在杭-“托得起”服务、善育在杭-“托得好”服务、善育在杭-“杭小育应用”服务的业务功能建设需求及业务量分析进行综合打分，分析全面、准确、透彻、到位的得2分，分析相对简单粗略的得1分，分析有明显不足或未提供不得分。</w:t>
            </w:r>
          </w:p>
          <w:p w14:paraId="769F7C2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5.根据投标人对本项目多跨协同业务流、数据流的分析进行综合打分，分析全面、准确、透彻、到位的得2分，分析相对简单粗略的得1分，分析有明显不足或未提供不得分。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66A1">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0AD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主观分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B5C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项目需求分析</w:t>
            </w:r>
          </w:p>
        </w:tc>
      </w:tr>
      <w:tr w14:paraId="7566BCDF">
        <w:tblPrEx>
          <w:tblCellMar>
            <w:top w:w="0" w:type="dxa"/>
            <w:left w:w="108" w:type="dxa"/>
            <w:bottom w:w="0" w:type="dxa"/>
            <w:right w:w="108" w:type="dxa"/>
          </w:tblCellMar>
        </w:tblPrEx>
        <w:trPr>
          <w:trHeight w:val="33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9A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0558">
            <w:pPr>
              <w:widowControl/>
              <w:numPr>
                <w:ilvl w:val="0"/>
                <w:numId w:val="11"/>
              </w:numPr>
              <w:textAlignment w:val="center"/>
              <w:rPr>
                <w:rFonts w:ascii="宋体" w:hAnsi="宋体" w:cs="宋体"/>
                <w:color w:val="000000"/>
                <w:kern w:val="0"/>
                <w:sz w:val="22"/>
                <w:szCs w:val="22"/>
              </w:rPr>
            </w:pPr>
            <w:r>
              <w:rPr>
                <w:rFonts w:hint="eastAsia" w:ascii="宋体" w:hAnsi="宋体" w:cs="宋体"/>
                <w:color w:val="000000"/>
                <w:kern w:val="0"/>
                <w:sz w:val="22"/>
                <w:szCs w:val="22"/>
              </w:rPr>
              <w:t>投标人基于“善育在杭1.0”建设应用现状，提供本项目的总体架构设计方案。总体架构设计方案逻辑清晰严密、架构科学严谨、内容完整规范得2分；方案架构简单、逻辑性一般、内容简单得1分；方案架构逻辑性不足或未提供该项内容不得分。</w:t>
            </w:r>
          </w:p>
          <w:p w14:paraId="347E7323">
            <w:pPr>
              <w:widowControl/>
              <w:numPr>
                <w:ilvl w:val="0"/>
                <w:numId w:val="11"/>
              </w:numPr>
              <w:textAlignment w:val="center"/>
              <w:rPr>
                <w:rFonts w:ascii="宋体" w:hAnsi="宋体" w:cs="宋体"/>
                <w:color w:val="000000"/>
                <w:kern w:val="0"/>
                <w:sz w:val="22"/>
                <w:szCs w:val="22"/>
              </w:rPr>
            </w:pPr>
            <w:r>
              <w:rPr>
                <w:rFonts w:hint="eastAsia" w:ascii="宋体" w:hAnsi="宋体" w:cs="宋体"/>
                <w:color w:val="000000"/>
                <w:kern w:val="0"/>
                <w:sz w:val="22"/>
                <w:szCs w:val="22"/>
              </w:rPr>
              <w:t>根据投标人所投方案采用的关键技术进行综合打分，采用的关键技术前沿科学性及可实现性强，完全满足项目需求及功能建设得2分；采用的关键技术简单，尚能满足项目需求及功能建设的得1分；采用的关键技术无法满足项目需求及功能建设或未提供的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投标人基于“善育在杭1.0”建设应用现状，提供本项目的数据资源设计方案。数据资源设计方案完整、完全满足项目需求、针对性强、可行性高的得2分；方案基本满足项目需求，基本可行得1分；方案内容不满足项目需求，可行性不足或未提供的不得分。</w:t>
            </w:r>
          </w:p>
          <w:p w14:paraId="5ABE74CB">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4.投标人基于“善育在杭1.0”建设应用现状，提供本项目的网络架构设计方案。网络架构设计方案逻辑清晰、图文并茂、设计方案描述准确合理，可行性强的得2分；方案设计逻辑一般、描述简单、可行性一般得1分；方案逻辑不足、描述欠合理、可行性不足或未提供的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投标人提供本项目善育在杭-“便捷托”服务、善育在杭-“托得起”服务、善育在杭-“托得好”服务、善育在杭-“杭小育应用”服务的各业务流程设计方案。方案内容完整、逻辑清晰、图文并茂、描述准确、可行性强的得2分；逻辑一般、描述简单、可行性一般的得1分；逻辑不足、描述欠合理、可行性不足或未提供的不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1C7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8D4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主观分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D26">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项目总体设计</w:t>
            </w:r>
          </w:p>
        </w:tc>
      </w:tr>
      <w:tr w14:paraId="2251CD5C">
        <w:tblPrEx>
          <w:tblCellMar>
            <w:top w:w="0" w:type="dxa"/>
            <w:left w:w="108" w:type="dxa"/>
            <w:bottom w:w="0" w:type="dxa"/>
            <w:right w:w="108" w:type="dxa"/>
          </w:tblCellMar>
        </w:tblPrEx>
        <w:trPr>
          <w:trHeight w:val="30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DAAB">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9B8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对投标人提供的本项目具体建设方案进行打分：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针对善育在杭2.0“便捷托”服务的建设内容进行描述。要求基于当前的“善育在杭”应用及业务现状，描述本部分全部功能实现的具体建设思路，描述科学、合理性强、可操作性强，并以图文并茂的形式进行阐述的得4分；功能部分满足，科学合理性一般的得2分；科学合理性不足的得1分；不能满足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针对善育在杭2.0-“托得起”服务的建设内容进行描述。要求基于当前的“善育在杭”应用及业务现状，描述本部分全部功能实现的具体建设思路，描述科学、合理性强、可操作性强，并以图文并茂的形式进行阐述的得4分；功能部分满足，科学合理性一般的得2分；科学合理性不足的得1分；不能满足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针对善育在杭2.0-“托得好”服务的建设内容进行描述。要求基于当前的“善育在杭”应用及业务现状，描述本部分全部功能实现的具体建设思路，描述科学、合理性强、可操作性与先进成熟性强，并以图文并茂的形式进行阐述的得4分；功能部分满足，科学合理性一般的得2分；科学合理性不足的得1分；不能满足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针对善育在杭2.0-“杭小育应用”服务的建设内容进行描述。要求基于当前的“善育在杭”应用及业务现状，描述本部分全部功能实现的具体建设思路，描述科学、合理性强、可操作性与先进成熟性强，并以图文并茂的形式进行阐述的得4分；功能部分满足，科学合理性一般的得2分；科学合理性不足的得1分；不能满足不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0DF7">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EB2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主观分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2652">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项目具体建设方案</w:t>
            </w:r>
          </w:p>
        </w:tc>
      </w:tr>
      <w:tr w14:paraId="6752ED7A">
        <w:tblPrEx>
          <w:tblCellMar>
            <w:top w:w="0" w:type="dxa"/>
            <w:left w:w="108" w:type="dxa"/>
            <w:bottom w:w="0" w:type="dxa"/>
            <w:right w:w="108" w:type="dxa"/>
          </w:tblCellMar>
        </w:tblPrEx>
        <w:trPr>
          <w:trHeight w:val="27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3882">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7B36">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针对投标人提供的项目组织管理计划进行打分，项目实施进度安排、实施流程描述准确、科学合理、可行性强得2分；实施进度计划与实施流程描述简单、可行性一般得1分；实施进度计划与实施流程科学性不足或未提供相关内容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2.针对投标人提供的项目进度保障措施进行打分，进度保障措施全面、合理科学、可行性强得2分；进度保障措施描述简单、可行性一般得1分；进度保障措施描述与可行性不足或未提供相关内容不得分。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针对投标人提供的项目软硬件安装部署调试方案进行打分，方案全面、合理科学、完全符合项目需求与功能建设、可行性强得2分；方案描述简单、基本满足项目需求与功能建设、具备一定的可行性得1分；方案描述不足、不满足项目需求、可行性不足或未提供相关内容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4.针对投标人提供的项目试运行及培训方案进行打分，方案全面、合理科学、可行性强得2分；方案描述简单、可行性一般得1分；方案描述与可行性不足或未提供相关内容不得分。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E191">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E401">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主观分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F26A">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组织实施方案</w:t>
            </w:r>
          </w:p>
        </w:tc>
      </w:tr>
      <w:tr w14:paraId="1B80266D">
        <w:tblPrEx>
          <w:tblCellMar>
            <w:top w:w="0" w:type="dxa"/>
            <w:left w:w="108" w:type="dxa"/>
            <w:bottom w:w="0" w:type="dxa"/>
            <w:right w:w="108" w:type="dxa"/>
          </w:tblCellMar>
        </w:tblPrEx>
        <w:trPr>
          <w:trHeight w:val="13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098A">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3F87">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对投标人提供的项目软件系统质量保证管理方案进行打分，质量保证管理方案内容科学完整，针对性及可行性强的得3分；方案思路基本完整，针对性与合理性一般，具备一定的可行性的得2分；方案思路欠完整、针对性与合理性、可行性不足得1分，未提供或不可行的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对投标人提供的数智守护应用服务及人脸识别智能设备（含测温功能）套装的质量保证管理方案进行打分，质量保证管理方案内容科学完整，针对性及可行性强的得3分；方案思路基本完整，针对性与合理性一般，具备一定的可行性的得2分；方案思路欠完整、针对性与合理性、可行性不足得1分，未提供或不可行的不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8332">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359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主观分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99E3">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质量保证管理方案</w:t>
            </w:r>
          </w:p>
        </w:tc>
      </w:tr>
      <w:tr w14:paraId="2D7A1D12">
        <w:tblPrEx>
          <w:tblCellMar>
            <w:top w:w="0" w:type="dxa"/>
            <w:left w:w="108" w:type="dxa"/>
            <w:bottom w:w="0" w:type="dxa"/>
            <w:right w:w="108" w:type="dxa"/>
          </w:tblCellMar>
        </w:tblPrEx>
        <w:trPr>
          <w:trHeight w:val="6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F324">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D44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对投标人提供的系统安全管理方案进行打分，系统安全管理方案内容科学完整，针对性及可行性强的得3分；方案思路基本完整，针对性与合理性一般，具备一定的可行性的得2分；方案思路欠完整、针对性与合理性、可行性不足得1分，未提供或不可行的不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37F2">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C1F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主观分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D75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安全管理方案</w:t>
            </w:r>
          </w:p>
        </w:tc>
      </w:tr>
      <w:tr w14:paraId="7F1806EE">
        <w:tblPrEx>
          <w:tblCellMar>
            <w:top w:w="0" w:type="dxa"/>
            <w:left w:w="108" w:type="dxa"/>
            <w:bottom w:w="0" w:type="dxa"/>
            <w:right w:w="108" w:type="dxa"/>
          </w:tblCellMar>
        </w:tblPrEx>
        <w:trPr>
          <w:trHeight w:val="10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F494">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4CB7">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对投标人提供的本项目售后服务方案打分：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投标人提供的售后维护机构和人员情况，提供售后服务响应效率、服务承诺落实的保障措施完整可行性强的得2分，内容完整可行性一般的得1分，未提供或不涉及该内容不得分。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5E77">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51E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主观分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6483">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售后服务方案</w:t>
            </w:r>
          </w:p>
        </w:tc>
      </w:tr>
      <w:tr w14:paraId="372C92BA">
        <w:tblPrEx>
          <w:tblCellMar>
            <w:top w:w="0" w:type="dxa"/>
            <w:left w:w="108" w:type="dxa"/>
            <w:bottom w:w="0" w:type="dxa"/>
            <w:right w:w="108" w:type="dxa"/>
          </w:tblCellMar>
        </w:tblPrEx>
        <w:trPr>
          <w:trHeight w:val="67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6EF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406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根据采购需求进行重点功能的系统讲解与演示，可系统演示、Demo原型演示，</w:t>
            </w:r>
            <w:r>
              <w:rPr>
                <w:rFonts w:hint="eastAsia" w:ascii="宋体" w:hAnsi="宋体" w:cs="宋体"/>
                <w:color w:val="000000"/>
                <w:kern w:val="0"/>
                <w:sz w:val="22"/>
                <w:szCs w:val="22"/>
                <w:lang w:val="en-US" w:eastAsia="zh-CN"/>
              </w:rPr>
              <w:t>录制视频演示得一半分数，</w:t>
            </w:r>
            <w:r>
              <w:rPr>
                <w:rFonts w:hint="eastAsia" w:ascii="宋体" w:hAnsi="宋体" w:cs="宋体"/>
                <w:color w:val="000000"/>
                <w:kern w:val="0"/>
                <w:sz w:val="22"/>
                <w:szCs w:val="22"/>
              </w:rPr>
              <w:t>PPT或效果图演示不得分，演示讲解时间控制在</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分钟以内完成：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1.善育在杭2.0“便捷托”服务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1）实现养育照护小组活动在线管理，编辑发布，包括活动名称、活动地点（支持地图选点获取经纬度）、活动时间、参与组数、活动简介等信息，支持活动发布后生成活动海报。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2）实现活动主办单位通过治理端查看活动预约与签到情况，并根据活动具体情况编辑活动总结内容，生成活动总结报告，支持下载。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3）支持治理端查看各区县、街道、成长驿站的活动发布与实际开展情况，精细化筛选达标活动。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设施配建“一张图”应用支持治理端在线管理区域托育服务设施，包括所在区县、街道、社区、地块名称、土地性质、出让时间、点位地址、设施配建状态及对外招托招托状态，可应用数据分析查看各区县设施数量。</w:t>
            </w:r>
          </w:p>
          <w:p w14:paraId="57302D6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2.善育在杭2.0-“托得起”服务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1）支持通过治理端在线管理设置托育券基础信息，包括托育券每月发放时间、有效期、面向不同月龄阶段的托育券面值、每月在托天数计算标准、托育券补助申请时段等信息。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2）支持家长通过服务端在线提交托育券领取资格申请，治理端可在线审核婴幼儿基本信息、户籍信息、户口簿照片等信息，提交审核结果。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3）支持家长在线领取托育券，管理已领取托育券信息。支持托育机构核销人员通过服务端扫码核销。</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4）家长通过服务端提交托育券补助申请后，治理端可在线审核托育券补助是否发放。</w:t>
            </w:r>
          </w:p>
          <w:p w14:paraId="2BC5DB86">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3.善育在杭2.0-“托得好”服务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支持对托育机构质量评估中的质量评估题库进行数字化管理：针对国家卫健委发布的《托育机构质量评估标准》建设数字化质量评估题库，包括一级指标、二级指标、三级指标及相关说明。支持通过治理端查看区域托育机构的质量评估分数及等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2）实现行为数据标记与计算分析，支持Web版多模态数据标记与管理服务，包括视频数据的时间轴管理，视频帧的事件标记，以及事件的新建与删除；支持运动学特征分析及显示等。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4.善育在杭2.0-“杭小育应用”服务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1）演示“杭小育”虚拟数字人3D建模效果与骨骼绑定情况，针对场景动画进行渲染导出，生成3D动画。</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2）支持治理端在线管理知识库，包括知识库文件夹、知识库导入、删除、移动、编辑等功能。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3）支持治理端管理知识库的索引信息，此外，对知识库相似度匹配、结果重排及智能问答工作流进行数字化管理。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4）应用LLM与RAG技术，育儿家长可通过服务端实现在线智能问答与交互。</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5）应用ASR与TTS技术，结合“杭小育”虚拟数字人形象，实现智能问答与服务。</w:t>
            </w:r>
          </w:p>
          <w:p w14:paraId="2F66D51A">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以上演示评分完全满足功能要求且演示过程中功能界面整洁美观重点醒目突出讲解流畅的每条得1分，完全满足功能要求且演示过程中界面清楚重点突出讲解较流畅的每条得0.5分，功能不完整界面显示效果差的该项不得分。本项共计15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4D1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693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主观分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99A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系统演示</w:t>
            </w:r>
          </w:p>
        </w:tc>
      </w:tr>
      <w:tr w14:paraId="7030ECBC">
        <w:tblPrEx>
          <w:tblCellMar>
            <w:top w:w="0" w:type="dxa"/>
            <w:left w:w="108" w:type="dxa"/>
            <w:bottom w:w="0" w:type="dxa"/>
            <w:right w:w="108" w:type="dxa"/>
          </w:tblCellMar>
        </w:tblPrEx>
        <w:trPr>
          <w:trHeight w:val="282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1582">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0270">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投标产品的基本功能、技术指标与需求的吻合程度和偏差情况（包括所投标产品的规格型号、详细配置、主要技术参数、随机软件等），是否能够满足投标文件要求，标“◆”技术指标负偏离一项扣1分，其他指标负偏离一项扣0.5分。扣完为止。（采购需求中明确要求提供证明材料的，未提供证明材料的视为负偏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F32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4BA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客观分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797B">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技术偏离表</w:t>
            </w:r>
          </w:p>
        </w:tc>
      </w:tr>
      <w:tr w14:paraId="53254692">
        <w:tblPrEx>
          <w:tblCellMar>
            <w:top w:w="0" w:type="dxa"/>
            <w:left w:w="108" w:type="dxa"/>
            <w:bottom w:w="0" w:type="dxa"/>
            <w:right w:w="108" w:type="dxa"/>
          </w:tblCellMar>
        </w:tblPrEx>
        <w:trPr>
          <w:trHeight w:val="336" w:hRule="atLeast"/>
        </w:trPr>
        <w:tc>
          <w:tcPr>
            <w:tcW w:w="81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AD017">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价格分（10分）</w:t>
            </w:r>
          </w:p>
        </w:tc>
      </w:tr>
      <w:tr w14:paraId="5E1140FD">
        <w:tblPrEx>
          <w:tblCellMar>
            <w:top w:w="0" w:type="dxa"/>
            <w:left w:w="108" w:type="dxa"/>
            <w:bottom w:w="0" w:type="dxa"/>
            <w:right w:w="108" w:type="dxa"/>
          </w:tblCellMar>
        </w:tblPrEx>
        <w:trPr>
          <w:trHeight w:val="111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287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74B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报价分计算方法：根据各投标人的有效投标报价，以满足采购文件要求且有效投标价格的最低的投标报价为评标基准价，其价格分为10分。其他投标人的价格分统一按照下列公式计算：投标报价得分＝(评标基准价/有效投标报价)×价格权值×100(精确到小数点后二位，由采购机构当场统一计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689E">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262B">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客观分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494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r>
    </w:tbl>
    <w:p w14:paraId="715887C3"/>
    <w:p w14:paraId="0E297873">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9D74F6F">
      <w:pPr>
        <w:snapToGrid w:val="0"/>
        <w:spacing w:line="360" w:lineRule="auto"/>
        <w:rPr>
          <w:rFonts w:ascii="宋体" w:hAnsi="宋体" w:cs="宋体"/>
          <w:b/>
          <w:sz w:val="28"/>
          <w:szCs w:val="28"/>
        </w:rPr>
      </w:pPr>
      <w:r>
        <w:rPr>
          <w:rFonts w:hint="eastAsia" w:ascii="宋体" w:hAnsi="宋体" w:cs="宋体"/>
          <w:b/>
          <w:sz w:val="32"/>
        </w:rPr>
        <w:t>一、评标方法</w:t>
      </w:r>
    </w:p>
    <w:p w14:paraId="2D2F5EF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3FCAC72">
      <w:pPr>
        <w:adjustRightInd/>
        <w:spacing w:line="360" w:lineRule="auto"/>
        <w:rPr>
          <w:rFonts w:ascii="宋体" w:hAnsi="宋体" w:cs="宋体"/>
          <w:kern w:val="0"/>
          <w:sz w:val="24"/>
        </w:rPr>
      </w:pPr>
      <w:r>
        <w:rPr>
          <w:rFonts w:hint="eastAsia" w:ascii="宋体" w:hAnsi="宋体" w:cs="宋体"/>
          <w:b/>
          <w:sz w:val="32"/>
        </w:rPr>
        <w:t>二、评标标准</w:t>
      </w:r>
    </w:p>
    <w:p w14:paraId="05AEB0C1">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16847B0C">
      <w:pPr>
        <w:spacing w:line="360" w:lineRule="auto"/>
        <w:outlineLvl w:val="0"/>
        <w:rPr>
          <w:rFonts w:ascii="宋体" w:hAnsi="宋体" w:cs="宋体"/>
          <w:b/>
          <w:sz w:val="36"/>
          <w:szCs w:val="36"/>
        </w:rPr>
      </w:pPr>
      <w:r>
        <w:rPr>
          <w:rFonts w:hint="eastAsia" w:ascii="宋体" w:hAnsi="宋体" w:cs="宋体"/>
          <w:b/>
          <w:sz w:val="36"/>
          <w:szCs w:val="36"/>
        </w:rPr>
        <w:t>三、评标程序</w:t>
      </w:r>
    </w:p>
    <w:p w14:paraId="4BBA669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94F6F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361C8CB">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BF137E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6A7473F">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9076246">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A35CA14">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31285E0">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73457C7">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CF8AF7C">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CD5072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99D163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32D9508">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5EF70A">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BA097E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E8914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A5ED3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32706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165F4D1">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FD901D">
      <w:pPr>
        <w:pStyle w:val="1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0DE8FA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8C544C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5AC95D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6CE6DF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550229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4FF46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2A11F5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 投标报价低于项目预算50%，未在报价文件中详细阐述不影响产品质量或者诚信履约的具体原因的；</w:t>
      </w:r>
    </w:p>
    <w:p w14:paraId="3A917E95">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4AC932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6FEECF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7A6BC4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3758FD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89FE415">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71C7C95A">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 投标文件不满足招标文件的其它实质性要求的；</w:t>
      </w:r>
    </w:p>
    <w:p w14:paraId="311A5B16">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3CCC24B7">
      <w:pPr>
        <w:pStyle w:val="1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3664615">
      <w:pPr>
        <w:pStyle w:val="19"/>
        <w:snapToGrid w:val="0"/>
        <w:spacing w:line="360" w:lineRule="auto"/>
        <w:rPr>
          <w:rFonts w:cs="宋体"/>
        </w:rPr>
      </w:pPr>
      <w:r>
        <w:rPr>
          <w:rFonts w:hint="eastAsia" w:cs="宋体"/>
        </w:rPr>
        <w:t>5.1符合专业条件的供应商或者对招标文件作实质响应的供应商不足3家的；</w:t>
      </w:r>
    </w:p>
    <w:p w14:paraId="123FB4B4">
      <w:pPr>
        <w:pStyle w:val="19"/>
        <w:snapToGrid w:val="0"/>
        <w:spacing w:line="360" w:lineRule="auto"/>
        <w:rPr>
          <w:rFonts w:cs="宋体"/>
        </w:rPr>
      </w:pPr>
      <w:r>
        <w:rPr>
          <w:rFonts w:hint="eastAsia" w:cs="宋体"/>
        </w:rPr>
        <w:t>5.2出现影响采购公正的违法、违规行为的；</w:t>
      </w:r>
    </w:p>
    <w:p w14:paraId="6B540308">
      <w:pPr>
        <w:pStyle w:val="19"/>
        <w:snapToGrid w:val="0"/>
        <w:spacing w:line="360" w:lineRule="auto"/>
        <w:rPr>
          <w:rFonts w:cs="宋体"/>
        </w:rPr>
      </w:pPr>
      <w:r>
        <w:rPr>
          <w:rFonts w:hint="eastAsia" w:cs="宋体"/>
        </w:rPr>
        <w:t>5.3投标人的报价均超过了采购预算，采购人不能支付的；</w:t>
      </w:r>
    </w:p>
    <w:p w14:paraId="035272FF">
      <w:pPr>
        <w:pStyle w:val="19"/>
        <w:snapToGrid w:val="0"/>
        <w:spacing w:line="360" w:lineRule="auto"/>
        <w:rPr>
          <w:rFonts w:cs="宋体"/>
        </w:rPr>
      </w:pPr>
      <w:r>
        <w:rPr>
          <w:rFonts w:hint="eastAsia" w:cs="宋体"/>
        </w:rPr>
        <w:t>5.4因重大变故，采购任务取消的。</w:t>
      </w:r>
    </w:p>
    <w:p w14:paraId="0F975E18">
      <w:pPr>
        <w:pStyle w:val="19"/>
        <w:snapToGrid w:val="0"/>
        <w:spacing w:line="360" w:lineRule="auto"/>
        <w:rPr>
          <w:rFonts w:cs="宋体"/>
        </w:rPr>
      </w:pPr>
      <w:r>
        <w:rPr>
          <w:rFonts w:hint="eastAsia" w:cs="宋体"/>
        </w:rPr>
        <w:t>废标后，采购机构应当将废标理由通知所有投标人。</w:t>
      </w:r>
    </w:p>
    <w:p w14:paraId="42F75346">
      <w:pPr>
        <w:pStyle w:val="1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8453DE5">
      <w:pPr>
        <w:pStyle w:val="1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C97B8AF">
      <w:pPr>
        <w:pStyle w:val="19"/>
        <w:snapToGrid w:val="0"/>
        <w:spacing w:line="360" w:lineRule="auto"/>
        <w:rPr>
          <w:rFonts w:cs="宋体"/>
        </w:rPr>
      </w:pPr>
      <w:r>
        <w:rPr>
          <w:rFonts w:hint="eastAsia" w:cs="宋体"/>
        </w:rPr>
        <w:t>7.1未确定中标供应商的，终止本次政府采购活动，重新开展政府采购活动。</w:t>
      </w:r>
    </w:p>
    <w:p w14:paraId="01406F53">
      <w:pPr>
        <w:pStyle w:val="1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0F65FD3">
      <w:pPr>
        <w:pStyle w:val="1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CC9D8CB">
      <w:pPr>
        <w:pStyle w:val="19"/>
        <w:snapToGrid w:val="0"/>
        <w:spacing w:line="360" w:lineRule="auto"/>
        <w:rPr>
          <w:rFonts w:cs="宋体"/>
        </w:rPr>
      </w:pPr>
      <w:r>
        <w:rPr>
          <w:rFonts w:hint="eastAsia" w:cs="宋体"/>
        </w:rPr>
        <w:t>7.4政府采购合同已经履行，给采购人、供应商造成损失的，由责任人承担赔偿责任。</w:t>
      </w:r>
    </w:p>
    <w:p w14:paraId="2C9A4F9E">
      <w:pPr>
        <w:pStyle w:val="1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8"/>
    <w:p w14:paraId="4DC86352">
      <w:pPr>
        <w:widowControl/>
        <w:adjustRightInd/>
        <w:jc w:val="left"/>
        <w:rPr>
          <w:rFonts w:ascii="宋体" w:hAnsi="宋体" w:cs="宋体"/>
          <w:b/>
          <w:sz w:val="36"/>
          <w:szCs w:val="36"/>
        </w:rPr>
      </w:pPr>
      <w:bookmarkStart w:id="400" w:name="_Toc86217003"/>
      <w:bookmarkStart w:id="401" w:name="第五部分"/>
      <w:r>
        <w:rPr>
          <w:rFonts w:ascii="宋体" w:hAnsi="宋体" w:cs="宋体"/>
          <w:b/>
          <w:sz w:val="36"/>
          <w:szCs w:val="36"/>
        </w:rPr>
        <w:br w:type="page"/>
      </w:r>
    </w:p>
    <w:p w14:paraId="73A1B2C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F75ACD4">
      <w:pPr>
        <w:rPr>
          <w:rFonts w:ascii="宋体" w:hAnsi="宋体" w:cs="宋体"/>
          <w:sz w:val="24"/>
          <w:u w:val="single"/>
        </w:rPr>
      </w:pPr>
      <w:r>
        <w:rPr>
          <w:rFonts w:hint="eastAsia" w:ascii="宋体" w:hAnsi="宋体" w:cs="宋体"/>
          <w:sz w:val="24"/>
        </w:rPr>
        <w:t>合同编号：</w:t>
      </w:r>
    </w:p>
    <w:p w14:paraId="490021DC">
      <w:pPr>
        <w:spacing w:line="480" w:lineRule="auto"/>
        <w:jc w:val="center"/>
        <w:rPr>
          <w:rFonts w:ascii="宋体" w:hAnsi="宋体" w:cs="宋体"/>
          <w:b/>
          <w:sz w:val="28"/>
          <w:szCs w:val="28"/>
        </w:rPr>
      </w:pPr>
    </w:p>
    <w:p w14:paraId="206F4C64">
      <w:pPr>
        <w:spacing w:line="480" w:lineRule="auto"/>
        <w:jc w:val="center"/>
        <w:rPr>
          <w:rFonts w:ascii="宋体" w:hAnsi="宋体" w:cs="宋体"/>
          <w:b/>
          <w:sz w:val="24"/>
        </w:rPr>
      </w:pPr>
    </w:p>
    <w:p w14:paraId="2AE2B014">
      <w:pPr>
        <w:spacing w:line="480" w:lineRule="auto"/>
        <w:jc w:val="center"/>
        <w:rPr>
          <w:rFonts w:ascii="宋体" w:hAnsi="宋体" w:cs="宋体"/>
          <w:b/>
          <w:sz w:val="24"/>
        </w:rPr>
      </w:pPr>
    </w:p>
    <w:p w14:paraId="098CE78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6012944">
      <w:pPr>
        <w:spacing w:line="480" w:lineRule="auto"/>
        <w:jc w:val="center"/>
        <w:rPr>
          <w:rFonts w:ascii="宋体" w:hAnsi="宋体" w:cs="宋体"/>
          <w:b/>
          <w:sz w:val="36"/>
          <w:szCs w:val="36"/>
        </w:rPr>
      </w:pPr>
      <w:r>
        <w:rPr>
          <w:rFonts w:hint="eastAsia" w:ascii="宋体" w:hAnsi="宋体" w:cs="宋体"/>
          <w:b/>
          <w:sz w:val="36"/>
          <w:szCs w:val="36"/>
        </w:rPr>
        <w:t>（服务类）</w:t>
      </w:r>
    </w:p>
    <w:p w14:paraId="064C669A">
      <w:pPr>
        <w:pStyle w:val="702"/>
        <w:ind w:firstLine="2843" w:firstLineChars="1180"/>
        <w:rPr>
          <w:rFonts w:ascii="宋体" w:hAnsi="宋体" w:cs="宋体"/>
          <w:b/>
          <w:szCs w:val="24"/>
        </w:rPr>
      </w:pPr>
      <w:r>
        <w:rPr>
          <w:rFonts w:hint="eastAsia" w:ascii="宋体" w:hAnsi="宋体" w:cs="宋体"/>
          <w:b/>
          <w:szCs w:val="24"/>
        </w:rPr>
        <w:t>第一部分 合同书</w:t>
      </w:r>
    </w:p>
    <w:p w14:paraId="7A822431">
      <w:pPr>
        <w:spacing w:before="120" w:line="22" w:lineRule="atLeast"/>
        <w:rPr>
          <w:rFonts w:ascii="宋体" w:hAnsi="宋体" w:cs="宋体"/>
          <w:sz w:val="24"/>
        </w:rPr>
      </w:pPr>
    </w:p>
    <w:p w14:paraId="36C735BC">
      <w:pPr>
        <w:pStyle w:val="3"/>
      </w:pPr>
    </w:p>
    <w:p w14:paraId="716B4949">
      <w:pPr>
        <w:spacing w:before="120" w:line="22" w:lineRule="atLeast"/>
        <w:ind w:left="960"/>
        <w:rPr>
          <w:rFonts w:ascii="宋体" w:hAnsi="宋体" w:cs="宋体"/>
          <w:sz w:val="24"/>
        </w:rPr>
      </w:pPr>
      <w:r>
        <w:rPr>
          <w:rFonts w:hint="eastAsia" w:ascii="宋体" w:hAnsi="宋体" w:cs="宋体"/>
          <w:sz w:val="24"/>
        </w:rPr>
        <w:t>项目名称：</w:t>
      </w:r>
    </w:p>
    <w:p w14:paraId="4737057E">
      <w:pPr>
        <w:pStyle w:val="599"/>
        <w:spacing w:before="120" w:line="22" w:lineRule="atLeast"/>
        <w:rPr>
          <w:rFonts w:ascii="宋体" w:hAnsi="宋体" w:eastAsia="宋体" w:cs="宋体"/>
          <w:szCs w:val="24"/>
        </w:rPr>
      </w:pPr>
    </w:p>
    <w:p w14:paraId="475EBA6D">
      <w:pPr>
        <w:pStyle w:val="599"/>
        <w:spacing w:before="120" w:line="22" w:lineRule="atLeast"/>
        <w:rPr>
          <w:rFonts w:ascii="宋体" w:hAnsi="宋体" w:eastAsia="宋体" w:cs="宋体"/>
          <w:szCs w:val="24"/>
        </w:rPr>
      </w:pPr>
    </w:p>
    <w:p w14:paraId="6C40EEE9">
      <w:pPr>
        <w:rPr>
          <w:rFonts w:ascii="宋体" w:hAnsi="宋体" w:cs="宋体"/>
          <w:sz w:val="24"/>
        </w:rPr>
      </w:pPr>
    </w:p>
    <w:p w14:paraId="3F8381AE">
      <w:pPr>
        <w:spacing w:before="120" w:line="22" w:lineRule="atLeast"/>
        <w:ind w:left="960"/>
        <w:rPr>
          <w:rFonts w:ascii="宋体" w:hAnsi="宋体" w:cs="宋体"/>
          <w:sz w:val="24"/>
          <w:u w:val="single"/>
        </w:rPr>
      </w:pPr>
      <w:r>
        <w:rPr>
          <w:rFonts w:hint="eastAsia" w:ascii="宋体" w:hAnsi="宋体" w:cs="宋体"/>
          <w:sz w:val="24"/>
        </w:rPr>
        <w:t>甲方：</w:t>
      </w:r>
    </w:p>
    <w:p w14:paraId="499F88C5">
      <w:pPr>
        <w:spacing w:before="120" w:line="22" w:lineRule="atLeast"/>
        <w:rPr>
          <w:rFonts w:ascii="宋体" w:hAnsi="宋体" w:cs="宋体"/>
          <w:sz w:val="24"/>
        </w:rPr>
      </w:pPr>
    </w:p>
    <w:p w14:paraId="24383105">
      <w:pPr>
        <w:spacing w:before="120" w:line="22" w:lineRule="atLeast"/>
        <w:ind w:left="960"/>
        <w:rPr>
          <w:rFonts w:ascii="宋体" w:hAnsi="宋体" w:cs="宋体"/>
          <w:sz w:val="24"/>
          <w:u w:val="single"/>
        </w:rPr>
      </w:pPr>
      <w:r>
        <w:rPr>
          <w:rFonts w:hint="eastAsia" w:ascii="宋体" w:hAnsi="宋体" w:cs="宋体"/>
          <w:sz w:val="24"/>
        </w:rPr>
        <w:t>乙方：</w:t>
      </w:r>
    </w:p>
    <w:p w14:paraId="4EC5F660">
      <w:pPr>
        <w:spacing w:before="120" w:line="22" w:lineRule="atLeast"/>
        <w:rPr>
          <w:rFonts w:ascii="宋体" w:hAnsi="宋体" w:cs="宋体"/>
          <w:sz w:val="24"/>
        </w:rPr>
      </w:pPr>
    </w:p>
    <w:p w14:paraId="5B3C756B">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4DD5AA33">
      <w:pPr>
        <w:spacing w:before="120" w:line="22" w:lineRule="atLeast"/>
        <w:rPr>
          <w:rFonts w:ascii="宋体" w:hAnsi="宋体" w:cs="宋体"/>
          <w:sz w:val="24"/>
        </w:rPr>
      </w:pPr>
    </w:p>
    <w:p w14:paraId="1FB3FCFC">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2D47B327">
      <w:pPr>
        <w:widowControl/>
        <w:jc w:val="left"/>
        <w:rPr>
          <w:rFonts w:ascii="宋体" w:hAnsi="宋体" w:cs="宋体"/>
          <w:kern w:val="0"/>
          <w:sz w:val="24"/>
        </w:rPr>
        <w:sectPr>
          <w:pgSz w:w="11907" w:h="16840"/>
          <w:pgMar w:top="1474" w:right="1814" w:bottom="1474" w:left="1814" w:header="851" w:footer="851" w:gutter="0"/>
          <w:cols w:space="720" w:num="1"/>
        </w:sectPr>
      </w:pPr>
    </w:p>
    <w:p w14:paraId="0F0EDB34">
      <w:pPr>
        <w:rPr>
          <w:rFonts w:ascii="宋体" w:hAnsi="宋体" w:cs="宋体"/>
          <w:b/>
          <w:sz w:val="24"/>
        </w:rPr>
      </w:pPr>
    </w:p>
    <w:p w14:paraId="28404BD8">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宋体" w:hAnsi="宋体" w:cs="宋体"/>
          <w:sz w:val="24"/>
          <w:u w:val="single"/>
        </w:rPr>
        <w:t>杭州市卫生健康委员会</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cs="宋体"/>
          <w:sz w:val="24"/>
          <w:u w:val="single"/>
        </w:rPr>
        <w:t>杭州市“善育在杭2.0”项目</w:t>
      </w:r>
      <w:r>
        <w:rPr>
          <w:rFonts w:hint="eastAsia" w:ascii="宋体" w:hAnsi="宋体" w:cs="宋体"/>
          <w:sz w:val="24"/>
          <w:u w:val="single"/>
          <w:lang w:eastAsia="zh-CN"/>
        </w:rPr>
        <w:t>HZZFCG-2024-163</w:t>
      </w:r>
      <w:r>
        <w:rPr>
          <w:rFonts w:hint="eastAsia" w:ascii="宋体" w:hAnsi="宋体" w:cs="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8C51094">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rPr>
        <w:t>杭州市卫生健康委员会</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标或者成交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B5D9C41">
      <w:pPr>
        <w:spacing w:line="560" w:lineRule="exact"/>
        <w:ind w:firstLine="482" w:firstLineChars="200"/>
        <w:outlineLvl w:val="0"/>
        <w:rPr>
          <w:rFonts w:ascii="宋体" w:hAnsi="宋体"/>
          <w:sz w:val="24"/>
        </w:rPr>
      </w:pPr>
      <w:r>
        <w:rPr>
          <w:rFonts w:ascii="宋体" w:hAnsi="宋体"/>
          <w:b/>
          <w:sz w:val="24"/>
        </w:rPr>
        <w:t xml:space="preserve">1.1 </w:t>
      </w:r>
      <w:r>
        <w:rPr>
          <w:rFonts w:hint="eastAsia" w:ascii="宋体" w:hAnsi="宋体"/>
          <w:b/>
          <w:sz w:val="24"/>
        </w:rPr>
        <w:t>合同组成部分</w:t>
      </w:r>
    </w:p>
    <w:p w14:paraId="66E4BA2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F79EE6">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3446DF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4FA63B2">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CEE9E30">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9F5E415">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1409EB10">
      <w:pPr>
        <w:spacing w:line="560" w:lineRule="exact"/>
        <w:ind w:firstLine="482" w:firstLineChars="200"/>
        <w:outlineLvl w:val="0"/>
        <w:rPr>
          <w:rFonts w:ascii="宋体" w:hAnsi="宋体"/>
          <w:b/>
          <w:sz w:val="24"/>
        </w:rPr>
      </w:pPr>
      <w:r>
        <w:rPr>
          <w:rFonts w:ascii="宋体" w:hAnsi="宋体"/>
          <w:b/>
          <w:sz w:val="24"/>
        </w:rPr>
        <w:t xml:space="preserve">1.2 </w:t>
      </w:r>
      <w:r>
        <w:rPr>
          <w:rFonts w:hint="eastAsia" w:ascii="宋体" w:hAnsi="宋体"/>
          <w:b/>
          <w:sz w:val="24"/>
        </w:rPr>
        <w:t>标的</w:t>
      </w:r>
    </w:p>
    <w:p w14:paraId="01C352AA">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14:paraId="0E32CE1D">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14:paraId="615FFC2D">
      <w:pPr>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3C55AE7">
      <w:pPr>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53CE101">
      <w:pPr>
        <w:pStyle w:val="960"/>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否）涉及货物。若涉及货物的，则：</w:t>
      </w:r>
    </w:p>
    <w:p w14:paraId="77FB1500">
      <w:pPr>
        <w:spacing w:line="360" w:lineRule="auto"/>
        <w:ind w:firstLine="480" w:firstLineChars="200"/>
        <w:rPr>
          <w:rFonts w:ascii="宋体" w:hAnsi="宋体" w:cs="宋体"/>
          <w:sz w:val="24"/>
          <w:u w:val="single"/>
        </w:rPr>
      </w:pPr>
      <w:r>
        <w:rPr>
          <w:rFonts w:hint="eastAsia" w:ascii="宋体" w:hAnsi="宋体" w:cs="宋体"/>
          <w:sz w:val="24"/>
        </w:rPr>
        <w:t>1.2.5.1 货物名称、品牌、规格型号、花色：；</w:t>
      </w:r>
    </w:p>
    <w:p w14:paraId="0DCF0245">
      <w:pPr>
        <w:spacing w:line="360" w:lineRule="auto"/>
        <w:ind w:firstLine="480" w:firstLineChars="200"/>
        <w:rPr>
          <w:rFonts w:ascii="宋体" w:hAnsi="宋体" w:cs="宋体"/>
          <w:sz w:val="24"/>
          <w:u w:val="single"/>
        </w:rPr>
      </w:pPr>
      <w:r>
        <w:rPr>
          <w:rFonts w:hint="eastAsia" w:ascii="宋体" w:hAnsi="宋体" w:cs="宋体"/>
          <w:sz w:val="24"/>
        </w:rPr>
        <w:t>1.2.5.2 货物数量：；</w:t>
      </w:r>
    </w:p>
    <w:p w14:paraId="78529A73">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FE0670F">
      <w:pPr>
        <w:spacing w:line="560" w:lineRule="exact"/>
        <w:ind w:firstLine="482" w:firstLineChars="200"/>
        <w:outlineLvl w:val="0"/>
        <w:rPr>
          <w:rFonts w:ascii="宋体" w:hAnsi="宋体"/>
          <w:b/>
          <w:sz w:val="24"/>
        </w:rPr>
      </w:pPr>
      <w:r>
        <w:rPr>
          <w:rFonts w:ascii="宋体" w:hAnsi="宋体"/>
          <w:b/>
          <w:sz w:val="24"/>
        </w:rPr>
        <w:t>1.3 价款</w:t>
      </w:r>
    </w:p>
    <w:p w14:paraId="0DF43BCC">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b/>
          <w:i/>
          <w:sz w:val="24"/>
          <w:u w:val="single"/>
        </w:rPr>
        <w:t>合同专用条款</w:t>
      </w:r>
      <w:r>
        <w:rPr>
          <w:rFonts w:hint="eastAsia" w:ascii="宋体" w:hAnsi="宋体" w:cs="宋体"/>
          <w:sz w:val="24"/>
        </w:rPr>
        <w:t>条款规定的计价方式计价。</w:t>
      </w:r>
    </w:p>
    <w:p w14:paraId="296AD57E">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56725BE2">
      <w:pPr>
        <w:spacing w:line="560" w:lineRule="exact"/>
        <w:ind w:firstLine="480" w:firstLineChars="200"/>
        <w:rPr>
          <w:rFonts w:ascii="宋体" w:hAnsi="宋体"/>
          <w:sz w:val="24"/>
          <w:u w:val="single"/>
        </w:rPr>
      </w:pPr>
      <w:r>
        <w:rPr>
          <w:rFonts w:ascii="宋体" w:hAnsi="宋体"/>
          <w:sz w:val="24"/>
        </w:rPr>
        <w:t>分项价格：</w:t>
      </w:r>
    </w:p>
    <w:tbl>
      <w:tblPr>
        <w:tblStyle w:val="1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69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1482E7">
            <w:pPr>
              <w:pStyle w:val="320"/>
              <w:spacing w:line="560" w:lineRule="exact"/>
              <w:jc w:val="center"/>
              <w:rPr>
                <w:rFonts w:hAnsi="宋体"/>
                <w:sz w:val="24"/>
                <w:szCs w:val="24"/>
              </w:rPr>
            </w:pPr>
            <w:r>
              <w:rPr>
                <w:rFonts w:hAnsi="宋体"/>
                <w:sz w:val="24"/>
                <w:szCs w:val="24"/>
              </w:rPr>
              <w:t>序号</w:t>
            </w:r>
          </w:p>
        </w:tc>
        <w:tc>
          <w:tcPr>
            <w:tcW w:w="3402" w:type="dxa"/>
            <w:vAlign w:val="center"/>
          </w:tcPr>
          <w:p w14:paraId="65B2135D">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5E34801">
            <w:pPr>
              <w:pStyle w:val="320"/>
              <w:spacing w:line="560" w:lineRule="exact"/>
              <w:jc w:val="center"/>
              <w:rPr>
                <w:rFonts w:hAnsi="宋体"/>
                <w:sz w:val="24"/>
                <w:szCs w:val="24"/>
              </w:rPr>
            </w:pPr>
            <w:r>
              <w:rPr>
                <w:rFonts w:hAnsi="宋体"/>
                <w:sz w:val="24"/>
                <w:szCs w:val="24"/>
              </w:rPr>
              <w:t>分项价格</w:t>
            </w:r>
          </w:p>
        </w:tc>
      </w:tr>
      <w:tr w14:paraId="5263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F6B827">
            <w:pPr>
              <w:pStyle w:val="320"/>
              <w:spacing w:line="560" w:lineRule="exact"/>
              <w:ind w:firstLine="200"/>
              <w:jc w:val="center"/>
              <w:rPr>
                <w:rFonts w:hAnsi="宋体"/>
                <w:sz w:val="24"/>
                <w:szCs w:val="24"/>
              </w:rPr>
            </w:pPr>
          </w:p>
        </w:tc>
        <w:tc>
          <w:tcPr>
            <w:tcW w:w="3402" w:type="dxa"/>
            <w:vAlign w:val="center"/>
          </w:tcPr>
          <w:p w14:paraId="5B01DA6E">
            <w:pPr>
              <w:pStyle w:val="320"/>
              <w:spacing w:line="560" w:lineRule="exact"/>
              <w:ind w:firstLine="200"/>
              <w:jc w:val="center"/>
              <w:rPr>
                <w:rFonts w:hAnsi="宋体"/>
                <w:sz w:val="24"/>
                <w:szCs w:val="24"/>
              </w:rPr>
            </w:pPr>
          </w:p>
        </w:tc>
        <w:tc>
          <w:tcPr>
            <w:tcW w:w="2552" w:type="dxa"/>
            <w:vAlign w:val="center"/>
          </w:tcPr>
          <w:p w14:paraId="15C7E56B">
            <w:pPr>
              <w:pStyle w:val="320"/>
              <w:spacing w:line="560" w:lineRule="exact"/>
              <w:ind w:firstLine="200"/>
              <w:jc w:val="center"/>
              <w:rPr>
                <w:rFonts w:hAnsi="宋体"/>
                <w:sz w:val="24"/>
                <w:szCs w:val="24"/>
              </w:rPr>
            </w:pPr>
          </w:p>
        </w:tc>
      </w:tr>
      <w:tr w14:paraId="7A4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9795E4">
            <w:pPr>
              <w:pStyle w:val="320"/>
              <w:spacing w:line="560" w:lineRule="exact"/>
              <w:ind w:firstLine="200"/>
              <w:jc w:val="center"/>
              <w:rPr>
                <w:rFonts w:hAnsi="宋体"/>
                <w:sz w:val="24"/>
                <w:szCs w:val="24"/>
              </w:rPr>
            </w:pPr>
          </w:p>
        </w:tc>
        <w:tc>
          <w:tcPr>
            <w:tcW w:w="3402" w:type="dxa"/>
            <w:vAlign w:val="center"/>
          </w:tcPr>
          <w:p w14:paraId="5C056DDB">
            <w:pPr>
              <w:pStyle w:val="320"/>
              <w:spacing w:line="560" w:lineRule="exact"/>
              <w:ind w:firstLine="200"/>
              <w:jc w:val="center"/>
              <w:rPr>
                <w:rFonts w:hAnsi="宋体"/>
                <w:sz w:val="24"/>
                <w:szCs w:val="24"/>
              </w:rPr>
            </w:pPr>
          </w:p>
        </w:tc>
        <w:tc>
          <w:tcPr>
            <w:tcW w:w="2552" w:type="dxa"/>
            <w:vAlign w:val="center"/>
          </w:tcPr>
          <w:p w14:paraId="206A2D5F">
            <w:pPr>
              <w:pStyle w:val="320"/>
              <w:spacing w:line="560" w:lineRule="exact"/>
              <w:ind w:firstLine="200"/>
              <w:jc w:val="center"/>
              <w:rPr>
                <w:rFonts w:hAnsi="宋体"/>
                <w:sz w:val="24"/>
                <w:szCs w:val="24"/>
              </w:rPr>
            </w:pPr>
          </w:p>
        </w:tc>
      </w:tr>
      <w:tr w14:paraId="3F44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84A472">
            <w:pPr>
              <w:pStyle w:val="320"/>
              <w:spacing w:line="560" w:lineRule="exact"/>
              <w:ind w:firstLine="200"/>
              <w:jc w:val="center"/>
              <w:rPr>
                <w:rFonts w:hAnsi="宋体"/>
                <w:sz w:val="24"/>
                <w:szCs w:val="24"/>
              </w:rPr>
            </w:pPr>
          </w:p>
        </w:tc>
        <w:tc>
          <w:tcPr>
            <w:tcW w:w="3402" w:type="dxa"/>
            <w:vAlign w:val="center"/>
          </w:tcPr>
          <w:p w14:paraId="2F1D842B">
            <w:pPr>
              <w:pStyle w:val="320"/>
              <w:spacing w:line="560" w:lineRule="exact"/>
              <w:ind w:firstLine="200"/>
              <w:jc w:val="center"/>
              <w:rPr>
                <w:rFonts w:hAnsi="宋体"/>
                <w:sz w:val="24"/>
                <w:szCs w:val="24"/>
              </w:rPr>
            </w:pPr>
          </w:p>
        </w:tc>
        <w:tc>
          <w:tcPr>
            <w:tcW w:w="2552" w:type="dxa"/>
            <w:vAlign w:val="center"/>
          </w:tcPr>
          <w:p w14:paraId="3F74E846">
            <w:pPr>
              <w:pStyle w:val="320"/>
              <w:spacing w:line="560" w:lineRule="exact"/>
              <w:ind w:firstLine="200"/>
              <w:jc w:val="center"/>
              <w:rPr>
                <w:rFonts w:hAnsi="宋体"/>
                <w:sz w:val="24"/>
                <w:szCs w:val="24"/>
              </w:rPr>
            </w:pPr>
          </w:p>
        </w:tc>
      </w:tr>
      <w:tr w14:paraId="4181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88D794">
            <w:pPr>
              <w:pStyle w:val="320"/>
              <w:spacing w:line="560" w:lineRule="exact"/>
              <w:ind w:firstLine="200"/>
              <w:jc w:val="center"/>
              <w:rPr>
                <w:rFonts w:hAnsi="宋体"/>
                <w:sz w:val="24"/>
                <w:szCs w:val="24"/>
              </w:rPr>
            </w:pPr>
          </w:p>
        </w:tc>
        <w:tc>
          <w:tcPr>
            <w:tcW w:w="3402" w:type="dxa"/>
            <w:vAlign w:val="center"/>
          </w:tcPr>
          <w:p w14:paraId="7E4AFDC2">
            <w:pPr>
              <w:pStyle w:val="320"/>
              <w:spacing w:line="560" w:lineRule="exact"/>
              <w:ind w:firstLine="200"/>
              <w:jc w:val="center"/>
              <w:rPr>
                <w:rFonts w:hAnsi="宋体"/>
                <w:sz w:val="24"/>
                <w:szCs w:val="24"/>
              </w:rPr>
            </w:pPr>
          </w:p>
        </w:tc>
        <w:tc>
          <w:tcPr>
            <w:tcW w:w="2552" w:type="dxa"/>
            <w:vAlign w:val="center"/>
          </w:tcPr>
          <w:p w14:paraId="2A2EEEB2">
            <w:pPr>
              <w:pStyle w:val="320"/>
              <w:spacing w:line="560" w:lineRule="exact"/>
              <w:ind w:firstLine="200"/>
              <w:jc w:val="center"/>
              <w:rPr>
                <w:rFonts w:hAnsi="宋体"/>
                <w:sz w:val="24"/>
                <w:szCs w:val="24"/>
              </w:rPr>
            </w:pPr>
          </w:p>
        </w:tc>
      </w:tr>
      <w:tr w14:paraId="03D2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E9A4822">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F231DCE">
            <w:pPr>
              <w:pStyle w:val="320"/>
              <w:spacing w:line="560" w:lineRule="exact"/>
              <w:ind w:firstLine="200"/>
              <w:jc w:val="center"/>
              <w:rPr>
                <w:rFonts w:hAnsi="宋体"/>
                <w:sz w:val="24"/>
                <w:szCs w:val="24"/>
              </w:rPr>
            </w:pPr>
          </w:p>
        </w:tc>
      </w:tr>
    </w:tbl>
    <w:p w14:paraId="3A130B38">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47AD95D3">
      <w:pPr>
        <w:pStyle w:val="80"/>
        <w:spacing w:afterLines="100"/>
        <w:ind w:firstLine="480"/>
        <w:rPr>
          <w:lang w:val="en-US"/>
        </w:rPr>
      </w:pPr>
      <w:r>
        <w:rPr>
          <w:rFonts w:hint="eastAsia" w:ascii="宋体" w:hAnsi="宋体" w:eastAsia="宋体" w:cs="宋体"/>
          <w:sz w:val="24"/>
          <w:lang w:val="en-US"/>
        </w:rPr>
        <w:t>1.3.3其他计价方式：</w:t>
      </w:r>
      <w:r>
        <w:rPr>
          <w:rFonts w:hint="eastAsia" w:ascii="宋体" w:hAnsi="宋体" w:eastAsia="宋体" w:cs="宋体"/>
          <w:sz w:val="24"/>
        </w:rPr>
        <w:t>。</w:t>
      </w:r>
    </w:p>
    <w:p w14:paraId="44D71B6F">
      <w:pPr>
        <w:pStyle w:val="960"/>
        <w:spacing w:before="0" w:beforeAutospacing="0" w:afterLines="100" w:afterAutospacing="0" w:line="360" w:lineRule="auto"/>
        <w:ind w:firstLine="480"/>
        <w:rPr>
          <w:b/>
        </w:rPr>
      </w:pPr>
      <w:bookmarkStart w:id="402" w:name="_Toc22618"/>
      <w:bookmarkStart w:id="403" w:name="_Toc10340"/>
      <w:bookmarkStart w:id="404" w:name="_Toc1814"/>
      <w:r>
        <w:rPr>
          <w:rFonts w:hint="eastAsia"/>
          <w:b/>
        </w:rPr>
        <w:t>1.4履约保证金</w:t>
      </w:r>
    </w:p>
    <w:p w14:paraId="194F59A1">
      <w:pPr>
        <w:pStyle w:val="960"/>
        <w:spacing w:before="0" w:beforeAutospacing="0" w:after="0" w:afterAutospacing="0" w:line="360" w:lineRule="auto"/>
        <w:ind w:firstLine="480"/>
      </w:pPr>
      <w:r>
        <w:rPr>
          <w:rFonts w:hint="eastAsia"/>
        </w:rPr>
        <w:t>乙方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否）需要支付履约保证金。若需要支付履约保证金的，则：</w:t>
      </w:r>
    </w:p>
    <w:p w14:paraId="4D40EEEA">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b/>
          <w:i/>
          <w:sz w:val="24"/>
          <w:u w:val="single"/>
        </w:rPr>
        <w:t>合同专用条款</w:t>
      </w:r>
      <w:r>
        <w:rPr>
          <w:rFonts w:hint="eastAsia" w:ascii="宋体" w:hAnsi="宋体" w:cs="宋体"/>
          <w:kern w:val="0"/>
          <w:sz w:val="24"/>
        </w:rPr>
        <w:t>%；</w:t>
      </w:r>
    </w:p>
    <w:p w14:paraId="57D3D6E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1B83AD9A">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7BB24A8">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5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3AACCF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2"/>
      <w:bookmarkEnd w:id="403"/>
      <w:bookmarkEnd w:id="404"/>
      <w:r>
        <w:rPr>
          <w:rFonts w:hint="eastAsia" w:ascii="宋体" w:hAnsi="宋体" w:cs="宋体"/>
          <w:b/>
          <w:sz w:val="24"/>
        </w:rPr>
        <w:t>预付款</w:t>
      </w:r>
    </w:p>
    <w:p w14:paraId="0B0A223B">
      <w:pPr>
        <w:pStyle w:val="960"/>
        <w:spacing w:before="0" w:beforeAutospacing="0" w:after="0" w:afterAutospacing="0" w:line="360" w:lineRule="auto"/>
        <w:ind w:firstLine="480"/>
      </w:pPr>
      <w:r>
        <w:rPr>
          <w:rFonts w:hint="eastAsia"/>
        </w:rPr>
        <w:t>甲方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否）需要支付预付款。若需要支付预付款的，则：</w:t>
      </w:r>
    </w:p>
    <w:p w14:paraId="3C43FB1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0CD54D96">
      <w:pPr>
        <w:pStyle w:val="960"/>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5194627D">
      <w:pPr>
        <w:pStyle w:val="960"/>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7942A041">
      <w:pPr>
        <w:pStyle w:val="960"/>
        <w:spacing w:before="0" w:beforeAutospacing="0" w:after="0" w:afterAutospacing="0" w:line="360" w:lineRule="auto"/>
        <w:ind w:firstLine="480"/>
        <w:rPr>
          <w:b/>
          <w:bCs/>
        </w:rPr>
      </w:pPr>
      <w:r>
        <w:rPr>
          <w:rFonts w:hint="eastAsia"/>
          <w:b/>
          <w:bCs/>
        </w:rPr>
        <w:t>1.6资金支付</w:t>
      </w:r>
    </w:p>
    <w:p w14:paraId="3787E899">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DFD95C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BC34F40">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14:paraId="2317BDB3">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14744A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4F43FD0">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4A50BEB">
      <w:pPr>
        <w:spacing w:line="560" w:lineRule="exact"/>
        <w:ind w:firstLine="480" w:firstLineChars="200"/>
        <w:outlineLvl w:val="0"/>
        <w:rPr>
          <w:rFonts w:ascii="宋体" w:hAnsi="宋体"/>
          <w:bCs/>
          <w:sz w:val="24"/>
        </w:rPr>
      </w:pPr>
      <w:r>
        <w:rPr>
          <w:rFonts w:hint="eastAsia" w:ascii="宋体" w:hAnsi="宋体"/>
          <w:bCs/>
          <w:sz w:val="24"/>
        </w:rPr>
        <w:t>1.7.4若服务</w:t>
      </w:r>
      <w:r>
        <w:rPr>
          <w:rFonts w:hint="eastAsia"/>
          <w:bCs/>
          <w:sz w:val="24"/>
        </w:rPr>
        <w:t>涉及货物的，则货物的：</w:t>
      </w:r>
    </w:p>
    <w:p w14:paraId="0D1A884D">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6CEA72F">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552859C">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F4B3CD7">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p>
    <w:p w14:paraId="54FF5C4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hint="eastAsia" w:ascii="宋体" w:hAnsi="宋体" w:cs="宋体"/>
          <w:kern w:val="0"/>
          <w:sz w:val="24"/>
          <w:u w:val="single"/>
        </w:rPr>
        <w:t xml:space="preserve">（可根据情况修改）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E59B86E">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0.05（可根据情况修改）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34A4EFA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F99F864">
      <w:pPr>
        <w:spacing w:line="560" w:lineRule="exact"/>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8948B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AD4E2B">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310D1F8">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510310D0">
      <w:pPr>
        <w:spacing w:line="560" w:lineRule="exact"/>
        <w:ind w:firstLine="482" w:firstLineChars="200"/>
        <w:outlineLvl w:val="0"/>
        <w:rPr>
          <w:rFonts w:ascii="宋体" w:hAnsi="宋体" w:cs="宋体"/>
          <w:b/>
          <w:sz w:val="24"/>
        </w:rPr>
      </w:pPr>
      <w:bookmarkStart w:id="405" w:name="_Toc15583"/>
      <w:bookmarkStart w:id="406" w:name="_Toc28375"/>
      <w:bookmarkStart w:id="407" w:name="_Toc16021"/>
      <w:r>
        <w:rPr>
          <w:rFonts w:hint="eastAsia" w:ascii="宋体" w:hAnsi="宋体" w:cs="宋体"/>
          <w:b/>
          <w:sz w:val="24"/>
        </w:rPr>
        <w:t>1.9合同争议的解决</w:t>
      </w:r>
      <w:bookmarkEnd w:id="405"/>
      <w:bookmarkEnd w:id="406"/>
      <w:bookmarkEnd w:id="407"/>
    </w:p>
    <w:p w14:paraId="5127786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5708B48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CF1444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EBAD4D3">
      <w:pPr>
        <w:spacing w:line="560" w:lineRule="exact"/>
        <w:ind w:firstLine="482" w:firstLineChars="200"/>
        <w:outlineLvl w:val="0"/>
        <w:rPr>
          <w:rFonts w:ascii="宋体" w:hAnsi="宋体" w:cs="宋体"/>
          <w:b/>
          <w:sz w:val="24"/>
        </w:rPr>
      </w:pPr>
      <w:bookmarkStart w:id="408" w:name="_Toc11173"/>
      <w:bookmarkStart w:id="409" w:name="_Toc7245"/>
      <w:bookmarkStart w:id="410" w:name="_Toc15322"/>
      <w:r>
        <w:rPr>
          <w:rFonts w:hint="eastAsia" w:ascii="宋体" w:hAnsi="宋体" w:cs="宋体"/>
          <w:b/>
          <w:sz w:val="24"/>
        </w:rPr>
        <w:t>1.10 合同生效</w:t>
      </w:r>
      <w:bookmarkEnd w:id="408"/>
      <w:bookmarkEnd w:id="409"/>
      <w:bookmarkEnd w:id="410"/>
    </w:p>
    <w:p w14:paraId="0FD5C6B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575623C3">
      <w:pPr>
        <w:autoSpaceDE w:val="0"/>
        <w:autoSpaceDN w:val="0"/>
        <w:spacing w:line="560" w:lineRule="exact"/>
        <w:rPr>
          <w:rFonts w:ascii="宋体" w:hAnsi="宋体"/>
          <w:sz w:val="24"/>
          <w:lang w:val="zh-CN"/>
        </w:rPr>
      </w:pPr>
    </w:p>
    <w:p w14:paraId="2FC2466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2EA554A3">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50F49789">
      <w:pPr>
        <w:autoSpaceDE w:val="0"/>
        <w:autoSpaceDN w:val="0"/>
        <w:spacing w:line="560" w:lineRule="exact"/>
        <w:rPr>
          <w:rFonts w:ascii="宋体" w:hAnsi="宋体"/>
          <w:sz w:val="24"/>
          <w:lang w:val="zh-CN"/>
        </w:rPr>
      </w:pPr>
    </w:p>
    <w:p w14:paraId="7B7E244F">
      <w:pPr>
        <w:autoSpaceDE w:val="0"/>
        <w:autoSpaceDN w:val="0"/>
        <w:spacing w:line="560" w:lineRule="exact"/>
        <w:rPr>
          <w:rFonts w:ascii="宋体" w:hAnsi="宋体"/>
          <w:sz w:val="24"/>
          <w:lang w:val="zh-CN"/>
        </w:rPr>
      </w:pPr>
      <w:r>
        <w:rPr>
          <w:rFonts w:hint="eastAsia" w:ascii="宋体" w:hAnsi="宋体"/>
          <w:sz w:val="24"/>
          <w:lang w:val="zh-CN"/>
        </w:rPr>
        <w:t>住所：住所：</w:t>
      </w:r>
    </w:p>
    <w:p w14:paraId="15395051">
      <w:pPr>
        <w:autoSpaceDE w:val="0"/>
        <w:autoSpaceDN w:val="0"/>
        <w:spacing w:line="560" w:lineRule="exact"/>
        <w:rPr>
          <w:rFonts w:ascii="宋体" w:hAnsi="宋体"/>
          <w:sz w:val="24"/>
          <w:lang w:val="zh-CN"/>
        </w:rPr>
      </w:pPr>
      <w:r>
        <w:rPr>
          <w:rFonts w:hint="eastAsia" w:ascii="宋体" w:hAnsi="宋体"/>
          <w:sz w:val="24"/>
          <w:lang w:val="zh-CN"/>
        </w:rPr>
        <w:t>法定代表人或法定代表人或</w:t>
      </w:r>
    </w:p>
    <w:p w14:paraId="663AE29B">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49DB1DB">
      <w:pPr>
        <w:autoSpaceDE w:val="0"/>
        <w:autoSpaceDN w:val="0"/>
        <w:spacing w:line="560" w:lineRule="exact"/>
        <w:rPr>
          <w:rFonts w:ascii="宋体" w:hAnsi="宋体"/>
          <w:sz w:val="24"/>
          <w:lang w:val="zh-CN"/>
        </w:rPr>
      </w:pPr>
      <w:r>
        <w:rPr>
          <w:rFonts w:hint="eastAsia" w:ascii="宋体" w:hAnsi="宋体"/>
          <w:sz w:val="24"/>
          <w:lang w:val="zh-CN"/>
        </w:rPr>
        <w:t>联系人：联系人：</w:t>
      </w:r>
    </w:p>
    <w:p w14:paraId="0D0ED12A">
      <w:pPr>
        <w:autoSpaceDE w:val="0"/>
        <w:autoSpaceDN w:val="0"/>
        <w:spacing w:line="560" w:lineRule="exact"/>
        <w:rPr>
          <w:rFonts w:ascii="宋体" w:hAnsi="宋体"/>
          <w:sz w:val="24"/>
          <w:lang w:val="zh-CN"/>
        </w:rPr>
      </w:pPr>
      <w:r>
        <w:rPr>
          <w:rFonts w:hint="eastAsia" w:ascii="宋体" w:hAnsi="宋体"/>
          <w:sz w:val="24"/>
          <w:lang w:val="zh-CN"/>
        </w:rPr>
        <w:t>约定送达地址：约定送达地址：</w:t>
      </w:r>
    </w:p>
    <w:p w14:paraId="4AF5E36D">
      <w:pPr>
        <w:autoSpaceDE w:val="0"/>
        <w:autoSpaceDN w:val="0"/>
        <w:spacing w:line="560" w:lineRule="exact"/>
        <w:rPr>
          <w:rFonts w:ascii="宋体" w:hAnsi="宋体"/>
          <w:sz w:val="24"/>
          <w:lang w:val="zh-CN"/>
        </w:rPr>
      </w:pPr>
      <w:r>
        <w:rPr>
          <w:rFonts w:hint="eastAsia" w:ascii="宋体" w:hAnsi="宋体"/>
          <w:sz w:val="24"/>
          <w:lang w:val="zh-CN"/>
        </w:rPr>
        <w:t>邮政编码：邮政编码：</w:t>
      </w:r>
    </w:p>
    <w:p w14:paraId="33511E72">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D6AC286">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1F850C6">
      <w:pPr>
        <w:autoSpaceDE w:val="0"/>
        <w:autoSpaceDN w:val="0"/>
        <w:spacing w:line="560" w:lineRule="exact"/>
        <w:rPr>
          <w:rFonts w:ascii="宋体" w:hAnsi="宋体"/>
          <w:sz w:val="24"/>
        </w:rPr>
      </w:pPr>
      <w:r>
        <w:rPr>
          <w:rFonts w:hint="eastAsia" w:ascii="宋体" w:hAnsi="宋体"/>
          <w:sz w:val="24"/>
          <w:lang w:val="zh-CN"/>
        </w:rPr>
        <w:t>电子邮箱：电子邮箱：</w:t>
      </w:r>
    </w:p>
    <w:p w14:paraId="64766A5B">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C63C9B8">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119F406">
      <w:pPr>
        <w:autoSpaceDE w:val="0"/>
        <w:autoSpaceDN w:val="0"/>
        <w:spacing w:line="560" w:lineRule="exact"/>
        <w:rPr>
          <w:rFonts w:ascii="宋体" w:hAnsi="宋体"/>
          <w:sz w:val="24"/>
        </w:rPr>
      </w:pPr>
      <w:r>
        <w:rPr>
          <w:rFonts w:hint="eastAsia" w:ascii="宋体" w:hAnsi="宋体"/>
          <w:sz w:val="24"/>
        </w:rPr>
        <w:t>开户账号：开户账号：</w:t>
      </w:r>
    </w:p>
    <w:p w14:paraId="193CF2F4">
      <w:pPr>
        <w:widowControl/>
        <w:spacing w:line="560" w:lineRule="exact"/>
        <w:jc w:val="left"/>
        <w:rPr>
          <w:rFonts w:ascii="宋体" w:hAnsi="宋体"/>
          <w:b/>
          <w:sz w:val="24"/>
        </w:rPr>
      </w:pPr>
    </w:p>
    <w:p w14:paraId="37ACDE80">
      <w:pPr>
        <w:widowControl/>
        <w:adjustRightInd/>
        <w:jc w:val="left"/>
        <w:rPr>
          <w:rFonts w:ascii="宋体" w:hAnsi="宋体"/>
          <w:b/>
          <w:sz w:val="24"/>
        </w:rPr>
      </w:pPr>
      <w:r>
        <w:rPr>
          <w:rFonts w:ascii="宋体" w:hAnsi="宋体"/>
          <w:b/>
        </w:rPr>
        <w:br w:type="page"/>
      </w:r>
    </w:p>
    <w:p w14:paraId="6414EE66">
      <w:pPr>
        <w:pStyle w:val="702"/>
        <w:spacing w:line="560" w:lineRule="exact"/>
        <w:ind w:firstLine="482"/>
        <w:jc w:val="center"/>
        <w:rPr>
          <w:rFonts w:ascii="宋体" w:hAnsi="宋体"/>
          <w:b/>
          <w:szCs w:val="24"/>
        </w:rPr>
      </w:pPr>
      <w:r>
        <w:rPr>
          <w:rFonts w:hint="eastAsia" w:ascii="宋体" w:hAnsi="宋体"/>
          <w:b/>
          <w:szCs w:val="24"/>
        </w:rPr>
        <w:t>第二部分合同一般条款</w:t>
      </w:r>
    </w:p>
    <w:p w14:paraId="24D22EBB">
      <w:pPr>
        <w:spacing w:line="560" w:lineRule="exact"/>
        <w:ind w:firstLine="482" w:firstLineChars="200"/>
        <w:outlineLvl w:val="0"/>
        <w:rPr>
          <w:rFonts w:ascii="宋体" w:hAnsi="宋体"/>
          <w:b/>
          <w:sz w:val="24"/>
        </w:rPr>
      </w:pPr>
      <w:r>
        <w:rPr>
          <w:rFonts w:ascii="宋体" w:hAnsi="宋体"/>
          <w:b/>
          <w:sz w:val="24"/>
        </w:rPr>
        <w:t>2.1 定义</w:t>
      </w:r>
    </w:p>
    <w:p w14:paraId="510E4697">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A9C928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98D5446">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37D5CD4">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44D3A0F">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9A1277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E65F8F">
      <w:pPr>
        <w:spacing w:line="560" w:lineRule="exact"/>
        <w:ind w:firstLine="480" w:firstLineChars="200"/>
        <w:rPr>
          <w:rFonts w:ascii="宋体" w:hAnsi="宋体"/>
          <w:sz w:val="24"/>
        </w:rPr>
      </w:pPr>
      <w:r>
        <w:rPr>
          <w:rFonts w:ascii="宋体" w:hAnsi="宋体"/>
          <w:sz w:val="24"/>
        </w:rPr>
        <w:t>2.1.6 “现场”系指合同约定提供服务的地点。</w:t>
      </w:r>
    </w:p>
    <w:p w14:paraId="110340A6">
      <w:pPr>
        <w:spacing w:line="560" w:lineRule="exact"/>
        <w:ind w:firstLine="482" w:firstLineChars="200"/>
        <w:outlineLvl w:val="0"/>
        <w:rPr>
          <w:rFonts w:ascii="宋体" w:hAnsi="宋体"/>
          <w:b/>
          <w:sz w:val="24"/>
        </w:rPr>
      </w:pPr>
      <w:r>
        <w:rPr>
          <w:rFonts w:ascii="宋体" w:hAnsi="宋体"/>
          <w:b/>
          <w:sz w:val="24"/>
        </w:rPr>
        <w:t>2.2 技术规范</w:t>
      </w:r>
    </w:p>
    <w:p w14:paraId="7E2DB445">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BA6CCDD">
      <w:pPr>
        <w:spacing w:line="560" w:lineRule="exact"/>
        <w:ind w:firstLine="482" w:firstLineChars="200"/>
        <w:outlineLvl w:val="0"/>
        <w:rPr>
          <w:rFonts w:ascii="宋体" w:hAnsi="宋体"/>
          <w:b/>
          <w:sz w:val="24"/>
        </w:rPr>
      </w:pPr>
      <w:r>
        <w:rPr>
          <w:rFonts w:ascii="宋体" w:hAnsi="宋体"/>
          <w:b/>
          <w:sz w:val="24"/>
        </w:rPr>
        <w:t>2.3 知识产权</w:t>
      </w:r>
    </w:p>
    <w:p w14:paraId="3155959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E15D092">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EAD98A1">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37723EF">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2FBD5B6">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A4D8AC1">
      <w:pPr>
        <w:spacing w:line="560" w:lineRule="exact"/>
        <w:ind w:firstLine="482" w:firstLineChars="200"/>
        <w:outlineLvl w:val="0"/>
        <w:rPr>
          <w:rFonts w:ascii="宋体" w:hAnsi="宋体"/>
          <w:b/>
          <w:sz w:val="24"/>
        </w:rPr>
      </w:pPr>
      <w:r>
        <w:rPr>
          <w:rFonts w:ascii="宋体" w:hAnsi="宋体"/>
          <w:b/>
          <w:sz w:val="24"/>
        </w:rPr>
        <w:t>2.5 结算方式和付款条件</w:t>
      </w:r>
    </w:p>
    <w:p w14:paraId="6CFFCB5A">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6346B8C">
      <w:pPr>
        <w:spacing w:line="560" w:lineRule="exact"/>
        <w:ind w:firstLine="482" w:firstLineChars="200"/>
        <w:outlineLvl w:val="0"/>
        <w:rPr>
          <w:rFonts w:ascii="宋体" w:hAnsi="宋体"/>
          <w:b/>
          <w:sz w:val="24"/>
        </w:rPr>
      </w:pPr>
      <w:r>
        <w:rPr>
          <w:rFonts w:ascii="宋体" w:hAnsi="宋体"/>
          <w:b/>
          <w:sz w:val="24"/>
        </w:rPr>
        <w:t>2.6 技术资料和保密义务</w:t>
      </w:r>
    </w:p>
    <w:p w14:paraId="1A5E6D5B">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2519628">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2C1E9C6">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05A9F41">
      <w:pPr>
        <w:spacing w:line="560" w:lineRule="exact"/>
        <w:ind w:firstLine="482" w:firstLineChars="200"/>
        <w:outlineLvl w:val="0"/>
        <w:rPr>
          <w:rFonts w:ascii="宋体" w:hAnsi="宋体"/>
          <w:b/>
          <w:sz w:val="24"/>
        </w:rPr>
      </w:pPr>
      <w:r>
        <w:rPr>
          <w:rFonts w:ascii="宋体" w:hAnsi="宋体"/>
          <w:b/>
          <w:sz w:val="24"/>
        </w:rPr>
        <w:t xml:space="preserve">2.7 </w:t>
      </w:r>
      <w:r>
        <w:rPr>
          <w:rFonts w:hint="eastAsia" w:ascii="宋体" w:hAnsi="宋体"/>
          <w:b/>
          <w:sz w:val="24"/>
        </w:rPr>
        <w:t>质量保证</w:t>
      </w:r>
    </w:p>
    <w:p w14:paraId="618BF78D">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2144C2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AF9B5EB">
      <w:pPr>
        <w:spacing w:line="560" w:lineRule="exact"/>
        <w:ind w:firstLine="482" w:firstLineChars="200"/>
        <w:outlineLvl w:val="0"/>
        <w:rPr>
          <w:rFonts w:ascii="宋体" w:hAnsi="宋体"/>
          <w:b/>
          <w:sz w:val="24"/>
        </w:rPr>
      </w:pPr>
      <w:r>
        <w:rPr>
          <w:rFonts w:ascii="宋体" w:hAnsi="宋体"/>
          <w:b/>
          <w:sz w:val="24"/>
        </w:rPr>
        <w:t xml:space="preserve">2.8 </w:t>
      </w:r>
      <w:r>
        <w:rPr>
          <w:rFonts w:hint="eastAsia" w:ascii="宋体" w:hAnsi="宋体"/>
          <w:b/>
          <w:sz w:val="24"/>
        </w:rPr>
        <w:t>延迟履行</w:t>
      </w:r>
    </w:p>
    <w:p w14:paraId="5EB981E6">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8BCFA00">
      <w:pPr>
        <w:spacing w:line="560" w:lineRule="exact"/>
        <w:ind w:firstLine="482" w:firstLineChars="200"/>
        <w:outlineLvl w:val="0"/>
        <w:rPr>
          <w:rFonts w:ascii="宋体" w:hAnsi="宋体"/>
          <w:b/>
          <w:sz w:val="24"/>
        </w:rPr>
      </w:pPr>
      <w:r>
        <w:rPr>
          <w:rFonts w:ascii="宋体" w:hAnsi="宋体"/>
          <w:b/>
          <w:sz w:val="24"/>
        </w:rPr>
        <w:t xml:space="preserve">2.9 </w:t>
      </w:r>
      <w:r>
        <w:rPr>
          <w:rFonts w:hint="eastAsia" w:ascii="宋体" w:hAnsi="宋体"/>
          <w:b/>
          <w:sz w:val="24"/>
        </w:rPr>
        <w:t>合同变更</w:t>
      </w:r>
    </w:p>
    <w:p w14:paraId="256D22B6">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462A543">
      <w:pPr>
        <w:spacing w:line="560" w:lineRule="exact"/>
        <w:ind w:firstLine="482" w:firstLineChars="200"/>
        <w:outlineLvl w:val="0"/>
        <w:rPr>
          <w:rFonts w:ascii="宋体" w:hAnsi="宋体"/>
          <w:b/>
          <w:sz w:val="24"/>
        </w:rPr>
      </w:pPr>
      <w:r>
        <w:rPr>
          <w:rFonts w:ascii="宋体" w:hAnsi="宋体"/>
          <w:b/>
          <w:sz w:val="24"/>
        </w:rPr>
        <w:t>2.10 合同转让和分包</w:t>
      </w:r>
    </w:p>
    <w:p w14:paraId="2D0C16D1">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书面同意，乙方可以依法采取分包方式履行合同，即：依法可以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2157364">
      <w:pPr>
        <w:spacing w:line="560" w:lineRule="exact"/>
        <w:ind w:firstLine="482" w:firstLineChars="200"/>
        <w:outlineLvl w:val="0"/>
        <w:rPr>
          <w:rFonts w:ascii="宋体" w:hAnsi="宋体"/>
          <w:b/>
          <w:sz w:val="24"/>
        </w:rPr>
      </w:pPr>
      <w:r>
        <w:rPr>
          <w:rFonts w:ascii="宋体" w:hAnsi="宋体"/>
          <w:b/>
          <w:sz w:val="24"/>
        </w:rPr>
        <w:t>2.11 不可抗力</w:t>
      </w:r>
    </w:p>
    <w:p w14:paraId="6C57AB3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DFF271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3F0044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A34E8B0">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B20634D">
      <w:pPr>
        <w:spacing w:line="560" w:lineRule="exact"/>
        <w:ind w:firstLine="482" w:firstLineChars="200"/>
        <w:outlineLvl w:val="0"/>
        <w:rPr>
          <w:rFonts w:ascii="宋体" w:hAnsi="宋体"/>
          <w:b/>
          <w:sz w:val="24"/>
        </w:rPr>
      </w:pPr>
      <w:r>
        <w:rPr>
          <w:rFonts w:ascii="宋体" w:hAnsi="宋体"/>
          <w:b/>
          <w:sz w:val="24"/>
        </w:rPr>
        <w:t>2.12 税费</w:t>
      </w:r>
    </w:p>
    <w:p w14:paraId="2D3A3D10">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7B57560">
      <w:pPr>
        <w:spacing w:line="560" w:lineRule="exact"/>
        <w:ind w:firstLine="482" w:firstLineChars="200"/>
        <w:outlineLvl w:val="0"/>
        <w:rPr>
          <w:rFonts w:ascii="宋体" w:hAnsi="宋体"/>
          <w:b/>
          <w:sz w:val="24"/>
        </w:rPr>
      </w:pPr>
      <w:r>
        <w:rPr>
          <w:rFonts w:ascii="宋体" w:hAnsi="宋体"/>
          <w:b/>
          <w:sz w:val="24"/>
        </w:rPr>
        <w:t>2.13 乙方破产</w:t>
      </w:r>
    </w:p>
    <w:p w14:paraId="430620A6">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608DE64">
      <w:pPr>
        <w:spacing w:line="560" w:lineRule="exact"/>
        <w:ind w:firstLine="482" w:firstLineChars="200"/>
        <w:outlineLvl w:val="0"/>
        <w:rPr>
          <w:rFonts w:ascii="宋体" w:hAnsi="宋体"/>
          <w:b/>
          <w:sz w:val="24"/>
        </w:rPr>
      </w:pPr>
      <w:r>
        <w:rPr>
          <w:rFonts w:ascii="宋体" w:hAnsi="宋体"/>
          <w:b/>
          <w:sz w:val="24"/>
        </w:rPr>
        <w:t>2.14 合同中止、终止</w:t>
      </w:r>
    </w:p>
    <w:p w14:paraId="642418BE">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4EFFED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9C8176C">
      <w:pPr>
        <w:spacing w:line="560" w:lineRule="exact"/>
        <w:ind w:firstLine="482" w:firstLineChars="200"/>
        <w:outlineLvl w:val="0"/>
        <w:rPr>
          <w:rFonts w:ascii="宋体" w:hAnsi="宋体"/>
          <w:b/>
          <w:sz w:val="24"/>
        </w:rPr>
      </w:pPr>
      <w:r>
        <w:rPr>
          <w:rFonts w:ascii="宋体" w:hAnsi="宋体"/>
          <w:b/>
          <w:sz w:val="24"/>
        </w:rPr>
        <w:t>2.15 检验和验收</w:t>
      </w:r>
    </w:p>
    <w:p w14:paraId="4C9F454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A4596A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DA1D57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D852E7E">
      <w:pPr>
        <w:spacing w:line="560" w:lineRule="exact"/>
        <w:ind w:firstLine="482" w:firstLineChars="200"/>
        <w:outlineLvl w:val="0"/>
        <w:rPr>
          <w:rFonts w:ascii="宋体" w:hAnsi="宋体"/>
          <w:b/>
          <w:sz w:val="24"/>
        </w:rPr>
      </w:pPr>
      <w:r>
        <w:rPr>
          <w:rFonts w:ascii="宋体" w:hAnsi="宋体"/>
          <w:b/>
          <w:sz w:val="24"/>
        </w:rPr>
        <w:t>2.16 通知和送达</w:t>
      </w:r>
    </w:p>
    <w:p w14:paraId="0CA48F21">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EE45222">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5E84855A">
      <w:pPr>
        <w:spacing w:line="560" w:lineRule="exact"/>
        <w:ind w:firstLine="482" w:firstLineChars="200"/>
        <w:outlineLvl w:val="0"/>
        <w:rPr>
          <w:rFonts w:ascii="宋体" w:hAnsi="宋体"/>
          <w:b/>
          <w:sz w:val="24"/>
        </w:rPr>
      </w:pPr>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p>
    <w:p w14:paraId="3ECCD7E1">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2569B528">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3FAF109">
      <w:pPr>
        <w:spacing w:line="560" w:lineRule="exact"/>
        <w:ind w:firstLine="482" w:firstLineChars="200"/>
        <w:outlineLvl w:val="0"/>
        <w:rPr>
          <w:rFonts w:ascii="宋体" w:hAnsi="宋体" w:cs="宋体"/>
          <w:b/>
          <w:sz w:val="24"/>
        </w:rPr>
      </w:pPr>
      <w:bookmarkStart w:id="411" w:name="_Toc18540"/>
      <w:bookmarkStart w:id="412" w:name="_Toc30599"/>
      <w:bookmarkStart w:id="413" w:name="_Toc4355"/>
      <w:r>
        <w:rPr>
          <w:rFonts w:hint="eastAsia" w:ascii="宋体" w:hAnsi="宋体" w:cs="宋体"/>
          <w:b/>
          <w:sz w:val="24"/>
        </w:rPr>
        <w:t>2.18 计量单位</w:t>
      </w:r>
      <w:bookmarkEnd w:id="411"/>
      <w:bookmarkEnd w:id="412"/>
      <w:bookmarkEnd w:id="413"/>
    </w:p>
    <w:p w14:paraId="145F825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41D335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D8DC55C">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78533F4">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1DCC270B">
      <w:pPr>
        <w:spacing w:line="560" w:lineRule="exact"/>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102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76"/>
        <w:gridCol w:w="8893"/>
      </w:tblGrid>
      <w:tr w14:paraId="1CAB2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1376" w:type="dxa"/>
            <w:tcBorders>
              <w:left w:val="single" w:color="auto" w:sz="4" w:space="0"/>
            </w:tcBorders>
            <w:vAlign w:val="center"/>
          </w:tcPr>
          <w:p w14:paraId="46FAE428">
            <w:pPr>
              <w:jc w:val="center"/>
              <w:rPr>
                <w:rFonts w:ascii="宋体" w:hAnsi="宋体" w:cs="宋体"/>
                <w:b/>
              </w:rPr>
            </w:pPr>
            <w:r>
              <w:rPr>
                <w:rFonts w:hint="eastAsia" w:ascii="宋体" w:hAnsi="宋体" w:cs="宋体"/>
                <w:b/>
              </w:rPr>
              <w:t>条款号</w:t>
            </w:r>
          </w:p>
        </w:tc>
        <w:tc>
          <w:tcPr>
            <w:tcW w:w="8893" w:type="dxa"/>
            <w:vAlign w:val="center"/>
          </w:tcPr>
          <w:p w14:paraId="0C9C142C">
            <w:pPr>
              <w:jc w:val="center"/>
              <w:rPr>
                <w:rFonts w:ascii="宋体" w:hAnsi="宋体" w:cs="宋体"/>
                <w:b/>
              </w:rPr>
            </w:pPr>
            <w:r>
              <w:rPr>
                <w:rFonts w:hint="eastAsia" w:ascii="宋体" w:hAnsi="宋体" w:cs="宋体"/>
                <w:b/>
              </w:rPr>
              <w:t>约定内容</w:t>
            </w:r>
          </w:p>
        </w:tc>
      </w:tr>
      <w:tr w14:paraId="211D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2FD340C5">
            <w:pPr>
              <w:ind w:firstLine="480"/>
              <w:rPr>
                <w:rFonts w:ascii="宋体" w:hAnsi="宋体" w:cs="宋体"/>
              </w:rPr>
            </w:pPr>
            <w:r>
              <w:rPr>
                <w:rFonts w:hint="eastAsia" w:ascii="宋体" w:hAnsi="宋体" w:cs="宋体"/>
              </w:rPr>
              <w:t>1.3</w:t>
            </w:r>
          </w:p>
        </w:tc>
        <w:tc>
          <w:tcPr>
            <w:tcW w:w="8893" w:type="dxa"/>
            <w:vAlign w:val="center"/>
          </w:tcPr>
          <w:p w14:paraId="728A5AF9">
            <w:pPr>
              <w:spacing w:line="400" w:lineRule="exact"/>
              <w:ind w:firstLine="480"/>
              <w:rPr>
                <w:rFonts w:ascii="宋体" w:hAnsi="宋体" w:cs="宋体"/>
                <w:sz w:val="24"/>
              </w:rPr>
            </w:pPr>
            <w:r>
              <w:rPr>
                <w:rFonts w:ascii="宋体" w:hAnsi="宋体" w:cs="宋体"/>
                <w:sz w:val="24"/>
              </w:rPr>
              <w:t>1.3.1</w:t>
            </w:r>
          </w:p>
        </w:tc>
      </w:tr>
      <w:tr w14:paraId="1AB41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6ED87528">
            <w:pPr>
              <w:ind w:firstLine="480"/>
              <w:rPr>
                <w:rFonts w:ascii="宋体" w:hAnsi="宋体" w:cs="宋体"/>
              </w:rPr>
            </w:pPr>
            <w:r>
              <w:rPr>
                <w:rFonts w:hint="eastAsia" w:ascii="宋体" w:hAnsi="宋体" w:cs="宋体"/>
              </w:rPr>
              <w:t>1.3.2</w:t>
            </w:r>
          </w:p>
        </w:tc>
        <w:tc>
          <w:tcPr>
            <w:tcW w:w="8893" w:type="dxa"/>
            <w:vAlign w:val="center"/>
          </w:tcPr>
          <w:p w14:paraId="3F76F250">
            <w:pPr>
              <w:spacing w:line="400" w:lineRule="exact"/>
              <w:ind w:firstLine="480"/>
              <w:rPr>
                <w:rFonts w:ascii="宋体" w:hAnsi="宋体" w:cs="宋体"/>
                <w:sz w:val="24"/>
              </w:rPr>
            </w:pPr>
            <w:r>
              <w:rPr>
                <w:rFonts w:ascii="宋体" w:hAnsi="宋体" w:cs="宋体"/>
                <w:sz w:val="24"/>
              </w:rPr>
              <w:t>/</w:t>
            </w:r>
          </w:p>
        </w:tc>
      </w:tr>
      <w:tr w14:paraId="51CAF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6DA65B29">
            <w:pPr>
              <w:ind w:firstLine="480"/>
              <w:rPr>
                <w:rFonts w:ascii="宋体" w:hAnsi="宋体" w:cs="宋体"/>
              </w:rPr>
            </w:pPr>
            <w:r>
              <w:rPr>
                <w:rFonts w:hint="eastAsia" w:ascii="宋体" w:hAnsi="宋体" w:cs="宋体"/>
              </w:rPr>
              <w:t>1.4</w:t>
            </w:r>
          </w:p>
        </w:tc>
        <w:tc>
          <w:tcPr>
            <w:tcW w:w="8893" w:type="dxa"/>
            <w:vAlign w:val="center"/>
          </w:tcPr>
          <w:p w14:paraId="071E7574">
            <w:pPr>
              <w:spacing w:line="400" w:lineRule="exact"/>
              <w:ind w:firstLine="480"/>
              <w:rPr>
                <w:rFonts w:ascii="宋体" w:hAnsi="宋体" w:cs="宋体"/>
                <w:sz w:val="24"/>
              </w:rPr>
            </w:pPr>
            <w:r>
              <w:rPr>
                <w:rFonts w:hint="eastAsia" w:ascii="宋体" w:hAnsi="宋体" w:cs="宋体"/>
                <w:sz w:val="24"/>
              </w:rPr>
              <w:t>是</w:t>
            </w:r>
          </w:p>
        </w:tc>
      </w:tr>
      <w:tr w14:paraId="10503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38690AC3">
            <w:pPr>
              <w:ind w:firstLine="480"/>
              <w:rPr>
                <w:rFonts w:ascii="宋体" w:hAnsi="宋体" w:cs="宋体"/>
              </w:rPr>
            </w:pPr>
            <w:r>
              <w:rPr>
                <w:rFonts w:hint="eastAsia" w:ascii="宋体" w:hAnsi="宋体" w:cs="宋体"/>
              </w:rPr>
              <w:t>1.4.1</w:t>
            </w:r>
          </w:p>
        </w:tc>
        <w:tc>
          <w:tcPr>
            <w:tcW w:w="8893" w:type="dxa"/>
            <w:vAlign w:val="center"/>
          </w:tcPr>
          <w:p w14:paraId="1DFA0BED">
            <w:pPr>
              <w:spacing w:line="400" w:lineRule="exact"/>
              <w:ind w:firstLine="480"/>
              <w:rPr>
                <w:rFonts w:ascii="宋体" w:hAnsi="宋体" w:cs="宋体"/>
                <w:sz w:val="24"/>
              </w:rPr>
            </w:pPr>
            <w:r>
              <w:rPr>
                <w:rFonts w:ascii="宋体" w:hAnsi="宋体" w:cs="宋体"/>
                <w:sz w:val="24"/>
              </w:rPr>
              <w:t>1</w:t>
            </w:r>
          </w:p>
        </w:tc>
      </w:tr>
      <w:tr w14:paraId="2C779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12E961DE">
            <w:pPr>
              <w:ind w:firstLine="480"/>
              <w:rPr>
                <w:rFonts w:ascii="宋体" w:hAnsi="宋体" w:cs="宋体"/>
              </w:rPr>
            </w:pPr>
            <w:r>
              <w:rPr>
                <w:rFonts w:hint="eastAsia" w:ascii="宋体" w:hAnsi="宋体" w:cs="宋体"/>
              </w:rPr>
              <w:t>1.4.2</w:t>
            </w:r>
          </w:p>
        </w:tc>
        <w:tc>
          <w:tcPr>
            <w:tcW w:w="8893" w:type="dxa"/>
            <w:vAlign w:val="center"/>
          </w:tcPr>
          <w:p w14:paraId="6C68705A">
            <w:pPr>
              <w:pStyle w:val="960"/>
              <w:spacing w:before="0" w:beforeAutospacing="0" w:after="0" w:afterAutospacing="0" w:line="400" w:lineRule="exact"/>
              <w:ind w:firstLine="480"/>
            </w:pPr>
            <w:r>
              <w:rPr>
                <w:rFonts w:hint="eastAsia"/>
              </w:rPr>
              <w:t>金融机构、担保机构出具的保函等非现金形式</w:t>
            </w:r>
          </w:p>
        </w:tc>
      </w:tr>
      <w:tr w14:paraId="4E5D0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02B242D7">
            <w:pPr>
              <w:ind w:firstLine="480"/>
              <w:rPr>
                <w:rFonts w:ascii="宋体" w:hAnsi="宋体" w:cs="宋体"/>
              </w:rPr>
            </w:pPr>
            <w:r>
              <w:rPr>
                <w:rFonts w:hint="eastAsia" w:ascii="宋体" w:hAnsi="宋体" w:cs="宋体"/>
              </w:rPr>
              <w:t>1.5</w:t>
            </w:r>
          </w:p>
        </w:tc>
        <w:tc>
          <w:tcPr>
            <w:tcW w:w="8893" w:type="dxa"/>
            <w:vAlign w:val="center"/>
          </w:tcPr>
          <w:p w14:paraId="6B3A6665">
            <w:pPr>
              <w:spacing w:line="400" w:lineRule="exact"/>
              <w:ind w:firstLine="480"/>
              <w:rPr>
                <w:rFonts w:ascii="宋体" w:hAnsi="宋体" w:cs="宋体"/>
                <w:bCs/>
                <w:sz w:val="24"/>
              </w:rPr>
            </w:pPr>
            <w:r>
              <w:rPr>
                <w:rFonts w:hint="eastAsia" w:ascii="宋体" w:hAnsi="宋体" w:cs="宋体"/>
                <w:sz w:val="24"/>
              </w:rPr>
              <w:t>是</w:t>
            </w:r>
          </w:p>
        </w:tc>
      </w:tr>
      <w:tr w14:paraId="1605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6AAB37A6">
            <w:pPr>
              <w:ind w:firstLine="480"/>
              <w:rPr>
                <w:rFonts w:ascii="宋体" w:hAnsi="宋体" w:cs="宋体"/>
              </w:rPr>
            </w:pPr>
            <w:r>
              <w:rPr>
                <w:rFonts w:hint="eastAsia" w:ascii="宋体" w:hAnsi="宋体" w:cs="宋体"/>
              </w:rPr>
              <w:t xml:space="preserve">1.5.1 </w:t>
            </w:r>
          </w:p>
        </w:tc>
        <w:tc>
          <w:tcPr>
            <w:tcW w:w="8893" w:type="dxa"/>
            <w:vAlign w:val="center"/>
          </w:tcPr>
          <w:p w14:paraId="7FFD6B1C">
            <w:pPr>
              <w:spacing w:line="400" w:lineRule="exact"/>
              <w:rPr>
                <w:rFonts w:ascii="宋体" w:hAnsi="宋体" w:cs="宋体"/>
                <w:sz w:val="24"/>
              </w:rPr>
            </w:pPr>
            <w:r>
              <w:rPr>
                <w:rFonts w:hint="eastAsia" w:ascii="宋体" w:hAnsi="宋体" w:cs="宋体"/>
                <w:kern w:val="0"/>
                <w:sz w:val="24"/>
              </w:rPr>
              <w:t>预付款支付比例为合同总价的</w:t>
            </w:r>
            <w:r>
              <w:rPr>
                <w:rFonts w:ascii="宋体" w:hAnsi="宋体" w:cs="宋体"/>
                <w:kern w:val="0"/>
                <w:sz w:val="24"/>
              </w:rPr>
              <w:t>40%，于本合同生效具备支付条件后，中标人凭发票办理预付款结算手续，甲方在收到发票后5个工作日内支付。</w:t>
            </w:r>
          </w:p>
        </w:tc>
      </w:tr>
      <w:tr w14:paraId="05157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5002370C">
            <w:pPr>
              <w:ind w:firstLine="480"/>
              <w:rPr>
                <w:rFonts w:ascii="宋体" w:hAnsi="宋体" w:cs="宋体"/>
              </w:rPr>
            </w:pPr>
            <w:r>
              <w:rPr>
                <w:rFonts w:hint="eastAsia" w:ascii="宋体" w:hAnsi="宋体" w:cs="宋体"/>
              </w:rPr>
              <w:t>1.5.2</w:t>
            </w:r>
          </w:p>
        </w:tc>
        <w:tc>
          <w:tcPr>
            <w:tcW w:w="8893" w:type="dxa"/>
            <w:vAlign w:val="center"/>
          </w:tcPr>
          <w:p w14:paraId="7BA3EF5F">
            <w:pPr>
              <w:spacing w:line="400" w:lineRule="exact"/>
              <w:ind w:firstLine="480"/>
              <w:rPr>
                <w:rFonts w:ascii="宋体" w:hAnsi="宋体" w:cs="宋体"/>
                <w:sz w:val="24"/>
              </w:rPr>
            </w:pPr>
            <w:r>
              <w:rPr>
                <w:rFonts w:hint="eastAsia" w:ascii="宋体" w:hAnsi="宋体" w:cs="宋体"/>
                <w:sz w:val="24"/>
              </w:rPr>
              <w:t>不扣回</w:t>
            </w:r>
          </w:p>
        </w:tc>
      </w:tr>
      <w:tr w14:paraId="0546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3F3DEFEC">
            <w:pPr>
              <w:ind w:firstLine="480"/>
              <w:rPr>
                <w:rFonts w:ascii="宋体" w:hAnsi="宋体" w:cs="宋体"/>
              </w:rPr>
            </w:pPr>
            <w:r>
              <w:rPr>
                <w:rFonts w:hint="eastAsia" w:ascii="宋体" w:hAnsi="宋体" w:cs="宋体"/>
              </w:rPr>
              <w:t xml:space="preserve">1.5.3 </w:t>
            </w:r>
          </w:p>
        </w:tc>
        <w:tc>
          <w:tcPr>
            <w:tcW w:w="8893" w:type="dxa"/>
            <w:vAlign w:val="center"/>
          </w:tcPr>
          <w:p w14:paraId="358FBF13">
            <w:pPr>
              <w:spacing w:line="400" w:lineRule="exact"/>
              <w:ind w:firstLine="480"/>
              <w:rPr>
                <w:rFonts w:ascii="宋体" w:hAnsi="宋体" w:cs="宋体"/>
                <w:sz w:val="24"/>
              </w:rPr>
            </w:pPr>
            <w:r>
              <w:rPr>
                <w:rFonts w:ascii="宋体" w:hAnsi="宋体" w:cs="宋体"/>
                <w:sz w:val="24"/>
              </w:rPr>
              <w:t>/</w:t>
            </w:r>
          </w:p>
        </w:tc>
      </w:tr>
      <w:tr w14:paraId="0C92E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2EB37C68">
            <w:pPr>
              <w:ind w:firstLine="480"/>
              <w:rPr>
                <w:rFonts w:ascii="宋体" w:hAnsi="宋体" w:cs="宋体"/>
              </w:rPr>
            </w:pPr>
            <w:r>
              <w:rPr>
                <w:rFonts w:hint="eastAsia" w:ascii="宋体" w:hAnsi="宋体" w:cs="宋体"/>
              </w:rPr>
              <w:t>1.6.2</w:t>
            </w:r>
          </w:p>
        </w:tc>
        <w:tc>
          <w:tcPr>
            <w:tcW w:w="8893" w:type="dxa"/>
            <w:vAlign w:val="center"/>
          </w:tcPr>
          <w:p w14:paraId="245FFBDD">
            <w:pPr>
              <w:spacing w:line="400" w:lineRule="exact"/>
              <w:ind w:firstLine="480"/>
              <w:rPr>
                <w:rFonts w:ascii="宋体" w:hAnsi="宋体" w:cs="宋体"/>
                <w:sz w:val="24"/>
              </w:rPr>
            </w:pPr>
            <w:r>
              <w:rPr>
                <w:rFonts w:hint="eastAsia" w:ascii="宋体" w:hAnsi="宋体" w:cs="宋体"/>
                <w:sz w:val="24"/>
              </w:rPr>
              <w:t>余款分两期支付。</w:t>
            </w:r>
          </w:p>
          <w:p w14:paraId="271AB53E">
            <w:pPr>
              <w:spacing w:line="400" w:lineRule="exact"/>
              <w:ind w:firstLine="480"/>
              <w:rPr>
                <w:rFonts w:ascii="宋体" w:hAnsi="宋体" w:cs="宋体"/>
                <w:sz w:val="24"/>
              </w:rPr>
            </w:pPr>
            <w:r>
              <w:rPr>
                <w:rFonts w:hint="eastAsia" w:ascii="宋体" w:hAnsi="宋体" w:cs="宋体"/>
                <w:sz w:val="24"/>
              </w:rPr>
              <w:t>【初验合格】付款：完成项目初验合格且具备支付条件后，乙方凭发票、甲方签字盖章的支付意见、初验意见办理合同总价</w:t>
            </w:r>
            <w:r>
              <w:rPr>
                <w:rFonts w:ascii="宋体" w:hAnsi="宋体" w:cs="宋体"/>
                <w:sz w:val="24"/>
              </w:rPr>
              <w:t>35%的合同款支付手续。</w:t>
            </w:r>
          </w:p>
          <w:p w14:paraId="0C141EB4">
            <w:pPr>
              <w:spacing w:line="400" w:lineRule="exact"/>
              <w:ind w:firstLine="480"/>
              <w:rPr>
                <w:rFonts w:ascii="宋体" w:hAnsi="宋体" w:cs="宋体"/>
                <w:sz w:val="24"/>
              </w:rPr>
            </w:pPr>
            <w:r>
              <w:rPr>
                <w:rFonts w:hint="eastAsia" w:ascii="宋体" w:hAnsi="宋体" w:cs="宋体"/>
                <w:sz w:val="24"/>
              </w:rPr>
              <w:t>【终验合格】付款：完成项目终验合格且具备支付条件后，乙方凭发票、甲方签字盖章的支付意见、验收意见办理合同总价</w:t>
            </w:r>
            <w:r>
              <w:rPr>
                <w:rFonts w:ascii="宋体" w:hAnsi="宋体" w:cs="宋体"/>
                <w:sz w:val="24"/>
              </w:rPr>
              <w:t>25%的合同款支付手续。</w:t>
            </w:r>
          </w:p>
        </w:tc>
      </w:tr>
      <w:tr w14:paraId="37C61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1376" w:type="dxa"/>
            <w:tcBorders>
              <w:left w:val="single" w:color="auto" w:sz="4" w:space="0"/>
            </w:tcBorders>
            <w:vAlign w:val="center"/>
          </w:tcPr>
          <w:p w14:paraId="5CAD561B">
            <w:pPr>
              <w:ind w:firstLine="480"/>
              <w:rPr>
                <w:rFonts w:ascii="宋体" w:hAnsi="宋体" w:cs="宋体"/>
              </w:rPr>
            </w:pPr>
            <w:r>
              <w:rPr>
                <w:rFonts w:hint="eastAsia" w:ascii="宋体" w:hAnsi="宋体" w:cs="宋体"/>
              </w:rPr>
              <w:t>1.7.1</w:t>
            </w:r>
          </w:p>
        </w:tc>
        <w:tc>
          <w:tcPr>
            <w:tcW w:w="8893" w:type="dxa"/>
            <w:vAlign w:val="center"/>
          </w:tcPr>
          <w:p w14:paraId="088AB442">
            <w:pPr>
              <w:spacing w:line="400" w:lineRule="exact"/>
              <w:ind w:firstLine="480"/>
              <w:rPr>
                <w:rFonts w:ascii="宋体" w:hAnsi="宋体" w:cs="宋体"/>
                <w:sz w:val="24"/>
              </w:rPr>
            </w:pPr>
            <w:r>
              <w:rPr>
                <w:rFonts w:ascii="宋体" w:hAnsi="宋体" w:cs="宋体"/>
                <w:sz w:val="24"/>
              </w:rPr>
              <w:t>2024年12月10日</w:t>
            </w:r>
            <w:r>
              <w:rPr>
                <w:rFonts w:hint="eastAsia" w:ascii="宋体" w:hAnsi="宋体" w:cs="宋体"/>
                <w:sz w:val="24"/>
              </w:rPr>
              <w:t>前完成初验，</w:t>
            </w:r>
            <w:r>
              <w:rPr>
                <w:rFonts w:ascii="宋体" w:hAnsi="宋体" w:cs="宋体"/>
                <w:sz w:val="24"/>
              </w:rPr>
              <w:t xml:space="preserve">2025年9月底前完成终验 </w:t>
            </w:r>
            <w:r>
              <w:rPr>
                <w:rFonts w:hint="eastAsia" w:ascii="宋体" w:hAnsi="宋体" w:cs="宋体"/>
                <w:sz w:val="24"/>
              </w:rPr>
              <w:t>。</w:t>
            </w:r>
          </w:p>
        </w:tc>
      </w:tr>
      <w:tr w14:paraId="3909C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5609974D">
            <w:pPr>
              <w:ind w:firstLine="480"/>
              <w:rPr>
                <w:rFonts w:ascii="宋体" w:hAnsi="宋体" w:cs="宋体"/>
              </w:rPr>
            </w:pPr>
            <w:r>
              <w:rPr>
                <w:rFonts w:hint="eastAsia" w:ascii="宋体" w:hAnsi="宋体" w:cs="宋体"/>
              </w:rPr>
              <w:t>1.7.2</w:t>
            </w:r>
          </w:p>
        </w:tc>
        <w:tc>
          <w:tcPr>
            <w:tcW w:w="8893" w:type="dxa"/>
            <w:vAlign w:val="center"/>
          </w:tcPr>
          <w:p w14:paraId="3AAAC36D">
            <w:pPr>
              <w:spacing w:line="400" w:lineRule="exact"/>
              <w:ind w:firstLine="480"/>
              <w:rPr>
                <w:rFonts w:ascii="宋体" w:hAnsi="宋体" w:cs="宋体"/>
                <w:sz w:val="24"/>
              </w:rPr>
            </w:pPr>
            <w:r>
              <w:rPr>
                <w:rFonts w:hint="eastAsia" w:ascii="宋体" w:hAnsi="宋体" w:cs="宋体"/>
                <w:sz w:val="24"/>
              </w:rPr>
              <w:t>甲方指定地点。</w:t>
            </w:r>
          </w:p>
        </w:tc>
      </w:tr>
      <w:tr w14:paraId="13CA3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6651456E">
            <w:pPr>
              <w:ind w:firstLine="480"/>
              <w:rPr>
                <w:rFonts w:ascii="宋体" w:hAnsi="宋体" w:cs="宋体"/>
              </w:rPr>
            </w:pPr>
            <w:r>
              <w:rPr>
                <w:rFonts w:hint="eastAsia" w:ascii="宋体" w:hAnsi="宋体" w:cs="宋体"/>
              </w:rPr>
              <w:t>1.7.3</w:t>
            </w:r>
          </w:p>
        </w:tc>
        <w:tc>
          <w:tcPr>
            <w:tcW w:w="8893" w:type="dxa"/>
            <w:vAlign w:val="center"/>
          </w:tcPr>
          <w:p w14:paraId="38347EFB">
            <w:pPr>
              <w:spacing w:line="400" w:lineRule="exact"/>
              <w:ind w:firstLine="480"/>
              <w:rPr>
                <w:rFonts w:ascii="宋体" w:hAnsi="宋体" w:cs="宋体"/>
                <w:sz w:val="24"/>
              </w:rPr>
            </w:pPr>
            <w:r>
              <w:rPr>
                <w:rFonts w:hint="eastAsia" w:ascii="宋体" w:hAnsi="宋体" w:cs="宋体"/>
                <w:sz w:val="24"/>
              </w:rPr>
              <w:t>依招标文件（含澄清或者说明文件）、投标文件（含澄清或者说明文件）、本合同及其补充合同、变更协议及其他相关文件、甲方的要求提供现场服务。</w:t>
            </w:r>
          </w:p>
        </w:tc>
      </w:tr>
      <w:tr w14:paraId="73DEF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7D5C8170">
            <w:pPr>
              <w:ind w:firstLine="480"/>
              <w:rPr>
                <w:rFonts w:ascii="宋体" w:hAnsi="宋体" w:cs="宋体"/>
              </w:rPr>
            </w:pPr>
            <w:r>
              <w:rPr>
                <w:rFonts w:hint="eastAsia" w:ascii="宋体" w:hAnsi="宋体" w:cs="宋体"/>
              </w:rPr>
              <w:t>1.7.4.1</w:t>
            </w:r>
          </w:p>
        </w:tc>
        <w:tc>
          <w:tcPr>
            <w:tcW w:w="8893" w:type="dxa"/>
            <w:vAlign w:val="center"/>
          </w:tcPr>
          <w:p w14:paraId="3A2984B7">
            <w:pPr>
              <w:spacing w:line="400" w:lineRule="exact"/>
              <w:ind w:firstLine="480"/>
              <w:rPr>
                <w:rFonts w:ascii="宋体" w:hAnsi="宋体" w:cs="宋体"/>
                <w:sz w:val="24"/>
              </w:rPr>
            </w:pPr>
            <w:r>
              <w:rPr>
                <w:rFonts w:ascii="宋体" w:hAnsi="宋体" w:cs="宋体"/>
                <w:sz w:val="24"/>
              </w:rPr>
              <w:t>/</w:t>
            </w:r>
          </w:p>
        </w:tc>
      </w:tr>
      <w:tr w14:paraId="75568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622492E1">
            <w:pPr>
              <w:ind w:firstLine="480"/>
              <w:rPr>
                <w:rFonts w:ascii="宋体" w:hAnsi="宋体" w:cs="宋体"/>
              </w:rPr>
            </w:pPr>
            <w:r>
              <w:rPr>
                <w:rFonts w:hint="eastAsia" w:ascii="宋体" w:hAnsi="宋体" w:cs="宋体"/>
              </w:rPr>
              <w:t>1.7.4.2</w:t>
            </w:r>
          </w:p>
        </w:tc>
        <w:tc>
          <w:tcPr>
            <w:tcW w:w="8893" w:type="dxa"/>
            <w:vAlign w:val="center"/>
          </w:tcPr>
          <w:p w14:paraId="529E6806">
            <w:pPr>
              <w:spacing w:line="400" w:lineRule="exact"/>
              <w:ind w:firstLine="480"/>
              <w:rPr>
                <w:rFonts w:ascii="宋体" w:hAnsi="宋体" w:cs="宋体"/>
                <w:sz w:val="24"/>
              </w:rPr>
            </w:pPr>
            <w:r>
              <w:rPr>
                <w:rFonts w:ascii="宋体" w:hAnsi="宋体" w:cs="宋体"/>
                <w:sz w:val="24"/>
              </w:rPr>
              <w:t>/</w:t>
            </w:r>
          </w:p>
        </w:tc>
      </w:tr>
      <w:tr w14:paraId="0DD91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739BF49E">
            <w:pPr>
              <w:ind w:firstLine="480"/>
              <w:rPr>
                <w:rFonts w:ascii="宋体" w:hAnsi="宋体" w:cs="宋体"/>
              </w:rPr>
            </w:pPr>
            <w:r>
              <w:rPr>
                <w:rFonts w:hint="eastAsia" w:ascii="宋体" w:hAnsi="宋体" w:cs="宋体"/>
              </w:rPr>
              <w:t>1.7.4.3</w:t>
            </w:r>
          </w:p>
        </w:tc>
        <w:tc>
          <w:tcPr>
            <w:tcW w:w="8893" w:type="dxa"/>
            <w:vAlign w:val="center"/>
          </w:tcPr>
          <w:p w14:paraId="1C2EF63F">
            <w:pPr>
              <w:spacing w:line="400" w:lineRule="exact"/>
              <w:ind w:firstLine="480"/>
              <w:rPr>
                <w:rFonts w:ascii="宋体" w:hAnsi="宋体" w:cs="宋体"/>
                <w:sz w:val="24"/>
              </w:rPr>
            </w:pPr>
            <w:r>
              <w:rPr>
                <w:rFonts w:ascii="宋体" w:hAnsi="宋体" w:cs="宋体"/>
                <w:sz w:val="24"/>
              </w:rPr>
              <w:t>/</w:t>
            </w:r>
          </w:p>
        </w:tc>
      </w:tr>
      <w:tr w14:paraId="3AC10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330CB30D">
            <w:pPr>
              <w:ind w:firstLine="480"/>
              <w:rPr>
                <w:rFonts w:ascii="宋体" w:hAnsi="宋体" w:cs="宋体"/>
              </w:rPr>
            </w:pPr>
            <w:r>
              <w:rPr>
                <w:rFonts w:hint="eastAsia" w:ascii="宋体" w:hAnsi="宋体" w:cs="宋体"/>
              </w:rPr>
              <w:t>1.8.7</w:t>
            </w:r>
          </w:p>
        </w:tc>
        <w:tc>
          <w:tcPr>
            <w:tcW w:w="8893" w:type="dxa"/>
            <w:vAlign w:val="center"/>
          </w:tcPr>
          <w:p w14:paraId="4B8915D0">
            <w:pPr>
              <w:numPr>
                <w:ilvl w:val="0"/>
                <w:numId w:val="12"/>
              </w:numPr>
              <w:spacing w:line="400" w:lineRule="exact"/>
              <w:ind w:firstLine="480"/>
              <w:rPr>
                <w:rFonts w:ascii="宋体" w:hAnsi="宋体" w:cs="宋体"/>
                <w:sz w:val="24"/>
              </w:rPr>
            </w:pPr>
            <w:r>
              <w:rPr>
                <w:rFonts w:hint="eastAsia" w:ascii="宋体" w:hAnsi="宋体" w:cs="宋体"/>
                <w:sz w:val="24"/>
              </w:rPr>
              <w:t>如因乙方未按承诺及时响应甲方需求，经催告仍不响应的，乙方应按合同总额的</w:t>
            </w:r>
            <w:r>
              <w:rPr>
                <w:rFonts w:ascii="宋体" w:hAnsi="宋体" w:cs="宋体"/>
                <w:sz w:val="24"/>
              </w:rPr>
              <w:t xml:space="preserve">5%/次承担违约责任，若甲方实际损失超过违约金数额，超出部分由乙方另行承担。若乙方累计3 </w:t>
            </w:r>
            <w:r>
              <w:rPr>
                <w:rFonts w:hint="eastAsia" w:ascii="宋体" w:hAnsi="宋体" w:cs="宋体"/>
                <w:sz w:val="24"/>
              </w:rPr>
              <w:t>次上述情形的，甲方有权解除合同，要求乙方退还已收取的全部合同款并按合同总额的</w:t>
            </w:r>
            <w:r>
              <w:rPr>
                <w:rFonts w:ascii="宋体" w:hAnsi="宋体" w:cs="宋体"/>
                <w:sz w:val="24"/>
              </w:rPr>
              <w:t>20%承担违约金。若甲方要求乙方继续履行合同，不免除乙方承担违约金的义务。</w:t>
            </w:r>
          </w:p>
          <w:p w14:paraId="4190FF41">
            <w:pPr>
              <w:numPr>
                <w:ilvl w:val="0"/>
                <w:numId w:val="12"/>
              </w:numPr>
              <w:spacing w:line="400" w:lineRule="exact"/>
              <w:ind w:firstLine="480"/>
              <w:rPr>
                <w:rFonts w:ascii="宋体" w:hAnsi="宋体" w:cs="宋体"/>
                <w:sz w:val="24"/>
              </w:rPr>
            </w:pPr>
            <w:r>
              <w:rPr>
                <w:rFonts w:hint="eastAsia" w:ascii="宋体" w:hAnsi="宋体" w:cs="宋体"/>
                <w:sz w:val="24"/>
              </w:rPr>
              <w:t>经甲方同意后，乙方可以将合同项下的部分非主体、非关键性工作分包给第三方完成但不得再次分包。乙方应就分包内容向甲方负责，如分包方出现违约或造成甲方</w:t>
            </w:r>
            <w:r>
              <w:rPr>
                <w:rFonts w:ascii="宋体" w:hAnsi="宋体" w:cs="宋体"/>
                <w:sz w:val="24"/>
              </w:rPr>
              <w:t>/乙方项目损失的，视为乙方违约，乙方应按约定向甲方承担违约责任及损失，且甲方有权要求乙方与分包方承担连带责任。</w:t>
            </w:r>
          </w:p>
          <w:p w14:paraId="67E3F8B0">
            <w:pPr>
              <w:pStyle w:val="258"/>
              <w:numPr>
                <w:ilvl w:val="0"/>
                <w:numId w:val="12"/>
              </w:numPr>
              <w:tabs>
                <w:tab w:val="left" w:pos="7980"/>
              </w:tabs>
              <w:spacing w:line="400" w:lineRule="exact"/>
              <w:ind w:firstLine="480" w:firstLineChars="0"/>
              <w:rPr>
                <w:rFonts w:ascii="宋体" w:hAnsi="宋体" w:eastAsia="宋体" w:cs="宋体"/>
              </w:rPr>
            </w:pPr>
            <w:r>
              <w:rPr>
                <w:rFonts w:hint="eastAsia" w:ascii="宋体" w:hAnsi="宋体" w:eastAsia="宋体" w:cs="宋体"/>
              </w:rPr>
              <w:t>除本合同另有约定外，若乙方（包括分包人）行为导致甲方解除合同的，乙方按合同总额的20%向甲方承担违约金，若甲方实际损失超过违约金数额，超出部分由乙方另行承担。</w:t>
            </w:r>
          </w:p>
        </w:tc>
      </w:tr>
      <w:tr w14:paraId="5CB36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2017387B">
            <w:pPr>
              <w:ind w:firstLine="480"/>
              <w:rPr>
                <w:rFonts w:ascii="宋体" w:hAnsi="宋体" w:cs="宋体"/>
              </w:rPr>
            </w:pPr>
            <w:r>
              <w:rPr>
                <w:rFonts w:hint="eastAsia" w:ascii="宋体" w:hAnsi="宋体" w:cs="宋体"/>
              </w:rPr>
              <w:t>1.9</w:t>
            </w:r>
          </w:p>
        </w:tc>
        <w:tc>
          <w:tcPr>
            <w:tcW w:w="8893" w:type="dxa"/>
            <w:vAlign w:val="center"/>
          </w:tcPr>
          <w:p w14:paraId="28451247">
            <w:pPr>
              <w:spacing w:line="400" w:lineRule="exact"/>
              <w:ind w:firstLine="480"/>
              <w:rPr>
                <w:rFonts w:ascii="宋体" w:hAnsi="宋体" w:cs="宋体"/>
                <w:sz w:val="24"/>
              </w:rPr>
            </w:pPr>
            <w:r>
              <w:rPr>
                <w:rFonts w:ascii="宋体" w:hAnsi="宋体" w:cs="宋体"/>
                <w:sz w:val="24"/>
              </w:rPr>
              <w:t>1.9.1</w:t>
            </w:r>
          </w:p>
        </w:tc>
      </w:tr>
      <w:tr w14:paraId="197C3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6AEA7B6F">
            <w:pPr>
              <w:ind w:firstLine="480"/>
              <w:rPr>
                <w:rFonts w:ascii="宋体" w:hAnsi="宋体" w:cs="宋体"/>
              </w:rPr>
            </w:pPr>
            <w:r>
              <w:rPr>
                <w:rFonts w:hint="eastAsia" w:ascii="宋体" w:hAnsi="宋体" w:cs="宋体"/>
              </w:rPr>
              <w:t>1.9.1</w:t>
            </w:r>
          </w:p>
        </w:tc>
        <w:tc>
          <w:tcPr>
            <w:tcW w:w="8893" w:type="dxa"/>
            <w:vAlign w:val="center"/>
          </w:tcPr>
          <w:p w14:paraId="4ED15DA9">
            <w:pPr>
              <w:spacing w:line="400" w:lineRule="exact"/>
              <w:ind w:firstLine="480"/>
              <w:rPr>
                <w:rFonts w:ascii="宋体" w:hAnsi="宋体" w:cs="宋体"/>
                <w:sz w:val="24"/>
              </w:rPr>
            </w:pPr>
            <w:r>
              <w:rPr>
                <w:rFonts w:hint="eastAsia" w:ascii="宋体" w:hAnsi="宋体" w:cs="宋体"/>
                <w:sz w:val="24"/>
              </w:rPr>
              <w:t>杭州</w:t>
            </w:r>
          </w:p>
        </w:tc>
      </w:tr>
      <w:tr w14:paraId="4AB4C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5AE0E139">
            <w:pPr>
              <w:ind w:firstLine="480"/>
              <w:rPr>
                <w:rFonts w:ascii="宋体" w:hAnsi="宋体" w:cs="宋体"/>
              </w:rPr>
            </w:pPr>
            <w:r>
              <w:rPr>
                <w:rFonts w:hint="eastAsia" w:ascii="宋体" w:hAnsi="宋体" w:cs="宋体"/>
              </w:rPr>
              <w:t>1.9.2</w:t>
            </w:r>
          </w:p>
        </w:tc>
        <w:tc>
          <w:tcPr>
            <w:tcW w:w="8893" w:type="dxa"/>
            <w:vAlign w:val="center"/>
          </w:tcPr>
          <w:p w14:paraId="07D16F52">
            <w:pPr>
              <w:spacing w:line="400" w:lineRule="exact"/>
              <w:ind w:firstLine="480"/>
              <w:rPr>
                <w:rFonts w:ascii="宋体" w:hAnsi="宋体" w:cs="宋体"/>
                <w:sz w:val="24"/>
              </w:rPr>
            </w:pPr>
            <w:r>
              <w:rPr>
                <w:rFonts w:hint="eastAsia" w:ascii="宋体" w:hAnsi="宋体" w:cs="宋体"/>
                <w:sz w:val="24"/>
              </w:rPr>
              <w:t>甲方所在地</w:t>
            </w:r>
          </w:p>
        </w:tc>
      </w:tr>
      <w:tr w14:paraId="4F7A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3F944529">
            <w:pPr>
              <w:ind w:firstLine="480"/>
              <w:rPr>
                <w:rFonts w:ascii="宋体" w:hAnsi="宋体" w:cs="宋体"/>
              </w:rPr>
            </w:pPr>
            <w:r>
              <w:rPr>
                <w:rFonts w:hint="eastAsia" w:ascii="宋体" w:hAnsi="宋体" w:cs="宋体"/>
              </w:rPr>
              <w:t>2.3.2</w:t>
            </w:r>
          </w:p>
        </w:tc>
        <w:tc>
          <w:tcPr>
            <w:tcW w:w="8893" w:type="dxa"/>
            <w:vAlign w:val="center"/>
          </w:tcPr>
          <w:p w14:paraId="59618EB3">
            <w:pPr>
              <w:spacing w:line="400" w:lineRule="exact"/>
              <w:ind w:firstLine="480"/>
              <w:rPr>
                <w:rFonts w:ascii="宋体" w:hAnsi="宋体" w:cs="宋体"/>
                <w:sz w:val="24"/>
              </w:rPr>
            </w:pPr>
            <w:r>
              <w:rPr>
                <w:rFonts w:ascii="宋体" w:hAnsi="宋体" w:cs="宋体"/>
                <w:sz w:val="24"/>
              </w:rPr>
              <w:t>1、本项目所产生的系统、组件（可解耦）、文档、软件代码、数据及衍生数据等数字资源成果的知识产权采购人独享。</w:t>
            </w:r>
          </w:p>
          <w:p w14:paraId="5540821B">
            <w:pPr>
              <w:spacing w:line="400" w:lineRule="exact"/>
              <w:ind w:firstLine="480"/>
              <w:rPr>
                <w:rFonts w:ascii="宋体" w:hAnsi="宋体" w:cs="宋体"/>
                <w:sz w:val="24"/>
              </w:rPr>
            </w:pPr>
            <w:r>
              <w:rPr>
                <w:rFonts w:ascii="宋体" w:hAnsi="宋体" w:cs="宋体"/>
                <w:sz w:val="24"/>
              </w:rPr>
              <w:t>2、中标人保证采购人不受到第三方关于侵犯知识产权（包括版权和专利权、商标权等）的指控，任何第三方如果提出指控，中标人与第三方交涉，承担可能发生的一切法律责任、费用和后果。</w:t>
            </w:r>
          </w:p>
          <w:p w14:paraId="132565CC">
            <w:pPr>
              <w:spacing w:line="400" w:lineRule="exact"/>
              <w:ind w:firstLine="480"/>
              <w:rPr>
                <w:rFonts w:ascii="宋体" w:hAnsi="宋体" w:cs="宋体"/>
                <w:sz w:val="24"/>
              </w:rPr>
            </w:pPr>
            <w:r>
              <w:rPr>
                <w:rFonts w:ascii="宋体" w:hAnsi="宋体" w:cs="宋体"/>
                <w:sz w:val="24"/>
              </w:rPr>
              <w:t>3、中标方须无条件配合采购人做好相应系统软件著作权申请相关工作，中标方及其团队个人不得以本项目类似名称申请软件著作权，不得以本项目相关内容申请软件著作权。</w:t>
            </w:r>
          </w:p>
        </w:tc>
      </w:tr>
      <w:tr w14:paraId="1748D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43668CE6">
            <w:pPr>
              <w:ind w:firstLine="480"/>
              <w:rPr>
                <w:rFonts w:ascii="宋体" w:hAnsi="宋体" w:cs="宋体"/>
              </w:rPr>
            </w:pPr>
            <w:r>
              <w:rPr>
                <w:rFonts w:hint="eastAsia" w:ascii="宋体" w:hAnsi="宋体" w:cs="宋体"/>
              </w:rPr>
              <w:t>2.5</w:t>
            </w:r>
          </w:p>
        </w:tc>
        <w:tc>
          <w:tcPr>
            <w:tcW w:w="8893" w:type="dxa"/>
            <w:vAlign w:val="center"/>
          </w:tcPr>
          <w:p w14:paraId="5F2C230E">
            <w:pPr>
              <w:spacing w:line="400" w:lineRule="exact"/>
              <w:ind w:firstLine="480"/>
              <w:rPr>
                <w:rFonts w:ascii="宋体" w:hAnsi="宋体" w:cs="宋体"/>
                <w:sz w:val="24"/>
              </w:rPr>
            </w:pPr>
            <w:r>
              <w:rPr>
                <w:rFonts w:ascii="宋体" w:hAnsi="宋体" w:cs="宋体"/>
                <w:sz w:val="24"/>
              </w:rPr>
              <w:t>/</w:t>
            </w:r>
          </w:p>
        </w:tc>
      </w:tr>
      <w:tr w14:paraId="6669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4B591A71">
            <w:pPr>
              <w:ind w:firstLine="480"/>
              <w:rPr>
                <w:rFonts w:ascii="宋体" w:hAnsi="宋体" w:cs="宋体"/>
              </w:rPr>
            </w:pPr>
            <w:r>
              <w:rPr>
                <w:rFonts w:hint="eastAsia" w:ascii="宋体" w:hAnsi="宋体" w:cs="宋体"/>
              </w:rPr>
              <w:t>2.11.3</w:t>
            </w:r>
          </w:p>
        </w:tc>
        <w:tc>
          <w:tcPr>
            <w:tcW w:w="8893" w:type="dxa"/>
            <w:vAlign w:val="center"/>
          </w:tcPr>
          <w:p w14:paraId="76898698">
            <w:pPr>
              <w:spacing w:line="400" w:lineRule="exact"/>
              <w:ind w:firstLine="480"/>
              <w:rPr>
                <w:rFonts w:ascii="宋体" w:hAnsi="宋体" w:cs="宋体"/>
                <w:sz w:val="24"/>
              </w:rPr>
            </w:pPr>
            <w:r>
              <w:rPr>
                <w:rFonts w:ascii="宋体" w:hAnsi="宋体" w:cs="宋体"/>
                <w:sz w:val="24"/>
              </w:rPr>
              <w:t>15日内</w:t>
            </w:r>
          </w:p>
        </w:tc>
      </w:tr>
      <w:tr w14:paraId="7FAB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tcPr>
          <w:p w14:paraId="488BF409">
            <w:pPr>
              <w:ind w:firstLine="480"/>
              <w:rPr>
                <w:rFonts w:ascii="宋体" w:hAnsi="宋体" w:cs="宋体"/>
              </w:rPr>
            </w:pPr>
            <w:r>
              <w:rPr>
                <w:rFonts w:hint="eastAsia" w:ascii="宋体" w:hAnsi="宋体" w:cs="宋体"/>
              </w:rPr>
              <w:t>2.11.4</w:t>
            </w:r>
          </w:p>
        </w:tc>
        <w:tc>
          <w:tcPr>
            <w:tcW w:w="8893" w:type="dxa"/>
          </w:tcPr>
          <w:p w14:paraId="1DF36D60">
            <w:pPr>
              <w:spacing w:line="400" w:lineRule="exact"/>
              <w:ind w:firstLine="480"/>
              <w:rPr>
                <w:rFonts w:ascii="宋体" w:hAnsi="宋体" w:cs="宋体"/>
                <w:sz w:val="24"/>
              </w:rPr>
            </w:pPr>
            <w:r>
              <w:rPr>
                <w:rFonts w:ascii="宋体" w:hAnsi="宋体" w:cs="宋体"/>
                <w:sz w:val="24"/>
              </w:rPr>
              <w:t>15日内，15日内</w:t>
            </w:r>
          </w:p>
        </w:tc>
      </w:tr>
      <w:tr w14:paraId="6FF1D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504859C6">
            <w:pPr>
              <w:ind w:firstLine="480"/>
              <w:rPr>
                <w:rFonts w:ascii="宋体" w:hAnsi="宋体" w:cs="宋体"/>
              </w:rPr>
            </w:pPr>
            <w:r>
              <w:rPr>
                <w:rFonts w:hint="eastAsia" w:ascii="宋体" w:hAnsi="宋体" w:cs="宋体"/>
              </w:rPr>
              <w:t>2.15.1</w:t>
            </w:r>
          </w:p>
        </w:tc>
        <w:tc>
          <w:tcPr>
            <w:tcW w:w="8893" w:type="dxa"/>
            <w:vAlign w:val="center"/>
          </w:tcPr>
          <w:p w14:paraId="7331DFB4">
            <w:pPr>
              <w:spacing w:line="400" w:lineRule="exact"/>
              <w:ind w:firstLine="480"/>
              <w:rPr>
                <w:rFonts w:ascii="宋体" w:hAnsi="宋体" w:cs="宋体"/>
                <w:sz w:val="24"/>
              </w:rPr>
            </w:pPr>
            <w:r>
              <w:rPr>
                <w:rFonts w:hint="eastAsia" w:ascii="宋体" w:hAnsi="宋体" w:cs="宋体"/>
                <w:sz w:val="24"/>
              </w:rPr>
              <w:t>乙方按照招标文件的约定，每周、每月提交服务报告，甲方按照招标文件的约定进行定期验收。</w:t>
            </w:r>
          </w:p>
        </w:tc>
      </w:tr>
      <w:tr w14:paraId="2296E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vAlign w:val="center"/>
          </w:tcPr>
          <w:p w14:paraId="3C86E413">
            <w:pPr>
              <w:ind w:firstLine="480"/>
              <w:rPr>
                <w:rFonts w:ascii="宋体" w:hAnsi="宋体" w:cs="宋体"/>
              </w:rPr>
            </w:pPr>
            <w:r>
              <w:rPr>
                <w:rFonts w:hint="eastAsia" w:ascii="宋体" w:hAnsi="宋体" w:cs="宋体"/>
              </w:rPr>
              <w:t>2.15.3</w:t>
            </w:r>
          </w:p>
        </w:tc>
        <w:tc>
          <w:tcPr>
            <w:tcW w:w="8893" w:type="dxa"/>
            <w:vAlign w:val="center"/>
          </w:tcPr>
          <w:p w14:paraId="13ED7689">
            <w:pPr>
              <w:spacing w:line="400" w:lineRule="exact"/>
              <w:ind w:firstLine="480"/>
              <w:rPr>
                <w:rFonts w:ascii="宋体" w:hAnsi="宋体" w:cs="宋体"/>
                <w:sz w:val="24"/>
              </w:rPr>
            </w:pPr>
            <w:r>
              <w:rPr>
                <w:rFonts w:hint="eastAsia" w:ascii="宋体" w:hAnsi="宋体" w:cs="宋体"/>
                <w:sz w:val="24"/>
              </w:rPr>
              <w:t>项目建设完成，经监理单位和甲方核验后，甲方组织专家进行验收，并出具验收意见。</w:t>
            </w:r>
          </w:p>
        </w:tc>
      </w:tr>
      <w:tr w14:paraId="19AA4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tcPr>
          <w:p w14:paraId="32787C00">
            <w:pPr>
              <w:ind w:firstLine="480"/>
              <w:rPr>
                <w:rFonts w:ascii="宋体" w:hAnsi="宋体" w:cs="宋体"/>
              </w:rPr>
            </w:pPr>
            <w:r>
              <w:rPr>
                <w:rFonts w:hint="eastAsia" w:ascii="宋体" w:hAnsi="宋体" w:cs="宋体"/>
              </w:rPr>
              <w:t>2.19</w:t>
            </w:r>
          </w:p>
        </w:tc>
        <w:tc>
          <w:tcPr>
            <w:tcW w:w="8893" w:type="dxa"/>
          </w:tcPr>
          <w:p w14:paraId="5D47A1B6">
            <w:pPr>
              <w:spacing w:line="400" w:lineRule="exact"/>
              <w:ind w:firstLine="480"/>
              <w:rPr>
                <w:rFonts w:ascii="宋体" w:hAnsi="宋体" w:cs="宋体"/>
                <w:sz w:val="24"/>
              </w:rPr>
            </w:pPr>
            <w:r>
              <w:rPr>
                <w:rFonts w:hint="eastAsia" w:ascii="宋体" w:hAnsi="宋体" w:cs="宋体"/>
                <w:sz w:val="24"/>
              </w:rPr>
              <w:t>本合同壹式捌份，甲方执肆份，乙方执肆份。</w:t>
            </w:r>
          </w:p>
        </w:tc>
      </w:tr>
      <w:tr w14:paraId="1549C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6" w:type="dxa"/>
            <w:tcBorders>
              <w:left w:val="single" w:color="auto" w:sz="4" w:space="0"/>
            </w:tcBorders>
          </w:tcPr>
          <w:p w14:paraId="6979BCFA">
            <w:pPr>
              <w:ind w:firstLine="480"/>
              <w:rPr>
                <w:rFonts w:ascii="宋体" w:hAnsi="宋体" w:cs="宋体"/>
              </w:rPr>
            </w:pPr>
          </w:p>
        </w:tc>
        <w:tc>
          <w:tcPr>
            <w:tcW w:w="8893" w:type="dxa"/>
          </w:tcPr>
          <w:p w14:paraId="7A00FA74">
            <w:pPr>
              <w:numPr>
                <w:ilvl w:val="255"/>
                <w:numId w:val="0"/>
              </w:numPr>
              <w:spacing w:line="400" w:lineRule="exact"/>
              <w:rPr>
                <w:rFonts w:ascii="宋体" w:hAnsi="宋体" w:cs="宋体"/>
                <w:sz w:val="24"/>
              </w:rPr>
            </w:pPr>
            <w:r>
              <w:rPr>
                <w:rFonts w:hint="eastAsia" w:ascii="宋体" w:hAnsi="宋体" w:cs="宋体"/>
                <w:sz w:val="24"/>
              </w:rPr>
              <w:t>其他：</w:t>
            </w:r>
          </w:p>
          <w:p w14:paraId="17A14385">
            <w:pPr>
              <w:numPr>
                <w:ilvl w:val="255"/>
                <w:numId w:val="0"/>
              </w:numPr>
              <w:spacing w:line="400" w:lineRule="exact"/>
              <w:rPr>
                <w:rFonts w:ascii="宋体" w:hAnsi="宋体" w:cs="宋体"/>
                <w:sz w:val="24"/>
              </w:rPr>
            </w:pPr>
            <w:r>
              <w:rPr>
                <w:rFonts w:ascii="宋体" w:hAnsi="宋体" w:cs="宋体"/>
                <w:sz w:val="24"/>
              </w:rPr>
              <w:t>1、合同签订时，乙方应提供统一社会信用代码证（复印件加盖公章）；受法定代表人委托签字的，应提供单位授权委托书（原件）、签字人的身份证（复印件）。</w:t>
            </w:r>
          </w:p>
          <w:p w14:paraId="2DD23894">
            <w:pPr>
              <w:numPr>
                <w:ilvl w:val="255"/>
                <w:numId w:val="0"/>
              </w:numPr>
              <w:spacing w:before="156" w:after="156" w:line="400" w:lineRule="exact"/>
              <w:ind w:firstLine="480"/>
              <w:rPr>
                <w:rFonts w:ascii="宋体" w:hAnsi="宋体" w:cs="宋体"/>
                <w:sz w:val="24"/>
              </w:rPr>
            </w:pPr>
            <w:r>
              <w:rPr>
                <w:rFonts w:hint="eastAsia" w:ascii="宋体" w:hAnsi="宋体" w:cs="宋体"/>
                <w:sz w:val="24"/>
              </w:rPr>
              <w:t>2、关于质保期限及质保服务要求的约定</w:t>
            </w:r>
          </w:p>
          <w:p w14:paraId="0DBF350E">
            <w:pPr>
              <w:numPr>
                <w:ilvl w:val="255"/>
                <w:numId w:val="0"/>
              </w:numPr>
              <w:spacing w:before="156" w:after="156" w:line="400" w:lineRule="exact"/>
              <w:ind w:firstLine="480"/>
              <w:rPr>
                <w:rFonts w:ascii="宋体" w:hAnsi="宋体" w:cs="宋体"/>
                <w:sz w:val="24"/>
              </w:rPr>
            </w:pPr>
            <w:r>
              <w:rPr>
                <w:rFonts w:hint="eastAsia" w:ascii="宋体" w:hAnsi="宋体" w:cs="宋体"/>
                <w:sz w:val="24"/>
              </w:rPr>
              <w:t>项目验收完成后，乙方须提供三年的质保期。为了保证本次项目顺利成功，乙方承诺项目验收后提供7*24小时售后技术服务，1小时内做出明确响应和安排，现场响应时间要求是接到用户需求电话后4小时内到达。包括免费升级、功能完善、故障排除、性能调优、技术咨询等，并负责系统的问题处理、协调与各系统软件等乙方的关系。</w:t>
            </w:r>
          </w:p>
          <w:p w14:paraId="09EB4E10">
            <w:pPr>
              <w:numPr>
                <w:ilvl w:val="255"/>
                <w:numId w:val="0"/>
              </w:numPr>
              <w:spacing w:line="400" w:lineRule="exact"/>
              <w:rPr>
                <w:rFonts w:ascii="宋体" w:hAnsi="宋体" w:cs="宋体"/>
                <w:sz w:val="24"/>
              </w:rPr>
            </w:pPr>
            <w:r>
              <w:rPr>
                <w:rFonts w:ascii="宋体" w:hAnsi="宋体" w:cs="宋体"/>
                <w:sz w:val="24"/>
              </w:rPr>
              <w:t>3、关于安全责任的特别约定。</w:t>
            </w:r>
          </w:p>
          <w:p w14:paraId="3F5A4762">
            <w:pPr>
              <w:numPr>
                <w:ilvl w:val="255"/>
                <w:numId w:val="0"/>
              </w:numPr>
              <w:spacing w:line="400" w:lineRule="exact"/>
              <w:rPr>
                <w:rFonts w:ascii="宋体" w:hAnsi="宋体" w:cs="宋体"/>
                <w:sz w:val="24"/>
                <w:lang w:val="zh-CN"/>
              </w:rPr>
            </w:pPr>
            <w:r>
              <w:rPr>
                <w:rFonts w:hint="eastAsia" w:ascii="宋体" w:hAnsi="宋体" w:cs="宋体"/>
                <w:sz w:val="24"/>
                <w:lang w:val="zh-CN"/>
              </w:rPr>
              <w:t>（一）安全责任</w:t>
            </w:r>
          </w:p>
          <w:p w14:paraId="63B71533">
            <w:pPr>
              <w:numPr>
                <w:ilvl w:val="255"/>
                <w:numId w:val="0"/>
              </w:numPr>
              <w:spacing w:line="400" w:lineRule="exact"/>
              <w:rPr>
                <w:rFonts w:ascii="宋体" w:hAnsi="宋体" w:cs="宋体"/>
                <w:sz w:val="24"/>
                <w:lang w:val="zh-CN"/>
              </w:rPr>
            </w:pPr>
            <w:r>
              <w:rPr>
                <w:rFonts w:ascii="宋体" w:hAnsi="宋体" w:cs="宋体"/>
                <w:sz w:val="24"/>
                <w:lang w:val="zh-CN"/>
              </w:rPr>
              <w:t>1）乙方应按照《中华人民共和国网络安全法》《中华人民共和国数据安全法》《中华人民共和国个人信息保护法》等法律法规及规章制度的要求，履行网络和数据安全保护义务。</w:t>
            </w:r>
          </w:p>
          <w:p w14:paraId="06DB8838">
            <w:pPr>
              <w:numPr>
                <w:ilvl w:val="255"/>
                <w:numId w:val="0"/>
              </w:numPr>
              <w:spacing w:line="400" w:lineRule="exact"/>
              <w:rPr>
                <w:rFonts w:ascii="宋体" w:hAnsi="宋体" w:cs="宋体"/>
                <w:sz w:val="24"/>
                <w:lang w:val="zh-CN"/>
              </w:rPr>
            </w:pPr>
            <w:r>
              <w:rPr>
                <w:rFonts w:ascii="宋体" w:hAnsi="宋体" w:cs="宋体"/>
                <w:sz w:val="24"/>
                <w:lang w:val="zh-CN"/>
              </w:rPr>
              <w:t>2）本项目所涉及的乙方工作人员均需签订《保密承诺书》，且乙方应对项目涉及工作人员进行背景审查，存在泄密风险的乙方工作人员不得接触项目。乙方应做好人员保密教育工作。</w:t>
            </w:r>
          </w:p>
          <w:p w14:paraId="3AC90CF3">
            <w:pPr>
              <w:numPr>
                <w:ilvl w:val="255"/>
                <w:numId w:val="0"/>
              </w:numPr>
              <w:spacing w:line="400" w:lineRule="exact"/>
              <w:rPr>
                <w:rFonts w:ascii="宋体" w:hAnsi="宋体" w:cs="宋体"/>
                <w:sz w:val="24"/>
                <w:lang w:val="zh-CN"/>
              </w:rPr>
            </w:pPr>
            <w:r>
              <w:rPr>
                <w:rFonts w:ascii="宋体" w:hAnsi="宋体" w:cs="宋体"/>
                <w:sz w:val="24"/>
                <w:lang w:val="zh-CN"/>
              </w:rPr>
              <w:t>3）乙方应当采取技术措施和其他必要措施，确保其网络和数据安全，防止出现信息泄露、毁损、丢失等风险。在发生或者可能发生信息泄露、毁损、丢失等情况时，应当立即采取补救措施，并将相关情况及时告知甲方。</w:t>
            </w:r>
          </w:p>
          <w:p w14:paraId="2A31F677">
            <w:pPr>
              <w:numPr>
                <w:ilvl w:val="255"/>
                <w:numId w:val="0"/>
              </w:numPr>
              <w:spacing w:line="400" w:lineRule="exact"/>
              <w:rPr>
                <w:rFonts w:ascii="宋体" w:hAnsi="宋体" w:cs="宋体"/>
                <w:sz w:val="24"/>
                <w:lang w:val="zh-CN"/>
              </w:rPr>
            </w:pPr>
            <w:r>
              <w:rPr>
                <w:rFonts w:ascii="宋体" w:hAnsi="宋体" w:cs="宋体"/>
                <w:sz w:val="24"/>
                <w:lang w:val="zh-CN"/>
              </w:rPr>
              <w:t>4）项目中所包含的建设、运营、运维的信息系统、应用、数据库等，乙方开通相关账号、权限等必须经过甲方审批允许，不得私开账号、擅自更改权限等。</w:t>
            </w:r>
          </w:p>
          <w:p w14:paraId="620356DE">
            <w:pPr>
              <w:numPr>
                <w:ilvl w:val="255"/>
                <w:numId w:val="0"/>
              </w:numPr>
              <w:spacing w:line="400" w:lineRule="exact"/>
              <w:rPr>
                <w:rFonts w:ascii="宋体" w:hAnsi="宋体" w:cs="宋体"/>
                <w:sz w:val="24"/>
                <w:lang w:val="zh-CN"/>
              </w:rPr>
            </w:pPr>
            <w:r>
              <w:rPr>
                <w:rFonts w:ascii="宋体" w:hAnsi="宋体" w:cs="宋体"/>
                <w:sz w:val="24"/>
                <w:lang w:val="zh-CN"/>
              </w:rPr>
              <w:t>5）乙方应合理使用操作账号，严禁乙方存在多名（2人及以上）工作人员共用一个操作账号的情形，同时操作账号应采用高强度的密码，乙方应妥善保管密码并定期更新账号密码。</w:t>
            </w:r>
          </w:p>
          <w:p w14:paraId="18F7EFD0">
            <w:pPr>
              <w:numPr>
                <w:ilvl w:val="255"/>
                <w:numId w:val="0"/>
              </w:numPr>
              <w:spacing w:line="400" w:lineRule="exact"/>
              <w:rPr>
                <w:rFonts w:ascii="宋体" w:hAnsi="宋体" w:cs="宋体"/>
                <w:sz w:val="24"/>
                <w:lang w:val="zh-CN"/>
              </w:rPr>
            </w:pPr>
            <w:r>
              <w:rPr>
                <w:rFonts w:ascii="宋体" w:hAnsi="宋体" w:cs="宋体"/>
                <w:sz w:val="24"/>
                <w:lang w:val="zh-CN"/>
              </w:rPr>
              <w:t>6）未经甲方允许，乙方不得对项目云资源私开端口，不得利用项目资源进行与该项目无关的工作，不得将政务网和互联网私自打通。</w:t>
            </w:r>
          </w:p>
          <w:p w14:paraId="5BABB233">
            <w:pPr>
              <w:numPr>
                <w:ilvl w:val="255"/>
                <w:numId w:val="0"/>
              </w:numPr>
              <w:spacing w:line="400" w:lineRule="exact"/>
              <w:rPr>
                <w:rFonts w:ascii="宋体" w:hAnsi="宋体" w:cs="宋体"/>
                <w:sz w:val="24"/>
                <w:lang w:val="zh-CN"/>
              </w:rPr>
            </w:pPr>
            <w:r>
              <w:rPr>
                <w:rFonts w:ascii="宋体" w:hAnsi="宋体" w:cs="宋体"/>
                <w:sz w:val="24"/>
                <w:lang w:val="zh-CN"/>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22BFA478">
            <w:pPr>
              <w:numPr>
                <w:ilvl w:val="255"/>
                <w:numId w:val="0"/>
              </w:numPr>
              <w:spacing w:line="400" w:lineRule="exact"/>
              <w:rPr>
                <w:rFonts w:ascii="宋体" w:hAnsi="宋体" w:cs="宋体"/>
                <w:sz w:val="24"/>
                <w:lang w:val="zh-CN"/>
              </w:rPr>
            </w:pPr>
            <w:r>
              <w:rPr>
                <w:rFonts w:ascii="宋体" w:hAnsi="宋体" w:cs="宋体"/>
                <w:sz w:val="24"/>
                <w:lang w:val="zh-CN"/>
              </w:rPr>
              <w:t>8）乙方应认真组织开展各项数据处理活动，查找项目数据安全隐患和漏洞，对薄弱环节和潜在威胁采取有力措施并进行及时整改，避免和消除数据安全风险，履行数据安全保护义务。</w:t>
            </w:r>
          </w:p>
          <w:p w14:paraId="1F115DFB">
            <w:pPr>
              <w:numPr>
                <w:ilvl w:val="255"/>
                <w:numId w:val="0"/>
              </w:numPr>
              <w:spacing w:line="400" w:lineRule="exact"/>
              <w:rPr>
                <w:rFonts w:ascii="宋体" w:hAnsi="宋体" w:cs="宋体"/>
                <w:sz w:val="24"/>
                <w:lang w:val="zh-CN"/>
              </w:rPr>
            </w:pPr>
            <w:r>
              <w:rPr>
                <w:rFonts w:ascii="宋体" w:hAnsi="宋体" w:cs="宋体"/>
                <w:sz w:val="24"/>
                <w:lang w:val="zh-CN"/>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0AA83FFD">
            <w:pPr>
              <w:numPr>
                <w:ilvl w:val="255"/>
                <w:numId w:val="0"/>
              </w:numPr>
              <w:spacing w:line="400" w:lineRule="exact"/>
              <w:rPr>
                <w:rFonts w:ascii="宋体" w:hAnsi="宋体" w:cs="宋体"/>
                <w:sz w:val="24"/>
                <w:lang w:val="zh-CN"/>
              </w:rPr>
            </w:pPr>
            <w:r>
              <w:rPr>
                <w:rFonts w:ascii="宋体" w:hAnsi="宋体" w:cs="宋体"/>
                <w:sz w:val="24"/>
                <w:lang w:val="zh-CN"/>
              </w:rPr>
              <w:t>10）乙方应及时响应、处置甲方布置的安全工作，对其主管的系统、组件、云资源等所属安全事件、隐患及时发现、阻断、排查、处置、溯源（包括但不限于攻防演练等相关活动中发现的）。</w:t>
            </w:r>
          </w:p>
          <w:p w14:paraId="1BE64CC0">
            <w:pPr>
              <w:numPr>
                <w:ilvl w:val="255"/>
                <w:numId w:val="0"/>
              </w:numPr>
              <w:spacing w:line="400" w:lineRule="exact"/>
              <w:rPr>
                <w:rFonts w:ascii="宋体" w:hAnsi="宋体" w:cs="宋体"/>
                <w:sz w:val="24"/>
                <w:lang w:val="zh-CN"/>
              </w:rPr>
            </w:pPr>
            <w:r>
              <w:rPr>
                <w:rFonts w:ascii="宋体" w:hAnsi="宋体" w:cs="宋体"/>
                <w:sz w:val="24"/>
                <w:lang w:val="zh-CN"/>
              </w:rPr>
              <w:t>11）项目中所建设的系统、提供的基础设施服务等，乙方应无偿提供操作、告警等安全日志以及资产清单，并且按照规范要求与甲方审计平台实现对接，并且提供相关解析服务（如日志字典等）供甲方进行安全审计。</w:t>
            </w:r>
          </w:p>
          <w:p w14:paraId="269C4F59">
            <w:pPr>
              <w:numPr>
                <w:ilvl w:val="255"/>
                <w:numId w:val="0"/>
              </w:numPr>
              <w:spacing w:line="400" w:lineRule="exact"/>
              <w:rPr>
                <w:rFonts w:ascii="宋体" w:hAnsi="宋体" w:cs="宋体"/>
                <w:sz w:val="24"/>
                <w:lang w:val="zh-CN"/>
              </w:rPr>
            </w:pPr>
            <w:r>
              <w:rPr>
                <w:rFonts w:ascii="宋体" w:hAnsi="宋体" w:cs="宋体"/>
                <w:sz w:val="24"/>
                <w:lang w:val="zh-CN"/>
              </w:rPr>
              <w:t>12）乙方派驻的驻场人员应按照甲方要求办理入场、离场等手续，并且遵守甲方劳动、</w:t>
            </w:r>
            <w:r>
              <w:rPr>
                <w:rFonts w:hint="eastAsia" w:ascii="宋体" w:hAnsi="宋体" w:cs="宋体"/>
                <w:sz w:val="24"/>
                <w:lang w:val="zh-CN"/>
              </w:rPr>
              <w:t>工作纪律，按照甲方要求的工作时间进行出勤。</w:t>
            </w:r>
          </w:p>
          <w:p w14:paraId="7B6D3918">
            <w:pPr>
              <w:numPr>
                <w:ilvl w:val="255"/>
                <w:numId w:val="0"/>
              </w:numPr>
              <w:spacing w:line="400" w:lineRule="exact"/>
              <w:rPr>
                <w:rFonts w:ascii="宋体" w:hAnsi="宋体" w:cs="宋体"/>
                <w:sz w:val="24"/>
                <w:lang w:val="zh-CN"/>
              </w:rPr>
            </w:pPr>
            <w:r>
              <w:rPr>
                <w:rFonts w:ascii="宋体" w:hAnsi="宋体" w:cs="宋体"/>
                <w:sz w:val="24"/>
                <w:lang w:val="zh-CN"/>
              </w:rPr>
              <w:t>13）乙方应配合甲方对项目涉及的资源、系统等常态化安全漏洞扫描，并且及时修复漏洞。</w:t>
            </w:r>
          </w:p>
          <w:p w14:paraId="40DF10EB">
            <w:pPr>
              <w:numPr>
                <w:ilvl w:val="255"/>
                <w:numId w:val="0"/>
              </w:numPr>
              <w:spacing w:line="400" w:lineRule="exact"/>
              <w:rPr>
                <w:rFonts w:ascii="宋体" w:hAnsi="宋体" w:cs="宋体"/>
                <w:sz w:val="24"/>
                <w:lang w:val="zh-CN"/>
              </w:rPr>
            </w:pPr>
            <w:r>
              <w:rPr>
                <w:rFonts w:ascii="宋体" w:hAnsi="宋体" w:cs="宋体"/>
                <w:sz w:val="24"/>
                <w:lang w:val="zh-CN"/>
              </w:rPr>
              <w:t>14）乙方应配合甲方完成项目中所建设、运营的应用系统、服务等的网络数据安全检查，并且按要求及时完成检查中发现问题的整改。</w:t>
            </w:r>
          </w:p>
          <w:p w14:paraId="1BFBF8BF">
            <w:pPr>
              <w:numPr>
                <w:ilvl w:val="255"/>
                <w:numId w:val="0"/>
              </w:numPr>
              <w:spacing w:line="400" w:lineRule="exact"/>
              <w:rPr>
                <w:rFonts w:ascii="宋体" w:hAnsi="宋体" w:cs="宋体"/>
                <w:sz w:val="24"/>
                <w:lang w:val="zh-CN"/>
              </w:rPr>
            </w:pPr>
            <w:r>
              <w:rPr>
                <w:rFonts w:ascii="宋体" w:hAnsi="宋体" w:cs="宋体"/>
                <w:sz w:val="24"/>
                <w:lang w:val="zh-CN"/>
              </w:rPr>
              <w:t>15）未经甲方允许，乙方不得擅自将项目中涉及的数据拷贝、转移出指定数据区域外进行开发、调试等，包括不限于乙方公司、第三方公司的服务器等。</w:t>
            </w:r>
          </w:p>
          <w:p w14:paraId="5C910548">
            <w:pPr>
              <w:numPr>
                <w:ilvl w:val="255"/>
                <w:numId w:val="0"/>
              </w:numPr>
              <w:spacing w:line="400" w:lineRule="exact"/>
              <w:rPr>
                <w:rFonts w:ascii="宋体" w:hAnsi="宋体" w:cs="宋体"/>
                <w:sz w:val="24"/>
                <w:lang w:val="zh-CN"/>
              </w:rPr>
            </w:pPr>
            <w:r>
              <w:rPr>
                <w:rFonts w:ascii="宋体" w:hAnsi="宋体" w:cs="宋体"/>
                <w:sz w:val="24"/>
                <w:lang w:val="zh-CN"/>
              </w:rPr>
              <w:t>16）每次通报后，乙方应当及时解决并向甲方提交整改报告并根据整改报告内容进行及时整改。</w:t>
            </w:r>
          </w:p>
          <w:p w14:paraId="7BD462AF">
            <w:pPr>
              <w:numPr>
                <w:ilvl w:val="255"/>
                <w:numId w:val="0"/>
              </w:numPr>
              <w:spacing w:line="400" w:lineRule="exact"/>
              <w:rPr>
                <w:rFonts w:ascii="宋体" w:hAnsi="宋体" w:cs="宋体"/>
                <w:sz w:val="24"/>
                <w:lang w:val="zh-CN"/>
              </w:rPr>
            </w:pPr>
            <w:r>
              <w:rPr>
                <w:rFonts w:hint="eastAsia" w:ascii="宋体" w:hAnsi="宋体" w:cs="宋体"/>
                <w:sz w:val="24"/>
                <w:lang w:val="zh-CN"/>
              </w:rPr>
              <w:t>（二）安全部分违约责任</w:t>
            </w:r>
          </w:p>
          <w:p w14:paraId="06C3A037">
            <w:pPr>
              <w:numPr>
                <w:ilvl w:val="255"/>
                <w:numId w:val="0"/>
              </w:numPr>
              <w:spacing w:line="400" w:lineRule="exact"/>
              <w:rPr>
                <w:rFonts w:ascii="宋体" w:hAnsi="宋体" w:cs="宋体"/>
                <w:sz w:val="24"/>
                <w:lang w:val="zh-CN"/>
              </w:rPr>
            </w:pPr>
            <w:r>
              <w:rPr>
                <w:rFonts w:ascii="宋体" w:hAnsi="宋体" w:cs="宋体"/>
                <w:sz w:val="24"/>
                <w:lang w:val="zh-CN"/>
              </w:rPr>
              <w:t>1）由于乙方原因，受到国家级安全问题通报的或造成特别重大事故的，每通报一个问题或发生一次事故，从合同金额内扣除10万元。</w:t>
            </w:r>
          </w:p>
          <w:p w14:paraId="661E3EE0">
            <w:pPr>
              <w:numPr>
                <w:ilvl w:val="255"/>
                <w:numId w:val="0"/>
              </w:numPr>
              <w:spacing w:line="400" w:lineRule="exact"/>
              <w:rPr>
                <w:rFonts w:ascii="宋体" w:hAnsi="宋体" w:cs="宋体"/>
                <w:sz w:val="24"/>
                <w:lang w:val="zh-CN"/>
              </w:rPr>
            </w:pPr>
            <w:r>
              <w:rPr>
                <w:rFonts w:ascii="宋体" w:hAnsi="宋体" w:cs="宋体"/>
                <w:sz w:val="24"/>
                <w:lang w:val="zh-CN"/>
              </w:rPr>
              <w:t>2）由于乙方原因，受到省级安全问题通报的或造成重大事故的，每通报一个问题或发生一次事故，从合同金额扣除5万元。</w:t>
            </w:r>
          </w:p>
          <w:p w14:paraId="5B81B8F5">
            <w:pPr>
              <w:numPr>
                <w:ilvl w:val="255"/>
                <w:numId w:val="0"/>
              </w:numPr>
              <w:spacing w:line="400" w:lineRule="exact"/>
              <w:rPr>
                <w:rFonts w:ascii="宋体" w:hAnsi="宋体" w:cs="宋体"/>
                <w:sz w:val="24"/>
                <w:lang w:val="zh-CN"/>
              </w:rPr>
            </w:pPr>
            <w:r>
              <w:rPr>
                <w:rFonts w:ascii="宋体" w:hAnsi="宋体" w:cs="宋体"/>
                <w:sz w:val="24"/>
                <w:lang w:val="zh-CN"/>
              </w:rPr>
              <w:t>3）由于乙方原因，受到市级安全问题通报的或造成较大事故（一般事故）的，每通报一个问题或发生一次事故，从合同金额扣除1万元。</w:t>
            </w:r>
          </w:p>
          <w:p w14:paraId="0E873A8F">
            <w:pPr>
              <w:numPr>
                <w:ilvl w:val="255"/>
                <w:numId w:val="0"/>
              </w:numPr>
              <w:spacing w:line="400" w:lineRule="exact"/>
              <w:rPr>
                <w:rFonts w:ascii="宋体" w:hAnsi="宋体" w:cs="宋体"/>
                <w:sz w:val="24"/>
                <w:lang w:val="zh-CN"/>
              </w:rPr>
            </w:pPr>
            <w:r>
              <w:rPr>
                <w:rFonts w:ascii="宋体" w:hAnsi="宋体" w:cs="宋体"/>
                <w:sz w:val="24"/>
                <w:lang w:val="zh-CN"/>
              </w:rPr>
              <w:t>4）乙方未按照甲方要求及时处置所属安全事件、隐患的，每发生一次，从合同金额扣除2000元。</w:t>
            </w:r>
          </w:p>
          <w:p w14:paraId="499F01D2">
            <w:pPr>
              <w:numPr>
                <w:ilvl w:val="255"/>
                <w:numId w:val="0"/>
              </w:numPr>
              <w:spacing w:line="400" w:lineRule="exact"/>
              <w:rPr>
                <w:rFonts w:ascii="宋体" w:hAnsi="宋体" w:cs="宋体"/>
                <w:sz w:val="24"/>
                <w:lang w:val="zh-CN"/>
              </w:rPr>
            </w:pPr>
            <w:r>
              <w:rPr>
                <w:rFonts w:ascii="宋体" w:hAnsi="宋体" w:cs="宋体"/>
                <w:sz w:val="24"/>
                <w:lang w:val="zh-CN"/>
              </w:rPr>
              <w:t>5）乙方存在多名（2人及以上）工作人员共用一个操作账户的，或所主管的系统、云资源等账号出现弱口令的（强口令需至少包含数字、大小写字母、特殊字符等，且无明显规律），每出现1次，从合同金额扣除1000元。</w:t>
            </w:r>
          </w:p>
          <w:p w14:paraId="0ED15461">
            <w:pPr>
              <w:numPr>
                <w:ilvl w:val="255"/>
                <w:numId w:val="0"/>
              </w:numPr>
              <w:spacing w:line="400" w:lineRule="exact"/>
              <w:rPr>
                <w:rFonts w:ascii="宋体" w:hAnsi="宋体" w:cs="宋体"/>
                <w:sz w:val="24"/>
                <w:lang w:val="zh-CN"/>
              </w:rPr>
            </w:pPr>
            <w:r>
              <w:rPr>
                <w:rFonts w:ascii="宋体" w:hAnsi="宋体" w:cs="宋体"/>
                <w:sz w:val="24"/>
                <w:lang w:val="zh-CN"/>
              </w:rPr>
              <w:t>6）未经甲方审批允许，乙方不得私开账号、擅自更改权限，不得对项目云资源私开端口，不得利用项目资源进行与该项目无关的工作，不得将政务网和互联网私自打通的。每出现一次，从合同金额中扣除1万元。</w:t>
            </w:r>
          </w:p>
          <w:p w14:paraId="180F8F4C">
            <w:pPr>
              <w:numPr>
                <w:ilvl w:val="255"/>
                <w:numId w:val="0"/>
              </w:numPr>
              <w:spacing w:line="400" w:lineRule="exact"/>
              <w:rPr>
                <w:rFonts w:ascii="宋体" w:hAnsi="宋体" w:cs="宋体"/>
                <w:sz w:val="24"/>
                <w:lang w:val="zh-CN"/>
              </w:rPr>
            </w:pPr>
            <w:r>
              <w:rPr>
                <w:rFonts w:ascii="宋体" w:hAnsi="宋体" w:cs="宋体"/>
                <w:sz w:val="24"/>
                <w:lang w:val="zh-CN"/>
              </w:rPr>
              <w:t>7）乙方发现数据安全缺陷、漏洞等风险时，未立即采取补救措施的；或发生数字安全事件时，未立即采取处置措施的；相关情况未第一时间向甲方报告的；每出现一次，从合同金额中扣除500元。</w:t>
            </w:r>
          </w:p>
          <w:p w14:paraId="3EE59548">
            <w:pPr>
              <w:numPr>
                <w:ilvl w:val="255"/>
                <w:numId w:val="0"/>
              </w:numPr>
              <w:spacing w:line="400" w:lineRule="exact"/>
              <w:rPr>
                <w:rFonts w:ascii="宋体" w:hAnsi="宋体" w:cs="宋体"/>
                <w:sz w:val="24"/>
                <w:lang w:val="zh-CN"/>
              </w:rPr>
            </w:pPr>
            <w:r>
              <w:rPr>
                <w:rFonts w:ascii="宋体" w:hAnsi="宋体" w:cs="宋体"/>
                <w:sz w:val="24"/>
                <w:lang w:val="zh-CN"/>
              </w:rPr>
              <w:t>8）若乙方未按需提供日志，或提供的操作记录、安全日志等不完整、存在缺失的，每发现一次，每次从合同金额扣除1万元。</w:t>
            </w:r>
          </w:p>
          <w:p w14:paraId="114E78D9">
            <w:pPr>
              <w:numPr>
                <w:ilvl w:val="255"/>
                <w:numId w:val="0"/>
              </w:numPr>
              <w:spacing w:line="400" w:lineRule="exact"/>
              <w:rPr>
                <w:rFonts w:ascii="宋体" w:hAnsi="宋体" w:cs="宋体"/>
                <w:sz w:val="24"/>
                <w:lang w:val="zh-CN"/>
              </w:rPr>
            </w:pPr>
            <w:r>
              <w:rPr>
                <w:rFonts w:ascii="宋体" w:hAnsi="宋体" w:cs="宋体"/>
                <w:sz w:val="24"/>
                <w:lang w:val="zh-CN"/>
              </w:rPr>
              <w:t>9）乙方拒不配合网络数据安全检查或经检查后拒不进行整改的，每出现一次从合同金额中扣除2000元。</w:t>
            </w:r>
          </w:p>
          <w:p w14:paraId="3DCF7C76">
            <w:pPr>
              <w:numPr>
                <w:ilvl w:val="255"/>
                <w:numId w:val="0"/>
              </w:numPr>
              <w:spacing w:line="400" w:lineRule="exact"/>
              <w:rPr>
                <w:rFonts w:ascii="宋体" w:hAnsi="宋体" w:cs="宋体"/>
                <w:sz w:val="24"/>
                <w:lang w:val="zh-CN"/>
              </w:rPr>
            </w:pPr>
            <w:r>
              <w:rPr>
                <w:rFonts w:ascii="宋体" w:hAnsi="宋体" w:cs="宋体"/>
                <w:sz w:val="24"/>
                <w:lang w:val="zh-CN"/>
              </w:rPr>
              <w:t>10）项目结束后，乙方未按约删除其在项目过程中获取的数据资料并擅自使用或许可他人使用的，承担项目合同总金额10%的违约责任。</w:t>
            </w:r>
          </w:p>
          <w:p w14:paraId="28C4D3D3">
            <w:pPr>
              <w:numPr>
                <w:ilvl w:val="255"/>
                <w:numId w:val="0"/>
              </w:numPr>
              <w:spacing w:line="400" w:lineRule="exact"/>
              <w:rPr>
                <w:rFonts w:ascii="宋体" w:hAnsi="宋体" w:cs="宋体"/>
                <w:sz w:val="24"/>
                <w:lang w:val="zh-CN"/>
              </w:rPr>
            </w:pPr>
            <w:r>
              <w:rPr>
                <w:rFonts w:ascii="宋体" w:hAnsi="宋体" w:cs="宋体"/>
                <w:sz w:val="24"/>
                <w:lang w:val="zh-CN"/>
              </w:rPr>
              <w:t>11）乙方未配合甲方对项目涉及的资源、系统等常态化安全漏洞扫描，或未及时修复漏洞的，每出现一次，从合同金额扣除1000元。</w:t>
            </w:r>
          </w:p>
          <w:p w14:paraId="6B31F2B7">
            <w:pPr>
              <w:numPr>
                <w:ilvl w:val="255"/>
                <w:numId w:val="0"/>
              </w:numPr>
              <w:spacing w:line="400" w:lineRule="exact"/>
              <w:rPr>
                <w:rFonts w:ascii="宋体" w:hAnsi="宋体" w:cs="宋体"/>
                <w:sz w:val="24"/>
                <w:lang w:val="zh-CN"/>
              </w:rPr>
            </w:pPr>
            <w:r>
              <w:rPr>
                <w:rFonts w:ascii="宋体" w:hAnsi="宋体" w:cs="宋体"/>
                <w:sz w:val="24"/>
                <w:lang w:val="zh-CN"/>
              </w:rPr>
              <w:t>12）乙方未按照甲方相关要求办理入场、离场手续的，出现1人次，每人次从合同金额扣除1万元。</w:t>
            </w:r>
          </w:p>
          <w:p w14:paraId="4AF67D26">
            <w:pPr>
              <w:numPr>
                <w:ilvl w:val="255"/>
                <w:numId w:val="0"/>
              </w:numPr>
              <w:spacing w:line="400" w:lineRule="exact"/>
              <w:rPr>
                <w:rFonts w:ascii="宋体" w:hAnsi="宋体" w:cs="宋体"/>
                <w:sz w:val="24"/>
                <w:lang w:val="zh-CN"/>
              </w:rPr>
            </w:pPr>
            <w:r>
              <w:rPr>
                <w:rFonts w:ascii="宋体" w:hAnsi="宋体" w:cs="宋体"/>
                <w:sz w:val="24"/>
                <w:lang w:val="zh-CN"/>
              </w:rPr>
              <w:t>13）乙方派驻的驻场人员未按照甲方工作要求进行出勤的，每出现1人次从合同金额扣除500元。</w:t>
            </w:r>
          </w:p>
          <w:p w14:paraId="43635DCB">
            <w:pPr>
              <w:numPr>
                <w:ilvl w:val="255"/>
                <w:numId w:val="0"/>
              </w:numPr>
              <w:spacing w:line="400" w:lineRule="exact"/>
              <w:rPr>
                <w:rFonts w:ascii="宋体" w:hAnsi="宋体" w:cs="宋体"/>
                <w:sz w:val="24"/>
                <w:lang w:val="zh-CN"/>
              </w:rPr>
            </w:pPr>
            <w:r>
              <w:rPr>
                <w:rFonts w:ascii="宋体" w:hAnsi="宋体" w:cs="宋体"/>
                <w:sz w:val="24"/>
                <w:lang w:val="zh-CN"/>
              </w:rPr>
              <w:t>14）乙方不得擅自将项目中涉及的数据拷贝、转移出指定数据区域外进行开发、调试等，包括不限于乙方公司、第三方公司的服务器等，每出现一次，从合同金额扣除1万元。</w:t>
            </w:r>
          </w:p>
          <w:p w14:paraId="25FB88CF">
            <w:pPr>
              <w:numPr>
                <w:ilvl w:val="255"/>
                <w:numId w:val="0"/>
              </w:numPr>
              <w:spacing w:line="400" w:lineRule="exact"/>
              <w:rPr>
                <w:rFonts w:ascii="宋体" w:hAnsi="宋体" w:cs="宋体"/>
                <w:sz w:val="24"/>
                <w:lang w:val="zh-CN"/>
              </w:rPr>
            </w:pPr>
            <w:r>
              <w:rPr>
                <w:rFonts w:ascii="宋体" w:hAnsi="宋体" w:cs="宋体"/>
                <w:sz w:val="24"/>
                <w:lang w:val="zh-CN"/>
              </w:rPr>
              <w:t>15）每次通报后，若乙方未及时提供整改报告的；或未根据通报内容及时进行整改的，每出现一次，从合同金额扣除2000元。</w:t>
            </w:r>
          </w:p>
          <w:p w14:paraId="6BE336DF">
            <w:pPr>
              <w:numPr>
                <w:ilvl w:val="255"/>
                <w:numId w:val="0"/>
              </w:numPr>
              <w:spacing w:line="400" w:lineRule="exact"/>
              <w:rPr>
                <w:rFonts w:ascii="宋体" w:hAnsi="宋体" w:cs="宋体"/>
                <w:sz w:val="24"/>
              </w:rPr>
            </w:pPr>
            <w:r>
              <w:rPr>
                <w:rFonts w:ascii="宋体" w:hAnsi="宋体" w:cs="宋体"/>
                <w:sz w:val="24"/>
                <w:lang w:val="zh-CN"/>
              </w:rPr>
              <w:t>16）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责任。</w:t>
            </w:r>
          </w:p>
        </w:tc>
      </w:tr>
    </w:tbl>
    <w:p w14:paraId="6566A104">
      <w:pPr>
        <w:spacing w:line="560" w:lineRule="exact"/>
        <w:ind w:left="-420" w:leftChars="-200" w:right="-420" w:rightChars="-200" w:firstLine="480"/>
        <w:rPr>
          <w:rFonts w:ascii="宋体" w:hAnsi="宋体" w:cs="宋体"/>
        </w:rPr>
      </w:pPr>
    </w:p>
    <w:p w14:paraId="0BA03D1A">
      <w:pPr>
        <w:spacing w:line="560" w:lineRule="exact"/>
        <w:ind w:left="-420" w:leftChars="-200" w:right="-420" w:rightChars="-200" w:firstLine="480"/>
        <w:rPr>
          <w:rFonts w:ascii="宋体" w:hAnsi="宋体" w:cs="宋体"/>
        </w:rPr>
      </w:pPr>
    </w:p>
    <w:p w14:paraId="311BC34C">
      <w:pPr>
        <w:spacing w:line="560" w:lineRule="exact"/>
        <w:ind w:left="-420" w:leftChars="-200" w:right="-420" w:rightChars="-200" w:firstLine="480"/>
        <w:rPr>
          <w:rFonts w:ascii="宋体" w:hAnsi="宋体" w:cs="宋体"/>
        </w:rPr>
      </w:pPr>
    </w:p>
    <w:p w14:paraId="1E702A75">
      <w:pPr>
        <w:spacing w:line="560" w:lineRule="exact"/>
        <w:ind w:left="-420" w:leftChars="-200" w:right="-420" w:rightChars="-200" w:firstLine="480"/>
        <w:rPr>
          <w:rFonts w:ascii="宋体" w:hAnsi="宋体" w:cs="宋体"/>
        </w:rPr>
      </w:pPr>
    </w:p>
    <w:p w14:paraId="73F537F1">
      <w:pPr>
        <w:spacing w:line="560" w:lineRule="exact"/>
        <w:ind w:left="-420" w:leftChars="-200" w:right="-420" w:rightChars="-200" w:firstLine="480"/>
        <w:rPr>
          <w:rFonts w:ascii="宋体" w:hAnsi="宋体" w:cs="宋体"/>
        </w:rPr>
      </w:pPr>
    </w:p>
    <w:p w14:paraId="44052675">
      <w:pPr>
        <w:spacing w:line="560" w:lineRule="exact"/>
        <w:ind w:left="-420" w:leftChars="-200" w:right="-420" w:rightChars="-200" w:firstLine="480"/>
        <w:rPr>
          <w:rFonts w:ascii="宋体" w:hAnsi="宋体" w:cs="宋体"/>
        </w:rPr>
      </w:pPr>
    </w:p>
    <w:p w14:paraId="5FAB6F80">
      <w:pPr>
        <w:spacing w:line="560" w:lineRule="exact"/>
        <w:ind w:left="-420" w:leftChars="-200" w:right="-420" w:rightChars="-200" w:firstLine="480"/>
        <w:rPr>
          <w:rFonts w:ascii="宋体" w:hAnsi="宋体" w:cs="宋体"/>
        </w:rPr>
      </w:pPr>
    </w:p>
    <w:p w14:paraId="0C4AA6F4">
      <w:pPr>
        <w:spacing w:line="560" w:lineRule="exact"/>
        <w:ind w:left="-420" w:leftChars="-200" w:right="-420" w:rightChars="-200" w:firstLine="480"/>
        <w:rPr>
          <w:rFonts w:ascii="宋体" w:hAnsi="宋体" w:cs="宋体"/>
        </w:rPr>
      </w:pPr>
    </w:p>
    <w:p w14:paraId="442D5D99">
      <w:pPr>
        <w:spacing w:line="560" w:lineRule="exact"/>
        <w:ind w:left="-420" w:leftChars="-200" w:right="-420" w:rightChars="-200" w:firstLine="480"/>
        <w:rPr>
          <w:rFonts w:ascii="宋体" w:hAnsi="宋体" w:cs="宋体"/>
        </w:rPr>
      </w:pPr>
    </w:p>
    <w:p w14:paraId="7D9D9211">
      <w:pPr>
        <w:spacing w:line="560" w:lineRule="exact"/>
        <w:ind w:left="-420" w:leftChars="-200" w:right="-420" w:rightChars="-200" w:firstLine="480"/>
        <w:rPr>
          <w:rFonts w:ascii="宋体" w:hAnsi="宋体" w:cs="宋体"/>
        </w:rPr>
      </w:pPr>
    </w:p>
    <w:p w14:paraId="76B0181B">
      <w:pPr>
        <w:spacing w:line="560" w:lineRule="exact"/>
        <w:ind w:left="-420" w:leftChars="-200" w:right="-420" w:rightChars="-200" w:firstLine="480"/>
        <w:rPr>
          <w:rFonts w:ascii="宋体" w:hAnsi="宋体" w:cs="宋体"/>
        </w:rPr>
      </w:pPr>
    </w:p>
    <w:p w14:paraId="32823449">
      <w:pPr>
        <w:spacing w:line="560" w:lineRule="exact"/>
        <w:ind w:left="-420" w:leftChars="-200" w:right="-420" w:rightChars="-200" w:firstLine="480"/>
        <w:rPr>
          <w:rFonts w:ascii="宋体" w:hAnsi="宋体" w:cs="宋体"/>
        </w:rPr>
      </w:pPr>
    </w:p>
    <w:p w14:paraId="1DE3844A">
      <w:pPr>
        <w:spacing w:line="560" w:lineRule="exact"/>
        <w:ind w:left="-420" w:leftChars="-200" w:right="-420" w:rightChars="-200" w:firstLine="480"/>
        <w:rPr>
          <w:rFonts w:ascii="宋体" w:hAnsi="宋体" w:cs="宋体"/>
        </w:rPr>
      </w:pPr>
    </w:p>
    <w:p w14:paraId="2AC08916">
      <w:pPr>
        <w:spacing w:line="560" w:lineRule="exact"/>
        <w:ind w:left="-420" w:leftChars="-200" w:right="-420" w:rightChars="-200" w:firstLine="480"/>
        <w:rPr>
          <w:rFonts w:ascii="宋体" w:hAnsi="宋体" w:cs="宋体"/>
        </w:rPr>
      </w:pPr>
    </w:p>
    <w:p w14:paraId="449AA3E1">
      <w:pPr>
        <w:pStyle w:val="3"/>
        <w:spacing w:before="156" w:after="156"/>
        <w:ind w:firstLine="640"/>
        <w:rPr>
          <w:rFonts w:ascii="宋体" w:hAnsi="宋体" w:eastAsia="宋体" w:cs="宋体"/>
        </w:rPr>
      </w:pPr>
    </w:p>
    <w:p w14:paraId="7F084CD0">
      <w:pPr>
        <w:pStyle w:val="3"/>
        <w:spacing w:before="156" w:after="156"/>
        <w:ind w:firstLine="640"/>
        <w:rPr>
          <w:rFonts w:ascii="宋体" w:hAnsi="宋体" w:eastAsia="宋体" w:cs="宋体"/>
        </w:rPr>
      </w:pPr>
      <w:r>
        <w:rPr>
          <w:rFonts w:hint="eastAsia" w:ascii="宋体" w:hAnsi="宋体" w:eastAsia="宋体" w:cs="宋体"/>
        </w:rPr>
        <w:t>合同附件1、授权书</w:t>
      </w:r>
    </w:p>
    <w:p w14:paraId="386157A0">
      <w:pPr>
        <w:ind w:firstLine="1044"/>
        <w:jc w:val="center"/>
        <w:rPr>
          <w:rFonts w:ascii="宋体" w:hAnsi="宋体" w:cs="宋体"/>
          <w:b/>
          <w:sz w:val="52"/>
          <w:szCs w:val="52"/>
        </w:rPr>
      </w:pPr>
      <w:r>
        <w:rPr>
          <w:rFonts w:hint="eastAsia" w:ascii="宋体" w:hAnsi="宋体" w:cs="宋体"/>
          <w:b/>
          <w:sz w:val="52"/>
          <w:szCs w:val="52"/>
        </w:rPr>
        <w:t>授权书</w:t>
      </w:r>
    </w:p>
    <w:p w14:paraId="2A215C3C">
      <w:pPr>
        <w:ind w:firstLine="480"/>
        <w:rPr>
          <w:rFonts w:ascii="宋体" w:hAnsi="宋体" w:cs="宋体"/>
          <w:szCs w:val="21"/>
          <w:shd w:val="clear" w:color="auto" w:fill="FFFFFF"/>
        </w:rPr>
      </w:pPr>
      <w:r>
        <w:rPr>
          <w:rFonts w:hint="eastAsia" w:ascii="宋体" w:hAnsi="宋体" w:cs="宋体"/>
          <w:szCs w:val="21"/>
          <w:u w:val="single"/>
          <w:shd w:val="clear" w:color="auto" w:fill="FFFFFF"/>
        </w:rPr>
        <w:t>____________________________</w:t>
      </w:r>
      <w:r>
        <w:rPr>
          <w:rFonts w:hint="eastAsia" w:ascii="宋体" w:hAnsi="宋体" w:cs="宋体"/>
          <w:szCs w:val="21"/>
          <w:shd w:val="clear" w:color="auto" w:fill="FFFFFF"/>
        </w:rPr>
        <w:t>中标承担</w:t>
      </w:r>
      <w:r>
        <w:rPr>
          <w:rFonts w:hint="eastAsia" w:ascii="宋体" w:hAnsi="宋体" w:cs="宋体"/>
          <w:szCs w:val="21"/>
          <w:u w:val="single"/>
          <w:shd w:val="clear" w:color="auto" w:fill="FFFFFF"/>
        </w:rPr>
        <w:t>杭州市“善育在杭2.0”项目（</w:t>
      </w:r>
      <w:r>
        <w:rPr>
          <w:rFonts w:hint="eastAsia" w:ascii="宋体" w:hAnsi="宋体" w:cs="宋体"/>
          <w:szCs w:val="21"/>
          <w:shd w:val="clear" w:color="auto" w:fill="FFFFFF"/>
        </w:rPr>
        <w:t>项目编号：），现授权</w:t>
      </w:r>
      <w:r>
        <w:rPr>
          <w:rFonts w:hint="eastAsia" w:ascii="宋体" w:hAnsi="宋体" w:cs="宋体"/>
          <w:szCs w:val="21"/>
          <w:u w:val="single"/>
          <w:shd w:val="clear" w:color="auto" w:fill="FFFFFF"/>
        </w:rPr>
        <w:t>_______________________</w:t>
      </w:r>
      <w:r>
        <w:rPr>
          <w:rFonts w:hint="eastAsia" w:ascii="宋体" w:hAnsi="宋体" w:cs="宋体"/>
          <w:szCs w:val="21"/>
          <w:shd w:val="clear" w:color="auto" w:fill="FFFFFF"/>
        </w:rPr>
        <w:t>工作人员_____，身份证号码</w:t>
      </w:r>
      <w:r>
        <w:rPr>
          <w:rFonts w:hint="eastAsia" w:ascii="宋体" w:hAnsi="宋体" w:cs="宋体"/>
          <w:szCs w:val="21"/>
          <w:u w:val="single"/>
          <w:shd w:val="clear" w:color="auto" w:fill="FFFFFF"/>
        </w:rPr>
        <w:t>________________________</w:t>
      </w:r>
      <w:r>
        <w:rPr>
          <w:rFonts w:hint="eastAsia" w:ascii="宋体" w:hAnsi="宋体" w:cs="宋体"/>
          <w:szCs w:val="21"/>
          <w:shd w:val="clear" w:color="auto" w:fill="FFFFFF"/>
        </w:rPr>
        <w:t>，为全权代</w:t>
      </w:r>
      <w:r>
        <w:rPr>
          <w:rFonts w:hint="eastAsia" w:ascii="宋体" w:hAnsi="宋体" w:cs="宋体"/>
          <w:szCs w:val="21"/>
        </w:rPr>
        <w:t>表，负责合同签订、开票和收款事宜，在合同期内的一切活动本公司均予承认。</w:t>
      </w:r>
    </w:p>
    <w:p w14:paraId="38F93BFC">
      <w:pPr>
        <w:ind w:firstLine="480"/>
        <w:rPr>
          <w:rFonts w:ascii="宋体" w:hAnsi="宋体" w:cs="宋体"/>
          <w:szCs w:val="21"/>
        </w:rPr>
      </w:pPr>
    </w:p>
    <w:p w14:paraId="4AD935EF">
      <w:pPr>
        <w:ind w:firstLine="480"/>
        <w:rPr>
          <w:rFonts w:ascii="宋体" w:hAnsi="宋体" w:cs="宋体"/>
          <w:szCs w:val="21"/>
        </w:rPr>
      </w:pPr>
      <w:r>
        <w:rPr>
          <w:rFonts w:hint="eastAsia" w:ascii="宋体" w:hAnsi="宋体" w:cs="宋体"/>
          <w:szCs w:val="21"/>
        </w:rPr>
        <w:t>授权方：</w:t>
      </w:r>
      <w:r>
        <w:rPr>
          <w:rFonts w:hint="eastAsia" w:ascii="宋体" w:hAnsi="宋体" w:cs="宋体"/>
          <w:szCs w:val="21"/>
          <w:u w:val="single"/>
        </w:rPr>
        <w:t>_________________________</w:t>
      </w:r>
    </w:p>
    <w:p w14:paraId="1CB35DA4">
      <w:pPr>
        <w:ind w:firstLine="480"/>
        <w:rPr>
          <w:rFonts w:ascii="宋体" w:hAnsi="宋体" w:cs="宋体"/>
          <w:szCs w:val="21"/>
          <w:u w:val="single"/>
        </w:rPr>
      </w:pPr>
      <w:r>
        <w:rPr>
          <w:rFonts w:hint="eastAsia" w:ascii="宋体" w:hAnsi="宋体" w:cs="宋体"/>
          <w:szCs w:val="21"/>
        </w:rPr>
        <w:t>授权日期：</w:t>
      </w:r>
      <w:r>
        <w:rPr>
          <w:rFonts w:hint="eastAsia" w:ascii="宋体" w:hAnsi="宋体" w:cs="宋体"/>
          <w:szCs w:val="21"/>
          <w:u w:val="single"/>
        </w:rPr>
        <w:t xml:space="preserve">2024年   月   日         </w:t>
      </w:r>
    </w:p>
    <w:p w14:paraId="2DA437FF">
      <w:pPr>
        <w:ind w:firstLine="480"/>
        <w:rPr>
          <w:rFonts w:ascii="宋体" w:hAnsi="宋体" w:cs="宋体"/>
          <w:szCs w:val="21"/>
        </w:rPr>
      </w:pPr>
    </w:p>
    <w:p w14:paraId="36DE0213">
      <w:pPr>
        <w:ind w:firstLine="480"/>
        <w:rPr>
          <w:rFonts w:ascii="宋体" w:hAnsi="宋体" w:cs="宋体"/>
          <w:szCs w:val="21"/>
          <w:u w:val="single"/>
          <w:shd w:val="clear" w:color="auto" w:fill="FFFFFF"/>
        </w:rPr>
      </w:pPr>
      <w:r>
        <w:rPr>
          <w:rFonts w:hint="eastAsia" w:ascii="宋体" w:hAnsi="宋体" w:cs="宋体"/>
          <w:szCs w:val="21"/>
        </w:rPr>
        <w:t>受托方：</w:t>
      </w:r>
      <w:r>
        <w:rPr>
          <w:rFonts w:hint="eastAsia" w:ascii="宋体" w:hAnsi="宋体" w:cs="宋体"/>
          <w:szCs w:val="21"/>
          <w:u w:val="single"/>
          <w:shd w:val="clear" w:color="auto" w:fill="FFFFFF"/>
        </w:rPr>
        <w:t xml:space="preserve"> _______________________  </w:t>
      </w:r>
    </w:p>
    <w:p w14:paraId="7C751679">
      <w:pPr>
        <w:ind w:firstLine="480"/>
        <w:rPr>
          <w:rFonts w:ascii="宋体" w:hAnsi="宋体" w:cs="宋体"/>
          <w:szCs w:val="21"/>
        </w:rPr>
      </w:pPr>
      <w:r>
        <w:rPr>
          <w:rFonts w:hint="eastAsia" w:ascii="宋体" w:hAnsi="宋体" w:cs="宋体"/>
          <w:szCs w:val="21"/>
        </w:rPr>
        <w:t>身份证号码：</w:t>
      </w:r>
    </w:p>
    <w:p w14:paraId="447E1AB6">
      <w:pPr>
        <w:ind w:firstLine="480"/>
        <w:rPr>
          <w:rFonts w:ascii="宋体" w:hAnsi="宋体" w:cs="宋体"/>
          <w:szCs w:val="21"/>
          <w:u w:val="single"/>
        </w:rPr>
      </w:pPr>
      <w:r>
        <w:rPr>
          <w:rFonts w:hint="eastAsia" w:ascii="宋体" w:hAnsi="宋体" w:cs="宋体"/>
          <w:szCs w:val="21"/>
        </w:rPr>
        <w:t>受托日期：</w:t>
      </w:r>
      <w:r>
        <w:rPr>
          <w:rFonts w:hint="eastAsia" w:ascii="宋体" w:hAnsi="宋体" w:cs="宋体"/>
          <w:szCs w:val="21"/>
          <w:u w:val="single"/>
        </w:rPr>
        <w:t xml:space="preserve">2024年  月   日        </w:t>
      </w:r>
    </w:p>
    <w:p w14:paraId="3FBEB559">
      <w:pPr>
        <w:ind w:firstLine="480"/>
        <w:rPr>
          <w:rFonts w:ascii="宋体" w:hAnsi="宋体" w:cs="宋体"/>
        </w:rPr>
      </w:pPr>
    </w:p>
    <w:p w14:paraId="3847C8AE">
      <w:pPr>
        <w:ind w:firstLine="480"/>
        <w:rPr>
          <w:rFonts w:ascii="宋体" w:hAnsi="宋体" w:cs="宋体"/>
          <w:b/>
          <w:sz w:val="30"/>
          <w:szCs w:val="30"/>
        </w:rPr>
      </w:pPr>
      <w:r>
        <w:rPr>
          <w:rFonts w:hint="eastAsia" w:ascii="宋体" w:hAnsi="宋体" w:cs="宋体"/>
        </w:rPr>
        <w:t>授权代表人身份证扫描件：</w:t>
      </w:r>
    </w:p>
    <w:tbl>
      <w:tblPr>
        <w:tblStyle w:val="6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35FB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4643" w:type="dxa"/>
            <w:vAlign w:val="center"/>
          </w:tcPr>
          <w:p w14:paraId="7AC2DF04">
            <w:pPr>
              <w:ind w:firstLine="600"/>
              <w:jc w:val="center"/>
              <w:rPr>
                <w:rFonts w:ascii="宋体" w:hAnsi="宋体" w:cs="宋体"/>
                <w:bCs/>
                <w:sz w:val="30"/>
                <w:szCs w:val="30"/>
              </w:rPr>
            </w:pPr>
            <w:r>
              <w:rPr>
                <w:rFonts w:hint="eastAsia" w:ascii="宋体" w:hAnsi="宋体" w:cs="宋体"/>
                <w:bCs/>
                <w:sz w:val="30"/>
                <w:szCs w:val="30"/>
              </w:rPr>
              <w:t>身份证正面</w:t>
            </w:r>
          </w:p>
        </w:tc>
        <w:tc>
          <w:tcPr>
            <w:tcW w:w="4643" w:type="dxa"/>
            <w:vAlign w:val="center"/>
          </w:tcPr>
          <w:p w14:paraId="3807FC1E">
            <w:pPr>
              <w:ind w:firstLine="600"/>
              <w:jc w:val="center"/>
              <w:rPr>
                <w:rFonts w:ascii="宋体" w:hAnsi="宋体" w:cs="宋体"/>
                <w:bCs/>
                <w:sz w:val="30"/>
                <w:szCs w:val="30"/>
              </w:rPr>
            </w:pPr>
            <w:r>
              <w:rPr>
                <w:rFonts w:hint="eastAsia" w:ascii="宋体" w:hAnsi="宋体" w:cs="宋体"/>
                <w:bCs/>
                <w:sz w:val="30"/>
                <w:szCs w:val="30"/>
              </w:rPr>
              <w:t>身份证反面</w:t>
            </w:r>
          </w:p>
        </w:tc>
      </w:tr>
    </w:tbl>
    <w:p w14:paraId="2FB7E67B">
      <w:pPr>
        <w:ind w:firstLine="602"/>
        <w:rPr>
          <w:rFonts w:ascii="宋体" w:hAnsi="宋体" w:cs="宋体"/>
          <w:b/>
          <w:sz w:val="30"/>
          <w:szCs w:val="30"/>
        </w:rPr>
      </w:pPr>
    </w:p>
    <w:p w14:paraId="3B9AC19F">
      <w:pPr>
        <w:ind w:firstLine="480"/>
        <w:rPr>
          <w:rFonts w:ascii="宋体" w:hAnsi="宋体" w:cs="宋体"/>
        </w:rPr>
      </w:pPr>
      <w:r>
        <w:rPr>
          <w:rFonts w:hint="eastAsia" w:ascii="宋体" w:hAnsi="宋体" w:cs="宋体"/>
        </w:rPr>
        <w:br w:type="page"/>
      </w:r>
    </w:p>
    <w:p w14:paraId="398E7589">
      <w:pPr>
        <w:pStyle w:val="3"/>
        <w:spacing w:before="156" w:after="156"/>
        <w:ind w:firstLine="640"/>
        <w:rPr>
          <w:rFonts w:ascii="宋体" w:hAnsi="宋体" w:eastAsia="宋体" w:cs="宋体"/>
        </w:rPr>
      </w:pPr>
      <w:r>
        <w:rPr>
          <w:rFonts w:hint="eastAsia" w:ascii="宋体" w:hAnsi="宋体" w:eastAsia="宋体" w:cs="宋体"/>
        </w:rPr>
        <w:t>合同附件2、信息安全保密承诺书</w:t>
      </w:r>
    </w:p>
    <w:p w14:paraId="106158D9">
      <w:pPr>
        <w:spacing w:after="100" w:afterAutospacing="1" w:line="500" w:lineRule="exact"/>
        <w:ind w:firstLine="883"/>
        <w:jc w:val="center"/>
        <w:rPr>
          <w:rFonts w:ascii="宋体" w:hAnsi="宋体" w:cs="宋体"/>
          <w:b/>
          <w:sz w:val="44"/>
          <w:szCs w:val="44"/>
        </w:rPr>
      </w:pPr>
      <w:r>
        <w:rPr>
          <w:rFonts w:hint="eastAsia" w:ascii="宋体" w:hAnsi="宋体" w:cs="宋体"/>
          <w:b/>
          <w:sz w:val="44"/>
          <w:szCs w:val="44"/>
        </w:rPr>
        <w:t>信息安全保密承诺书</w:t>
      </w:r>
    </w:p>
    <w:p w14:paraId="484D6CE8">
      <w:pPr>
        <w:ind w:firstLine="301"/>
        <w:jc w:val="left"/>
        <w:rPr>
          <w:rFonts w:ascii="宋体" w:hAnsi="宋体" w:cs="宋体"/>
          <w:b/>
          <w:sz w:val="15"/>
          <w:szCs w:val="15"/>
        </w:rPr>
      </w:pPr>
      <w:r>
        <w:rPr>
          <w:rFonts w:hint="eastAsia" w:ascii="宋体" w:hAnsi="宋体" w:cs="宋体"/>
          <w:b/>
          <w:sz w:val="15"/>
          <w:szCs w:val="15"/>
          <w:u w:val="single"/>
        </w:rPr>
        <w:t>杭州市卫生健康委员会：</w:t>
      </w:r>
    </w:p>
    <w:p w14:paraId="1FC85C37">
      <w:pPr>
        <w:widowControl/>
        <w:ind w:firstLine="280"/>
        <w:jc w:val="left"/>
        <w:rPr>
          <w:rFonts w:ascii="宋体" w:hAnsi="宋体" w:cs="宋体"/>
          <w:spacing w:val="-5"/>
          <w:kern w:val="0"/>
          <w:sz w:val="15"/>
          <w:szCs w:val="15"/>
        </w:rPr>
      </w:pPr>
      <w:r>
        <w:rPr>
          <w:rFonts w:hint="eastAsia" w:ascii="宋体" w:hAnsi="宋体" w:cs="宋体"/>
          <w:spacing w:val="-5"/>
          <w:kern w:val="0"/>
          <w:sz w:val="15"/>
          <w:szCs w:val="15"/>
        </w:rPr>
        <w:t>我方根据保密协议进入</w:t>
      </w:r>
      <w:r>
        <w:rPr>
          <w:rFonts w:hint="eastAsia" w:ascii="宋体" w:hAnsi="宋体" w:cs="宋体"/>
          <w:b/>
          <w:spacing w:val="-5"/>
          <w:kern w:val="0"/>
          <w:sz w:val="15"/>
          <w:szCs w:val="15"/>
          <w:u w:val="single"/>
        </w:rPr>
        <w:t>杭州市卫生健康委员会</w:t>
      </w:r>
      <w:r>
        <w:rPr>
          <w:rFonts w:hint="eastAsia" w:ascii="宋体" w:hAnsi="宋体" w:cs="宋体"/>
          <w:spacing w:val="-5"/>
          <w:kern w:val="0"/>
          <w:sz w:val="15"/>
          <w:szCs w:val="15"/>
        </w:rPr>
        <w:t>信息安全实施单位名录清单，并根据国家、地方政府有关规定，承诺确保相应工作涉及的技术信息和技术资源、数据等不被泄露，具体的信息安全保密承诺如下：</w:t>
      </w:r>
    </w:p>
    <w:p w14:paraId="0DEABAAA">
      <w:pPr>
        <w:widowControl/>
        <w:ind w:firstLine="281"/>
        <w:jc w:val="left"/>
        <w:rPr>
          <w:rFonts w:ascii="宋体" w:hAnsi="宋体" w:cs="宋体"/>
          <w:b/>
          <w:spacing w:val="-5"/>
          <w:kern w:val="0"/>
          <w:sz w:val="15"/>
          <w:szCs w:val="15"/>
        </w:rPr>
      </w:pPr>
      <w:r>
        <w:rPr>
          <w:rFonts w:hint="eastAsia" w:ascii="宋体" w:hAnsi="宋体" w:cs="宋体"/>
          <w:b/>
          <w:spacing w:val="-5"/>
          <w:kern w:val="0"/>
          <w:sz w:val="15"/>
          <w:szCs w:val="15"/>
        </w:rPr>
        <w:t>本协议涉及保密的技术信息和技术资料包括：</w:t>
      </w:r>
    </w:p>
    <w:p w14:paraId="418891A2">
      <w:pPr>
        <w:widowControl/>
        <w:numPr>
          <w:ilvl w:val="0"/>
          <w:numId w:val="13"/>
        </w:numPr>
        <w:ind w:left="0" w:firstLine="300"/>
        <w:jc w:val="left"/>
        <w:rPr>
          <w:rFonts w:ascii="宋体" w:hAnsi="宋体" w:cs="宋体"/>
          <w:kern w:val="0"/>
          <w:sz w:val="15"/>
          <w:szCs w:val="15"/>
        </w:rPr>
      </w:pPr>
      <w:r>
        <w:rPr>
          <w:rFonts w:hint="eastAsia" w:ascii="宋体" w:hAnsi="宋体" w:cs="宋体"/>
          <w:kern w:val="0"/>
          <w:sz w:val="15"/>
          <w:szCs w:val="15"/>
        </w:rPr>
        <w:t>项目研发和实施过程中涉及和产生的所有资料和数据；</w:t>
      </w:r>
    </w:p>
    <w:p w14:paraId="3FAF8286">
      <w:pPr>
        <w:widowControl/>
        <w:numPr>
          <w:ilvl w:val="0"/>
          <w:numId w:val="13"/>
        </w:numPr>
        <w:ind w:left="0" w:firstLine="300"/>
        <w:jc w:val="left"/>
        <w:rPr>
          <w:rFonts w:ascii="宋体" w:hAnsi="宋体" w:cs="宋体"/>
          <w:kern w:val="0"/>
          <w:sz w:val="15"/>
          <w:szCs w:val="15"/>
        </w:rPr>
      </w:pPr>
      <w:r>
        <w:rPr>
          <w:rFonts w:hint="eastAsia" w:ascii="宋体" w:hAnsi="宋体" w:cs="宋体"/>
          <w:kern w:val="0"/>
          <w:sz w:val="15"/>
          <w:szCs w:val="15"/>
        </w:rPr>
        <w:t>项目相关会议文件，纪要和决定以及相关工作承担者之间往来的传真，信函，电子邮件，电子文件等；</w:t>
      </w:r>
    </w:p>
    <w:p w14:paraId="5D13B149">
      <w:pPr>
        <w:widowControl/>
        <w:numPr>
          <w:ilvl w:val="0"/>
          <w:numId w:val="13"/>
        </w:numPr>
        <w:ind w:left="0" w:firstLine="300"/>
        <w:jc w:val="left"/>
        <w:rPr>
          <w:rFonts w:ascii="宋体" w:hAnsi="宋体" w:cs="宋体"/>
          <w:kern w:val="0"/>
          <w:sz w:val="15"/>
          <w:szCs w:val="15"/>
        </w:rPr>
      </w:pPr>
      <w:r>
        <w:rPr>
          <w:rFonts w:hint="eastAsia" w:ascii="宋体" w:hAnsi="宋体" w:cs="宋体"/>
          <w:kern w:val="0"/>
          <w:sz w:val="15"/>
          <w:szCs w:val="15"/>
        </w:rPr>
        <w:t>经双方在项目相关工作实施过程中确认的需要保密的其他信息；</w:t>
      </w:r>
    </w:p>
    <w:p w14:paraId="7CD4CEEC">
      <w:pPr>
        <w:widowControl/>
        <w:numPr>
          <w:ilvl w:val="0"/>
          <w:numId w:val="13"/>
        </w:numPr>
        <w:ind w:left="0" w:firstLine="300"/>
        <w:jc w:val="left"/>
        <w:rPr>
          <w:rFonts w:ascii="宋体" w:hAnsi="宋体" w:cs="宋体"/>
          <w:kern w:val="0"/>
          <w:sz w:val="15"/>
          <w:szCs w:val="15"/>
        </w:rPr>
      </w:pPr>
      <w:r>
        <w:rPr>
          <w:rFonts w:hint="eastAsia" w:ascii="宋体" w:hAnsi="宋体" w:cs="宋体"/>
          <w:kern w:val="0"/>
          <w:sz w:val="15"/>
          <w:szCs w:val="15"/>
        </w:rPr>
        <w:t>其他项目相关信息资源。</w:t>
      </w:r>
    </w:p>
    <w:p w14:paraId="38FEC4F4">
      <w:pPr>
        <w:widowControl/>
        <w:ind w:firstLine="281"/>
        <w:jc w:val="left"/>
        <w:rPr>
          <w:rFonts w:ascii="宋体" w:hAnsi="宋体" w:cs="宋体"/>
          <w:b/>
          <w:spacing w:val="-5"/>
          <w:kern w:val="0"/>
          <w:sz w:val="15"/>
          <w:szCs w:val="15"/>
        </w:rPr>
      </w:pPr>
      <w:r>
        <w:rPr>
          <w:rFonts w:hint="eastAsia" w:ascii="宋体" w:hAnsi="宋体" w:cs="宋体"/>
          <w:b/>
          <w:spacing w:val="-5"/>
          <w:kern w:val="0"/>
          <w:sz w:val="15"/>
          <w:szCs w:val="15"/>
        </w:rPr>
        <w:t>本承诺书涉及的信息安全保密条款包括：</w:t>
      </w:r>
    </w:p>
    <w:p w14:paraId="45C126AF">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我方有保护</w:t>
      </w:r>
      <w:r>
        <w:rPr>
          <w:rFonts w:hint="eastAsia" w:ascii="宋体" w:hAnsi="宋体" w:cs="宋体"/>
          <w:b/>
          <w:sz w:val="15"/>
          <w:szCs w:val="15"/>
          <w:u w:val="single"/>
        </w:rPr>
        <w:t>杭州市卫生健康委员会</w:t>
      </w:r>
      <w:r>
        <w:rPr>
          <w:rFonts w:hint="eastAsia" w:ascii="宋体" w:hAnsi="宋体" w:cs="宋体"/>
          <w:kern w:val="0"/>
          <w:sz w:val="15"/>
          <w:szCs w:val="15"/>
        </w:rPr>
        <w:t>信息资源安全的义务，不得将</w:t>
      </w:r>
      <w:r>
        <w:rPr>
          <w:rFonts w:hint="eastAsia" w:ascii="宋体" w:hAnsi="宋体" w:cs="宋体"/>
          <w:b/>
          <w:sz w:val="15"/>
          <w:szCs w:val="15"/>
          <w:u w:val="single"/>
        </w:rPr>
        <w:t>杭州市卫生健康委员会</w:t>
      </w:r>
      <w:r>
        <w:rPr>
          <w:rFonts w:hint="eastAsia" w:ascii="宋体" w:hAnsi="宋体" w:cs="宋体"/>
          <w:kern w:val="0"/>
          <w:sz w:val="15"/>
          <w:szCs w:val="15"/>
        </w:rPr>
        <w:t>的信息资源透露给任何第三方，包括我方的分支机构，子公司或委托顾问方，接受咨询方；</w:t>
      </w:r>
    </w:p>
    <w:p w14:paraId="358EBCDB">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我方为承担本协议约定的保密责任，应妥善保管有关的文件和资料，未经</w:t>
      </w:r>
      <w:r>
        <w:rPr>
          <w:rFonts w:hint="eastAsia" w:ascii="宋体" w:hAnsi="宋体" w:cs="宋体"/>
          <w:b/>
          <w:sz w:val="15"/>
          <w:szCs w:val="15"/>
          <w:u w:val="single"/>
        </w:rPr>
        <w:t>杭州市卫生健康委员会</w:t>
      </w:r>
      <w:r>
        <w:rPr>
          <w:rFonts w:hint="eastAsia" w:ascii="宋体" w:hAnsi="宋体" w:cs="宋体"/>
          <w:kern w:val="0"/>
          <w:sz w:val="15"/>
          <w:szCs w:val="15"/>
        </w:rPr>
        <w:t>事先的书面许可，不得对其进行复制，仿造等操作，承诺所处理和使用的数据不得离开</w:t>
      </w:r>
      <w:r>
        <w:rPr>
          <w:rFonts w:hint="eastAsia" w:ascii="宋体" w:hAnsi="宋体" w:cs="宋体"/>
          <w:b/>
          <w:sz w:val="15"/>
          <w:szCs w:val="15"/>
          <w:u w:val="single"/>
        </w:rPr>
        <w:t>杭州市卫生健康委员会</w:t>
      </w:r>
      <w:r>
        <w:rPr>
          <w:rFonts w:hint="eastAsia" w:ascii="宋体" w:hAnsi="宋体" w:cs="宋体"/>
          <w:kern w:val="0"/>
          <w:sz w:val="15"/>
          <w:szCs w:val="15"/>
        </w:rPr>
        <w:t>所</w:t>
      </w:r>
      <w:r>
        <w:rPr>
          <w:rFonts w:hint="eastAsia" w:ascii="宋体" w:hAnsi="宋体" w:cs="宋体"/>
          <w:b/>
          <w:bCs/>
          <w:kern w:val="0"/>
          <w:sz w:val="15"/>
          <w:szCs w:val="15"/>
        </w:rPr>
        <w:t>指定</w:t>
      </w:r>
      <w:r>
        <w:rPr>
          <w:rFonts w:hint="eastAsia" w:ascii="宋体" w:hAnsi="宋体" w:cs="宋体"/>
          <w:kern w:val="0"/>
          <w:sz w:val="15"/>
          <w:szCs w:val="15"/>
        </w:rPr>
        <w:t>允许地点，</w:t>
      </w:r>
      <w:r>
        <w:rPr>
          <w:rFonts w:hint="eastAsia" w:ascii="宋体" w:hAnsi="宋体" w:cs="宋体"/>
          <w:b/>
          <w:bCs/>
          <w:kern w:val="0"/>
          <w:sz w:val="15"/>
          <w:szCs w:val="15"/>
        </w:rPr>
        <w:t>承诺数据使用和处理不出境</w:t>
      </w:r>
      <w:r>
        <w:rPr>
          <w:rFonts w:hint="eastAsia" w:ascii="宋体" w:hAnsi="宋体" w:cs="宋体"/>
          <w:kern w:val="0"/>
          <w:sz w:val="15"/>
          <w:szCs w:val="15"/>
        </w:rPr>
        <w:t>；</w:t>
      </w:r>
    </w:p>
    <w:p w14:paraId="532C5C3C">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我方应在项目规定范围以内使用</w:t>
      </w:r>
      <w:r>
        <w:rPr>
          <w:rFonts w:hint="eastAsia" w:ascii="宋体" w:hAnsi="宋体" w:cs="宋体"/>
          <w:b/>
          <w:sz w:val="15"/>
          <w:szCs w:val="15"/>
          <w:u w:val="single"/>
        </w:rPr>
        <w:t>杭州市卫生健康委员会</w:t>
      </w:r>
      <w:r>
        <w:rPr>
          <w:rFonts w:hint="eastAsia" w:ascii="宋体" w:hAnsi="宋体" w:cs="宋体"/>
          <w:kern w:val="0"/>
          <w:sz w:val="15"/>
          <w:szCs w:val="15"/>
        </w:rPr>
        <w:t>的信息资源，并保证不在本机构内部流通；</w:t>
      </w:r>
    </w:p>
    <w:p w14:paraId="620FF210">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我方作为信息系统承建方、运维方，负责承担所管辖项目中信息系统的信息安全建设及信息安全保障工作。对因本系统信息安全规划制度、技术和管理规范、网络及系统安全架构未健全所引发的信息安全事件负有主要责任。</w:t>
      </w:r>
    </w:p>
    <w:p w14:paraId="7227194A">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我方承诺定期对业务系统开展安全巡检。对发现的问题应立即责令整改，并汇报整改结果落实情况。因管理不当、处理不及时等原因造成信息安全事件的，我方承担主要责任；</w:t>
      </w:r>
    </w:p>
    <w:p w14:paraId="5FDECDCC">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我方负责检查所提供软硬件系统的信息安全问题，对发现的问题应及时整改。监督公司人员的操作行为，对违反操作规程或可能引起信息安全事件的行为应及时阻止。对相关信息系统在设计、开发、实施、运维过程中出现的信息安全事件负有主要责任；</w:t>
      </w:r>
    </w:p>
    <w:p w14:paraId="4E8951D0">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及时掌握重要漏洞信息、国内外重大安全事件，将相关资讯及时告知</w:t>
      </w:r>
      <w:r>
        <w:rPr>
          <w:rFonts w:hint="eastAsia" w:ascii="宋体" w:hAnsi="宋体" w:cs="宋体"/>
          <w:b/>
          <w:sz w:val="15"/>
          <w:szCs w:val="15"/>
          <w:u w:val="single"/>
        </w:rPr>
        <w:t>杭州市卫生健康委员会</w:t>
      </w:r>
      <w:r>
        <w:rPr>
          <w:rFonts w:hint="eastAsia" w:ascii="宋体" w:hAnsi="宋体" w:cs="宋体"/>
          <w:kern w:val="0"/>
          <w:sz w:val="15"/>
          <w:szCs w:val="15"/>
        </w:rPr>
        <w:t>，切实做好漏洞预警及修复工作；</w:t>
      </w:r>
    </w:p>
    <w:p w14:paraId="7C95AC3C">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我方应负责管理好本公司人员，监督信息安全制度落实情况。并与所有项目干系人签订保密协议，做好人员权限管理及离职失效保护。对因公司人员造成的信息安全事件负有全部责任；</w:t>
      </w:r>
    </w:p>
    <w:p w14:paraId="348A3242">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所有由</w:t>
      </w:r>
      <w:r>
        <w:rPr>
          <w:rFonts w:hint="eastAsia" w:ascii="宋体" w:hAnsi="宋体" w:cs="宋体"/>
          <w:b/>
          <w:sz w:val="15"/>
          <w:szCs w:val="15"/>
          <w:u w:val="single"/>
        </w:rPr>
        <w:t>杭州市卫生健康委员会</w:t>
      </w:r>
      <w:r>
        <w:rPr>
          <w:rFonts w:hint="eastAsia" w:ascii="宋体" w:hAnsi="宋体" w:cs="宋体"/>
          <w:kern w:val="0"/>
          <w:sz w:val="15"/>
          <w:szCs w:val="15"/>
        </w:rPr>
        <w:t>提供给我方的材料，包括但不限于文件、设计和清单应属于</w:t>
      </w:r>
      <w:r>
        <w:rPr>
          <w:rFonts w:hint="eastAsia" w:ascii="宋体" w:hAnsi="宋体" w:cs="宋体"/>
          <w:b/>
          <w:sz w:val="15"/>
          <w:szCs w:val="15"/>
          <w:u w:val="single"/>
        </w:rPr>
        <w:t>杭州市卫生健康委员会</w:t>
      </w:r>
      <w:r>
        <w:rPr>
          <w:rFonts w:hint="eastAsia" w:ascii="宋体" w:hAnsi="宋体" w:cs="宋体"/>
          <w:kern w:val="0"/>
          <w:sz w:val="15"/>
          <w:szCs w:val="15"/>
        </w:rPr>
        <w:t>的财产，且</w:t>
      </w:r>
      <w:r>
        <w:rPr>
          <w:rFonts w:hint="eastAsia" w:ascii="宋体" w:hAnsi="宋体" w:cs="宋体"/>
          <w:b/>
          <w:sz w:val="15"/>
          <w:szCs w:val="15"/>
          <w:u w:val="single"/>
        </w:rPr>
        <w:t>杭州市卫生健康委员会</w:t>
      </w:r>
      <w:r>
        <w:rPr>
          <w:rFonts w:hint="eastAsia" w:ascii="宋体" w:hAnsi="宋体" w:cs="宋体"/>
          <w:kern w:val="0"/>
          <w:sz w:val="15"/>
          <w:szCs w:val="15"/>
        </w:rPr>
        <w:t>要求时应立即归还原件和所有据此制作的副本；</w:t>
      </w:r>
    </w:p>
    <w:p w14:paraId="39ACDB45">
      <w:pPr>
        <w:widowControl/>
        <w:numPr>
          <w:ilvl w:val="0"/>
          <w:numId w:val="14"/>
        </w:numPr>
        <w:ind w:left="0" w:firstLine="300"/>
        <w:jc w:val="left"/>
        <w:rPr>
          <w:rFonts w:ascii="宋体" w:hAnsi="宋体" w:cs="宋体"/>
          <w:kern w:val="0"/>
          <w:sz w:val="15"/>
          <w:szCs w:val="15"/>
        </w:rPr>
      </w:pPr>
      <w:r>
        <w:rPr>
          <w:rFonts w:hint="eastAsia" w:ascii="宋体" w:hAnsi="宋体" w:cs="宋体"/>
          <w:kern w:val="0"/>
          <w:sz w:val="15"/>
          <w:szCs w:val="15"/>
        </w:rPr>
        <w:t>本承诺书中涉及的有关保密信息，其中已经拥有知识产权的归原所有人所有；相关工作实施中产生的知识产权，其知识产权的归属遵照项目合同的约定执行；</w:t>
      </w:r>
    </w:p>
    <w:p w14:paraId="16A26A61">
      <w:pPr>
        <w:widowControl/>
        <w:numPr>
          <w:ilvl w:val="0"/>
          <w:numId w:val="14"/>
        </w:numPr>
        <w:tabs>
          <w:tab w:val="left" w:pos="851"/>
        </w:tabs>
        <w:ind w:left="0" w:firstLine="300"/>
        <w:jc w:val="left"/>
        <w:rPr>
          <w:rFonts w:ascii="宋体" w:hAnsi="宋体" w:cs="宋体"/>
          <w:kern w:val="0"/>
          <w:sz w:val="15"/>
          <w:szCs w:val="15"/>
        </w:rPr>
      </w:pPr>
      <w:r>
        <w:rPr>
          <w:rFonts w:hint="eastAsia" w:ascii="宋体" w:hAnsi="宋体" w:cs="宋体"/>
          <w:kern w:val="0"/>
          <w:sz w:val="15"/>
          <w:szCs w:val="15"/>
        </w:rPr>
        <w:t>我方违反此承诺，造成</w:t>
      </w:r>
      <w:r>
        <w:rPr>
          <w:rFonts w:hint="eastAsia" w:ascii="宋体" w:hAnsi="宋体" w:cs="宋体"/>
          <w:b/>
          <w:sz w:val="15"/>
          <w:szCs w:val="15"/>
          <w:u w:val="single"/>
        </w:rPr>
        <w:t>杭州市卫生健康委员会</w:t>
      </w:r>
      <w:r>
        <w:rPr>
          <w:rFonts w:hint="eastAsia" w:ascii="宋体" w:hAnsi="宋体" w:cs="宋体"/>
          <w:kern w:val="0"/>
          <w:sz w:val="15"/>
          <w:szCs w:val="15"/>
        </w:rPr>
        <w:t>经济损失的，</w:t>
      </w:r>
      <w:r>
        <w:rPr>
          <w:rFonts w:hint="eastAsia" w:ascii="宋体" w:hAnsi="宋体" w:cs="宋体"/>
          <w:b/>
          <w:sz w:val="15"/>
          <w:szCs w:val="15"/>
          <w:u w:val="single"/>
        </w:rPr>
        <w:t>杭州市卫生健康委员会</w:t>
      </w:r>
      <w:r>
        <w:rPr>
          <w:rFonts w:hint="eastAsia" w:ascii="宋体" w:hAnsi="宋体" w:cs="宋体"/>
          <w:kern w:val="0"/>
          <w:sz w:val="15"/>
          <w:szCs w:val="15"/>
        </w:rPr>
        <w:t xml:space="preserve">予以我方解除合同，并追加经济损失赔偿； </w:t>
      </w:r>
    </w:p>
    <w:p w14:paraId="14001E94">
      <w:pPr>
        <w:widowControl/>
        <w:numPr>
          <w:ilvl w:val="0"/>
          <w:numId w:val="14"/>
        </w:numPr>
        <w:tabs>
          <w:tab w:val="left" w:pos="851"/>
        </w:tabs>
        <w:ind w:left="0" w:firstLine="300"/>
        <w:jc w:val="left"/>
        <w:rPr>
          <w:rFonts w:ascii="宋体" w:hAnsi="宋体" w:cs="宋体"/>
          <w:kern w:val="0"/>
          <w:sz w:val="15"/>
          <w:szCs w:val="15"/>
        </w:rPr>
      </w:pPr>
      <w:r>
        <w:rPr>
          <w:rFonts w:hint="eastAsia" w:ascii="宋体" w:hAnsi="宋体" w:cs="宋体"/>
          <w:kern w:val="0"/>
          <w:sz w:val="15"/>
          <w:szCs w:val="15"/>
        </w:rPr>
        <w:t>我方如发现有关保密信息被泄露，应及时通知</w:t>
      </w:r>
      <w:r>
        <w:rPr>
          <w:rFonts w:hint="eastAsia" w:ascii="宋体" w:hAnsi="宋体" w:cs="宋体"/>
          <w:b/>
          <w:sz w:val="15"/>
          <w:szCs w:val="15"/>
          <w:u w:val="single"/>
        </w:rPr>
        <w:t>杭州市卫生健康委员会</w:t>
      </w:r>
      <w:r>
        <w:rPr>
          <w:rFonts w:hint="eastAsia" w:ascii="宋体" w:hAnsi="宋体" w:cs="宋体"/>
          <w:kern w:val="0"/>
          <w:sz w:val="15"/>
          <w:szCs w:val="15"/>
        </w:rPr>
        <w:t>，并采取积极的措施避免损失的扩大；</w:t>
      </w:r>
    </w:p>
    <w:p w14:paraId="570D4AD4">
      <w:pPr>
        <w:widowControl/>
        <w:numPr>
          <w:ilvl w:val="0"/>
          <w:numId w:val="14"/>
        </w:numPr>
        <w:tabs>
          <w:tab w:val="left" w:pos="851"/>
        </w:tabs>
        <w:ind w:left="0" w:firstLine="300"/>
        <w:jc w:val="left"/>
        <w:rPr>
          <w:rFonts w:ascii="宋体" w:hAnsi="宋体" w:cs="宋体"/>
          <w:kern w:val="0"/>
          <w:sz w:val="15"/>
          <w:szCs w:val="15"/>
        </w:rPr>
      </w:pPr>
      <w:r>
        <w:rPr>
          <w:rFonts w:hint="eastAsia" w:ascii="宋体" w:hAnsi="宋体" w:cs="宋体"/>
          <w:kern w:val="0"/>
          <w:sz w:val="15"/>
          <w:szCs w:val="15"/>
        </w:rPr>
        <w:t>本承诺书永久有效，我方对在合作过程中获得的</w:t>
      </w:r>
      <w:r>
        <w:rPr>
          <w:rFonts w:hint="eastAsia" w:ascii="宋体" w:hAnsi="宋体" w:cs="宋体"/>
          <w:b/>
          <w:sz w:val="15"/>
          <w:szCs w:val="15"/>
          <w:u w:val="single"/>
        </w:rPr>
        <w:t>杭州市卫生健康委员会</w:t>
      </w:r>
      <w:r>
        <w:rPr>
          <w:rFonts w:hint="eastAsia" w:ascii="宋体" w:hAnsi="宋体" w:cs="宋体"/>
          <w:kern w:val="0"/>
          <w:sz w:val="15"/>
          <w:szCs w:val="15"/>
        </w:rPr>
        <w:t>信息保密，不因项目的变更、解除、终止而消亡，项目及服务终止或完成后及时清除相关数据；</w:t>
      </w:r>
    </w:p>
    <w:p w14:paraId="3939BAEF">
      <w:pPr>
        <w:widowControl/>
        <w:numPr>
          <w:ilvl w:val="0"/>
          <w:numId w:val="14"/>
        </w:numPr>
        <w:tabs>
          <w:tab w:val="left" w:pos="851"/>
        </w:tabs>
        <w:ind w:left="0" w:firstLine="300"/>
        <w:jc w:val="left"/>
        <w:rPr>
          <w:rFonts w:ascii="宋体" w:hAnsi="宋体" w:cs="宋体"/>
          <w:kern w:val="0"/>
          <w:sz w:val="15"/>
          <w:szCs w:val="15"/>
        </w:rPr>
      </w:pPr>
      <w:r>
        <w:rPr>
          <w:rFonts w:hint="eastAsia" w:ascii="宋体" w:hAnsi="宋体" w:cs="宋体"/>
          <w:kern w:val="0"/>
          <w:sz w:val="15"/>
          <w:szCs w:val="15"/>
        </w:rPr>
        <w:t>本承诺书自签订之日起生效；</w:t>
      </w:r>
    </w:p>
    <w:p w14:paraId="1125D3E9">
      <w:pPr>
        <w:widowControl/>
        <w:numPr>
          <w:ilvl w:val="0"/>
          <w:numId w:val="14"/>
        </w:numPr>
        <w:tabs>
          <w:tab w:val="left" w:pos="851"/>
        </w:tabs>
        <w:ind w:left="0" w:firstLine="300"/>
        <w:jc w:val="left"/>
        <w:rPr>
          <w:rFonts w:ascii="宋体" w:hAnsi="宋体" w:cs="宋体"/>
          <w:kern w:val="0"/>
          <w:sz w:val="15"/>
          <w:szCs w:val="15"/>
        </w:rPr>
      </w:pPr>
      <w:r>
        <w:rPr>
          <w:rFonts w:hint="eastAsia" w:ascii="宋体" w:hAnsi="宋体" w:cs="宋体"/>
          <w:kern w:val="0"/>
          <w:sz w:val="15"/>
          <w:szCs w:val="15"/>
        </w:rPr>
        <w:t>本承诺书以信息化建设合同附件形式保存。</w:t>
      </w:r>
    </w:p>
    <w:p w14:paraId="6E2AEFFD">
      <w:pPr>
        <w:ind w:right="368" w:rightChars="175" w:firstLine="300"/>
        <w:jc w:val="right"/>
        <w:rPr>
          <w:rFonts w:ascii="宋体" w:hAnsi="宋体" w:cs="宋体"/>
          <w:sz w:val="15"/>
          <w:szCs w:val="15"/>
        </w:rPr>
      </w:pPr>
      <w:r>
        <w:rPr>
          <w:rFonts w:hint="eastAsia" w:ascii="宋体" w:hAnsi="宋体" w:cs="宋体"/>
          <w:kern w:val="0"/>
          <w:sz w:val="15"/>
          <w:szCs w:val="15"/>
        </w:rPr>
        <w:t>中标人名称</w:t>
      </w:r>
    </w:p>
    <w:p w14:paraId="3E117E4C">
      <w:pPr>
        <w:ind w:right="368" w:rightChars="175" w:firstLine="300"/>
        <w:jc w:val="right"/>
        <w:rPr>
          <w:rFonts w:ascii="宋体" w:hAnsi="宋体" w:cs="宋体"/>
          <w:sz w:val="15"/>
          <w:szCs w:val="15"/>
        </w:rPr>
      </w:pPr>
      <w:r>
        <w:rPr>
          <w:rFonts w:hint="eastAsia" w:ascii="宋体" w:hAnsi="宋体" w:cs="宋体"/>
          <w:sz w:val="15"/>
          <w:szCs w:val="15"/>
        </w:rPr>
        <w:t>日期： 2024年    月  日</w:t>
      </w:r>
    </w:p>
    <w:p w14:paraId="3057F77C">
      <w:pPr>
        <w:ind w:right="368" w:rightChars="175" w:firstLine="300"/>
        <w:rPr>
          <w:rFonts w:ascii="宋体" w:hAnsi="宋体" w:cs="宋体"/>
          <w:sz w:val="15"/>
          <w:szCs w:val="15"/>
        </w:rPr>
      </w:pPr>
    </w:p>
    <w:p w14:paraId="636B8236">
      <w:pPr>
        <w:pStyle w:val="3"/>
        <w:spacing w:before="156" w:after="156"/>
        <w:ind w:firstLine="640"/>
        <w:rPr>
          <w:rFonts w:ascii="宋体" w:hAnsi="宋体" w:eastAsia="宋体" w:cs="宋体"/>
        </w:rPr>
        <w:sectPr>
          <w:pgSz w:w="11906" w:h="16838"/>
          <w:pgMar w:top="1276" w:right="1418" w:bottom="1247" w:left="1418" w:header="851" w:footer="992" w:gutter="0"/>
          <w:cols w:space="425" w:num="1"/>
          <w:docGrid w:type="lines" w:linePitch="312" w:charSpace="0"/>
        </w:sectPr>
      </w:pPr>
    </w:p>
    <w:p w14:paraId="422EE712">
      <w:pPr>
        <w:pStyle w:val="3"/>
        <w:spacing w:before="120" w:after="120"/>
        <w:ind w:firstLine="640"/>
        <w:rPr>
          <w:rFonts w:ascii="宋体" w:hAnsi="宋体" w:eastAsia="宋体" w:cs="宋体"/>
        </w:rPr>
      </w:pPr>
      <w:r>
        <w:rPr>
          <w:rFonts w:hint="eastAsia" w:ascii="宋体" w:hAnsi="宋体" w:eastAsia="宋体" w:cs="宋体"/>
        </w:rPr>
        <w:t>合同附件3、廉政合同</w:t>
      </w:r>
    </w:p>
    <w:p w14:paraId="54CDB794">
      <w:pPr>
        <w:ind w:firstLine="1044"/>
        <w:jc w:val="center"/>
        <w:rPr>
          <w:rFonts w:ascii="宋体" w:hAnsi="宋体" w:cs="宋体"/>
          <w:b/>
          <w:sz w:val="52"/>
          <w:szCs w:val="52"/>
        </w:rPr>
      </w:pPr>
      <w:r>
        <w:rPr>
          <w:rFonts w:hint="eastAsia" w:ascii="宋体" w:hAnsi="宋体" w:cs="宋体"/>
          <w:b/>
          <w:sz w:val="52"/>
          <w:szCs w:val="52"/>
        </w:rPr>
        <w:t>廉政合同</w:t>
      </w:r>
    </w:p>
    <w:p w14:paraId="6C94EF71">
      <w:pPr>
        <w:ind w:firstLine="480"/>
        <w:rPr>
          <w:rFonts w:ascii="宋体" w:hAnsi="宋体" w:cs="宋体"/>
          <w:szCs w:val="21"/>
        </w:rPr>
      </w:pPr>
      <w:r>
        <w:rPr>
          <w:rFonts w:hint="eastAsia" w:ascii="宋体" w:hAnsi="宋体" w:cs="宋体"/>
          <w:szCs w:val="21"/>
        </w:rPr>
        <w:t>甲方：杭州市卫生健康委员会               乙方：</w:t>
      </w:r>
    </w:p>
    <w:p w14:paraId="31FCD166">
      <w:pPr>
        <w:ind w:firstLine="480"/>
        <w:rPr>
          <w:rFonts w:ascii="宋体" w:hAnsi="宋体" w:cs="宋体"/>
          <w:szCs w:val="21"/>
        </w:rPr>
      </w:pPr>
      <w:r>
        <w:rPr>
          <w:rFonts w:hint="eastAsia" w:ascii="宋体" w:hAnsi="宋体" w:cs="宋体"/>
          <w:szCs w:val="21"/>
        </w:rPr>
        <w:t>鉴于：</w:t>
      </w:r>
    </w:p>
    <w:p w14:paraId="4096B8D3">
      <w:pPr>
        <w:ind w:firstLine="480"/>
        <w:rPr>
          <w:rFonts w:ascii="宋体" w:hAnsi="宋体" w:cs="宋体"/>
          <w:szCs w:val="21"/>
        </w:rPr>
      </w:pPr>
      <w:r>
        <w:rPr>
          <w:rFonts w:hint="eastAsia" w:ascii="宋体" w:hAnsi="宋体" w:cs="宋体"/>
          <w:szCs w:val="21"/>
        </w:rPr>
        <w:t>1、甲、乙双方订立《合同》，双方系业务合作伙伴关系。</w:t>
      </w:r>
    </w:p>
    <w:p w14:paraId="36256703">
      <w:pPr>
        <w:ind w:firstLine="480"/>
        <w:rPr>
          <w:rFonts w:ascii="宋体" w:hAnsi="宋体" w:cs="宋体"/>
          <w:szCs w:val="21"/>
        </w:rPr>
      </w:pPr>
      <w:r>
        <w:rPr>
          <w:rFonts w:hint="eastAsia" w:ascii="宋体" w:hAnsi="宋体" w:cs="宋体"/>
          <w:szCs w:val="21"/>
        </w:rPr>
        <w:t>2、本合同所称业务人员是指合同签约代表、合同经办人或者与履行合同有关的其他人员。</w:t>
      </w:r>
    </w:p>
    <w:p w14:paraId="2C823B08">
      <w:pPr>
        <w:ind w:firstLine="480"/>
        <w:rPr>
          <w:rFonts w:ascii="宋体" w:hAnsi="宋体" w:cs="宋体"/>
          <w:szCs w:val="21"/>
        </w:rPr>
      </w:pPr>
      <w:r>
        <w:rPr>
          <w:rFonts w:hint="eastAsia" w:ascii="宋体" w:hAnsi="宋体" w:cs="宋体"/>
          <w:szCs w:val="21"/>
        </w:rPr>
        <w:t>为了更好地根据诚实信用原则履行双方订立的合同，维护各自单位内部正常的管理秩序，防止滋生各种腐败行为，经双方协商达成如下协议,以资共同遵守：</w:t>
      </w:r>
    </w:p>
    <w:p w14:paraId="689B7D8D">
      <w:pPr>
        <w:ind w:firstLine="480"/>
        <w:rPr>
          <w:rFonts w:ascii="宋体" w:hAnsi="宋体" w:cs="宋体"/>
          <w:szCs w:val="21"/>
        </w:rPr>
      </w:pPr>
      <w:r>
        <w:rPr>
          <w:rFonts w:hint="eastAsia" w:ascii="宋体" w:hAnsi="宋体" w:cs="宋体"/>
          <w:szCs w:val="21"/>
        </w:rPr>
        <w:t>一、在双方业务关系存续期间以及终止业务关系后二年内，任何一方不得有以下行为：</w:t>
      </w:r>
    </w:p>
    <w:p w14:paraId="558B3099">
      <w:pPr>
        <w:ind w:firstLine="480"/>
        <w:rPr>
          <w:rFonts w:ascii="宋体" w:hAnsi="宋体" w:cs="宋体"/>
          <w:szCs w:val="21"/>
        </w:rPr>
      </w:pPr>
      <w:r>
        <w:rPr>
          <w:rFonts w:hint="eastAsia" w:ascii="宋体" w:hAnsi="宋体" w:cs="宋体"/>
          <w:szCs w:val="21"/>
        </w:rPr>
        <w:t>（一）向对方的业务人员（包括亲属）赠送现金、购物卡、礼品、实物；</w:t>
      </w:r>
    </w:p>
    <w:p w14:paraId="658F6CB2">
      <w:pPr>
        <w:ind w:firstLine="480"/>
        <w:rPr>
          <w:rFonts w:ascii="宋体" w:hAnsi="宋体" w:cs="宋体"/>
          <w:szCs w:val="21"/>
        </w:rPr>
      </w:pPr>
      <w:r>
        <w:rPr>
          <w:rFonts w:hint="eastAsia" w:ascii="宋体" w:hAnsi="宋体" w:cs="宋体"/>
          <w:szCs w:val="21"/>
        </w:rPr>
        <w:t>（二）借对方业务人员（包括亲属）的婚姻、生日、升迁、乔迁等事宜，向业务人员赠送现金、购物卡、礼品、实物等；</w:t>
      </w:r>
    </w:p>
    <w:p w14:paraId="77666E63">
      <w:pPr>
        <w:ind w:firstLine="480"/>
        <w:rPr>
          <w:rFonts w:ascii="宋体" w:hAnsi="宋体" w:cs="宋体"/>
          <w:szCs w:val="21"/>
        </w:rPr>
      </w:pPr>
      <w:r>
        <w:rPr>
          <w:rFonts w:hint="eastAsia" w:ascii="宋体" w:hAnsi="宋体" w:cs="宋体"/>
          <w:szCs w:val="21"/>
        </w:rPr>
        <w:t>（三）安排对方业务人员进行违法的娱乐性消费。</w:t>
      </w:r>
    </w:p>
    <w:p w14:paraId="7C30FDA5">
      <w:pPr>
        <w:ind w:firstLine="480"/>
        <w:rPr>
          <w:rFonts w:ascii="宋体" w:hAnsi="宋体" w:cs="宋体"/>
          <w:szCs w:val="21"/>
        </w:rPr>
      </w:pPr>
      <w:r>
        <w:rPr>
          <w:rFonts w:hint="eastAsia" w:ascii="宋体" w:hAnsi="宋体" w:cs="宋体"/>
          <w:szCs w:val="21"/>
        </w:rPr>
        <w:t>二、任何一方发现对方业务人员索取现金、购物卡、礼品、实物等好处，或者要求提供违法的娱乐性消费的，不得满足其要求，并应当及时通知对方。</w:t>
      </w:r>
    </w:p>
    <w:p w14:paraId="7EB0AADE">
      <w:pPr>
        <w:ind w:firstLine="480"/>
        <w:rPr>
          <w:rFonts w:ascii="宋体" w:hAnsi="宋体" w:cs="宋体"/>
          <w:szCs w:val="21"/>
        </w:rPr>
      </w:pPr>
      <w:r>
        <w:rPr>
          <w:rFonts w:hint="eastAsia" w:ascii="宋体" w:hAnsi="宋体" w:cs="宋体"/>
          <w:szCs w:val="21"/>
        </w:rPr>
        <w:t>三、任何一方违反本合同第一条，应当向对方支付所赠送现金、购物卡、礼品、实物价值10倍的违约金；一年内发生二次的，对方有权单方面解除双方之间订立的合同，并不承担任何违约责任。</w:t>
      </w:r>
    </w:p>
    <w:p w14:paraId="077D41AE">
      <w:pPr>
        <w:ind w:firstLine="480"/>
        <w:rPr>
          <w:rFonts w:ascii="宋体" w:hAnsi="宋体" w:cs="宋体"/>
          <w:szCs w:val="21"/>
        </w:rPr>
      </w:pPr>
      <w:r>
        <w:rPr>
          <w:rFonts w:hint="eastAsia" w:ascii="宋体" w:hAnsi="宋体" w:cs="宋体"/>
          <w:szCs w:val="21"/>
        </w:rPr>
        <w:t>四、任何一方在对方业务人员索取现金、购物卡、礼品、实物等好处时，给予馈赠的，视为有本合同第一条规定的行为；如没有馈赠，但没有通知对方，一年内发生二次的，对方有权单方面解除双方之间订立的合同，并不承担任何违约责任。</w:t>
      </w:r>
    </w:p>
    <w:p w14:paraId="3EBAC689">
      <w:pPr>
        <w:ind w:firstLine="480"/>
        <w:rPr>
          <w:rFonts w:ascii="宋体" w:hAnsi="宋体" w:cs="宋体"/>
          <w:szCs w:val="21"/>
        </w:rPr>
      </w:pPr>
      <w:r>
        <w:rPr>
          <w:rFonts w:hint="eastAsia" w:ascii="宋体" w:hAnsi="宋体" w:cs="宋体"/>
          <w:szCs w:val="21"/>
        </w:rPr>
        <w:t>五、双方高层管理人员公开的礼节性馈赠小礼品不适用本合同。</w:t>
      </w:r>
    </w:p>
    <w:p w14:paraId="6DF5829B">
      <w:pPr>
        <w:ind w:firstLine="480"/>
        <w:rPr>
          <w:rFonts w:ascii="宋体" w:hAnsi="宋体" w:cs="宋体"/>
          <w:szCs w:val="21"/>
        </w:rPr>
      </w:pPr>
      <w:r>
        <w:rPr>
          <w:rFonts w:hint="eastAsia" w:ascii="宋体" w:hAnsi="宋体" w:cs="宋体"/>
          <w:szCs w:val="21"/>
        </w:rPr>
        <w:t>六、本合同以信息化建设合同附件形式保存；本合同经双方代表签字、盖章后生效。</w:t>
      </w:r>
    </w:p>
    <w:p w14:paraId="3FEBE516">
      <w:pPr>
        <w:ind w:firstLine="480"/>
        <w:rPr>
          <w:rFonts w:ascii="宋体" w:hAnsi="宋体" w:cs="宋体"/>
          <w:szCs w:val="21"/>
        </w:rPr>
      </w:pPr>
      <w:r>
        <w:rPr>
          <w:rFonts w:hint="eastAsia" w:ascii="宋体" w:hAnsi="宋体" w:cs="宋体"/>
          <w:szCs w:val="21"/>
        </w:rPr>
        <w:t>七、本合同作为双方之间任何合同的附件，本合同的有效期为双方最后一份合同有效期之后再延长二年。</w:t>
      </w:r>
    </w:p>
    <w:p w14:paraId="3A2FF842">
      <w:pPr>
        <w:ind w:firstLine="480"/>
        <w:rPr>
          <w:rFonts w:ascii="宋体" w:hAnsi="宋体" w:cs="宋体"/>
          <w:szCs w:val="21"/>
        </w:rPr>
      </w:pPr>
      <w:r>
        <w:rPr>
          <w:rFonts w:hint="eastAsia" w:ascii="宋体" w:hAnsi="宋体" w:cs="宋体"/>
          <w:szCs w:val="21"/>
        </w:rPr>
        <w:t>甲方：杭州市卫生健康委员会                    乙方：</w:t>
      </w:r>
    </w:p>
    <w:p w14:paraId="4FD89158">
      <w:pPr>
        <w:ind w:firstLine="480"/>
        <w:rPr>
          <w:rFonts w:ascii="宋体" w:hAnsi="宋体" w:cs="宋体"/>
          <w:szCs w:val="21"/>
        </w:rPr>
      </w:pPr>
    </w:p>
    <w:p w14:paraId="4298B453">
      <w:pPr>
        <w:ind w:left="-420" w:leftChars="-200" w:right="-420" w:rightChars="-200" w:firstLine="480"/>
        <w:rPr>
          <w:rFonts w:ascii="宋体" w:hAnsi="宋体" w:cs="宋体"/>
        </w:rPr>
      </w:pPr>
      <w:r>
        <w:rPr>
          <w:rFonts w:hint="eastAsia" w:ascii="宋体" w:hAnsi="宋体" w:cs="宋体"/>
          <w:szCs w:val="21"/>
        </w:rPr>
        <w:t>日期：                                        日期：2024年    月   日</w:t>
      </w:r>
    </w:p>
    <w:p w14:paraId="164E98B9">
      <w:pPr>
        <w:ind w:firstLine="480"/>
        <w:rPr>
          <w:rFonts w:ascii="宋体" w:hAnsi="宋体" w:cs="宋体"/>
        </w:rPr>
      </w:pPr>
      <w:r>
        <w:rPr>
          <w:rFonts w:hint="eastAsia" w:ascii="宋体" w:hAnsi="宋体" w:cs="宋体"/>
        </w:rPr>
        <w:br w:type="page"/>
      </w:r>
    </w:p>
    <w:p w14:paraId="2E98757E">
      <w:pPr>
        <w:pStyle w:val="3"/>
        <w:spacing w:before="120" w:after="120"/>
        <w:ind w:firstLine="640"/>
        <w:rPr>
          <w:rFonts w:ascii="宋体" w:hAnsi="宋体" w:eastAsia="宋体" w:cs="宋体"/>
        </w:rPr>
      </w:pPr>
      <w:r>
        <w:rPr>
          <w:rFonts w:hint="eastAsia" w:ascii="宋体" w:hAnsi="宋体" w:eastAsia="宋体" w:cs="宋体"/>
        </w:rPr>
        <w:t>合同附件4、信息技术服务外包单位网络安全承诺书</w:t>
      </w:r>
    </w:p>
    <w:p w14:paraId="4A46523B">
      <w:pPr>
        <w:overflowPunct w:val="0"/>
        <w:spacing w:afterLines="100"/>
        <w:ind w:firstLine="880"/>
        <w:jc w:val="center"/>
        <w:rPr>
          <w:rFonts w:ascii="宋体" w:hAnsi="宋体" w:cs="宋体"/>
          <w:kern w:val="0"/>
          <w:sz w:val="44"/>
          <w:szCs w:val="44"/>
        </w:rPr>
      </w:pPr>
      <w:r>
        <w:rPr>
          <w:rFonts w:hint="eastAsia" w:ascii="宋体" w:hAnsi="宋体" w:cs="宋体"/>
          <w:sz w:val="44"/>
          <w:szCs w:val="44"/>
        </w:rPr>
        <w:t>信息技术服务外包单位网络安全承诺书</w:t>
      </w:r>
    </w:p>
    <w:p w14:paraId="3444C40A">
      <w:pPr>
        <w:overflowPunct w:val="0"/>
        <w:ind w:firstLine="480"/>
        <w:rPr>
          <w:rFonts w:ascii="宋体" w:hAnsi="宋体" w:cs="宋体"/>
          <w:b/>
          <w:szCs w:val="21"/>
        </w:rPr>
      </w:pPr>
      <w:r>
        <w:rPr>
          <w:rFonts w:hint="eastAsia" w:ascii="宋体" w:hAnsi="宋体" w:cs="宋体"/>
          <w:szCs w:val="21"/>
        </w:rPr>
        <w:t>杭州市卫生健康委员会</w:t>
      </w:r>
      <w:r>
        <w:rPr>
          <w:rFonts w:hint="eastAsia" w:ascii="宋体" w:hAnsi="宋体" w:cs="宋体"/>
          <w:b/>
          <w:szCs w:val="21"/>
        </w:rPr>
        <w:t>：</w:t>
      </w:r>
    </w:p>
    <w:p w14:paraId="58444664">
      <w:pPr>
        <w:overflowPunct w:val="0"/>
        <w:snapToGrid w:val="0"/>
        <w:ind w:firstLine="480"/>
        <w:rPr>
          <w:rFonts w:ascii="宋体" w:hAnsi="宋体" w:cs="宋体"/>
          <w:szCs w:val="21"/>
        </w:rPr>
      </w:pPr>
      <w:r>
        <w:rPr>
          <w:rFonts w:hint="eastAsia" w:ascii="宋体" w:hAnsi="宋体" w:cs="宋体"/>
          <w:szCs w:val="21"/>
        </w:rPr>
        <w:t>为确保我单位建设（运维）的</w:t>
      </w:r>
      <w:r>
        <w:rPr>
          <w:rFonts w:hint="eastAsia" w:ascii="宋体" w:hAnsi="宋体" w:cs="宋体"/>
          <w:szCs w:val="21"/>
          <w:u w:val="single"/>
          <w:shd w:val="clear" w:color="auto" w:fill="FFFFFF"/>
        </w:rPr>
        <w:t>杭州市“善育在杭2.0”项目</w:t>
      </w:r>
      <w:r>
        <w:rPr>
          <w:rFonts w:hint="eastAsia" w:ascii="宋体" w:hAnsi="宋体" w:cs="宋体"/>
          <w:szCs w:val="21"/>
          <w:u w:val="single"/>
        </w:rPr>
        <w:t>（</w:t>
      </w:r>
      <w:r>
        <w:fldChar w:fldCharType="begin"/>
      </w:r>
      <w:r>
        <w:instrText xml:space="preserve"> DOCVARIABLE  XMBH  \* MERGEFORMAT </w:instrText>
      </w:r>
      <w:r>
        <w:fldChar w:fldCharType="separate"/>
      </w:r>
      <w:r>
        <w:rPr>
          <w:rFonts w:hint="eastAsia" w:ascii="宋体" w:hAnsi="宋体" w:cs="宋体"/>
          <w:bCs/>
          <w:szCs w:val="21"/>
          <w:u w:val="single"/>
        </w:rPr>
        <w:t xml:space="preserve">项目编号：  </w:t>
      </w:r>
      <w:r>
        <w:rPr>
          <w:rFonts w:hint="eastAsia" w:ascii="宋体" w:hAnsi="宋体" w:cs="宋体"/>
          <w:bCs/>
          <w:szCs w:val="21"/>
          <w:u w:val="single"/>
        </w:rPr>
        <w:fldChar w:fldCharType="end"/>
      </w:r>
      <w:r>
        <w:rPr>
          <w:rFonts w:hint="eastAsia" w:ascii="宋体" w:hAnsi="宋体" w:cs="宋体"/>
          <w:szCs w:val="21"/>
          <w:u w:val="single"/>
        </w:rPr>
        <w:t xml:space="preserve">    ）  </w:t>
      </w:r>
      <w:r>
        <w:rPr>
          <w:rFonts w:hint="eastAsia" w:ascii="宋体" w:hAnsi="宋体" w:cs="宋体"/>
          <w:szCs w:val="21"/>
        </w:rPr>
        <w:t>系统安全稳定运行，我单位郑重承诺认真落实</w:t>
      </w:r>
      <w:r>
        <w:rPr>
          <w:rFonts w:hint="eastAsia" w:ascii="宋体" w:hAnsi="宋体" w:cs="宋体"/>
          <w:spacing w:val="7"/>
          <w:szCs w:val="21"/>
          <w:u w:val="single" w:color="231F20"/>
        </w:rPr>
        <w:t xml:space="preserve">  杭州市卫生健康委员会  </w:t>
      </w:r>
      <w:r>
        <w:rPr>
          <w:rFonts w:hint="eastAsia" w:ascii="宋体" w:hAnsi="宋体" w:cs="宋体"/>
          <w:szCs w:val="21"/>
        </w:rPr>
        <w:t>部署的各项网络安全工作任务，采取包括增加人员和经费投入在内的一切必要手段，确保系统安全运行，确保不发生网络安全事件。</w:t>
      </w:r>
    </w:p>
    <w:p w14:paraId="5C75AA38">
      <w:pPr>
        <w:overflowPunct w:val="0"/>
        <w:snapToGrid w:val="0"/>
        <w:ind w:firstLine="480"/>
        <w:rPr>
          <w:rFonts w:ascii="宋体" w:hAnsi="宋体" w:cs="宋体"/>
          <w:szCs w:val="21"/>
        </w:rPr>
      </w:pPr>
      <w:r>
        <w:rPr>
          <w:rFonts w:hint="eastAsia" w:ascii="宋体" w:hAnsi="宋体" w:cs="宋体"/>
          <w:szCs w:val="21"/>
        </w:rPr>
        <w:t>我单位明确：</w:t>
      </w:r>
      <w:r>
        <w:rPr>
          <w:rFonts w:hint="eastAsia" w:ascii="宋体" w:hAnsi="宋体" w:cs="宋体"/>
          <w:spacing w:val="7"/>
          <w:szCs w:val="21"/>
          <w:u w:val="single" w:color="231F20"/>
        </w:rPr>
        <w:t xml:space="preserve">  ×××  </w:t>
      </w:r>
      <w:r>
        <w:rPr>
          <w:rFonts w:hint="eastAsia" w:ascii="宋体" w:hAnsi="宋体" w:cs="宋体"/>
          <w:szCs w:val="21"/>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68A587E9">
      <w:pPr>
        <w:overflowPunct w:val="0"/>
        <w:snapToGrid w:val="0"/>
        <w:ind w:firstLine="480"/>
        <w:rPr>
          <w:rFonts w:ascii="宋体" w:hAnsi="宋体" w:cs="宋体"/>
          <w:szCs w:val="21"/>
        </w:rPr>
      </w:pPr>
      <w:r>
        <w:rPr>
          <w:rFonts w:hint="eastAsia" w:ascii="宋体" w:hAnsi="宋体" w:cs="宋体"/>
          <w:szCs w:val="21"/>
        </w:rPr>
        <w:t>我单位承诺：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0C607359">
      <w:pPr>
        <w:overflowPunct w:val="0"/>
        <w:snapToGrid w:val="0"/>
        <w:ind w:firstLine="480"/>
        <w:rPr>
          <w:rFonts w:ascii="宋体" w:hAnsi="宋体" w:cs="宋体"/>
          <w:szCs w:val="21"/>
        </w:rPr>
      </w:pPr>
      <w:r>
        <w:rPr>
          <w:rFonts w:hint="eastAsia" w:ascii="宋体" w:hAnsi="宋体" w:cs="宋体"/>
          <w:szCs w:val="21"/>
        </w:rPr>
        <w:t>我单位确认：已对该项目暴露在互联网上的系统测试账号、配置文件、系统数据、测试环境、试运行环境、密码记录、源代码（包括github、gitlab等）、弱口令、技术方案等与项目安全运行无关的信息进行了清理。后续也将对上述信息进行有效管理。</w:t>
      </w:r>
    </w:p>
    <w:p w14:paraId="27E622D6">
      <w:pPr>
        <w:overflowPunct w:val="0"/>
        <w:snapToGrid w:val="0"/>
        <w:ind w:firstLine="480"/>
        <w:rPr>
          <w:rFonts w:ascii="宋体" w:hAnsi="宋体" w:cs="宋体"/>
          <w:szCs w:val="21"/>
        </w:rPr>
      </w:pPr>
      <w:r>
        <w:rPr>
          <w:rFonts w:hint="eastAsia" w:ascii="宋体" w:hAnsi="宋体" w:cs="宋体"/>
          <w:szCs w:val="21"/>
        </w:rPr>
        <w:t>如我单位承建信息系统发生任何网络安全事件引发任何损失，我单位将采取一切可能的措施配合贵单位积极开展处置，承担相应损失，并追究相关人员责任。</w:t>
      </w:r>
    </w:p>
    <w:p w14:paraId="1D5DDC82">
      <w:pPr>
        <w:overflowPunct w:val="0"/>
        <w:snapToGrid w:val="0"/>
        <w:ind w:firstLine="508"/>
        <w:rPr>
          <w:rFonts w:ascii="宋体" w:hAnsi="宋体" w:cs="宋体"/>
          <w:spacing w:val="7"/>
          <w:szCs w:val="21"/>
        </w:rPr>
      </w:pPr>
    </w:p>
    <w:p w14:paraId="24B3377F">
      <w:pPr>
        <w:overflowPunct w:val="0"/>
        <w:snapToGrid w:val="0"/>
        <w:ind w:right="1350" w:rightChars="643" w:firstLine="480"/>
        <w:jc w:val="right"/>
        <w:rPr>
          <w:rFonts w:ascii="宋体" w:hAnsi="宋体" w:cs="宋体"/>
          <w:szCs w:val="21"/>
        </w:rPr>
      </w:pPr>
      <w:r>
        <w:rPr>
          <w:rFonts w:hint="eastAsia" w:ascii="宋体" w:hAnsi="宋体" w:cs="宋体"/>
          <w:szCs w:val="21"/>
        </w:rPr>
        <w:t xml:space="preserve">单位名称（盖章）    </w:t>
      </w:r>
    </w:p>
    <w:p w14:paraId="5D186A1A">
      <w:pPr>
        <w:overflowPunct w:val="0"/>
        <w:snapToGrid w:val="0"/>
        <w:ind w:right="1350" w:rightChars="643" w:firstLine="480"/>
        <w:jc w:val="right"/>
        <w:rPr>
          <w:rFonts w:ascii="宋体" w:hAnsi="宋体" w:cs="宋体"/>
          <w:szCs w:val="21"/>
        </w:rPr>
      </w:pPr>
      <w:r>
        <w:rPr>
          <w:rFonts w:hint="eastAsia" w:ascii="宋体" w:hAnsi="宋体" w:cs="宋体"/>
          <w:szCs w:val="21"/>
        </w:rPr>
        <w:t>年    月    日</w:t>
      </w:r>
    </w:p>
    <w:p w14:paraId="124AD5C2">
      <w:pPr>
        <w:ind w:firstLine="480"/>
        <w:rPr>
          <w:rFonts w:ascii="宋体" w:hAnsi="宋体" w:cs="宋体"/>
          <w:szCs w:val="21"/>
        </w:rPr>
      </w:pPr>
    </w:p>
    <w:p w14:paraId="63A6B3C1">
      <w:pPr>
        <w:pStyle w:val="3"/>
        <w:spacing w:before="120" w:after="120"/>
        <w:ind w:firstLine="640"/>
        <w:rPr>
          <w:rFonts w:ascii="宋体" w:hAnsi="宋体" w:eastAsia="宋体" w:cs="宋体"/>
        </w:rPr>
      </w:pPr>
      <w:r>
        <w:rPr>
          <w:rFonts w:hint="eastAsia" w:ascii="宋体" w:hAnsi="宋体" w:eastAsia="宋体" w:cs="宋体"/>
        </w:rPr>
        <w:t>合同附件5、信息技术服务人员网络安全承诺书</w:t>
      </w:r>
    </w:p>
    <w:p w14:paraId="12C0629D">
      <w:pPr>
        <w:overflowPunct w:val="0"/>
        <w:spacing w:afterLines="100"/>
        <w:ind w:firstLine="880"/>
        <w:jc w:val="center"/>
        <w:rPr>
          <w:rFonts w:ascii="宋体" w:hAnsi="宋体" w:cs="宋体"/>
          <w:kern w:val="0"/>
          <w:sz w:val="44"/>
          <w:szCs w:val="44"/>
        </w:rPr>
      </w:pPr>
      <w:r>
        <w:rPr>
          <w:rFonts w:hint="eastAsia" w:ascii="宋体" w:hAnsi="宋体" w:cs="宋体"/>
          <w:sz w:val="44"/>
          <w:szCs w:val="44"/>
        </w:rPr>
        <w:t>信息技术服务人员网络安全承诺书</w:t>
      </w:r>
    </w:p>
    <w:p w14:paraId="63029198">
      <w:pPr>
        <w:overflowPunct w:val="0"/>
        <w:autoSpaceDE w:val="0"/>
        <w:autoSpaceDN w:val="0"/>
        <w:snapToGrid w:val="0"/>
        <w:textAlignment w:val="baseline"/>
        <w:rPr>
          <w:rFonts w:ascii="宋体" w:hAnsi="宋体" w:cs="宋体"/>
          <w:spacing w:val="4"/>
          <w:szCs w:val="21"/>
          <w:u w:val="single" w:color="231F20"/>
        </w:rPr>
      </w:pPr>
      <w:r>
        <w:fldChar w:fldCharType="begin"/>
      </w:r>
      <w:r>
        <w:instrText xml:space="preserve"> DOCVARIABLE  JSDW  \* MERGEFORMAT </w:instrText>
      </w:r>
      <w:r>
        <w:fldChar w:fldCharType="separate"/>
      </w:r>
      <w:r>
        <w:rPr>
          <w:rFonts w:hint="eastAsia" w:ascii="宋体" w:hAnsi="宋体" w:cs="宋体"/>
          <w:b/>
          <w:szCs w:val="21"/>
        </w:rPr>
        <w:t>杭州市卫生健康委员会</w:t>
      </w:r>
      <w:r>
        <w:rPr>
          <w:rFonts w:hint="eastAsia" w:ascii="宋体" w:hAnsi="宋体" w:cs="宋体"/>
          <w:b/>
          <w:szCs w:val="21"/>
        </w:rPr>
        <w:fldChar w:fldCharType="end"/>
      </w:r>
      <w:r>
        <w:rPr>
          <w:rFonts w:hint="eastAsia" w:ascii="宋体" w:hAnsi="宋体" w:cs="宋体"/>
          <w:b/>
          <w:szCs w:val="21"/>
        </w:rPr>
        <w:t>、乙方：</w:t>
      </w:r>
    </w:p>
    <w:p w14:paraId="765733C3">
      <w:pPr>
        <w:overflowPunct w:val="0"/>
        <w:autoSpaceDE w:val="0"/>
        <w:autoSpaceDN w:val="0"/>
        <w:snapToGrid w:val="0"/>
        <w:ind w:firstLine="480"/>
        <w:textAlignment w:val="baseline"/>
        <w:rPr>
          <w:rFonts w:ascii="宋体" w:hAnsi="宋体" w:cs="宋体"/>
          <w:szCs w:val="21"/>
        </w:rPr>
      </w:pPr>
      <w:r>
        <w:rPr>
          <w:rFonts w:hint="eastAsia" w:ascii="宋体" w:hAnsi="宋体" w:cs="宋体"/>
          <w:szCs w:val="21"/>
        </w:rPr>
        <w:t>本人已认真阅读并将持续学习《</w:t>
      </w:r>
      <w:r>
        <w:rPr>
          <w:rFonts w:hint="eastAsia" w:ascii="宋体" w:hAnsi="宋体" w:cs="宋体"/>
          <w:spacing w:val="14"/>
          <w:szCs w:val="21"/>
        </w:rPr>
        <w:t>浙江省信息技术服务外包网络安全管理办法</w:t>
      </w:r>
      <w:r>
        <w:rPr>
          <w:rFonts w:hint="eastAsia" w:ascii="宋体" w:hAnsi="宋体" w:cs="宋体"/>
          <w:szCs w:val="21"/>
        </w:rPr>
        <w:t>》等网络安全管理规程和政策流程文件。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707E19B3">
      <w:pPr>
        <w:overflowPunct w:val="0"/>
        <w:autoSpaceDE w:val="0"/>
        <w:autoSpaceDN w:val="0"/>
        <w:snapToGrid w:val="0"/>
        <w:ind w:firstLine="480"/>
        <w:textAlignment w:val="baseline"/>
        <w:rPr>
          <w:rFonts w:ascii="宋体" w:hAnsi="宋体" w:cs="宋体"/>
          <w:spacing w:val="7"/>
          <w:szCs w:val="21"/>
        </w:rPr>
      </w:pPr>
      <w:r>
        <w:rPr>
          <w:rFonts w:hint="eastAsia" w:ascii="宋体" w:hAnsi="宋体" w:cs="宋体"/>
          <w:szCs w:val="21"/>
        </w:rPr>
        <w:t>本人承诺：遵守《网络安全法》《数据安全法》《保密法》等国家法律法规及标准规范，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402925CE">
      <w:pPr>
        <w:overflowPunct w:val="0"/>
        <w:autoSpaceDE w:val="0"/>
        <w:autoSpaceDN w:val="0"/>
        <w:snapToGrid w:val="0"/>
        <w:ind w:firstLine="480"/>
        <w:textAlignment w:val="baseline"/>
        <w:rPr>
          <w:rFonts w:ascii="宋体" w:hAnsi="宋体" w:cs="宋体"/>
          <w:szCs w:val="21"/>
        </w:rPr>
      </w:pPr>
      <w:r>
        <w:rPr>
          <w:rFonts w:hint="eastAsia" w:ascii="宋体" w:hAnsi="宋体" w:cs="宋体"/>
          <w:szCs w:val="21"/>
        </w:rPr>
        <w:t>本人同意：把</w:t>
      </w:r>
      <w:r>
        <w:rPr>
          <w:rFonts w:hint="eastAsia" w:ascii="宋体" w:hAnsi="宋体" w:cs="宋体"/>
          <w:szCs w:val="21"/>
          <w:u w:val="single"/>
          <w:shd w:val="clear" w:color="auto" w:fill="FFFFFF"/>
        </w:rPr>
        <w:t>杭州市“善育在杭2.0”项目</w:t>
      </w:r>
      <w:r>
        <w:rPr>
          <w:rFonts w:hint="eastAsia" w:ascii="宋体" w:hAnsi="宋体" w:cs="宋体"/>
          <w:szCs w:val="21"/>
          <w:u w:val="single"/>
        </w:rPr>
        <w:t>（</w:t>
      </w:r>
      <w:r>
        <w:fldChar w:fldCharType="begin"/>
      </w:r>
      <w:r>
        <w:instrText xml:space="preserve"> DOCVARIABLE  XMBH  \* MERGEFORMAT </w:instrText>
      </w:r>
      <w:r>
        <w:fldChar w:fldCharType="separate"/>
      </w:r>
      <w:r>
        <w:rPr>
          <w:rFonts w:hint="eastAsia" w:ascii="宋体" w:hAnsi="宋体" w:cs="宋体"/>
          <w:bCs/>
          <w:szCs w:val="21"/>
          <w:u w:val="single"/>
        </w:rPr>
        <w:t>项目编号</w:t>
      </w:r>
      <w:r>
        <w:rPr>
          <w:rFonts w:hint="eastAsia" w:ascii="宋体" w:hAnsi="宋体" w:cs="宋体"/>
          <w:szCs w:val="21"/>
          <w:u w:val="single"/>
        </w:rPr>
        <w:t xml:space="preserve">：    </w:t>
      </w:r>
      <w:r>
        <w:rPr>
          <w:rFonts w:hint="eastAsia" w:ascii="宋体" w:hAnsi="宋体" w:cs="宋体"/>
          <w:szCs w:val="21"/>
          <w:u w:val="single"/>
        </w:rPr>
        <w:fldChar w:fldCharType="end"/>
      </w:r>
      <w:r>
        <w:rPr>
          <w:rFonts w:hint="eastAsia" w:ascii="宋体" w:hAnsi="宋体" w:cs="宋体"/>
          <w:szCs w:val="21"/>
          <w:u w:val="single"/>
        </w:rPr>
        <w:t xml:space="preserve">）  </w:t>
      </w:r>
      <w:r>
        <w:rPr>
          <w:rFonts w:hint="eastAsia" w:ascii="宋体" w:hAnsi="宋体" w:cs="宋体"/>
          <w:spacing w:val="7"/>
          <w:szCs w:val="21"/>
        </w:rPr>
        <w:t>应</w:t>
      </w:r>
      <w:r>
        <w:rPr>
          <w:rFonts w:hint="eastAsia" w:ascii="宋体" w:hAnsi="宋体" w:cs="宋体"/>
          <w:szCs w:val="21"/>
        </w:rPr>
        <w:t>用安全运行情况纳入本单位对本人的奖惩考核范围。如我单位承建信息系统发生任何网络安全事件引发任何损失，本人将采取一切可能的措施积极开展处置。</w:t>
      </w:r>
    </w:p>
    <w:p w14:paraId="3F02862F">
      <w:pPr>
        <w:overflowPunct w:val="0"/>
        <w:autoSpaceDE w:val="0"/>
        <w:autoSpaceDN w:val="0"/>
        <w:snapToGrid w:val="0"/>
        <w:ind w:firstLine="508"/>
        <w:textAlignment w:val="baseline"/>
        <w:rPr>
          <w:rFonts w:ascii="宋体" w:hAnsi="宋体" w:cs="宋体"/>
          <w:spacing w:val="7"/>
          <w:szCs w:val="21"/>
        </w:rPr>
      </w:pPr>
      <w:r>
        <w:rPr>
          <w:rFonts w:hint="eastAsia" w:ascii="宋体" w:hAnsi="宋体" w:cs="宋体"/>
          <w:spacing w:val="7"/>
          <w:szCs w:val="21"/>
        </w:rPr>
        <w:t>（主要承诺人员名单附后）</w:t>
      </w:r>
    </w:p>
    <w:p w14:paraId="5736D1EC">
      <w:pPr>
        <w:overflowPunct w:val="0"/>
        <w:snapToGrid w:val="0"/>
        <w:ind w:right="1350" w:rightChars="643" w:firstLine="480"/>
        <w:jc w:val="right"/>
        <w:rPr>
          <w:rFonts w:ascii="宋体" w:hAnsi="宋体" w:cs="宋体"/>
          <w:szCs w:val="21"/>
        </w:rPr>
      </w:pPr>
      <w:r>
        <w:rPr>
          <w:rFonts w:hint="eastAsia" w:ascii="宋体" w:hAnsi="宋体" w:cs="宋体"/>
          <w:szCs w:val="21"/>
        </w:rPr>
        <w:t xml:space="preserve">单位名称（盖章）    </w:t>
      </w:r>
    </w:p>
    <w:p w14:paraId="788CA21E">
      <w:pPr>
        <w:overflowPunct w:val="0"/>
        <w:snapToGrid w:val="0"/>
        <w:ind w:right="1350" w:rightChars="643" w:firstLine="480"/>
        <w:jc w:val="right"/>
        <w:rPr>
          <w:rFonts w:ascii="宋体" w:hAnsi="宋体" w:cs="宋体"/>
          <w:szCs w:val="21"/>
        </w:rPr>
      </w:pPr>
      <w:r>
        <w:rPr>
          <w:rFonts w:hint="eastAsia" w:ascii="宋体" w:hAnsi="宋体" w:cs="宋体"/>
          <w:szCs w:val="21"/>
        </w:rPr>
        <w:t>年    月    日</w:t>
      </w:r>
    </w:p>
    <w:p w14:paraId="527ED9D6">
      <w:pPr>
        <w:overflowPunct w:val="0"/>
        <w:snapToGrid w:val="0"/>
        <w:ind w:right="1350" w:rightChars="643" w:firstLine="720"/>
        <w:jc w:val="right"/>
        <w:rPr>
          <w:rFonts w:ascii="宋体" w:hAnsi="宋体" w:cs="宋体"/>
          <w:sz w:val="32"/>
          <w:szCs w:val="32"/>
        </w:rPr>
      </w:pPr>
      <w:r>
        <w:rPr>
          <w:rFonts w:hint="eastAsia" w:ascii="宋体" w:hAnsi="宋体" w:cs="宋体"/>
          <w:sz w:val="36"/>
          <w:szCs w:val="36"/>
        </w:rPr>
        <w:br w:type="page"/>
      </w:r>
    </w:p>
    <w:p w14:paraId="4F26843C">
      <w:pPr>
        <w:overflowPunct w:val="0"/>
        <w:spacing w:afterLines="100"/>
        <w:ind w:firstLine="480"/>
        <w:jc w:val="center"/>
        <w:rPr>
          <w:rFonts w:ascii="宋体" w:hAnsi="宋体" w:cs="宋体"/>
          <w:szCs w:val="21"/>
        </w:rPr>
      </w:pPr>
      <w:r>
        <w:rPr>
          <w:rFonts w:hint="eastAsia" w:ascii="宋体" w:hAnsi="宋体" w:cs="宋体"/>
          <w:szCs w:val="21"/>
        </w:rPr>
        <w:t>主要承诺人员名单</w:t>
      </w:r>
    </w:p>
    <w:tbl>
      <w:tblPr>
        <w:tblStyle w:val="65"/>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631"/>
        <w:gridCol w:w="1632"/>
        <w:gridCol w:w="2125"/>
        <w:gridCol w:w="2402"/>
      </w:tblGrid>
      <w:tr w14:paraId="3D37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704" w:type="dxa"/>
            <w:tcBorders>
              <w:top w:val="single" w:color="auto" w:sz="4" w:space="0"/>
              <w:left w:val="single" w:color="auto" w:sz="4" w:space="0"/>
              <w:bottom w:val="single" w:color="auto" w:sz="4" w:space="0"/>
              <w:right w:val="single" w:color="auto" w:sz="4" w:space="0"/>
            </w:tcBorders>
            <w:vAlign w:val="center"/>
          </w:tcPr>
          <w:p w14:paraId="1ADFE77B">
            <w:pPr>
              <w:overflowPunct w:val="0"/>
              <w:spacing w:beforeLines="50" w:afterLines="50"/>
              <w:jc w:val="center"/>
              <w:rPr>
                <w:rFonts w:ascii="宋体" w:hAnsi="宋体" w:cs="宋体"/>
                <w:szCs w:val="21"/>
                <w:lang w:eastAsia="en-US"/>
              </w:rPr>
            </w:pPr>
            <w:r>
              <w:rPr>
                <w:rFonts w:hint="eastAsia" w:ascii="宋体" w:hAnsi="宋体" w:cs="宋体"/>
                <w:szCs w:val="21"/>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3C580C37">
            <w:pPr>
              <w:overflowPunct w:val="0"/>
              <w:spacing w:beforeLines="50" w:afterLines="50"/>
              <w:jc w:val="center"/>
              <w:rPr>
                <w:rFonts w:ascii="宋体" w:hAnsi="宋体" w:cs="宋体"/>
                <w:szCs w:val="21"/>
              </w:rPr>
            </w:pPr>
            <w:r>
              <w:rPr>
                <w:rFonts w:hint="eastAsia" w:ascii="宋体" w:hAnsi="宋体" w:cs="宋体"/>
                <w:szCs w:val="21"/>
              </w:rPr>
              <w:t>姓名</w:t>
            </w:r>
          </w:p>
        </w:tc>
        <w:tc>
          <w:tcPr>
            <w:tcW w:w="1632" w:type="dxa"/>
            <w:tcBorders>
              <w:top w:val="single" w:color="auto" w:sz="4" w:space="0"/>
              <w:left w:val="single" w:color="auto" w:sz="4" w:space="0"/>
              <w:bottom w:val="single" w:color="auto" w:sz="4" w:space="0"/>
              <w:right w:val="single" w:color="auto" w:sz="4" w:space="0"/>
            </w:tcBorders>
            <w:vAlign w:val="center"/>
          </w:tcPr>
          <w:p w14:paraId="6F54CE66">
            <w:pPr>
              <w:overflowPunct w:val="0"/>
              <w:spacing w:beforeLines="50" w:afterLines="50"/>
              <w:jc w:val="center"/>
              <w:rPr>
                <w:rFonts w:ascii="宋体" w:hAnsi="宋体" w:cs="宋体"/>
                <w:szCs w:val="21"/>
              </w:rPr>
            </w:pPr>
            <w:r>
              <w:rPr>
                <w:rFonts w:hint="eastAsia" w:ascii="宋体" w:hAnsi="宋体" w:cs="宋体"/>
                <w:szCs w:val="21"/>
              </w:rPr>
              <w:t>项目职位</w:t>
            </w:r>
          </w:p>
        </w:tc>
        <w:tc>
          <w:tcPr>
            <w:tcW w:w="2125" w:type="dxa"/>
            <w:tcBorders>
              <w:top w:val="single" w:color="auto" w:sz="4" w:space="0"/>
              <w:left w:val="single" w:color="auto" w:sz="4" w:space="0"/>
              <w:bottom w:val="single" w:color="auto" w:sz="4" w:space="0"/>
              <w:right w:val="single" w:color="auto" w:sz="4" w:space="0"/>
            </w:tcBorders>
            <w:vAlign w:val="center"/>
          </w:tcPr>
          <w:p w14:paraId="7F674704">
            <w:pPr>
              <w:overflowPunct w:val="0"/>
              <w:spacing w:beforeLines="50" w:afterLines="50"/>
              <w:jc w:val="center"/>
              <w:rPr>
                <w:rFonts w:ascii="宋体" w:hAnsi="宋体" w:cs="宋体"/>
                <w:szCs w:val="21"/>
              </w:rPr>
            </w:pPr>
            <w:r>
              <w:rPr>
                <w:rFonts w:hint="eastAsia" w:ascii="宋体" w:hAnsi="宋体" w:cs="宋体"/>
                <w:szCs w:val="21"/>
              </w:rPr>
              <w:t>联系方式</w:t>
            </w:r>
          </w:p>
        </w:tc>
        <w:tc>
          <w:tcPr>
            <w:tcW w:w="2402" w:type="dxa"/>
            <w:tcBorders>
              <w:top w:val="single" w:color="auto" w:sz="4" w:space="0"/>
              <w:left w:val="single" w:color="auto" w:sz="4" w:space="0"/>
              <w:bottom w:val="single" w:color="auto" w:sz="4" w:space="0"/>
              <w:right w:val="single" w:color="auto" w:sz="4" w:space="0"/>
            </w:tcBorders>
            <w:vAlign w:val="center"/>
          </w:tcPr>
          <w:p w14:paraId="597B9FA4">
            <w:pPr>
              <w:overflowPunct w:val="0"/>
              <w:spacing w:beforeLines="50" w:afterLines="50"/>
              <w:jc w:val="center"/>
              <w:rPr>
                <w:rFonts w:ascii="宋体" w:hAnsi="宋体" w:cs="宋体"/>
                <w:szCs w:val="21"/>
              </w:rPr>
            </w:pPr>
            <w:r>
              <w:rPr>
                <w:rFonts w:hint="eastAsia" w:ascii="宋体" w:hAnsi="宋体" w:cs="宋体"/>
                <w:szCs w:val="21"/>
              </w:rPr>
              <w:t>承诺人签名</w:t>
            </w:r>
          </w:p>
        </w:tc>
      </w:tr>
      <w:tr w14:paraId="3078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615B95E8">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2DC67A97">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115C45DE">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3E141BB">
            <w:pPr>
              <w:tabs>
                <w:tab w:val="left" w:pos="0"/>
              </w:tabs>
              <w:overflowPunct w:val="0"/>
              <w:spacing w:beforeLines="50" w:afterLines="50"/>
              <w:jc w:val="center"/>
              <w:rPr>
                <w:rFonts w:ascii="宋体" w:hAnsi="宋体" w:cs="宋体"/>
                <w:szCs w:val="21"/>
              </w:rPr>
            </w:pPr>
          </w:p>
        </w:tc>
        <w:tc>
          <w:tcPr>
            <w:tcW w:w="2402" w:type="dxa"/>
            <w:tcBorders>
              <w:top w:val="single" w:color="auto" w:sz="4" w:space="0"/>
              <w:left w:val="single" w:color="auto" w:sz="4" w:space="0"/>
              <w:bottom w:val="single" w:color="auto" w:sz="4" w:space="0"/>
              <w:right w:val="single" w:color="auto" w:sz="4" w:space="0"/>
            </w:tcBorders>
            <w:vAlign w:val="center"/>
          </w:tcPr>
          <w:p w14:paraId="5DF360B2">
            <w:pPr>
              <w:tabs>
                <w:tab w:val="left" w:pos="0"/>
              </w:tabs>
              <w:overflowPunct w:val="0"/>
              <w:spacing w:beforeLines="50" w:afterLines="50"/>
              <w:jc w:val="center"/>
              <w:rPr>
                <w:rFonts w:ascii="宋体" w:hAnsi="宋体" w:cs="宋体"/>
                <w:szCs w:val="21"/>
                <w:lang w:eastAsia="en-US"/>
              </w:rPr>
            </w:pPr>
          </w:p>
        </w:tc>
      </w:tr>
      <w:tr w14:paraId="184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A004306">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296A09F9">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19DB3BD9">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EBD7B0F">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58DE20E1">
            <w:pPr>
              <w:tabs>
                <w:tab w:val="left" w:pos="0"/>
              </w:tabs>
              <w:overflowPunct w:val="0"/>
              <w:spacing w:beforeLines="50" w:afterLines="50"/>
              <w:jc w:val="center"/>
              <w:rPr>
                <w:rFonts w:ascii="宋体" w:hAnsi="宋体" w:cs="宋体"/>
                <w:szCs w:val="21"/>
              </w:rPr>
            </w:pPr>
          </w:p>
        </w:tc>
      </w:tr>
      <w:tr w14:paraId="6C27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3C9672D4">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35A5F598">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08FFA820">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9030BA7">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1FF37BBE">
            <w:pPr>
              <w:tabs>
                <w:tab w:val="left" w:pos="0"/>
              </w:tabs>
              <w:overflowPunct w:val="0"/>
              <w:spacing w:beforeLines="50" w:afterLines="50"/>
              <w:jc w:val="center"/>
              <w:rPr>
                <w:rFonts w:ascii="宋体" w:hAnsi="宋体" w:cs="宋体"/>
                <w:szCs w:val="21"/>
              </w:rPr>
            </w:pPr>
          </w:p>
        </w:tc>
      </w:tr>
      <w:tr w14:paraId="5B98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F0A7DCD">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01CFD644">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6715AE06">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13638CA1">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3BC96C66">
            <w:pPr>
              <w:tabs>
                <w:tab w:val="left" w:pos="0"/>
              </w:tabs>
              <w:overflowPunct w:val="0"/>
              <w:spacing w:beforeLines="50" w:afterLines="50"/>
              <w:jc w:val="center"/>
              <w:rPr>
                <w:rFonts w:ascii="宋体" w:hAnsi="宋体" w:cs="宋体"/>
                <w:szCs w:val="21"/>
              </w:rPr>
            </w:pPr>
          </w:p>
        </w:tc>
      </w:tr>
      <w:tr w14:paraId="5187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69FC220C">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6CD16BCF">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34A41F30">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79B62D38">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069481C2">
            <w:pPr>
              <w:tabs>
                <w:tab w:val="left" w:pos="0"/>
              </w:tabs>
              <w:overflowPunct w:val="0"/>
              <w:spacing w:beforeLines="50" w:afterLines="50"/>
              <w:jc w:val="center"/>
              <w:rPr>
                <w:rFonts w:ascii="宋体" w:hAnsi="宋体" w:cs="宋体"/>
                <w:szCs w:val="21"/>
              </w:rPr>
            </w:pPr>
          </w:p>
        </w:tc>
      </w:tr>
      <w:tr w14:paraId="3CA7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2B8841D3">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595C5131">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723B9165">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21132D3">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5DDCDD48">
            <w:pPr>
              <w:tabs>
                <w:tab w:val="left" w:pos="0"/>
              </w:tabs>
              <w:overflowPunct w:val="0"/>
              <w:spacing w:beforeLines="50" w:afterLines="50"/>
              <w:jc w:val="center"/>
              <w:rPr>
                <w:rFonts w:ascii="宋体" w:hAnsi="宋体" w:cs="宋体"/>
                <w:szCs w:val="21"/>
              </w:rPr>
            </w:pPr>
          </w:p>
        </w:tc>
      </w:tr>
      <w:tr w14:paraId="7379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5D9D7D77">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11E0A814">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79870C83">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88D6D7D">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2FF5B41F">
            <w:pPr>
              <w:tabs>
                <w:tab w:val="left" w:pos="0"/>
              </w:tabs>
              <w:overflowPunct w:val="0"/>
              <w:spacing w:beforeLines="50" w:afterLines="50"/>
              <w:jc w:val="center"/>
              <w:rPr>
                <w:rFonts w:ascii="宋体" w:hAnsi="宋体" w:cs="宋体"/>
                <w:szCs w:val="21"/>
              </w:rPr>
            </w:pPr>
          </w:p>
        </w:tc>
      </w:tr>
      <w:tr w14:paraId="1D07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0E2B6702">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716EF122">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31CAC991">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64026F4">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20CDB64F">
            <w:pPr>
              <w:tabs>
                <w:tab w:val="left" w:pos="0"/>
              </w:tabs>
              <w:overflowPunct w:val="0"/>
              <w:spacing w:beforeLines="50" w:afterLines="50"/>
              <w:jc w:val="center"/>
              <w:rPr>
                <w:rFonts w:ascii="宋体" w:hAnsi="宋体" w:cs="宋体"/>
                <w:szCs w:val="21"/>
              </w:rPr>
            </w:pPr>
          </w:p>
        </w:tc>
      </w:tr>
      <w:tr w14:paraId="5AC3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74C35602">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767ADECD">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49ADD606">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49F91A77">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6AE7A175">
            <w:pPr>
              <w:tabs>
                <w:tab w:val="left" w:pos="0"/>
              </w:tabs>
              <w:overflowPunct w:val="0"/>
              <w:spacing w:beforeLines="50" w:afterLines="50"/>
              <w:jc w:val="center"/>
              <w:rPr>
                <w:rFonts w:ascii="宋体" w:hAnsi="宋体" w:cs="宋体"/>
                <w:szCs w:val="21"/>
              </w:rPr>
            </w:pPr>
          </w:p>
        </w:tc>
      </w:tr>
      <w:tr w14:paraId="754E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35DC186B">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0B1CB66D">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3524B8BE">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770FBBE4">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713A5A53">
            <w:pPr>
              <w:tabs>
                <w:tab w:val="left" w:pos="0"/>
              </w:tabs>
              <w:overflowPunct w:val="0"/>
              <w:spacing w:beforeLines="50" w:afterLines="50"/>
              <w:jc w:val="center"/>
              <w:rPr>
                <w:rFonts w:ascii="宋体" w:hAnsi="宋体" w:cs="宋体"/>
                <w:szCs w:val="21"/>
              </w:rPr>
            </w:pPr>
          </w:p>
        </w:tc>
      </w:tr>
      <w:tr w14:paraId="5AA7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4766647">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055FDBA1">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3FFCF4FE">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3DB8C49A">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7500BD8E">
            <w:pPr>
              <w:tabs>
                <w:tab w:val="left" w:pos="0"/>
              </w:tabs>
              <w:overflowPunct w:val="0"/>
              <w:spacing w:beforeLines="50" w:afterLines="50"/>
              <w:jc w:val="center"/>
              <w:rPr>
                <w:rFonts w:ascii="宋体" w:hAnsi="宋体" w:cs="宋体"/>
                <w:szCs w:val="21"/>
              </w:rPr>
            </w:pPr>
          </w:p>
        </w:tc>
      </w:tr>
      <w:tr w14:paraId="3CBC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5FED9E75">
            <w:pPr>
              <w:pStyle w:val="258"/>
              <w:numPr>
                <w:ilvl w:val="0"/>
                <w:numId w:val="15"/>
              </w:numPr>
              <w:tabs>
                <w:tab w:val="left" w:pos="0"/>
              </w:tabs>
              <w:overflowPunct w:val="0"/>
              <w:spacing w:beforeLines="50" w:afterLines="50" w:line="240" w:lineRule="auto"/>
              <w:ind w:left="0" w:firstLine="0" w:firstLineChars="0"/>
              <w:jc w:val="center"/>
              <w:rPr>
                <w:rFonts w:ascii="宋体" w:hAnsi="宋体" w:eastAsia="宋体" w:cs="宋体"/>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3D483F86">
            <w:pPr>
              <w:tabs>
                <w:tab w:val="left" w:pos="0"/>
              </w:tabs>
              <w:overflowPunct w:val="0"/>
              <w:spacing w:beforeLines="50" w:afterLines="50"/>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14:paraId="528E9BC6">
            <w:pPr>
              <w:tabs>
                <w:tab w:val="left" w:pos="0"/>
              </w:tabs>
              <w:overflowPunct w:val="0"/>
              <w:spacing w:beforeLines="50" w:afterLines="50"/>
              <w:jc w:val="center"/>
              <w:rPr>
                <w:rFonts w:ascii="宋体" w:hAnsi="宋体" w:cs="宋体"/>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B3CD650">
            <w:pPr>
              <w:tabs>
                <w:tab w:val="left" w:pos="0"/>
              </w:tabs>
              <w:overflowPunct w:val="0"/>
              <w:spacing w:beforeLines="50" w:afterLines="50"/>
              <w:jc w:val="center"/>
              <w:rPr>
                <w:rFonts w:ascii="宋体" w:hAnsi="宋体" w:cs="宋体"/>
                <w:szCs w:val="21"/>
                <w:lang w:eastAsia="en-US"/>
              </w:rPr>
            </w:pPr>
          </w:p>
        </w:tc>
        <w:tc>
          <w:tcPr>
            <w:tcW w:w="2402" w:type="dxa"/>
            <w:tcBorders>
              <w:top w:val="single" w:color="auto" w:sz="4" w:space="0"/>
              <w:left w:val="single" w:color="auto" w:sz="4" w:space="0"/>
              <w:bottom w:val="single" w:color="auto" w:sz="4" w:space="0"/>
              <w:right w:val="single" w:color="auto" w:sz="4" w:space="0"/>
            </w:tcBorders>
            <w:vAlign w:val="center"/>
          </w:tcPr>
          <w:p w14:paraId="4396FF44">
            <w:pPr>
              <w:tabs>
                <w:tab w:val="left" w:pos="0"/>
              </w:tabs>
              <w:overflowPunct w:val="0"/>
              <w:spacing w:beforeLines="50" w:afterLines="50"/>
              <w:jc w:val="center"/>
              <w:rPr>
                <w:rFonts w:ascii="宋体" w:hAnsi="宋体" w:cs="宋体"/>
                <w:szCs w:val="21"/>
              </w:rPr>
            </w:pPr>
          </w:p>
        </w:tc>
      </w:tr>
    </w:tbl>
    <w:p w14:paraId="0FFA9FED">
      <w:pPr>
        <w:overflowPunct w:val="0"/>
        <w:ind w:firstLine="440"/>
        <w:rPr>
          <w:rFonts w:ascii="宋体" w:hAnsi="宋体" w:cs="宋体"/>
          <w:sz w:val="22"/>
          <w:szCs w:val="20"/>
          <w:lang w:eastAsia="en-US"/>
        </w:rPr>
      </w:pPr>
    </w:p>
    <w:p w14:paraId="2F96F366">
      <w:pPr>
        <w:ind w:firstLine="480"/>
        <w:rPr>
          <w:rFonts w:ascii="宋体" w:hAnsi="宋体" w:cs="宋体"/>
        </w:rPr>
      </w:pPr>
    </w:p>
    <w:p w14:paraId="71A1291C">
      <w:pPr>
        <w:ind w:firstLine="480"/>
        <w:rPr>
          <w:rFonts w:ascii="宋体" w:hAnsi="宋体" w:cs="宋体"/>
        </w:rPr>
      </w:pPr>
    </w:p>
    <w:p w14:paraId="5503339A">
      <w:pPr>
        <w:spacing w:line="560" w:lineRule="exact"/>
        <w:ind w:left="-420" w:leftChars="-200" w:right="-420" w:rightChars="-200" w:firstLine="480" w:firstLineChars="200"/>
        <w:rPr>
          <w:rFonts w:ascii="宋体" w:hAnsi="宋体" w:cs="宋体"/>
          <w:sz w:val="24"/>
        </w:rPr>
      </w:pPr>
    </w:p>
    <w:p w14:paraId="472CA60D">
      <w:pPr>
        <w:spacing w:line="560" w:lineRule="exact"/>
        <w:ind w:left="-420" w:leftChars="-200" w:right="-420" w:rightChars="-200" w:firstLine="480" w:firstLineChars="200"/>
        <w:rPr>
          <w:rFonts w:ascii="宋体" w:hAnsi="宋体" w:cs="宋体"/>
          <w:sz w:val="24"/>
        </w:rPr>
      </w:pPr>
    </w:p>
    <w:p w14:paraId="02AF1489">
      <w:pPr>
        <w:spacing w:line="360" w:lineRule="auto"/>
        <w:ind w:left="-420" w:leftChars="-200" w:right="-420" w:rightChars="-200" w:firstLine="480" w:firstLineChars="200"/>
        <w:rPr>
          <w:rFonts w:ascii="宋体" w:hAnsi="宋体" w:cs="宋体"/>
          <w:sz w:val="24"/>
        </w:rPr>
      </w:pPr>
    </w:p>
    <w:p w14:paraId="2A58F1A3">
      <w:pPr>
        <w:spacing w:line="360" w:lineRule="auto"/>
        <w:ind w:left="-420" w:leftChars="-200" w:right="-420" w:rightChars="-200" w:firstLine="480" w:firstLineChars="200"/>
        <w:rPr>
          <w:rFonts w:ascii="宋体" w:hAnsi="宋体" w:cs="宋体"/>
          <w:sz w:val="24"/>
        </w:rPr>
      </w:pPr>
    </w:p>
    <w:p w14:paraId="5B96FB35">
      <w:pPr>
        <w:spacing w:line="360" w:lineRule="auto"/>
        <w:ind w:left="-420" w:leftChars="-200" w:right="-420" w:rightChars="-200"/>
        <w:rPr>
          <w:rFonts w:ascii="宋体" w:hAnsi="宋体" w:cs="宋体"/>
          <w:sz w:val="24"/>
        </w:rPr>
      </w:pPr>
    </w:p>
    <w:p w14:paraId="77A37582">
      <w:pPr>
        <w:spacing w:line="360" w:lineRule="auto"/>
        <w:ind w:left="-420" w:leftChars="-200" w:right="-420" w:rightChars="-200" w:firstLine="480" w:firstLineChars="200"/>
        <w:jc w:val="center"/>
        <w:outlineLvl w:val="0"/>
        <w:rPr>
          <w:rFonts w:ascii="宋体" w:hAnsi="宋体" w:cs="宋体"/>
          <w:sz w:val="24"/>
        </w:rPr>
      </w:pPr>
    </w:p>
    <w:p w14:paraId="68DA236C">
      <w:pPr>
        <w:spacing w:line="360" w:lineRule="auto"/>
        <w:ind w:left="-420" w:leftChars="-200" w:right="-420" w:rightChars="-200" w:firstLine="480" w:firstLineChars="200"/>
        <w:jc w:val="center"/>
        <w:outlineLvl w:val="0"/>
        <w:rPr>
          <w:rFonts w:ascii="宋体" w:hAnsi="宋体" w:cs="宋体"/>
          <w:sz w:val="24"/>
        </w:rPr>
      </w:pPr>
    </w:p>
    <w:p w14:paraId="06ED037B">
      <w:pPr>
        <w:widowControl/>
        <w:adjustRightInd/>
        <w:jc w:val="left"/>
        <w:rPr>
          <w:rFonts w:ascii="宋体" w:hAnsi="宋体" w:cs="宋体"/>
          <w:b/>
          <w:sz w:val="36"/>
          <w:szCs w:val="20"/>
        </w:rPr>
      </w:pPr>
      <w:r>
        <w:rPr>
          <w:rFonts w:ascii="宋体" w:hAnsi="宋体" w:cs="宋体"/>
          <w:b/>
          <w:sz w:val="36"/>
          <w:szCs w:val="20"/>
        </w:rPr>
        <w:br w:type="page"/>
      </w:r>
    </w:p>
    <w:p w14:paraId="62748763">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0"/>
      <w:bookmarkEnd w:id="401"/>
      <w:r>
        <w:rPr>
          <w:rFonts w:hint="eastAsia" w:ascii="宋体" w:hAnsi="宋体" w:cs="宋体"/>
          <w:b/>
          <w:sz w:val="36"/>
          <w:szCs w:val="20"/>
        </w:rPr>
        <w:t>应提交的有关格式范例</w:t>
      </w:r>
    </w:p>
    <w:p w14:paraId="51598667">
      <w:pPr>
        <w:spacing w:line="360" w:lineRule="auto"/>
        <w:jc w:val="center"/>
        <w:outlineLvl w:val="0"/>
        <w:rPr>
          <w:rFonts w:ascii="宋体" w:hAnsi="宋体" w:cs="宋体"/>
          <w:b/>
          <w:kern w:val="0"/>
          <w:sz w:val="36"/>
          <w:szCs w:val="36"/>
        </w:rPr>
      </w:pPr>
    </w:p>
    <w:p w14:paraId="4643A75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7DBF0C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F5C6FFD">
      <w:pPr>
        <w:spacing w:line="360" w:lineRule="auto"/>
        <w:jc w:val="center"/>
        <w:outlineLvl w:val="0"/>
        <w:rPr>
          <w:rFonts w:ascii="宋体" w:hAnsi="宋体" w:cs="宋体"/>
          <w:b/>
          <w:kern w:val="0"/>
          <w:sz w:val="36"/>
          <w:szCs w:val="36"/>
        </w:rPr>
      </w:pPr>
    </w:p>
    <w:p w14:paraId="7DB7D2D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1D2FE5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64B3F5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C2BC3B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34EDC04">
      <w:pPr>
        <w:snapToGrid w:val="0"/>
        <w:spacing w:line="360" w:lineRule="auto"/>
        <w:ind w:firstLine="480" w:firstLineChars="200"/>
        <w:rPr>
          <w:rFonts w:ascii="宋体" w:hAnsi="宋体" w:cs="宋体"/>
          <w:sz w:val="24"/>
        </w:rPr>
      </w:pPr>
    </w:p>
    <w:p w14:paraId="043C3E00">
      <w:pPr>
        <w:spacing w:line="360" w:lineRule="auto"/>
        <w:ind w:firstLine="480" w:firstLineChars="200"/>
        <w:rPr>
          <w:rFonts w:ascii="宋体" w:hAnsi="宋体" w:cs="宋体"/>
          <w:sz w:val="24"/>
        </w:rPr>
      </w:pPr>
    </w:p>
    <w:p w14:paraId="5FCF273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F2E307F">
      <w:pPr>
        <w:snapToGrid w:val="0"/>
        <w:spacing w:line="360" w:lineRule="auto"/>
        <w:rPr>
          <w:rFonts w:ascii="宋体" w:hAnsi="宋体" w:cs="宋体"/>
          <w:sz w:val="24"/>
        </w:rPr>
      </w:pPr>
      <w:r>
        <w:rPr>
          <w:rFonts w:hint="eastAsia" w:ascii="宋体" w:hAnsi="宋体" w:cs="宋体"/>
          <w:sz w:val="24"/>
        </w:rPr>
        <w:t>杭州市卫生健康委员会、杭州市公共资源交易中心：</w:t>
      </w:r>
    </w:p>
    <w:p w14:paraId="5E401770">
      <w:pPr>
        <w:snapToGrid w:val="0"/>
        <w:spacing w:line="360" w:lineRule="auto"/>
        <w:ind w:firstLine="480" w:firstLineChars="200"/>
        <w:rPr>
          <w:rFonts w:ascii="宋体" w:hAnsi="宋体" w:cs="宋体"/>
          <w:sz w:val="24"/>
        </w:rPr>
      </w:pPr>
      <w:r>
        <w:rPr>
          <w:rFonts w:hint="eastAsia" w:ascii="宋体" w:hAnsi="宋体" w:cs="宋体"/>
          <w:sz w:val="24"/>
        </w:rPr>
        <w:t>我方参与杭州市“善育在杭2.0”项目【招标编号：</w:t>
      </w:r>
      <w:r>
        <w:rPr>
          <w:rFonts w:hint="eastAsia" w:ascii="宋体" w:hAnsi="宋体" w:cs="宋体"/>
          <w:sz w:val="24"/>
          <w:lang w:eastAsia="zh-CN"/>
        </w:rPr>
        <w:t>HZZFCG-2024-163</w:t>
      </w:r>
      <w:r>
        <w:rPr>
          <w:rFonts w:hint="eastAsia" w:ascii="宋体" w:hAnsi="宋体" w:cs="宋体"/>
          <w:sz w:val="24"/>
        </w:rPr>
        <w:t>】政府采购活动，郑重承诺：</w:t>
      </w:r>
    </w:p>
    <w:p w14:paraId="56BB5C9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4EDD86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303DCB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8D9C86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020B33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142F12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8F0C31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163B71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8B930E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A9621C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48CFE9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6D158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CB759D6">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5B98F245">
      <w:pPr>
        <w:snapToGrid w:val="0"/>
        <w:spacing w:line="360" w:lineRule="auto"/>
        <w:ind w:right="480" w:firstLine="480" w:firstLineChars="200"/>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AA68934">
      <w:pPr>
        <w:widowControl/>
        <w:adjustRightInd/>
        <w:jc w:val="left"/>
        <w:rPr>
          <w:rFonts w:ascii="宋体" w:hAnsi="宋体" w:cs="宋体"/>
          <w:b/>
          <w:kern w:val="0"/>
          <w:sz w:val="32"/>
          <w:szCs w:val="32"/>
        </w:rPr>
      </w:pPr>
      <w:r>
        <w:rPr>
          <w:rFonts w:ascii="宋体" w:hAnsi="宋体" w:cs="宋体"/>
          <w:b/>
          <w:kern w:val="0"/>
          <w:sz w:val="32"/>
          <w:szCs w:val="32"/>
        </w:rPr>
        <w:br w:type="page"/>
      </w:r>
    </w:p>
    <w:p w14:paraId="7F7057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03F13C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9C4B016">
      <w:pPr>
        <w:snapToGrid w:val="0"/>
        <w:spacing w:line="360" w:lineRule="auto"/>
        <w:ind w:right="480"/>
        <w:jc w:val="center"/>
        <w:rPr>
          <w:rFonts w:ascii="宋体" w:hAnsi="宋体" w:cs="宋体"/>
          <w:b/>
          <w:kern w:val="0"/>
          <w:sz w:val="32"/>
          <w:szCs w:val="32"/>
        </w:rPr>
      </w:pPr>
    </w:p>
    <w:p w14:paraId="3A57E028">
      <w:pPr>
        <w:snapToGrid w:val="0"/>
        <w:spacing w:line="360" w:lineRule="auto"/>
        <w:ind w:right="480"/>
        <w:jc w:val="center"/>
        <w:rPr>
          <w:rFonts w:ascii="宋体" w:hAnsi="宋体" w:cs="宋体"/>
          <w:b/>
          <w:kern w:val="0"/>
          <w:sz w:val="32"/>
          <w:szCs w:val="32"/>
        </w:rPr>
      </w:pPr>
    </w:p>
    <w:p w14:paraId="702AFC4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14:paraId="2F5A607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109737C">
      <w:pPr>
        <w:snapToGrid w:val="0"/>
        <w:spacing w:before="50" w:after="50" w:line="360" w:lineRule="auto"/>
        <w:ind w:firstLine="472" w:firstLineChars="196"/>
        <w:jc w:val="left"/>
        <w:rPr>
          <w:rFonts w:ascii="宋体" w:hAnsi="宋体" w:cs="宋体"/>
          <w:b/>
          <w:sz w:val="24"/>
        </w:rPr>
      </w:pPr>
      <w:r>
        <w:rPr>
          <w:rFonts w:hint="eastAsia" w:ascii="宋体" w:hAnsi="宋体" w:cs="宋体"/>
          <w:b/>
          <w:sz w:val="24"/>
        </w:rPr>
        <w:t>A.专门面向中小企业，服务全部由符合政策要求的中小企业（或小微企业）承接的，提供相应的中小企业声明函（附件</w:t>
      </w:r>
      <w:r>
        <w:rPr>
          <w:rFonts w:ascii="宋体" w:hAnsi="宋体" w:cs="宋体"/>
          <w:b/>
          <w:sz w:val="24"/>
        </w:rPr>
        <w:t>7</w:t>
      </w:r>
      <w:r>
        <w:rPr>
          <w:rFonts w:hint="eastAsia" w:ascii="宋体" w:hAnsi="宋体" w:cs="宋体"/>
          <w:b/>
          <w:sz w:val="24"/>
        </w:rPr>
        <w:t xml:space="preserve">）。 </w:t>
      </w:r>
    </w:p>
    <w:p w14:paraId="541CEB02">
      <w:pPr>
        <w:widowControl/>
        <w:spacing w:line="360" w:lineRule="auto"/>
        <w:ind w:firstLine="480"/>
        <w:jc w:val="left"/>
        <w:rPr>
          <w:rFonts w:ascii="宋体" w:hAnsi="宋体" w:cs="宋体"/>
          <w:sz w:val="24"/>
        </w:rPr>
      </w:pPr>
    </w:p>
    <w:p w14:paraId="4FEF986E">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D827007">
      <w:pPr>
        <w:snapToGrid w:val="0"/>
        <w:spacing w:before="50" w:after="50" w:line="360" w:lineRule="auto"/>
        <w:jc w:val="center"/>
        <w:rPr>
          <w:rFonts w:ascii="宋体" w:hAnsi="宋体" w:cs="宋体"/>
          <w:sz w:val="24"/>
        </w:rPr>
      </w:pPr>
    </w:p>
    <w:p w14:paraId="221BB84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DC204EF">
      <w:pPr>
        <w:widowControl/>
        <w:spacing w:line="360" w:lineRule="auto"/>
        <w:ind w:left="150"/>
        <w:jc w:val="center"/>
        <w:rPr>
          <w:rFonts w:ascii="宋体" w:hAnsi="宋体" w:cs="宋体"/>
          <w:b/>
          <w:kern w:val="0"/>
          <w:sz w:val="32"/>
          <w:szCs w:val="32"/>
        </w:rPr>
      </w:pPr>
    </w:p>
    <w:p w14:paraId="72490E3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14:paraId="282DD268">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C5B49B7">
      <w:pPr>
        <w:rPr>
          <w:rFonts w:ascii="宋体" w:hAnsi="宋体" w:cs="宋体"/>
        </w:rPr>
      </w:pPr>
    </w:p>
    <w:p w14:paraId="42D4C03D">
      <w:pPr>
        <w:snapToGrid w:val="0"/>
        <w:spacing w:line="360" w:lineRule="auto"/>
        <w:ind w:right="480"/>
        <w:jc w:val="center"/>
        <w:rPr>
          <w:rFonts w:ascii="宋体" w:hAnsi="宋体" w:cs="宋体"/>
          <w:b/>
          <w:kern w:val="0"/>
          <w:sz w:val="32"/>
          <w:szCs w:val="32"/>
        </w:rPr>
      </w:pPr>
    </w:p>
    <w:p w14:paraId="4F531244">
      <w:pPr>
        <w:widowControl/>
        <w:adjustRightInd/>
        <w:jc w:val="left"/>
        <w:rPr>
          <w:rFonts w:ascii="宋体" w:hAnsi="宋体" w:cs="宋体"/>
          <w:b/>
          <w:kern w:val="0"/>
          <w:sz w:val="36"/>
          <w:szCs w:val="36"/>
        </w:rPr>
      </w:pPr>
      <w:r>
        <w:rPr>
          <w:rFonts w:ascii="宋体" w:hAnsi="宋体" w:cs="宋体"/>
          <w:b/>
          <w:kern w:val="0"/>
          <w:sz w:val="36"/>
          <w:szCs w:val="36"/>
        </w:rPr>
        <w:br w:type="page"/>
      </w:r>
    </w:p>
    <w:p w14:paraId="6CE4EDE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623545B">
      <w:pPr>
        <w:spacing w:line="360" w:lineRule="auto"/>
        <w:jc w:val="center"/>
        <w:outlineLvl w:val="0"/>
        <w:rPr>
          <w:rFonts w:ascii="宋体" w:hAnsi="宋体" w:cs="宋体"/>
          <w:b/>
          <w:kern w:val="0"/>
          <w:sz w:val="24"/>
        </w:rPr>
      </w:pPr>
    </w:p>
    <w:p w14:paraId="373C4FD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079C0A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CC20DD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FB226DB">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FCF47D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0F63FC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2F58F98">
      <w:pPr>
        <w:snapToGrid w:val="0"/>
        <w:spacing w:line="360" w:lineRule="auto"/>
        <w:jc w:val="center"/>
        <w:rPr>
          <w:rFonts w:ascii="宋体" w:hAnsi="宋体" w:cs="宋体"/>
          <w:b/>
          <w:kern w:val="0"/>
          <w:sz w:val="32"/>
          <w:szCs w:val="32"/>
          <w:lang w:val="zh-CN"/>
        </w:rPr>
      </w:pPr>
    </w:p>
    <w:p w14:paraId="3B4A4ACA">
      <w:pPr>
        <w:snapToGrid w:val="0"/>
        <w:spacing w:line="360" w:lineRule="auto"/>
        <w:jc w:val="center"/>
        <w:rPr>
          <w:rFonts w:ascii="宋体" w:hAnsi="宋体" w:cs="宋体"/>
          <w:b/>
          <w:kern w:val="0"/>
          <w:sz w:val="32"/>
          <w:szCs w:val="32"/>
          <w:lang w:val="zh-CN"/>
        </w:rPr>
      </w:pPr>
    </w:p>
    <w:p w14:paraId="43C2864E">
      <w:pPr>
        <w:snapToGrid w:val="0"/>
        <w:spacing w:line="360" w:lineRule="auto"/>
        <w:jc w:val="center"/>
        <w:rPr>
          <w:rFonts w:ascii="宋体" w:hAnsi="宋体" w:cs="宋体"/>
          <w:b/>
          <w:kern w:val="0"/>
          <w:sz w:val="32"/>
          <w:szCs w:val="32"/>
          <w:lang w:val="zh-CN"/>
        </w:rPr>
      </w:pPr>
    </w:p>
    <w:p w14:paraId="6684F88C">
      <w:pPr>
        <w:snapToGrid w:val="0"/>
        <w:spacing w:line="360" w:lineRule="auto"/>
        <w:jc w:val="center"/>
        <w:rPr>
          <w:rFonts w:ascii="宋体" w:hAnsi="宋体" w:cs="宋体"/>
          <w:b/>
          <w:kern w:val="0"/>
          <w:sz w:val="32"/>
          <w:szCs w:val="32"/>
          <w:lang w:val="zh-CN"/>
        </w:rPr>
      </w:pPr>
    </w:p>
    <w:p w14:paraId="016A4C7C">
      <w:pPr>
        <w:snapToGrid w:val="0"/>
        <w:spacing w:line="360" w:lineRule="auto"/>
        <w:jc w:val="center"/>
        <w:rPr>
          <w:rFonts w:ascii="宋体" w:hAnsi="宋体" w:cs="宋体"/>
          <w:b/>
          <w:kern w:val="0"/>
          <w:sz w:val="32"/>
          <w:szCs w:val="32"/>
          <w:lang w:val="zh-CN"/>
        </w:rPr>
      </w:pPr>
    </w:p>
    <w:p w14:paraId="5446DE77">
      <w:pPr>
        <w:snapToGrid w:val="0"/>
        <w:spacing w:line="360" w:lineRule="auto"/>
        <w:jc w:val="center"/>
        <w:rPr>
          <w:rFonts w:ascii="宋体" w:hAnsi="宋体" w:cs="宋体"/>
          <w:b/>
          <w:kern w:val="0"/>
          <w:sz w:val="32"/>
          <w:szCs w:val="32"/>
          <w:lang w:val="zh-CN"/>
        </w:rPr>
      </w:pPr>
    </w:p>
    <w:p w14:paraId="276F1A04">
      <w:pPr>
        <w:snapToGrid w:val="0"/>
        <w:spacing w:line="360" w:lineRule="auto"/>
        <w:jc w:val="center"/>
        <w:rPr>
          <w:rFonts w:ascii="宋体" w:hAnsi="宋体" w:cs="宋体"/>
          <w:b/>
          <w:kern w:val="0"/>
          <w:sz w:val="32"/>
          <w:szCs w:val="32"/>
          <w:lang w:val="zh-CN"/>
        </w:rPr>
      </w:pPr>
    </w:p>
    <w:p w14:paraId="188AFA3A">
      <w:pPr>
        <w:snapToGrid w:val="0"/>
        <w:spacing w:line="360" w:lineRule="auto"/>
        <w:jc w:val="center"/>
        <w:rPr>
          <w:rFonts w:ascii="宋体" w:hAnsi="宋体" w:cs="宋体"/>
          <w:b/>
          <w:kern w:val="0"/>
          <w:sz w:val="32"/>
          <w:szCs w:val="32"/>
          <w:lang w:val="zh-CN"/>
        </w:rPr>
      </w:pPr>
    </w:p>
    <w:p w14:paraId="48E1656E">
      <w:pPr>
        <w:snapToGrid w:val="0"/>
        <w:spacing w:line="360" w:lineRule="auto"/>
        <w:jc w:val="center"/>
        <w:rPr>
          <w:rFonts w:ascii="宋体" w:hAnsi="宋体" w:cs="宋体"/>
          <w:b/>
          <w:kern w:val="0"/>
          <w:sz w:val="32"/>
          <w:szCs w:val="32"/>
          <w:lang w:val="zh-CN"/>
        </w:rPr>
      </w:pPr>
    </w:p>
    <w:p w14:paraId="1CAB3646">
      <w:pPr>
        <w:snapToGrid w:val="0"/>
        <w:spacing w:line="360" w:lineRule="auto"/>
        <w:jc w:val="center"/>
        <w:rPr>
          <w:rFonts w:ascii="宋体" w:hAnsi="宋体" w:cs="宋体"/>
          <w:b/>
          <w:kern w:val="0"/>
          <w:sz w:val="32"/>
          <w:szCs w:val="32"/>
          <w:lang w:val="zh-CN"/>
        </w:rPr>
      </w:pPr>
    </w:p>
    <w:p w14:paraId="7A155F92">
      <w:pPr>
        <w:snapToGrid w:val="0"/>
        <w:spacing w:line="360" w:lineRule="auto"/>
        <w:jc w:val="center"/>
        <w:rPr>
          <w:rFonts w:ascii="宋体" w:hAnsi="宋体" w:cs="宋体"/>
          <w:b/>
          <w:kern w:val="0"/>
          <w:sz w:val="32"/>
          <w:szCs w:val="32"/>
          <w:lang w:val="zh-CN"/>
        </w:rPr>
      </w:pPr>
    </w:p>
    <w:p w14:paraId="50E26DDF">
      <w:pPr>
        <w:snapToGrid w:val="0"/>
        <w:spacing w:line="360" w:lineRule="auto"/>
        <w:jc w:val="center"/>
        <w:rPr>
          <w:rFonts w:ascii="宋体" w:hAnsi="宋体" w:cs="宋体"/>
          <w:b/>
          <w:kern w:val="0"/>
          <w:sz w:val="32"/>
          <w:szCs w:val="32"/>
          <w:lang w:val="zh-CN"/>
        </w:rPr>
      </w:pPr>
    </w:p>
    <w:p w14:paraId="2F16018E">
      <w:pPr>
        <w:rPr>
          <w:rFonts w:ascii="宋体" w:hAnsi="宋体" w:cs="宋体"/>
          <w:b/>
          <w:kern w:val="0"/>
          <w:sz w:val="32"/>
          <w:szCs w:val="32"/>
          <w:lang w:val="zh-CN"/>
        </w:rPr>
      </w:pPr>
    </w:p>
    <w:p w14:paraId="7338752B">
      <w:pPr>
        <w:widowControl/>
        <w:adjustRightInd/>
        <w:jc w:val="left"/>
        <w:rPr>
          <w:rFonts w:ascii="宋体" w:hAnsi="宋体" w:cs="宋体"/>
          <w:b/>
          <w:kern w:val="0"/>
          <w:sz w:val="32"/>
          <w:szCs w:val="32"/>
        </w:rPr>
      </w:pPr>
      <w:r>
        <w:rPr>
          <w:rFonts w:ascii="宋体" w:hAnsi="宋体" w:cs="宋体"/>
          <w:b/>
          <w:kern w:val="0"/>
          <w:sz w:val="32"/>
          <w:szCs w:val="32"/>
        </w:rPr>
        <w:br w:type="page"/>
      </w:r>
    </w:p>
    <w:p w14:paraId="13B33CB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CA8AD7D">
      <w:pPr>
        <w:snapToGrid w:val="0"/>
        <w:spacing w:line="360" w:lineRule="auto"/>
        <w:rPr>
          <w:rFonts w:ascii="宋体" w:hAnsi="宋体" w:cs="宋体"/>
          <w:sz w:val="24"/>
        </w:rPr>
      </w:pPr>
      <w:r>
        <w:rPr>
          <w:rFonts w:hint="eastAsia" w:ascii="宋体" w:hAnsi="宋体" w:cs="宋体"/>
          <w:sz w:val="24"/>
        </w:rPr>
        <w:t>杭州市卫生健康委员会、杭州市公共资源交易中心：</w:t>
      </w:r>
    </w:p>
    <w:p w14:paraId="72AB0EAA">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我方参加你方组织的杭州市“善育在杭2.0”项目【招标编号：</w:t>
      </w:r>
      <w:r>
        <w:rPr>
          <w:rFonts w:hint="eastAsia" w:ascii="宋体" w:hAnsi="宋体" w:cs="宋体"/>
          <w:sz w:val="24"/>
          <w:lang w:eastAsia="zh-CN"/>
        </w:rPr>
        <w:t>HZZFCG-2024-163</w:t>
      </w:r>
      <w:r>
        <w:rPr>
          <w:rFonts w:hint="eastAsia" w:ascii="宋体" w:hAnsi="宋体" w:cs="宋体"/>
          <w:sz w:val="24"/>
        </w:rPr>
        <w:t>】招标的有关活动，并对此项目进行投标。为此：</w:t>
      </w:r>
    </w:p>
    <w:p w14:paraId="6928CED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1DA0F2B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C53377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CC0869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5B75092">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4" w:name="_Hlk101257010"/>
      <w:r>
        <w:rPr>
          <w:rFonts w:hint="eastAsia" w:ascii="宋体" w:hAnsi="宋体" w:cs="宋体"/>
          <w:sz w:val="24"/>
        </w:rPr>
        <w:t>（如果有)</w:t>
      </w:r>
      <w:bookmarkEnd w:id="414"/>
      <w:r>
        <w:rPr>
          <w:rFonts w:hint="eastAsia" w:ascii="宋体" w:hAnsi="宋体" w:cs="宋体"/>
          <w:snapToGrid w:val="0"/>
          <w:kern w:val="28"/>
          <w:sz w:val="24"/>
          <w:szCs w:val="20"/>
        </w:rPr>
        <w:t>；</w:t>
      </w:r>
    </w:p>
    <w:p w14:paraId="1852FA5B">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EE7BD5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F93DE6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697583E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3D88BF9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BCCE55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41F3DC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6811E8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D6D77A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13B6C5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30B127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84DAD4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84F9EF6">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811E1A3">
      <w:pPr>
        <w:snapToGrid w:val="0"/>
        <w:spacing w:line="360" w:lineRule="auto"/>
        <w:ind w:left="420" w:leftChars="200" w:firstLine="480" w:firstLineChars="200"/>
        <w:rPr>
          <w:rFonts w:ascii="宋体" w:hAnsi="宋体" w:cs="宋体"/>
          <w:sz w:val="24"/>
        </w:rPr>
      </w:pPr>
      <w:r>
        <w:rPr>
          <w:rFonts w:hint="eastAsia" w:ascii="宋体" w:hAnsi="宋体" w:cs="宋体"/>
          <w:sz w:val="24"/>
        </w:rPr>
        <w:t>2.3.2 报价情况说明（如果有）。</w:t>
      </w:r>
    </w:p>
    <w:p w14:paraId="265394D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698701A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16C3F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D4E793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EED15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1D324A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4B53B5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47D27BC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A4A6FA3">
      <w:pPr>
        <w:spacing w:line="360" w:lineRule="auto"/>
        <w:jc w:val="center"/>
        <w:rPr>
          <w:rFonts w:ascii="宋体" w:hAnsi="宋体" w:cs="宋体"/>
          <w:sz w:val="24"/>
        </w:rPr>
      </w:pPr>
      <w:r>
        <w:rPr>
          <w:rFonts w:hint="eastAsia" w:ascii="宋体" w:hAnsi="宋体" w:cs="宋体"/>
          <w:sz w:val="24"/>
        </w:rPr>
        <w:t xml:space="preserve">     日期：  年   月   日</w:t>
      </w:r>
    </w:p>
    <w:p w14:paraId="32817472">
      <w:pPr>
        <w:snapToGrid w:val="0"/>
        <w:spacing w:line="360" w:lineRule="auto"/>
        <w:ind w:left="420" w:leftChars="200" w:firstLine="4200" w:firstLineChars="1750"/>
        <w:rPr>
          <w:rFonts w:ascii="宋体" w:hAnsi="宋体" w:cs="宋体"/>
          <w:kern w:val="0"/>
          <w:sz w:val="24"/>
          <w:u w:val="single"/>
        </w:rPr>
      </w:pPr>
    </w:p>
    <w:p w14:paraId="7225B149">
      <w:pPr>
        <w:spacing w:line="360" w:lineRule="auto"/>
        <w:ind w:right="420"/>
        <w:rPr>
          <w:rFonts w:ascii="宋体" w:hAnsi="宋体" w:cs="宋体"/>
          <w:sz w:val="24"/>
        </w:rPr>
      </w:pPr>
      <w:r>
        <w:rPr>
          <w:rFonts w:hint="eastAsia" w:ascii="宋体" w:hAnsi="宋体" w:cs="宋体"/>
          <w:sz w:val="24"/>
        </w:rPr>
        <w:t>注：按本格式和要求提供。</w:t>
      </w:r>
    </w:p>
    <w:p w14:paraId="7A49B2A8">
      <w:pPr>
        <w:snapToGrid w:val="0"/>
        <w:spacing w:line="360" w:lineRule="auto"/>
        <w:jc w:val="center"/>
        <w:rPr>
          <w:rFonts w:ascii="宋体" w:hAnsi="宋体" w:cs="宋体"/>
          <w:b/>
          <w:kern w:val="0"/>
          <w:sz w:val="32"/>
          <w:szCs w:val="32"/>
        </w:rPr>
      </w:pPr>
    </w:p>
    <w:p w14:paraId="45277B0C">
      <w:pPr>
        <w:snapToGrid w:val="0"/>
        <w:spacing w:line="360" w:lineRule="auto"/>
        <w:rPr>
          <w:rFonts w:ascii="宋体" w:hAnsi="宋体" w:cs="宋体"/>
          <w:sz w:val="24"/>
        </w:rPr>
      </w:pPr>
    </w:p>
    <w:p w14:paraId="4A620FD5">
      <w:pPr>
        <w:jc w:val="center"/>
        <w:rPr>
          <w:rFonts w:ascii="宋体" w:hAnsi="宋体" w:cs="宋体"/>
          <w:b/>
          <w:kern w:val="0"/>
          <w:sz w:val="32"/>
          <w:szCs w:val="32"/>
        </w:rPr>
      </w:pPr>
    </w:p>
    <w:p w14:paraId="1F1B3303">
      <w:pPr>
        <w:jc w:val="center"/>
        <w:rPr>
          <w:rFonts w:ascii="宋体" w:hAnsi="宋体" w:cs="宋体"/>
          <w:b/>
          <w:kern w:val="0"/>
          <w:sz w:val="32"/>
          <w:szCs w:val="32"/>
        </w:rPr>
      </w:pPr>
    </w:p>
    <w:p w14:paraId="163AF69E">
      <w:pPr>
        <w:jc w:val="center"/>
        <w:rPr>
          <w:rFonts w:ascii="宋体" w:hAnsi="宋体" w:cs="宋体"/>
          <w:b/>
          <w:kern w:val="0"/>
          <w:sz w:val="32"/>
          <w:szCs w:val="32"/>
        </w:rPr>
      </w:pPr>
    </w:p>
    <w:p w14:paraId="1FBE98F4">
      <w:pPr>
        <w:jc w:val="center"/>
        <w:rPr>
          <w:rFonts w:ascii="宋体" w:hAnsi="宋体" w:cs="宋体"/>
          <w:b/>
          <w:kern w:val="0"/>
          <w:sz w:val="32"/>
          <w:szCs w:val="32"/>
        </w:rPr>
      </w:pPr>
    </w:p>
    <w:p w14:paraId="33988D69">
      <w:pPr>
        <w:jc w:val="center"/>
        <w:rPr>
          <w:rFonts w:ascii="宋体" w:hAnsi="宋体" w:cs="宋体"/>
          <w:b/>
          <w:kern w:val="0"/>
          <w:sz w:val="32"/>
          <w:szCs w:val="32"/>
        </w:rPr>
      </w:pPr>
    </w:p>
    <w:p w14:paraId="2AFDB6DA">
      <w:pPr>
        <w:jc w:val="center"/>
        <w:rPr>
          <w:rFonts w:ascii="宋体" w:hAnsi="宋体" w:cs="宋体"/>
          <w:b/>
          <w:kern w:val="0"/>
          <w:sz w:val="32"/>
          <w:szCs w:val="32"/>
        </w:rPr>
      </w:pPr>
    </w:p>
    <w:p w14:paraId="0488EC3B">
      <w:pPr>
        <w:jc w:val="center"/>
        <w:rPr>
          <w:rFonts w:ascii="宋体" w:hAnsi="宋体" w:cs="宋体"/>
          <w:b/>
          <w:kern w:val="0"/>
          <w:sz w:val="32"/>
          <w:szCs w:val="32"/>
        </w:rPr>
      </w:pPr>
    </w:p>
    <w:p w14:paraId="4805C85F">
      <w:pPr>
        <w:jc w:val="center"/>
        <w:rPr>
          <w:rFonts w:ascii="宋体" w:hAnsi="宋体" w:cs="宋体"/>
          <w:b/>
          <w:kern w:val="0"/>
          <w:sz w:val="32"/>
          <w:szCs w:val="32"/>
        </w:rPr>
      </w:pPr>
    </w:p>
    <w:p w14:paraId="2E1FC0E7">
      <w:pPr>
        <w:jc w:val="center"/>
        <w:rPr>
          <w:rFonts w:ascii="宋体" w:hAnsi="宋体" w:cs="宋体"/>
          <w:b/>
          <w:kern w:val="0"/>
          <w:sz w:val="32"/>
          <w:szCs w:val="32"/>
        </w:rPr>
      </w:pPr>
    </w:p>
    <w:p w14:paraId="57B5360F">
      <w:pPr>
        <w:jc w:val="center"/>
        <w:rPr>
          <w:rFonts w:ascii="宋体" w:hAnsi="宋体" w:cs="宋体"/>
          <w:b/>
          <w:kern w:val="0"/>
          <w:sz w:val="32"/>
          <w:szCs w:val="32"/>
        </w:rPr>
      </w:pPr>
    </w:p>
    <w:p w14:paraId="6C9DC5AA">
      <w:pPr>
        <w:jc w:val="center"/>
        <w:rPr>
          <w:rFonts w:ascii="宋体" w:hAnsi="宋体" w:cs="宋体"/>
          <w:b/>
          <w:kern w:val="0"/>
          <w:sz w:val="32"/>
          <w:szCs w:val="32"/>
        </w:rPr>
      </w:pPr>
    </w:p>
    <w:p w14:paraId="2DE6FE89">
      <w:pPr>
        <w:jc w:val="center"/>
        <w:rPr>
          <w:rFonts w:ascii="宋体" w:hAnsi="宋体" w:cs="宋体"/>
          <w:b/>
          <w:kern w:val="0"/>
          <w:sz w:val="32"/>
          <w:szCs w:val="32"/>
        </w:rPr>
      </w:pPr>
    </w:p>
    <w:p w14:paraId="252102AB">
      <w:pPr>
        <w:jc w:val="center"/>
        <w:rPr>
          <w:rFonts w:ascii="宋体" w:hAnsi="宋体" w:cs="宋体"/>
          <w:b/>
          <w:kern w:val="0"/>
          <w:sz w:val="32"/>
          <w:szCs w:val="32"/>
        </w:rPr>
      </w:pPr>
    </w:p>
    <w:p w14:paraId="1E9098D1">
      <w:pPr>
        <w:jc w:val="center"/>
        <w:rPr>
          <w:rFonts w:ascii="宋体" w:hAnsi="宋体" w:cs="宋体"/>
          <w:b/>
          <w:kern w:val="0"/>
          <w:sz w:val="32"/>
          <w:szCs w:val="32"/>
        </w:rPr>
      </w:pPr>
    </w:p>
    <w:p w14:paraId="1875F36B">
      <w:pPr>
        <w:jc w:val="center"/>
        <w:rPr>
          <w:rFonts w:ascii="宋体" w:hAnsi="宋体" w:cs="宋体"/>
          <w:b/>
          <w:kern w:val="0"/>
          <w:sz w:val="32"/>
          <w:szCs w:val="32"/>
        </w:rPr>
      </w:pPr>
    </w:p>
    <w:p w14:paraId="0D9AC7F3">
      <w:pPr>
        <w:jc w:val="center"/>
        <w:rPr>
          <w:rFonts w:ascii="宋体" w:hAnsi="宋体" w:cs="宋体"/>
          <w:b/>
          <w:kern w:val="0"/>
          <w:sz w:val="32"/>
          <w:szCs w:val="32"/>
        </w:rPr>
      </w:pPr>
    </w:p>
    <w:p w14:paraId="1EF455F5">
      <w:pPr>
        <w:jc w:val="center"/>
        <w:rPr>
          <w:rFonts w:ascii="宋体" w:hAnsi="宋体" w:cs="宋体"/>
          <w:b/>
          <w:kern w:val="0"/>
          <w:sz w:val="32"/>
          <w:szCs w:val="32"/>
        </w:rPr>
      </w:pPr>
    </w:p>
    <w:p w14:paraId="6CBFDEB6">
      <w:pPr>
        <w:jc w:val="center"/>
        <w:rPr>
          <w:rFonts w:ascii="宋体" w:hAnsi="宋体" w:cs="宋体"/>
          <w:b/>
          <w:kern w:val="0"/>
          <w:sz w:val="32"/>
          <w:szCs w:val="32"/>
        </w:rPr>
      </w:pPr>
    </w:p>
    <w:p w14:paraId="36A4958E">
      <w:pPr>
        <w:jc w:val="center"/>
        <w:rPr>
          <w:rFonts w:ascii="宋体" w:hAnsi="宋体" w:cs="宋体"/>
          <w:b/>
          <w:kern w:val="0"/>
          <w:sz w:val="32"/>
          <w:szCs w:val="32"/>
        </w:rPr>
      </w:pPr>
    </w:p>
    <w:p w14:paraId="78C7BB29">
      <w:pPr>
        <w:jc w:val="center"/>
        <w:rPr>
          <w:rFonts w:ascii="宋体" w:hAnsi="宋体" w:cs="宋体"/>
          <w:b/>
          <w:kern w:val="0"/>
          <w:sz w:val="32"/>
          <w:szCs w:val="32"/>
        </w:rPr>
      </w:pPr>
    </w:p>
    <w:p w14:paraId="236117AF">
      <w:pPr>
        <w:pStyle w:val="3"/>
        <w:rPr>
          <w:lang w:val="en-US"/>
        </w:rPr>
      </w:pPr>
    </w:p>
    <w:p w14:paraId="22311913">
      <w:pPr>
        <w:jc w:val="center"/>
        <w:rPr>
          <w:rFonts w:ascii="宋体" w:hAnsi="宋体" w:cs="宋体"/>
          <w:b/>
          <w:kern w:val="0"/>
          <w:sz w:val="32"/>
          <w:szCs w:val="32"/>
        </w:rPr>
      </w:pPr>
    </w:p>
    <w:p w14:paraId="0800870F">
      <w:pPr>
        <w:jc w:val="center"/>
        <w:rPr>
          <w:rFonts w:ascii="宋体" w:hAnsi="宋体" w:cs="宋体"/>
          <w:b/>
          <w:kern w:val="0"/>
          <w:sz w:val="32"/>
          <w:szCs w:val="32"/>
        </w:rPr>
      </w:pPr>
    </w:p>
    <w:p w14:paraId="587F8F69">
      <w:pPr>
        <w:widowControl/>
        <w:adjustRightInd/>
        <w:jc w:val="left"/>
        <w:rPr>
          <w:rFonts w:ascii="宋体" w:hAnsi="宋体" w:cs="宋体"/>
          <w:b/>
          <w:kern w:val="0"/>
          <w:sz w:val="32"/>
          <w:szCs w:val="32"/>
        </w:rPr>
      </w:pPr>
      <w:r>
        <w:rPr>
          <w:rFonts w:ascii="宋体" w:hAnsi="宋体" w:cs="宋体"/>
          <w:b/>
          <w:kern w:val="0"/>
          <w:sz w:val="32"/>
          <w:szCs w:val="32"/>
        </w:rPr>
        <w:br w:type="page"/>
      </w:r>
    </w:p>
    <w:p w14:paraId="3A265DE8">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E22C837">
      <w:pPr>
        <w:snapToGrid w:val="0"/>
        <w:spacing w:line="360" w:lineRule="auto"/>
        <w:rPr>
          <w:rFonts w:ascii="宋体" w:hAnsi="宋体" w:cs="宋体"/>
          <w:sz w:val="24"/>
        </w:rPr>
      </w:pPr>
    </w:p>
    <w:p w14:paraId="5BA1B82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2DAB9CDF">
      <w:pPr>
        <w:snapToGrid w:val="0"/>
        <w:spacing w:line="360" w:lineRule="auto"/>
        <w:rPr>
          <w:rFonts w:ascii="宋体" w:hAnsi="宋体" w:cs="宋体"/>
          <w:kern w:val="0"/>
          <w:sz w:val="24"/>
        </w:rPr>
      </w:pPr>
      <w:r>
        <w:rPr>
          <w:rFonts w:hint="eastAsia" w:ascii="宋体" w:hAnsi="宋体" w:cs="宋体"/>
          <w:sz w:val="24"/>
        </w:rPr>
        <w:t>杭州市卫生健康委员会、杭州市公共资源交易中心</w:t>
      </w:r>
      <w:r>
        <w:rPr>
          <w:rFonts w:hint="eastAsia" w:ascii="宋体" w:hAnsi="宋体" w:cs="宋体"/>
          <w:kern w:val="0"/>
          <w:sz w:val="24"/>
          <w:lang w:val="zh-CN"/>
        </w:rPr>
        <w:t>：</w:t>
      </w:r>
    </w:p>
    <w:p w14:paraId="523D590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rPr>
        <w:t>杭州市“善育在杭2.0”项目【招标编号：</w:t>
      </w:r>
      <w:r>
        <w:rPr>
          <w:rFonts w:hint="eastAsia" w:ascii="宋体" w:hAnsi="宋体" w:cs="宋体"/>
          <w:sz w:val="24"/>
          <w:lang w:eastAsia="zh-CN"/>
        </w:rPr>
        <w:t>HZZFCG-2024-163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5409956">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AB7FD0A">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1D34193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272B04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B9CCCA6">
      <w:pPr>
        <w:snapToGrid w:val="0"/>
        <w:spacing w:line="360" w:lineRule="auto"/>
        <w:rPr>
          <w:rFonts w:ascii="宋体" w:hAnsi="宋体" w:cs="宋体"/>
          <w:sz w:val="24"/>
        </w:rPr>
      </w:pPr>
    </w:p>
    <w:p w14:paraId="1DBC4DDE">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2528158E">
      <w:pPr>
        <w:snapToGrid w:val="0"/>
        <w:spacing w:line="360" w:lineRule="auto"/>
        <w:rPr>
          <w:rFonts w:ascii="宋体" w:hAnsi="宋体" w:cs="宋体"/>
          <w:kern w:val="0"/>
          <w:sz w:val="24"/>
        </w:rPr>
      </w:pPr>
      <w:r>
        <w:rPr>
          <w:rFonts w:hint="eastAsia" w:ascii="宋体" w:hAnsi="宋体" w:cs="宋体"/>
          <w:sz w:val="24"/>
        </w:rPr>
        <w:t>杭州市卫生健康委员会、杭州市公共资源交易中心</w:t>
      </w:r>
      <w:r>
        <w:rPr>
          <w:rFonts w:hint="eastAsia" w:ascii="宋体" w:hAnsi="宋体" w:cs="宋体"/>
          <w:kern w:val="0"/>
          <w:sz w:val="24"/>
          <w:lang w:val="zh-CN"/>
        </w:rPr>
        <w:t>：</w:t>
      </w:r>
    </w:p>
    <w:p w14:paraId="5E2958C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rPr>
        <w:t>杭州市“善育在杭2.0”项目【招标编号：</w:t>
      </w:r>
      <w:r>
        <w:rPr>
          <w:rFonts w:hint="eastAsia" w:ascii="宋体" w:hAnsi="宋体" w:cs="宋体"/>
          <w:sz w:val="24"/>
          <w:lang w:eastAsia="zh-CN"/>
        </w:rPr>
        <w:t>HZZFCG-2024-163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6D04C7A">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29461D6">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7DE4E5C8">
      <w:pPr>
        <w:jc w:val="center"/>
        <w:rPr>
          <w:rFonts w:ascii="宋体" w:hAnsi="宋体" w:cs="宋体"/>
          <w:b/>
          <w:kern w:val="0"/>
          <w:sz w:val="32"/>
          <w:szCs w:val="32"/>
        </w:rPr>
      </w:pPr>
    </w:p>
    <w:p w14:paraId="25A7F7EF">
      <w:pPr>
        <w:rPr>
          <w:rFonts w:ascii="宋体" w:hAnsi="宋体" w:cs="宋体"/>
        </w:rPr>
      </w:pPr>
    </w:p>
    <w:p w14:paraId="4582DB4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30C9A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2BA4D7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7A1170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9FC9136">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5EE084C6">
      <w:pPr>
        <w:autoSpaceDE w:val="0"/>
        <w:autoSpaceDN w:val="0"/>
        <w:spacing w:line="360" w:lineRule="auto"/>
        <w:jc w:val="center"/>
        <w:rPr>
          <w:rFonts w:ascii="宋体" w:hAnsi="宋体" w:cs="宋体"/>
          <w:b/>
          <w:kern w:val="0"/>
          <w:sz w:val="32"/>
          <w:szCs w:val="32"/>
          <w:lang w:val="zh-CN"/>
        </w:rPr>
      </w:pPr>
    </w:p>
    <w:p w14:paraId="16FE07B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FF9EF19">
      <w:pPr>
        <w:pStyle w:val="149"/>
        <w:spacing w:line="360" w:lineRule="auto"/>
        <w:rPr>
          <w:rFonts w:hAnsi="宋体" w:cs="宋体"/>
          <w:bCs/>
          <w:sz w:val="24"/>
        </w:rPr>
      </w:pPr>
      <w:r>
        <w:rPr>
          <w:rFonts w:hint="eastAsia" w:hAnsi="宋体" w:cs="宋体"/>
          <w:bCs/>
          <w:sz w:val="24"/>
        </w:rPr>
        <w:t>身份证件扫描件：</w:t>
      </w:r>
    </w:p>
    <w:tbl>
      <w:tblPr>
        <w:tblStyle w:val="1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47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8E80749">
            <w:pPr>
              <w:pStyle w:val="149"/>
              <w:adjustRightInd w:val="0"/>
              <w:spacing w:line="360" w:lineRule="auto"/>
              <w:rPr>
                <w:rFonts w:hAnsi="宋体" w:cs="宋体"/>
                <w:bCs/>
                <w:sz w:val="24"/>
              </w:rPr>
            </w:pPr>
            <w:r>
              <w:rPr>
                <w:rFonts w:hint="eastAsia" w:hAnsi="宋体" w:cs="宋体"/>
                <w:bCs/>
                <w:sz w:val="24"/>
              </w:rPr>
              <w:t>正面：                                 反面：</w:t>
            </w:r>
          </w:p>
          <w:p w14:paraId="1D0580F0">
            <w:pPr>
              <w:pStyle w:val="149"/>
              <w:adjustRightInd w:val="0"/>
              <w:spacing w:line="360" w:lineRule="auto"/>
              <w:rPr>
                <w:rFonts w:hAnsi="宋体" w:cs="宋体"/>
                <w:bCs/>
                <w:sz w:val="24"/>
              </w:rPr>
            </w:pPr>
          </w:p>
        </w:tc>
      </w:tr>
    </w:tbl>
    <w:p w14:paraId="768DE81C">
      <w:pPr>
        <w:snapToGrid w:val="0"/>
        <w:spacing w:line="360" w:lineRule="auto"/>
        <w:ind w:firstLine="576"/>
        <w:jc w:val="center"/>
        <w:rPr>
          <w:rFonts w:ascii="宋体" w:hAnsi="宋体" w:cs="宋体"/>
          <w:kern w:val="0"/>
          <w:sz w:val="24"/>
          <w:lang w:val="zh-CN"/>
        </w:rPr>
      </w:pPr>
    </w:p>
    <w:p w14:paraId="7F3AE38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B3DC17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3F7B3E7">
      <w:pPr>
        <w:jc w:val="center"/>
        <w:rPr>
          <w:rFonts w:ascii="宋体" w:hAnsi="宋体" w:cs="宋体"/>
          <w:b/>
          <w:kern w:val="0"/>
          <w:sz w:val="32"/>
          <w:szCs w:val="32"/>
        </w:rPr>
      </w:pPr>
    </w:p>
    <w:p w14:paraId="6A996F06">
      <w:pPr>
        <w:jc w:val="center"/>
        <w:rPr>
          <w:rFonts w:ascii="宋体" w:hAnsi="宋体" w:cs="宋体"/>
          <w:b/>
          <w:kern w:val="0"/>
          <w:sz w:val="32"/>
          <w:szCs w:val="32"/>
        </w:rPr>
      </w:pPr>
    </w:p>
    <w:p w14:paraId="59994EB0">
      <w:pPr>
        <w:jc w:val="center"/>
        <w:rPr>
          <w:rFonts w:ascii="宋体" w:hAnsi="宋体" w:cs="宋体"/>
          <w:b/>
          <w:kern w:val="0"/>
          <w:sz w:val="32"/>
          <w:szCs w:val="32"/>
        </w:rPr>
      </w:pPr>
    </w:p>
    <w:p w14:paraId="5DF1A0A5">
      <w:pPr>
        <w:jc w:val="center"/>
        <w:rPr>
          <w:rFonts w:ascii="宋体" w:hAnsi="宋体" w:cs="宋体"/>
          <w:b/>
          <w:kern w:val="0"/>
          <w:sz w:val="32"/>
          <w:szCs w:val="32"/>
        </w:rPr>
      </w:pPr>
    </w:p>
    <w:p w14:paraId="3DE994EF">
      <w:pPr>
        <w:jc w:val="center"/>
        <w:rPr>
          <w:rFonts w:ascii="宋体" w:hAnsi="宋体" w:cs="宋体"/>
          <w:b/>
          <w:kern w:val="0"/>
          <w:sz w:val="32"/>
          <w:szCs w:val="32"/>
        </w:rPr>
      </w:pPr>
    </w:p>
    <w:p w14:paraId="5DFA3DFB">
      <w:pPr>
        <w:jc w:val="center"/>
        <w:rPr>
          <w:rFonts w:ascii="宋体" w:hAnsi="宋体" w:cs="宋体"/>
          <w:b/>
          <w:kern w:val="0"/>
          <w:sz w:val="32"/>
          <w:szCs w:val="32"/>
        </w:rPr>
      </w:pPr>
    </w:p>
    <w:p w14:paraId="7F140700">
      <w:pPr>
        <w:jc w:val="center"/>
        <w:rPr>
          <w:rFonts w:ascii="宋体" w:hAnsi="宋体" w:cs="宋体"/>
          <w:b/>
          <w:kern w:val="0"/>
          <w:sz w:val="32"/>
          <w:szCs w:val="32"/>
        </w:rPr>
      </w:pPr>
    </w:p>
    <w:p w14:paraId="75FB1299">
      <w:pPr>
        <w:jc w:val="center"/>
        <w:rPr>
          <w:rFonts w:ascii="宋体" w:hAnsi="宋体" w:cs="宋体"/>
          <w:b/>
          <w:kern w:val="0"/>
          <w:sz w:val="32"/>
          <w:szCs w:val="32"/>
        </w:rPr>
      </w:pPr>
    </w:p>
    <w:p w14:paraId="50470781">
      <w:pPr>
        <w:jc w:val="center"/>
        <w:rPr>
          <w:rFonts w:ascii="宋体" w:hAnsi="宋体" w:cs="宋体"/>
          <w:b/>
          <w:kern w:val="0"/>
          <w:sz w:val="32"/>
          <w:szCs w:val="32"/>
        </w:rPr>
      </w:pPr>
    </w:p>
    <w:p w14:paraId="6A1D5FF9">
      <w:pPr>
        <w:jc w:val="center"/>
        <w:rPr>
          <w:rFonts w:ascii="宋体" w:hAnsi="宋体" w:cs="宋体"/>
          <w:b/>
          <w:kern w:val="0"/>
          <w:sz w:val="32"/>
          <w:szCs w:val="32"/>
        </w:rPr>
      </w:pPr>
    </w:p>
    <w:p w14:paraId="2FBC51B1">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EAD77C4">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407B4B9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DB86219">
      <w:pPr>
        <w:snapToGrid w:val="0"/>
        <w:spacing w:line="360" w:lineRule="auto"/>
        <w:rPr>
          <w:rFonts w:ascii="宋体" w:hAnsi="宋体" w:cs="宋体"/>
          <w:kern w:val="0"/>
          <w:sz w:val="24"/>
        </w:rPr>
      </w:pPr>
    </w:p>
    <w:p w14:paraId="47026202">
      <w:pPr>
        <w:jc w:val="center"/>
        <w:rPr>
          <w:rFonts w:ascii="宋体" w:hAnsi="宋体" w:cs="宋体"/>
          <w:b/>
          <w:kern w:val="0"/>
          <w:sz w:val="32"/>
          <w:szCs w:val="32"/>
        </w:rPr>
      </w:pPr>
      <w:r>
        <w:rPr>
          <w:rFonts w:hint="eastAsia" w:ascii="宋体" w:hAnsi="宋体" w:cs="宋体"/>
          <w:b/>
          <w:kern w:val="0"/>
          <w:sz w:val="32"/>
          <w:szCs w:val="32"/>
        </w:rPr>
        <w:t>四、符合性审查资料</w:t>
      </w:r>
    </w:p>
    <w:p w14:paraId="08D1876A">
      <w:pPr>
        <w:jc w:val="center"/>
        <w:rPr>
          <w:rFonts w:ascii="宋体" w:hAnsi="宋体" w:cs="宋体"/>
          <w:b/>
          <w:kern w:val="0"/>
          <w:sz w:val="32"/>
          <w:szCs w:val="32"/>
        </w:rPr>
      </w:pP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D8A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90407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7CBB94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343B4A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92E8E3C">
            <w:pPr>
              <w:snapToGrid w:val="0"/>
              <w:spacing w:line="240" w:lineRule="atLeast"/>
              <w:jc w:val="center"/>
              <w:rPr>
                <w:rFonts w:ascii="宋体" w:hAnsi="宋体" w:cs="宋体"/>
                <w:b/>
                <w:sz w:val="24"/>
              </w:rPr>
            </w:pPr>
            <w:r>
              <w:rPr>
                <w:rFonts w:hint="eastAsia" w:ascii="宋体" w:hAnsi="宋体" w:cs="宋体"/>
                <w:b/>
                <w:sz w:val="24"/>
              </w:rPr>
              <w:t>投标文件中的</w:t>
            </w:r>
          </w:p>
          <w:p w14:paraId="16E26AFA">
            <w:pPr>
              <w:snapToGrid w:val="0"/>
              <w:spacing w:line="240" w:lineRule="atLeast"/>
              <w:jc w:val="center"/>
              <w:rPr>
                <w:rFonts w:ascii="宋体" w:hAnsi="宋体" w:cs="宋体"/>
                <w:b/>
                <w:sz w:val="24"/>
              </w:rPr>
            </w:pPr>
            <w:r>
              <w:rPr>
                <w:rFonts w:hint="eastAsia" w:ascii="宋体" w:hAnsi="宋体" w:cs="宋体"/>
                <w:b/>
                <w:sz w:val="24"/>
              </w:rPr>
              <w:t>页码位置</w:t>
            </w:r>
          </w:p>
        </w:tc>
      </w:tr>
      <w:tr w14:paraId="192D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5C8694">
            <w:pPr>
              <w:jc w:val="center"/>
              <w:rPr>
                <w:rFonts w:ascii="宋体" w:hAnsi="宋体" w:cs="宋体"/>
                <w:sz w:val="24"/>
              </w:rPr>
            </w:pPr>
            <w:r>
              <w:rPr>
                <w:rFonts w:hint="eastAsia" w:ascii="宋体" w:hAnsi="宋体" w:cs="宋体"/>
                <w:sz w:val="24"/>
              </w:rPr>
              <w:t>1</w:t>
            </w:r>
          </w:p>
        </w:tc>
        <w:tc>
          <w:tcPr>
            <w:tcW w:w="4991" w:type="dxa"/>
          </w:tcPr>
          <w:p w14:paraId="7D0151A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CA183E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9516D27">
            <w:pPr>
              <w:rPr>
                <w:rFonts w:ascii="宋体" w:hAnsi="宋体" w:cs="宋体"/>
                <w:sz w:val="24"/>
              </w:rPr>
            </w:pPr>
          </w:p>
          <w:p w14:paraId="0D6E2C0C">
            <w:pPr>
              <w:rPr>
                <w:rFonts w:ascii="宋体" w:hAnsi="宋体" w:cs="宋体"/>
                <w:sz w:val="24"/>
              </w:rPr>
            </w:pPr>
            <w:r>
              <w:rPr>
                <w:rFonts w:hint="eastAsia" w:ascii="宋体" w:hAnsi="宋体" w:cs="宋体"/>
                <w:sz w:val="24"/>
              </w:rPr>
              <w:t>见投标文件</w:t>
            </w:r>
          </w:p>
          <w:p w14:paraId="61BF3B1F">
            <w:pPr>
              <w:rPr>
                <w:rFonts w:ascii="宋体" w:hAnsi="宋体" w:cs="宋体"/>
              </w:rPr>
            </w:pPr>
            <w:r>
              <w:rPr>
                <w:rFonts w:hint="eastAsia" w:ascii="宋体" w:hAnsi="宋体" w:cs="宋体"/>
                <w:sz w:val="24"/>
              </w:rPr>
              <w:t>第页</w:t>
            </w:r>
          </w:p>
        </w:tc>
      </w:tr>
      <w:tr w14:paraId="472C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7D8294">
            <w:pPr>
              <w:jc w:val="center"/>
              <w:rPr>
                <w:rFonts w:ascii="宋体" w:hAnsi="宋体" w:cs="宋体"/>
                <w:sz w:val="24"/>
              </w:rPr>
            </w:pPr>
            <w:r>
              <w:rPr>
                <w:rFonts w:hint="eastAsia" w:ascii="宋体" w:hAnsi="宋体" w:cs="宋体"/>
                <w:sz w:val="24"/>
              </w:rPr>
              <w:t>2</w:t>
            </w:r>
          </w:p>
        </w:tc>
        <w:tc>
          <w:tcPr>
            <w:tcW w:w="4991" w:type="dxa"/>
          </w:tcPr>
          <w:p w14:paraId="6951C9A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EDC665C">
            <w:pPr>
              <w:rPr>
                <w:rFonts w:ascii="宋体" w:hAnsi="宋体" w:cs="宋体"/>
                <w:sz w:val="24"/>
              </w:rPr>
            </w:pPr>
            <w:r>
              <w:rPr>
                <w:rFonts w:hint="eastAsia" w:ascii="宋体" w:hAnsi="宋体" w:cs="宋体"/>
                <w:sz w:val="24"/>
              </w:rPr>
              <w:t>投标函</w:t>
            </w:r>
          </w:p>
        </w:tc>
        <w:tc>
          <w:tcPr>
            <w:tcW w:w="1418" w:type="dxa"/>
          </w:tcPr>
          <w:p w14:paraId="651C04D8">
            <w:pPr>
              <w:rPr>
                <w:rFonts w:ascii="宋体" w:hAnsi="宋体" w:cs="宋体"/>
              </w:rPr>
            </w:pPr>
            <w:r>
              <w:rPr>
                <w:rFonts w:hint="eastAsia" w:ascii="宋体" w:hAnsi="宋体" w:cs="宋体"/>
                <w:sz w:val="24"/>
              </w:rPr>
              <w:t>见投标文件第页</w:t>
            </w:r>
          </w:p>
        </w:tc>
      </w:tr>
      <w:tr w14:paraId="02A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EA931C">
            <w:pPr>
              <w:jc w:val="center"/>
              <w:rPr>
                <w:rFonts w:ascii="宋体" w:hAnsi="宋体" w:cs="宋体"/>
                <w:sz w:val="24"/>
              </w:rPr>
            </w:pPr>
            <w:r>
              <w:rPr>
                <w:rFonts w:hint="eastAsia" w:ascii="宋体" w:hAnsi="宋体" w:cs="宋体"/>
                <w:sz w:val="24"/>
              </w:rPr>
              <w:t>3</w:t>
            </w:r>
          </w:p>
        </w:tc>
        <w:tc>
          <w:tcPr>
            <w:tcW w:w="4991" w:type="dxa"/>
          </w:tcPr>
          <w:p w14:paraId="22362FD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1B0C65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706083F">
            <w:pPr>
              <w:rPr>
                <w:rFonts w:ascii="宋体" w:hAnsi="宋体" w:cs="宋体"/>
              </w:rPr>
            </w:pPr>
            <w:r>
              <w:rPr>
                <w:rFonts w:hint="eastAsia" w:ascii="宋体" w:hAnsi="宋体" w:cs="宋体"/>
                <w:sz w:val="24"/>
              </w:rPr>
              <w:t>见投标文件第页</w:t>
            </w:r>
          </w:p>
        </w:tc>
      </w:tr>
    </w:tbl>
    <w:p w14:paraId="20605C44">
      <w:pPr>
        <w:spacing w:line="360" w:lineRule="auto"/>
        <w:ind w:right="420"/>
        <w:rPr>
          <w:rFonts w:ascii="宋体" w:hAnsi="宋体" w:cs="宋体"/>
          <w:sz w:val="24"/>
        </w:rPr>
      </w:pPr>
      <w:r>
        <w:rPr>
          <w:rFonts w:hint="eastAsia" w:ascii="宋体" w:hAnsi="宋体" w:cs="宋体"/>
          <w:sz w:val="24"/>
        </w:rPr>
        <w:t>注：按本格式和要求提供。</w:t>
      </w:r>
    </w:p>
    <w:p w14:paraId="55F4B98E">
      <w:pPr>
        <w:jc w:val="center"/>
        <w:rPr>
          <w:rFonts w:ascii="宋体" w:hAnsi="宋体" w:cs="宋体"/>
          <w:b/>
          <w:kern w:val="0"/>
          <w:sz w:val="32"/>
          <w:szCs w:val="32"/>
        </w:rPr>
      </w:pPr>
    </w:p>
    <w:p w14:paraId="276BC04E">
      <w:pPr>
        <w:jc w:val="center"/>
        <w:rPr>
          <w:rFonts w:ascii="宋体" w:hAnsi="宋体" w:cs="宋体"/>
          <w:b/>
          <w:kern w:val="0"/>
          <w:sz w:val="32"/>
          <w:szCs w:val="32"/>
        </w:rPr>
      </w:pPr>
    </w:p>
    <w:p w14:paraId="64A9F7AB">
      <w:pPr>
        <w:jc w:val="center"/>
        <w:rPr>
          <w:rFonts w:ascii="宋体" w:hAnsi="宋体" w:cs="宋体"/>
          <w:b/>
          <w:kern w:val="0"/>
          <w:sz w:val="32"/>
          <w:szCs w:val="32"/>
        </w:rPr>
      </w:pPr>
    </w:p>
    <w:p w14:paraId="00E82BB5">
      <w:pPr>
        <w:jc w:val="center"/>
        <w:rPr>
          <w:rFonts w:ascii="宋体" w:hAnsi="宋体" w:cs="宋体"/>
          <w:b/>
          <w:kern w:val="0"/>
          <w:sz w:val="32"/>
          <w:szCs w:val="32"/>
        </w:rPr>
      </w:pPr>
    </w:p>
    <w:p w14:paraId="29CE8D1F">
      <w:pPr>
        <w:jc w:val="center"/>
        <w:rPr>
          <w:rFonts w:ascii="宋体" w:hAnsi="宋体" w:cs="宋体"/>
          <w:b/>
          <w:kern w:val="0"/>
          <w:sz w:val="32"/>
          <w:szCs w:val="32"/>
        </w:rPr>
      </w:pPr>
    </w:p>
    <w:p w14:paraId="7141B4D6">
      <w:pPr>
        <w:jc w:val="center"/>
        <w:rPr>
          <w:rFonts w:ascii="宋体" w:hAnsi="宋体" w:cs="宋体"/>
          <w:b/>
          <w:kern w:val="0"/>
          <w:sz w:val="32"/>
          <w:szCs w:val="32"/>
        </w:rPr>
      </w:pPr>
    </w:p>
    <w:p w14:paraId="106D430F">
      <w:pPr>
        <w:jc w:val="center"/>
        <w:rPr>
          <w:rFonts w:ascii="宋体" w:hAnsi="宋体" w:cs="宋体"/>
          <w:b/>
          <w:kern w:val="0"/>
          <w:sz w:val="32"/>
          <w:szCs w:val="32"/>
        </w:rPr>
      </w:pPr>
    </w:p>
    <w:p w14:paraId="07912AA0">
      <w:pPr>
        <w:jc w:val="center"/>
        <w:rPr>
          <w:rFonts w:ascii="宋体" w:hAnsi="宋体" w:cs="宋体"/>
          <w:b/>
          <w:kern w:val="0"/>
          <w:sz w:val="32"/>
          <w:szCs w:val="32"/>
        </w:rPr>
      </w:pPr>
    </w:p>
    <w:p w14:paraId="57F1C2E3">
      <w:pPr>
        <w:jc w:val="center"/>
        <w:rPr>
          <w:rFonts w:ascii="宋体" w:hAnsi="宋体" w:cs="宋体"/>
          <w:b/>
          <w:kern w:val="0"/>
          <w:sz w:val="32"/>
          <w:szCs w:val="32"/>
        </w:rPr>
      </w:pPr>
    </w:p>
    <w:p w14:paraId="0DEA459D">
      <w:pPr>
        <w:jc w:val="center"/>
        <w:rPr>
          <w:rFonts w:ascii="宋体" w:hAnsi="宋体" w:cs="宋体"/>
          <w:b/>
          <w:kern w:val="0"/>
          <w:sz w:val="32"/>
          <w:szCs w:val="32"/>
        </w:rPr>
      </w:pPr>
    </w:p>
    <w:p w14:paraId="6360948F">
      <w:pPr>
        <w:jc w:val="center"/>
        <w:rPr>
          <w:rFonts w:ascii="宋体" w:hAnsi="宋体" w:cs="宋体"/>
          <w:b/>
          <w:kern w:val="0"/>
          <w:sz w:val="32"/>
          <w:szCs w:val="32"/>
        </w:rPr>
      </w:pPr>
    </w:p>
    <w:p w14:paraId="496CD2BF">
      <w:pPr>
        <w:jc w:val="center"/>
        <w:rPr>
          <w:rFonts w:ascii="宋体" w:hAnsi="宋体" w:cs="宋体"/>
          <w:b/>
          <w:kern w:val="0"/>
          <w:sz w:val="32"/>
          <w:szCs w:val="32"/>
        </w:rPr>
      </w:pPr>
    </w:p>
    <w:p w14:paraId="62AFF667">
      <w:pPr>
        <w:jc w:val="center"/>
        <w:rPr>
          <w:rFonts w:ascii="宋体" w:hAnsi="宋体" w:cs="宋体"/>
          <w:b/>
          <w:kern w:val="0"/>
          <w:sz w:val="32"/>
          <w:szCs w:val="32"/>
        </w:rPr>
      </w:pPr>
    </w:p>
    <w:p w14:paraId="634A8C3D">
      <w:pPr>
        <w:jc w:val="center"/>
        <w:rPr>
          <w:rFonts w:ascii="宋体" w:hAnsi="宋体" w:cs="宋体"/>
          <w:b/>
          <w:kern w:val="0"/>
          <w:sz w:val="32"/>
          <w:szCs w:val="32"/>
        </w:rPr>
      </w:pPr>
    </w:p>
    <w:p w14:paraId="5369442C">
      <w:pPr>
        <w:widowControl/>
        <w:adjustRightInd/>
        <w:jc w:val="left"/>
        <w:rPr>
          <w:rFonts w:ascii="宋体" w:hAnsi="宋体" w:cs="宋体"/>
          <w:b/>
          <w:kern w:val="0"/>
          <w:sz w:val="32"/>
          <w:szCs w:val="32"/>
        </w:rPr>
      </w:pPr>
      <w:r>
        <w:rPr>
          <w:rFonts w:ascii="宋体" w:hAnsi="宋体" w:cs="宋体"/>
          <w:b/>
          <w:kern w:val="0"/>
          <w:sz w:val="32"/>
          <w:szCs w:val="32"/>
        </w:rPr>
        <w:br w:type="page"/>
      </w:r>
    </w:p>
    <w:p w14:paraId="49B5D239">
      <w:pPr>
        <w:jc w:val="center"/>
        <w:rPr>
          <w:rFonts w:ascii="宋体" w:hAnsi="宋体" w:cs="宋体"/>
        </w:rPr>
      </w:pPr>
      <w:r>
        <w:rPr>
          <w:rFonts w:hint="eastAsia" w:ascii="宋体" w:hAnsi="宋体" w:cs="宋体"/>
          <w:b/>
          <w:kern w:val="0"/>
          <w:sz w:val="32"/>
          <w:szCs w:val="32"/>
        </w:rPr>
        <w:t>五、评标标准相应的商务技术资料</w:t>
      </w:r>
    </w:p>
    <w:p w14:paraId="180A217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E392AA9">
      <w:pPr>
        <w:jc w:val="center"/>
        <w:rPr>
          <w:rFonts w:ascii="宋体" w:hAnsi="宋体" w:cs="宋体"/>
          <w:b/>
          <w:kern w:val="0"/>
          <w:sz w:val="32"/>
          <w:szCs w:val="32"/>
        </w:rPr>
      </w:pPr>
    </w:p>
    <w:p w14:paraId="3E9BD4AB">
      <w:pPr>
        <w:jc w:val="center"/>
        <w:rPr>
          <w:rFonts w:ascii="宋体" w:hAnsi="宋体" w:cs="宋体"/>
          <w:b/>
          <w:kern w:val="0"/>
          <w:sz w:val="32"/>
          <w:szCs w:val="32"/>
        </w:rPr>
      </w:pPr>
    </w:p>
    <w:p w14:paraId="7573BFCB">
      <w:pPr>
        <w:jc w:val="center"/>
        <w:rPr>
          <w:rFonts w:ascii="宋体" w:hAnsi="宋体" w:cs="宋体"/>
          <w:b/>
          <w:kern w:val="0"/>
          <w:sz w:val="32"/>
          <w:szCs w:val="32"/>
        </w:rPr>
      </w:pPr>
    </w:p>
    <w:p w14:paraId="294028D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1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CB0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CC388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727B32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357B0F8">
            <w:pPr>
              <w:spacing w:line="360" w:lineRule="auto"/>
              <w:jc w:val="center"/>
              <w:rPr>
                <w:rFonts w:ascii="宋体" w:hAnsi="宋体" w:cs="宋体"/>
                <w:b/>
                <w:sz w:val="24"/>
              </w:rPr>
            </w:pPr>
          </w:p>
          <w:p w14:paraId="04A055C4">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48369F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A361F72">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08965CD">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8A8DDC8">
            <w:pPr>
              <w:spacing w:line="360" w:lineRule="auto"/>
              <w:jc w:val="center"/>
              <w:rPr>
                <w:rFonts w:ascii="宋体" w:hAnsi="宋体" w:cs="宋体"/>
                <w:b/>
                <w:sz w:val="24"/>
              </w:rPr>
            </w:pPr>
          </w:p>
          <w:p w14:paraId="76A31AC2">
            <w:pPr>
              <w:spacing w:line="360" w:lineRule="auto"/>
              <w:jc w:val="center"/>
              <w:rPr>
                <w:rFonts w:ascii="宋体" w:hAnsi="宋体" w:cs="宋体"/>
                <w:b/>
                <w:sz w:val="24"/>
              </w:rPr>
            </w:pPr>
            <w:r>
              <w:rPr>
                <w:rFonts w:hint="eastAsia" w:ascii="宋体" w:hAnsi="宋体" w:cs="宋体"/>
                <w:b/>
                <w:sz w:val="24"/>
              </w:rPr>
              <w:t>备注（如果有）</w:t>
            </w:r>
          </w:p>
          <w:p w14:paraId="3AAD2B5B">
            <w:pPr>
              <w:spacing w:line="360" w:lineRule="auto"/>
              <w:jc w:val="center"/>
              <w:rPr>
                <w:rFonts w:ascii="宋体" w:hAnsi="宋体" w:cs="宋体"/>
                <w:b/>
                <w:sz w:val="24"/>
              </w:rPr>
            </w:pPr>
          </w:p>
        </w:tc>
      </w:tr>
      <w:tr w14:paraId="3119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36A8A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F4D39A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597FE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AFD79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D1A45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5CD263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71EF900">
            <w:pPr>
              <w:spacing w:line="360" w:lineRule="auto"/>
              <w:jc w:val="center"/>
              <w:rPr>
                <w:rFonts w:ascii="宋体" w:hAnsi="宋体" w:cs="宋体"/>
                <w:sz w:val="24"/>
              </w:rPr>
            </w:pPr>
          </w:p>
        </w:tc>
      </w:tr>
      <w:tr w14:paraId="1AA1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45CDC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A0B66C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BCD66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903EE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B46FB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6FC37C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38B2FF">
            <w:pPr>
              <w:spacing w:line="360" w:lineRule="auto"/>
              <w:jc w:val="center"/>
              <w:rPr>
                <w:rFonts w:ascii="宋体" w:hAnsi="宋体" w:cs="宋体"/>
                <w:sz w:val="24"/>
              </w:rPr>
            </w:pPr>
          </w:p>
        </w:tc>
      </w:tr>
      <w:tr w14:paraId="098C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A2C4D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DC638A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CCE61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3C660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4F1769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15F05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4707DA8">
            <w:pPr>
              <w:spacing w:line="360" w:lineRule="auto"/>
              <w:jc w:val="center"/>
              <w:rPr>
                <w:rFonts w:ascii="宋体" w:hAnsi="宋体" w:cs="宋体"/>
                <w:sz w:val="24"/>
              </w:rPr>
            </w:pPr>
          </w:p>
        </w:tc>
      </w:tr>
    </w:tbl>
    <w:p w14:paraId="4A5D1CD5">
      <w:pPr>
        <w:spacing w:line="360" w:lineRule="auto"/>
        <w:ind w:right="420"/>
        <w:rPr>
          <w:rFonts w:ascii="宋体" w:hAnsi="宋体" w:cs="宋体"/>
          <w:sz w:val="24"/>
        </w:rPr>
      </w:pPr>
      <w:r>
        <w:rPr>
          <w:rFonts w:hint="eastAsia" w:ascii="宋体" w:hAnsi="宋体" w:cs="宋体"/>
          <w:sz w:val="24"/>
        </w:rPr>
        <w:t>注：按本格式和要求提供。</w:t>
      </w:r>
    </w:p>
    <w:p w14:paraId="5153B312">
      <w:pPr>
        <w:jc w:val="center"/>
        <w:rPr>
          <w:rFonts w:ascii="宋体" w:hAnsi="宋体" w:cs="宋体"/>
          <w:b/>
          <w:kern w:val="0"/>
          <w:sz w:val="32"/>
          <w:szCs w:val="32"/>
        </w:rPr>
      </w:pPr>
    </w:p>
    <w:p w14:paraId="7067DEDF">
      <w:pPr>
        <w:jc w:val="center"/>
        <w:rPr>
          <w:rFonts w:ascii="宋体" w:hAnsi="宋体" w:cs="宋体"/>
          <w:b/>
          <w:kern w:val="0"/>
          <w:sz w:val="32"/>
          <w:szCs w:val="32"/>
        </w:rPr>
      </w:pPr>
    </w:p>
    <w:p w14:paraId="64E5E86E">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F49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2AE0D8">
            <w:pPr>
              <w:jc w:val="center"/>
              <w:rPr>
                <w:rFonts w:ascii="宋体" w:hAnsi="宋体" w:cs="宋体"/>
                <w:b/>
                <w:bCs/>
                <w:sz w:val="24"/>
              </w:rPr>
            </w:pPr>
            <w:r>
              <w:rPr>
                <w:rFonts w:hint="eastAsia" w:ascii="宋体" w:hAnsi="宋体" w:cs="宋体"/>
                <w:b/>
                <w:bCs/>
                <w:sz w:val="24"/>
              </w:rPr>
              <w:t>序号</w:t>
            </w:r>
          </w:p>
        </w:tc>
        <w:tc>
          <w:tcPr>
            <w:tcW w:w="3683" w:type="dxa"/>
          </w:tcPr>
          <w:p w14:paraId="64D8F1A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3A9078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5A3CC03">
            <w:pPr>
              <w:jc w:val="center"/>
              <w:rPr>
                <w:rFonts w:ascii="宋体" w:hAnsi="宋体" w:cs="宋体"/>
                <w:b/>
                <w:bCs/>
                <w:sz w:val="24"/>
              </w:rPr>
            </w:pPr>
            <w:r>
              <w:rPr>
                <w:rFonts w:hint="eastAsia" w:ascii="宋体" w:hAnsi="宋体" w:cs="宋体"/>
                <w:b/>
                <w:bCs/>
                <w:sz w:val="24"/>
              </w:rPr>
              <w:t>偏离说明</w:t>
            </w:r>
          </w:p>
        </w:tc>
      </w:tr>
      <w:tr w14:paraId="2E77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A4C41B">
            <w:pPr>
              <w:jc w:val="center"/>
              <w:rPr>
                <w:rFonts w:ascii="宋体" w:hAnsi="宋体" w:cs="宋体"/>
                <w:kern w:val="0"/>
                <w:sz w:val="24"/>
              </w:rPr>
            </w:pPr>
            <w:r>
              <w:rPr>
                <w:rFonts w:hint="eastAsia" w:ascii="宋体" w:hAnsi="宋体" w:cs="宋体"/>
                <w:kern w:val="0"/>
                <w:sz w:val="24"/>
              </w:rPr>
              <w:t>1</w:t>
            </w:r>
          </w:p>
        </w:tc>
        <w:tc>
          <w:tcPr>
            <w:tcW w:w="3683" w:type="dxa"/>
          </w:tcPr>
          <w:p w14:paraId="1F9431FD">
            <w:pPr>
              <w:jc w:val="center"/>
              <w:rPr>
                <w:rFonts w:ascii="宋体" w:hAnsi="宋体" w:cs="宋体"/>
                <w:b/>
                <w:kern w:val="0"/>
                <w:sz w:val="32"/>
                <w:szCs w:val="32"/>
              </w:rPr>
            </w:pPr>
          </w:p>
        </w:tc>
        <w:tc>
          <w:tcPr>
            <w:tcW w:w="3546" w:type="dxa"/>
          </w:tcPr>
          <w:p w14:paraId="4DD34EAE">
            <w:pPr>
              <w:jc w:val="center"/>
              <w:rPr>
                <w:rFonts w:ascii="宋体" w:hAnsi="宋体" w:cs="宋体"/>
                <w:b/>
                <w:kern w:val="0"/>
                <w:sz w:val="32"/>
                <w:szCs w:val="32"/>
              </w:rPr>
            </w:pPr>
          </w:p>
        </w:tc>
        <w:tc>
          <w:tcPr>
            <w:tcW w:w="1276" w:type="dxa"/>
          </w:tcPr>
          <w:p w14:paraId="2688BA8B">
            <w:pPr>
              <w:jc w:val="center"/>
              <w:rPr>
                <w:rFonts w:ascii="宋体" w:hAnsi="宋体" w:cs="宋体"/>
                <w:b/>
                <w:kern w:val="0"/>
                <w:sz w:val="32"/>
                <w:szCs w:val="32"/>
              </w:rPr>
            </w:pPr>
          </w:p>
        </w:tc>
      </w:tr>
      <w:tr w14:paraId="0D36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83E65B">
            <w:pPr>
              <w:jc w:val="center"/>
              <w:rPr>
                <w:rFonts w:ascii="宋体" w:hAnsi="宋体" w:cs="宋体"/>
                <w:kern w:val="0"/>
                <w:sz w:val="24"/>
              </w:rPr>
            </w:pPr>
            <w:r>
              <w:rPr>
                <w:rFonts w:hint="eastAsia" w:ascii="宋体" w:hAnsi="宋体" w:cs="宋体"/>
                <w:kern w:val="0"/>
                <w:sz w:val="24"/>
              </w:rPr>
              <w:t>2</w:t>
            </w:r>
          </w:p>
        </w:tc>
        <w:tc>
          <w:tcPr>
            <w:tcW w:w="3683" w:type="dxa"/>
          </w:tcPr>
          <w:p w14:paraId="75A39C50">
            <w:pPr>
              <w:jc w:val="center"/>
              <w:rPr>
                <w:rFonts w:ascii="宋体" w:hAnsi="宋体" w:cs="宋体"/>
                <w:b/>
                <w:kern w:val="0"/>
                <w:sz w:val="32"/>
                <w:szCs w:val="32"/>
              </w:rPr>
            </w:pPr>
          </w:p>
        </w:tc>
        <w:tc>
          <w:tcPr>
            <w:tcW w:w="3546" w:type="dxa"/>
          </w:tcPr>
          <w:p w14:paraId="251607DF">
            <w:pPr>
              <w:jc w:val="center"/>
              <w:rPr>
                <w:rFonts w:ascii="宋体" w:hAnsi="宋体" w:cs="宋体"/>
                <w:b/>
                <w:kern w:val="0"/>
                <w:sz w:val="32"/>
                <w:szCs w:val="32"/>
              </w:rPr>
            </w:pPr>
          </w:p>
        </w:tc>
        <w:tc>
          <w:tcPr>
            <w:tcW w:w="1276" w:type="dxa"/>
          </w:tcPr>
          <w:p w14:paraId="2971F62E">
            <w:pPr>
              <w:jc w:val="center"/>
              <w:rPr>
                <w:rFonts w:ascii="宋体" w:hAnsi="宋体" w:cs="宋体"/>
                <w:b/>
                <w:kern w:val="0"/>
                <w:sz w:val="32"/>
                <w:szCs w:val="32"/>
              </w:rPr>
            </w:pPr>
          </w:p>
        </w:tc>
      </w:tr>
      <w:tr w14:paraId="72B3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89CAAF">
            <w:pPr>
              <w:jc w:val="center"/>
              <w:rPr>
                <w:rFonts w:ascii="宋体" w:hAnsi="宋体" w:cs="宋体"/>
                <w:kern w:val="0"/>
                <w:sz w:val="24"/>
              </w:rPr>
            </w:pPr>
            <w:r>
              <w:rPr>
                <w:rFonts w:hint="eastAsia" w:ascii="宋体" w:hAnsi="宋体" w:cs="宋体"/>
                <w:kern w:val="0"/>
                <w:sz w:val="24"/>
              </w:rPr>
              <w:t>……</w:t>
            </w:r>
          </w:p>
        </w:tc>
        <w:tc>
          <w:tcPr>
            <w:tcW w:w="3683" w:type="dxa"/>
          </w:tcPr>
          <w:p w14:paraId="3FF26608">
            <w:pPr>
              <w:jc w:val="center"/>
              <w:rPr>
                <w:rFonts w:ascii="宋体" w:hAnsi="宋体" w:cs="宋体"/>
                <w:b/>
                <w:kern w:val="0"/>
                <w:sz w:val="32"/>
                <w:szCs w:val="32"/>
              </w:rPr>
            </w:pPr>
          </w:p>
        </w:tc>
        <w:tc>
          <w:tcPr>
            <w:tcW w:w="3546" w:type="dxa"/>
          </w:tcPr>
          <w:p w14:paraId="0427BA3E">
            <w:pPr>
              <w:jc w:val="center"/>
              <w:rPr>
                <w:rFonts w:ascii="宋体" w:hAnsi="宋体" w:cs="宋体"/>
                <w:b/>
                <w:kern w:val="0"/>
                <w:sz w:val="32"/>
                <w:szCs w:val="32"/>
              </w:rPr>
            </w:pPr>
          </w:p>
        </w:tc>
        <w:tc>
          <w:tcPr>
            <w:tcW w:w="1276" w:type="dxa"/>
          </w:tcPr>
          <w:p w14:paraId="2AB2C4DE">
            <w:pPr>
              <w:jc w:val="center"/>
              <w:rPr>
                <w:rFonts w:ascii="宋体" w:hAnsi="宋体" w:cs="宋体"/>
                <w:b/>
                <w:kern w:val="0"/>
                <w:sz w:val="32"/>
                <w:szCs w:val="32"/>
              </w:rPr>
            </w:pPr>
          </w:p>
        </w:tc>
      </w:tr>
    </w:tbl>
    <w:p w14:paraId="27B85B3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8F8C7B9">
      <w:pPr>
        <w:jc w:val="center"/>
        <w:rPr>
          <w:rFonts w:ascii="宋体" w:hAnsi="宋体" w:cs="宋体"/>
          <w:b/>
          <w:kern w:val="0"/>
          <w:sz w:val="32"/>
          <w:szCs w:val="32"/>
        </w:rPr>
      </w:pPr>
    </w:p>
    <w:p w14:paraId="1FB35CB3">
      <w:pPr>
        <w:spacing w:line="360" w:lineRule="auto"/>
        <w:ind w:right="420"/>
        <w:rPr>
          <w:rFonts w:ascii="宋体" w:hAnsi="宋体" w:cs="宋体"/>
          <w:sz w:val="24"/>
        </w:rPr>
      </w:pPr>
      <w:r>
        <w:rPr>
          <w:rFonts w:hint="eastAsia" w:ascii="宋体" w:hAnsi="宋体" w:cs="宋体"/>
          <w:sz w:val="24"/>
        </w:rPr>
        <w:t>注：按本格式和要求提供。</w:t>
      </w:r>
    </w:p>
    <w:p w14:paraId="180B99C0">
      <w:pPr>
        <w:ind w:firstLine="1911" w:firstLineChars="595"/>
        <w:rPr>
          <w:rFonts w:ascii="宋体" w:hAnsi="宋体" w:cs="宋体"/>
          <w:b/>
          <w:bCs/>
          <w:sz w:val="32"/>
          <w:szCs w:val="32"/>
        </w:rPr>
      </w:pPr>
    </w:p>
    <w:p w14:paraId="314F6CCC">
      <w:pPr>
        <w:ind w:firstLine="1911" w:firstLineChars="595"/>
        <w:rPr>
          <w:rFonts w:ascii="宋体" w:hAnsi="宋体" w:cs="宋体"/>
          <w:b/>
          <w:bCs/>
          <w:sz w:val="32"/>
          <w:szCs w:val="32"/>
        </w:rPr>
      </w:pPr>
    </w:p>
    <w:p w14:paraId="0491550A">
      <w:pPr>
        <w:ind w:firstLine="1911" w:firstLineChars="595"/>
        <w:rPr>
          <w:rFonts w:ascii="宋体" w:hAnsi="宋体" w:cs="宋体"/>
          <w:b/>
          <w:bCs/>
          <w:sz w:val="32"/>
          <w:szCs w:val="32"/>
        </w:rPr>
      </w:pPr>
    </w:p>
    <w:p w14:paraId="217D9F95">
      <w:pPr>
        <w:widowControl/>
        <w:adjustRightInd/>
        <w:jc w:val="left"/>
        <w:rPr>
          <w:rFonts w:ascii="宋体" w:hAnsi="宋体" w:cs="宋体"/>
          <w:b/>
          <w:bCs/>
          <w:sz w:val="32"/>
          <w:szCs w:val="32"/>
        </w:rPr>
      </w:pPr>
      <w:r>
        <w:rPr>
          <w:rFonts w:ascii="宋体" w:hAnsi="宋体" w:cs="宋体"/>
          <w:b/>
          <w:bCs/>
          <w:sz w:val="32"/>
          <w:szCs w:val="32"/>
        </w:rPr>
        <w:br w:type="page"/>
      </w:r>
    </w:p>
    <w:p w14:paraId="59EF9A3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3F1461F">
      <w:pPr>
        <w:snapToGrid w:val="0"/>
        <w:spacing w:line="360" w:lineRule="auto"/>
        <w:rPr>
          <w:rFonts w:ascii="宋体" w:hAnsi="宋体" w:cs="宋体"/>
          <w:sz w:val="24"/>
        </w:rPr>
      </w:pPr>
    </w:p>
    <w:p w14:paraId="5D29AF96">
      <w:pPr>
        <w:snapToGrid w:val="0"/>
        <w:spacing w:line="360" w:lineRule="auto"/>
        <w:rPr>
          <w:rFonts w:ascii="宋体" w:hAnsi="宋体" w:cs="宋体"/>
          <w:kern w:val="0"/>
          <w:sz w:val="24"/>
        </w:rPr>
      </w:pPr>
      <w:r>
        <w:rPr>
          <w:rFonts w:hint="eastAsia" w:ascii="宋体" w:hAnsi="宋体" w:cs="宋体"/>
          <w:sz w:val="24"/>
        </w:rPr>
        <w:t>杭州市卫生健康委员会、杭州市公共资源交易中心</w:t>
      </w:r>
      <w:r>
        <w:rPr>
          <w:rFonts w:hint="eastAsia" w:ascii="宋体" w:hAnsi="宋体" w:cs="宋体"/>
          <w:kern w:val="0"/>
          <w:sz w:val="24"/>
          <w:lang w:val="zh-CN"/>
        </w:rPr>
        <w:t>：</w:t>
      </w:r>
    </w:p>
    <w:p w14:paraId="59ED806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102BD3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3DD6EF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297BF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B25EB4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E40EB8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8BEE0B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11AF63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C7BA22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307529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8D203EC">
      <w:pPr>
        <w:autoSpaceDE w:val="0"/>
        <w:autoSpaceDN w:val="0"/>
        <w:spacing w:line="360" w:lineRule="auto"/>
        <w:ind w:left="2"/>
        <w:jc w:val="left"/>
        <w:rPr>
          <w:rFonts w:ascii="宋体" w:hAnsi="宋体" w:cs="宋体"/>
          <w:kern w:val="0"/>
          <w:sz w:val="24"/>
          <w:lang w:val="zh-CN"/>
        </w:rPr>
      </w:pPr>
    </w:p>
    <w:p w14:paraId="65A4CE1E">
      <w:pPr>
        <w:autoSpaceDE w:val="0"/>
        <w:autoSpaceDN w:val="0"/>
        <w:spacing w:line="360" w:lineRule="auto"/>
        <w:ind w:left="2"/>
        <w:jc w:val="left"/>
        <w:rPr>
          <w:rFonts w:ascii="宋体" w:hAnsi="宋体" w:cs="宋体"/>
          <w:kern w:val="0"/>
          <w:sz w:val="24"/>
          <w:lang w:val="zh-CN"/>
        </w:rPr>
      </w:pPr>
    </w:p>
    <w:p w14:paraId="7FB5BC3D">
      <w:pPr>
        <w:autoSpaceDE w:val="0"/>
        <w:autoSpaceDN w:val="0"/>
        <w:spacing w:line="360" w:lineRule="auto"/>
        <w:ind w:left="2"/>
        <w:jc w:val="left"/>
        <w:rPr>
          <w:rFonts w:ascii="宋体" w:hAnsi="宋体" w:cs="宋体"/>
          <w:kern w:val="0"/>
          <w:sz w:val="24"/>
          <w:lang w:val="zh-CN"/>
        </w:rPr>
      </w:pPr>
    </w:p>
    <w:p w14:paraId="71C3839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C920CB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EC7354B">
      <w:pPr>
        <w:spacing w:line="360" w:lineRule="auto"/>
        <w:jc w:val="center"/>
        <w:rPr>
          <w:rFonts w:ascii="宋体" w:hAnsi="宋体" w:cs="宋体"/>
          <w:b/>
          <w:bCs/>
          <w:sz w:val="24"/>
        </w:rPr>
      </w:pPr>
    </w:p>
    <w:p w14:paraId="3D19CB1B">
      <w:pPr>
        <w:spacing w:line="360" w:lineRule="auto"/>
        <w:ind w:right="420"/>
        <w:rPr>
          <w:rFonts w:ascii="宋体" w:hAnsi="宋体" w:cs="宋体"/>
          <w:sz w:val="24"/>
        </w:rPr>
      </w:pPr>
      <w:r>
        <w:rPr>
          <w:rFonts w:hint="eastAsia" w:ascii="宋体" w:hAnsi="宋体" w:cs="宋体"/>
          <w:sz w:val="24"/>
        </w:rPr>
        <w:t>注：按本格式和要求提供。</w:t>
      </w:r>
    </w:p>
    <w:p w14:paraId="7A091FD4">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D8192A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20090F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4D8B95C">
      <w:pPr>
        <w:spacing w:line="360" w:lineRule="auto"/>
        <w:jc w:val="center"/>
        <w:outlineLvl w:val="0"/>
        <w:rPr>
          <w:rFonts w:ascii="宋体" w:hAnsi="宋体" w:cs="宋体"/>
          <w:b/>
          <w:kern w:val="0"/>
          <w:sz w:val="36"/>
          <w:szCs w:val="36"/>
        </w:rPr>
      </w:pPr>
    </w:p>
    <w:p w14:paraId="57A23526">
      <w:pPr>
        <w:snapToGrid w:val="0"/>
        <w:spacing w:line="360" w:lineRule="auto"/>
        <w:rPr>
          <w:rFonts w:ascii="宋体" w:hAnsi="宋体" w:cs="宋体"/>
          <w:sz w:val="24"/>
        </w:rPr>
      </w:pPr>
      <w:r>
        <w:rPr>
          <w:rFonts w:hint="eastAsia" w:ascii="宋体" w:hAnsi="宋体" w:cs="宋体"/>
          <w:sz w:val="24"/>
        </w:rPr>
        <w:t>（1）开标一览表（报价表）………………………………………………………（页码）</w:t>
      </w:r>
    </w:p>
    <w:p w14:paraId="28CB7A8B">
      <w:pPr>
        <w:snapToGrid w:val="0"/>
        <w:spacing w:line="360" w:lineRule="auto"/>
        <w:rPr>
          <w:rFonts w:ascii="宋体" w:hAnsi="宋体" w:cs="宋体"/>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76C0055C">
      <w:pPr>
        <w:snapToGrid w:val="0"/>
        <w:spacing w:line="360" w:lineRule="auto"/>
        <w:ind w:right="480"/>
        <w:jc w:val="center"/>
        <w:rPr>
          <w:rFonts w:ascii="宋体" w:hAnsi="宋体" w:cs="宋体"/>
          <w:b/>
          <w:kern w:val="0"/>
          <w:sz w:val="32"/>
          <w:szCs w:val="32"/>
        </w:rPr>
      </w:pPr>
    </w:p>
    <w:p w14:paraId="5D2C5B0D">
      <w:pPr>
        <w:snapToGrid w:val="0"/>
        <w:spacing w:line="360" w:lineRule="auto"/>
        <w:ind w:right="480"/>
        <w:jc w:val="center"/>
        <w:rPr>
          <w:rFonts w:ascii="宋体" w:hAnsi="宋体" w:cs="宋体"/>
          <w:b/>
          <w:kern w:val="0"/>
          <w:sz w:val="32"/>
          <w:szCs w:val="32"/>
        </w:rPr>
      </w:pPr>
    </w:p>
    <w:p w14:paraId="48BFB431">
      <w:pPr>
        <w:snapToGrid w:val="0"/>
        <w:spacing w:line="360" w:lineRule="auto"/>
        <w:ind w:right="480"/>
        <w:jc w:val="center"/>
        <w:rPr>
          <w:rFonts w:ascii="宋体" w:hAnsi="宋体" w:cs="宋体"/>
          <w:b/>
          <w:kern w:val="0"/>
          <w:sz w:val="32"/>
          <w:szCs w:val="32"/>
        </w:rPr>
      </w:pPr>
    </w:p>
    <w:p w14:paraId="7406ABE2">
      <w:pPr>
        <w:snapToGrid w:val="0"/>
        <w:spacing w:line="360" w:lineRule="auto"/>
        <w:ind w:right="480"/>
        <w:jc w:val="center"/>
        <w:rPr>
          <w:rFonts w:ascii="宋体" w:hAnsi="宋体" w:cs="宋体"/>
          <w:b/>
          <w:kern w:val="0"/>
          <w:sz w:val="32"/>
          <w:szCs w:val="32"/>
        </w:rPr>
      </w:pPr>
    </w:p>
    <w:p w14:paraId="38E34694">
      <w:pPr>
        <w:snapToGrid w:val="0"/>
        <w:spacing w:line="360" w:lineRule="auto"/>
        <w:ind w:right="480"/>
        <w:jc w:val="center"/>
        <w:rPr>
          <w:rFonts w:ascii="宋体" w:hAnsi="宋体" w:cs="宋体"/>
          <w:b/>
          <w:kern w:val="0"/>
          <w:sz w:val="32"/>
          <w:szCs w:val="32"/>
        </w:rPr>
      </w:pPr>
    </w:p>
    <w:p w14:paraId="2FC96C66">
      <w:pPr>
        <w:snapToGrid w:val="0"/>
        <w:spacing w:line="360" w:lineRule="auto"/>
        <w:ind w:right="480"/>
        <w:jc w:val="center"/>
        <w:rPr>
          <w:rFonts w:ascii="宋体" w:hAnsi="宋体" w:cs="宋体"/>
          <w:b/>
          <w:kern w:val="0"/>
          <w:sz w:val="32"/>
          <w:szCs w:val="32"/>
        </w:rPr>
      </w:pPr>
    </w:p>
    <w:p w14:paraId="4B55531B">
      <w:pPr>
        <w:snapToGrid w:val="0"/>
        <w:spacing w:line="360" w:lineRule="auto"/>
        <w:ind w:right="480"/>
        <w:jc w:val="center"/>
        <w:rPr>
          <w:rFonts w:ascii="宋体" w:hAnsi="宋体" w:cs="宋体"/>
          <w:b/>
          <w:kern w:val="0"/>
          <w:sz w:val="32"/>
          <w:szCs w:val="32"/>
        </w:rPr>
      </w:pPr>
    </w:p>
    <w:p w14:paraId="7B6B223E">
      <w:pPr>
        <w:snapToGrid w:val="0"/>
        <w:spacing w:line="360" w:lineRule="auto"/>
        <w:ind w:right="480"/>
        <w:jc w:val="center"/>
        <w:rPr>
          <w:rFonts w:ascii="宋体" w:hAnsi="宋体" w:cs="宋体"/>
          <w:b/>
          <w:kern w:val="0"/>
          <w:sz w:val="32"/>
          <w:szCs w:val="32"/>
        </w:rPr>
      </w:pPr>
    </w:p>
    <w:p w14:paraId="474E5692">
      <w:pPr>
        <w:snapToGrid w:val="0"/>
        <w:spacing w:line="360" w:lineRule="auto"/>
        <w:ind w:right="480"/>
        <w:jc w:val="center"/>
        <w:rPr>
          <w:rFonts w:ascii="宋体" w:hAnsi="宋体" w:cs="宋体"/>
          <w:b/>
          <w:kern w:val="0"/>
          <w:sz w:val="32"/>
          <w:szCs w:val="32"/>
        </w:rPr>
      </w:pPr>
    </w:p>
    <w:p w14:paraId="2A92EF88">
      <w:pPr>
        <w:snapToGrid w:val="0"/>
        <w:spacing w:line="360" w:lineRule="auto"/>
        <w:ind w:right="480"/>
        <w:jc w:val="center"/>
        <w:rPr>
          <w:rFonts w:ascii="宋体" w:hAnsi="宋体" w:cs="宋体"/>
          <w:b/>
          <w:kern w:val="0"/>
          <w:sz w:val="32"/>
          <w:szCs w:val="32"/>
        </w:rPr>
      </w:pPr>
    </w:p>
    <w:p w14:paraId="014ADB56">
      <w:pPr>
        <w:snapToGrid w:val="0"/>
        <w:spacing w:line="360" w:lineRule="auto"/>
        <w:ind w:right="480"/>
        <w:jc w:val="center"/>
        <w:rPr>
          <w:rFonts w:ascii="宋体" w:hAnsi="宋体" w:cs="宋体"/>
          <w:b/>
          <w:kern w:val="0"/>
          <w:sz w:val="32"/>
          <w:szCs w:val="32"/>
        </w:rPr>
      </w:pPr>
    </w:p>
    <w:p w14:paraId="41B0955C">
      <w:pPr>
        <w:snapToGrid w:val="0"/>
        <w:spacing w:line="360" w:lineRule="auto"/>
        <w:ind w:right="480"/>
        <w:jc w:val="center"/>
        <w:rPr>
          <w:rFonts w:ascii="宋体" w:hAnsi="宋体" w:cs="宋体"/>
          <w:b/>
          <w:kern w:val="0"/>
          <w:sz w:val="32"/>
          <w:szCs w:val="32"/>
        </w:rPr>
      </w:pPr>
    </w:p>
    <w:p w14:paraId="59298716">
      <w:pPr>
        <w:snapToGrid w:val="0"/>
        <w:spacing w:line="360" w:lineRule="auto"/>
        <w:ind w:right="480"/>
        <w:jc w:val="center"/>
        <w:rPr>
          <w:rFonts w:ascii="宋体" w:hAnsi="宋体" w:cs="宋体"/>
          <w:b/>
          <w:kern w:val="0"/>
          <w:sz w:val="32"/>
          <w:szCs w:val="32"/>
        </w:rPr>
      </w:pPr>
    </w:p>
    <w:p w14:paraId="20487170">
      <w:pPr>
        <w:snapToGrid w:val="0"/>
        <w:spacing w:line="360" w:lineRule="auto"/>
        <w:ind w:right="480"/>
        <w:jc w:val="center"/>
        <w:rPr>
          <w:rFonts w:ascii="宋体" w:hAnsi="宋体" w:cs="宋体"/>
          <w:b/>
          <w:kern w:val="0"/>
          <w:sz w:val="32"/>
          <w:szCs w:val="32"/>
        </w:rPr>
      </w:pPr>
    </w:p>
    <w:p w14:paraId="6371C573">
      <w:pPr>
        <w:snapToGrid w:val="0"/>
        <w:spacing w:line="360" w:lineRule="auto"/>
        <w:ind w:right="480"/>
        <w:jc w:val="center"/>
        <w:rPr>
          <w:rFonts w:ascii="宋体" w:hAnsi="宋体" w:cs="宋体"/>
          <w:b/>
          <w:kern w:val="0"/>
          <w:sz w:val="32"/>
          <w:szCs w:val="32"/>
        </w:rPr>
      </w:pPr>
    </w:p>
    <w:p w14:paraId="3DD700DA">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50FB3B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F699A7B">
      <w:pPr>
        <w:snapToGrid w:val="0"/>
        <w:spacing w:line="360" w:lineRule="auto"/>
        <w:rPr>
          <w:rFonts w:ascii="宋体" w:hAnsi="宋体" w:cs="宋体"/>
          <w:kern w:val="0"/>
          <w:sz w:val="24"/>
        </w:rPr>
      </w:pPr>
      <w:r>
        <w:rPr>
          <w:rFonts w:hint="eastAsia" w:ascii="宋体" w:hAnsi="宋体" w:cs="宋体"/>
          <w:sz w:val="24"/>
        </w:rPr>
        <w:t>杭州市卫生健康委员会、杭州市公共资源交易中心</w:t>
      </w:r>
      <w:r>
        <w:rPr>
          <w:rFonts w:hint="eastAsia" w:ascii="宋体" w:hAnsi="宋体" w:cs="宋体"/>
          <w:kern w:val="0"/>
          <w:sz w:val="24"/>
          <w:lang w:val="zh-CN"/>
        </w:rPr>
        <w:t>：</w:t>
      </w:r>
    </w:p>
    <w:p w14:paraId="3074539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杭州市“善育在杭2.0”项目</w:t>
      </w:r>
      <w:r>
        <w:rPr>
          <w:rFonts w:hint="eastAsia" w:ascii="宋体" w:hAnsi="宋体" w:cs="宋体"/>
          <w:kern w:val="0"/>
          <w:sz w:val="24"/>
          <w:lang w:val="zh-CN"/>
        </w:rPr>
        <w:t>【招标编号：</w:t>
      </w:r>
      <w:r>
        <w:rPr>
          <w:rFonts w:hint="eastAsia" w:ascii="宋体" w:hAnsi="宋体" w:cs="宋体"/>
          <w:sz w:val="24"/>
          <w:lang w:eastAsia="zh-CN"/>
        </w:rPr>
        <w:t>HZZFCG-2024-163</w:t>
      </w:r>
      <w:r>
        <w:rPr>
          <w:rFonts w:hint="eastAsia" w:ascii="宋体" w:hAnsi="宋体" w:cs="宋体"/>
          <w:sz w:val="24"/>
        </w:rPr>
        <w:t>】的实施</w:t>
      </w:r>
      <w:r>
        <w:rPr>
          <w:rFonts w:hint="eastAsia" w:ascii="宋体" w:hAnsi="宋体" w:cs="宋体"/>
          <w:kern w:val="0"/>
          <w:sz w:val="24"/>
          <w:lang w:val="zh-CN"/>
        </w:rPr>
        <w:t>。</w:t>
      </w:r>
    </w:p>
    <w:p w14:paraId="058A896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19F1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7A49A2">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3816C69F">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548B7D17">
            <w:pPr>
              <w:spacing w:line="360" w:lineRule="auto"/>
              <w:jc w:val="center"/>
              <w:rPr>
                <w:rFonts w:ascii="宋体" w:hAnsi="宋体" w:cs="宋体"/>
                <w:b/>
                <w:sz w:val="24"/>
              </w:rPr>
            </w:pPr>
          </w:p>
          <w:p w14:paraId="32985F1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63B8495C">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6F192441">
            <w:pPr>
              <w:spacing w:line="360" w:lineRule="auto"/>
              <w:jc w:val="center"/>
              <w:rPr>
                <w:rFonts w:ascii="宋体" w:hAnsi="宋体" w:cs="宋体"/>
                <w:b/>
                <w:sz w:val="24"/>
              </w:rPr>
            </w:pPr>
            <w:r>
              <w:rPr>
                <w:rFonts w:hint="eastAsia" w:ascii="宋体" w:hAnsi="宋体" w:cs="宋体"/>
                <w:b/>
                <w:sz w:val="24"/>
              </w:rPr>
              <w:t>服务时间</w:t>
            </w:r>
          </w:p>
        </w:tc>
        <w:tc>
          <w:tcPr>
            <w:tcW w:w="4253" w:type="dxa"/>
            <w:vAlign w:val="center"/>
          </w:tcPr>
          <w:p w14:paraId="4885E09D">
            <w:pPr>
              <w:spacing w:line="360" w:lineRule="auto"/>
              <w:jc w:val="center"/>
              <w:rPr>
                <w:rFonts w:ascii="宋体" w:hAnsi="宋体" w:cs="宋体"/>
                <w:b/>
                <w:sz w:val="24"/>
              </w:rPr>
            </w:pPr>
            <w:r>
              <w:rPr>
                <w:rFonts w:hint="eastAsia" w:ascii="宋体" w:hAnsi="宋体" w:cs="宋体"/>
                <w:b/>
                <w:sz w:val="24"/>
              </w:rPr>
              <w:t>服务标准</w:t>
            </w:r>
          </w:p>
        </w:tc>
        <w:tc>
          <w:tcPr>
            <w:tcW w:w="2126" w:type="dxa"/>
            <w:vAlign w:val="center"/>
          </w:tcPr>
          <w:p w14:paraId="05853290">
            <w:pPr>
              <w:spacing w:line="360" w:lineRule="auto"/>
              <w:jc w:val="center"/>
              <w:rPr>
                <w:rFonts w:ascii="宋体" w:hAnsi="宋体" w:cs="宋体"/>
                <w:b/>
                <w:sz w:val="24"/>
              </w:rPr>
            </w:pPr>
          </w:p>
          <w:p w14:paraId="06780AF7">
            <w:pPr>
              <w:spacing w:line="360" w:lineRule="auto"/>
              <w:jc w:val="center"/>
              <w:rPr>
                <w:rFonts w:ascii="宋体" w:hAnsi="宋体" w:cs="宋体"/>
                <w:b/>
                <w:sz w:val="24"/>
              </w:rPr>
            </w:pPr>
            <w:r>
              <w:rPr>
                <w:rFonts w:hint="eastAsia" w:ascii="宋体" w:hAnsi="宋体" w:cs="宋体"/>
                <w:b/>
                <w:sz w:val="24"/>
              </w:rPr>
              <w:t>备注（如果有）</w:t>
            </w:r>
          </w:p>
          <w:p w14:paraId="2C3D946B">
            <w:pPr>
              <w:spacing w:line="360" w:lineRule="auto"/>
              <w:jc w:val="center"/>
              <w:rPr>
                <w:rFonts w:ascii="宋体" w:hAnsi="宋体" w:cs="宋体"/>
                <w:b/>
                <w:sz w:val="24"/>
              </w:rPr>
            </w:pPr>
          </w:p>
        </w:tc>
      </w:tr>
      <w:tr w14:paraId="5AC6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836A638">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2AFA3D8B">
            <w:pPr>
              <w:snapToGrid w:val="0"/>
              <w:spacing w:line="360" w:lineRule="auto"/>
              <w:jc w:val="center"/>
              <w:rPr>
                <w:rFonts w:ascii="宋体" w:hAnsi="宋体" w:cs="宋体"/>
                <w:sz w:val="24"/>
              </w:rPr>
            </w:pPr>
            <w:r>
              <w:rPr>
                <w:rFonts w:hint="eastAsia" w:ascii="宋体" w:hAnsi="宋体" w:cs="宋体"/>
              </w:rPr>
              <w:t>杭州市“善育在杭2.0”项目</w:t>
            </w:r>
          </w:p>
        </w:tc>
        <w:tc>
          <w:tcPr>
            <w:tcW w:w="2268" w:type="dxa"/>
            <w:vAlign w:val="center"/>
          </w:tcPr>
          <w:p w14:paraId="513A23B8">
            <w:pPr>
              <w:snapToGrid w:val="0"/>
              <w:spacing w:line="360" w:lineRule="auto"/>
              <w:jc w:val="center"/>
              <w:rPr>
                <w:rFonts w:ascii="宋体" w:hAnsi="宋体" w:cs="宋体"/>
                <w:sz w:val="24"/>
              </w:rPr>
            </w:pPr>
          </w:p>
        </w:tc>
        <w:tc>
          <w:tcPr>
            <w:tcW w:w="2410" w:type="dxa"/>
            <w:vAlign w:val="center"/>
          </w:tcPr>
          <w:p w14:paraId="6C95D812">
            <w:pPr>
              <w:snapToGrid w:val="0"/>
              <w:spacing w:line="360" w:lineRule="auto"/>
              <w:jc w:val="center"/>
              <w:rPr>
                <w:rFonts w:ascii="宋体" w:hAnsi="宋体" w:cs="宋体"/>
                <w:sz w:val="24"/>
              </w:rPr>
            </w:pPr>
          </w:p>
        </w:tc>
        <w:tc>
          <w:tcPr>
            <w:tcW w:w="2268" w:type="dxa"/>
            <w:vAlign w:val="center"/>
          </w:tcPr>
          <w:p w14:paraId="5D8D723B">
            <w:pPr>
              <w:snapToGrid w:val="0"/>
              <w:spacing w:line="360" w:lineRule="auto"/>
              <w:jc w:val="center"/>
              <w:rPr>
                <w:rFonts w:ascii="宋体" w:hAnsi="宋体" w:cs="宋体"/>
                <w:sz w:val="24"/>
              </w:rPr>
            </w:pPr>
          </w:p>
        </w:tc>
        <w:tc>
          <w:tcPr>
            <w:tcW w:w="4253" w:type="dxa"/>
            <w:vAlign w:val="center"/>
          </w:tcPr>
          <w:p w14:paraId="7D1387F4">
            <w:pPr>
              <w:spacing w:line="360" w:lineRule="auto"/>
              <w:jc w:val="center"/>
              <w:rPr>
                <w:rFonts w:ascii="宋体" w:hAnsi="宋体" w:cs="宋体"/>
                <w:sz w:val="24"/>
              </w:rPr>
            </w:pPr>
          </w:p>
        </w:tc>
        <w:tc>
          <w:tcPr>
            <w:tcW w:w="2126" w:type="dxa"/>
            <w:vAlign w:val="center"/>
          </w:tcPr>
          <w:p w14:paraId="1B24AFB4">
            <w:pPr>
              <w:spacing w:line="360" w:lineRule="auto"/>
              <w:jc w:val="center"/>
              <w:rPr>
                <w:rFonts w:ascii="宋体" w:hAnsi="宋体" w:cs="宋体"/>
                <w:sz w:val="24"/>
              </w:rPr>
            </w:pPr>
          </w:p>
        </w:tc>
      </w:tr>
      <w:tr w14:paraId="4D7F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B3B79E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3"/>
          </w:tcPr>
          <w:p w14:paraId="7B0B87B2">
            <w:pPr>
              <w:spacing w:line="360" w:lineRule="auto"/>
              <w:jc w:val="center"/>
              <w:rPr>
                <w:rFonts w:ascii="宋体" w:hAnsi="宋体" w:cs="宋体"/>
                <w:sz w:val="24"/>
              </w:rPr>
            </w:pPr>
          </w:p>
        </w:tc>
      </w:tr>
      <w:tr w14:paraId="3354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297F6C5">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3"/>
          </w:tcPr>
          <w:p w14:paraId="62BC638E">
            <w:pPr>
              <w:spacing w:line="360" w:lineRule="auto"/>
              <w:jc w:val="center"/>
              <w:rPr>
                <w:rFonts w:ascii="宋体" w:hAnsi="宋体" w:cs="宋体"/>
                <w:sz w:val="24"/>
              </w:rPr>
            </w:pPr>
          </w:p>
        </w:tc>
      </w:tr>
    </w:tbl>
    <w:p w14:paraId="197ABAF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0BDDA2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92BA02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BBC144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0C9C896A">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825DFB">
      <w:pPr>
        <w:spacing w:line="360" w:lineRule="auto"/>
        <w:ind w:firstLine="482" w:firstLineChars="200"/>
        <w:rPr>
          <w:rFonts w:ascii="宋体" w:hAnsi="宋体" w:cs="宋体"/>
          <w:b/>
          <w:sz w:val="24"/>
        </w:rPr>
      </w:pPr>
    </w:p>
    <w:p w14:paraId="27911A27">
      <w:pPr>
        <w:spacing w:line="360" w:lineRule="auto"/>
        <w:ind w:firstLine="482" w:firstLineChars="200"/>
        <w:rPr>
          <w:rFonts w:ascii="宋体" w:hAnsi="宋体" w:cs="宋体"/>
          <w:b/>
          <w:kern w:val="0"/>
          <w:sz w:val="24"/>
        </w:rPr>
      </w:pPr>
    </w:p>
    <w:p w14:paraId="3DE05D6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9DA73C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B18B9EB">
      <w:pPr>
        <w:pStyle w:val="693"/>
        <w:keepNext w:val="0"/>
        <w:pageBreakBefore w:val="0"/>
        <w:numPr>
          <w:ilvl w:val="255"/>
          <w:numId w:val="0"/>
        </w:numPr>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2109285F">
      <w:pPr>
        <w:pStyle w:val="693"/>
        <w:keepNext w:val="0"/>
        <w:pageBreakBefore w:val="0"/>
        <w:tabs>
          <w:tab w:val="clear" w:pos="720"/>
        </w:tabs>
        <w:snapToGrid w:val="0"/>
        <w:spacing w:before="120" w:after="120"/>
        <w:ind w:firstLine="643"/>
        <w:jc w:val="left"/>
        <w:outlineLvl w:val="9"/>
        <w:rPr>
          <w:rFonts w:ascii="宋体" w:hAnsi="宋体" w:eastAsia="宋体" w:cs="宋体"/>
          <w:b w:val="0"/>
          <w:sz w:val="24"/>
          <w:szCs w:val="24"/>
        </w:rPr>
      </w:pPr>
      <w:r>
        <w:rPr>
          <w:rFonts w:hint="eastAsia" w:ascii="宋体" w:hAnsi="宋体" w:eastAsia="宋体" w:cs="宋体"/>
          <w:b w:val="0"/>
          <w:sz w:val="24"/>
          <w:szCs w:val="24"/>
        </w:rPr>
        <w:t>（如供应商报价低于项目预算50%的，应当提交本文档，详细阐述不影响产品质量或者诚信履约的具体原因</w:t>
      </w:r>
      <w:r>
        <w:rPr>
          <w:rFonts w:hint="eastAsia" w:ascii="宋体" w:hAnsi="宋体" w:eastAsia="宋体" w:cs="宋体"/>
          <w:kern w:val="2"/>
          <w:sz w:val="24"/>
          <w:szCs w:val="24"/>
        </w:rPr>
        <w:t>，否则投标无效。</w:t>
      </w:r>
      <w:r>
        <w:rPr>
          <w:rFonts w:hint="eastAsia" w:ascii="宋体" w:hAnsi="宋体" w:eastAsia="宋体" w:cs="宋体"/>
          <w:b w:val="0"/>
          <w:sz w:val="24"/>
          <w:szCs w:val="24"/>
        </w:rPr>
        <w:t>）</w:t>
      </w:r>
    </w:p>
    <w:p w14:paraId="0C4D607C">
      <w:pPr>
        <w:spacing w:line="360" w:lineRule="auto"/>
        <w:ind w:firstLine="482" w:firstLineChars="200"/>
        <w:rPr>
          <w:rFonts w:ascii="宋体" w:hAnsi="宋体" w:cs="宋体"/>
          <w:b/>
          <w:sz w:val="24"/>
        </w:rPr>
      </w:pPr>
    </w:p>
    <w:p w14:paraId="4C13CAD1">
      <w:pPr>
        <w:pStyle w:val="693"/>
        <w:keepNext w:val="0"/>
        <w:pageBreakBefore w:val="0"/>
        <w:tabs>
          <w:tab w:val="clear" w:pos="720"/>
        </w:tabs>
        <w:snapToGrid w:val="0"/>
        <w:spacing w:before="120" w:after="120"/>
        <w:ind w:firstLine="643"/>
        <w:jc w:val="left"/>
        <w:outlineLvl w:val="9"/>
        <w:rPr>
          <w:rFonts w:ascii="宋体" w:hAnsi="宋体" w:eastAsia="宋体" w:cs="宋体"/>
          <w:b w:val="0"/>
          <w:sz w:val="24"/>
          <w:szCs w:val="24"/>
        </w:rPr>
      </w:pPr>
    </w:p>
    <w:p w14:paraId="47AA2765">
      <w:pPr>
        <w:spacing w:line="360" w:lineRule="auto"/>
        <w:ind w:right="420" w:firstLine="3614" w:firstLineChars="1000"/>
        <w:rPr>
          <w:rFonts w:ascii="宋体" w:hAnsi="宋体" w:cs="宋体"/>
          <w:b/>
          <w:kern w:val="0"/>
          <w:sz w:val="36"/>
          <w:szCs w:val="36"/>
        </w:rPr>
      </w:pPr>
    </w:p>
    <w:p w14:paraId="6225FA02">
      <w:pPr>
        <w:spacing w:line="360" w:lineRule="auto"/>
        <w:ind w:right="420" w:firstLine="3614" w:firstLineChars="1000"/>
        <w:rPr>
          <w:rFonts w:ascii="宋体" w:hAnsi="宋体" w:cs="宋体"/>
          <w:b/>
          <w:kern w:val="0"/>
          <w:sz w:val="36"/>
          <w:szCs w:val="36"/>
        </w:rPr>
      </w:pPr>
    </w:p>
    <w:p w14:paraId="141D3BA2">
      <w:pPr>
        <w:spacing w:line="360" w:lineRule="auto"/>
        <w:ind w:right="420" w:firstLine="3614" w:firstLineChars="1000"/>
        <w:rPr>
          <w:rFonts w:ascii="宋体" w:hAnsi="宋体" w:cs="宋体"/>
          <w:b/>
          <w:kern w:val="0"/>
          <w:sz w:val="36"/>
          <w:szCs w:val="36"/>
        </w:rPr>
      </w:pPr>
    </w:p>
    <w:p w14:paraId="071892F1">
      <w:pPr>
        <w:spacing w:line="360" w:lineRule="auto"/>
        <w:ind w:right="420" w:firstLine="3614" w:firstLineChars="1000"/>
        <w:rPr>
          <w:rFonts w:ascii="宋体" w:hAnsi="宋体" w:cs="宋体"/>
          <w:b/>
          <w:kern w:val="0"/>
          <w:sz w:val="36"/>
          <w:szCs w:val="36"/>
        </w:rPr>
      </w:pPr>
    </w:p>
    <w:p w14:paraId="4805EC3C">
      <w:pPr>
        <w:spacing w:line="360" w:lineRule="auto"/>
        <w:ind w:right="420" w:firstLine="3614" w:firstLineChars="1000"/>
        <w:rPr>
          <w:rFonts w:ascii="宋体" w:hAnsi="宋体" w:cs="宋体"/>
          <w:b/>
          <w:kern w:val="0"/>
          <w:sz w:val="36"/>
          <w:szCs w:val="36"/>
        </w:rPr>
      </w:pPr>
    </w:p>
    <w:p w14:paraId="47A0BD44">
      <w:pPr>
        <w:spacing w:line="360" w:lineRule="auto"/>
        <w:ind w:right="420" w:firstLine="3614" w:firstLineChars="1000"/>
        <w:rPr>
          <w:rFonts w:ascii="宋体" w:hAnsi="宋体" w:cs="宋体"/>
          <w:b/>
          <w:kern w:val="0"/>
          <w:sz w:val="36"/>
          <w:szCs w:val="36"/>
        </w:rPr>
      </w:pPr>
    </w:p>
    <w:p w14:paraId="00B0CD51">
      <w:pPr>
        <w:spacing w:line="360" w:lineRule="auto"/>
        <w:ind w:right="420" w:firstLine="3614" w:firstLineChars="1000"/>
        <w:rPr>
          <w:rFonts w:ascii="宋体" w:hAnsi="宋体" w:cs="宋体"/>
          <w:b/>
          <w:kern w:val="0"/>
          <w:sz w:val="36"/>
          <w:szCs w:val="36"/>
        </w:rPr>
      </w:pPr>
    </w:p>
    <w:p w14:paraId="0277E434">
      <w:pPr>
        <w:spacing w:line="360" w:lineRule="auto"/>
        <w:ind w:right="420" w:firstLine="3614" w:firstLineChars="1000"/>
        <w:rPr>
          <w:rFonts w:ascii="宋体" w:hAnsi="宋体" w:cs="宋体"/>
          <w:b/>
          <w:kern w:val="0"/>
          <w:sz w:val="36"/>
          <w:szCs w:val="36"/>
        </w:rPr>
      </w:pPr>
    </w:p>
    <w:p w14:paraId="3F8E959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6A3459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F3D46B3">
      <w:pPr>
        <w:spacing w:line="360" w:lineRule="auto"/>
        <w:jc w:val="center"/>
        <w:rPr>
          <w:rFonts w:ascii="宋体" w:hAnsi="宋体" w:cs="宋体"/>
          <w:b/>
          <w:spacing w:val="6"/>
          <w:sz w:val="32"/>
          <w:szCs w:val="32"/>
        </w:rPr>
      </w:pPr>
      <w:bookmarkStart w:id="415" w:name="OLE_LINK13"/>
      <w:bookmarkStart w:id="416" w:name="OLE_LINK14"/>
      <w:r>
        <w:rPr>
          <w:rFonts w:hint="eastAsia" w:ascii="宋体" w:hAnsi="宋体" w:cs="宋体"/>
          <w:b/>
          <w:spacing w:val="6"/>
          <w:sz w:val="32"/>
          <w:szCs w:val="32"/>
        </w:rPr>
        <w:t>残疾人福利性单位声明函</w:t>
      </w:r>
    </w:p>
    <w:bookmarkEnd w:id="415"/>
    <w:bookmarkEnd w:id="416"/>
    <w:p w14:paraId="030C39B7">
      <w:pPr>
        <w:spacing w:line="360" w:lineRule="auto"/>
        <w:rPr>
          <w:rFonts w:ascii="宋体" w:hAnsi="宋体" w:cs="宋体"/>
          <w:b/>
          <w:spacing w:val="6"/>
          <w:sz w:val="30"/>
          <w:szCs w:val="30"/>
        </w:rPr>
      </w:pPr>
    </w:p>
    <w:p w14:paraId="19D929E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杭州市卫生健康委员会</w:t>
      </w:r>
      <w:r>
        <w:rPr>
          <w:rFonts w:hint="eastAsia" w:ascii="宋体" w:hAnsi="宋体" w:cs="宋体"/>
          <w:sz w:val="24"/>
        </w:rPr>
        <w:t>单位的</w:t>
      </w:r>
      <w:r>
        <w:rPr>
          <w:rFonts w:hint="eastAsia" w:ascii="宋体" w:hAnsi="宋体" w:cs="宋体"/>
          <w:sz w:val="24"/>
          <w:u w:val="single"/>
        </w:rPr>
        <w:t>杭州市“善育在杭2.0”项目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988805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A4273AA">
      <w:pPr>
        <w:spacing w:line="360" w:lineRule="auto"/>
        <w:ind w:firstLine="480" w:firstLineChars="200"/>
        <w:rPr>
          <w:rFonts w:ascii="宋体" w:hAnsi="宋体" w:cs="宋体"/>
          <w:sz w:val="24"/>
        </w:rPr>
      </w:pPr>
    </w:p>
    <w:p w14:paraId="07FA033B">
      <w:pPr>
        <w:spacing w:line="360" w:lineRule="auto"/>
        <w:ind w:firstLine="480" w:firstLineChars="200"/>
        <w:rPr>
          <w:rFonts w:ascii="宋体" w:hAnsi="宋体" w:cs="宋体"/>
          <w:sz w:val="24"/>
        </w:rPr>
      </w:pPr>
    </w:p>
    <w:p w14:paraId="7495ED44">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5081325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E4F77F1">
      <w:pPr>
        <w:spacing w:line="360" w:lineRule="auto"/>
        <w:ind w:firstLine="480" w:firstLineChars="200"/>
        <w:rPr>
          <w:rFonts w:ascii="宋体" w:hAnsi="宋体" w:cs="宋体"/>
          <w:sz w:val="24"/>
        </w:rPr>
      </w:pPr>
    </w:p>
    <w:p w14:paraId="3DAB2A67">
      <w:pPr>
        <w:spacing w:line="360" w:lineRule="auto"/>
        <w:ind w:firstLine="420" w:firstLineChars="200"/>
        <w:rPr>
          <w:rFonts w:ascii="宋体" w:hAnsi="宋体" w:cs="宋体"/>
        </w:rPr>
      </w:pPr>
    </w:p>
    <w:p w14:paraId="4A2500EE">
      <w:pPr>
        <w:spacing w:line="360" w:lineRule="auto"/>
        <w:ind w:firstLine="420" w:firstLineChars="200"/>
        <w:rPr>
          <w:rFonts w:ascii="宋体" w:hAnsi="宋体" w:cs="宋体"/>
        </w:rPr>
      </w:pPr>
    </w:p>
    <w:p w14:paraId="0E0629F8">
      <w:pPr>
        <w:spacing w:line="360" w:lineRule="auto"/>
        <w:ind w:firstLine="420" w:firstLineChars="200"/>
        <w:rPr>
          <w:rFonts w:ascii="宋体" w:hAnsi="宋体" w:cs="宋体"/>
        </w:rPr>
      </w:pPr>
    </w:p>
    <w:p w14:paraId="3B928582">
      <w:pPr>
        <w:spacing w:line="360" w:lineRule="auto"/>
        <w:ind w:firstLine="420" w:firstLineChars="200"/>
        <w:rPr>
          <w:rFonts w:ascii="宋体" w:hAnsi="宋体" w:cs="宋体"/>
        </w:rPr>
      </w:pPr>
    </w:p>
    <w:p w14:paraId="7E322015">
      <w:pPr>
        <w:spacing w:line="360" w:lineRule="auto"/>
        <w:rPr>
          <w:rFonts w:ascii="宋体" w:hAnsi="宋体" w:cs="宋体"/>
          <w:b/>
          <w:sz w:val="24"/>
        </w:rPr>
      </w:pPr>
    </w:p>
    <w:p w14:paraId="1C61BA67">
      <w:pPr>
        <w:spacing w:line="360" w:lineRule="auto"/>
        <w:rPr>
          <w:rFonts w:ascii="宋体" w:hAnsi="宋体" w:cs="宋体"/>
          <w:b/>
          <w:sz w:val="24"/>
        </w:rPr>
      </w:pPr>
    </w:p>
    <w:p w14:paraId="3F4A312E">
      <w:pPr>
        <w:spacing w:line="360" w:lineRule="auto"/>
        <w:rPr>
          <w:rFonts w:ascii="宋体" w:hAnsi="宋体" w:cs="宋体"/>
          <w:b/>
          <w:sz w:val="24"/>
        </w:rPr>
      </w:pPr>
    </w:p>
    <w:p w14:paraId="21F3F9E7">
      <w:pPr>
        <w:spacing w:line="360" w:lineRule="auto"/>
        <w:rPr>
          <w:rFonts w:ascii="宋体" w:hAnsi="宋体" w:cs="宋体"/>
          <w:b/>
          <w:sz w:val="24"/>
        </w:rPr>
      </w:pPr>
    </w:p>
    <w:p w14:paraId="11441901">
      <w:pPr>
        <w:spacing w:line="360" w:lineRule="auto"/>
        <w:rPr>
          <w:rFonts w:ascii="宋体" w:hAnsi="宋体" w:cs="宋体"/>
          <w:b/>
          <w:sz w:val="24"/>
        </w:rPr>
      </w:pPr>
    </w:p>
    <w:p w14:paraId="256EDD84">
      <w:pPr>
        <w:spacing w:line="360" w:lineRule="auto"/>
        <w:rPr>
          <w:rFonts w:ascii="宋体" w:hAnsi="宋体" w:cs="宋体"/>
          <w:b/>
          <w:sz w:val="24"/>
        </w:rPr>
      </w:pPr>
    </w:p>
    <w:p w14:paraId="206EE219">
      <w:pPr>
        <w:spacing w:line="360" w:lineRule="auto"/>
        <w:rPr>
          <w:rFonts w:ascii="宋体" w:hAnsi="宋体" w:cs="宋体"/>
          <w:b/>
          <w:sz w:val="24"/>
        </w:rPr>
      </w:pPr>
    </w:p>
    <w:p w14:paraId="02F5A8AF">
      <w:pPr>
        <w:spacing w:line="360" w:lineRule="auto"/>
        <w:rPr>
          <w:rFonts w:ascii="宋体" w:hAnsi="宋体" w:cs="宋体"/>
          <w:b/>
          <w:sz w:val="24"/>
        </w:rPr>
      </w:pPr>
    </w:p>
    <w:p w14:paraId="0CC5B270">
      <w:pPr>
        <w:spacing w:line="360" w:lineRule="auto"/>
        <w:rPr>
          <w:rFonts w:ascii="宋体" w:hAnsi="宋体" w:cs="宋体"/>
          <w:b/>
          <w:sz w:val="24"/>
        </w:rPr>
      </w:pPr>
    </w:p>
    <w:p w14:paraId="7B01937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A06BD8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7B0BF1C">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3021F6C5">
      <w:pPr>
        <w:snapToGrid w:val="0"/>
        <w:spacing w:line="360" w:lineRule="auto"/>
        <w:rPr>
          <w:rFonts w:ascii="宋体" w:hAnsi="宋体" w:cs="宋体"/>
          <w:sz w:val="24"/>
          <w:u w:val="dotted"/>
        </w:rPr>
      </w:pPr>
      <w:r>
        <w:rPr>
          <w:rFonts w:hint="eastAsia" w:ascii="宋体" w:hAnsi="宋体" w:cs="宋体"/>
          <w:sz w:val="24"/>
        </w:rPr>
        <w:t>质疑供应商：</w:t>
      </w:r>
    </w:p>
    <w:p w14:paraId="092BDA88">
      <w:pPr>
        <w:snapToGrid w:val="0"/>
        <w:spacing w:line="360" w:lineRule="auto"/>
        <w:rPr>
          <w:rFonts w:ascii="宋体" w:hAnsi="宋体" w:cs="宋体"/>
          <w:sz w:val="24"/>
        </w:rPr>
      </w:pPr>
      <w:r>
        <w:rPr>
          <w:rFonts w:hint="eastAsia" w:ascii="宋体" w:hAnsi="宋体" w:cs="宋体"/>
          <w:sz w:val="24"/>
        </w:rPr>
        <w:t>地址：邮编：</w:t>
      </w:r>
    </w:p>
    <w:p w14:paraId="5ACCF06F">
      <w:pPr>
        <w:snapToGrid w:val="0"/>
        <w:spacing w:line="360" w:lineRule="auto"/>
        <w:rPr>
          <w:rFonts w:ascii="宋体" w:hAnsi="宋体" w:cs="宋体"/>
          <w:sz w:val="24"/>
        </w:rPr>
      </w:pPr>
      <w:r>
        <w:rPr>
          <w:rFonts w:hint="eastAsia" w:ascii="宋体" w:hAnsi="宋体" w:cs="宋体"/>
          <w:sz w:val="24"/>
        </w:rPr>
        <w:t>联系人：联系电话：</w:t>
      </w:r>
    </w:p>
    <w:p w14:paraId="63C71973">
      <w:pPr>
        <w:snapToGrid w:val="0"/>
        <w:spacing w:line="360" w:lineRule="auto"/>
        <w:rPr>
          <w:rFonts w:ascii="宋体" w:hAnsi="宋体" w:cs="宋体"/>
          <w:sz w:val="24"/>
          <w:u w:val="dotted"/>
        </w:rPr>
      </w:pPr>
      <w:r>
        <w:rPr>
          <w:rFonts w:hint="eastAsia" w:ascii="宋体" w:hAnsi="宋体" w:cs="宋体"/>
          <w:sz w:val="24"/>
        </w:rPr>
        <w:t>授权代表：</w:t>
      </w:r>
    </w:p>
    <w:p w14:paraId="4307525F">
      <w:pPr>
        <w:snapToGrid w:val="0"/>
        <w:spacing w:line="360" w:lineRule="auto"/>
        <w:rPr>
          <w:rFonts w:ascii="宋体" w:hAnsi="宋体" w:cs="宋体"/>
          <w:sz w:val="24"/>
        </w:rPr>
      </w:pPr>
      <w:r>
        <w:rPr>
          <w:rFonts w:hint="eastAsia" w:ascii="宋体" w:hAnsi="宋体" w:cs="宋体"/>
          <w:sz w:val="24"/>
        </w:rPr>
        <w:t>联系电话：</w:t>
      </w:r>
    </w:p>
    <w:p w14:paraId="17BE32EE">
      <w:pPr>
        <w:snapToGrid w:val="0"/>
        <w:spacing w:line="360" w:lineRule="auto"/>
        <w:rPr>
          <w:rFonts w:ascii="宋体" w:hAnsi="宋体" w:cs="宋体"/>
          <w:sz w:val="24"/>
        </w:rPr>
      </w:pPr>
      <w:r>
        <w:rPr>
          <w:rFonts w:hint="eastAsia" w:ascii="宋体" w:hAnsi="宋体" w:cs="宋体"/>
          <w:sz w:val="24"/>
        </w:rPr>
        <w:t>地址： 邮编：</w:t>
      </w:r>
    </w:p>
    <w:p w14:paraId="1EB0896D">
      <w:pPr>
        <w:snapToGrid w:val="0"/>
        <w:spacing w:line="360" w:lineRule="auto"/>
        <w:rPr>
          <w:rFonts w:ascii="宋体" w:hAnsi="宋体" w:cs="宋体"/>
          <w:bCs/>
          <w:sz w:val="24"/>
        </w:rPr>
      </w:pPr>
      <w:r>
        <w:rPr>
          <w:rFonts w:hint="eastAsia" w:ascii="宋体" w:hAnsi="宋体" w:cs="宋体"/>
          <w:bCs/>
          <w:sz w:val="24"/>
        </w:rPr>
        <w:t>二、质疑项目基本情况</w:t>
      </w:r>
    </w:p>
    <w:p w14:paraId="4EC2FE36">
      <w:pPr>
        <w:snapToGrid w:val="0"/>
        <w:spacing w:line="360" w:lineRule="auto"/>
        <w:rPr>
          <w:rFonts w:ascii="宋体" w:hAnsi="宋体" w:cs="宋体"/>
          <w:sz w:val="24"/>
        </w:rPr>
      </w:pPr>
      <w:r>
        <w:rPr>
          <w:rFonts w:hint="eastAsia" w:ascii="宋体" w:hAnsi="宋体" w:cs="宋体"/>
          <w:sz w:val="24"/>
        </w:rPr>
        <w:t>质疑项目的名称：</w:t>
      </w:r>
    </w:p>
    <w:p w14:paraId="50370C02">
      <w:pPr>
        <w:snapToGrid w:val="0"/>
        <w:spacing w:line="360" w:lineRule="auto"/>
        <w:rPr>
          <w:rFonts w:ascii="宋体" w:hAnsi="宋体" w:cs="宋体"/>
          <w:sz w:val="24"/>
        </w:rPr>
      </w:pPr>
      <w:r>
        <w:rPr>
          <w:rFonts w:hint="eastAsia" w:ascii="宋体" w:hAnsi="宋体" w:cs="宋体"/>
          <w:sz w:val="24"/>
        </w:rPr>
        <w:t>质疑项目的编号：包号：</w:t>
      </w:r>
    </w:p>
    <w:p w14:paraId="24AC23E4">
      <w:pPr>
        <w:snapToGrid w:val="0"/>
        <w:spacing w:line="360" w:lineRule="auto"/>
        <w:rPr>
          <w:rFonts w:ascii="宋体" w:hAnsi="宋体" w:cs="宋体"/>
          <w:sz w:val="24"/>
          <w:u w:val="dotted"/>
        </w:rPr>
      </w:pPr>
      <w:r>
        <w:rPr>
          <w:rFonts w:hint="eastAsia" w:ascii="宋体" w:hAnsi="宋体" w:cs="宋体"/>
          <w:sz w:val="24"/>
        </w:rPr>
        <w:t>采购人名称：</w:t>
      </w:r>
    </w:p>
    <w:p w14:paraId="2FEAF31F">
      <w:pPr>
        <w:snapToGrid w:val="0"/>
        <w:spacing w:line="360" w:lineRule="auto"/>
        <w:rPr>
          <w:rFonts w:ascii="宋体" w:hAnsi="宋体" w:cs="宋体"/>
          <w:sz w:val="24"/>
        </w:rPr>
      </w:pPr>
      <w:r>
        <w:rPr>
          <w:rFonts w:hint="eastAsia" w:ascii="宋体" w:hAnsi="宋体" w:cs="宋体"/>
          <w:sz w:val="24"/>
        </w:rPr>
        <w:t>采购文件获取日期：</w:t>
      </w:r>
    </w:p>
    <w:p w14:paraId="0FFEA18A">
      <w:pPr>
        <w:snapToGrid w:val="0"/>
        <w:spacing w:line="360" w:lineRule="auto"/>
        <w:rPr>
          <w:rFonts w:ascii="宋体" w:hAnsi="宋体" w:cs="宋体"/>
          <w:bCs/>
          <w:sz w:val="24"/>
        </w:rPr>
      </w:pPr>
      <w:r>
        <w:rPr>
          <w:rFonts w:hint="eastAsia" w:ascii="宋体" w:hAnsi="宋体" w:cs="宋体"/>
          <w:bCs/>
          <w:sz w:val="24"/>
        </w:rPr>
        <w:t>三、质疑事项具体内容</w:t>
      </w:r>
    </w:p>
    <w:p w14:paraId="5D3B35DB">
      <w:pPr>
        <w:snapToGrid w:val="0"/>
        <w:spacing w:line="360" w:lineRule="auto"/>
        <w:rPr>
          <w:rFonts w:ascii="宋体" w:hAnsi="宋体" w:cs="宋体"/>
          <w:sz w:val="24"/>
          <w:u w:val="dotted"/>
        </w:rPr>
      </w:pPr>
      <w:r>
        <w:rPr>
          <w:rFonts w:hint="eastAsia" w:ascii="宋体" w:hAnsi="宋体" w:cs="宋体"/>
          <w:sz w:val="24"/>
        </w:rPr>
        <w:t>质疑事项1：</w:t>
      </w:r>
    </w:p>
    <w:p w14:paraId="2918D46F">
      <w:pPr>
        <w:snapToGrid w:val="0"/>
        <w:spacing w:line="360" w:lineRule="auto"/>
        <w:rPr>
          <w:rFonts w:ascii="宋体" w:hAnsi="宋体" w:cs="宋体"/>
          <w:sz w:val="24"/>
          <w:u w:val="dotted"/>
        </w:rPr>
      </w:pPr>
      <w:r>
        <w:rPr>
          <w:rFonts w:hint="eastAsia" w:ascii="宋体" w:hAnsi="宋体" w:cs="宋体"/>
          <w:sz w:val="24"/>
        </w:rPr>
        <w:t>事实依据：</w:t>
      </w:r>
    </w:p>
    <w:p w14:paraId="31216BCA">
      <w:pPr>
        <w:snapToGrid w:val="0"/>
        <w:spacing w:line="360" w:lineRule="auto"/>
        <w:rPr>
          <w:rFonts w:ascii="宋体" w:hAnsi="宋体" w:cs="宋体"/>
          <w:sz w:val="24"/>
        </w:rPr>
      </w:pPr>
    </w:p>
    <w:p w14:paraId="267FC64D">
      <w:pPr>
        <w:snapToGrid w:val="0"/>
        <w:spacing w:line="360" w:lineRule="auto"/>
        <w:rPr>
          <w:rFonts w:ascii="宋体" w:hAnsi="宋体" w:cs="宋体"/>
          <w:sz w:val="24"/>
          <w:u w:val="dotted"/>
        </w:rPr>
      </w:pPr>
      <w:r>
        <w:rPr>
          <w:rFonts w:hint="eastAsia" w:ascii="宋体" w:hAnsi="宋体" w:cs="宋体"/>
          <w:sz w:val="24"/>
        </w:rPr>
        <w:t>法律依据：</w:t>
      </w:r>
    </w:p>
    <w:p w14:paraId="25CC725F">
      <w:pPr>
        <w:snapToGrid w:val="0"/>
        <w:spacing w:line="360" w:lineRule="auto"/>
        <w:rPr>
          <w:rFonts w:ascii="宋体" w:hAnsi="宋体" w:cs="宋体"/>
          <w:sz w:val="24"/>
          <w:u w:val="dotted"/>
        </w:rPr>
      </w:pPr>
    </w:p>
    <w:p w14:paraId="7E1658E9">
      <w:pPr>
        <w:snapToGrid w:val="0"/>
        <w:spacing w:line="360" w:lineRule="auto"/>
        <w:rPr>
          <w:rFonts w:ascii="宋体" w:hAnsi="宋体" w:cs="宋体"/>
          <w:sz w:val="24"/>
          <w:u w:val="dotted"/>
        </w:rPr>
      </w:pPr>
      <w:r>
        <w:rPr>
          <w:rFonts w:hint="eastAsia" w:ascii="宋体" w:hAnsi="宋体" w:cs="宋体"/>
          <w:sz w:val="24"/>
        </w:rPr>
        <w:t>质疑事项2</w:t>
      </w:r>
    </w:p>
    <w:p w14:paraId="79C18A83">
      <w:pPr>
        <w:snapToGrid w:val="0"/>
        <w:spacing w:line="360" w:lineRule="auto"/>
        <w:rPr>
          <w:rFonts w:ascii="宋体" w:hAnsi="宋体" w:cs="宋体"/>
          <w:sz w:val="24"/>
        </w:rPr>
      </w:pPr>
      <w:r>
        <w:rPr>
          <w:rFonts w:hint="eastAsia" w:ascii="宋体" w:hAnsi="宋体" w:cs="宋体"/>
          <w:sz w:val="24"/>
        </w:rPr>
        <w:t>……</w:t>
      </w:r>
    </w:p>
    <w:p w14:paraId="67146F8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CB5D121">
      <w:pPr>
        <w:snapToGrid w:val="0"/>
        <w:spacing w:line="360" w:lineRule="auto"/>
        <w:rPr>
          <w:rFonts w:ascii="宋体" w:hAnsi="宋体" w:cs="宋体"/>
          <w:sz w:val="24"/>
          <w:u w:val="dotted"/>
        </w:rPr>
      </w:pPr>
      <w:r>
        <w:rPr>
          <w:rFonts w:hint="eastAsia" w:ascii="宋体" w:hAnsi="宋体" w:cs="宋体"/>
          <w:sz w:val="24"/>
        </w:rPr>
        <w:t>请求：</w:t>
      </w:r>
    </w:p>
    <w:p w14:paraId="53946507">
      <w:pPr>
        <w:spacing w:line="360" w:lineRule="auto"/>
        <w:rPr>
          <w:rFonts w:ascii="宋体" w:hAnsi="宋体" w:cs="宋体"/>
          <w:sz w:val="24"/>
        </w:rPr>
      </w:pPr>
      <w:r>
        <w:rPr>
          <w:rFonts w:hint="eastAsia" w:ascii="宋体" w:hAnsi="宋体" w:cs="宋体"/>
          <w:sz w:val="24"/>
        </w:rPr>
        <w:t xml:space="preserve">签字(签章)：                   公章：                      </w:t>
      </w:r>
    </w:p>
    <w:p w14:paraId="2CD6504D">
      <w:pPr>
        <w:spacing w:line="360" w:lineRule="auto"/>
        <w:rPr>
          <w:rFonts w:ascii="宋体" w:hAnsi="宋体" w:cs="宋体"/>
          <w:sz w:val="24"/>
        </w:rPr>
      </w:pPr>
      <w:r>
        <w:rPr>
          <w:rFonts w:hint="eastAsia" w:ascii="宋体" w:hAnsi="宋体" w:cs="宋体"/>
          <w:sz w:val="24"/>
        </w:rPr>
        <w:t xml:space="preserve">日期：    </w:t>
      </w:r>
    </w:p>
    <w:p w14:paraId="2CD6FD1A">
      <w:pPr>
        <w:spacing w:line="360" w:lineRule="auto"/>
        <w:jc w:val="center"/>
        <w:rPr>
          <w:rFonts w:ascii="宋体" w:hAnsi="宋体" w:cs="宋体"/>
          <w:b/>
          <w:bCs/>
          <w:sz w:val="24"/>
        </w:rPr>
      </w:pPr>
    </w:p>
    <w:p w14:paraId="2EFDAEC8">
      <w:pPr>
        <w:spacing w:line="360" w:lineRule="auto"/>
        <w:rPr>
          <w:rFonts w:ascii="宋体" w:hAnsi="宋体" w:cs="宋体"/>
          <w:b/>
          <w:sz w:val="24"/>
        </w:rPr>
      </w:pPr>
    </w:p>
    <w:p w14:paraId="64173D54">
      <w:pPr>
        <w:spacing w:line="360" w:lineRule="auto"/>
        <w:rPr>
          <w:rFonts w:ascii="宋体" w:hAnsi="宋体" w:cs="宋体"/>
          <w:b/>
          <w:sz w:val="24"/>
        </w:rPr>
      </w:pPr>
    </w:p>
    <w:p w14:paraId="48045DB0">
      <w:pPr>
        <w:spacing w:line="360" w:lineRule="auto"/>
        <w:rPr>
          <w:rFonts w:ascii="宋体" w:hAnsi="宋体" w:cs="宋体"/>
          <w:b/>
          <w:sz w:val="24"/>
        </w:rPr>
      </w:pPr>
    </w:p>
    <w:p w14:paraId="5D283AD6">
      <w:pPr>
        <w:spacing w:line="360" w:lineRule="auto"/>
        <w:rPr>
          <w:rFonts w:ascii="宋体" w:hAnsi="宋体" w:cs="宋体"/>
          <w:b/>
          <w:sz w:val="24"/>
        </w:rPr>
      </w:pPr>
      <w:r>
        <w:rPr>
          <w:rFonts w:hint="eastAsia" w:ascii="宋体" w:hAnsi="宋体" w:cs="宋体"/>
          <w:b/>
          <w:sz w:val="24"/>
        </w:rPr>
        <w:t>质疑函制作说明：</w:t>
      </w:r>
    </w:p>
    <w:p w14:paraId="05C1B1B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0613C8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D5C823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E3919F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8537A4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909086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8D33CE0">
      <w:pPr>
        <w:widowControl/>
        <w:spacing w:line="360" w:lineRule="auto"/>
        <w:ind w:firstLine="600" w:firstLineChars="200"/>
        <w:jc w:val="left"/>
        <w:rPr>
          <w:rFonts w:ascii="宋体" w:hAnsi="宋体" w:cs="宋体"/>
          <w:sz w:val="30"/>
          <w:szCs w:val="30"/>
        </w:rPr>
      </w:pPr>
    </w:p>
    <w:p w14:paraId="66AFE7B0">
      <w:pPr>
        <w:spacing w:line="360" w:lineRule="auto"/>
        <w:jc w:val="center"/>
        <w:rPr>
          <w:rFonts w:ascii="宋体" w:hAnsi="宋体" w:cs="宋体"/>
          <w:b/>
          <w:spacing w:val="6"/>
          <w:sz w:val="32"/>
          <w:szCs w:val="32"/>
        </w:rPr>
      </w:pPr>
    </w:p>
    <w:p w14:paraId="7699DE82">
      <w:pPr>
        <w:spacing w:line="360" w:lineRule="auto"/>
        <w:jc w:val="center"/>
        <w:rPr>
          <w:rFonts w:ascii="宋体" w:hAnsi="宋体" w:cs="宋体"/>
          <w:b/>
          <w:spacing w:val="6"/>
          <w:sz w:val="32"/>
          <w:szCs w:val="32"/>
        </w:rPr>
      </w:pPr>
    </w:p>
    <w:p w14:paraId="6B8C5DAD">
      <w:pPr>
        <w:spacing w:line="360" w:lineRule="auto"/>
        <w:jc w:val="center"/>
        <w:rPr>
          <w:rFonts w:ascii="宋体" w:hAnsi="宋体" w:cs="宋体"/>
          <w:b/>
          <w:spacing w:val="6"/>
          <w:sz w:val="32"/>
          <w:szCs w:val="32"/>
        </w:rPr>
      </w:pPr>
    </w:p>
    <w:p w14:paraId="52E5EEC1">
      <w:pPr>
        <w:spacing w:line="360" w:lineRule="auto"/>
        <w:jc w:val="center"/>
        <w:rPr>
          <w:rFonts w:ascii="宋体" w:hAnsi="宋体" w:cs="宋体"/>
          <w:b/>
          <w:spacing w:val="6"/>
          <w:sz w:val="32"/>
          <w:szCs w:val="32"/>
        </w:rPr>
      </w:pPr>
    </w:p>
    <w:p w14:paraId="57E6EB44">
      <w:pPr>
        <w:spacing w:line="360" w:lineRule="auto"/>
        <w:jc w:val="center"/>
        <w:rPr>
          <w:rFonts w:ascii="宋体" w:hAnsi="宋体" w:cs="宋体"/>
          <w:b/>
          <w:spacing w:val="6"/>
          <w:sz w:val="32"/>
          <w:szCs w:val="32"/>
        </w:rPr>
      </w:pPr>
    </w:p>
    <w:p w14:paraId="10A64677">
      <w:pPr>
        <w:spacing w:line="360" w:lineRule="auto"/>
        <w:jc w:val="center"/>
        <w:rPr>
          <w:rFonts w:ascii="宋体" w:hAnsi="宋体" w:cs="宋体"/>
          <w:b/>
          <w:spacing w:val="6"/>
          <w:sz w:val="32"/>
          <w:szCs w:val="32"/>
        </w:rPr>
      </w:pPr>
    </w:p>
    <w:p w14:paraId="465C4F9A">
      <w:pPr>
        <w:spacing w:line="360" w:lineRule="auto"/>
        <w:jc w:val="center"/>
        <w:rPr>
          <w:rFonts w:ascii="宋体" w:hAnsi="宋体" w:cs="宋体"/>
          <w:b/>
          <w:spacing w:val="6"/>
          <w:sz w:val="32"/>
          <w:szCs w:val="32"/>
        </w:rPr>
      </w:pPr>
    </w:p>
    <w:p w14:paraId="54483109">
      <w:pPr>
        <w:spacing w:line="360" w:lineRule="auto"/>
        <w:jc w:val="center"/>
        <w:rPr>
          <w:rFonts w:ascii="宋体" w:hAnsi="宋体" w:cs="宋体"/>
          <w:b/>
          <w:spacing w:val="6"/>
          <w:sz w:val="32"/>
          <w:szCs w:val="32"/>
        </w:rPr>
      </w:pPr>
    </w:p>
    <w:p w14:paraId="37F1A83E">
      <w:pPr>
        <w:spacing w:line="360" w:lineRule="auto"/>
        <w:jc w:val="center"/>
        <w:rPr>
          <w:rFonts w:ascii="宋体" w:hAnsi="宋体" w:cs="宋体"/>
          <w:b/>
          <w:spacing w:val="6"/>
          <w:sz w:val="32"/>
          <w:szCs w:val="32"/>
        </w:rPr>
      </w:pPr>
    </w:p>
    <w:p w14:paraId="60CDAEF8">
      <w:pPr>
        <w:spacing w:line="360" w:lineRule="auto"/>
        <w:jc w:val="center"/>
        <w:rPr>
          <w:rFonts w:ascii="宋体" w:hAnsi="宋体" w:cs="宋体"/>
          <w:b/>
          <w:spacing w:val="6"/>
          <w:sz w:val="32"/>
          <w:szCs w:val="32"/>
        </w:rPr>
      </w:pPr>
    </w:p>
    <w:p w14:paraId="286EFFB5">
      <w:pPr>
        <w:spacing w:line="360" w:lineRule="auto"/>
        <w:jc w:val="center"/>
        <w:rPr>
          <w:rFonts w:ascii="宋体" w:hAnsi="宋体" w:cs="宋体"/>
          <w:b/>
          <w:spacing w:val="6"/>
          <w:sz w:val="32"/>
          <w:szCs w:val="32"/>
        </w:rPr>
      </w:pPr>
    </w:p>
    <w:p w14:paraId="1FA7E01E">
      <w:pPr>
        <w:spacing w:line="360" w:lineRule="auto"/>
        <w:jc w:val="center"/>
        <w:rPr>
          <w:rFonts w:ascii="宋体" w:hAnsi="宋体" w:cs="宋体"/>
          <w:b/>
          <w:spacing w:val="6"/>
          <w:sz w:val="32"/>
          <w:szCs w:val="32"/>
        </w:rPr>
      </w:pPr>
    </w:p>
    <w:p w14:paraId="15A7EFF5">
      <w:pPr>
        <w:spacing w:line="360" w:lineRule="auto"/>
        <w:jc w:val="left"/>
        <w:rPr>
          <w:rFonts w:ascii="宋体" w:hAnsi="宋体" w:cs="宋体"/>
          <w:b/>
          <w:spacing w:val="6"/>
          <w:sz w:val="32"/>
          <w:szCs w:val="32"/>
        </w:rPr>
      </w:pPr>
    </w:p>
    <w:p w14:paraId="42A4632E">
      <w:pPr>
        <w:spacing w:line="360" w:lineRule="auto"/>
        <w:jc w:val="left"/>
        <w:rPr>
          <w:rFonts w:ascii="宋体" w:hAnsi="宋体" w:cs="宋体"/>
          <w:b/>
          <w:spacing w:val="6"/>
          <w:sz w:val="32"/>
          <w:szCs w:val="32"/>
        </w:rPr>
      </w:pPr>
    </w:p>
    <w:p w14:paraId="518AA4D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D4F26DA">
      <w:pPr>
        <w:spacing w:line="360" w:lineRule="auto"/>
        <w:jc w:val="center"/>
        <w:rPr>
          <w:rFonts w:ascii="宋体" w:hAnsi="宋体" w:cs="宋体"/>
          <w:b/>
          <w:sz w:val="24"/>
        </w:rPr>
      </w:pPr>
    </w:p>
    <w:p w14:paraId="17D5330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A08A189">
      <w:pPr>
        <w:spacing w:line="360" w:lineRule="auto"/>
        <w:rPr>
          <w:rFonts w:ascii="宋体" w:hAnsi="宋体" w:cs="宋体"/>
          <w:sz w:val="24"/>
        </w:rPr>
      </w:pPr>
      <w:r>
        <w:rPr>
          <w:rFonts w:hint="eastAsia" w:ascii="宋体" w:hAnsi="宋体" w:cs="宋体"/>
          <w:sz w:val="24"/>
        </w:rPr>
        <w:t>一、投诉相关主体基本情况</w:t>
      </w:r>
    </w:p>
    <w:p w14:paraId="2A5DAEEB">
      <w:pPr>
        <w:spacing w:line="360" w:lineRule="auto"/>
        <w:rPr>
          <w:rFonts w:ascii="宋体" w:hAnsi="宋体" w:cs="宋体"/>
          <w:sz w:val="24"/>
          <w:u w:val="dotted"/>
        </w:rPr>
      </w:pPr>
      <w:r>
        <w:rPr>
          <w:rFonts w:hint="eastAsia" w:ascii="宋体" w:hAnsi="宋体" w:cs="宋体"/>
          <w:sz w:val="24"/>
        </w:rPr>
        <w:t>投诉人：</w:t>
      </w:r>
    </w:p>
    <w:p w14:paraId="25B490A1">
      <w:pPr>
        <w:spacing w:line="360" w:lineRule="auto"/>
        <w:rPr>
          <w:rFonts w:ascii="宋体" w:hAnsi="宋体" w:cs="宋体"/>
          <w:sz w:val="24"/>
          <w:u w:val="single"/>
        </w:rPr>
      </w:pPr>
      <w:r>
        <w:rPr>
          <w:rFonts w:hint="eastAsia" w:ascii="宋体" w:hAnsi="宋体" w:cs="宋体"/>
          <w:sz w:val="24"/>
        </w:rPr>
        <w:t>地     址：邮编：</w:t>
      </w:r>
    </w:p>
    <w:p w14:paraId="44E0D90D">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2BE3C277">
      <w:pPr>
        <w:tabs>
          <w:tab w:val="left" w:pos="6510"/>
        </w:tabs>
        <w:spacing w:line="360" w:lineRule="auto"/>
        <w:rPr>
          <w:rFonts w:ascii="宋体" w:hAnsi="宋体" w:cs="宋体"/>
          <w:sz w:val="24"/>
          <w:u w:val="dotted"/>
        </w:rPr>
      </w:pPr>
      <w:r>
        <w:rPr>
          <w:rFonts w:hint="eastAsia" w:ascii="宋体" w:hAnsi="宋体" w:cs="宋体"/>
          <w:sz w:val="24"/>
        </w:rPr>
        <w:t>联系电话：</w:t>
      </w:r>
    </w:p>
    <w:p w14:paraId="70C60335">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47A0CA12">
      <w:pPr>
        <w:spacing w:line="360" w:lineRule="auto"/>
        <w:rPr>
          <w:rFonts w:ascii="宋体" w:hAnsi="宋体" w:cs="宋体"/>
          <w:sz w:val="24"/>
          <w:u w:val="dotted"/>
        </w:rPr>
      </w:pPr>
      <w:r>
        <w:rPr>
          <w:rFonts w:hint="eastAsia" w:ascii="宋体" w:hAnsi="宋体" w:cs="宋体"/>
          <w:sz w:val="24"/>
        </w:rPr>
        <w:t>地     址：邮编：</w:t>
      </w:r>
    </w:p>
    <w:p w14:paraId="31E26858">
      <w:pPr>
        <w:spacing w:line="360" w:lineRule="auto"/>
        <w:rPr>
          <w:rFonts w:ascii="宋体" w:hAnsi="宋体" w:cs="宋体"/>
          <w:sz w:val="24"/>
          <w:u w:val="single"/>
        </w:rPr>
      </w:pPr>
      <w:r>
        <w:rPr>
          <w:rFonts w:hint="eastAsia" w:ascii="宋体" w:hAnsi="宋体" w:cs="宋体"/>
          <w:sz w:val="24"/>
        </w:rPr>
        <w:t>被投诉人1：</w:t>
      </w:r>
    </w:p>
    <w:p w14:paraId="64354550">
      <w:pPr>
        <w:spacing w:line="360" w:lineRule="auto"/>
        <w:rPr>
          <w:rFonts w:ascii="宋体" w:hAnsi="宋体" w:cs="宋体"/>
          <w:sz w:val="24"/>
          <w:u w:val="single"/>
        </w:rPr>
      </w:pPr>
      <w:r>
        <w:rPr>
          <w:rFonts w:hint="eastAsia" w:ascii="宋体" w:hAnsi="宋体" w:cs="宋体"/>
          <w:sz w:val="24"/>
        </w:rPr>
        <w:t>地     址：邮编：</w:t>
      </w:r>
    </w:p>
    <w:p w14:paraId="534EC99E">
      <w:pPr>
        <w:spacing w:line="360" w:lineRule="auto"/>
        <w:rPr>
          <w:rFonts w:ascii="宋体" w:hAnsi="宋体" w:cs="宋体"/>
          <w:sz w:val="24"/>
          <w:u w:val="single"/>
        </w:rPr>
      </w:pPr>
      <w:r>
        <w:rPr>
          <w:rFonts w:hint="eastAsia" w:ascii="宋体" w:hAnsi="宋体" w:cs="宋体"/>
          <w:sz w:val="24"/>
        </w:rPr>
        <w:t>联系人：联系电话：</w:t>
      </w:r>
    </w:p>
    <w:p w14:paraId="5F4178EE">
      <w:pPr>
        <w:spacing w:line="360" w:lineRule="auto"/>
        <w:rPr>
          <w:rFonts w:ascii="宋体" w:hAnsi="宋体" w:cs="宋体"/>
          <w:sz w:val="24"/>
        </w:rPr>
      </w:pPr>
      <w:r>
        <w:rPr>
          <w:rFonts w:hint="eastAsia" w:ascii="宋体" w:hAnsi="宋体" w:cs="宋体"/>
          <w:sz w:val="24"/>
        </w:rPr>
        <w:t>被投诉人2</w:t>
      </w:r>
    </w:p>
    <w:p w14:paraId="1FA0D1F1">
      <w:pPr>
        <w:spacing w:line="360" w:lineRule="auto"/>
        <w:rPr>
          <w:rFonts w:ascii="宋体" w:hAnsi="宋体" w:cs="宋体"/>
          <w:sz w:val="24"/>
          <w:u w:val="dotted"/>
        </w:rPr>
      </w:pPr>
      <w:r>
        <w:rPr>
          <w:rFonts w:hint="eastAsia" w:ascii="宋体" w:hAnsi="宋体" w:cs="宋体"/>
          <w:sz w:val="24"/>
        </w:rPr>
        <w:t>……</w:t>
      </w:r>
    </w:p>
    <w:p w14:paraId="515906C7">
      <w:pPr>
        <w:spacing w:line="360" w:lineRule="auto"/>
        <w:rPr>
          <w:rFonts w:ascii="宋体" w:hAnsi="宋体" w:cs="宋体"/>
          <w:sz w:val="24"/>
          <w:u w:val="single"/>
        </w:rPr>
      </w:pPr>
      <w:r>
        <w:rPr>
          <w:rFonts w:hint="eastAsia" w:ascii="宋体" w:hAnsi="宋体" w:cs="宋体"/>
          <w:sz w:val="24"/>
        </w:rPr>
        <w:t>相关供应商：</w:t>
      </w:r>
    </w:p>
    <w:p w14:paraId="09C35F09">
      <w:pPr>
        <w:spacing w:line="360" w:lineRule="auto"/>
        <w:rPr>
          <w:rFonts w:ascii="宋体" w:hAnsi="宋体" w:cs="宋体"/>
          <w:sz w:val="24"/>
          <w:u w:val="single"/>
        </w:rPr>
      </w:pPr>
      <w:r>
        <w:rPr>
          <w:rFonts w:hint="eastAsia" w:ascii="宋体" w:hAnsi="宋体" w:cs="宋体"/>
          <w:sz w:val="24"/>
        </w:rPr>
        <w:t>地     址：邮编：</w:t>
      </w:r>
    </w:p>
    <w:p w14:paraId="136A304C">
      <w:pPr>
        <w:spacing w:line="360" w:lineRule="auto"/>
        <w:rPr>
          <w:rFonts w:ascii="宋体" w:hAnsi="宋体" w:cs="宋体"/>
          <w:sz w:val="24"/>
          <w:u w:val="single"/>
        </w:rPr>
      </w:pPr>
      <w:r>
        <w:rPr>
          <w:rFonts w:hint="eastAsia" w:ascii="宋体" w:hAnsi="宋体" w:cs="宋体"/>
          <w:sz w:val="24"/>
        </w:rPr>
        <w:t>联系人：联系电话：</w:t>
      </w:r>
    </w:p>
    <w:p w14:paraId="280A5B5C">
      <w:pPr>
        <w:spacing w:line="360" w:lineRule="auto"/>
        <w:rPr>
          <w:rFonts w:ascii="宋体" w:hAnsi="宋体" w:cs="宋体"/>
          <w:sz w:val="24"/>
        </w:rPr>
      </w:pPr>
      <w:r>
        <w:rPr>
          <w:rFonts w:hint="eastAsia" w:ascii="宋体" w:hAnsi="宋体" w:cs="宋体"/>
          <w:sz w:val="24"/>
        </w:rPr>
        <w:t>二、投诉项目基本情况</w:t>
      </w:r>
    </w:p>
    <w:p w14:paraId="06DDD8E1">
      <w:pPr>
        <w:spacing w:line="360" w:lineRule="auto"/>
        <w:rPr>
          <w:rFonts w:ascii="宋体" w:hAnsi="宋体" w:cs="宋体"/>
          <w:sz w:val="24"/>
          <w:u w:val="dotted"/>
        </w:rPr>
      </w:pPr>
      <w:r>
        <w:rPr>
          <w:rFonts w:hint="eastAsia" w:ascii="宋体" w:hAnsi="宋体" w:cs="宋体"/>
          <w:sz w:val="24"/>
        </w:rPr>
        <w:t>采购项目名称：</w:t>
      </w:r>
    </w:p>
    <w:p w14:paraId="5CD578EA">
      <w:pPr>
        <w:spacing w:line="360" w:lineRule="auto"/>
        <w:rPr>
          <w:rFonts w:ascii="宋体" w:hAnsi="宋体" w:cs="宋体"/>
          <w:sz w:val="24"/>
          <w:u w:val="single"/>
        </w:rPr>
      </w:pPr>
      <w:r>
        <w:rPr>
          <w:rFonts w:hint="eastAsia" w:ascii="宋体" w:hAnsi="宋体" w:cs="宋体"/>
          <w:sz w:val="24"/>
        </w:rPr>
        <w:t>采购项目编号：包号：</w:t>
      </w:r>
    </w:p>
    <w:p w14:paraId="08645C4F">
      <w:pPr>
        <w:spacing w:line="360" w:lineRule="auto"/>
        <w:rPr>
          <w:rFonts w:ascii="宋体" w:hAnsi="宋体" w:cs="宋体"/>
          <w:sz w:val="24"/>
        </w:rPr>
      </w:pPr>
      <w:r>
        <w:rPr>
          <w:rFonts w:hint="eastAsia" w:ascii="宋体" w:hAnsi="宋体" w:cs="宋体"/>
          <w:sz w:val="24"/>
        </w:rPr>
        <w:t>采购人名称：</w:t>
      </w:r>
    </w:p>
    <w:p w14:paraId="7A88F24E">
      <w:pPr>
        <w:spacing w:line="360" w:lineRule="auto"/>
        <w:rPr>
          <w:rFonts w:ascii="宋体" w:hAnsi="宋体" w:cs="宋体"/>
          <w:sz w:val="24"/>
          <w:u w:val="single"/>
        </w:rPr>
      </w:pPr>
      <w:r>
        <w:rPr>
          <w:rFonts w:hint="eastAsia" w:ascii="宋体" w:hAnsi="宋体" w:cs="宋体"/>
          <w:sz w:val="24"/>
        </w:rPr>
        <w:t>代理机构名称：</w:t>
      </w:r>
    </w:p>
    <w:p w14:paraId="75DAAB3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1068582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258832F3">
      <w:pPr>
        <w:spacing w:line="360" w:lineRule="auto"/>
        <w:rPr>
          <w:rFonts w:ascii="宋体" w:hAnsi="宋体" w:cs="宋体"/>
          <w:sz w:val="24"/>
        </w:rPr>
      </w:pPr>
      <w:r>
        <w:rPr>
          <w:rFonts w:hint="eastAsia" w:ascii="宋体" w:hAnsi="宋体" w:cs="宋体"/>
          <w:sz w:val="24"/>
        </w:rPr>
        <w:t>三、质疑基本情况</w:t>
      </w:r>
    </w:p>
    <w:p w14:paraId="04DEBAF2">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3AA9FD6A">
      <w:pPr>
        <w:spacing w:line="360" w:lineRule="auto"/>
        <w:rPr>
          <w:rFonts w:ascii="宋体" w:hAnsi="宋体" w:cs="宋体"/>
          <w:sz w:val="24"/>
          <w:u w:val="dotted"/>
        </w:rPr>
      </w:pPr>
    </w:p>
    <w:p w14:paraId="3E21008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08935B55">
      <w:pPr>
        <w:spacing w:line="360" w:lineRule="auto"/>
        <w:rPr>
          <w:rFonts w:ascii="宋体" w:hAnsi="宋体" w:cs="宋体"/>
          <w:sz w:val="24"/>
        </w:rPr>
      </w:pPr>
      <w:r>
        <w:rPr>
          <w:rFonts w:hint="eastAsia" w:ascii="宋体" w:hAnsi="宋体" w:cs="宋体"/>
          <w:sz w:val="24"/>
        </w:rPr>
        <w:t>四、投诉事项具体内容</w:t>
      </w:r>
    </w:p>
    <w:p w14:paraId="1234016C">
      <w:pPr>
        <w:spacing w:line="360" w:lineRule="auto"/>
        <w:rPr>
          <w:rFonts w:ascii="宋体" w:hAnsi="宋体" w:cs="宋体"/>
          <w:sz w:val="24"/>
          <w:u w:val="single"/>
        </w:rPr>
      </w:pPr>
      <w:r>
        <w:rPr>
          <w:rFonts w:hint="eastAsia" w:ascii="宋体" w:hAnsi="宋体" w:cs="宋体"/>
          <w:sz w:val="24"/>
        </w:rPr>
        <w:t>投诉事项 1：</w:t>
      </w:r>
    </w:p>
    <w:p w14:paraId="3A969259">
      <w:pPr>
        <w:spacing w:line="360" w:lineRule="auto"/>
        <w:rPr>
          <w:rFonts w:ascii="宋体" w:hAnsi="宋体" w:cs="宋体"/>
          <w:sz w:val="24"/>
        </w:rPr>
      </w:pPr>
      <w:r>
        <w:rPr>
          <w:rFonts w:hint="eastAsia" w:ascii="宋体" w:hAnsi="宋体" w:cs="宋体"/>
          <w:sz w:val="24"/>
        </w:rPr>
        <w:t>事实依据：</w:t>
      </w:r>
    </w:p>
    <w:p w14:paraId="0E6990B9">
      <w:pPr>
        <w:spacing w:line="360" w:lineRule="auto"/>
        <w:rPr>
          <w:rFonts w:ascii="宋体" w:hAnsi="宋体" w:cs="宋体"/>
          <w:sz w:val="24"/>
          <w:u w:val="dotted"/>
        </w:rPr>
      </w:pPr>
    </w:p>
    <w:p w14:paraId="0C9521BC">
      <w:pPr>
        <w:spacing w:line="360" w:lineRule="auto"/>
        <w:rPr>
          <w:rFonts w:ascii="宋体" w:hAnsi="宋体" w:cs="宋体"/>
          <w:sz w:val="24"/>
          <w:u w:val="single"/>
        </w:rPr>
      </w:pPr>
      <w:r>
        <w:rPr>
          <w:rFonts w:hint="eastAsia" w:ascii="宋体" w:hAnsi="宋体" w:cs="宋体"/>
          <w:sz w:val="24"/>
        </w:rPr>
        <w:t>法律依据：</w:t>
      </w:r>
    </w:p>
    <w:p w14:paraId="79BB046C">
      <w:pPr>
        <w:spacing w:line="360" w:lineRule="auto"/>
        <w:rPr>
          <w:rFonts w:ascii="宋体" w:hAnsi="宋体" w:cs="宋体"/>
          <w:sz w:val="24"/>
          <w:u w:val="dotted"/>
        </w:rPr>
      </w:pPr>
    </w:p>
    <w:p w14:paraId="55D538C9">
      <w:pPr>
        <w:spacing w:line="360" w:lineRule="auto"/>
        <w:rPr>
          <w:rFonts w:ascii="宋体" w:hAnsi="宋体" w:cs="宋体"/>
          <w:sz w:val="24"/>
        </w:rPr>
      </w:pPr>
      <w:r>
        <w:rPr>
          <w:rFonts w:hint="eastAsia" w:ascii="宋体" w:hAnsi="宋体" w:cs="宋体"/>
          <w:sz w:val="24"/>
        </w:rPr>
        <w:t>投诉事项2</w:t>
      </w:r>
    </w:p>
    <w:p w14:paraId="7C46BC84">
      <w:pPr>
        <w:spacing w:line="360" w:lineRule="auto"/>
        <w:rPr>
          <w:rFonts w:ascii="宋体" w:hAnsi="宋体" w:cs="宋体"/>
          <w:sz w:val="24"/>
          <w:u w:val="dotted"/>
        </w:rPr>
      </w:pPr>
      <w:r>
        <w:rPr>
          <w:rFonts w:hint="eastAsia" w:ascii="宋体" w:hAnsi="宋体" w:cs="宋体"/>
          <w:sz w:val="24"/>
        </w:rPr>
        <w:t>……</w:t>
      </w:r>
    </w:p>
    <w:p w14:paraId="2921483B">
      <w:pPr>
        <w:spacing w:line="360" w:lineRule="auto"/>
        <w:rPr>
          <w:rFonts w:ascii="宋体" w:hAnsi="宋体" w:cs="宋体"/>
          <w:sz w:val="24"/>
        </w:rPr>
      </w:pPr>
      <w:r>
        <w:rPr>
          <w:rFonts w:hint="eastAsia" w:ascii="宋体" w:hAnsi="宋体" w:cs="宋体"/>
          <w:sz w:val="24"/>
        </w:rPr>
        <w:t>五、与投诉事项相关的投诉请求</w:t>
      </w:r>
    </w:p>
    <w:p w14:paraId="13E5087D">
      <w:pPr>
        <w:spacing w:line="360" w:lineRule="auto"/>
        <w:rPr>
          <w:rFonts w:ascii="宋体" w:hAnsi="宋体" w:cs="宋体"/>
          <w:sz w:val="24"/>
        </w:rPr>
      </w:pPr>
      <w:r>
        <w:rPr>
          <w:rFonts w:hint="eastAsia" w:ascii="宋体" w:hAnsi="宋体" w:cs="宋体"/>
          <w:sz w:val="24"/>
        </w:rPr>
        <w:t>请求：</w:t>
      </w:r>
    </w:p>
    <w:p w14:paraId="12ECB3CF">
      <w:pPr>
        <w:spacing w:line="360" w:lineRule="auto"/>
        <w:rPr>
          <w:rFonts w:ascii="宋体" w:hAnsi="宋体" w:cs="宋体"/>
          <w:sz w:val="24"/>
          <w:u w:val="single"/>
        </w:rPr>
      </w:pPr>
    </w:p>
    <w:p w14:paraId="0551DE0E">
      <w:pPr>
        <w:spacing w:line="360" w:lineRule="auto"/>
        <w:rPr>
          <w:rFonts w:ascii="宋体" w:hAnsi="宋体" w:cs="宋体"/>
          <w:sz w:val="24"/>
        </w:rPr>
      </w:pPr>
      <w:r>
        <w:rPr>
          <w:rFonts w:hint="eastAsia" w:ascii="宋体" w:hAnsi="宋体" w:cs="宋体"/>
          <w:sz w:val="24"/>
        </w:rPr>
        <w:t xml:space="preserve">签字(签章)：                   公章：                      </w:t>
      </w:r>
    </w:p>
    <w:p w14:paraId="02BA1C76">
      <w:pPr>
        <w:spacing w:line="360" w:lineRule="auto"/>
        <w:rPr>
          <w:rFonts w:ascii="宋体" w:hAnsi="宋体" w:cs="宋体"/>
          <w:sz w:val="24"/>
        </w:rPr>
      </w:pPr>
      <w:r>
        <w:rPr>
          <w:rFonts w:hint="eastAsia" w:ascii="宋体" w:hAnsi="宋体" w:cs="宋体"/>
          <w:sz w:val="24"/>
        </w:rPr>
        <w:t xml:space="preserve">日期：    </w:t>
      </w:r>
    </w:p>
    <w:p w14:paraId="4BDD85AE">
      <w:pPr>
        <w:spacing w:line="360" w:lineRule="auto"/>
        <w:rPr>
          <w:rFonts w:ascii="宋体" w:hAnsi="宋体" w:cs="宋体"/>
          <w:b/>
          <w:sz w:val="24"/>
        </w:rPr>
      </w:pPr>
    </w:p>
    <w:p w14:paraId="595FF82E">
      <w:pPr>
        <w:spacing w:line="360" w:lineRule="auto"/>
        <w:rPr>
          <w:rFonts w:ascii="宋体" w:hAnsi="宋体" w:cs="宋体"/>
          <w:b/>
          <w:sz w:val="24"/>
        </w:rPr>
      </w:pPr>
    </w:p>
    <w:p w14:paraId="6F838FA0">
      <w:pPr>
        <w:spacing w:line="360" w:lineRule="auto"/>
        <w:rPr>
          <w:rFonts w:ascii="宋体" w:hAnsi="宋体" w:cs="宋体"/>
          <w:b/>
          <w:sz w:val="24"/>
        </w:rPr>
      </w:pPr>
      <w:r>
        <w:rPr>
          <w:rFonts w:hint="eastAsia" w:ascii="宋体" w:hAnsi="宋体" w:cs="宋体"/>
          <w:b/>
          <w:sz w:val="24"/>
        </w:rPr>
        <w:t>投诉书制作说明：</w:t>
      </w:r>
    </w:p>
    <w:p w14:paraId="720BEC2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99D46E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6A509C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EDC46D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E862C7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DDC2F3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56F234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91EA11B">
      <w:pPr>
        <w:spacing w:line="360" w:lineRule="auto"/>
        <w:rPr>
          <w:rFonts w:ascii="宋体" w:hAnsi="宋体" w:cs="宋体"/>
          <w:b/>
          <w:sz w:val="24"/>
        </w:rPr>
      </w:pPr>
    </w:p>
    <w:p w14:paraId="0434244F">
      <w:pPr>
        <w:autoSpaceDE w:val="0"/>
        <w:autoSpaceDN w:val="0"/>
        <w:jc w:val="center"/>
        <w:rPr>
          <w:rFonts w:ascii="宋体" w:hAnsi="宋体" w:cs="宋体"/>
          <w:b/>
          <w:spacing w:val="6"/>
          <w:sz w:val="32"/>
          <w:szCs w:val="32"/>
        </w:rPr>
      </w:pPr>
    </w:p>
    <w:p w14:paraId="4E4D440A">
      <w:pPr>
        <w:autoSpaceDE w:val="0"/>
        <w:autoSpaceDN w:val="0"/>
        <w:jc w:val="center"/>
        <w:rPr>
          <w:rFonts w:ascii="宋体" w:hAnsi="宋体" w:cs="宋体"/>
          <w:b/>
          <w:spacing w:val="6"/>
          <w:sz w:val="32"/>
          <w:szCs w:val="32"/>
        </w:rPr>
      </w:pPr>
    </w:p>
    <w:p w14:paraId="31D2FE4E">
      <w:pPr>
        <w:autoSpaceDE w:val="0"/>
        <w:autoSpaceDN w:val="0"/>
        <w:jc w:val="center"/>
        <w:rPr>
          <w:rFonts w:hint="eastAsia" w:ascii="宋体" w:hAnsi="宋体" w:cs="宋体"/>
          <w:b/>
          <w:spacing w:val="6"/>
          <w:sz w:val="32"/>
          <w:szCs w:val="32"/>
        </w:rPr>
      </w:pPr>
    </w:p>
    <w:p w14:paraId="6A5F4F6C">
      <w:pPr>
        <w:autoSpaceDE w:val="0"/>
        <w:autoSpaceDN w:val="0"/>
        <w:jc w:val="center"/>
        <w:rPr>
          <w:rFonts w:hint="eastAsia" w:ascii="宋体" w:hAnsi="宋体" w:cs="宋体"/>
          <w:b/>
          <w:spacing w:val="6"/>
          <w:sz w:val="32"/>
          <w:szCs w:val="32"/>
        </w:rPr>
      </w:pPr>
    </w:p>
    <w:p w14:paraId="49FCCAE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03FDAD2">
      <w:pPr>
        <w:spacing w:line="360" w:lineRule="auto"/>
        <w:rPr>
          <w:rFonts w:ascii="宋体" w:hAnsi="宋体" w:cs="宋体"/>
          <w:sz w:val="24"/>
          <w:u w:val="single"/>
        </w:rPr>
      </w:pPr>
    </w:p>
    <w:p w14:paraId="60CD2B13">
      <w:pPr>
        <w:spacing w:line="360" w:lineRule="auto"/>
        <w:rPr>
          <w:rFonts w:ascii="宋体" w:hAnsi="宋体" w:cs="宋体"/>
          <w:sz w:val="24"/>
        </w:rPr>
      </w:pPr>
      <w:r>
        <w:rPr>
          <w:rFonts w:hint="eastAsia" w:ascii="宋体" w:hAnsi="宋体" w:cs="宋体"/>
          <w:sz w:val="24"/>
          <w:u w:val="single"/>
        </w:rPr>
        <w:t>杭州市卫生健康委员会、杭州市公共资源交易中心：</w:t>
      </w:r>
    </w:p>
    <w:p w14:paraId="5843C31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你方组织的杭州市“善育在杭2.0”项目【招标编号：</w:t>
      </w:r>
      <w:r>
        <w:rPr>
          <w:rFonts w:hint="eastAsia" w:ascii="宋体" w:hAnsi="宋体" w:cs="宋体"/>
          <w:sz w:val="24"/>
          <w:lang w:eastAsia="zh-CN"/>
        </w:rPr>
        <w:t>HZZFCG-2024-163</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3D2815D">
      <w:pPr>
        <w:spacing w:line="360" w:lineRule="auto"/>
        <w:ind w:firstLine="480" w:firstLineChars="200"/>
        <w:rPr>
          <w:rFonts w:ascii="宋体" w:hAnsi="宋体" w:cs="宋体"/>
          <w:sz w:val="24"/>
        </w:rPr>
      </w:pPr>
      <w:r>
        <w:rPr>
          <w:rFonts w:hint="eastAsia" w:ascii="宋体" w:hAnsi="宋体" w:cs="宋体"/>
          <w:sz w:val="24"/>
        </w:rPr>
        <w:t>特此说明。</w:t>
      </w:r>
    </w:p>
    <w:p w14:paraId="1DCFBFCD">
      <w:pPr>
        <w:spacing w:line="360" w:lineRule="auto"/>
        <w:ind w:firstLine="494"/>
        <w:rPr>
          <w:rFonts w:ascii="宋体" w:hAnsi="宋体" w:cs="宋体"/>
          <w:sz w:val="24"/>
        </w:rPr>
      </w:pPr>
    </w:p>
    <w:p w14:paraId="62837036">
      <w:pPr>
        <w:spacing w:line="360" w:lineRule="auto"/>
        <w:ind w:firstLine="494"/>
        <w:rPr>
          <w:rFonts w:ascii="宋体" w:hAnsi="宋体" w:cs="宋体"/>
          <w:sz w:val="24"/>
        </w:rPr>
      </w:pPr>
    </w:p>
    <w:p w14:paraId="293ADE71">
      <w:pPr>
        <w:spacing w:line="360" w:lineRule="auto"/>
        <w:ind w:firstLine="494"/>
        <w:rPr>
          <w:rFonts w:ascii="宋体" w:hAnsi="宋体" w:cs="宋体"/>
          <w:sz w:val="24"/>
        </w:rPr>
      </w:pPr>
    </w:p>
    <w:p w14:paraId="1A8AC8BF">
      <w:pPr>
        <w:spacing w:line="360" w:lineRule="auto"/>
        <w:ind w:firstLine="494"/>
        <w:rPr>
          <w:rFonts w:ascii="宋体" w:hAnsi="宋体" w:cs="宋体"/>
          <w:sz w:val="24"/>
        </w:rPr>
      </w:pPr>
    </w:p>
    <w:p w14:paraId="051AB66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BAC33CD">
      <w:pPr>
        <w:ind w:right="1440" w:firstLine="494"/>
        <w:jc w:val="center"/>
        <w:rPr>
          <w:rFonts w:ascii="宋体" w:hAnsi="宋体" w:cs="宋体"/>
          <w:sz w:val="24"/>
        </w:rPr>
      </w:pPr>
      <w:r>
        <w:rPr>
          <w:rFonts w:hint="eastAsia" w:ascii="宋体" w:hAnsi="宋体" w:cs="宋体"/>
          <w:sz w:val="24"/>
        </w:rPr>
        <w:t xml:space="preserve">                              日期：       年     月     日</w:t>
      </w:r>
    </w:p>
    <w:p w14:paraId="442704F9">
      <w:pPr>
        <w:rPr>
          <w:rFonts w:ascii="宋体" w:hAnsi="宋体" w:cs="宋体"/>
          <w:sz w:val="24"/>
        </w:rPr>
      </w:pPr>
      <w:r>
        <w:rPr>
          <w:rFonts w:hint="eastAsia" w:ascii="宋体" w:hAnsi="宋体" w:cs="宋体"/>
          <w:b/>
          <w:bCs/>
          <w:sz w:val="24"/>
        </w:rPr>
        <w:t>附：</w:t>
      </w:r>
    </w:p>
    <w:p w14:paraId="6558516C">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path/>
            <v:fill focussize="0,0"/>
            <v:stroke miterlimit="2"/>
            <v:imagedata o:title=""/>
            <o:lock v:ext="edit"/>
            <v:textbox>
              <w:txbxContent>
                <w:p w14:paraId="05B0A484"/>
              </w:txbxContent>
            </v:textbox>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path/>
            <v:fill focussize="0,0"/>
            <v:stroke miterlimit="2"/>
            <v:imagedata o:title=""/>
            <o:lock v:ext="edit"/>
            <v:textbox>
              <w:txbxContent>
                <w:p w14:paraId="4C021884"/>
              </w:txbxContent>
            </v:textbox>
          </v:rect>
        </w:pict>
      </w:r>
      <w:r>
        <w:rPr>
          <w:rFonts w:hint="eastAsia" w:ascii="宋体" w:hAnsi="宋体" w:cs="宋体"/>
          <w:sz w:val="24"/>
        </w:rPr>
        <w:t>投标单位法定名称章（印模）                投标单位“XX专用章”（印模）</w:t>
      </w:r>
    </w:p>
    <w:p w14:paraId="14C73D8E">
      <w:pPr>
        <w:autoSpaceDE w:val="0"/>
        <w:autoSpaceDN w:val="0"/>
        <w:jc w:val="center"/>
        <w:rPr>
          <w:rFonts w:ascii="宋体" w:hAnsi="宋体" w:cs="宋体"/>
          <w:b/>
          <w:spacing w:val="6"/>
          <w:sz w:val="32"/>
          <w:szCs w:val="32"/>
        </w:rPr>
      </w:pPr>
    </w:p>
    <w:p w14:paraId="4775D6DA">
      <w:pPr>
        <w:autoSpaceDE w:val="0"/>
        <w:autoSpaceDN w:val="0"/>
        <w:jc w:val="center"/>
        <w:rPr>
          <w:rFonts w:ascii="宋体" w:hAnsi="宋体" w:cs="宋体"/>
          <w:b/>
          <w:spacing w:val="6"/>
          <w:sz w:val="32"/>
          <w:szCs w:val="32"/>
        </w:rPr>
      </w:pPr>
    </w:p>
    <w:p w14:paraId="7B7EE45E">
      <w:pPr>
        <w:autoSpaceDE w:val="0"/>
        <w:autoSpaceDN w:val="0"/>
        <w:jc w:val="center"/>
        <w:rPr>
          <w:rFonts w:ascii="宋体" w:hAnsi="宋体" w:cs="宋体"/>
          <w:b/>
          <w:spacing w:val="6"/>
          <w:sz w:val="32"/>
          <w:szCs w:val="32"/>
        </w:rPr>
      </w:pPr>
    </w:p>
    <w:p w14:paraId="143B162C">
      <w:pPr>
        <w:autoSpaceDE w:val="0"/>
        <w:autoSpaceDN w:val="0"/>
        <w:jc w:val="center"/>
        <w:rPr>
          <w:rFonts w:ascii="宋体" w:hAnsi="宋体" w:cs="宋体"/>
          <w:b/>
          <w:spacing w:val="6"/>
          <w:sz w:val="32"/>
          <w:szCs w:val="32"/>
        </w:rPr>
      </w:pPr>
    </w:p>
    <w:p w14:paraId="59D59F79">
      <w:pPr>
        <w:autoSpaceDE w:val="0"/>
        <w:autoSpaceDN w:val="0"/>
        <w:jc w:val="center"/>
        <w:rPr>
          <w:rFonts w:ascii="宋体" w:hAnsi="宋体" w:cs="宋体"/>
          <w:b/>
          <w:spacing w:val="6"/>
          <w:sz w:val="32"/>
          <w:szCs w:val="32"/>
        </w:rPr>
      </w:pPr>
    </w:p>
    <w:p w14:paraId="2CE48FEB">
      <w:pPr>
        <w:autoSpaceDE w:val="0"/>
        <w:autoSpaceDN w:val="0"/>
        <w:jc w:val="center"/>
        <w:rPr>
          <w:rFonts w:ascii="宋体" w:hAnsi="宋体" w:cs="宋体"/>
          <w:b/>
          <w:spacing w:val="6"/>
          <w:sz w:val="32"/>
          <w:szCs w:val="32"/>
        </w:rPr>
      </w:pPr>
    </w:p>
    <w:p w14:paraId="53CEABA1">
      <w:pPr>
        <w:autoSpaceDE w:val="0"/>
        <w:autoSpaceDN w:val="0"/>
        <w:jc w:val="center"/>
        <w:rPr>
          <w:rFonts w:ascii="宋体" w:hAnsi="宋体" w:cs="宋体"/>
          <w:b/>
          <w:spacing w:val="6"/>
          <w:sz w:val="32"/>
          <w:szCs w:val="32"/>
        </w:rPr>
      </w:pPr>
    </w:p>
    <w:p w14:paraId="3224EF5D">
      <w:pPr>
        <w:autoSpaceDE w:val="0"/>
        <w:autoSpaceDN w:val="0"/>
        <w:jc w:val="center"/>
        <w:rPr>
          <w:rFonts w:ascii="宋体" w:hAnsi="宋体" w:cs="宋体"/>
          <w:b/>
          <w:spacing w:val="6"/>
          <w:sz w:val="32"/>
          <w:szCs w:val="32"/>
        </w:rPr>
      </w:pPr>
    </w:p>
    <w:p w14:paraId="756E047E">
      <w:pPr>
        <w:autoSpaceDE w:val="0"/>
        <w:autoSpaceDN w:val="0"/>
        <w:jc w:val="center"/>
        <w:rPr>
          <w:rFonts w:ascii="宋体" w:hAnsi="宋体" w:cs="宋体"/>
          <w:b/>
          <w:spacing w:val="6"/>
          <w:sz w:val="32"/>
          <w:szCs w:val="32"/>
        </w:rPr>
      </w:pPr>
    </w:p>
    <w:p w14:paraId="03ED7AEC">
      <w:pPr>
        <w:autoSpaceDE w:val="0"/>
        <w:autoSpaceDN w:val="0"/>
        <w:jc w:val="center"/>
        <w:rPr>
          <w:rFonts w:ascii="宋体" w:hAnsi="宋体" w:cs="宋体"/>
          <w:b/>
          <w:spacing w:val="6"/>
          <w:sz w:val="32"/>
          <w:szCs w:val="32"/>
        </w:rPr>
      </w:pPr>
    </w:p>
    <w:p w14:paraId="22A8A1DB">
      <w:pPr>
        <w:autoSpaceDE w:val="0"/>
        <w:autoSpaceDN w:val="0"/>
        <w:jc w:val="center"/>
        <w:rPr>
          <w:rFonts w:ascii="宋体" w:hAnsi="宋体" w:cs="宋体"/>
          <w:b/>
          <w:spacing w:val="6"/>
          <w:sz w:val="32"/>
          <w:szCs w:val="32"/>
        </w:rPr>
      </w:pPr>
    </w:p>
    <w:p w14:paraId="2519DEDB">
      <w:pPr>
        <w:autoSpaceDE w:val="0"/>
        <w:autoSpaceDN w:val="0"/>
        <w:jc w:val="center"/>
        <w:rPr>
          <w:rFonts w:ascii="宋体" w:hAnsi="宋体" w:cs="宋体"/>
          <w:b/>
          <w:spacing w:val="6"/>
          <w:sz w:val="32"/>
          <w:szCs w:val="32"/>
        </w:rPr>
      </w:pPr>
    </w:p>
    <w:p w14:paraId="4AB4ABA4">
      <w:pPr>
        <w:autoSpaceDE w:val="0"/>
        <w:autoSpaceDN w:val="0"/>
        <w:jc w:val="center"/>
        <w:rPr>
          <w:rFonts w:ascii="宋体" w:hAnsi="宋体" w:cs="宋体"/>
          <w:b/>
          <w:spacing w:val="6"/>
          <w:sz w:val="32"/>
          <w:szCs w:val="32"/>
        </w:rPr>
      </w:pPr>
    </w:p>
    <w:p w14:paraId="7B603B56">
      <w:pPr>
        <w:autoSpaceDE w:val="0"/>
        <w:autoSpaceDN w:val="0"/>
        <w:jc w:val="center"/>
        <w:rPr>
          <w:rFonts w:ascii="宋体" w:hAnsi="宋体" w:cs="宋体"/>
          <w:b/>
          <w:spacing w:val="6"/>
          <w:sz w:val="32"/>
          <w:szCs w:val="32"/>
        </w:rPr>
      </w:pPr>
    </w:p>
    <w:p w14:paraId="0A022883">
      <w:pPr>
        <w:autoSpaceDE w:val="0"/>
        <w:autoSpaceDN w:val="0"/>
        <w:jc w:val="center"/>
        <w:rPr>
          <w:rFonts w:ascii="宋体" w:hAnsi="宋体" w:cs="宋体"/>
          <w:b/>
          <w:spacing w:val="6"/>
          <w:sz w:val="32"/>
          <w:szCs w:val="32"/>
        </w:rPr>
      </w:pPr>
    </w:p>
    <w:p w14:paraId="3F4020A3">
      <w:pPr>
        <w:autoSpaceDE w:val="0"/>
        <w:autoSpaceDN w:val="0"/>
        <w:jc w:val="center"/>
        <w:rPr>
          <w:rFonts w:ascii="宋体" w:hAnsi="宋体" w:cs="宋体"/>
          <w:b/>
          <w:spacing w:val="6"/>
          <w:sz w:val="32"/>
          <w:szCs w:val="32"/>
        </w:rPr>
      </w:pPr>
    </w:p>
    <w:p w14:paraId="1191D293">
      <w:pPr>
        <w:autoSpaceDE w:val="0"/>
        <w:autoSpaceDN w:val="0"/>
        <w:jc w:val="center"/>
        <w:rPr>
          <w:rFonts w:ascii="宋体" w:hAnsi="宋体" w:cs="宋体"/>
          <w:b/>
          <w:spacing w:val="6"/>
          <w:sz w:val="32"/>
          <w:szCs w:val="32"/>
        </w:rPr>
      </w:pPr>
    </w:p>
    <w:p w14:paraId="4BD91F53">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B6D335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9A16FB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杭州市“善育在杭2.0”项目【招标编号：</w:t>
      </w:r>
      <w:r>
        <w:rPr>
          <w:rFonts w:hint="eastAsia" w:ascii="宋体" w:hAnsi="宋体" w:cs="宋体"/>
          <w:sz w:val="24"/>
          <w:lang w:eastAsia="zh-CN"/>
        </w:rPr>
        <w:t>HZZFCG-2024-163</w:t>
      </w:r>
      <w:r>
        <w:rPr>
          <w:rFonts w:hint="eastAsia" w:ascii="宋体" w:hAnsi="宋体" w:cs="宋体"/>
          <w:sz w:val="24"/>
        </w:rPr>
        <w:t>】</w:t>
      </w:r>
      <w:r>
        <w:rPr>
          <w:rFonts w:hint="eastAsia" w:ascii="宋体" w:hAnsi="宋体" w:cs="宋体"/>
          <w:kern w:val="0"/>
          <w:sz w:val="24"/>
          <w:lang w:val="zh-CN"/>
        </w:rPr>
        <w:t xml:space="preserve">投标。 </w:t>
      </w:r>
    </w:p>
    <w:p w14:paraId="3555E8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64218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163347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ABAC7B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02E16B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493CEF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CEF75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0D5EB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418"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8"/>
      <w:r>
        <w:rPr>
          <w:rFonts w:hint="eastAsia" w:ascii="宋体" w:hAnsi="宋体" w:cs="宋体"/>
          <w:b/>
          <w:kern w:val="0"/>
          <w:sz w:val="24"/>
          <w:lang w:val="zh-CN"/>
        </w:rPr>
        <w:t>）</w:t>
      </w:r>
    </w:p>
    <w:p w14:paraId="2AE24E4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9"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9"/>
    </w:p>
    <w:p w14:paraId="47B634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86AF5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03BA9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865D1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6BF37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08CC93F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B16CAF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2271D4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058396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A9ADE0B">
      <w:pPr>
        <w:spacing w:line="360" w:lineRule="auto"/>
        <w:ind w:right="420"/>
        <w:rPr>
          <w:rFonts w:ascii="宋体" w:hAnsi="宋体" w:cs="宋体"/>
          <w:sz w:val="24"/>
        </w:rPr>
      </w:pPr>
      <w:r>
        <w:rPr>
          <w:rFonts w:hint="eastAsia" w:ascii="宋体" w:hAnsi="宋体" w:cs="宋体"/>
          <w:sz w:val="24"/>
        </w:rPr>
        <w:t>注：按本格式和要求提供。</w:t>
      </w:r>
    </w:p>
    <w:p w14:paraId="293385F3">
      <w:pPr>
        <w:autoSpaceDE w:val="0"/>
        <w:autoSpaceDN w:val="0"/>
        <w:jc w:val="center"/>
        <w:rPr>
          <w:rFonts w:ascii="宋体" w:hAnsi="宋体" w:cs="宋体"/>
          <w:b/>
          <w:spacing w:val="6"/>
          <w:sz w:val="32"/>
          <w:szCs w:val="32"/>
        </w:rPr>
      </w:pPr>
    </w:p>
    <w:p w14:paraId="70F5A813">
      <w:pPr>
        <w:autoSpaceDE w:val="0"/>
        <w:autoSpaceDN w:val="0"/>
        <w:jc w:val="center"/>
        <w:rPr>
          <w:rFonts w:ascii="宋体" w:hAnsi="宋体" w:cs="宋体"/>
          <w:b/>
          <w:spacing w:val="6"/>
          <w:sz w:val="32"/>
          <w:szCs w:val="32"/>
        </w:rPr>
      </w:pPr>
    </w:p>
    <w:p w14:paraId="6366CE5F">
      <w:pPr>
        <w:autoSpaceDE w:val="0"/>
        <w:autoSpaceDN w:val="0"/>
        <w:jc w:val="center"/>
        <w:rPr>
          <w:rFonts w:ascii="宋体" w:hAnsi="宋体" w:cs="宋体"/>
          <w:b/>
          <w:spacing w:val="6"/>
          <w:sz w:val="32"/>
          <w:szCs w:val="32"/>
        </w:rPr>
      </w:pPr>
    </w:p>
    <w:p w14:paraId="5C57A25A">
      <w:pPr>
        <w:autoSpaceDE w:val="0"/>
        <w:autoSpaceDN w:val="0"/>
        <w:jc w:val="center"/>
        <w:rPr>
          <w:rFonts w:ascii="宋体" w:hAnsi="宋体" w:cs="宋体"/>
          <w:b/>
          <w:spacing w:val="6"/>
          <w:sz w:val="32"/>
          <w:szCs w:val="32"/>
        </w:rPr>
      </w:pPr>
    </w:p>
    <w:p w14:paraId="49ADF47F">
      <w:pPr>
        <w:autoSpaceDE w:val="0"/>
        <w:autoSpaceDN w:val="0"/>
        <w:jc w:val="center"/>
        <w:rPr>
          <w:rFonts w:ascii="宋体" w:hAnsi="宋体" w:cs="宋体"/>
          <w:b/>
          <w:spacing w:val="6"/>
          <w:sz w:val="32"/>
          <w:szCs w:val="32"/>
        </w:rPr>
      </w:pPr>
    </w:p>
    <w:p w14:paraId="6EE4DA75">
      <w:pPr>
        <w:autoSpaceDE w:val="0"/>
        <w:autoSpaceDN w:val="0"/>
        <w:jc w:val="center"/>
        <w:rPr>
          <w:rFonts w:ascii="宋体" w:hAnsi="宋体" w:cs="宋体"/>
          <w:b/>
          <w:spacing w:val="6"/>
          <w:sz w:val="32"/>
          <w:szCs w:val="32"/>
        </w:rPr>
      </w:pPr>
    </w:p>
    <w:p w14:paraId="593A5697">
      <w:pPr>
        <w:autoSpaceDE w:val="0"/>
        <w:autoSpaceDN w:val="0"/>
        <w:jc w:val="center"/>
        <w:rPr>
          <w:rFonts w:ascii="宋体" w:hAnsi="宋体" w:cs="宋体"/>
          <w:b/>
          <w:spacing w:val="6"/>
          <w:sz w:val="32"/>
          <w:szCs w:val="32"/>
        </w:rPr>
      </w:pPr>
    </w:p>
    <w:p w14:paraId="123C55AA">
      <w:pPr>
        <w:autoSpaceDE w:val="0"/>
        <w:autoSpaceDN w:val="0"/>
        <w:jc w:val="center"/>
        <w:rPr>
          <w:rFonts w:ascii="宋体" w:hAnsi="宋体" w:cs="宋体"/>
          <w:b/>
          <w:spacing w:val="6"/>
          <w:sz w:val="32"/>
          <w:szCs w:val="32"/>
        </w:rPr>
      </w:pPr>
    </w:p>
    <w:p w14:paraId="4C9EA5FC">
      <w:pPr>
        <w:autoSpaceDE w:val="0"/>
        <w:autoSpaceDN w:val="0"/>
        <w:jc w:val="center"/>
        <w:rPr>
          <w:rFonts w:ascii="宋体" w:hAnsi="宋体" w:cs="宋体"/>
          <w:b/>
          <w:spacing w:val="6"/>
          <w:sz w:val="32"/>
          <w:szCs w:val="32"/>
        </w:rPr>
      </w:pPr>
    </w:p>
    <w:p w14:paraId="5E05C7D9">
      <w:pPr>
        <w:autoSpaceDE w:val="0"/>
        <w:autoSpaceDN w:val="0"/>
        <w:jc w:val="center"/>
        <w:rPr>
          <w:rFonts w:ascii="宋体" w:hAnsi="宋体" w:cs="宋体"/>
          <w:b/>
          <w:spacing w:val="6"/>
          <w:sz w:val="32"/>
          <w:szCs w:val="32"/>
        </w:rPr>
      </w:pPr>
    </w:p>
    <w:p w14:paraId="07D7E36B">
      <w:pPr>
        <w:autoSpaceDE w:val="0"/>
        <w:autoSpaceDN w:val="0"/>
        <w:jc w:val="center"/>
        <w:rPr>
          <w:rFonts w:ascii="宋体" w:hAnsi="宋体" w:cs="宋体"/>
          <w:b/>
          <w:spacing w:val="6"/>
          <w:sz w:val="32"/>
          <w:szCs w:val="32"/>
        </w:rPr>
      </w:pPr>
    </w:p>
    <w:p w14:paraId="05FF15DD">
      <w:pPr>
        <w:autoSpaceDE w:val="0"/>
        <w:autoSpaceDN w:val="0"/>
        <w:jc w:val="center"/>
        <w:rPr>
          <w:rFonts w:ascii="宋体" w:hAnsi="宋体" w:cs="宋体"/>
          <w:b/>
          <w:spacing w:val="6"/>
          <w:sz w:val="32"/>
          <w:szCs w:val="32"/>
        </w:rPr>
      </w:pPr>
    </w:p>
    <w:p w14:paraId="55C64AC5">
      <w:pPr>
        <w:autoSpaceDE w:val="0"/>
        <w:autoSpaceDN w:val="0"/>
        <w:jc w:val="center"/>
        <w:rPr>
          <w:rFonts w:ascii="宋体" w:hAnsi="宋体" w:cs="宋体"/>
          <w:b/>
          <w:spacing w:val="6"/>
          <w:sz w:val="32"/>
          <w:szCs w:val="32"/>
        </w:rPr>
      </w:pPr>
    </w:p>
    <w:p w14:paraId="1C6EB02E">
      <w:pPr>
        <w:autoSpaceDE w:val="0"/>
        <w:autoSpaceDN w:val="0"/>
        <w:jc w:val="center"/>
        <w:rPr>
          <w:rFonts w:ascii="宋体" w:hAnsi="宋体" w:cs="宋体"/>
          <w:b/>
          <w:spacing w:val="6"/>
          <w:sz w:val="32"/>
          <w:szCs w:val="32"/>
        </w:rPr>
      </w:pPr>
    </w:p>
    <w:p w14:paraId="081B759F">
      <w:pPr>
        <w:autoSpaceDE w:val="0"/>
        <w:autoSpaceDN w:val="0"/>
        <w:jc w:val="center"/>
        <w:rPr>
          <w:rFonts w:ascii="宋体" w:hAnsi="宋体" w:cs="宋体"/>
          <w:b/>
          <w:spacing w:val="6"/>
          <w:sz w:val="32"/>
          <w:szCs w:val="32"/>
        </w:rPr>
      </w:pPr>
    </w:p>
    <w:p w14:paraId="6EBA3E6B">
      <w:pPr>
        <w:autoSpaceDE w:val="0"/>
        <w:autoSpaceDN w:val="0"/>
        <w:jc w:val="center"/>
        <w:rPr>
          <w:rFonts w:ascii="宋体" w:hAnsi="宋体" w:cs="宋体"/>
          <w:b/>
          <w:spacing w:val="6"/>
          <w:sz w:val="32"/>
          <w:szCs w:val="32"/>
        </w:rPr>
      </w:pPr>
    </w:p>
    <w:p w14:paraId="5FF458DA">
      <w:pPr>
        <w:autoSpaceDE w:val="0"/>
        <w:autoSpaceDN w:val="0"/>
        <w:jc w:val="center"/>
        <w:rPr>
          <w:rFonts w:ascii="宋体" w:hAnsi="宋体" w:cs="宋体"/>
          <w:b/>
          <w:spacing w:val="6"/>
          <w:sz w:val="32"/>
          <w:szCs w:val="32"/>
        </w:rPr>
      </w:pPr>
    </w:p>
    <w:p w14:paraId="630B0BE8">
      <w:pPr>
        <w:autoSpaceDE w:val="0"/>
        <w:autoSpaceDN w:val="0"/>
        <w:jc w:val="center"/>
        <w:rPr>
          <w:rFonts w:ascii="宋体" w:hAnsi="宋体" w:cs="宋体"/>
          <w:b/>
          <w:spacing w:val="6"/>
          <w:sz w:val="32"/>
          <w:szCs w:val="32"/>
        </w:rPr>
      </w:pPr>
    </w:p>
    <w:p w14:paraId="5D5B30E9">
      <w:pPr>
        <w:autoSpaceDE w:val="0"/>
        <w:autoSpaceDN w:val="0"/>
        <w:jc w:val="center"/>
        <w:rPr>
          <w:rFonts w:ascii="宋体" w:hAnsi="宋体" w:cs="宋体"/>
          <w:b/>
          <w:spacing w:val="6"/>
          <w:sz w:val="32"/>
          <w:szCs w:val="32"/>
        </w:rPr>
      </w:pPr>
    </w:p>
    <w:p w14:paraId="194025C5">
      <w:pPr>
        <w:autoSpaceDE w:val="0"/>
        <w:autoSpaceDN w:val="0"/>
        <w:jc w:val="center"/>
        <w:rPr>
          <w:rFonts w:ascii="宋体" w:hAnsi="宋体" w:cs="宋体"/>
          <w:b/>
          <w:spacing w:val="6"/>
          <w:sz w:val="32"/>
          <w:szCs w:val="32"/>
        </w:rPr>
      </w:pPr>
    </w:p>
    <w:p w14:paraId="3748F673">
      <w:pPr>
        <w:autoSpaceDE w:val="0"/>
        <w:autoSpaceDN w:val="0"/>
        <w:jc w:val="center"/>
        <w:rPr>
          <w:rFonts w:ascii="宋体" w:hAnsi="宋体" w:cs="宋体"/>
          <w:b/>
          <w:spacing w:val="6"/>
          <w:sz w:val="32"/>
          <w:szCs w:val="32"/>
        </w:rPr>
      </w:pPr>
    </w:p>
    <w:p w14:paraId="55BBF765">
      <w:pPr>
        <w:autoSpaceDE w:val="0"/>
        <w:autoSpaceDN w:val="0"/>
        <w:jc w:val="center"/>
        <w:rPr>
          <w:rFonts w:ascii="宋体" w:hAnsi="宋体" w:cs="宋体"/>
          <w:b/>
          <w:spacing w:val="6"/>
          <w:sz w:val="32"/>
          <w:szCs w:val="32"/>
        </w:rPr>
      </w:pPr>
    </w:p>
    <w:p w14:paraId="47B3A96B">
      <w:pPr>
        <w:autoSpaceDE w:val="0"/>
        <w:autoSpaceDN w:val="0"/>
        <w:jc w:val="center"/>
        <w:rPr>
          <w:rFonts w:ascii="宋体" w:hAnsi="宋体" w:cs="宋体"/>
          <w:b/>
          <w:spacing w:val="6"/>
          <w:sz w:val="32"/>
          <w:szCs w:val="32"/>
        </w:rPr>
      </w:pPr>
    </w:p>
    <w:p w14:paraId="43B5B48C">
      <w:pPr>
        <w:snapToGrid w:val="0"/>
        <w:spacing w:line="360" w:lineRule="auto"/>
        <w:ind w:firstLine="3666" w:firstLineChars="1100"/>
        <w:rPr>
          <w:rFonts w:ascii="宋体" w:hAnsi="宋体" w:cs="宋体"/>
          <w:b/>
          <w:spacing w:val="6"/>
          <w:sz w:val="32"/>
          <w:szCs w:val="32"/>
        </w:rPr>
      </w:pPr>
    </w:p>
    <w:p w14:paraId="45900B2D">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1B1945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F4969A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1B722A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杭州市“善育在杭2.0”项目【招标编号：</w:t>
      </w:r>
      <w:r>
        <w:rPr>
          <w:rFonts w:hint="eastAsia" w:ascii="宋体" w:hAnsi="宋体" w:cs="宋体"/>
          <w:sz w:val="24"/>
          <w:lang w:eastAsia="zh-CN"/>
        </w:rPr>
        <w:t>HZZFCG-2024-163</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04820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9958B0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6ABF87A">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37188E3"/>
    <w:p w14:paraId="2F3C58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142081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B026AD">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8D5BA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EE39C28">
      <w:pPr>
        <w:snapToGrid w:val="0"/>
        <w:spacing w:line="360" w:lineRule="auto"/>
        <w:ind w:firstLine="576"/>
        <w:rPr>
          <w:rFonts w:ascii="宋体" w:hAnsi="宋体" w:cs="宋体"/>
          <w:u w:val="single"/>
        </w:rPr>
      </w:pPr>
    </w:p>
    <w:p w14:paraId="1D5500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A2E7172">
      <w:pPr>
        <w:snapToGrid w:val="0"/>
        <w:spacing w:line="360" w:lineRule="auto"/>
        <w:ind w:firstLine="576"/>
        <w:rPr>
          <w:rFonts w:ascii="宋体" w:hAnsi="宋体" w:cs="宋体"/>
          <w:kern w:val="0"/>
          <w:sz w:val="24"/>
          <w:lang w:val="zh-CN"/>
        </w:rPr>
      </w:pPr>
    </w:p>
    <w:p w14:paraId="4532B4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7D94707">
      <w:pPr>
        <w:snapToGrid w:val="0"/>
        <w:spacing w:line="360" w:lineRule="auto"/>
        <w:ind w:left="573" w:leftChars="273"/>
        <w:rPr>
          <w:rFonts w:ascii="宋体" w:hAnsi="宋体" w:cs="宋体"/>
          <w:kern w:val="0"/>
          <w:sz w:val="24"/>
          <w:lang w:val="zh-CN"/>
        </w:rPr>
      </w:pPr>
    </w:p>
    <w:p w14:paraId="4C836E4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2C57D7B">
      <w:pPr>
        <w:snapToGrid w:val="0"/>
        <w:spacing w:line="360" w:lineRule="auto"/>
        <w:ind w:firstLine="576"/>
        <w:rPr>
          <w:rFonts w:ascii="宋体" w:hAnsi="宋体" w:cs="宋体"/>
          <w:kern w:val="0"/>
          <w:sz w:val="24"/>
          <w:lang w:val="zh-CN"/>
        </w:rPr>
      </w:pPr>
    </w:p>
    <w:p w14:paraId="03D771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CEE8408">
      <w:pPr>
        <w:snapToGrid w:val="0"/>
        <w:spacing w:line="360" w:lineRule="auto"/>
        <w:ind w:firstLine="576"/>
        <w:rPr>
          <w:rFonts w:ascii="宋体" w:hAnsi="宋体" w:cs="宋体"/>
          <w:kern w:val="0"/>
          <w:sz w:val="24"/>
          <w:lang w:val="zh-CN"/>
        </w:rPr>
      </w:pPr>
    </w:p>
    <w:p w14:paraId="7E8CEE8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A02327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14:paraId="0651E62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7FD577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7CC9BC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AA87146">
      <w:pPr>
        <w:spacing w:line="360" w:lineRule="auto"/>
        <w:ind w:right="420"/>
        <w:rPr>
          <w:rFonts w:ascii="宋体" w:hAnsi="宋体" w:cs="宋体"/>
          <w:sz w:val="24"/>
        </w:rPr>
      </w:pPr>
      <w:r>
        <w:rPr>
          <w:rFonts w:hint="eastAsia" w:ascii="宋体" w:hAnsi="宋体" w:cs="宋体"/>
          <w:sz w:val="24"/>
        </w:rPr>
        <w:t>注：按本格式和要求提供。</w:t>
      </w:r>
    </w:p>
    <w:p w14:paraId="74FFACE0">
      <w:pPr>
        <w:autoSpaceDE w:val="0"/>
        <w:autoSpaceDN w:val="0"/>
        <w:jc w:val="center"/>
        <w:rPr>
          <w:rFonts w:ascii="宋体" w:hAnsi="宋体" w:cs="宋体"/>
          <w:b/>
          <w:spacing w:val="6"/>
          <w:sz w:val="32"/>
          <w:szCs w:val="32"/>
        </w:rPr>
      </w:pPr>
    </w:p>
    <w:p w14:paraId="363C0D9D">
      <w:pPr>
        <w:autoSpaceDE w:val="0"/>
        <w:autoSpaceDN w:val="0"/>
        <w:jc w:val="center"/>
        <w:rPr>
          <w:rFonts w:ascii="宋体" w:hAnsi="宋体" w:cs="宋体"/>
          <w:b/>
          <w:spacing w:val="6"/>
          <w:sz w:val="32"/>
          <w:szCs w:val="32"/>
        </w:rPr>
      </w:pPr>
    </w:p>
    <w:p w14:paraId="397DF1D7">
      <w:pPr>
        <w:autoSpaceDE w:val="0"/>
        <w:autoSpaceDN w:val="0"/>
        <w:jc w:val="center"/>
        <w:rPr>
          <w:rFonts w:ascii="宋体" w:hAnsi="宋体" w:cs="宋体"/>
          <w:b/>
          <w:spacing w:val="6"/>
          <w:sz w:val="32"/>
          <w:szCs w:val="32"/>
        </w:rPr>
      </w:pPr>
    </w:p>
    <w:p w14:paraId="1513FF59">
      <w:pPr>
        <w:autoSpaceDE w:val="0"/>
        <w:autoSpaceDN w:val="0"/>
        <w:jc w:val="center"/>
        <w:rPr>
          <w:rFonts w:ascii="宋体" w:hAnsi="宋体" w:cs="宋体"/>
          <w:b/>
          <w:spacing w:val="6"/>
          <w:sz w:val="32"/>
          <w:szCs w:val="32"/>
        </w:rPr>
      </w:pPr>
    </w:p>
    <w:p w14:paraId="3E0F4411">
      <w:pPr>
        <w:autoSpaceDE w:val="0"/>
        <w:autoSpaceDN w:val="0"/>
        <w:jc w:val="center"/>
        <w:rPr>
          <w:rFonts w:ascii="宋体" w:hAnsi="宋体" w:cs="宋体"/>
          <w:b/>
          <w:spacing w:val="6"/>
          <w:sz w:val="32"/>
          <w:szCs w:val="32"/>
        </w:rPr>
      </w:pPr>
    </w:p>
    <w:p w14:paraId="42E3C633">
      <w:pPr>
        <w:autoSpaceDE w:val="0"/>
        <w:autoSpaceDN w:val="0"/>
        <w:jc w:val="center"/>
        <w:rPr>
          <w:rFonts w:ascii="宋体" w:hAnsi="宋体" w:cs="宋体"/>
          <w:b/>
          <w:spacing w:val="6"/>
          <w:sz w:val="32"/>
          <w:szCs w:val="32"/>
        </w:rPr>
      </w:pPr>
    </w:p>
    <w:p w14:paraId="199C0ED3">
      <w:pPr>
        <w:autoSpaceDE w:val="0"/>
        <w:autoSpaceDN w:val="0"/>
        <w:jc w:val="center"/>
        <w:rPr>
          <w:rFonts w:ascii="宋体" w:hAnsi="宋体" w:cs="宋体"/>
          <w:b/>
          <w:spacing w:val="6"/>
          <w:sz w:val="32"/>
          <w:szCs w:val="32"/>
        </w:rPr>
      </w:pPr>
    </w:p>
    <w:p w14:paraId="2A3434DC">
      <w:pPr>
        <w:autoSpaceDE w:val="0"/>
        <w:autoSpaceDN w:val="0"/>
        <w:jc w:val="center"/>
        <w:rPr>
          <w:rFonts w:ascii="宋体" w:hAnsi="宋体" w:cs="宋体"/>
          <w:b/>
          <w:spacing w:val="6"/>
          <w:sz w:val="32"/>
          <w:szCs w:val="32"/>
        </w:rPr>
      </w:pPr>
    </w:p>
    <w:p w14:paraId="721E6107">
      <w:pPr>
        <w:autoSpaceDE w:val="0"/>
        <w:autoSpaceDN w:val="0"/>
        <w:jc w:val="center"/>
        <w:rPr>
          <w:rFonts w:ascii="宋体" w:hAnsi="宋体" w:cs="宋体"/>
          <w:b/>
          <w:spacing w:val="6"/>
          <w:sz w:val="32"/>
          <w:szCs w:val="32"/>
        </w:rPr>
      </w:pPr>
    </w:p>
    <w:p w14:paraId="5C8429E5">
      <w:pPr>
        <w:autoSpaceDE w:val="0"/>
        <w:autoSpaceDN w:val="0"/>
        <w:jc w:val="center"/>
        <w:rPr>
          <w:rFonts w:ascii="宋体" w:hAnsi="宋体" w:cs="宋体"/>
          <w:b/>
          <w:spacing w:val="6"/>
          <w:sz w:val="32"/>
          <w:szCs w:val="32"/>
        </w:rPr>
      </w:pPr>
    </w:p>
    <w:p w14:paraId="13F9CABA">
      <w:pPr>
        <w:autoSpaceDE w:val="0"/>
        <w:autoSpaceDN w:val="0"/>
        <w:jc w:val="center"/>
        <w:rPr>
          <w:rFonts w:ascii="宋体" w:hAnsi="宋体" w:cs="宋体"/>
          <w:b/>
          <w:spacing w:val="6"/>
          <w:sz w:val="32"/>
          <w:szCs w:val="32"/>
        </w:rPr>
      </w:pPr>
    </w:p>
    <w:p w14:paraId="5443F5A7">
      <w:pPr>
        <w:autoSpaceDE w:val="0"/>
        <w:autoSpaceDN w:val="0"/>
        <w:jc w:val="center"/>
        <w:rPr>
          <w:rFonts w:ascii="宋体" w:hAnsi="宋体" w:cs="宋体"/>
          <w:b/>
          <w:spacing w:val="6"/>
          <w:sz w:val="32"/>
          <w:szCs w:val="32"/>
        </w:rPr>
      </w:pPr>
    </w:p>
    <w:p w14:paraId="5FF862CE">
      <w:pPr>
        <w:autoSpaceDE w:val="0"/>
        <w:autoSpaceDN w:val="0"/>
        <w:jc w:val="center"/>
        <w:rPr>
          <w:rFonts w:ascii="宋体" w:hAnsi="宋体" w:cs="宋体"/>
          <w:b/>
          <w:spacing w:val="6"/>
          <w:sz w:val="32"/>
          <w:szCs w:val="32"/>
        </w:rPr>
      </w:pPr>
    </w:p>
    <w:p w14:paraId="7CD81BE4">
      <w:pPr>
        <w:autoSpaceDE w:val="0"/>
        <w:autoSpaceDN w:val="0"/>
        <w:jc w:val="center"/>
        <w:rPr>
          <w:rFonts w:ascii="宋体" w:hAnsi="宋体" w:cs="宋体"/>
          <w:b/>
          <w:spacing w:val="6"/>
          <w:sz w:val="32"/>
          <w:szCs w:val="32"/>
        </w:rPr>
      </w:pPr>
    </w:p>
    <w:p w14:paraId="3BBAECC5">
      <w:pPr>
        <w:autoSpaceDE w:val="0"/>
        <w:autoSpaceDN w:val="0"/>
        <w:jc w:val="center"/>
        <w:rPr>
          <w:rFonts w:ascii="宋体" w:hAnsi="宋体" w:cs="宋体"/>
          <w:b/>
          <w:spacing w:val="6"/>
          <w:sz w:val="32"/>
          <w:szCs w:val="32"/>
        </w:rPr>
      </w:pPr>
    </w:p>
    <w:p w14:paraId="1A3411C6">
      <w:pPr>
        <w:autoSpaceDE w:val="0"/>
        <w:autoSpaceDN w:val="0"/>
        <w:jc w:val="center"/>
        <w:rPr>
          <w:rFonts w:ascii="宋体" w:hAnsi="宋体" w:cs="宋体"/>
          <w:b/>
          <w:spacing w:val="6"/>
          <w:sz w:val="32"/>
          <w:szCs w:val="32"/>
        </w:rPr>
      </w:pPr>
    </w:p>
    <w:p w14:paraId="390C9194">
      <w:pPr>
        <w:autoSpaceDE w:val="0"/>
        <w:autoSpaceDN w:val="0"/>
        <w:jc w:val="center"/>
        <w:rPr>
          <w:rFonts w:ascii="宋体" w:hAnsi="宋体" w:cs="宋体"/>
          <w:b/>
          <w:spacing w:val="6"/>
          <w:sz w:val="32"/>
          <w:szCs w:val="32"/>
        </w:rPr>
      </w:pPr>
    </w:p>
    <w:p w14:paraId="28E21A1B">
      <w:pPr>
        <w:autoSpaceDE w:val="0"/>
        <w:autoSpaceDN w:val="0"/>
        <w:jc w:val="center"/>
        <w:rPr>
          <w:rFonts w:ascii="宋体" w:hAnsi="宋体" w:cs="宋体"/>
          <w:b/>
          <w:spacing w:val="6"/>
          <w:sz w:val="32"/>
          <w:szCs w:val="32"/>
        </w:rPr>
      </w:pPr>
    </w:p>
    <w:p w14:paraId="033DAAA8">
      <w:pPr>
        <w:autoSpaceDE w:val="0"/>
        <w:autoSpaceDN w:val="0"/>
        <w:jc w:val="center"/>
        <w:rPr>
          <w:rFonts w:ascii="宋体" w:hAnsi="宋体" w:cs="宋体"/>
          <w:b/>
          <w:spacing w:val="6"/>
          <w:sz w:val="32"/>
          <w:szCs w:val="32"/>
        </w:rPr>
      </w:pPr>
    </w:p>
    <w:p w14:paraId="36EE1AEA">
      <w:pPr>
        <w:autoSpaceDE w:val="0"/>
        <w:autoSpaceDN w:val="0"/>
        <w:jc w:val="center"/>
        <w:rPr>
          <w:rFonts w:ascii="宋体" w:hAnsi="宋体" w:cs="宋体"/>
          <w:b/>
          <w:spacing w:val="6"/>
          <w:sz w:val="32"/>
          <w:szCs w:val="32"/>
        </w:rPr>
      </w:pPr>
    </w:p>
    <w:p w14:paraId="3F37A0F7">
      <w:pPr>
        <w:autoSpaceDE w:val="0"/>
        <w:autoSpaceDN w:val="0"/>
        <w:jc w:val="center"/>
        <w:rPr>
          <w:rFonts w:ascii="宋体" w:hAnsi="宋体" w:cs="宋体"/>
          <w:b/>
          <w:spacing w:val="6"/>
          <w:sz w:val="32"/>
          <w:szCs w:val="32"/>
        </w:rPr>
      </w:pPr>
    </w:p>
    <w:p w14:paraId="348881FB">
      <w:pPr>
        <w:autoSpaceDE w:val="0"/>
        <w:autoSpaceDN w:val="0"/>
        <w:jc w:val="center"/>
        <w:rPr>
          <w:rFonts w:ascii="宋体" w:hAnsi="宋体" w:cs="宋体"/>
          <w:b/>
          <w:spacing w:val="6"/>
          <w:sz w:val="32"/>
          <w:szCs w:val="32"/>
        </w:rPr>
      </w:pPr>
    </w:p>
    <w:p w14:paraId="75841EB3">
      <w:pPr>
        <w:autoSpaceDE w:val="0"/>
        <w:autoSpaceDN w:val="0"/>
        <w:jc w:val="center"/>
        <w:rPr>
          <w:rFonts w:ascii="宋体" w:hAnsi="宋体" w:cs="宋体"/>
          <w:b/>
          <w:spacing w:val="6"/>
          <w:sz w:val="32"/>
          <w:szCs w:val="32"/>
        </w:rPr>
      </w:pPr>
    </w:p>
    <w:p w14:paraId="29B92A20">
      <w:pPr>
        <w:autoSpaceDE w:val="0"/>
        <w:autoSpaceDN w:val="0"/>
        <w:jc w:val="center"/>
        <w:rPr>
          <w:rFonts w:ascii="宋体" w:hAnsi="宋体" w:cs="宋体"/>
          <w:b/>
          <w:spacing w:val="6"/>
          <w:sz w:val="32"/>
          <w:szCs w:val="32"/>
        </w:rPr>
      </w:pPr>
    </w:p>
    <w:p w14:paraId="5198D68F">
      <w:pPr>
        <w:autoSpaceDE w:val="0"/>
        <w:autoSpaceDN w:val="0"/>
        <w:jc w:val="center"/>
        <w:rPr>
          <w:rFonts w:ascii="宋体" w:hAnsi="宋体" w:cs="宋体"/>
          <w:b/>
          <w:spacing w:val="6"/>
          <w:sz w:val="32"/>
          <w:szCs w:val="32"/>
        </w:rPr>
      </w:pPr>
    </w:p>
    <w:p w14:paraId="65F6ADFC">
      <w:pPr>
        <w:autoSpaceDE w:val="0"/>
        <w:autoSpaceDN w:val="0"/>
        <w:jc w:val="center"/>
        <w:rPr>
          <w:rFonts w:ascii="宋体" w:hAnsi="宋体" w:cs="宋体"/>
          <w:b/>
          <w:spacing w:val="6"/>
          <w:sz w:val="32"/>
          <w:szCs w:val="32"/>
        </w:rPr>
      </w:pPr>
    </w:p>
    <w:p w14:paraId="4736DA50">
      <w:pPr>
        <w:autoSpaceDE w:val="0"/>
        <w:autoSpaceDN w:val="0"/>
        <w:jc w:val="center"/>
        <w:rPr>
          <w:rFonts w:ascii="宋体" w:hAnsi="宋体" w:cs="宋体"/>
          <w:b/>
          <w:spacing w:val="6"/>
          <w:sz w:val="32"/>
          <w:szCs w:val="32"/>
        </w:rPr>
      </w:pPr>
    </w:p>
    <w:p w14:paraId="6342AFFD">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E5F50A6">
      <w:pPr>
        <w:spacing w:line="360" w:lineRule="auto"/>
        <w:jc w:val="center"/>
        <w:rPr>
          <w:rFonts w:ascii="宋体" w:hAnsi="宋体" w:cs="宋体"/>
          <w:sz w:val="24"/>
          <w:u w:val="single"/>
        </w:rPr>
      </w:pPr>
    </w:p>
    <w:p w14:paraId="45CB1F5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D972E5E">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杭州市卫生健康委员会 </w:t>
      </w:r>
      <w:r>
        <w:rPr>
          <w:rFonts w:hint="eastAsia" w:ascii="宋体" w:hAnsi="宋体" w:cs="宋体"/>
          <w:sz w:val="24"/>
        </w:rPr>
        <w:t>的</w:t>
      </w:r>
      <w:r>
        <w:rPr>
          <w:rFonts w:hint="eastAsia" w:ascii="宋体" w:hAnsi="宋体" w:cs="宋体"/>
          <w:sz w:val="24"/>
          <w:u w:val="single"/>
        </w:rPr>
        <w:t xml:space="preserve"> 杭州市“善育在杭2.0”项目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2DEC52A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杭州市“善育在杭2.0”项目</w:t>
      </w:r>
      <w:r>
        <w:rPr>
          <w:rFonts w:hint="eastAsia" w:ascii="宋体" w:hAnsi="宋体" w:cs="宋体"/>
          <w:sz w:val="24"/>
        </w:rPr>
        <w:t>，属于</w:t>
      </w:r>
      <w:r>
        <w:rPr>
          <w:rFonts w:hint="eastAsia" w:ascii="宋体" w:hAnsi="宋体" w:cs="宋体"/>
          <w:sz w:val="24"/>
          <w:u w:val="single"/>
        </w:rPr>
        <w:t xml:space="preserve"> 软件和信息技术服务业行业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0B045E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50E4116">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25061FB">
      <w:pPr>
        <w:spacing w:line="360" w:lineRule="auto"/>
        <w:ind w:right="1760"/>
        <w:jc w:val="right"/>
        <w:rPr>
          <w:rFonts w:ascii="宋体" w:hAnsi="宋体" w:cs="宋体"/>
          <w:sz w:val="24"/>
        </w:rPr>
      </w:pPr>
      <w:r>
        <w:rPr>
          <w:rFonts w:hint="eastAsia" w:ascii="宋体" w:hAnsi="宋体" w:cs="宋体"/>
          <w:sz w:val="24"/>
        </w:rPr>
        <w:t>投标人名称（电子签名）：</w:t>
      </w:r>
    </w:p>
    <w:p w14:paraId="3498B500">
      <w:pPr>
        <w:spacing w:line="360" w:lineRule="auto"/>
        <w:ind w:right="1120" w:firstLine="4680" w:firstLineChars="1950"/>
        <w:rPr>
          <w:rFonts w:ascii="宋体" w:hAnsi="宋体" w:cs="宋体"/>
          <w:sz w:val="24"/>
        </w:rPr>
      </w:pPr>
      <w:r>
        <w:rPr>
          <w:rFonts w:hint="eastAsia" w:ascii="宋体" w:hAnsi="宋体" w:cs="宋体"/>
          <w:sz w:val="24"/>
        </w:rPr>
        <w:t>日 期：</w:t>
      </w:r>
    </w:p>
    <w:p w14:paraId="4F03A26D">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086F779">
      <w:pPr>
        <w:spacing w:line="360" w:lineRule="auto"/>
        <w:ind w:right="420"/>
        <w:rPr>
          <w:rFonts w:ascii="宋体" w:hAnsi="宋体" w:cs="宋体"/>
          <w:sz w:val="24"/>
        </w:rPr>
      </w:pPr>
    </w:p>
    <w:p w14:paraId="75787E89">
      <w:pPr>
        <w:spacing w:line="360" w:lineRule="auto"/>
        <w:ind w:right="420"/>
        <w:rPr>
          <w:rFonts w:ascii="宋体" w:hAnsi="宋体" w:cs="宋体"/>
          <w:sz w:val="24"/>
        </w:rPr>
      </w:pPr>
      <w:r>
        <w:rPr>
          <w:rFonts w:hint="eastAsia" w:ascii="宋体" w:hAnsi="宋体" w:cs="宋体"/>
          <w:sz w:val="24"/>
        </w:rPr>
        <w:t xml:space="preserve">   注：</w:t>
      </w:r>
    </w:p>
    <w:p w14:paraId="210226F9">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AF010D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7FED74">
      <w:pPr>
        <w:pStyle w:val="3"/>
        <w:rPr>
          <w:rFonts w:ascii="宋体" w:hAnsi="宋体" w:eastAsia="宋体" w:cs="宋体"/>
          <w:lang w:val="en-US"/>
        </w:rPr>
      </w:pPr>
    </w:p>
    <w:p w14:paraId="5496231A">
      <w:pPr>
        <w:spacing w:line="360" w:lineRule="auto"/>
        <w:ind w:right="420"/>
        <w:rPr>
          <w:rFonts w:ascii="宋体" w:hAnsi="宋体" w:cs="宋体"/>
        </w:rPr>
      </w:pPr>
    </w:p>
    <w:p w14:paraId="311B177A">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D729">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20B6">
    <w:pPr>
      <w:pStyle w:val="3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3E656">
    <w:pPr>
      <w:pStyle w:val="34"/>
      <w:framePr w:wrap="around" w:vAnchor="text" w:hAnchor="margin" w:xAlign="right" w:y="1"/>
      <w:rPr>
        <w:rStyle w:val="58"/>
      </w:rPr>
    </w:pPr>
    <w:r>
      <w:fldChar w:fldCharType="begin"/>
    </w:r>
    <w:r>
      <w:rPr>
        <w:rStyle w:val="58"/>
      </w:rPr>
      <w:instrText xml:space="preserve">PAGE  </w:instrText>
    </w:r>
    <w:r>
      <w:fldChar w:fldCharType="end"/>
    </w:r>
  </w:p>
  <w:p w14:paraId="022324A1">
    <w:pPr>
      <w:pStyle w:val="3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931FC">
    <w:pPr>
      <w:pStyle w:val="3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139</w:t>
    </w:r>
    <w:r>
      <w:rPr>
        <w:rFonts w:hint="eastAsia" w:ascii="仿宋_GB2312" w:eastAsia="仿宋_GB2312"/>
        <w:kern w:val="0"/>
        <w:szCs w:val="21"/>
      </w:rPr>
      <w:fldChar w:fldCharType="end"/>
    </w:r>
    <w:bookmarkStart w:id="420" w:name="_Toc91899912"/>
    <w:bookmarkStart w:id="421" w:name="_Toc131845147"/>
    <w:bookmarkStart w:id="422" w:name="_Toc36110187"/>
    <w:bookmarkStart w:id="423" w:name="_Toc164085800"/>
    <w:r>
      <w:rPr>
        <w:rFonts w:hint="eastAsia" w:ascii="仿宋_GB2312" w:eastAsia="仿宋_GB2312"/>
        <w:kern w:val="0"/>
        <w:szCs w:val="21"/>
      </w:rPr>
      <w:t xml:space="preserve"> 页</w:t>
    </w:r>
    <w:bookmarkEnd w:id="420"/>
    <w:bookmarkEnd w:id="421"/>
    <w:bookmarkEnd w:id="422"/>
    <w:bookmarkEnd w:id="4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801B">
    <w:pPr>
      <w:pStyle w:val="34"/>
      <w:framePr w:wrap="around" w:vAnchor="text" w:hAnchor="margin" w:xAlign="right" w:y="1"/>
      <w:rPr>
        <w:rStyle w:val="58"/>
      </w:rPr>
    </w:pPr>
    <w:r>
      <w:fldChar w:fldCharType="begin"/>
    </w:r>
    <w:r>
      <w:rPr>
        <w:rStyle w:val="58"/>
      </w:rPr>
      <w:instrText xml:space="preserve">PAGE  </w:instrText>
    </w:r>
    <w:r>
      <w:fldChar w:fldCharType="end"/>
    </w:r>
  </w:p>
  <w:p w14:paraId="4E9519CF">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B0C1F">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2323">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6AF1">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w:t>
    </w:r>
  </w:p>
  <w:p w14:paraId="2503D45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4BF3D">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6064">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5BFC">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F0E2">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6AB7">
    <w:pPr>
      <w:pStyle w:val="37"/>
      <w:pBdr>
        <w:bottom w:val="single" w:color="auto" w:sz="6" w:space="4"/>
      </w:pBdr>
      <w:jc w:val="right"/>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6B5D">
    <w:pPr>
      <w:pStyle w:val="37"/>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43BB">
    <w:pPr>
      <w:pStyle w:val="3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F118">
    <w:pPr>
      <w:pStyle w:val="37"/>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26A4">
    <w:pPr>
      <w:pStyle w:val="37"/>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CBEE">
    <w:pPr>
      <w:pStyle w:val="37"/>
      <w:rPr>
        <w:rFonts w:ascii="仿宋_GB2312" w:eastAsia="仿宋_GB2312"/>
        <w:b/>
        <w:i/>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26B3">
    <w:pPr>
      <w:pStyle w:val="37"/>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CD3C">
    <w:pPr>
      <w:pStyle w:val="37"/>
      <w:jc w:val="right"/>
      <w:rPr>
        <w:rFonts w:ascii="仿宋_GB2312" w:eastAsia="仿宋_GB2312"/>
        <w:b/>
        <w:i/>
        <w:u w:val="single"/>
      </w:rPr>
    </w:pPr>
    <w:r>
      <w:t>杭州市政府采购公开招标文件</w:t>
    </w:r>
  </w:p>
  <w:p w14:paraId="3C8D68B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D048">
    <w:pPr>
      <w:pStyle w:val="37"/>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C9C44">
    <w:pPr>
      <w:pStyle w:val="3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BF8A"/>
    <w:multiLevelType w:val="singleLevel"/>
    <w:tmpl w:val="C269BF8A"/>
    <w:lvl w:ilvl="0" w:tentative="0">
      <w:start w:val="1"/>
      <w:numFmt w:val="decimal"/>
      <w:lvlText w:val="%1."/>
      <w:lvlJc w:val="left"/>
      <w:pPr>
        <w:tabs>
          <w:tab w:val="left" w:pos="312"/>
        </w:tabs>
      </w:pPr>
    </w:lvl>
  </w:abstractNum>
  <w:abstractNum w:abstractNumId="1">
    <w:nsid w:val="FAFEC1E6"/>
    <w:multiLevelType w:val="singleLevel"/>
    <w:tmpl w:val="FAFEC1E6"/>
    <w:lvl w:ilvl="0" w:tentative="0">
      <w:start w:val="1"/>
      <w:numFmt w:val="bullet"/>
      <w:lvlText w:val=""/>
      <w:lvlJc w:val="left"/>
      <w:pPr>
        <w:ind w:left="420" w:hanging="420"/>
      </w:pPr>
      <w:rPr>
        <w:rFonts w:hint="default" w:ascii="Wingdings" w:hAnsi="Wingdings"/>
      </w:rPr>
    </w:lvl>
  </w:abstractNum>
  <w:abstractNum w:abstractNumId="2">
    <w:nsid w:val="FAFFCF40"/>
    <w:multiLevelType w:val="singleLevel"/>
    <w:tmpl w:val="FAFFCF40"/>
    <w:lvl w:ilvl="0" w:tentative="0">
      <w:start w:val="1"/>
      <w:numFmt w:val="decimal"/>
      <w:lvlText w:val="(%1)"/>
      <w:lvlJc w:val="left"/>
      <w:pPr>
        <w:ind w:left="425" w:hanging="425"/>
      </w:pPr>
      <w:rPr>
        <w:rFonts w:hint="default"/>
      </w:rPr>
    </w:lvl>
  </w:abstractNum>
  <w:abstractNum w:abstractNumId="3">
    <w:nsid w:val="00000006"/>
    <w:multiLevelType w:val="multilevel"/>
    <w:tmpl w:val="0000000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14"/>
    <w:multiLevelType w:val="multilevel"/>
    <w:tmpl w:val="00000014"/>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C2771FE"/>
    <w:multiLevelType w:val="singleLevel"/>
    <w:tmpl w:val="0C2771FE"/>
    <w:lvl w:ilvl="0" w:tentative="0">
      <w:start w:val="1"/>
      <w:numFmt w:val="decimal"/>
      <w:suff w:val="space"/>
      <w:lvlText w:val="%1."/>
      <w:lvlJc w:val="left"/>
    </w:lvl>
  </w:abstractNum>
  <w:abstractNum w:abstractNumId="6">
    <w:nsid w:val="0D1EB633"/>
    <w:multiLevelType w:val="multilevel"/>
    <w:tmpl w:val="0D1EB633"/>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F7D63AE"/>
    <w:multiLevelType w:val="multilevel"/>
    <w:tmpl w:val="0F7D63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123F16"/>
    <w:multiLevelType w:val="multilevel"/>
    <w:tmpl w:val="40123F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A8FED1E"/>
    <w:multiLevelType w:val="multilevel"/>
    <w:tmpl w:val="4A8FED1E"/>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suff w:val="nothing"/>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0">
    <w:nsid w:val="5EE83EE5"/>
    <w:multiLevelType w:val="multilevel"/>
    <w:tmpl w:val="5EE83EE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463635C"/>
    <w:multiLevelType w:val="multilevel"/>
    <w:tmpl w:val="6463635C"/>
    <w:lvl w:ilvl="0" w:tentative="0">
      <w:start w:val="1"/>
      <w:numFmt w:val="decimal"/>
      <w:lvlText w:val="%1"/>
      <w:lvlJc w:val="center"/>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853B917"/>
    <w:multiLevelType w:val="singleLevel"/>
    <w:tmpl w:val="6853B917"/>
    <w:lvl w:ilvl="0" w:tentative="0">
      <w:start w:val="1"/>
      <w:numFmt w:val="decimal"/>
      <w:lvlText w:val="%1."/>
      <w:lvlJc w:val="left"/>
      <w:pPr>
        <w:tabs>
          <w:tab w:val="left" w:pos="312"/>
        </w:tabs>
      </w:pPr>
    </w:lvl>
  </w:abstractNum>
  <w:abstractNum w:abstractNumId="13">
    <w:nsid w:val="6DEA74E8"/>
    <w:multiLevelType w:val="multilevel"/>
    <w:tmpl w:val="6DEA74E8"/>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D631192"/>
    <w:multiLevelType w:val="multilevel"/>
    <w:tmpl w:val="7D63119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9"/>
  </w:num>
  <w:num w:numId="2">
    <w:abstractNumId w:val="2"/>
  </w:num>
  <w:num w:numId="3">
    <w:abstractNumId w:val="1"/>
  </w:num>
  <w:num w:numId="4">
    <w:abstractNumId w:val="14"/>
  </w:num>
  <w:num w:numId="5">
    <w:abstractNumId w:val="10"/>
  </w:num>
  <w:num w:numId="6">
    <w:abstractNumId w:val="8"/>
  </w:num>
  <w:num w:numId="7">
    <w:abstractNumId w:val="7"/>
  </w:num>
  <w:num w:numId="8">
    <w:abstractNumId w:val="13"/>
  </w:num>
  <w:num w:numId="9">
    <w:abstractNumId w:val="6"/>
  </w:num>
  <w:num w:numId="10">
    <w:abstractNumId w:val="12"/>
  </w:num>
  <w:num w:numId="11">
    <w:abstractNumId w:val="0"/>
  </w:num>
  <w:num w:numId="12">
    <w:abstractNumId w:val="5"/>
  </w:num>
  <w:num w:numId="13">
    <w:abstractNumId w:val="3"/>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1DFD"/>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1D"/>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74"/>
    <w:rsid w:val="0012153F"/>
    <w:rsid w:val="0012159D"/>
    <w:rsid w:val="00121804"/>
    <w:rsid w:val="00121EC9"/>
    <w:rsid w:val="001224FE"/>
    <w:rsid w:val="001231D3"/>
    <w:rsid w:val="001232A7"/>
    <w:rsid w:val="00123F7C"/>
    <w:rsid w:val="0012419E"/>
    <w:rsid w:val="001242FB"/>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1E3F"/>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EA"/>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0D3C"/>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7B"/>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0AA6"/>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4FA6"/>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D73"/>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6F1"/>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35C"/>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0BD"/>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6E7"/>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EC6"/>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CB2"/>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FBA"/>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3A"/>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2E"/>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C4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614"/>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26C"/>
    <w:rsid w:val="0087677E"/>
    <w:rsid w:val="0087712C"/>
    <w:rsid w:val="008776E7"/>
    <w:rsid w:val="00877746"/>
    <w:rsid w:val="00877C5D"/>
    <w:rsid w:val="00877C70"/>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8B"/>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B99"/>
    <w:rsid w:val="00962FB8"/>
    <w:rsid w:val="00963183"/>
    <w:rsid w:val="0096373F"/>
    <w:rsid w:val="00964007"/>
    <w:rsid w:val="00964283"/>
    <w:rsid w:val="009642A4"/>
    <w:rsid w:val="009643F4"/>
    <w:rsid w:val="009645A6"/>
    <w:rsid w:val="00964F5A"/>
    <w:rsid w:val="0096527F"/>
    <w:rsid w:val="009653ED"/>
    <w:rsid w:val="009664AE"/>
    <w:rsid w:val="009664D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C80"/>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B7"/>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BB2"/>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08F"/>
    <w:rsid w:val="00AC7F64"/>
    <w:rsid w:val="00AD1065"/>
    <w:rsid w:val="00AD159E"/>
    <w:rsid w:val="00AD266F"/>
    <w:rsid w:val="00AD2AB1"/>
    <w:rsid w:val="00AD3132"/>
    <w:rsid w:val="00AD3DA6"/>
    <w:rsid w:val="00AD3F3C"/>
    <w:rsid w:val="00AD447E"/>
    <w:rsid w:val="00AD4B2F"/>
    <w:rsid w:val="00AD5F0A"/>
    <w:rsid w:val="00AD6A5B"/>
    <w:rsid w:val="00AD6B4F"/>
    <w:rsid w:val="00AD6D19"/>
    <w:rsid w:val="00AD7812"/>
    <w:rsid w:val="00AD7C42"/>
    <w:rsid w:val="00AD7CFA"/>
    <w:rsid w:val="00AE0120"/>
    <w:rsid w:val="00AE06B0"/>
    <w:rsid w:val="00AE0BD6"/>
    <w:rsid w:val="00AE11C1"/>
    <w:rsid w:val="00AE163D"/>
    <w:rsid w:val="00AE1A42"/>
    <w:rsid w:val="00AE1C5C"/>
    <w:rsid w:val="00AE315E"/>
    <w:rsid w:val="00AE319F"/>
    <w:rsid w:val="00AE31D9"/>
    <w:rsid w:val="00AE348A"/>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6E4"/>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2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35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44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172"/>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3FF4"/>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F06"/>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DFD"/>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D4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17E0C"/>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BC3"/>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BFD"/>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F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60"/>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D23"/>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0EC"/>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080A12"/>
    <w:rsid w:val="01177A27"/>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80EF8"/>
    <w:rsid w:val="032D5555"/>
    <w:rsid w:val="03541CED"/>
    <w:rsid w:val="036634D2"/>
    <w:rsid w:val="03CA6453"/>
    <w:rsid w:val="03DD35E4"/>
    <w:rsid w:val="04076900"/>
    <w:rsid w:val="041A5A3B"/>
    <w:rsid w:val="042311BA"/>
    <w:rsid w:val="042B157A"/>
    <w:rsid w:val="045F6B9B"/>
    <w:rsid w:val="048F763B"/>
    <w:rsid w:val="049F330E"/>
    <w:rsid w:val="04AA775C"/>
    <w:rsid w:val="04AF1889"/>
    <w:rsid w:val="04F66F48"/>
    <w:rsid w:val="05251E14"/>
    <w:rsid w:val="05776166"/>
    <w:rsid w:val="05A16594"/>
    <w:rsid w:val="05A7762D"/>
    <w:rsid w:val="05FB0B46"/>
    <w:rsid w:val="060E5941"/>
    <w:rsid w:val="06110FAF"/>
    <w:rsid w:val="06493CA7"/>
    <w:rsid w:val="065A6178"/>
    <w:rsid w:val="066F1CF3"/>
    <w:rsid w:val="068C3E93"/>
    <w:rsid w:val="06930BB8"/>
    <w:rsid w:val="06E635A4"/>
    <w:rsid w:val="07245D42"/>
    <w:rsid w:val="07264C62"/>
    <w:rsid w:val="0779354C"/>
    <w:rsid w:val="08061376"/>
    <w:rsid w:val="08452D77"/>
    <w:rsid w:val="086401F8"/>
    <w:rsid w:val="08751CAA"/>
    <w:rsid w:val="087846CF"/>
    <w:rsid w:val="087E4C40"/>
    <w:rsid w:val="08A871D0"/>
    <w:rsid w:val="08D66AD6"/>
    <w:rsid w:val="08DA33A3"/>
    <w:rsid w:val="08E80F13"/>
    <w:rsid w:val="091066B6"/>
    <w:rsid w:val="09335624"/>
    <w:rsid w:val="0944690F"/>
    <w:rsid w:val="09535675"/>
    <w:rsid w:val="095F057D"/>
    <w:rsid w:val="09642282"/>
    <w:rsid w:val="09733572"/>
    <w:rsid w:val="09772C16"/>
    <w:rsid w:val="098353B5"/>
    <w:rsid w:val="09A92330"/>
    <w:rsid w:val="09B06B87"/>
    <w:rsid w:val="09C13146"/>
    <w:rsid w:val="09C20B5C"/>
    <w:rsid w:val="09E04166"/>
    <w:rsid w:val="09F71624"/>
    <w:rsid w:val="0A1C0718"/>
    <w:rsid w:val="0A3E7710"/>
    <w:rsid w:val="0A5B7E63"/>
    <w:rsid w:val="0A890091"/>
    <w:rsid w:val="0AA277E2"/>
    <w:rsid w:val="0AA374A5"/>
    <w:rsid w:val="0AAB7649"/>
    <w:rsid w:val="0ABC5606"/>
    <w:rsid w:val="0B30404E"/>
    <w:rsid w:val="0B4C6C14"/>
    <w:rsid w:val="0B547599"/>
    <w:rsid w:val="0B631A88"/>
    <w:rsid w:val="0B683D45"/>
    <w:rsid w:val="0B7F3F11"/>
    <w:rsid w:val="0B884417"/>
    <w:rsid w:val="0BF6188C"/>
    <w:rsid w:val="0BF73C91"/>
    <w:rsid w:val="0C170175"/>
    <w:rsid w:val="0C281F69"/>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6277D"/>
    <w:rsid w:val="0E5604B2"/>
    <w:rsid w:val="0E6D5D79"/>
    <w:rsid w:val="0E9D0089"/>
    <w:rsid w:val="0EB803EE"/>
    <w:rsid w:val="0EF94D4B"/>
    <w:rsid w:val="0F451083"/>
    <w:rsid w:val="0F4958DC"/>
    <w:rsid w:val="0F515DF7"/>
    <w:rsid w:val="0F596BA8"/>
    <w:rsid w:val="0F6248D2"/>
    <w:rsid w:val="0F658259"/>
    <w:rsid w:val="0F693536"/>
    <w:rsid w:val="0F7B0511"/>
    <w:rsid w:val="0F7B76D9"/>
    <w:rsid w:val="0F816ACD"/>
    <w:rsid w:val="0F9832DB"/>
    <w:rsid w:val="0FBF3FD2"/>
    <w:rsid w:val="0FBF7FF3"/>
    <w:rsid w:val="10646583"/>
    <w:rsid w:val="107D4B15"/>
    <w:rsid w:val="108856CC"/>
    <w:rsid w:val="108A3C80"/>
    <w:rsid w:val="108F6A5A"/>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11F28"/>
    <w:rsid w:val="13072A44"/>
    <w:rsid w:val="134749AD"/>
    <w:rsid w:val="135F4BE2"/>
    <w:rsid w:val="139B1A0A"/>
    <w:rsid w:val="139D25C7"/>
    <w:rsid w:val="13A10F7E"/>
    <w:rsid w:val="13BF3CE4"/>
    <w:rsid w:val="141008D8"/>
    <w:rsid w:val="14125FE6"/>
    <w:rsid w:val="141B23B3"/>
    <w:rsid w:val="14641FAC"/>
    <w:rsid w:val="146D271E"/>
    <w:rsid w:val="14982588"/>
    <w:rsid w:val="149A5AD9"/>
    <w:rsid w:val="14A7619D"/>
    <w:rsid w:val="14BA7E1E"/>
    <w:rsid w:val="150536C3"/>
    <w:rsid w:val="150C1963"/>
    <w:rsid w:val="151447A0"/>
    <w:rsid w:val="154A6454"/>
    <w:rsid w:val="15762120"/>
    <w:rsid w:val="165D4F05"/>
    <w:rsid w:val="165F0C7D"/>
    <w:rsid w:val="16A8729C"/>
    <w:rsid w:val="16B33777"/>
    <w:rsid w:val="16BC70A7"/>
    <w:rsid w:val="16C6339E"/>
    <w:rsid w:val="16E15B36"/>
    <w:rsid w:val="170975A9"/>
    <w:rsid w:val="172F2D79"/>
    <w:rsid w:val="17557BEF"/>
    <w:rsid w:val="178D35C8"/>
    <w:rsid w:val="17D349C1"/>
    <w:rsid w:val="1830729E"/>
    <w:rsid w:val="1870062C"/>
    <w:rsid w:val="18817102"/>
    <w:rsid w:val="18830A15"/>
    <w:rsid w:val="18852B28"/>
    <w:rsid w:val="188B5321"/>
    <w:rsid w:val="189270E7"/>
    <w:rsid w:val="18EB67F8"/>
    <w:rsid w:val="19932372"/>
    <w:rsid w:val="19A20DD5"/>
    <w:rsid w:val="19AE03F1"/>
    <w:rsid w:val="19DC4392"/>
    <w:rsid w:val="19F636A6"/>
    <w:rsid w:val="1A071A03"/>
    <w:rsid w:val="1A1F16AE"/>
    <w:rsid w:val="1A3B5C77"/>
    <w:rsid w:val="1A782254"/>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CD6156D"/>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5570C1"/>
    <w:rsid w:val="1F5771FF"/>
    <w:rsid w:val="1FE868A9"/>
    <w:rsid w:val="1FF59DE3"/>
    <w:rsid w:val="20034907"/>
    <w:rsid w:val="20173E4B"/>
    <w:rsid w:val="203767C6"/>
    <w:rsid w:val="204E48BC"/>
    <w:rsid w:val="208921B3"/>
    <w:rsid w:val="20973DEB"/>
    <w:rsid w:val="20B26522"/>
    <w:rsid w:val="20B44310"/>
    <w:rsid w:val="21042B4C"/>
    <w:rsid w:val="211116EB"/>
    <w:rsid w:val="216133FC"/>
    <w:rsid w:val="21B5B083"/>
    <w:rsid w:val="21D56769"/>
    <w:rsid w:val="21E52EF3"/>
    <w:rsid w:val="21FB5D7B"/>
    <w:rsid w:val="22015E94"/>
    <w:rsid w:val="220B1C3D"/>
    <w:rsid w:val="221B2723"/>
    <w:rsid w:val="221D1D20"/>
    <w:rsid w:val="22334A87"/>
    <w:rsid w:val="22A16179"/>
    <w:rsid w:val="22BE6801"/>
    <w:rsid w:val="23337719"/>
    <w:rsid w:val="233500BF"/>
    <w:rsid w:val="23377FF7"/>
    <w:rsid w:val="236B425F"/>
    <w:rsid w:val="23836192"/>
    <w:rsid w:val="23901F29"/>
    <w:rsid w:val="239C0061"/>
    <w:rsid w:val="23B908A4"/>
    <w:rsid w:val="23E95BEF"/>
    <w:rsid w:val="23FD0064"/>
    <w:rsid w:val="244119C2"/>
    <w:rsid w:val="24417C14"/>
    <w:rsid w:val="245375B0"/>
    <w:rsid w:val="24633955"/>
    <w:rsid w:val="24642C0A"/>
    <w:rsid w:val="24B22173"/>
    <w:rsid w:val="24B95AD9"/>
    <w:rsid w:val="24BE24DA"/>
    <w:rsid w:val="24CF5825"/>
    <w:rsid w:val="24D663E6"/>
    <w:rsid w:val="24D77F2B"/>
    <w:rsid w:val="254A2AF8"/>
    <w:rsid w:val="258B00E2"/>
    <w:rsid w:val="25A917A6"/>
    <w:rsid w:val="25BE27CC"/>
    <w:rsid w:val="25F74A5C"/>
    <w:rsid w:val="26062EC3"/>
    <w:rsid w:val="2628662C"/>
    <w:rsid w:val="262D45DE"/>
    <w:rsid w:val="266320C3"/>
    <w:rsid w:val="26871DC8"/>
    <w:rsid w:val="26A53EF9"/>
    <w:rsid w:val="26A94201"/>
    <w:rsid w:val="26AA7CF2"/>
    <w:rsid w:val="26AC274F"/>
    <w:rsid w:val="26DF4DEB"/>
    <w:rsid w:val="26EC030B"/>
    <w:rsid w:val="27044A29"/>
    <w:rsid w:val="271D34C8"/>
    <w:rsid w:val="276142BF"/>
    <w:rsid w:val="27783712"/>
    <w:rsid w:val="27907362"/>
    <w:rsid w:val="28333E1D"/>
    <w:rsid w:val="28435545"/>
    <w:rsid w:val="28454BD6"/>
    <w:rsid w:val="28455253"/>
    <w:rsid w:val="28551971"/>
    <w:rsid w:val="285B1C53"/>
    <w:rsid w:val="289F7086"/>
    <w:rsid w:val="28C32028"/>
    <w:rsid w:val="28CC490F"/>
    <w:rsid w:val="28DE40AA"/>
    <w:rsid w:val="29345E77"/>
    <w:rsid w:val="294C65AD"/>
    <w:rsid w:val="29806583"/>
    <w:rsid w:val="298B3C4C"/>
    <w:rsid w:val="29F26D24"/>
    <w:rsid w:val="29FB2613"/>
    <w:rsid w:val="2A15033F"/>
    <w:rsid w:val="2A1662C1"/>
    <w:rsid w:val="2A1C7367"/>
    <w:rsid w:val="2A2815FA"/>
    <w:rsid w:val="2A6D6092"/>
    <w:rsid w:val="2A7D76B4"/>
    <w:rsid w:val="2B437463"/>
    <w:rsid w:val="2B6D12EE"/>
    <w:rsid w:val="2B724B56"/>
    <w:rsid w:val="2B7807EE"/>
    <w:rsid w:val="2B801021"/>
    <w:rsid w:val="2BA50BF7"/>
    <w:rsid w:val="2BBF00EC"/>
    <w:rsid w:val="2BC37CFD"/>
    <w:rsid w:val="2BD5237F"/>
    <w:rsid w:val="2BE536CE"/>
    <w:rsid w:val="2BE758D9"/>
    <w:rsid w:val="2C09049E"/>
    <w:rsid w:val="2C0A653C"/>
    <w:rsid w:val="2C191F85"/>
    <w:rsid w:val="2CE82D6F"/>
    <w:rsid w:val="2D047A30"/>
    <w:rsid w:val="2D343236"/>
    <w:rsid w:val="2DD15014"/>
    <w:rsid w:val="2DF72DE4"/>
    <w:rsid w:val="2E0010B6"/>
    <w:rsid w:val="2E0220AF"/>
    <w:rsid w:val="2E4B082A"/>
    <w:rsid w:val="2E4E5407"/>
    <w:rsid w:val="2E5D4E86"/>
    <w:rsid w:val="2E5D790B"/>
    <w:rsid w:val="2E9A3C18"/>
    <w:rsid w:val="2EBB0FEE"/>
    <w:rsid w:val="2EC456C9"/>
    <w:rsid w:val="2EC63002"/>
    <w:rsid w:val="2F0A6B38"/>
    <w:rsid w:val="2F946CCB"/>
    <w:rsid w:val="2FD25781"/>
    <w:rsid w:val="2FDC745C"/>
    <w:rsid w:val="2FFD7934"/>
    <w:rsid w:val="306C6018"/>
    <w:rsid w:val="30733ACD"/>
    <w:rsid w:val="308C3862"/>
    <w:rsid w:val="309379D8"/>
    <w:rsid w:val="30A270F7"/>
    <w:rsid w:val="30DF1478"/>
    <w:rsid w:val="30EC586F"/>
    <w:rsid w:val="314D5E4A"/>
    <w:rsid w:val="317653A0"/>
    <w:rsid w:val="317F180E"/>
    <w:rsid w:val="319C6071"/>
    <w:rsid w:val="31AC537E"/>
    <w:rsid w:val="31E3679B"/>
    <w:rsid w:val="31E732FD"/>
    <w:rsid w:val="31FB3AF8"/>
    <w:rsid w:val="32517576"/>
    <w:rsid w:val="32854036"/>
    <w:rsid w:val="32B67A1F"/>
    <w:rsid w:val="32BE5C2C"/>
    <w:rsid w:val="32FB6478"/>
    <w:rsid w:val="33263B3F"/>
    <w:rsid w:val="334E7C57"/>
    <w:rsid w:val="33587748"/>
    <w:rsid w:val="336963EB"/>
    <w:rsid w:val="336E20A7"/>
    <w:rsid w:val="33816EEB"/>
    <w:rsid w:val="33EB55CD"/>
    <w:rsid w:val="33EC4C02"/>
    <w:rsid w:val="340D2360"/>
    <w:rsid w:val="3410665D"/>
    <w:rsid w:val="34211214"/>
    <w:rsid w:val="342E63AB"/>
    <w:rsid w:val="34394463"/>
    <w:rsid w:val="34950E68"/>
    <w:rsid w:val="34986E94"/>
    <w:rsid w:val="34AF62C9"/>
    <w:rsid w:val="34B61F58"/>
    <w:rsid w:val="34CB4388"/>
    <w:rsid w:val="34FA6E12"/>
    <w:rsid w:val="34FF38FF"/>
    <w:rsid w:val="354D7158"/>
    <w:rsid w:val="35645510"/>
    <w:rsid w:val="358D5588"/>
    <w:rsid w:val="35C83CF1"/>
    <w:rsid w:val="363A3B40"/>
    <w:rsid w:val="365302AE"/>
    <w:rsid w:val="36607A0A"/>
    <w:rsid w:val="366E227C"/>
    <w:rsid w:val="366F2E0D"/>
    <w:rsid w:val="367B6A5C"/>
    <w:rsid w:val="36A74ADA"/>
    <w:rsid w:val="36AD60D5"/>
    <w:rsid w:val="36B224F9"/>
    <w:rsid w:val="36DB3EF8"/>
    <w:rsid w:val="36EA5EE9"/>
    <w:rsid w:val="36EC0CC9"/>
    <w:rsid w:val="37255D96"/>
    <w:rsid w:val="373F410B"/>
    <w:rsid w:val="37492C0F"/>
    <w:rsid w:val="37D921E5"/>
    <w:rsid w:val="37EE7094"/>
    <w:rsid w:val="38296C89"/>
    <w:rsid w:val="383002EB"/>
    <w:rsid w:val="38586797"/>
    <w:rsid w:val="3870241E"/>
    <w:rsid w:val="38BC0149"/>
    <w:rsid w:val="38D87D1C"/>
    <w:rsid w:val="39463BE4"/>
    <w:rsid w:val="39636459"/>
    <w:rsid w:val="39641F82"/>
    <w:rsid w:val="396B7F6C"/>
    <w:rsid w:val="39B417A9"/>
    <w:rsid w:val="39FC5695"/>
    <w:rsid w:val="3A006D8E"/>
    <w:rsid w:val="3A176FF5"/>
    <w:rsid w:val="3A3651E5"/>
    <w:rsid w:val="3A744481"/>
    <w:rsid w:val="3A8C7BEF"/>
    <w:rsid w:val="3A906246"/>
    <w:rsid w:val="3A9C74FA"/>
    <w:rsid w:val="3B2349B7"/>
    <w:rsid w:val="3B616CFF"/>
    <w:rsid w:val="3B6259F6"/>
    <w:rsid w:val="3B976654"/>
    <w:rsid w:val="3BA725FA"/>
    <w:rsid w:val="3BAA122E"/>
    <w:rsid w:val="3BC01EFC"/>
    <w:rsid w:val="3BCA786A"/>
    <w:rsid w:val="3BD31E2F"/>
    <w:rsid w:val="3BF15831"/>
    <w:rsid w:val="3C105946"/>
    <w:rsid w:val="3C471448"/>
    <w:rsid w:val="3C5F759A"/>
    <w:rsid w:val="3C6C525A"/>
    <w:rsid w:val="3C7A386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B30E3"/>
    <w:rsid w:val="3F1D1096"/>
    <w:rsid w:val="3F2F0234"/>
    <w:rsid w:val="3F6363FE"/>
    <w:rsid w:val="3F756053"/>
    <w:rsid w:val="3F756B8F"/>
    <w:rsid w:val="3F95482B"/>
    <w:rsid w:val="4019356B"/>
    <w:rsid w:val="40592157"/>
    <w:rsid w:val="406E1CAE"/>
    <w:rsid w:val="40A0133A"/>
    <w:rsid w:val="40C31A53"/>
    <w:rsid w:val="40FF545D"/>
    <w:rsid w:val="410067C8"/>
    <w:rsid w:val="411E6EBB"/>
    <w:rsid w:val="414D59F2"/>
    <w:rsid w:val="418F0D2A"/>
    <w:rsid w:val="41D01505"/>
    <w:rsid w:val="42474939"/>
    <w:rsid w:val="424C3C57"/>
    <w:rsid w:val="4258464E"/>
    <w:rsid w:val="42613FF3"/>
    <w:rsid w:val="42660D96"/>
    <w:rsid w:val="428667D2"/>
    <w:rsid w:val="42CD1CE0"/>
    <w:rsid w:val="42D812EB"/>
    <w:rsid w:val="42E1381E"/>
    <w:rsid w:val="42ED6459"/>
    <w:rsid w:val="42FE58DD"/>
    <w:rsid w:val="43174B3D"/>
    <w:rsid w:val="434B790E"/>
    <w:rsid w:val="434D7F2B"/>
    <w:rsid w:val="4360274F"/>
    <w:rsid w:val="43977AB6"/>
    <w:rsid w:val="43A3342B"/>
    <w:rsid w:val="43C77C27"/>
    <w:rsid w:val="43DE09EE"/>
    <w:rsid w:val="43F65ECD"/>
    <w:rsid w:val="44002FAD"/>
    <w:rsid w:val="441822E7"/>
    <w:rsid w:val="449101DD"/>
    <w:rsid w:val="44A122DD"/>
    <w:rsid w:val="44DE1391"/>
    <w:rsid w:val="451B225C"/>
    <w:rsid w:val="451E392D"/>
    <w:rsid w:val="452410C9"/>
    <w:rsid w:val="452F5B3A"/>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21270"/>
    <w:rsid w:val="471A45C8"/>
    <w:rsid w:val="477B778F"/>
    <w:rsid w:val="478203EC"/>
    <w:rsid w:val="47B025FA"/>
    <w:rsid w:val="47CA1B4A"/>
    <w:rsid w:val="47E10C42"/>
    <w:rsid w:val="4809698F"/>
    <w:rsid w:val="4811697D"/>
    <w:rsid w:val="4867383D"/>
    <w:rsid w:val="487A3E25"/>
    <w:rsid w:val="488B5503"/>
    <w:rsid w:val="48937E21"/>
    <w:rsid w:val="489A0361"/>
    <w:rsid w:val="48B94FF3"/>
    <w:rsid w:val="48E37AAB"/>
    <w:rsid w:val="48FD4B4C"/>
    <w:rsid w:val="490A68E0"/>
    <w:rsid w:val="491055FE"/>
    <w:rsid w:val="495F5B3E"/>
    <w:rsid w:val="496F77D7"/>
    <w:rsid w:val="49747FC0"/>
    <w:rsid w:val="497654FD"/>
    <w:rsid w:val="49B64211"/>
    <w:rsid w:val="49F6167F"/>
    <w:rsid w:val="4A064FA0"/>
    <w:rsid w:val="4A16615C"/>
    <w:rsid w:val="4A4424D7"/>
    <w:rsid w:val="4AB82D0F"/>
    <w:rsid w:val="4AEB7664"/>
    <w:rsid w:val="4AFD7C19"/>
    <w:rsid w:val="4B0567D1"/>
    <w:rsid w:val="4B236AAE"/>
    <w:rsid w:val="4B6978CC"/>
    <w:rsid w:val="4B707271"/>
    <w:rsid w:val="4B9739F7"/>
    <w:rsid w:val="4BE96317"/>
    <w:rsid w:val="4BEE2503"/>
    <w:rsid w:val="4C2000F3"/>
    <w:rsid w:val="4C245A30"/>
    <w:rsid w:val="4C771B75"/>
    <w:rsid w:val="4CB6685F"/>
    <w:rsid w:val="4CC367FE"/>
    <w:rsid w:val="4CC76658"/>
    <w:rsid w:val="4CD3324F"/>
    <w:rsid w:val="4CE0596C"/>
    <w:rsid w:val="4D077F3C"/>
    <w:rsid w:val="4D123355"/>
    <w:rsid w:val="4D2A3B31"/>
    <w:rsid w:val="4D312C52"/>
    <w:rsid w:val="4D693BB4"/>
    <w:rsid w:val="4D905305"/>
    <w:rsid w:val="4D964A72"/>
    <w:rsid w:val="4D9C1254"/>
    <w:rsid w:val="4E793892"/>
    <w:rsid w:val="4E800872"/>
    <w:rsid w:val="4EC569ED"/>
    <w:rsid w:val="4ED50EA1"/>
    <w:rsid w:val="4EEC050C"/>
    <w:rsid w:val="4F052784"/>
    <w:rsid w:val="4F104EC3"/>
    <w:rsid w:val="4F47354A"/>
    <w:rsid w:val="4F911C54"/>
    <w:rsid w:val="4FD80B7D"/>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15570"/>
    <w:rsid w:val="53864205"/>
    <w:rsid w:val="5397158E"/>
    <w:rsid w:val="54013861"/>
    <w:rsid w:val="54487265"/>
    <w:rsid w:val="544D6070"/>
    <w:rsid w:val="54605E1E"/>
    <w:rsid w:val="54A41E0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D1DD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92CBA"/>
    <w:rsid w:val="58917D2F"/>
    <w:rsid w:val="5894085C"/>
    <w:rsid w:val="58AE4F0C"/>
    <w:rsid w:val="58B85899"/>
    <w:rsid w:val="58E363A9"/>
    <w:rsid w:val="593D5DD4"/>
    <w:rsid w:val="595E1678"/>
    <w:rsid w:val="596C0CB3"/>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B3430"/>
    <w:rsid w:val="5B843A1C"/>
    <w:rsid w:val="5B873E3F"/>
    <w:rsid w:val="5C007491"/>
    <w:rsid w:val="5C02690E"/>
    <w:rsid w:val="5C196DA7"/>
    <w:rsid w:val="5C2A048C"/>
    <w:rsid w:val="5C585E94"/>
    <w:rsid w:val="5C80234E"/>
    <w:rsid w:val="5C8A680C"/>
    <w:rsid w:val="5CEA7F86"/>
    <w:rsid w:val="5D0C4701"/>
    <w:rsid w:val="5D0F0395"/>
    <w:rsid w:val="5D221076"/>
    <w:rsid w:val="5D397964"/>
    <w:rsid w:val="5D5A391C"/>
    <w:rsid w:val="5D5F10C0"/>
    <w:rsid w:val="5D891B7B"/>
    <w:rsid w:val="5DAD38EE"/>
    <w:rsid w:val="5DBE13B2"/>
    <w:rsid w:val="5E006862"/>
    <w:rsid w:val="5E0207B9"/>
    <w:rsid w:val="5E1834A1"/>
    <w:rsid w:val="5E190CDE"/>
    <w:rsid w:val="5E261785"/>
    <w:rsid w:val="5E4A7017"/>
    <w:rsid w:val="5E552BBA"/>
    <w:rsid w:val="5E611C10"/>
    <w:rsid w:val="5E79352B"/>
    <w:rsid w:val="5E7A0F3F"/>
    <w:rsid w:val="5EFC7377"/>
    <w:rsid w:val="5F06174D"/>
    <w:rsid w:val="5F28567D"/>
    <w:rsid w:val="5F3A3602"/>
    <w:rsid w:val="5F45733B"/>
    <w:rsid w:val="5F6277C6"/>
    <w:rsid w:val="5F6D0B1D"/>
    <w:rsid w:val="5F8D0B82"/>
    <w:rsid w:val="5FCC5339"/>
    <w:rsid w:val="5FE34A5B"/>
    <w:rsid w:val="5FFE1E36"/>
    <w:rsid w:val="60232584"/>
    <w:rsid w:val="607330CE"/>
    <w:rsid w:val="60825176"/>
    <w:rsid w:val="609F2AC4"/>
    <w:rsid w:val="60D13AF2"/>
    <w:rsid w:val="60FA2EE8"/>
    <w:rsid w:val="61054A27"/>
    <w:rsid w:val="610A52BC"/>
    <w:rsid w:val="611759A9"/>
    <w:rsid w:val="611D2366"/>
    <w:rsid w:val="613227E3"/>
    <w:rsid w:val="61421856"/>
    <w:rsid w:val="615227C4"/>
    <w:rsid w:val="61654E3F"/>
    <w:rsid w:val="6182292A"/>
    <w:rsid w:val="619F7F92"/>
    <w:rsid w:val="61F94C26"/>
    <w:rsid w:val="62000E56"/>
    <w:rsid w:val="624F3E49"/>
    <w:rsid w:val="62614A02"/>
    <w:rsid w:val="62632286"/>
    <w:rsid w:val="62885958"/>
    <w:rsid w:val="62BF00A6"/>
    <w:rsid w:val="62F40B65"/>
    <w:rsid w:val="62FC2CFE"/>
    <w:rsid w:val="63024505"/>
    <w:rsid w:val="635600A5"/>
    <w:rsid w:val="635B1DB5"/>
    <w:rsid w:val="63711FED"/>
    <w:rsid w:val="63880DDC"/>
    <w:rsid w:val="638D750D"/>
    <w:rsid w:val="63AC6CC0"/>
    <w:rsid w:val="64027D99"/>
    <w:rsid w:val="64055776"/>
    <w:rsid w:val="64240056"/>
    <w:rsid w:val="643E143A"/>
    <w:rsid w:val="64491666"/>
    <w:rsid w:val="648B6EEF"/>
    <w:rsid w:val="64C158BF"/>
    <w:rsid w:val="64CE2EAA"/>
    <w:rsid w:val="64FD6C64"/>
    <w:rsid w:val="653C3090"/>
    <w:rsid w:val="65854376"/>
    <w:rsid w:val="658767BE"/>
    <w:rsid w:val="65892531"/>
    <w:rsid w:val="66195831"/>
    <w:rsid w:val="662E75B1"/>
    <w:rsid w:val="66342C2E"/>
    <w:rsid w:val="663C1A0D"/>
    <w:rsid w:val="663E784C"/>
    <w:rsid w:val="668B6A45"/>
    <w:rsid w:val="66AB04E5"/>
    <w:rsid w:val="672F3F24"/>
    <w:rsid w:val="673E055F"/>
    <w:rsid w:val="67551CE3"/>
    <w:rsid w:val="675A65EF"/>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BF7FE7"/>
    <w:rsid w:val="68CA2805"/>
    <w:rsid w:val="68E937A3"/>
    <w:rsid w:val="693E15D3"/>
    <w:rsid w:val="69627681"/>
    <w:rsid w:val="6977531D"/>
    <w:rsid w:val="69CA7330"/>
    <w:rsid w:val="69CC2BFF"/>
    <w:rsid w:val="69FD55B8"/>
    <w:rsid w:val="69FE43F9"/>
    <w:rsid w:val="6A0B1C62"/>
    <w:rsid w:val="6A2406C8"/>
    <w:rsid w:val="6ADE0BD1"/>
    <w:rsid w:val="6AE96859"/>
    <w:rsid w:val="6B147746"/>
    <w:rsid w:val="6B24787C"/>
    <w:rsid w:val="6B573233"/>
    <w:rsid w:val="6B5B6274"/>
    <w:rsid w:val="6B935D53"/>
    <w:rsid w:val="6BAF2C82"/>
    <w:rsid w:val="6BF90264"/>
    <w:rsid w:val="6C196F71"/>
    <w:rsid w:val="6C226FCB"/>
    <w:rsid w:val="6C31226F"/>
    <w:rsid w:val="6C552F0B"/>
    <w:rsid w:val="6C731F01"/>
    <w:rsid w:val="6C766813"/>
    <w:rsid w:val="6C8C67B7"/>
    <w:rsid w:val="6C9D744C"/>
    <w:rsid w:val="6CB40765"/>
    <w:rsid w:val="6D167928"/>
    <w:rsid w:val="6D26299B"/>
    <w:rsid w:val="6D4772EC"/>
    <w:rsid w:val="6D9078AF"/>
    <w:rsid w:val="6DAA3FEF"/>
    <w:rsid w:val="6DC0172B"/>
    <w:rsid w:val="6DCB690C"/>
    <w:rsid w:val="6DD41A5B"/>
    <w:rsid w:val="6DF43C2E"/>
    <w:rsid w:val="6DF51CA3"/>
    <w:rsid w:val="6E4F6056"/>
    <w:rsid w:val="6E7F4B8D"/>
    <w:rsid w:val="6E8335BD"/>
    <w:rsid w:val="6E8E12EF"/>
    <w:rsid w:val="6E972936"/>
    <w:rsid w:val="6EB42D97"/>
    <w:rsid w:val="6ED446C5"/>
    <w:rsid w:val="6F004757"/>
    <w:rsid w:val="6F1F3C7A"/>
    <w:rsid w:val="6F2A7D94"/>
    <w:rsid w:val="6F8331F1"/>
    <w:rsid w:val="6F8F7052"/>
    <w:rsid w:val="6FAE1A09"/>
    <w:rsid w:val="6FB6638D"/>
    <w:rsid w:val="6FB86358"/>
    <w:rsid w:val="6FD75BF8"/>
    <w:rsid w:val="6FFB46E7"/>
    <w:rsid w:val="700370F8"/>
    <w:rsid w:val="701D465E"/>
    <w:rsid w:val="705F07D2"/>
    <w:rsid w:val="707723D0"/>
    <w:rsid w:val="707D6A8A"/>
    <w:rsid w:val="707F0E75"/>
    <w:rsid w:val="70F5661B"/>
    <w:rsid w:val="71360107"/>
    <w:rsid w:val="713B688E"/>
    <w:rsid w:val="716D6F1F"/>
    <w:rsid w:val="71C07AE9"/>
    <w:rsid w:val="71D43752"/>
    <w:rsid w:val="71F1796A"/>
    <w:rsid w:val="72154626"/>
    <w:rsid w:val="72220DAF"/>
    <w:rsid w:val="72262B5D"/>
    <w:rsid w:val="72283FF7"/>
    <w:rsid w:val="722E7212"/>
    <w:rsid w:val="723A0474"/>
    <w:rsid w:val="725923E4"/>
    <w:rsid w:val="726E5CBB"/>
    <w:rsid w:val="72864BF7"/>
    <w:rsid w:val="729023FC"/>
    <w:rsid w:val="72BB1F0C"/>
    <w:rsid w:val="73C0646E"/>
    <w:rsid w:val="73F751C6"/>
    <w:rsid w:val="742222F5"/>
    <w:rsid w:val="74476126"/>
    <w:rsid w:val="74706664"/>
    <w:rsid w:val="747F3682"/>
    <w:rsid w:val="749C4185"/>
    <w:rsid w:val="74CE23CA"/>
    <w:rsid w:val="75067759"/>
    <w:rsid w:val="751D2A0A"/>
    <w:rsid w:val="752E6DCD"/>
    <w:rsid w:val="7551380D"/>
    <w:rsid w:val="75600BE5"/>
    <w:rsid w:val="7564475C"/>
    <w:rsid w:val="756B19C7"/>
    <w:rsid w:val="7583797F"/>
    <w:rsid w:val="75D20F1D"/>
    <w:rsid w:val="75DA2C18"/>
    <w:rsid w:val="75F54412"/>
    <w:rsid w:val="76164029"/>
    <w:rsid w:val="761D08E0"/>
    <w:rsid w:val="765D347C"/>
    <w:rsid w:val="76826699"/>
    <w:rsid w:val="76C45833"/>
    <w:rsid w:val="76C87133"/>
    <w:rsid w:val="76CD08D5"/>
    <w:rsid w:val="76DB4B92"/>
    <w:rsid w:val="77052AA4"/>
    <w:rsid w:val="77136511"/>
    <w:rsid w:val="77147E3D"/>
    <w:rsid w:val="77340A39"/>
    <w:rsid w:val="77351FD0"/>
    <w:rsid w:val="77472422"/>
    <w:rsid w:val="777F31F2"/>
    <w:rsid w:val="77C44C0A"/>
    <w:rsid w:val="77D1700D"/>
    <w:rsid w:val="77EC04CC"/>
    <w:rsid w:val="780D4FB8"/>
    <w:rsid w:val="78544995"/>
    <w:rsid w:val="78775729"/>
    <w:rsid w:val="78A42DB0"/>
    <w:rsid w:val="78A53CFB"/>
    <w:rsid w:val="78A656AB"/>
    <w:rsid w:val="78B2245C"/>
    <w:rsid w:val="78E172CC"/>
    <w:rsid w:val="78EA1D1F"/>
    <w:rsid w:val="7904172F"/>
    <w:rsid w:val="790F7E27"/>
    <w:rsid w:val="792A231A"/>
    <w:rsid w:val="79316829"/>
    <w:rsid w:val="797E66A9"/>
    <w:rsid w:val="798518A4"/>
    <w:rsid w:val="79A97383"/>
    <w:rsid w:val="79E025D7"/>
    <w:rsid w:val="79E27E8B"/>
    <w:rsid w:val="79E63D12"/>
    <w:rsid w:val="79F850CE"/>
    <w:rsid w:val="79FD443C"/>
    <w:rsid w:val="7A1D1975"/>
    <w:rsid w:val="7A3E5150"/>
    <w:rsid w:val="7A4670D6"/>
    <w:rsid w:val="7A534B63"/>
    <w:rsid w:val="7A615382"/>
    <w:rsid w:val="7A67303B"/>
    <w:rsid w:val="7AAB1D04"/>
    <w:rsid w:val="7AB160CE"/>
    <w:rsid w:val="7ABA4368"/>
    <w:rsid w:val="7AD05746"/>
    <w:rsid w:val="7B257FFD"/>
    <w:rsid w:val="7B343476"/>
    <w:rsid w:val="7B5A2978"/>
    <w:rsid w:val="7B5A7E4C"/>
    <w:rsid w:val="7B667AF9"/>
    <w:rsid w:val="7B7468F8"/>
    <w:rsid w:val="7BEE0103"/>
    <w:rsid w:val="7C0A0FE4"/>
    <w:rsid w:val="7C254906"/>
    <w:rsid w:val="7C385132"/>
    <w:rsid w:val="7C516BDF"/>
    <w:rsid w:val="7C590818"/>
    <w:rsid w:val="7C7C10F6"/>
    <w:rsid w:val="7C853BEA"/>
    <w:rsid w:val="7C881368"/>
    <w:rsid w:val="7CE27788"/>
    <w:rsid w:val="7CEA1D6C"/>
    <w:rsid w:val="7D003E61"/>
    <w:rsid w:val="7D0C32F1"/>
    <w:rsid w:val="7D0F408D"/>
    <w:rsid w:val="7D491C6C"/>
    <w:rsid w:val="7D5429C0"/>
    <w:rsid w:val="7D6E6D43"/>
    <w:rsid w:val="7DB57A34"/>
    <w:rsid w:val="7DBA7990"/>
    <w:rsid w:val="7DE60973"/>
    <w:rsid w:val="7DEF0916"/>
    <w:rsid w:val="7E1E5218"/>
    <w:rsid w:val="7E3C2153"/>
    <w:rsid w:val="7E8B4E88"/>
    <w:rsid w:val="7E9A4E1F"/>
    <w:rsid w:val="7EA3D0F9"/>
    <w:rsid w:val="7EA7723A"/>
    <w:rsid w:val="7ED52645"/>
    <w:rsid w:val="7EF56FBB"/>
    <w:rsid w:val="7EFA28AE"/>
    <w:rsid w:val="7F0768EB"/>
    <w:rsid w:val="7F143BEC"/>
    <w:rsid w:val="7F5D6825"/>
    <w:rsid w:val="7F715AF2"/>
    <w:rsid w:val="7F886E69"/>
    <w:rsid w:val="7F963AE5"/>
    <w:rsid w:val="7FC94B28"/>
    <w:rsid w:val="7FF51DB6"/>
    <w:rsid w:val="7FFE0F09"/>
    <w:rsid w:val="BB7FA927"/>
    <w:rsid w:val="D6DE5EB8"/>
    <w:rsid w:val="DE7F29F6"/>
    <w:rsid w:val="EFCB03F3"/>
    <w:rsid w:val="EFDCD8CE"/>
    <w:rsid w:val="EFFE9182"/>
    <w:rsid w:val="F5FFD31F"/>
    <w:rsid w:val="F7CD0F90"/>
    <w:rsid w:val="FB9C63DD"/>
    <w:rsid w:val="FEF41F46"/>
    <w:rsid w:val="FFDD58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88"/>
    <w:qFormat/>
    <w:uiPriority w:val="0"/>
    <w:rPr>
      <w:sz w:val="18"/>
      <w:szCs w:val="18"/>
    </w:rPr>
  </w:style>
  <w:style w:type="paragraph" w:styleId="1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16">
    <w:name w:val="Body Text 2"/>
    <w:basedOn w:val="1"/>
    <w:link w:val="302"/>
    <w:qFormat/>
    <w:uiPriority w:val="0"/>
    <w:pPr>
      <w:spacing w:after="120" w:line="480" w:lineRule="auto"/>
    </w:pPr>
  </w:style>
  <w:style w:type="paragraph" w:styleId="17">
    <w:name w:val="Body Text 3"/>
    <w:basedOn w:val="1"/>
    <w:link w:val="330"/>
    <w:qFormat/>
    <w:uiPriority w:val="0"/>
    <w:pPr>
      <w:jc w:val="center"/>
    </w:pPr>
    <w:rPr>
      <w:szCs w:val="20"/>
    </w:rPr>
  </w:style>
  <w:style w:type="paragraph" w:styleId="18">
    <w:name w:val="Body Text First Indent"/>
    <w:basedOn w:val="15"/>
    <w:link w:val="321"/>
    <w:qFormat/>
    <w:uiPriority w:val="0"/>
    <w:pPr>
      <w:ind w:firstLine="420"/>
    </w:pPr>
    <w:rPr>
      <w:rFonts w:hAnsi="Calibri" w:cs="Times New Roman"/>
      <w:snapToGrid/>
      <w:szCs w:val="20"/>
    </w:rPr>
  </w:style>
  <w:style w:type="paragraph" w:styleId="19">
    <w:name w:val="Body Text Indent"/>
    <w:basedOn w:val="1"/>
    <w:next w:val="20"/>
    <w:link w:val="265"/>
    <w:qFormat/>
    <w:uiPriority w:val="0"/>
    <w:pPr>
      <w:spacing w:line="480" w:lineRule="exact"/>
      <w:ind w:firstLine="480" w:firstLineChars="200"/>
    </w:pPr>
    <w:rPr>
      <w:rFonts w:ascii="宋体" w:hAnsi="宋体"/>
      <w:sz w:val="24"/>
    </w:rPr>
  </w:style>
  <w:style w:type="paragraph" w:customStyle="1" w:styleId="20">
    <w:name w:val="样式 正文文本缩进 + 左  0 字符"/>
    <w:basedOn w:val="1"/>
    <w:next w:val="1"/>
    <w:qFormat/>
    <w:uiPriority w:val="0"/>
    <w:pPr>
      <w:widowControl/>
      <w:ind w:firstLine="250" w:firstLineChars="250"/>
      <w:jc w:val="left"/>
    </w:pPr>
    <w:rPr>
      <w:kern w:val="0"/>
      <w:szCs w:val="20"/>
    </w:rPr>
  </w:style>
  <w:style w:type="paragraph" w:styleId="21">
    <w:name w:val="Body Text First Indent 2"/>
    <w:basedOn w:val="19"/>
    <w:next w:val="1"/>
    <w:link w:val="121"/>
    <w:qFormat/>
    <w:uiPriority w:val="0"/>
    <w:pPr>
      <w:adjustRightInd/>
      <w:spacing w:after="120" w:line="240" w:lineRule="auto"/>
      <w:ind w:left="420" w:leftChars="200" w:firstLine="210"/>
    </w:pPr>
    <w:rPr>
      <w:sz w:val="21"/>
    </w:rPr>
  </w:style>
  <w:style w:type="paragraph" w:styleId="22">
    <w:name w:val="Body Text Indent 2"/>
    <w:basedOn w:val="1"/>
    <w:link w:val="308"/>
    <w:qFormat/>
    <w:uiPriority w:val="0"/>
    <w:pPr>
      <w:spacing w:line="360" w:lineRule="auto"/>
      <w:ind w:firstLine="601"/>
      <w:textAlignment w:val="baseline"/>
    </w:pPr>
    <w:rPr>
      <w:rFonts w:ascii="宋体"/>
      <w:kern w:val="0"/>
      <w:sz w:val="28"/>
      <w:szCs w:val="20"/>
    </w:rPr>
  </w:style>
  <w:style w:type="paragraph" w:styleId="23">
    <w:name w:val="Body Text Indent 3"/>
    <w:basedOn w:val="1"/>
    <w:link w:val="375"/>
    <w:qFormat/>
    <w:uiPriority w:val="0"/>
    <w:pPr>
      <w:spacing w:line="360" w:lineRule="auto"/>
      <w:ind w:firstLine="420"/>
    </w:pPr>
    <w:rPr>
      <w:sz w:val="24"/>
      <w:szCs w:val="20"/>
    </w:rPr>
  </w:style>
  <w:style w:type="paragraph" w:styleId="24">
    <w:name w:val="caption"/>
    <w:basedOn w:val="1"/>
    <w:next w:val="1"/>
    <w:link w:val="229"/>
    <w:qFormat/>
    <w:uiPriority w:val="0"/>
    <w:rPr>
      <w:b/>
      <w:sz w:val="28"/>
      <w:szCs w:val="20"/>
    </w:rPr>
  </w:style>
  <w:style w:type="character" w:styleId="25">
    <w:name w:val="annotation reference"/>
    <w:qFormat/>
    <w:uiPriority w:val="99"/>
    <w:rPr>
      <w:sz w:val="21"/>
      <w:szCs w:val="21"/>
    </w:rPr>
  </w:style>
  <w:style w:type="paragraph" w:styleId="26">
    <w:name w:val="annotation text"/>
    <w:basedOn w:val="1"/>
    <w:link w:val="344"/>
    <w:qFormat/>
    <w:uiPriority w:val="99"/>
    <w:pPr>
      <w:jc w:val="left"/>
    </w:pPr>
  </w:style>
  <w:style w:type="paragraph" w:styleId="27">
    <w:name w:val="annotation subject"/>
    <w:basedOn w:val="26"/>
    <w:next w:val="26"/>
    <w:link w:val="96"/>
    <w:qFormat/>
    <w:uiPriority w:val="0"/>
    <w:rPr>
      <w:b/>
      <w:bCs/>
    </w:rPr>
  </w:style>
  <w:style w:type="paragraph" w:styleId="28">
    <w:name w:val="Date"/>
    <w:basedOn w:val="1"/>
    <w:next w:val="1"/>
    <w:link w:val="181"/>
    <w:qFormat/>
    <w:uiPriority w:val="0"/>
    <w:pPr>
      <w:ind w:left="100" w:leftChars="2500"/>
    </w:pPr>
    <w:rPr>
      <w:rFonts w:ascii="宋体"/>
      <w:sz w:val="24"/>
      <w:szCs w:val="21"/>
      <w:lang w:val="zh-CN"/>
    </w:rPr>
  </w:style>
  <w:style w:type="paragraph" w:styleId="29">
    <w:name w:val="Document Map"/>
    <w:basedOn w:val="1"/>
    <w:link w:val="202"/>
    <w:qFormat/>
    <w:uiPriority w:val="0"/>
    <w:pPr>
      <w:shd w:val="clear" w:color="auto" w:fill="000080"/>
    </w:pPr>
  </w:style>
  <w:style w:type="character" w:styleId="30">
    <w:name w:val="Emphasis"/>
    <w:qFormat/>
    <w:uiPriority w:val="20"/>
    <w:rPr>
      <w:color w:val="CC0033"/>
    </w:rPr>
  </w:style>
  <w:style w:type="character" w:styleId="31">
    <w:name w:val="endnote reference"/>
    <w:qFormat/>
    <w:uiPriority w:val="0"/>
    <w:rPr>
      <w:vertAlign w:val="superscript"/>
    </w:rPr>
  </w:style>
  <w:style w:type="paragraph" w:styleId="32">
    <w:name w:val="endnote text"/>
    <w:basedOn w:val="1"/>
    <w:link w:val="932"/>
    <w:qFormat/>
    <w:uiPriority w:val="0"/>
    <w:rPr>
      <w:lang w:val="zh-CN"/>
    </w:rPr>
  </w:style>
  <w:style w:type="character" w:styleId="33">
    <w:name w:val="FollowedHyperlink"/>
    <w:qFormat/>
    <w:uiPriority w:val="99"/>
    <w:rPr>
      <w:rFonts w:ascii="Arial" w:hAnsi="Arial" w:eastAsia="黑体" w:cs="Arial"/>
      <w:snapToGrid w:val="0"/>
      <w:color w:val="000000"/>
      <w:kern w:val="0"/>
      <w:sz w:val="18"/>
      <w:szCs w:val="18"/>
      <w:u w:val="none"/>
    </w:rPr>
  </w:style>
  <w:style w:type="paragraph" w:styleId="34">
    <w:name w:val="footer"/>
    <w:basedOn w:val="1"/>
    <w:link w:val="383"/>
    <w:qFormat/>
    <w:uiPriority w:val="99"/>
    <w:pPr>
      <w:tabs>
        <w:tab w:val="center" w:pos="4153"/>
        <w:tab w:val="right" w:pos="8306"/>
      </w:tabs>
      <w:snapToGrid w:val="0"/>
      <w:jc w:val="left"/>
    </w:pPr>
    <w:rPr>
      <w:sz w:val="18"/>
      <w:szCs w:val="18"/>
    </w:rPr>
  </w:style>
  <w:style w:type="paragraph" w:styleId="35">
    <w:name w:val="footnote text"/>
    <w:basedOn w:val="36"/>
    <w:link w:val="310"/>
    <w:qFormat/>
    <w:uiPriority w:val="0"/>
    <w:pPr>
      <w:adjustRightInd/>
      <w:snapToGrid/>
      <w:spacing w:before="60" w:after="60" w:line="300" w:lineRule="exact"/>
      <w:ind w:firstLine="0"/>
    </w:pPr>
    <w:rPr>
      <w:rFonts w:ascii="Calibri"/>
      <w:snapToGrid/>
      <w:color w:val="0000FF"/>
      <w:kern w:val="0"/>
      <w:sz w:val="21"/>
    </w:rPr>
  </w:style>
  <w:style w:type="paragraph" w:styleId="3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37">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38">
    <w:name w:val="HTML Address"/>
    <w:basedOn w:val="1"/>
    <w:link w:val="219"/>
    <w:qFormat/>
    <w:uiPriority w:val="0"/>
    <w:pPr>
      <w:widowControl/>
      <w:adjustRightInd/>
      <w:ind w:firstLine="200" w:firstLineChars="200"/>
      <w:jc w:val="left"/>
    </w:pPr>
    <w:rPr>
      <w:rFonts w:ascii="宋体" w:hAnsi="宋体"/>
      <w:i/>
      <w:iCs/>
      <w:kern w:val="0"/>
      <w:sz w:val="24"/>
    </w:rPr>
  </w:style>
  <w:style w:type="character" w:styleId="39">
    <w:name w:val="HTML Code"/>
    <w:qFormat/>
    <w:uiPriority w:val="0"/>
    <w:rPr>
      <w:rFonts w:ascii="黑体" w:hAnsi="Courier New" w:eastAsia="黑体" w:cs="楷体_GB2312"/>
      <w:sz w:val="20"/>
      <w:szCs w:val="20"/>
    </w:rPr>
  </w:style>
  <w:style w:type="paragraph" w:styleId="4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character" w:styleId="41">
    <w:name w:val="Hyperlink"/>
    <w:qFormat/>
    <w:uiPriority w:val="99"/>
    <w:rPr>
      <w:rFonts w:ascii="Arial" w:hAnsi="Arial" w:eastAsia="黑体" w:cs="Arial"/>
      <w:snapToGrid w:val="0"/>
      <w:color w:val="000000"/>
      <w:kern w:val="0"/>
      <w:sz w:val="18"/>
      <w:szCs w:val="18"/>
      <w:u w:val="none"/>
    </w:rPr>
  </w:style>
  <w:style w:type="paragraph" w:styleId="42">
    <w:name w:val="index 1"/>
    <w:basedOn w:val="1"/>
    <w:next w:val="1"/>
    <w:qFormat/>
    <w:uiPriority w:val="0"/>
    <w:pPr>
      <w:adjustRightInd/>
      <w:spacing w:line="360" w:lineRule="auto"/>
      <w:ind w:firstLine="200" w:firstLineChars="200"/>
      <w:jc w:val="center"/>
    </w:pPr>
    <w:rPr>
      <w:sz w:val="24"/>
      <w:szCs w:val="20"/>
    </w:rPr>
  </w:style>
  <w:style w:type="paragraph" w:styleId="43">
    <w:name w:val="index 5"/>
    <w:basedOn w:val="1"/>
    <w:next w:val="1"/>
    <w:qFormat/>
    <w:uiPriority w:val="0"/>
    <w:pPr>
      <w:adjustRightInd/>
      <w:ind w:left="800" w:leftChars="800" w:firstLine="200" w:firstLineChars="200"/>
    </w:pPr>
  </w:style>
  <w:style w:type="paragraph" w:styleId="44">
    <w:name w:val="index heading"/>
    <w:basedOn w:val="1"/>
    <w:next w:val="42"/>
    <w:qFormat/>
    <w:uiPriority w:val="0"/>
    <w:pPr>
      <w:adjustRightInd/>
      <w:ind w:firstLine="200" w:firstLineChars="200"/>
    </w:pPr>
  </w:style>
  <w:style w:type="character" w:styleId="45">
    <w:name w:val="line number"/>
    <w:basedOn w:val="11"/>
    <w:qFormat/>
    <w:uiPriority w:val="0"/>
    <w:rPr>
      <w:rFonts w:ascii="Arial" w:hAnsi="Arial" w:eastAsia="黑体" w:cs="Arial"/>
      <w:snapToGrid w:val="0"/>
      <w:kern w:val="0"/>
      <w:szCs w:val="21"/>
    </w:rPr>
  </w:style>
  <w:style w:type="paragraph" w:styleId="46">
    <w:name w:val="List"/>
    <w:basedOn w:val="1"/>
    <w:qFormat/>
    <w:uiPriority w:val="0"/>
    <w:pPr>
      <w:ind w:left="200" w:hanging="200" w:hangingChars="200"/>
    </w:pPr>
  </w:style>
  <w:style w:type="paragraph" w:styleId="47">
    <w:name w:val="List 2"/>
    <w:basedOn w:val="1"/>
    <w:qFormat/>
    <w:uiPriority w:val="0"/>
    <w:pPr>
      <w:adjustRightInd/>
      <w:spacing w:line="360" w:lineRule="auto"/>
      <w:ind w:left="100" w:leftChars="200" w:hanging="200" w:hangingChars="200"/>
    </w:pPr>
    <w:rPr>
      <w:rFonts w:eastAsia="微软雅黑"/>
    </w:rPr>
  </w:style>
  <w:style w:type="paragraph" w:styleId="48">
    <w:name w:val="List 5"/>
    <w:basedOn w:val="1"/>
    <w:qFormat/>
    <w:uiPriority w:val="0"/>
    <w:pPr>
      <w:adjustRightInd/>
      <w:ind w:left="100" w:leftChars="800" w:hanging="200" w:hangingChars="200"/>
    </w:pPr>
  </w:style>
  <w:style w:type="paragraph" w:styleId="49">
    <w:name w:val="List Bullet 2"/>
    <w:basedOn w:val="1"/>
    <w:qFormat/>
    <w:uiPriority w:val="0"/>
    <w:pPr>
      <w:autoSpaceDE w:val="0"/>
      <w:autoSpaceDN w:val="0"/>
      <w:ind w:left="420"/>
      <w:jc w:val="left"/>
    </w:pPr>
    <w:rPr>
      <w:rFonts w:ascii="宋体" w:hAnsi="宋体"/>
      <w:color w:val="000000"/>
      <w:kern w:val="0"/>
      <w:sz w:val="24"/>
      <w:szCs w:val="20"/>
    </w:rPr>
  </w:style>
  <w:style w:type="paragraph" w:styleId="50">
    <w:name w:val="List Bullet 3"/>
    <w:basedOn w:val="1"/>
    <w:unhideWhenUsed/>
    <w:qFormat/>
    <w:uiPriority w:val="0"/>
    <w:pPr>
      <w:snapToGrid w:val="0"/>
      <w:spacing w:line="360" w:lineRule="auto"/>
      <w:ind w:left="360" w:right="238" w:hanging="360"/>
      <w:contextualSpacing/>
    </w:pPr>
    <w:rPr>
      <w:sz w:val="24"/>
    </w:rPr>
  </w:style>
  <w:style w:type="paragraph" w:styleId="51">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52">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5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5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5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56">
    <w:name w:val="List Number 5"/>
    <w:basedOn w:val="1"/>
    <w:qFormat/>
    <w:uiPriority w:val="0"/>
    <w:pPr>
      <w:tabs>
        <w:tab w:val="left" w:pos="902"/>
      </w:tabs>
      <w:adjustRightInd/>
      <w:spacing w:line="400" w:lineRule="exact"/>
      <w:ind w:left="902" w:hanging="420"/>
    </w:pPr>
    <w:rPr>
      <w:sz w:val="24"/>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character" w:styleId="58">
    <w:name w:val="page number"/>
    <w:basedOn w:val="11"/>
    <w:qFormat/>
    <w:uiPriority w:val="0"/>
    <w:rPr>
      <w:rFonts w:ascii="Arial" w:hAnsi="Arial" w:eastAsia="黑体" w:cs="Arial"/>
      <w:snapToGrid w:val="0"/>
      <w:kern w:val="0"/>
      <w:szCs w:val="21"/>
    </w:rPr>
  </w:style>
  <w:style w:type="paragraph" w:styleId="59">
    <w:name w:val="Plain Text"/>
    <w:basedOn w:val="1"/>
    <w:link w:val="125"/>
    <w:qFormat/>
    <w:uiPriority w:val="0"/>
    <w:rPr>
      <w:rFonts w:ascii="宋体" w:hAnsi="Courier New" w:cs="Arial"/>
      <w:snapToGrid w:val="0"/>
      <w:szCs w:val="21"/>
    </w:rPr>
  </w:style>
  <w:style w:type="paragraph" w:styleId="60">
    <w:name w:val="Salutation"/>
    <w:basedOn w:val="1"/>
    <w:next w:val="1"/>
    <w:link w:val="298"/>
    <w:qFormat/>
    <w:uiPriority w:val="0"/>
    <w:rPr>
      <w:rFonts w:ascii="仿宋_GB2312" w:eastAsia="仿宋_GB2312"/>
      <w:sz w:val="28"/>
      <w:szCs w:val="20"/>
    </w:rPr>
  </w:style>
  <w:style w:type="paragraph" w:styleId="61">
    <w:name w:val="Signature"/>
    <w:basedOn w:val="1"/>
    <w:link w:val="345"/>
    <w:qFormat/>
    <w:uiPriority w:val="0"/>
    <w:pPr>
      <w:spacing w:after="600" w:line="312" w:lineRule="atLeast"/>
      <w:jc w:val="center"/>
      <w:textAlignment w:val="baseline"/>
    </w:pPr>
    <w:rPr>
      <w:rFonts w:eastAsia="仿宋_GB2312"/>
      <w:kern w:val="0"/>
      <w:sz w:val="24"/>
      <w:szCs w:val="20"/>
    </w:rPr>
  </w:style>
  <w:style w:type="character" w:styleId="62">
    <w:name w:val="Strong"/>
    <w:qFormat/>
    <w:uiPriority w:val="22"/>
    <w:rPr>
      <w:b/>
      <w:bCs/>
    </w:rPr>
  </w:style>
  <w:style w:type="paragraph" w:styleId="63">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table" w:styleId="64">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69">
    <w:name w:val="Table Theme"/>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71">
    <w:name w:val="toc 1"/>
    <w:basedOn w:val="1"/>
    <w:next w:val="1"/>
    <w:qFormat/>
    <w:uiPriority w:val="0"/>
  </w:style>
  <w:style w:type="paragraph" w:styleId="72">
    <w:name w:val="toc 2"/>
    <w:basedOn w:val="1"/>
    <w:next w:val="1"/>
    <w:qFormat/>
    <w:uiPriority w:val="0"/>
    <w:pPr>
      <w:ind w:left="420" w:leftChars="200"/>
    </w:pPr>
  </w:style>
  <w:style w:type="paragraph" w:styleId="7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4">
    <w:name w:val="toc 4"/>
    <w:basedOn w:val="1"/>
    <w:next w:val="1"/>
    <w:qFormat/>
    <w:uiPriority w:val="0"/>
    <w:pPr>
      <w:ind w:left="1260" w:leftChars="600"/>
    </w:pPr>
  </w:style>
  <w:style w:type="paragraph" w:styleId="75">
    <w:name w:val="toc 5"/>
    <w:basedOn w:val="1"/>
    <w:next w:val="1"/>
    <w:qFormat/>
    <w:uiPriority w:val="0"/>
    <w:pPr>
      <w:ind w:left="1680" w:leftChars="800"/>
    </w:pPr>
  </w:style>
  <w:style w:type="paragraph" w:styleId="76">
    <w:name w:val="toc 6"/>
    <w:basedOn w:val="1"/>
    <w:next w:val="1"/>
    <w:qFormat/>
    <w:uiPriority w:val="0"/>
    <w:pPr>
      <w:ind w:left="2100" w:leftChars="1000"/>
    </w:pPr>
  </w:style>
  <w:style w:type="paragraph" w:styleId="77">
    <w:name w:val="toc 7"/>
    <w:basedOn w:val="1"/>
    <w:next w:val="1"/>
    <w:qFormat/>
    <w:uiPriority w:val="0"/>
    <w:pPr>
      <w:ind w:left="2520" w:leftChars="1200"/>
    </w:pPr>
  </w:style>
  <w:style w:type="paragraph" w:styleId="78">
    <w:name w:val="toc 8"/>
    <w:basedOn w:val="1"/>
    <w:next w:val="1"/>
    <w:qFormat/>
    <w:uiPriority w:val="0"/>
    <w:pPr>
      <w:ind w:left="2940" w:leftChars="1400"/>
    </w:pPr>
  </w:style>
  <w:style w:type="paragraph" w:styleId="79">
    <w:name w:val="toc 9"/>
    <w:basedOn w:val="1"/>
    <w:next w:val="1"/>
    <w:qFormat/>
    <w:uiPriority w:val="0"/>
    <w:pPr>
      <w:ind w:left="3360" w:leftChars="1600"/>
    </w:p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27"/>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11"/>
    <w:qFormat/>
    <w:uiPriority w:val="0"/>
    <w:rPr>
      <w:rFonts w:ascii="Arial" w:hAnsi="Arial" w:eastAsia="黑体" w:cs="Arial"/>
      <w:snapToGrid w:val="0"/>
      <w:kern w:val="0"/>
      <w:szCs w:val="21"/>
    </w:rPr>
  </w:style>
  <w:style w:type="character" w:customStyle="1" w:styleId="125">
    <w:name w:val="纯文本 Char"/>
    <w:link w:val="59"/>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63"/>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28"/>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13"/>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3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1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8"/>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4"/>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9"/>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7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6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40"/>
    <w:qFormat/>
    <w:uiPriority w:val="0"/>
    <w:rPr>
      <w:rFonts w:ascii="黑体" w:hAnsi="Courier New" w:eastAsia="黑体"/>
    </w:rPr>
  </w:style>
  <w:style w:type="character" w:customStyle="1" w:styleId="302">
    <w:name w:val="正文文本 2 Char1"/>
    <w:link w:val="1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22"/>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35"/>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18"/>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17"/>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6"/>
    <w:qFormat/>
    <w:uiPriority w:val="99"/>
    <w:rPr>
      <w:kern w:val="2"/>
      <w:sz w:val="21"/>
      <w:szCs w:val="24"/>
    </w:rPr>
  </w:style>
  <w:style w:type="character" w:customStyle="1" w:styleId="345">
    <w:name w:val="签名 Char"/>
    <w:link w:val="6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2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4"/>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37"/>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1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3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31">
    <w:name w:val="gray6"/>
    <w:basedOn w:val="11"/>
    <w:qFormat/>
    <w:uiPriority w:val="0"/>
    <w:rPr>
      <w:rFonts w:ascii="Arial" w:hAnsi="Arial" w:eastAsia="黑体" w:cs="Arial"/>
      <w:snapToGrid w:val="0"/>
      <w:kern w:val="0"/>
      <w:szCs w:val="21"/>
    </w:rPr>
  </w:style>
  <w:style w:type="character" w:customStyle="1" w:styleId="432">
    <w:name w:val="hui"/>
    <w:basedOn w:val="1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3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1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3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59"/>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1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4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22"/>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7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3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2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22"/>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7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52"/>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1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1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1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1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1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1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2"/>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1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72489</Words>
  <Characters>76077</Characters>
  <Lines>574</Lines>
  <Paragraphs>161</Paragraphs>
  <TotalTime>20</TotalTime>
  <ScaleCrop>false</ScaleCrop>
  <LinksUpToDate>false</LinksUpToDate>
  <CharactersWithSpaces>77962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Administrator</dc:creator>
  <cp:lastModifiedBy>chen</cp:lastModifiedBy>
  <cp:lastPrinted>2021-12-29T03:06:00Z</cp:lastPrinted>
  <dcterms:modified xsi:type="dcterms:W3CDTF">2024-09-13T08:55:51Z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