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cs="仿宋_GB2312" w:asciiTheme="minorEastAsia" w:hAnsiTheme="minorEastAsia" w:eastAsiaTheme="minorEastAsia"/>
          <w:b/>
          <w:color w:val="auto"/>
          <w:w w:val="80"/>
          <w:sz w:val="44"/>
          <w:szCs w:val="44"/>
        </w:rPr>
      </w:pPr>
      <w:r>
        <w:rPr>
          <w:rFonts w:hint="eastAsia" w:cs="仿宋_GB2312" w:asciiTheme="minorEastAsia" w:hAnsiTheme="minorEastAsia" w:eastAsiaTheme="minorEastAsia"/>
          <w:b/>
          <w:color w:val="auto"/>
          <w:w w:val="80"/>
          <w:sz w:val="44"/>
          <w:szCs w:val="44"/>
        </w:rPr>
        <w:t>S216长兴至安吉公路长兴县泗安至和平段工程（318国道至302省道段）竣（交）工质量评定检测</w:t>
      </w:r>
    </w:p>
    <w:p>
      <w:pPr>
        <w:rPr>
          <w:color w:val="auto"/>
        </w:rPr>
      </w:pPr>
    </w:p>
    <w:p>
      <w:pPr>
        <w:adjustRightInd/>
        <w:spacing w:line="360" w:lineRule="auto"/>
        <w:jc w:val="center"/>
        <w:rPr>
          <w:rFonts w:hint="eastAsia" w:cs="仿宋_GB2312" w:asciiTheme="minorEastAsia" w:hAnsiTheme="minorEastAsia" w:eastAsiaTheme="minorEastAsia"/>
          <w:b/>
          <w:bCs/>
          <w:color w:val="auto"/>
          <w:w w:val="95"/>
          <w:sz w:val="72"/>
          <w:szCs w:val="72"/>
          <w:lang w:val="zh-CN"/>
        </w:rPr>
      </w:pPr>
    </w:p>
    <w:p>
      <w:pPr>
        <w:adjustRightInd/>
        <w:spacing w:line="360" w:lineRule="auto"/>
        <w:jc w:val="center"/>
        <w:rPr>
          <w:rFonts w:hint="eastAsia" w:cs="仿宋_GB2312" w:asciiTheme="minorEastAsia" w:hAnsiTheme="minorEastAsia" w:eastAsiaTheme="minorEastAsia"/>
          <w:b/>
          <w:bCs/>
          <w:color w:val="auto"/>
          <w:w w:val="95"/>
          <w:sz w:val="72"/>
          <w:szCs w:val="72"/>
          <w:lang w:val="zh-CN"/>
        </w:rPr>
      </w:pPr>
    </w:p>
    <w:p>
      <w:pPr>
        <w:adjustRightInd/>
        <w:spacing w:line="360" w:lineRule="auto"/>
        <w:jc w:val="center"/>
        <w:rPr>
          <w:rFonts w:hint="eastAsia"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rPr>
        <w:t>竞争性磋商</w:t>
      </w:r>
      <w:r>
        <w:rPr>
          <w:rFonts w:hint="eastAsia" w:cs="仿宋_GB2312" w:asciiTheme="minorEastAsia" w:hAnsiTheme="minorEastAsia" w:eastAsiaTheme="minorEastAsia"/>
          <w:b/>
          <w:color w:val="auto"/>
          <w:sz w:val="72"/>
          <w:szCs w:val="72"/>
        </w:rPr>
        <w:t>文件</w:t>
      </w:r>
    </w:p>
    <w:p>
      <w:pPr>
        <w:adjustRightInd/>
        <w:spacing w:line="360" w:lineRule="auto"/>
        <w:jc w:val="center"/>
        <w:rPr>
          <w:rFonts w:hint="eastAsia"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pPr>
        <w:snapToGrid w:val="0"/>
        <w:spacing w:line="360" w:lineRule="auto"/>
        <w:jc w:val="center"/>
        <w:rPr>
          <w:rFonts w:hint="eastAsia" w:cs="仿宋_GB2312" w:asciiTheme="minorEastAsia" w:hAnsiTheme="minorEastAsia" w:eastAsiaTheme="minorEastAsia"/>
          <w:color w:val="auto"/>
          <w:sz w:val="30"/>
          <w:szCs w:val="30"/>
        </w:rPr>
      </w:pPr>
    </w:p>
    <w:p>
      <w:pPr>
        <w:snapToGrid w:val="0"/>
        <w:spacing w:line="360" w:lineRule="auto"/>
        <w:jc w:val="center"/>
        <w:rPr>
          <w:rFonts w:hint="eastAsia" w:cs="仿宋_GB2312" w:asciiTheme="minorEastAsia" w:hAnsiTheme="minorEastAsia" w:eastAsiaTheme="minorEastAsia"/>
          <w:color w:val="auto"/>
          <w:sz w:val="30"/>
          <w:szCs w:val="30"/>
        </w:rPr>
      </w:pPr>
      <w:r>
        <w:rPr>
          <w:rFonts w:hint="eastAsia" w:cs="仿宋_GB2312" w:asciiTheme="minorEastAsia" w:hAnsiTheme="minorEastAsia" w:eastAsiaTheme="minorEastAsia"/>
          <w:color w:val="auto"/>
          <w:sz w:val="30"/>
          <w:szCs w:val="30"/>
        </w:rPr>
        <w:t>项目编号:（ YHZFCG-004 ）</w:t>
      </w:r>
    </w:p>
    <w:p>
      <w:pPr>
        <w:pStyle w:val="182"/>
        <w:widowControl w:val="0"/>
        <w:spacing w:before="0" w:beforeAutospacing="0" w:after="0" w:afterAutospacing="0" w:line="360" w:lineRule="auto"/>
        <w:textAlignment w:val="auto"/>
        <w:rPr>
          <w:rFonts w:cs="仿宋_GB2312" w:asciiTheme="minorEastAsia" w:hAnsiTheme="minorEastAsia" w:eastAsiaTheme="minorEastAsia"/>
          <w:color w:val="auto"/>
          <w:kern w:val="2"/>
        </w:rPr>
      </w:pPr>
    </w:p>
    <w:p>
      <w:pPr>
        <w:pStyle w:val="182"/>
        <w:widowControl w:val="0"/>
        <w:spacing w:before="0" w:beforeAutospacing="0" w:after="0" w:afterAutospacing="0" w:line="360" w:lineRule="auto"/>
        <w:textAlignment w:val="auto"/>
        <w:rPr>
          <w:rFonts w:cs="仿宋_GB2312" w:asciiTheme="minorEastAsia" w:hAnsiTheme="minorEastAsia" w:eastAsiaTheme="minorEastAsia"/>
          <w:color w:val="auto"/>
          <w:kern w:val="2"/>
        </w:rPr>
      </w:pPr>
    </w:p>
    <w:p>
      <w:pPr>
        <w:spacing w:line="360" w:lineRule="auto"/>
        <w:rPr>
          <w:rFonts w:hint="eastAsia" w:cs="仿宋_GB2312" w:asciiTheme="minorEastAsia" w:hAnsiTheme="minorEastAsia" w:eastAsiaTheme="minorEastAsia"/>
          <w:b/>
          <w:color w:val="auto"/>
          <w:sz w:val="24"/>
        </w:rPr>
      </w:pPr>
      <w:r>
        <w:rPr>
          <w:rFonts w:hint="eastAsia" w:cs="仿宋_GB2312" w:asciiTheme="minorEastAsia" w:hAnsiTheme="minorEastAsia" w:eastAsiaTheme="minorEastAsia"/>
          <w:color w:val="auto"/>
          <w:sz w:val="24"/>
        </w:rPr>
        <w:t xml:space="preserve">                                      </w:t>
      </w:r>
    </w:p>
    <w:p>
      <w:pPr>
        <w:snapToGrid w:val="0"/>
        <w:spacing w:line="360" w:lineRule="auto"/>
        <w:jc w:val="center"/>
        <w:rPr>
          <w:rFonts w:hint="eastAsia" w:cs="仿宋_GB2312" w:asciiTheme="minorEastAsia" w:hAnsiTheme="minorEastAsia" w:eastAsiaTheme="minorEastAsia"/>
          <w:color w:val="auto"/>
          <w:sz w:val="32"/>
          <w:szCs w:val="32"/>
        </w:rPr>
      </w:pPr>
    </w:p>
    <w:p>
      <w:pPr>
        <w:pStyle w:val="22"/>
        <w:spacing w:after="120" w:line="480" w:lineRule="auto"/>
        <w:rPr>
          <w:rFonts w:ascii="Times New Roman"/>
          <w:color w:val="auto"/>
          <w:spacing w:val="-2"/>
          <w:sz w:val="30"/>
          <w:szCs w:val="30"/>
        </w:rPr>
      </w:pPr>
      <w:r>
        <w:rPr>
          <w:color w:val="auto"/>
          <w:spacing w:val="-2"/>
          <w:sz w:val="30"/>
          <w:szCs w:val="30"/>
        </w:rPr>
        <w:t>采购单位：</w:t>
      </w:r>
      <w:r>
        <w:rPr>
          <w:rFonts w:hint="eastAsia"/>
          <w:color w:val="auto"/>
          <w:spacing w:val="-2"/>
          <w:sz w:val="30"/>
          <w:szCs w:val="30"/>
          <w:u w:val="single"/>
          <w:lang w:val="en-US"/>
        </w:rPr>
        <w:t xml:space="preserve">  </w:t>
      </w:r>
      <w:r>
        <w:rPr>
          <w:color w:val="auto"/>
          <w:spacing w:val="-2"/>
          <w:sz w:val="30"/>
          <w:szCs w:val="30"/>
          <w:u w:val="single"/>
        </w:rPr>
        <w:t>长兴县交通建设发展中心</w:t>
      </w:r>
      <w:r>
        <w:rPr>
          <w:rFonts w:ascii="Times New Roman"/>
          <w:color w:val="auto"/>
          <w:spacing w:val="-2"/>
          <w:sz w:val="30"/>
          <w:szCs w:val="30"/>
          <w:u w:val="single"/>
        </w:rPr>
        <w:t xml:space="preserve"> </w:t>
      </w:r>
      <w:r>
        <w:rPr>
          <w:color w:val="auto"/>
          <w:spacing w:val="-2"/>
          <w:sz w:val="30"/>
          <w:szCs w:val="30"/>
          <w:u w:val="single"/>
        </w:rPr>
        <w:t>（盖章）</w:t>
      </w:r>
      <w:r>
        <w:rPr>
          <w:rFonts w:ascii="Times New Roman"/>
          <w:color w:val="auto"/>
          <w:spacing w:val="-2"/>
          <w:sz w:val="30"/>
          <w:szCs w:val="30"/>
        </w:rPr>
        <w:t xml:space="preserve">    </w:t>
      </w:r>
    </w:p>
    <w:p>
      <w:pPr>
        <w:rPr>
          <w:color w:val="auto"/>
          <w:sz w:val="24"/>
        </w:rPr>
      </w:pPr>
      <w:r>
        <w:rPr>
          <w:rFonts w:hint="eastAsia" w:ascii="宋体" w:hAnsi="宋体"/>
          <w:color w:val="auto"/>
          <w:spacing w:val="-2"/>
          <w:sz w:val="30"/>
          <w:szCs w:val="30"/>
        </w:rPr>
        <w:t>采购</w:t>
      </w:r>
      <w:r>
        <w:rPr>
          <w:rFonts w:ascii="宋体" w:hAnsi="宋体"/>
          <w:color w:val="auto"/>
          <w:spacing w:val="-2"/>
          <w:sz w:val="30"/>
          <w:szCs w:val="30"/>
        </w:rPr>
        <w:t>代理：</w:t>
      </w:r>
      <w:r>
        <w:rPr>
          <w:rFonts w:hint="eastAsia" w:ascii="宋体" w:hAnsi="宋体"/>
          <w:color w:val="auto"/>
          <w:spacing w:val="-2"/>
          <w:sz w:val="30"/>
          <w:szCs w:val="30"/>
          <w:u w:val="single"/>
        </w:rPr>
        <w:t xml:space="preserve">  </w:t>
      </w:r>
      <w:r>
        <w:rPr>
          <w:rFonts w:ascii="宋体" w:hAnsi="宋体"/>
          <w:color w:val="auto"/>
          <w:spacing w:val="-2"/>
          <w:sz w:val="30"/>
          <w:szCs w:val="30"/>
          <w:u w:val="single"/>
        </w:rPr>
        <w:t>耀华建设管理有限公司</w:t>
      </w:r>
      <w:r>
        <w:rPr>
          <w:color w:val="auto"/>
          <w:spacing w:val="-2"/>
          <w:sz w:val="30"/>
          <w:szCs w:val="30"/>
          <w:u w:val="single"/>
        </w:rPr>
        <w:t xml:space="preserve"> </w:t>
      </w:r>
      <w:r>
        <w:rPr>
          <w:rFonts w:ascii="宋体" w:hAnsi="宋体"/>
          <w:color w:val="auto"/>
          <w:spacing w:val="-2"/>
          <w:sz w:val="30"/>
          <w:szCs w:val="30"/>
          <w:u w:val="single"/>
        </w:rPr>
        <w:t>（盖章）</w:t>
      </w:r>
    </w:p>
    <w:p>
      <w:pPr>
        <w:snapToGrid w:val="0"/>
        <w:spacing w:line="360" w:lineRule="auto"/>
        <w:jc w:val="center"/>
        <w:rPr>
          <w:rFonts w:hint="eastAsia" w:cs="仿宋_GB2312" w:asciiTheme="minorEastAsia" w:hAnsiTheme="minorEastAsia" w:eastAsiaTheme="minorEastAsia"/>
          <w:bCs/>
          <w:color w:val="auto"/>
          <w:sz w:val="32"/>
          <w:szCs w:val="32"/>
        </w:rPr>
      </w:pPr>
    </w:p>
    <w:p>
      <w:pPr>
        <w:snapToGrid w:val="0"/>
        <w:spacing w:line="360" w:lineRule="auto"/>
        <w:jc w:val="center"/>
        <w:rPr>
          <w:rFonts w:hint="eastAsia" w:cs="仿宋_GB2312" w:asciiTheme="minorEastAsia" w:hAnsiTheme="minorEastAsia" w:eastAsiaTheme="minorEastAsia"/>
          <w:bCs/>
          <w:color w:val="auto"/>
          <w:sz w:val="32"/>
          <w:szCs w:val="32"/>
        </w:rPr>
      </w:pPr>
      <w:r>
        <w:rPr>
          <w:rFonts w:hint="eastAsia" w:cs="仿宋_GB2312" w:asciiTheme="minorEastAsia" w:hAnsiTheme="minorEastAsia" w:eastAsiaTheme="minorEastAsia"/>
          <w:bCs/>
          <w:color w:val="auto"/>
          <w:sz w:val="32"/>
          <w:szCs w:val="32"/>
        </w:rPr>
        <w:t>二</w:t>
      </w:r>
      <w:r>
        <w:rPr>
          <w:rFonts w:hint="eastAsia" w:cs="宋体" w:asciiTheme="minorEastAsia" w:hAnsiTheme="minorEastAsia" w:eastAsiaTheme="minorEastAsia"/>
          <w:bCs/>
          <w:color w:val="auto"/>
          <w:sz w:val="32"/>
          <w:szCs w:val="32"/>
        </w:rPr>
        <w:t>〇</w:t>
      </w:r>
      <w:r>
        <w:rPr>
          <w:rFonts w:hint="eastAsia" w:cs="仿宋_GB2312" w:asciiTheme="minorEastAsia" w:hAnsiTheme="minorEastAsia" w:eastAsiaTheme="minorEastAsia"/>
          <w:bCs/>
          <w:color w:val="auto"/>
          <w:sz w:val="32"/>
          <w:szCs w:val="32"/>
        </w:rPr>
        <w:t>二四年九月</w:t>
      </w:r>
    </w:p>
    <w:p>
      <w:pPr>
        <w:tabs>
          <w:tab w:val="left" w:pos="2268"/>
        </w:tabs>
        <w:spacing w:line="360" w:lineRule="auto"/>
        <w:jc w:val="center"/>
        <w:rPr>
          <w:rFonts w:hint="eastAsia" w:cs="仿宋_GB2312" w:asciiTheme="minorEastAsia" w:hAnsiTheme="minorEastAsia" w:eastAsiaTheme="minorEastAsia"/>
          <w:color w:val="auto"/>
          <w:sz w:val="24"/>
        </w:rPr>
      </w:pPr>
      <w:bookmarkStart w:id="0" w:name="_Hlt67893495"/>
      <w:bookmarkEnd w:id="0"/>
    </w:p>
    <w:p>
      <w:pPr>
        <w:spacing w:line="360" w:lineRule="auto"/>
        <w:jc w:val="center"/>
        <w:rPr>
          <w:rFonts w:hint="eastAsia"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pPr>
        <w:spacing w:line="360" w:lineRule="auto"/>
        <w:rPr>
          <w:rFonts w:hint="eastAsia" w:cs="仿宋_GB2312" w:asciiTheme="minorEastAsia" w:hAnsiTheme="minorEastAsia" w:eastAsiaTheme="minorEastAsia"/>
          <w:color w:val="auto"/>
          <w:sz w:val="32"/>
          <w:szCs w:val="32"/>
        </w:rPr>
      </w:pPr>
    </w:p>
    <w:p>
      <w:pPr>
        <w:spacing w:line="360" w:lineRule="auto"/>
        <w:rPr>
          <w:rFonts w:hint="eastAsia" w:cs="仿宋_GB2312" w:asciiTheme="minorEastAsia" w:hAnsiTheme="minorEastAsia" w:eastAsiaTheme="minorEastAsia"/>
          <w:color w:val="auto"/>
          <w:sz w:val="32"/>
          <w:szCs w:val="32"/>
        </w:rPr>
      </w:pPr>
    </w:p>
    <w:p>
      <w:pPr>
        <w:spacing w:line="360" w:lineRule="auto"/>
        <w:ind w:firstLine="1280" w:firstLineChars="400"/>
        <w:rPr>
          <w:rFonts w:hint="eastAsia"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第一部分      邀请供应商</w:t>
      </w:r>
    </w:p>
    <w:p>
      <w:pPr>
        <w:spacing w:line="360" w:lineRule="auto"/>
        <w:ind w:firstLine="1280" w:firstLineChars="400"/>
        <w:rPr>
          <w:rFonts w:hint="eastAsia"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第二部分      竞争性磋商流程</w:t>
      </w:r>
    </w:p>
    <w:p>
      <w:pPr>
        <w:spacing w:line="360" w:lineRule="auto"/>
        <w:ind w:firstLine="1280" w:firstLineChars="400"/>
        <w:rPr>
          <w:rFonts w:hint="eastAsia"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第三部分      供应商须知</w:t>
      </w:r>
    </w:p>
    <w:p>
      <w:pPr>
        <w:spacing w:line="360" w:lineRule="auto"/>
        <w:ind w:firstLine="1280" w:firstLineChars="400"/>
        <w:rPr>
          <w:rFonts w:hint="eastAsia"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第四部分      采购需求</w:t>
      </w:r>
    </w:p>
    <w:p>
      <w:pPr>
        <w:spacing w:line="360" w:lineRule="auto"/>
        <w:ind w:firstLine="1280" w:firstLineChars="400"/>
        <w:rPr>
          <w:rFonts w:hint="eastAsia"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第五部分      评审方法及评审标准</w:t>
      </w:r>
    </w:p>
    <w:p>
      <w:pPr>
        <w:spacing w:line="360" w:lineRule="auto"/>
        <w:ind w:firstLine="1280" w:firstLineChars="400"/>
        <w:rPr>
          <w:rFonts w:hint="eastAsia"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第六部分      合同条款</w:t>
      </w:r>
    </w:p>
    <w:p>
      <w:pPr>
        <w:spacing w:line="360" w:lineRule="auto"/>
        <w:ind w:firstLine="1280" w:firstLineChars="400"/>
        <w:rPr>
          <w:rFonts w:hint="eastAsia"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第七部分      报价清单</w:t>
      </w:r>
    </w:p>
    <w:p>
      <w:pPr>
        <w:spacing w:line="360" w:lineRule="auto"/>
        <w:ind w:firstLine="1280" w:firstLineChars="400"/>
        <w:rPr>
          <w:rFonts w:hint="eastAsia"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第八部分      应提交的有关格式范例</w:t>
      </w:r>
    </w:p>
    <w:p>
      <w:pPr>
        <w:spacing w:line="360" w:lineRule="auto"/>
        <w:ind w:firstLine="1280" w:firstLineChars="400"/>
        <w:rPr>
          <w:rFonts w:hint="eastAsia"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第九部分      报价格式</w:t>
      </w:r>
    </w:p>
    <w:p>
      <w:pPr>
        <w:spacing w:line="360" w:lineRule="auto"/>
        <w:ind w:firstLine="549" w:firstLineChars="229"/>
        <w:rPr>
          <w:rFonts w:hint="eastAsia" w:cs="仿宋_GB2312" w:asciiTheme="minorEastAsia" w:hAnsiTheme="minorEastAsia" w:eastAsiaTheme="minorEastAsia"/>
          <w:color w:val="auto"/>
          <w:sz w:val="24"/>
        </w:rPr>
      </w:pPr>
      <w:bookmarkStart w:id="1" w:name="_Hlt91233176"/>
      <w:bookmarkEnd w:id="1"/>
      <w:bookmarkStart w:id="2" w:name="_Toc91899869"/>
    </w:p>
    <w:p>
      <w:pPr>
        <w:spacing w:line="360" w:lineRule="auto"/>
        <w:ind w:firstLine="549" w:firstLineChars="229"/>
        <w:rPr>
          <w:rFonts w:hint="eastAsia" w:cs="仿宋_GB2312" w:asciiTheme="minorEastAsia" w:hAnsiTheme="minorEastAsia" w:eastAsiaTheme="minorEastAsia"/>
          <w:color w:val="auto"/>
          <w:sz w:val="24"/>
        </w:rPr>
      </w:pPr>
    </w:p>
    <w:p>
      <w:pPr>
        <w:spacing w:line="360" w:lineRule="auto"/>
        <w:ind w:firstLine="549" w:firstLineChars="229"/>
        <w:rPr>
          <w:rFonts w:hint="eastAsia" w:cs="仿宋_GB2312" w:asciiTheme="minorEastAsia" w:hAnsiTheme="minorEastAsia" w:eastAsiaTheme="minorEastAsia"/>
          <w:color w:val="auto"/>
          <w:sz w:val="24"/>
        </w:rPr>
      </w:pPr>
    </w:p>
    <w:p>
      <w:pPr>
        <w:spacing w:line="360" w:lineRule="auto"/>
        <w:ind w:firstLine="549" w:firstLineChars="229"/>
        <w:rPr>
          <w:rFonts w:hint="eastAsia" w:cs="仿宋_GB2312" w:asciiTheme="minorEastAsia" w:hAnsiTheme="minorEastAsia" w:eastAsiaTheme="minorEastAsia"/>
          <w:color w:val="auto"/>
          <w:sz w:val="24"/>
        </w:rPr>
      </w:pPr>
    </w:p>
    <w:p>
      <w:pPr>
        <w:spacing w:line="360" w:lineRule="auto"/>
        <w:ind w:firstLine="549" w:firstLineChars="229"/>
        <w:rPr>
          <w:rFonts w:hint="eastAsia" w:cs="仿宋_GB2312" w:asciiTheme="minorEastAsia" w:hAnsiTheme="minorEastAsia" w:eastAsiaTheme="minorEastAsia"/>
          <w:color w:val="auto"/>
          <w:sz w:val="24"/>
        </w:rPr>
      </w:pPr>
    </w:p>
    <w:p>
      <w:pPr>
        <w:spacing w:line="360" w:lineRule="auto"/>
        <w:ind w:firstLine="549" w:firstLineChars="229"/>
        <w:rPr>
          <w:rFonts w:hint="eastAsia" w:cs="仿宋_GB2312" w:asciiTheme="minorEastAsia" w:hAnsiTheme="minorEastAsia" w:eastAsiaTheme="minorEastAsia"/>
          <w:color w:val="auto"/>
          <w:sz w:val="24"/>
        </w:rPr>
      </w:pPr>
    </w:p>
    <w:p>
      <w:pPr>
        <w:spacing w:line="360" w:lineRule="auto"/>
        <w:ind w:firstLine="549" w:firstLineChars="229"/>
        <w:rPr>
          <w:rFonts w:hint="eastAsia" w:cs="仿宋_GB2312" w:asciiTheme="minorEastAsia" w:hAnsiTheme="minorEastAsia" w:eastAsiaTheme="minorEastAsia"/>
          <w:color w:val="auto"/>
          <w:sz w:val="24"/>
        </w:rPr>
      </w:pPr>
    </w:p>
    <w:p>
      <w:pPr>
        <w:spacing w:line="360" w:lineRule="auto"/>
        <w:ind w:firstLine="549" w:firstLineChars="229"/>
        <w:rPr>
          <w:rFonts w:hint="eastAsia" w:cs="仿宋_GB2312" w:asciiTheme="minorEastAsia" w:hAnsiTheme="minorEastAsia" w:eastAsiaTheme="minorEastAsia"/>
          <w:color w:val="auto"/>
          <w:sz w:val="24"/>
        </w:rPr>
      </w:pPr>
    </w:p>
    <w:p>
      <w:pPr>
        <w:spacing w:line="360" w:lineRule="auto"/>
        <w:ind w:firstLine="549" w:firstLineChars="229"/>
        <w:rPr>
          <w:rFonts w:hint="eastAsia" w:cs="仿宋_GB2312" w:asciiTheme="minorEastAsia" w:hAnsiTheme="minorEastAsia" w:eastAsiaTheme="minorEastAsia"/>
          <w:color w:val="auto"/>
          <w:sz w:val="24"/>
        </w:rPr>
      </w:pPr>
    </w:p>
    <w:p>
      <w:pPr>
        <w:spacing w:line="360" w:lineRule="auto"/>
        <w:ind w:firstLine="549" w:firstLineChars="229"/>
        <w:rPr>
          <w:rFonts w:hint="eastAsia" w:cs="仿宋_GB2312" w:asciiTheme="minorEastAsia" w:hAnsiTheme="minorEastAsia" w:eastAsiaTheme="minorEastAsia"/>
          <w:color w:val="auto"/>
          <w:sz w:val="24"/>
        </w:rPr>
      </w:pPr>
    </w:p>
    <w:p>
      <w:pPr>
        <w:adjustRightInd/>
        <w:spacing w:line="360" w:lineRule="auto"/>
        <w:jc w:val="center"/>
        <w:outlineLvl w:val="0"/>
        <w:rPr>
          <w:rFonts w:hint="eastAsia" w:cs="仿宋_GB2312" w:asciiTheme="minorEastAsia" w:hAnsiTheme="minorEastAsia" w:eastAsiaTheme="minorEastAsia"/>
          <w:b/>
          <w:color w:val="auto"/>
          <w:sz w:val="36"/>
          <w:szCs w:val="20"/>
        </w:rPr>
      </w:pPr>
      <w:bookmarkStart w:id="3" w:name="第一部分"/>
      <w:r>
        <w:rPr>
          <w:rFonts w:hint="eastAsia" w:cs="仿宋_GB2312" w:asciiTheme="minorEastAsia" w:hAnsiTheme="minorEastAsia" w:eastAsiaTheme="minorEastAsia"/>
          <w:b/>
          <w:color w:val="auto"/>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rPr>
        <w:t>第一部分  竞争性磋商邀请公告</w:t>
      </w:r>
    </w:p>
    <w:p>
      <w:pPr>
        <w:spacing w:line="360" w:lineRule="auto"/>
        <w:rPr>
          <w:rFonts w:hint="eastAsia" w:asciiTheme="minorEastAsia" w:hAnsiTheme="minorEastAsia" w:eastAsiaTheme="minorEastAsia"/>
          <w:color w:val="auto"/>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rPr>
        <w:t>S216长兴至安吉公路长兴县泗安至和平段工程（318国道至302省道段）竣（交）工质量评定检测</w:t>
      </w:r>
      <w:r>
        <w:rPr>
          <w:rFonts w:hint="eastAsia" w:asciiTheme="minorEastAsia" w:hAnsiTheme="minorEastAsia" w:eastAsiaTheme="minorEastAsia"/>
          <w:color w:val="auto"/>
          <w:sz w:val="24"/>
        </w:rPr>
        <w:t>采购项目的潜在供应商应在</w:t>
      </w:r>
      <w:r>
        <w:rPr>
          <w:rFonts w:hint="eastAsia" w:cs="仿宋_GB2312" w:asciiTheme="minorEastAsia" w:hAnsiTheme="minorEastAsia" w:eastAsiaTheme="minorEastAsia"/>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color w:val="auto"/>
          <w:sz w:val="24"/>
          <w:u w:val="single"/>
        </w:rPr>
        <w:t>）</w:t>
      </w:r>
      <w:r>
        <w:rPr>
          <w:rFonts w:hint="eastAsia" w:asciiTheme="minorEastAsia" w:hAnsiTheme="minorEastAsia" w:eastAsiaTheme="minorEastAsia"/>
          <w:color w:val="auto"/>
          <w:sz w:val="24"/>
        </w:rPr>
        <w:t>获取采购文件，并于</w:t>
      </w:r>
      <w:r>
        <w:rPr>
          <w:rFonts w:hint="eastAsia" w:asciiTheme="minorEastAsia" w:hAnsiTheme="minorEastAsia" w:eastAsiaTheme="minorEastAsia"/>
          <w:color w:val="auto"/>
          <w:sz w:val="24"/>
          <w:u w:val="single"/>
        </w:rPr>
        <w:t>2024</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10</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15</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9</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30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（北京时间）前提交响应文件</w:t>
      </w:r>
      <w:r>
        <w:rPr>
          <w:rFonts w:hint="eastAsia" w:asciiTheme="minorEastAsia" w:hAnsiTheme="minorEastAsia" w:eastAsiaTheme="minorEastAsia"/>
          <w:color w:val="auto"/>
          <w:sz w:val="24"/>
        </w:rPr>
        <w:t>。</w:t>
      </w:r>
    </w:p>
    <w:p>
      <w:pPr>
        <w:spacing w:line="360" w:lineRule="auto"/>
        <w:rPr>
          <w:rFonts w:hint="eastAsia" w:asciiTheme="minorEastAsia" w:hAnsiTheme="minorEastAsia" w:eastAsiaTheme="minorEastAsia"/>
          <w:color w:val="auto"/>
          <w:sz w:val="24"/>
        </w:rPr>
      </w:pPr>
    </w:p>
    <w:p>
      <w:pPr>
        <w:pStyle w:val="3"/>
        <w:numPr>
          <w:ilvl w:val="0"/>
          <w:numId w:val="0"/>
        </w:numPr>
        <w:ind w:left="432" w:hanging="432"/>
        <w:rPr>
          <w:rFonts w:hint="eastAsia" w:cs="宋体" w:asciiTheme="minorEastAsia" w:hAnsiTheme="minorEastAsia" w:eastAsiaTheme="minorEastAsia"/>
          <w:color w:val="auto"/>
          <w:sz w:val="24"/>
          <w:szCs w:val="24"/>
        </w:rPr>
      </w:pPr>
      <w:bookmarkStart w:id="11" w:name="_Toc28359012"/>
      <w:bookmarkStart w:id="12" w:name="_Toc28359089"/>
      <w:bookmarkStart w:id="13" w:name="_Toc35393798"/>
      <w:bookmarkStart w:id="14" w:name="_Toc35393629"/>
      <w:r>
        <w:rPr>
          <w:rFonts w:hint="eastAsia" w:cs="宋体" w:asciiTheme="minorEastAsia" w:hAnsiTheme="minorEastAsia" w:eastAsiaTheme="minorEastAsia"/>
          <w:color w:val="auto"/>
          <w:sz w:val="24"/>
          <w:szCs w:val="24"/>
        </w:rPr>
        <w:t>一、项目基本情况</w:t>
      </w:r>
      <w:bookmarkEnd w:id="11"/>
      <w:bookmarkEnd w:id="12"/>
      <w:bookmarkEnd w:id="13"/>
      <w:bookmarkEnd w:id="14"/>
    </w:p>
    <w:p>
      <w:pPr>
        <w:spacing w:line="360" w:lineRule="auto"/>
        <w:ind w:firstLine="482" w:firstLineChars="200"/>
        <w:rPr>
          <w:rFonts w:hint="eastAsia" w:asciiTheme="minorEastAsia" w:hAnsiTheme="minorEastAsia" w:eastAsiaTheme="minorEastAsia"/>
          <w:color w:val="auto"/>
          <w:sz w:val="24"/>
        </w:rPr>
      </w:pPr>
      <w:r>
        <w:rPr>
          <w:rFonts w:hint="eastAsia" w:asciiTheme="minorEastAsia" w:hAnsiTheme="minorEastAsia" w:eastAsiaTheme="minorEastAsia"/>
          <w:b/>
          <w:color w:val="auto"/>
          <w:sz w:val="24"/>
        </w:rPr>
        <w:t>项目编号：</w:t>
      </w:r>
      <w:r>
        <w:rPr>
          <w:rFonts w:hint="eastAsia" w:asciiTheme="minorEastAsia" w:hAnsiTheme="minorEastAsia" w:eastAsiaTheme="minorEastAsia"/>
          <w:color w:val="auto"/>
          <w:sz w:val="24"/>
        </w:rPr>
        <w:t>YHZFCG-004</w:t>
      </w:r>
    </w:p>
    <w:p>
      <w:pPr>
        <w:spacing w:line="360" w:lineRule="auto"/>
        <w:ind w:left="1384" w:leftChars="200" w:hanging="964" w:hangingChars="400"/>
        <w:rPr>
          <w:rFonts w:hint="eastAsia" w:asciiTheme="minorEastAsia" w:hAnsiTheme="minorEastAsia" w:eastAsiaTheme="minorEastAsia"/>
          <w:color w:val="auto"/>
          <w:sz w:val="24"/>
        </w:rPr>
      </w:pPr>
      <w:r>
        <w:rPr>
          <w:rFonts w:hint="eastAsia" w:asciiTheme="minorEastAsia" w:hAnsiTheme="minorEastAsia" w:eastAsiaTheme="minorEastAsia"/>
          <w:b/>
          <w:color w:val="auto"/>
          <w:sz w:val="24"/>
        </w:rPr>
        <w:t>项目名称：</w:t>
      </w:r>
      <w:r>
        <w:rPr>
          <w:rFonts w:hint="eastAsia" w:asciiTheme="minorEastAsia" w:hAnsiTheme="minorEastAsia" w:eastAsiaTheme="minorEastAsia"/>
          <w:color w:val="auto"/>
          <w:sz w:val="24"/>
        </w:rPr>
        <w:t>S216长兴至安吉公路长兴县泗安至和平段工程（318国道至302省道段）竣（交）工质量评定检测</w:t>
      </w:r>
    </w:p>
    <w:p>
      <w:pPr>
        <w:spacing w:line="360" w:lineRule="auto"/>
        <w:ind w:firstLine="482" w:firstLineChars="200"/>
        <w:rPr>
          <w:rFonts w:hint="eastAsia" w:asciiTheme="minorEastAsia" w:hAnsiTheme="minorEastAsia" w:eastAsiaTheme="minorEastAsia"/>
          <w:color w:val="auto"/>
          <w:sz w:val="24"/>
        </w:rPr>
      </w:pPr>
      <w:r>
        <w:rPr>
          <w:rFonts w:hint="eastAsia" w:asciiTheme="minorEastAsia" w:hAnsiTheme="minorEastAsia" w:eastAsiaTheme="minorEastAsia"/>
          <w:b/>
          <w:color w:val="auto"/>
          <w:sz w:val="24"/>
        </w:rPr>
        <w:t>采购方式：</w:t>
      </w:r>
      <w:r>
        <w:rPr>
          <w:rFonts w:hint="eastAsia" w:asciiTheme="minorEastAsia" w:hAnsiTheme="minorEastAsia" w:eastAsiaTheme="minorEastAsia"/>
          <w:color w:val="auto"/>
          <w:sz w:val="24"/>
        </w:rPr>
        <w:t>竞争性磋商</w:t>
      </w:r>
    </w:p>
    <w:p>
      <w:pPr>
        <w:spacing w:line="360" w:lineRule="auto"/>
        <w:ind w:firstLine="482" w:firstLineChars="200"/>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预算金额（元）：1426175元；</w:t>
      </w:r>
      <w:r>
        <w:rPr>
          <w:rFonts w:asciiTheme="minorEastAsia" w:hAnsiTheme="minorEastAsia" w:eastAsiaTheme="minorEastAsia"/>
          <w:b/>
          <w:color w:val="auto"/>
          <w:sz w:val="24"/>
        </w:rPr>
        <w:t xml:space="preserve"> </w:t>
      </w:r>
    </w:p>
    <w:p>
      <w:pPr>
        <w:spacing w:line="360" w:lineRule="auto"/>
        <w:ind w:firstLine="482" w:firstLineChars="200"/>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最高限价（元）：1426175元；</w:t>
      </w:r>
    </w:p>
    <w:p>
      <w:pPr>
        <w:spacing w:line="360" w:lineRule="auto"/>
        <w:ind w:firstLine="482" w:firstLineChars="200"/>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采购需求：</w:t>
      </w:r>
    </w:p>
    <w:p>
      <w:pPr>
        <w:spacing w:line="360" w:lineRule="auto"/>
        <w:ind w:firstLine="480" w:firstLineChars="200"/>
        <w:rPr>
          <w:rFonts w:hint="eastAsia" w:hAnsi="宋体" w:cs="宋体"/>
          <w:bCs/>
          <w:color w:val="auto"/>
          <w:sz w:val="24"/>
        </w:rPr>
      </w:pPr>
      <w:r>
        <w:rPr>
          <w:rFonts w:hint="eastAsia" w:hAnsi="宋体" w:cs="宋体"/>
          <w:bCs/>
          <w:color w:val="auto"/>
          <w:sz w:val="24"/>
        </w:rPr>
        <w:t>标项内容：S216长兴至安吉公路长兴县泗安至和平段工程（318国道至302省道段）竣（交）工质量评定检测</w:t>
      </w:r>
    </w:p>
    <w:p>
      <w:pPr>
        <w:spacing w:line="360" w:lineRule="auto"/>
        <w:ind w:firstLine="480" w:firstLineChars="200"/>
        <w:rPr>
          <w:rFonts w:hint="eastAsia" w:hAnsi="宋体" w:cs="宋体"/>
          <w:bCs/>
          <w:color w:val="auto"/>
          <w:sz w:val="24"/>
        </w:rPr>
      </w:pPr>
      <w:r>
        <w:rPr>
          <w:rFonts w:hint="eastAsia" w:hAnsi="宋体" w:cs="宋体"/>
          <w:bCs/>
          <w:color w:val="auto"/>
          <w:sz w:val="24"/>
        </w:rPr>
        <w:t>数量：1</w:t>
      </w:r>
    </w:p>
    <w:p>
      <w:pPr>
        <w:spacing w:line="360" w:lineRule="auto"/>
        <w:ind w:firstLine="480" w:firstLineChars="200"/>
        <w:rPr>
          <w:rFonts w:hint="eastAsia" w:cs="仿宋_GB2312" w:asciiTheme="minorEastAsia" w:hAnsiTheme="minorEastAsia" w:eastAsiaTheme="minorEastAsia"/>
          <w:b/>
          <w:color w:val="auto"/>
          <w:sz w:val="24"/>
        </w:rPr>
      </w:pPr>
      <w:r>
        <w:rPr>
          <w:rFonts w:hint="eastAsia" w:hAnsi="宋体" w:cs="宋体"/>
          <w:bCs/>
          <w:color w:val="auto"/>
          <w:sz w:val="24"/>
        </w:rPr>
        <w:t>单位：项</w:t>
      </w:r>
      <w:r>
        <w:rPr>
          <w:rFonts w:hint="eastAsia" w:cs="仿宋_GB2312" w:asciiTheme="minorEastAsia" w:hAnsiTheme="minorEastAsia" w:eastAsiaTheme="minorEastAsia"/>
          <w:b/>
          <w:color w:val="auto"/>
          <w:sz w:val="24"/>
        </w:rPr>
        <w:t>。</w:t>
      </w:r>
    </w:p>
    <w:p>
      <w:pPr>
        <w:spacing w:line="360" w:lineRule="auto"/>
        <w:ind w:firstLine="482" w:firstLineChars="200"/>
        <w:rPr>
          <w:rFonts w:hint="eastAsia" w:hAnsi="宋体" w:cs="宋体"/>
          <w:bCs/>
          <w:color w:val="auto"/>
          <w:sz w:val="24"/>
        </w:rPr>
      </w:pPr>
      <w:r>
        <w:rPr>
          <w:rFonts w:hint="eastAsia" w:hAnsi="宋体" w:cs="宋体"/>
          <w:b/>
          <w:color w:val="auto"/>
          <w:sz w:val="24"/>
        </w:rPr>
        <w:t>项目概况：</w:t>
      </w:r>
      <w:r>
        <w:rPr>
          <w:rFonts w:hint="eastAsia" w:hAnsi="宋体" w:cs="宋体"/>
          <w:bCs/>
          <w:color w:val="auto"/>
          <w:sz w:val="24"/>
        </w:rPr>
        <w:t xml:space="preserve"> S216长兴至安吉公路长兴县泗安至和平段工程（318国道至302省道段）（以下简称“本项目”）路线起点位于S216与G318交叉口，起点桩号为K27+928.216，路线往南沿现状X225虹林线和X212观青线走向在里塘加油站南侧偏离现状道路至观青线西侧现状农村公路，下穿商合杭高铁（K34+209.28处）并与观青线相交后与长兴县吴山大桥工程起点相接，利用长兴县吴山大桥工程（K35+713.117～K36+747.084段长约1.03公里）走向跨越西苕溪后继续往南跨晓墅港（Ⅶ级航道）后路线往西南，与现状观青线相交后路线沿现状乡道终点与S302相交于长安村附近，终点桩号K40+675.248，路线全长约12.74公里，其中新建段约11.71公里，利用段约1.03公里。全线共设大桥231.04m/1座、中小桥308.36m/9座（含改路桥梁2座），涵洞约42道，道班房约2700m2/1处。项目概算总投资为65816.0438万元，其中建筑安装工程费为31549.1193万元。</w:t>
      </w:r>
    </w:p>
    <w:p>
      <w:pPr>
        <w:spacing w:line="360" w:lineRule="auto"/>
        <w:ind w:firstLine="482" w:firstLineChars="200"/>
        <w:rPr>
          <w:rFonts w:hint="eastAsia" w:hAnsi="宋体" w:cs="宋体"/>
          <w:bCs/>
          <w:color w:val="auto"/>
          <w:sz w:val="24"/>
        </w:rPr>
      </w:pPr>
      <w:r>
        <w:rPr>
          <w:rFonts w:hint="eastAsia" w:hAnsi="宋体" w:cs="宋体"/>
          <w:b/>
          <w:color w:val="auto"/>
          <w:sz w:val="24"/>
        </w:rPr>
        <w:t>技术标准：</w:t>
      </w:r>
      <w:r>
        <w:rPr>
          <w:rFonts w:hint="eastAsia" w:hAnsi="宋体" w:cs="宋体"/>
          <w:bCs/>
          <w:color w:val="auto"/>
          <w:sz w:val="24"/>
        </w:rPr>
        <w:t>本项目按交通运输部颁《公路工程技术标准》（JTGB01-2014）规定的二级公路标准建设，设计速度采用60km/h，全线为双向两车道，标准路基宽12m，荷载等级采用公路—I级。其余技术指标符合相应技术标准、规范的要求。</w:t>
      </w:r>
    </w:p>
    <w:p>
      <w:pPr>
        <w:spacing w:line="360" w:lineRule="auto"/>
        <w:ind w:firstLine="482" w:firstLineChars="200"/>
        <w:rPr>
          <w:rFonts w:hint="eastAsia" w:hAnsi="宋体" w:cs="宋体"/>
          <w:bCs/>
          <w:color w:val="auto"/>
          <w:sz w:val="24"/>
        </w:rPr>
      </w:pPr>
      <w:r>
        <w:rPr>
          <w:rFonts w:hint="eastAsia" w:hAnsi="宋体" w:cs="宋体"/>
          <w:b/>
          <w:color w:val="auto"/>
          <w:sz w:val="24"/>
        </w:rPr>
        <w:t>招标范围：</w:t>
      </w:r>
      <w:r>
        <w:rPr>
          <w:rFonts w:hint="eastAsia" w:hAnsi="宋体" w:cs="宋体"/>
          <w:bCs/>
          <w:color w:val="auto"/>
          <w:sz w:val="24"/>
        </w:rPr>
        <w:t>本项目全线范围内路基、路面、桥梁（含桥梁荷载试验）、交通安全设施、环保（含绿化）、机电等工程交工实体检测、竣工实体检测、外观检查，检测频率及参数按浙江省交通运输厅《浙江省公路工程竣（交）工验收办法》（浙交〔2019〕184号）执行，出具工程实体检测报告、外观检查报告，并协助发包人对工程质量进行评定等工作；</w:t>
      </w:r>
    </w:p>
    <w:p>
      <w:pPr>
        <w:spacing w:line="360" w:lineRule="auto"/>
        <w:ind w:left="2107" w:leftChars="200" w:hanging="1687" w:hangingChars="700"/>
        <w:rPr>
          <w:rFonts w:hint="eastAsia" w:asciiTheme="minorEastAsia" w:hAnsiTheme="minorEastAsia" w:eastAsiaTheme="minorEastAsia"/>
          <w:color w:val="auto"/>
          <w:sz w:val="24"/>
        </w:rPr>
      </w:pPr>
      <w:r>
        <w:rPr>
          <w:rFonts w:hint="eastAsia" w:asciiTheme="minorEastAsia" w:hAnsiTheme="minorEastAsia" w:eastAsiaTheme="minorEastAsia"/>
          <w:b/>
          <w:color w:val="auto"/>
          <w:sz w:val="24"/>
        </w:rPr>
        <w:t>合同履行期限</w:t>
      </w:r>
      <w:r>
        <w:rPr>
          <w:rFonts w:hint="eastAsia" w:asciiTheme="minorEastAsia" w:hAnsiTheme="minorEastAsia" w:eastAsiaTheme="minorEastAsia"/>
          <w:color w:val="auto"/>
          <w:sz w:val="24"/>
        </w:rPr>
        <w:t>：合同签订至所有试验检测报告提交并通过竣工质量评定止，预计60个月（1825日历天）。</w:t>
      </w:r>
    </w:p>
    <w:p>
      <w:pPr>
        <w:spacing w:line="360" w:lineRule="auto"/>
        <w:ind w:left="2107" w:leftChars="200" w:hanging="1687" w:hangingChars="700"/>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本项目接受联合体响应：</w:t>
      </w:r>
      <w:sdt>
        <w:sdtPr>
          <w:rPr>
            <w:rFonts w:hint="eastAsia" w:asciiTheme="minorEastAsia" w:hAnsiTheme="minorEastAsia" w:eastAsiaTheme="minorEastAsia"/>
            <w:b/>
            <w:color w:val="auto"/>
            <w:sz w:val="24"/>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MS Gothic" w:hAnsi="MS Gothic" w:eastAsia="MS Gothic"/>
              <w:b/>
              <w:color w:val="auto"/>
              <w:sz w:val="24"/>
            </w:rPr>
            <w:t>☐</w:t>
          </w:r>
        </w:sdtContent>
      </w:sdt>
      <w:r>
        <w:rPr>
          <w:rFonts w:hint="eastAsia" w:asciiTheme="minorEastAsia" w:hAnsiTheme="minorEastAsia" w:eastAsiaTheme="minorEastAsia"/>
          <w:b/>
          <w:color w:val="auto"/>
          <w:sz w:val="24"/>
        </w:rPr>
        <w:t>是，</w:t>
      </w:r>
      <w:sdt>
        <w:sdtPr>
          <w:rPr>
            <w:rFonts w:hint="eastAsia" w:asciiTheme="minorEastAsia" w:hAnsiTheme="minorEastAsia" w:eastAsiaTheme="minorEastAsia"/>
            <w:b/>
            <w:color w:val="auto"/>
            <w:sz w:val="24"/>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Theme="minorEastAsia" w:hAnsiTheme="minorEastAsia" w:eastAsiaTheme="minorEastAsia"/>
              <w:b/>
              <w:color w:val="auto"/>
              <w:sz w:val="24"/>
            </w:rPr>
            <w:sym w:font="Wingdings" w:char="F0FE"/>
          </w:r>
        </w:sdtContent>
      </w:sdt>
      <w:r>
        <w:rPr>
          <w:rFonts w:hint="eastAsia" w:asciiTheme="minorEastAsia" w:hAnsiTheme="minorEastAsia" w:eastAsiaTheme="minorEastAsia"/>
          <w:b/>
          <w:color w:val="auto"/>
          <w:sz w:val="24"/>
        </w:rPr>
        <w:t>否。</w:t>
      </w:r>
    </w:p>
    <w:p>
      <w:pPr>
        <w:pStyle w:val="3"/>
        <w:numPr>
          <w:ilvl w:val="0"/>
          <w:numId w:val="0"/>
        </w:numPr>
        <w:ind w:left="432" w:hanging="432"/>
        <w:rPr>
          <w:rFonts w:hint="eastAsia" w:cs="宋体" w:asciiTheme="minorEastAsia" w:hAnsiTheme="minorEastAsia" w:eastAsiaTheme="minorEastAsia"/>
          <w:color w:val="auto"/>
          <w:sz w:val="24"/>
          <w:szCs w:val="24"/>
        </w:rPr>
      </w:pPr>
      <w:bookmarkStart w:id="15" w:name="_Toc35393630"/>
      <w:bookmarkStart w:id="16" w:name="_Toc35393799"/>
      <w:bookmarkStart w:id="17" w:name="_Toc28359090"/>
      <w:bookmarkStart w:id="18" w:name="_Toc28359013"/>
      <w:r>
        <w:rPr>
          <w:rFonts w:hint="eastAsia" w:cs="宋体" w:asciiTheme="minorEastAsia" w:hAnsiTheme="minorEastAsia" w:eastAsiaTheme="minorEastAsia"/>
          <w:color w:val="auto"/>
          <w:sz w:val="24"/>
          <w:szCs w:val="24"/>
        </w:rPr>
        <w:t>二、申请人的资格要求：</w:t>
      </w:r>
      <w:bookmarkEnd w:id="15"/>
      <w:bookmarkEnd w:id="16"/>
      <w:bookmarkEnd w:id="17"/>
      <w:bookmarkEnd w:id="18"/>
    </w:p>
    <w:p>
      <w:pPr>
        <w:spacing w:line="360" w:lineRule="auto"/>
        <w:ind w:firstLine="480"/>
        <w:rPr>
          <w:rFonts w:hint="eastAsia"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 xml:space="preserve">    </w:t>
      </w:r>
      <w:r>
        <w:rPr>
          <w:rFonts w:cs="宋体" w:asciiTheme="minorEastAsia" w:hAnsiTheme="minorEastAsia" w:eastAsiaTheme="minorEastAsia"/>
          <w:snapToGrid w:val="0"/>
          <w:color w:val="auto"/>
          <w:kern w:val="28"/>
          <w:sz w:val="24"/>
          <w:szCs w:val="20"/>
        </w:rPr>
        <w:t>2</w:t>
      </w:r>
      <w:r>
        <w:rPr>
          <w:rFonts w:hint="eastAsia" w:cs="宋体" w:asciiTheme="minorEastAsia" w:hAnsiTheme="minorEastAsia" w:eastAsiaTheme="minorEastAsia"/>
          <w:snapToGrid w:val="0"/>
          <w:color w:val="auto"/>
          <w:kern w:val="28"/>
          <w:sz w:val="24"/>
          <w:szCs w:val="20"/>
        </w:rPr>
        <w:t>.落实政府采购政策需满足的资格要求：</w:t>
      </w:r>
    </w:p>
    <w:p>
      <w:pPr>
        <w:spacing w:line="360" w:lineRule="auto"/>
        <w:ind w:firstLine="480" w:firstLineChars="200"/>
        <w:rPr>
          <w:rFonts w:hint="eastAsia"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cs="宋体" w:asciiTheme="minorEastAsia" w:hAnsiTheme="minorEastAsia" w:eastAsiaTheme="minorEastAsia"/>
              <w:color w:val="auto"/>
              <w:kern w:val="0"/>
              <w:sz w:val="24"/>
            </w:rPr>
            <w:sym w:font="Wingdings" w:char="F0FE"/>
          </w:r>
        </w:sdtContent>
      </w:sdt>
      <w:r>
        <w:rPr>
          <w:rFonts w:hint="eastAsia" w:cs="宋体" w:asciiTheme="minorEastAsia" w:hAnsiTheme="minorEastAsia" w:eastAsiaTheme="minorEastAsia"/>
          <w:color w:val="auto"/>
          <w:kern w:val="0"/>
          <w:sz w:val="24"/>
        </w:rPr>
        <w:t>专</w:t>
      </w:r>
      <w:r>
        <w:rPr>
          <w:rFonts w:hint="eastAsia" w:cs="宋体" w:asciiTheme="minorEastAsia" w:hAnsiTheme="minorEastAsia" w:eastAsiaTheme="minorEastAsia"/>
          <w:color w:val="auto"/>
          <w:sz w:val="24"/>
        </w:rPr>
        <w:t>门面向中小企业</w:t>
      </w:r>
    </w:p>
    <w:p>
      <w:pPr>
        <w:spacing w:line="360" w:lineRule="auto"/>
        <w:ind w:firstLine="897" w:firstLineChars="374"/>
        <w:rPr>
          <w:rFonts w:hint="eastAsia"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3368540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cs="宋体" w:asciiTheme="minorEastAsia" w:hAnsiTheme="minorEastAsia" w:eastAsiaTheme="minorEastAsia"/>
              <w:color w:val="auto"/>
              <w:kern w:val="0"/>
              <w:sz w:val="24"/>
            </w:rPr>
            <w:sym w:font="Wingdings" w:char="F0FE"/>
          </w:r>
        </w:sdtContent>
      </w:sdt>
      <w:r>
        <w:rPr>
          <w:rFonts w:hint="eastAsia" w:cs="宋体" w:asciiTheme="minorEastAsia" w:hAnsiTheme="minorEastAsia" w:eastAsiaTheme="minorEastAsia"/>
          <w:color w:val="auto"/>
          <w:sz w:val="24"/>
        </w:rPr>
        <w:t>服务全部由符合政策要求的中小企业承接，提供中小企业声明函；</w:t>
      </w:r>
    </w:p>
    <w:p>
      <w:pPr>
        <w:numPr>
          <w:ilvl w:val="0"/>
          <w:numId w:val="7"/>
        </w:num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项目的特定资格要求：①具备独立法人资格，其本身或内设检测机构具备交通运输部门核发的公路工程综合乙级及以上或公路工程乙级及以上（由于交通运输部对公路水运工程质量检测管理信息系统进行升级期间造成等级证书有效期未能延期的情形，本次响应予以认可。交通运输部对公路水运工程试验检测机构等级证书有效期有新规定的，按交通运输部规定执行）试验检测等级证书；</w:t>
      </w:r>
    </w:p>
    <w:p>
      <w:pPr>
        <w:numPr>
          <w:ilvl w:val="0"/>
          <w:numId w:val="0"/>
        </w:num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②供应商名称和等级应与交通运输部“公路水运工程质量检测管理信息系统（https://www.ttiis.cn/）”中的相应机构名称和等级完全一致。</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③具有省级市场监督管理部门核发的资质认定证书。</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④供应商自2019年7月1日（以交工验收证书或备案书载明的检测完成日期为准）以来完成过1项新建或改（扩）建二级及以上公路工程的交工或竣（交）工质量评定检测且检测内容至少包含桥梁的试验检测任务；</w:t>
      </w:r>
    </w:p>
    <w:p>
      <w:pPr>
        <w:snapToGrid w:val="0"/>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⑤供应商拟委任的本项目的项目负责人具有高级工程师及以上职称，且有交通运输部门颁发的公路工程试验检测工程师（公路和桥梁专业），或交通运输部职业资格中心颁发的公路水运工程试验检测师（道路工程专业和桥梁隧道工程专业）资格，担任过1项新建或改（扩）建二级及以上公路项目的交竣工（或交工）质量检测且检测内容至少包含桥梁项目的项目负责人或技术负责人，根据交通运输部最新公布的试验检测人员信用评价结果，检测工程师个人扣分在40分以下。</w:t>
      </w:r>
    </w:p>
    <w:p>
      <w:pPr>
        <w:snapToGrid w:val="0"/>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⑥供应商拟委任的本项目的技术负责人具有高级工程师及以上职称，且有交通运输部门颁发的公路工程试验检测工程师（同时具备公路和桥梁专业），或交通运输部职业资格中心颁发的公路水运工程试验检测师（道路工程专业和桥梁隧道工程专业）资格。根据交通运输部最新公布的试验检测人员信用评价结果，检测工程师个人扣分在40分以下。</w:t>
      </w:r>
    </w:p>
    <w:p>
      <w:pPr>
        <w:snapToGrid w:val="0"/>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⑦供应商不得存在下列任一情形：</w:t>
      </w:r>
    </w:p>
    <w:p>
      <w:pPr>
        <w:snapToGrid w:val="0"/>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a.</w:t>
      </w:r>
      <w:r>
        <w:rPr>
          <w:rFonts w:cs="宋体" w:asciiTheme="minorEastAsia" w:hAnsiTheme="minorEastAsia" w:eastAsiaTheme="minorEastAsia"/>
          <w:color w:val="auto"/>
          <w:sz w:val="24"/>
        </w:rPr>
        <w:t>为</w:t>
      </w:r>
      <w:r>
        <w:rPr>
          <w:rFonts w:hint="eastAsia" w:cs="宋体" w:asciiTheme="minorEastAsia" w:hAnsiTheme="minorEastAsia" w:eastAsiaTheme="minorEastAsia"/>
          <w:color w:val="auto"/>
          <w:sz w:val="24"/>
        </w:rPr>
        <w:t>采购人</w:t>
      </w:r>
      <w:r>
        <w:rPr>
          <w:rFonts w:cs="宋体" w:asciiTheme="minorEastAsia" w:hAnsiTheme="minorEastAsia" w:eastAsiaTheme="minorEastAsia"/>
          <w:color w:val="auto"/>
          <w:sz w:val="24"/>
        </w:rPr>
        <w:t>不具有独立法人资格的附属机构（单位）；</w:t>
      </w:r>
    </w:p>
    <w:p>
      <w:pPr>
        <w:snapToGrid w:val="0"/>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b.</w:t>
      </w:r>
      <w:r>
        <w:rPr>
          <w:rFonts w:cs="宋体" w:asciiTheme="minorEastAsia" w:hAnsiTheme="minorEastAsia" w:eastAsiaTheme="minorEastAsia"/>
          <w:color w:val="auto"/>
          <w:sz w:val="24"/>
        </w:rPr>
        <w:t>为本招标项目的代建人；</w:t>
      </w:r>
    </w:p>
    <w:p>
      <w:pPr>
        <w:snapToGrid w:val="0"/>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c.</w:t>
      </w:r>
      <w:r>
        <w:rPr>
          <w:rFonts w:cs="宋体" w:asciiTheme="minorEastAsia" w:hAnsiTheme="minorEastAsia" w:eastAsiaTheme="minorEastAsia"/>
          <w:color w:val="auto"/>
          <w:sz w:val="24"/>
        </w:rPr>
        <w:t>为本招标项目的施工承包人；</w:t>
      </w:r>
    </w:p>
    <w:p>
      <w:pPr>
        <w:snapToGrid w:val="0"/>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d.</w:t>
      </w:r>
      <w:r>
        <w:rPr>
          <w:rFonts w:cs="宋体" w:asciiTheme="minorEastAsia" w:hAnsiTheme="minorEastAsia" w:eastAsiaTheme="minorEastAsia"/>
          <w:color w:val="auto"/>
          <w:sz w:val="24"/>
        </w:rPr>
        <w:t>为本招标项目提供招标代理服务的；</w:t>
      </w:r>
    </w:p>
    <w:p>
      <w:pPr>
        <w:snapToGrid w:val="0"/>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e.</w:t>
      </w:r>
      <w:r>
        <w:rPr>
          <w:rFonts w:cs="宋体" w:asciiTheme="minorEastAsia" w:hAnsiTheme="minorEastAsia" w:eastAsiaTheme="minorEastAsia"/>
          <w:color w:val="auto"/>
          <w:sz w:val="24"/>
        </w:rPr>
        <w:t>与本招标项目的代建人或施工承包人或监理人或招标代理机构同为一个法定代表人的；</w:t>
      </w:r>
    </w:p>
    <w:p>
      <w:pPr>
        <w:snapToGrid w:val="0"/>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f</w:t>
      </w:r>
      <w:r>
        <w:rPr>
          <w:rFonts w:hint="eastAsia" w:cs="宋体" w:asciiTheme="minorEastAsia" w:hAnsiTheme="minorEastAsia" w:eastAsiaTheme="minorEastAsia"/>
          <w:color w:val="auto"/>
          <w:sz w:val="24"/>
        </w:rPr>
        <w:t>.</w:t>
      </w:r>
      <w:r>
        <w:rPr>
          <w:rFonts w:cs="宋体" w:asciiTheme="minorEastAsia" w:hAnsiTheme="minorEastAsia" w:eastAsiaTheme="minorEastAsia"/>
          <w:color w:val="auto"/>
          <w:sz w:val="24"/>
        </w:rPr>
        <w:t>与本招标项目的代建人或施工承包人或监理人或招标代理机构相互控股或参股的；</w:t>
      </w:r>
    </w:p>
    <w:p>
      <w:pPr>
        <w:snapToGrid w:val="0"/>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g.</w:t>
      </w:r>
      <w:r>
        <w:rPr>
          <w:rFonts w:cs="宋体" w:asciiTheme="minorEastAsia" w:hAnsiTheme="minorEastAsia" w:eastAsiaTheme="minorEastAsia"/>
          <w:color w:val="auto"/>
          <w:sz w:val="24"/>
        </w:rPr>
        <w:t>与本招标项目的代建人或施工承包人或监理人或招标代理机构相互任职或工作的；</w:t>
      </w:r>
    </w:p>
    <w:p>
      <w:pPr>
        <w:snapToGrid w:val="0"/>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h.</w:t>
      </w:r>
      <w:r>
        <w:rPr>
          <w:rFonts w:cs="宋体" w:asciiTheme="minorEastAsia" w:hAnsiTheme="minorEastAsia" w:eastAsiaTheme="minorEastAsia"/>
          <w:color w:val="auto"/>
          <w:sz w:val="24"/>
        </w:rPr>
        <w:t>与</w:t>
      </w:r>
      <w:r>
        <w:rPr>
          <w:rFonts w:hint="eastAsia" w:cs="宋体" w:asciiTheme="minorEastAsia" w:hAnsiTheme="minorEastAsia" w:eastAsiaTheme="minorEastAsia"/>
          <w:color w:val="auto"/>
          <w:sz w:val="24"/>
        </w:rPr>
        <w:t>采购人</w:t>
      </w:r>
      <w:r>
        <w:rPr>
          <w:rFonts w:cs="宋体" w:asciiTheme="minorEastAsia" w:hAnsiTheme="minorEastAsia" w:eastAsiaTheme="minorEastAsia"/>
          <w:color w:val="auto"/>
          <w:sz w:val="24"/>
        </w:rPr>
        <w:t>存在利害关系可能影响招标公正性的法人、其他组织；</w:t>
      </w:r>
    </w:p>
    <w:p>
      <w:pPr>
        <w:snapToGrid w:val="0"/>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i.</w:t>
      </w:r>
      <w:r>
        <w:rPr>
          <w:rFonts w:cs="宋体" w:asciiTheme="minorEastAsia" w:hAnsiTheme="minorEastAsia" w:eastAsiaTheme="minorEastAsia"/>
          <w:color w:val="auto"/>
          <w:sz w:val="24"/>
        </w:rPr>
        <w:t>与本标段的其他供应商存在控股（含法定代表人控股）、管理关系的；</w:t>
      </w:r>
    </w:p>
    <w:p>
      <w:pPr>
        <w:snapToGrid w:val="0"/>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j.</w:t>
      </w:r>
      <w:r>
        <w:rPr>
          <w:rFonts w:cs="宋体" w:asciiTheme="minorEastAsia" w:hAnsiTheme="minorEastAsia" w:eastAsiaTheme="minorEastAsia"/>
          <w:color w:val="auto"/>
          <w:sz w:val="24"/>
        </w:rPr>
        <w:t>为投资参股本招标项目的法人单位；</w:t>
      </w:r>
    </w:p>
    <w:p>
      <w:pPr>
        <w:snapToGrid w:val="0"/>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k.</w:t>
      </w:r>
      <w:r>
        <w:rPr>
          <w:rFonts w:cs="宋体" w:asciiTheme="minorEastAsia" w:hAnsiTheme="minorEastAsia" w:eastAsiaTheme="minorEastAsia"/>
          <w:color w:val="auto"/>
          <w:sz w:val="24"/>
        </w:rPr>
        <w:t>为接受本项目业主或监理或施工等方委托的与本次招标相同内容（含）的试验检测单位。</w:t>
      </w:r>
    </w:p>
    <w:p>
      <w:pPr>
        <w:snapToGrid w:val="0"/>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⑧供应商不得存在下列不良信用记录：</w:t>
      </w:r>
    </w:p>
    <w:p>
      <w:pPr>
        <w:snapToGrid w:val="0"/>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a.被责令停业的；</w:t>
      </w:r>
    </w:p>
    <w:p>
      <w:pPr>
        <w:snapToGrid w:val="0"/>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b.财产被接管或全部冻结的；</w:t>
      </w:r>
    </w:p>
    <w:p>
      <w:pPr>
        <w:snapToGrid w:val="0"/>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c.被交通运输部、浙江省交通运输厅、浙江省发展和改革委员会取消投标资格或禁止进入浙江省建设市场且处于有效期内；</w:t>
      </w:r>
    </w:p>
    <w:p>
      <w:pPr>
        <w:snapToGrid w:val="0"/>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d.被列入在全国企业信用信息公示系统中列入严重违法企业名单的；</w:t>
      </w:r>
    </w:p>
    <w:p>
      <w:pPr>
        <w:snapToGrid w:val="0"/>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e.被列入在“信用中国”网站（http://www.creditchina.gov.cn/）中被列入失信被执行人名单的供应商。</w:t>
      </w:r>
    </w:p>
    <w:p>
      <w:pPr>
        <w:snapToGrid w:val="0"/>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f.供应商须知前附表规定的日期内有骗取中标或较大及以上工程质量（或安全生产责任事故）负有责任的（以司法机关出具的有关法律文书为准）；</w:t>
      </w:r>
    </w:p>
    <w:p>
      <w:pPr>
        <w:snapToGrid w:val="0"/>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g. 2021年7月1日以来，供应商或其法定代表人、拟委任的项目负责人有行贿犯罪行为的（行贿犯罪行为的认定以中国裁判文书网查询结果为准，供应商无需提供），在评标结束定标前查询）。</w:t>
      </w:r>
    </w:p>
    <w:p>
      <w:pPr>
        <w:snapToGrid w:val="0"/>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⑨供应商须具有下列仪器设备：</w:t>
      </w:r>
    </w:p>
    <w:tbl>
      <w:tblPr>
        <w:tblStyle w:val="61"/>
        <w:tblW w:w="0" w:type="auto"/>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410"/>
        <w:gridCol w:w="2551"/>
        <w:gridCol w:w="709"/>
        <w:gridCol w:w="851"/>
        <w:gridCol w:w="1061"/>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694" w:type="dxa"/>
            <w:tcBorders>
              <w:top w:val="double" w:color="auto" w:sz="2" w:space="0"/>
              <w:left w:val="double" w:color="auto" w:sz="2" w:space="0"/>
              <w:bottom w:val="single" w:color="auto" w:sz="6" w:space="0"/>
              <w:right w:val="single" w:color="auto" w:sz="6" w:space="0"/>
            </w:tcBorders>
            <w:vAlign w:val="center"/>
          </w:tcPr>
          <w:p>
            <w:pPr>
              <w:snapToGrid w:val="0"/>
              <w:spacing w:line="360" w:lineRule="auto"/>
              <w:rPr>
                <w:rFonts w:cs="宋体" w:asciiTheme="minorEastAsia" w:hAnsiTheme="minorEastAsia" w:eastAsiaTheme="minorEastAsia"/>
                <w:color w:val="auto"/>
                <w:sz w:val="24"/>
              </w:rPr>
            </w:pPr>
            <w:r>
              <w:rPr>
                <w:rFonts w:cs="宋体" w:asciiTheme="minorEastAsia" w:hAnsiTheme="minorEastAsia" w:eastAsiaTheme="minorEastAsia"/>
                <w:color w:val="auto"/>
                <w:sz w:val="24"/>
              </w:rPr>
              <w:t>序号</w:t>
            </w:r>
          </w:p>
        </w:tc>
        <w:tc>
          <w:tcPr>
            <w:tcW w:w="2410" w:type="dxa"/>
            <w:tcBorders>
              <w:top w:val="double" w:color="auto" w:sz="2" w:space="0"/>
              <w:left w:val="single" w:color="auto" w:sz="6" w:space="0"/>
              <w:bottom w:val="single" w:color="auto" w:sz="6" w:space="0"/>
              <w:right w:val="single" w:color="auto" w:sz="6" w:space="0"/>
            </w:tcBorders>
            <w:vAlign w:val="center"/>
          </w:tcPr>
          <w:p>
            <w:pPr>
              <w:snapToGrid w:val="0"/>
              <w:spacing w:line="360" w:lineRule="auto"/>
              <w:rPr>
                <w:rFonts w:cs="宋体" w:asciiTheme="minorEastAsia" w:hAnsiTheme="minorEastAsia" w:eastAsiaTheme="minorEastAsia"/>
                <w:color w:val="auto"/>
                <w:sz w:val="24"/>
              </w:rPr>
            </w:pPr>
            <w:r>
              <w:rPr>
                <w:rFonts w:cs="宋体" w:asciiTheme="minorEastAsia" w:hAnsiTheme="minorEastAsia" w:eastAsiaTheme="minorEastAsia"/>
                <w:color w:val="auto"/>
                <w:sz w:val="24"/>
              </w:rPr>
              <w:t>仪器设备名称</w:t>
            </w:r>
          </w:p>
        </w:tc>
        <w:tc>
          <w:tcPr>
            <w:tcW w:w="2551" w:type="dxa"/>
            <w:tcBorders>
              <w:top w:val="double" w:color="auto" w:sz="2" w:space="0"/>
              <w:left w:val="single" w:color="auto" w:sz="6" w:space="0"/>
              <w:bottom w:val="single" w:color="auto" w:sz="6" w:space="0"/>
              <w:right w:val="single" w:color="auto" w:sz="6" w:space="0"/>
            </w:tcBorders>
            <w:vAlign w:val="center"/>
          </w:tcPr>
          <w:p>
            <w:pPr>
              <w:snapToGrid w:val="0"/>
              <w:spacing w:line="360" w:lineRule="auto"/>
              <w:rPr>
                <w:rFonts w:cs="宋体" w:asciiTheme="minorEastAsia" w:hAnsiTheme="minorEastAsia" w:eastAsiaTheme="minorEastAsia"/>
                <w:color w:val="auto"/>
                <w:sz w:val="24"/>
              </w:rPr>
            </w:pPr>
            <w:r>
              <w:rPr>
                <w:rFonts w:cs="宋体" w:asciiTheme="minorEastAsia" w:hAnsiTheme="minorEastAsia" w:eastAsiaTheme="minorEastAsia"/>
                <w:color w:val="auto"/>
                <w:sz w:val="24"/>
              </w:rPr>
              <w:t>规格、功能及容量</w:t>
            </w:r>
          </w:p>
        </w:tc>
        <w:tc>
          <w:tcPr>
            <w:tcW w:w="709" w:type="dxa"/>
            <w:tcBorders>
              <w:top w:val="double" w:color="auto" w:sz="2" w:space="0"/>
              <w:left w:val="single" w:color="auto" w:sz="6" w:space="0"/>
              <w:bottom w:val="single" w:color="auto" w:sz="6" w:space="0"/>
              <w:right w:val="single" w:color="auto" w:sz="6" w:space="0"/>
            </w:tcBorders>
            <w:vAlign w:val="center"/>
          </w:tcPr>
          <w:p>
            <w:pPr>
              <w:snapToGrid w:val="0"/>
              <w:spacing w:line="360" w:lineRule="auto"/>
              <w:rPr>
                <w:rFonts w:cs="宋体" w:asciiTheme="minorEastAsia" w:hAnsiTheme="minorEastAsia" w:eastAsiaTheme="minorEastAsia"/>
                <w:color w:val="auto"/>
                <w:sz w:val="24"/>
              </w:rPr>
            </w:pPr>
            <w:r>
              <w:rPr>
                <w:rFonts w:cs="宋体" w:asciiTheme="minorEastAsia" w:hAnsiTheme="minorEastAsia" w:eastAsiaTheme="minorEastAsia"/>
                <w:color w:val="auto"/>
                <w:sz w:val="24"/>
              </w:rPr>
              <w:t>单位</w:t>
            </w:r>
          </w:p>
        </w:tc>
        <w:tc>
          <w:tcPr>
            <w:tcW w:w="851" w:type="dxa"/>
            <w:tcBorders>
              <w:top w:val="double" w:color="auto" w:sz="2" w:space="0"/>
              <w:left w:val="single" w:color="auto" w:sz="6" w:space="0"/>
              <w:bottom w:val="single" w:color="auto" w:sz="6" w:space="0"/>
              <w:right w:val="single" w:color="auto" w:sz="6" w:space="0"/>
            </w:tcBorders>
            <w:vAlign w:val="center"/>
          </w:tcPr>
          <w:p>
            <w:pPr>
              <w:snapToGrid w:val="0"/>
              <w:spacing w:line="360" w:lineRule="auto"/>
              <w:rPr>
                <w:rFonts w:cs="宋体" w:asciiTheme="minorEastAsia" w:hAnsiTheme="minorEastAsia" w:eastAsiaTheme="minorEastAsia"/>
                <w:color w:val="auto"/>
                <w:sz w:val="24"/>
              </w:rPr>
            </w:pPr>
            <w:r>
              <w:rPr>
                <w:rFonts w:cs="宋体" w:asciiTheme="minorEastAsia" w:hAnsiTheme="minorEastAsia" w:eastAsiaTheme="minorEastAsia"/>
                <w:color w:val="auto"/>
                <w:sz w:val="24"/>
              </w:rPr>
              <w:t>最低数量要求</w:t>
            </w:r>
          </w:p>
        </w:tc>
        <w:tc>
          <w:tcPr>
            <w:tcW w:w="1061" w:type="dxa"/>
            <w:tcBorders>
              <w:top w:val="double" w:color="auto" w:sz="2" w:space="0"/>
              <w:left w:val="single" w:color="auto" w:sz="6" w:space="0"/>
              <w:bottom w:val="single" w:color="auto" w:sz="6" w:space="0"/>
              <w:right w:val="double" w:color="auto" w:sz="2" w:space="0"/>
            </w:tcBorders>
            <w:vAlign w:val="center"/>
          </w:tcPr>
          <w:p>
            <w:pPr>
              <w:snapToGrid w:val="0"/>
              <w:spacing w:line="360" w:lineRule="auto"/>
              <w:rPr>
                <w:rFonts w:cs="宋体" w:asciiTheme="minorEastAsia" w:hAnsiTheme="minorEastAsia" w:eastAsiaTheme="minorEastAsia"/>
                <w:color w:val="auto"/>
                <w:sz w:val="24"/>
              </w:rPr>
            </w:pPr>
            <w:r>
              <w:rPr>
                <w:rFonts w:cs="宋体" w:asciiTheme="minorEastAsia" w:hAnsiTheme="minorEastAsia" w:eastAsiaTheme="minorEastAsia"/>
                <w:color w:val="auto"/>
                <w:sz w:val="24"/>
              </w:rPr>
              <w:t>备 注</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4" w:type="dxa"/>
            <w:tcBorders>
              <w:top w:val="single" w:color="auto" w:sz="6" w:space="0"/>
              <w:left w:val="double" w:color="auto" w:sz="2"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1</w:t>
            </w:r>
          </w:p>
        </w:tc>
        <w:tc>
          <w:tcPr>
            <w:tcW w:w="241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落锤弯沉仪</w:t>
            </w:r>
          </w:p>
        </w:tc>
        <w:tc>
          <w:tcPr>
            <w:tcW w:w="25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满足检测要求</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台</w:t>
            </w:r>
          </w:p>
        </w:tc>
        <w:tc>
          <w:tcPr>
            <w:tcW w:w="8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1</w:t>
            </w:r>
          </w:p>
        </w:tc>
        <w:tc>
          <w:tcPr>
            <w:tcW w:w="1061" w:type="dxa"/>
            <w:vMerge w:val="restart"/>
            <w:tcBorders>
              <w:top w:val="single" w:color="auto" w:sz="6" w:space="0"/>
              <w:left w:val="single" w:color="auto" w:sz="6" w:space="0"/>
              <w:bottom w:val="single" w:color="auto" w:sz="6" w:space="0"/>
              <w:right w:val="double" w:color="auto" w:sz="2" w:space="0"/>
            </w:tcBorders>
            <w:vAlign w:val="center"/>
          </w:tcPr>
          <w:p>
            <w:pPr>
              <w:snapToGrid w:val="0"/>
              <w:spacing w:line="360" w:lineRule="auto"/>
              <w:rPr>
                <w:rFonts w:cs="宋体" w:asciiTheme="minorEastAsia" w:hAnsiTheme="minorEastAsia" w:eastAsiaTheme="minorEastAsia"/>
                <w:color w:val="auto"/>
                <w:sz w:val="24"/>
              </w:rPr>
            </w:pPr>
            <w:r>
              <w:rPr>
                <w:rFonts w:cs="宋体" w:asciiTheme="minorEastAsia" w:hAnsiTheme="minorEastAsia" w:eastAsiaTheme="minorEastAsia"/>
                <w:color w:val="auto"/>
                <w:sz w:val="24"/>
              </w:rPr>
              <w:t>提供承诺书</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4" w:type="dxa"/>
            <w:tcBorders>
              <w:top w:val="single" w:color="auto" w:sz="6" w:space="0"/>
              <w:left w:val="double" w:color="auto" w:sz="2"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2</w:t>
            </w:r>
          </w:p>
        </w:tc>
        <w:tc>
          <w:tcPr>
            <w:tcW w:w="241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激光平整仪</w:t>
            </w:r>
          </w:p>
        </w:tc>
        <w:tc>
          <w:tcPr>
            <w:tcW w:w="25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满足检测要求</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台</w:t>
            </w:r>
          </w:p>
        </w:tc>
        <w:tc>
          <w:tcPr>
            <w:tcW w:w="8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1</w:t>
            </w:r>
          </w:p>
        </w:tc>
        <w:tc>
          <w:tcPr>
            <w:tcW w:w="0" w:type="auto"/>
            <w:vMerge w:val="continue"/>
            <w:tcBorders>
              <w:top w:val="single" w:color="auto" w:sz="6" w:space="0"/>
              <w:left w:val="single" w:color="auto" w:sz="6" w:space="0"/>
              <w:bottom w:val="single" w:color="auto" w:sz="6" w:space="0"/>
              <w:right w:val="double" w:color="auto" w:sz="2"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4" w:type="dxa"/>
            <w:tcBorders>
              <w:top w:val="single" w:color="auto" w:sz="6" w:space="0"/>
              <w:left w:val="double" w:color="auto" w:sz="2"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3</w:t>
            </w:r>
          </w:p>
        </w:tc>
        <w:tc>
          <w:tcPr>
            <w:tcW w:w="241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激光车辙仪</w:t>
            </w:r>
          </w:p>
        </w:tc>
        <w:tc>
          <w:tcPr>
            <w:tcW w:w="25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满足检测要求</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台</w:t>
            </w:r>
          </w:p>
        </w:tc>
        <w:tc>
          <w:tcPr>
            <w:tcW w:w="8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1</w:t>
            </w:r>
          </w:p>
        </w:tc>
        <w:tc>
          <w:tcPr>
            <w:tcW w:w="0" w:type="auto"/>
            <w:vMerge w:val="continue"/>
            <w:tcBorders>
              <w:top w:val="single" w:color="auto" w:sz="6" w:space="0"/>
              <w:left w:val="single" w:color="auto" w:sz="6" w:space="0"/>
              <w:bottom w:val="single" w:color="auto" w:sz="6" w:space="0"/>
              <w:right w:val="double" w:color="auto" w:sz="2"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4" w:type="dxa"/>
            <w:tcBorders>
              <w:top w:val="single" w:color="auto" w:sz="6" w:space="0"/>
              <w:left w:val="double" w:color="auto" w:sz="2"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4</w:t>
            </w:r>
          </w:p>
        </w:tc>
        <w:tc>
          <w:tcPr>
            <w:tcW w:w="241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横向力系数测试仪</w:t>
            </w:r>
          </w:p>
        </w:tc>
        <w:tc>
          <w:tcPr>
            <w:tcW w:w="25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满足检测要求</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台</w:t>
            </w:r>
          </w:p>
        </w:tc>
        <w:tc>
          <w:tcPr>
            <w:tcW w:w="8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1</w:t>
            </w:r>
          </w:p>
        </w:tc>
        <w:tc>
          <w:tcPr>
            <w:tcW w:w="0" w:type="auto"/>
            <w:vMerge w:val="continue"/>
            <w:tcBorders>
              <w:top w:val="single" w:color="auto" w:sz="6" w:space="0"/>
              <w:left w:val="single" w:color="auto" w:sz="6" w:space="0"/>
              <w:bottom w:val="single" w:color="auto" w:sz="6" w:space="0"/>
              <w:right w:val="double" w:color="auto" w:sz="2"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4" w:type="dxa"/>
            <w:tcBorders>
              <w:top w:val="single" w:color="auto" w:sz="6" w:space="0"/>
              <w:left w:val="double" w:color="auto" w:sz="2"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5</w:t>
            </w:r>
          </w:p>
        </w:tc>
        <w:tc>
          <w:tcPr>
            <w:tcW w:w="241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非金属超声波检测仪</w:t>
            </w:r>
          </w:p>
        </w:tc>
        <w:tc>
          <w:tcPr>
            <w:tcW w:w="25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满足检测要求</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台</w:t>
            </w:r>
          </w:p>
        </w:tc>
        <w:tc>
          <w:tcPr>
            <w:tcW w:w="8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1</w:t>
            </w:r>
          </w:p>
        </w:tc>
        <w:tc>
          <w:tcPr>
            <w:tcW w:w="0" w:type="auto"/>
            <w:vMerge w:val="continue"/>
            <w:tcBorders>
              <w:top w:val="single" w:color="auto" w:sz="6" w:space="0"/>
              <w:left w:val="single" w:color="auto" w:sz="6" w:space="0"/>
              <w:bottom w:val="single" w:color="auto" w:sz="6" w:space="0"/>
              <w:right w:val="double" w:color="auto" w:sz="2"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4" w:type="dxa"/>
            <w:tcBorders>
              <w:top w:val="single" w:color="auto" w:sz="6" w:space="0"/>
              <w:left w:val="double" w:color="auto" w:sz="2"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6</w:t>
            </w:r>
          </w:p>
        </w:tc>
        <w:tc>
          <w:tcPr>
            <w:tcW w:w="241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超声波测厚仪</w:t>
            </w:r>
          </w:p>
        </w:tc>
        <w:tc>
          <w:tcPr>
            <w:tcW w:w="25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满足检测要求</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台</w:t>
            </w:r>
          </w:p>
        </w:tc>
        <w:tc>
          <w:tcPr>
            <w:tcW w:w="8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0" w:type="auto"/>
            <w:vMerge w:val="continue"/>
            <w:tcBorders>
              <w:top w:val="single" w:color="auto" w:sz="6" w:space="0"/>
              <w:left w:val="single" w:color="auto" w:sz="6" w:space="0"/>
              <w:bottom w:val="single" w:color="auto" w:sz="6" w:space="0"/>
              <w:right w:val="double" w:color="auto" w:sz="2"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4" w:type="dxa"/>
            <w:tcBorders>
              <w:top w:val="single" w:color="auto" w:sz="6" w:space="0"/>
              <w:left w:val="double" w:color="auto" w:sz="2"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7</w:t>
            </w:r>
          </w:p>
        </w:tc>
        <w:tc>
          <w:tcPr>
            <w:tcW w:w="241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混凝土回弹仪</w:t>
            </w:r>
          </w:p>
        </w:tc>
        <w:tc>
          <w:tcPr>
            <w:tcW w:w="25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满足检测要求</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台</w:t>
            </w:r>
          </w:p>
        </w:tc>
        <w:tc>
          <w:tcPr>
            <w:tcW w:w="8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0" w:type="auto"/>
            <w:vMerge w:val="continue"/>
            <w:tcBorders>
              <w:top w:val="single" w:color="auto" w:sz="6" w:space="0"/>
              <w:left w:val="single" w:color="auto" w:sz="6" w:space="0"/>
              <w:bottom w:val="single" w:color="auto" w:sz="6" w:space="0"/>
              <w:right w:val="double" w:color="auto" w:sz="2"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4" w:type="dxa"/>
            <w:tcBorders>
              <w:top w:val="single" w:color="auto" w:sz="6" w:space="0"/>
              <w:left w:val="double" w:color="auto" w:sz="2"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8</w:t>
            </w:r>
          </w:p>
        </w:tc>
        <w:tc>
          <w:tcPr>
            <w:tcW w:w="241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逆反射标志测量仪（多角度）</w:t>
            </w:r>
          </w:p>
        </w:tc>
        <w:tc>
          <w:tcPr>
            <w:tcW w:w="25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满足检测要求</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台</w:t>
            </w:r>
          </w:p>
        </w:tc>
        <w:tc>
          <w:tcPr>
            <w:tcW w:w="8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1</w:t>
            </w:r>
          </w:p>
        </w:tc>
        <w:tc>
          <w:tcPr>
            <w:tcW w:w="0" w:type="auto"/>
            <w:vMerge w:val="continue"/>
            <w:tcBorders>
              <w:top w:val="single" w:color="auto" w:sz="6" w:space="0"/>
              <w:left w:val="single" w:color="auto" w:sz="6" w:space="0"/>
              <w:bottom w:val="single" w:color="auto" w:sz="6" w:space="0"/>
              <w:right w:val="double" w:color="auto" w:sz="2"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4" w:type="dxa"/>
            <w:tcBorders>
              <w:top w:val="single" w:color="auto" w:sz="6" w:space="0"/>
              <w:left w:val="double" w:color="auto" w:sz="2"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9</w:t>
            </w:r>
          </w:p>
        </w:tc>
        <w:tc>
          <w:tcPr>
            <w:tcW w:w="241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绝缘电阻测试仪</w:t>
            </w:r>
          </w:p>
        </w:tc>
        <w:tc>
          <w:tcPr>
            <w:tcW w:w="25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满足检测要求</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台</w:t>
            </w:r>
          </w:p>
        </w:tc>
        <w:tc>
          <w:tcPr>
            <w:tcW w:w="8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1</w:t>
            </w:r>
          </w:p>
        </w:tc>
        <w:tc>
          <w:tcPr>
            <w:tcW w:w="0" w:type="auto"/>
            <w:vMerge w:val="continue"/>
            <w:tcBorders>
              <w:top w:val="single" w:color="auto" w:sz="6" w:space="0"/>
              <w:left w:val="single" w:color="auto" w:sz="6" w:space="0"/>
              <w:bottom w:val="single" w:color="auto" w:sz="6" w:space="0"/>
              <w:right w:val="double" w:color="auto" w:sz="2"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4" w:type="dxa"/>
            <w:tcBorders>
              <w:top w:val="single" w:color="auto" w:sz="6" w:space="0"/>
              <w:left w:val="double" w:color="auto" w:sz="2"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10</w:t>
            </w:r>
          </w:p>
        </w:tc>
        <w:tc>
          <w:tcPr>
            <w:tcW w:w="241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荷载试验仪器设备</w:t>
            </w:r>
          </w:p>
        </w:tc>
        <w:tc>
          <w:tcPr>
            <w:tcW w:w="25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满足检测要求</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套</w:t>
            </w:r>
          </w:p>
        </w:tc>
        <w:tc>
          <w:tcPr>
            <w:tcW w:w="8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1</w:t>
            </w:r>
          </w:p>
        </w:tc>
        <w:tc>
          <w:tcPr>
            <w:tcW w:w="0" w:type="auto"/>
            <w:vMerge w:val="continue"/>
            <w:tcBorders>
              <w:top w:val="single" w:color="auto" w:sz="6" w:space="0"/>
              <w:left w:val="single" w:color="auto" w:sz="6" w:space="0"/>
              <w:bottom w:val="single" w:color="auto" w:sz="6" w:space="0"/>
              <w:right w:val="double" w:color="auto" w:sz="2"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4" w:type="dxa"/>
            <w:tcBorders>
              <w:top w:val="single" w:color="auto" w:sz="6" w:space="0"/>
              <w:left w:val="double" w:color="auto" w:sz="2"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11</w:t>
            </w:r>
          </w:p>
        </w:tc>
        <w:tc>
          <w:tcPr>
            <w:tcW w:w="241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桥梁检测车</w:t>
            </w:r>
          </w:p>
        </w:tc>
        <w:tc>
          <w:tcPr>
            <w:tcW w:w="25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满足检测要求</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台</w:t>
            </w:r>
          </w:p>
        </w:tc>
        <w:tc>
          <w:tcPr>
            <w:tcW w:w="8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1</w:t>
            </w:r>
          </w:p>
        </w:tc>
        <w:tc>
          <w:tcPr>
            <w:tcW w:w="0" w:type="auto"/>
            <w:vMerge w:val="continue"/>
            <w:tcBorders>
              <w:top w:val="single" w:color="auto" w:sz="6" w:space="0"/>
              <w:left w:val="single" w:color="auto" w:sz="6" w:space="0"/>
              <w:bottom w:val="single" w:color="auto" w:sz="6" w:space="0"/>
              <w:right w:val="double" w:color="auto" w:sz="2"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4" w:type="dxa"/>
            <w:tcBorders>
              <w:top w:val="single" w:color="auto" w:sz="6" w:space="0"/>
              <w:left w:val="double" w:color="auto" w:sz="2"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12</w:t>
            </w:r>
          </w:p>
        </w:tc>
        <w:tc>
          <w:tcPr>
            <w:tcW w:w="241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全站仪</w:t>
            </w:r>
          </w:p>
        </w:tc>
        <w:tc>
          <w:tcPr>
            <w:tcW w:w="25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满足检测要求</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台</w:t>
            </w:r>
          </w:p>
        </w:tc>
        <w:tc>
          <w:tcPr>
            <w:tcW w:w="8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1</w:t>
            </w:r>
          </w:p>
        </w:tc>
        <w:tc>
          <w:tcPr>
            <w:tcW w:w="0" w:type="auto"/>
            <w:vMerge w:val="continue"/>
            <w:tcBorders>
              <w:top w:val="single" w:color="auto" w:sz="6" w:space="0"/>
              <w:left w:val="single" w:color="auto" w:sz="6" w:space="0"/>
              <w:bottom w:val="single" w:color="auto" w:sz="6" w:space="0"/>
              <w:right w:val="double" w:color="auto" w:sz="2"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4" w:type="dxa"/>
            <w:tcBorders>
              <w:top w:val="single" w:color="auto" w:sz="6" w:space="0"/>
              <w:left w:val="double" w:color="auto" w:sz="2" w:space="0"/>
              <w:bottom w:val="double" w:color="auto" w:sz="2"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13</w:t>
            </w:r>
          </w:p>
        </w:tc>
        <w:tc>
          <w:tcPr>
            <w:tcW w:w="2410" w:type="dxa"/>
            <w:tcBorders>
              <w:top w:val="single" w:color="auto" w:sz="6" w:space="0"/>
              <w:left w:val="single" w:color="auto" w:sz="6" w:space="0"/>
              <w:bottom w:val="double" w:color="auto" w:sz="2"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雷达测厚仪</w:t>
            </w:r>
          </w:p>
        </w:tc>
        <w:tc>
          <w:tcPr>
            <w:tcW w:w="2551" w:type="dxa"/>
            <w:tcBorders>
              <w:top w:val="single" w:color="auto" w:sz="6" w:space="0"/>
              <w:left w:val="single" w:color="auto" w:sz="6" w:space="0"/>
              <w:bottom w:val="double" w:color="auto" w:sz="2" w:space="0"/>
              <w:right w:val="single" w:color="auto" w:sz="6"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满足检测要求</w:t>
            </w:r>
          </w:p>
        </w:tc>
        <w:tc>
          <w:tcPr>
            <w:tcW w:w="709" w:type="dxa"/>
            <w:tcBorders>
              <w:top w:val="single" w:color="auto" w:sz="6" w:space="0"/>
              <w:left w:val="single" w:color="auto" w:sz="6" w:space="0"/>
              <w:bottom w:val="double" w:color="auto" w:sz="2"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台</w:t>
            </w:r>
          </w:p>
        </w:tc>
        <w:tc>
          <w:tcPr>
            <w:tcW w:w="851" w:type="dxa"/>
            <w:tcBorders>
              <w:top w:val="single" w:color="auto" w:sz="6" w:space="0"/>
              <w:left w:val="single" w:color="auto" w:sz="6" w:space="0"/>
              <w:bottom w:val="double" w:color="auto" w:sz="2"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1</w:t>
            </w:r>
          </w:p>
        </w:tc>
        <w:tc>
          <w:tcPr>
            <w:tcW w:w="0" w:type="auto"/>
            <w:vMerge w:val="continue"/>
            <w:tcBorders>
              <w:top w:val="single" w:color="auto" w:sz="6" w:space="0"/>
              <w:left w:val="single" w:color="auto" w:sz="6" w:space="0"/>
              <w:bottom w:val="single" w:color="auto" w:sz="6" w:space="0"/>
              <w:right w:val="double" w:color="auto" w:sz="2"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p>
        </w:tc>
      </w:tr>
    </w:tbl>
    <w:p>
      <w:pPr>
        <w:snapToGrid w:val="0"/>
        <w:spacing w:line="360" w:lineRule="auto"/>
        <w:ind w:firstLine="480" w:firstLineChars="200"/>
        <w:rPr>
          <w:rFonts w:hint="eastAsia" w:cs="宋体" w:asciiTheme="minorEastAsia" w:hAnsiTheme="minorEastAsia" w:eastAsiaTheme="minorEastAsia"/>
          <w:color w:val="auto"/>
          <w:sz w:val="24"/>
        </w:rPr>
      </w:pPr>
    </w:p>
    <w:p>
      <w:pPr>
        <w:snapToGrid w:val="0"/>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r>
        <w:rPr>
          <w:rFonts w:hint="eastAsia"/>
          <w:b/>
          <w:bCs/>
          <w:color w:val="auto"/>
        </w:rPr>
        <w:t xml:space="preserve"> </w:t>
      </w:r>
      <w:r>
        <w:rPr>
          <w:rFonts w:hint="eastAsia" w:cs="宋体" w:asciiTheme="minorEastAsia" w:hAnsiTheme="minorEastAsia" w:eastAsiaTheme="minorEastAsia"/>
          <w:b/>
          <w:bCs/>
          <w:color w:val="auto"/>
          <w:sz w:val="24"/>
        </w:rPr>
        <w:t>受本项目承包人或监理人委托已服务于本项目的第三方试验检测单位或其所属试验检测机构、</w:t>
      </w:r>
      <w:r>
        <w:rPr>
          <w:rFonts w:hint="eastAsia" w:cs="宋体" w:asciiTheme="minorEastAsia" w:hAnsiTheme="minorEastAsia" w:eastAsiaTheme="min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3"/>
        <w:numPr>
          <w:ilvl w:val="0"/>
          <w:numId w:val="0"/>
        </w:numPr>
        <w:ind w:left="432" w:hanging="432"/>
        <w:rPr>
          <w:rFonts w:hint="eastAsia" w:cs="宋体" w:asciiTheme="minorEastAsia" w:hAnsiTheme="minorEastAsia" w:eastAsiaTheme="minorEastAsia"/>
          <w:color w:val="auto"/>
          <w:sz w:val="24"/>
          <w:szCs w:val="24"/>
        </w:rPr>
      </w:pPr>
      <w:bookmarkStart w:id="19" w:name="_Toc35393800"/>
      <w:bookmarkStart w:id="20" w:name="_Toc35393631"/>
      <w:bookmarkStart w:id="21" w:name="_Toc28359091"/>
      <w:bookmarkStart w:id="22" w:name="_Toc28359014"/>
      <w:r>
        <w:rPr>
          <w:rFonts w:hint="eastAsia" w:cs="宋体" w:asciiTheme="minorEastAsia" w:hAnsiTheme="minorEastAsia" w:eastAsiaTheme="minorEastAsia"/>
          <w:color w:val="auto"/>
          <w:sz w:val="24"/>
          <w:szCs w:val="24"/>
        </w:rPr>
        <w:t>三、获取（下载）采购文件</w:t>
      </w:r>
      <w:bookmarkEnd w:id="19"/>
      <w:bookmarkEnd w:id="20"/>
      <w:bookmarkEnd w:id="21"/>
      <w:bookmarkEnd w:id="22"/>
    </w:p>
    <w:p>
      <w:pPr>
        <w:spacing w:line="360" w:lineRule="auto"/>
        <w:ind w:firstLine="540"/>
        <w:rPr>
          <w:rFonts w:hint="eastAsia"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时间：</w:t>
      </w:r>
      <w:r>
        <w:rPr>
          <w:rFonts w:hint="eastAsia" w:cs="宋体" w:asciiTheme="minorEastAsia" w:hAnsiTheme="minorEastAsia" w:eastAsiaTheme="minorEastAsia"/>
          <w:color w:val="auto"/>
          <w:sz w:val="24"/>
          <w:lang w:val="en-US" w:eastAsia="zh-CN"/>
        </w:rPr>
        <w:t>2024年9月27日</w:t>
      </w:r>
      <w:r>
        <w:rPr>
          <w:rFonts w:hint="eastAsia" w:cs="宋体" w:asciiTheme="minorEastAsia" w:hAnsiTheme="minorEastAsia" w:eastAsiaTheme="minorEastAsia"/>
          <w:color w:val="auto"/>
          <w:sz w:val="24"/>
        </w:rPr>
        <w:t>至</w:t>
      </w:r>
      <w:r>
        <w:rPr>
          <w:rFonts w:hint="eastAsia" w:cs="宋体" w:asciiTheme="minorEastAsia" w:hAnsiTheme="minorEastAsia" w:eastAsiaTheme="minorEastAsia"/>
          <w:color w:val="auto"/>
          <w:sz w:val="24"/>
          <w:lang w:val="en-US" w:eastAsia="zh-CN"/>
        </w:rPr>
        <w:t>响应截止时间</w:t>
      </w:r>
      <w:r>
        <w:rPr>
          <w:rFonts w:hint="eastAsia" w:cs="宋体" w:asciiTheme="minorEastAsia" w:hAnsiTheme="minorEastAsia" w:eastAsiaTheme="minorEastAsia"/>
          <w:color w:val="auto"/>
          <w:sz w:val="24"/>
        </w:rPr>
        <w:t>，每天上午</w:t>
      </w:r>
      <w:r>
        <w:rPr>
          <w:rFonts w:hint="eastAsia" w:asciiTheme="minorEastAsia" w:hAnsiTheme="minorEastAsia" w:eastAsiaTheme="minorEastAsia"/>
          <w:color w:val="auto"/>
          <w:sz w:val="24"/>
        </w:rPr>
        <w:t>00:00至12:00 ，下午12:00至23:59</w:t>
      </w:r>
      <w:r>
        <w:rPr>
          <w:rFonts w:hint="eastAsia" w:cs="宋体" w:asciiTheme="minorEastAsia" w:hAnsiTheme="minorEastAsia" w:eastAsiaTheme="minorEastAsia"/>
          <w:color w:val="auto"/>
          <w:sz w:val="24"/>
        </w:rPr>
        <w:t>（北京时间</w:t>
      </w:r>
      <w:r>
        <w:rPr>
          <w:rFonts w:hint="eastAsia" w:asciiTheme="minorEastAsia" w:hAnsiTheme="minorEastAsia" w:eastAsiaTheme="minorEastAsia"/>
          <w:color w:val="auto"/>
          <w:sz w:val="24"/>
        </w:rPr>
        <w:t>，线上获取法定节假日均可，线下获取文件法定节假日除外</w:t>
      </w:r>
      <w:r>
        <w:rPr>
          <w:rFonts w:hint="eastAsia" w:cs="宋体" w:asciiTheme="minorEastAsia" w:hAnsiTheme="minorEastAsia" w:eastAsiaTheme="minorEastAsia"/>
          <w:color w:val="auto"/>
          <w:sz w:val="24"/>
        </w:rPr>
        <w:t>）；</w:t>
      </w:r>
    </w:p>
    <w:p>
      <w:pPr>
        <w:spacing w:line="360" w:lineRule="auto"/>
        <w:ind w:firstLine="540"/>
        <w:rPr>
          <w:rFonts w:hint="eastAsia" w:cs="宋体" w:asciiTheme="minorEastAsia" w:hAnsiTheme="minorEastAsia" w:eastAsiaTheme="minorEastAsia"/>
          <w:color w:val="auto"/>
          <w:sz w:val="28"/>
          <w:szCs w:val="28"/>
          <w:u w:val="single"/>
        </w:rPr>
      </w:pPr>
      <w:r>
        <w:rPr>
          <w:rFonts w:hint="eastAsia" w:cs="宋体" w:asciiTheme="minorEastAsia" w:hAnsiTheme="minorEastAsia" w:eastAsiaTheme="minorEastAsia"/>
          <w:b/>
          <w:color w:val="auto"/>
          <w:sz w:val="24"/>
        </w:rPr>
        <w:t>地点（网址）：</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p>
    <w:p>
      <w:pPr>
        <w:spacing w:line="360" w:lineRule="auto"/>
        <w:ind w:firstLine="540"/>
        <w:rPr>
          <w:rFonts w:hint="eastAsia" w:cs="宋体" w:asciiTheme="minorEastAsia" w:hAnsiTheme="minorEastAsia" w:eastAsiaTheme="minorEastAsia"/>
          <w:color w:val="auto"/>
          <w:sz w:val="24"/>
          <w:u w:val="single"/>
        </w:rPr>
      </w:pPr>
      <w:r>
        <w:rPr>
          <w:rFonts w:hint="eastAsia" w:cs="宋体" w:asciiTheme="minorEastAsia" w:hAnsiTheme="minorEastAsia" w:eastAsiaTheme="minorEastAsia"/>
          <w:b/>
          <w:color w:val="auto"/>
          <w:sz w:val="24"/>
        </w:rPr>
        <w:t>方式：</w:t>
      </w:r>
      <w:r>
        <w:rPr>
          <w:rFonts w:hint="eastAsia" w:cs="宋体" w:asciiTheme="minorEastAsia" w:hAnsiTheme="minorEastAsia" w:eastAsiaTheme="minorEastAsia"/>
          <w:color w:val="auto"/>
          <w:sz w:val="24"/>
        </w:rPr>
        <w:t>供应商登录政采云平台https://www.zcygov.cn/在线申请获取采购文件（进入“项目采购”应用，在获取采购文件菜单中选择项目，申请获取采购文件）。</w:t>
      </w:r>
    </w:p>
    <w:p>
      <w:pPr>
        <w:spacing w:line="360" w:lineRule="auto"/>
        <w:ind w:firstLine="540"/>
        <w:rPr>
          <w:rFonts w:hint="eastAsia"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4"/>
        </w:rPr>
        <w:t>售价：</w:t>
      </w:r>
      <w:r>
        <w:rPr>
          <w:rFonts w:hint="eastAsia" w:cs="仿宋_GB2312" w:asciiTheme="minorEastAsia" w:hAnsiTheme="minorEastAsia" w:eastAsiaTheme="minorEastAsia"/>
          <w:color w:val="auto"/>
          <w:sz w:val="24"/>
        </w:rPr>
        <w:t>免费。</w:t>
      </w:r>
    </w:p>
    <w:p>
      <w:pPr>
        <w:pStyle w:val="3"/>
        <w:numPr>
          <w:ilvl w:val="0"/>
          <w:numId w:val="0"/>
        </w:numPr>
        <w:ind w:left="432" w:hanging="432"/>
        <w:rPr>
          <w:rFonts w:hint="eastAsia" w:cs="宋体" w:asciiTheme="minorEastAsia" w:hAnsiTheme="minorEastAsia" w:eastAsiaTheme="minorEastAsia"/>
          <w:color w:val="auto"/>
          <w:sz w:val="24"/>
          <w:szCs w:val="24"/>
        </w:rPr>
      </w:pPr>
      <w:bookmarkStart w:id="23" w:name="_Toc35393632"/>
      <w:bookmarkStart w:id="24" w:name="_Toc35393801"/>
      <w:bookmarkStart w:id="25" w:name="_Toc28359015"/>
      <w:bookmarkStart w:id="26" w:name="_Toc28359092"/>
      <w:r>
        <w:rPr>
          <w:rFonts w:hint="eastAsia" w:cs="宋体" w:asciiTheme="minorEastAsia" w:hAnsiTheme="minorEastAsia" w:eastAsiaTheme="minorEastAsia"/>
          <w:color w:val="auto"/>
          <w:sz w:val="24"/>
          <w:szCs w:val="24"/>
        </w:rPr>
        <w:t>四、响应文件提交</w:t>
      </w:r>
      <w:bookmarkEnd w:id="23"/>
      <w:bookmarkEnd w:id="24"/>
      <w:bookmarkEnd w:id="25"/>
      <w:bookmarkEnd w:id="26"/>
      <w:r>
        <w:rPr>
          <w:rFonts w:hint="eastAsia" w:cs="宋体" w:asciiTheme="minorEastAsia" w:hAnsiTheme="minorEastAsia" w:eastAsiaTheme="minorEastAsia"/>
          <w:color w:val="auto"/>
          <w:sz w:val="24"/>
          <w:szCs w:val="24"/>
        </w:rPr>
        <w:t>（上传）</w:t>
      </w:r>
    </w:p>
    <w:p>
      <w:pPr>
        <w:spacing w:line="360" w:lineRule="auto"/>
        <w:ind w:firstLine="480" w:firstLineChars="200"/>
        <w:rPr>
          <w:rFonts w:hint="eastAsia" w:asciiTheme="minorEastAsia" w:hAnsiTheme="minorEastAsia" w:eastAsiaTheme="minorEastAsia"/>
          <w:bCs/>
          <w:color w:val="auto"/>
          <w:sz w:val="24"/>
          <w:u w:val="single"/>
        </w:rPr>
      </w:pPr>
      <w:r>
        <w:rPr>
          <w:rFonts w:hint="eastAsia" w:asciiTheme="minorEastAsia" w:hAnsiTheme="minorEastAsia" w:eastAsiaTheme="minorEastAsia"/>
          <w:color w:val="auto"/>
          <w:sz w:val="24"/>
        </w:rPr>
        <w:t>截止时间：</w:t>
      </w:r>
      <w:r>
        <w:rPr>
          <w:rFonts w:hint="eastAsia" w:asciiTheme="minorEastAsia" w:hAnsiTheme="minorEastAsia" w:eastAsiaTheme="minorEastAsia"/>
          <w:color w:val="auto"/>
          <w:sz w:val="24"/>
          <w:u w:val="single"/>
        </w:rPr>
        <w:t>2024</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10</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15</w:t>
      </w:r>
      <w:r>
        <w:rPr>
          <w:rFonts w:hint="eastAsia" w:asciiTheme="minorEastAsia" w:hAnsiTheme="minorEastAsia" w:eastAsiaTheme="minorEastAsia"/>
          <w:bCs/>
          <w:color w:val="auto"/>
          <w:sz w:val="24"/>
          <w:u w:val="single"/>
        </w:rPr>
        <w:t xml:space="preserve">日 </w:t>
      </w:r>
      <w:r>
        <w:rPr>
          <w:rFonts w:hint="eastAsia" w:asciiTheme="minorEastAsia" w:hAnsiTheme="minorEastAsia" w:eastAsiaTheme="minorEastAsia"/>
          <w:bCs/>
          <w:color w:val="auto"/>
          <w:sz w:val="24"/>
          <w:u w:val="single"/>
          <w:lang w:val="en-US" w:eastAsia="zh-CN"/>
        </w:rPr>
        <w:t>9</w:t>
      </w:r>
      <w:r>
        <w:rPr>
          <w:rFonts w:hint="eastAsia" w:asciiTheme="minorEastAsia" w:hAnsiTheme="minorEastAsia" w:eastAsiaTheme="minorEastAsia"/>
          <w:bCs/>
          <w:color w:val="auto"/>
          <w:sz w:val="24"/>
          <w:u w:val="single"/>
        </w:rPr>
        <w:t xml:space="preserve"> 点</w:t>
      </w:r>
      <w:r>
        <w:rPr>
          <w:rFonts w:hint="eastAsia" w:asciiTheme="minorEastAsia" w:hAnsiTheme="minorEastAsia" w:eastAsiaTheme="minorEastAsia"/>
          <w:bCs/>
          <w:color w:val="auto"/>
          <w:sz w:val="24"/>
          <w:u w:val="single"/>
          <w:lang w:val="en-US" w:eastAsia="zh-CN"/>
        </w:rPr>
        <w:t>30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pPr>
        <w:spacing w:line="360" w:lineRule="auto"/>
        <w:ind w:firstLine="480" w:firstLineChars="200"/>
        <w:rPr>
          <w:rFonts w:hint="eastAsia"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kern w:val="2"/>
          <w:sz w:val="24"/>
          <w:szCs w:val="24"/>
        </w:rPr>
        <w:t>https://www.zcygov.cn/</w:t>
      </w:r>
      <w:r>
        <w:rPr>
          <w:rStyle w:val="68"/>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color w:val="auto"/>
          <w:sz w:val="24"/>
        </w:rPr>
        <w:t>）。</w:t>
      </w:r>
    </w:p>
    <w:p>
      <w:pPr>
        <w:pStyle w:val="3"/>
        <w:numPr>
          <w:ilvl w:val="0"/>
          <w:numId w:val="0"/>
        </w:numPr>
        <w:ind w:left="432" w:hanging="432"/>
        <w:rPr>
          <w:rFonts w:hint="eastAsia" w:cs="宋体" w:asciiTheme="minorEastAsia" w:hAnsiTheme="minorEastAsia" w:eastAsiaTheme="minorEastAsia"/>
          <w:color w:val="auto"/>
          <w:sz w:val="24"/>
          <w:szCs w:val="24"/>
        </w:rPr>
      </w:pPr>
      <w:bookmarkStart w:id="27" w:name="_Toc28359016"/>
      <w:bookmarkStart w:id="28" w:name="_Toc35393802"/>
      <w:bookmarkStart w:id="29" w:name="_Toc35393633"/>
      <w:bookmarkStart w:id="30" w:name="_Toc28359093"/>
      <w:r>
        <w:rPr>
          <w:rFonts w:hint="eastAsia" w:cs="宋体" w:asciiTheme="minorEastAsia" w:hAnsiTheme="minorEastAsia" w:eastAsiaTheme="minorEastAsia"/>
          <w:color w:val="auto"/>
          <w:sz w:val="24"/>
          <w:szCs w:val="24"/>
        </w:rPr>
        <w:t>五、响应文件开启</w:t>
      </w:r>
      <w:bookmarkEnd w:id="27"/>
      <w:bookmarkEnd w:id="28"/>
      <w:bookmarkEnd w:id="29"/>
      <w:bookmarkEnd w:id="30"/>
    </w:p>
    <w:p>
      <w:pPr>
        <w:spacing w:line="360" w:lineRule="auto"/>
        <w:ind w:firstLine="480" w:firstLineChars="200"/>
        <w:rPr>
          <w:rFonts w:hint="eastAsia" w:asciiTheme="minorEastAsia" w:hAnsiTheme="minorEastAsia" w:eastAsiaTheme="minorEastAsia"/>
          <w:bCs/>
          <w:color w:val="auto"/>
          <w:sz w:val="24"/>
          <w:u w:val="single"/>
        </w:rPr>
      </w:pPr>
      <w:r>
        <w:rPr>
          <w:rFonts w:hint="eastAsia" w:asciiTheme="minorEastAsia" w:hAnsiTheme="minorEastAsia" w:eastAsiaTheme="minorEastAsia"/>
          <w:color w:val="auto"/>
          <w:sz w:val="24"/>
        </w:rPr>
        <w:t>时间</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u w:val="single"/>
        </w:rPr>
        <w:t>2024</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10</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15</w:t>
      </w:r>
      <w:r>
        <w:rPr>
          <w:rFonts w:hint="eastAsia" w:asciiTheme="minorEastAsia" w:hAnsiTheme="minorEastAsia" w:eastAsiaTheme="minorEastAsia"/>
          <w:bCs/>
          <w:color w:val="auto"/>
          <w:sz w:val="24"/>
          <w:u w:val="single"/>
        </w:rPr>
        <w:t xml:space="preserve">日 </w:t>
      </w:r>
      <w:r>
        <w:rPr>
          <w:rFonts w:hint="eastAsia" w:asciiTheme="minorEastAsia" w:hAnsiTheme="minorEastAsia" w:eastAsiaTheme="minorEastAsia"/>
          <w:bCs/>
          <w:color w:val="auto"/>
          <w:sz w:val="24"/>
          <w:u w:val="single"/>
          <w:lang w:val="en-US" w:eastAsia="zh-CN"/>
        </w:rPr>
        <w:t>9</w:t>
      </w:r>
      <w:r>
        <w:rPr>
          <w:rFonts w:hint="eastAsia" w:asciiTheme="minorEastAsia" w:hAnsiTheme="minorEastAsia" w:eastAsiaTheme="minorEastAsia"/>
          <w:bCs/>
          <w:color w:val="auto"/>
          <w:sz w:val="24"/>
          <w:u w:val="single"/>
        </w:rPr>
        <w:t xml:space="preserve"> 点</w:t>
      </w:r>
      <w:r>
        <w:rPr>
          <w:rFonts w:hint="eastAsia" w:asciiTheme="minorEastAsia" w:hAnsiTheme="minorEastAsia" w:eastAsiaTheme="minorEastAsia"/>
          <w:bCs/>
          <w:color w:val="auto"/>
          <w:sz w:val="24"/>
          <w:u w:val="single"/>
          <w:lang w:val="en-US" w:eastAsia="zh-CN"/>
        </w:rPr>
        <w:t>30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pPr>
        <w:spacing w:line="360" w:lineRule="auto"/>
        <w:ind w:firstLine="480" w:firstLineChars="200"/>
        <w:rPr>
          <w:rFonts w:hint="eastAsia"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地点：长兴县公共资源交易中心开标室（龙山街道锦绣路8号市民服务中心4楼），</w:t>
      </w:r>
      <w:r>
        <w:rPr>
          <w:rFonts w:hint="eastAsia" w:cs="宋体" w:asciiTheme="minorEastAsia" w:hAnsiTheme="minorEastAsia" w:eastAsiaTheme="minorEastAsia"/>
          <w:color w:val="auto"/>
          <w:sz w:val="24"/>
        </w:rPr>
        <w:t>政采云平台（https://www.zcygov.cn/）。</w:t>
      </w:r>
    </w:p>
    <w:p>
      <w:pPr>
        <w:pStyle w:val="3"/>
        <w:numPr>
          <w:ilvl w:val="0"/>
          <w:numId w:val="0"/>
        </w:numPr>
        <w:ind w:left="432" w:hanging="432"/>
        <w:rPr>
          <w:rFonts w:hint="eastAsia" w:cs="宋体" w:asciiTheme="minorEastAsia" w:hAnsiTheme="minorEastAsia" w:eastAsiaTheme="minorEastAsia"/>
          <w:color w:val="auto"/>
          <w:sz w:val="24"/>
          <w:szCs w:val="24"/>
        </w:rPr>
      </w:pPr>
      <w:bookmarkStart w:id="31" w:name="_Toc35393634"/>
      <w:bookmarkStart w:id="32" w:name="_Toc35393803"/>
      <w:bookmarkStart w:id="33" w:name="_Toc28359017"/>
      <w:bookmarkStart w:id="34" w:name="_Toc28359094"/>
      <w:r>
        <w:rPr>
          <w:rFonts w:hint="eastAsia" w:cs="宋体" w:asciiTheme="minorEastAsia" w:hAnsiTheme="minorEastAsia" w:eastAsiaTheme="minorEastAsia"/>
          <w:color w:val="auto"/>
          <w:sz w:val="24"/>
          <w:szCs w:val="24"/>
        </w:rPr>
        <w:t>六、公告期限</w:t>
      </w:r>
      <w:bookmarkEnd w:id="31"/>
      <w:bookmarkEnd w:id="32"/>
      <w:bookmarkEnd w:id="33"/>
      <w:bookmarkEnd w:id="34"/>
    </w:p>
    <w:p>
      <w:pPr>
        <w:spacing w:line="360" w:lineRule="auto"/>
        <w:ind w:firstLine="480" w:firstLineChars="200"/>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自本公告发布之日起至响应截止之日。</w:t>
      </w:r>
    </w:p>
    <w:p>
      <w:pPr>
        <w:pStyle w:val="3"/>
        <w:numPr>
          <w:ilvl w:val="0"/>
          <w:numId w:val="0"/>
        </w:numPr>
        <w:ind w:left="432" w:hanging="432"/>
        <w:rPr>
          <w:rFonts w:hint="eastAsia" w:cs="宋体" w:asciiTheme="minorEastAsia" w:hAnsiTheme="minorEastAsia" w:eastAsiaTheme="minorEastAsia"/>
          <w:color w:val="auto"/>
          <w:sz w:val="24"/>
          <w:szCs w:val="24"/>
        </w:rPr>
      </w:pPr>
      <w:bookmarkStart w:id="35" w:name="_Toc35393804"/>
      <w:bookmarkStart w:id="36" w:name="_Toc35393635"/>
      <w:r>
        <w:rPr>
          <w:rFonts w:hint="eastAsia" w:cs="宋体" w:asciiTheme="minorEastAsia" w:hAnsiTheme="minorEastAsia" w:eastAsiaTheme="minorEastAsia"/>
          <w:color w:val="auto"/>
          <w:sz w:val="24"/>
          <w:szCs w:val="24"/>
        </w:rPr>
        <w:t>七、其他补充事宜</w:t>
      </w:r>
      <w:bookmarkEnd w:id="35"/>
      <w:bookmarkEnd w:id="36"/>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ascii="宋体" w:hAnsi="宋体" w:cs="宋体"/>
          <w:color w:val="auto"/>
          <w:sz w:val="24"/>
        </w:rPr>
        <w:t>.</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rPr>
        <w:t>。</w:t>
      </w:r>
    </w:p>
    <w:p>
      <w:pPr>
        <w:spacing w:line="360" w:lineRule="auto"/>
        <w:ind w:firstLine="480" w:firstLineChars="200"/>
        <w:rPr>
          <w:rFonts w:hint="eastAsia"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 2.根据《浙江省财政厅关于进一步促进政府采购公平竞</w:t>
      </w:r>
      <w:r>
        <w:rPr>
          <w:rFonts w:hint="eastAsia" w:cs="宋体" w:asciiTheme="minorEastAsia" w:hAnsiTheme="minorEastAsia" w:eastAsiaTheme="minorEastAsia"/>
          <w:color w:val="auto"/>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hint="eastAsia"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4. 其他事项：（1）需要落实的政府采购政策：</w:t>
      </w:r>
      <w:r>
        <w:rPr>
          <w:rFonts w:hint="eastAsia" w:cs="宋体" w:asciiTheme="minorEastAsia" w:hAnsiTheme="minorEastAsia" w:eastAsiaTheme="minorEastAsia"/>
          <w:color w:val="auto"/>
          <w:kern w:val="0"/>
          <w:sz w:val="24"/>
        </w:rPr>
        <w:t>包括节约资源、保护环境、</w:t>
      </w:r>
      <w:r>
        <w:rPr>
          <w:rFonts w:hint="eastAsia" w:cs="宋体" w:asciiTheme="minorEastAsia" w:hAnsiTheme="minorEastAsia" w:eastAsiaTheme="minorEastAsia"/>
          <w:color w:val="auto"/>
          <w:sz w:val="24"/>
        </w:rPr>
        <w:t>支持创新、</w:t>
      </w:r>
      <w:r>
        <w:rPr>
          <w:rFonts w:hint="eastAsia" w:cs="宋体" w:asciiTheme="minorEastAsia" w:hAnsiTheme="minorEastAsia" w:eastAsiaTheme="minorEastAsia"/>
          <w:color w:val="auto"/>
          <w:kern w:val="0"/>
          <w:sz w:val="24"/>
        </w:rPr>
        <w:t>促进中小企业发展等，详见磋商文件第三部分。</w:t>
      </w:r>
      <w:r>
        <w:rPr>
          <w:rFonts w:hint="eastAsia" w:cs="宋体" w:asciiTheme="minorEastAsia" w:hAnsiTheme="minorEastAsia" w:eastAsiaTheme="minorEastAsia"/>
          <w:b/>
          <w:color w:val="auto"/>
          <w:kern w:val="0"/>
          <w:sz w:val="24"/>
          <w:szCs w:val="20"/>
        </w:rPr>
        <w:t>（2）</w:t>
      </w:r>
      <w:r>
        <w:rPr>
          <w:rFonts w:hint="eastAsia" w:cs="仿宋_GB2312" w:asciiTheme="minorEastAsia" w:hAnsiTheme="minorEastAsia" w:eastAsiaTheme="minorEastAsia"/>
          <w:b/>
          <w:color w:val="auto"/>
          <w:sz w:val="24"/>
        </w:rPr>
        <w:t>电子交易的说明: 1）电子交易：</w:t>
      </w:r>
      <w:r>
        <w:rPr>
          <w:rFonts w:hint="eastAsia" w:cs="仿宋_GB2312" w:asciiTheme="minorEastAsia" w:hAnsiTheme="minorEastAsia" w:eastAsiaTheme="minorEastAsia"/>
          <w:color w:val="auto"/>
          <w:sz w:val="24"/>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rPr>
        <w:t>2）响应准备：</w:t>
      </w:r>
      <w:r>
        <w:rPr>
          <w:rFonts w:hint="eastAsia" w:cs="仿宋_GB2312" w:asciiTheme="minorEastAsia" w:hAnsiTheme="minorEastAsia" w:eastAsiaTheme="minorEastAsia"/>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rPr>
        <w:t>3）磋商文件的获取：</w:t>
      </w:r>
      <w:r>
        <w:rPr>
          <w:rFonts w:hint="eastAsia" w:cs="仿宋_GB2312" w:asciiTheme="minorEastAsia" w:hAnsiTheme="minorEastAsia" w:eastAsiaTheme="minorEastAsia"/>
          <w:color w:val="auto"/>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rPr>
        <w:t>4）响应文件的制作：</w:t>
      </w:r>
      <w:r>
        <w:rPr>
          <w:rFonts w:hint="eastAsia" w:cs="仿宋_GB2312" w:asciiTheme="minorEastAsia" w:hAnsiTheme="minorEastAsia" w:eastAsiaTheme="minorEastAsia"/>
          <w:color w:val="auto"/>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rPr>
        <w:t>5）</w:t>
      </w:r>
      <w:r>
        <w:rPr>
          <w:rFonts w:hint="eastAsia" w:cs="仿宋_GB2312" w:asciiTheme="minorEastAsia" w:hAnsiTheme="minorEastAsia" w:eastAsiaTheme="minorEastAsia"/>
          <w:color w:val="auto"/>
          <w:sz w:val="24"/>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rPr>
        <w:t>6）</w:t>
      </w:r>
      <w:r>
        <w:rPr>
          <w:rFonts w:hint="eastAsia" w:cs="仿宋_GB2312" w:asciiTheme="minorEastAsia" w:hAnsiTheme="minorEastAsia" w:eastAsiaTheme="minorEastAsia"/>
          <w:color w:val="auto"/>
          <w:sz w:val="24"/>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rPr>
        <w:t>；</w:t>
      </w:r>
      <w:r>
        <w:rPr>
          <w:rFonts w:cs="仿宋_GB2312" w:asciiTheme="minorEastAsia" w:hAnsiTheme="minorEastAsia" w:eastAsiaTheme="minorEastAsia"/>
          <w:b/>
          <w:color w:val="auto"/>
          <w:sz w:val="24"/>
        </w:rPr>
        <w:t>7）</w:t>
      </w:r>
      <w:r>
        <w:rPr>
          <w:rFonts w:hint="eastAsia" w:cs="仿宋_GB2312" w:asciiTheme="minorEastAsia" w:hAnsiTheme="minorEastAsia" w:eastAsiaTheme="minorEastAsia"/>
          <w:color w:val="auto"/>
          <w:sz w:val="24"/>
        </w:rPr>
        <w:t>不提供磋商文件纸质版；</w:t>
      </w:r>
      <w:r>
        <w:rPr>
          <w:rFonts w:cs="仿宋_GB2312" w:asciiTheme="minorEastAsia" w:hAnsiTheme="minorEastAsia" w:eastAsiaTheme="minorEastAsia"/>
          <w:b/>
          <w:color w:val="auto"/>
          <w:sz w:val="24"/>
        </w:rPr>
        <w:t>8</w:t>
      </w:r>
      <w:r>
        <w:rPr>
          <w:rFonts w:hint="eastAsia" w:cs="仿宋_GB2312" w:asciiTheme="minorEastAsia" w:hAnsiTheme="minorEastAsia" w:eastAsiaTheme="minorEastAsia"/>
          <w:b/>
          <w:color w:val="auto"/>
          <w:sz w:val="24"/>
        </w:rPr>
        <w:t>）响应文件的传输提交：</w:t>
      </w:r>
      <w:r>
        <w:rPr>
          <w:rFonts w:hint="eastAsia" w:cs="仿宋_GB2312" w:asciiTheme="minorEastAsia" w:hAnsiTheme="minorEastAsia" w:eastAsiaTheme="minorEastAsia"/>
          <w:color w:val="auto"/>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rPr>
        <w:t>9）响应文件的解密：</w:t>
      </w:r>
      <w:r>
        <w:rPr>
          <w:rFonts w:hint="eastAsia" w:cs="仿宋_GB2312" w:asciiTheme="minorEastAsia" w:hAnsiTheme="minorEastAsia" w:eastAsiaTheme="minorEastAsia"/>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rPr>
        <w:t>）具体操作指南</w:t>
      </w:r>
      <w:r>
        <w:rPr>
          <w:rFonts w:hint="eastAsia" w:cs="仿宋_GB2312" w:asciiTheme="minorEastAsia" w:hAnsiTheme="minorEastAsia" w:eastAsiaTheme="minorEastAsia"/>
          <w:color w:val="auto"/>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rPr>
        <w:t>（3磋商文件公告期限与磋商公告的公告期限一致。</w:t>
      </w:r>
    </w:p>
    <w:p>
      <w:pPr>
        <w:pStyle w:val="3"/>
        <w:numPr>
          <w:ilvl w:val="0"/>
          <w:numId w:val="0"/>
        </w:numPr>
        <w:ind w:left="432" w:hanging="432"/>
        <w:rPr>
          <w:rFonts w:hint="eastAsia" w:cs="宋体" w:asciiTheme="minorEastAsia" w:hAnsiTheme="minorEastAsia" w:eastAsiaTheme="minorEastAsia"/>
          <w:color w:val="auto"/>
          <w:sz w:val="24"/>
          <w:szCs w:val="24"/>
        </w:rPr>
      </w:pPr>
      <w:bookmarkStart w:id="37" w:name="_Toc35393636"/>
      <w:bookmarkStart w:id="38" w:name="_Toc28359095"/>
      <w:bookmarkStart w:id="39" w:name="_Toc28359018"/>
      <w:bookmarkStart w:id="40" w:name="_Toc35393805"/>
      <w:r>
        <w:rPr>
          <w:rFonts w:hint="eastAsia" w:cs="宋体" w:asciiTheme="minorEastAsia" w:hAnsiTheme="minorEastAsia" w:eastAsiaTheme="minorEastAsia"/>
          <w:color w:val="auto"/>
          <w:sz w:val="24"/>
          <w:szCs w:val="24"/>
        </w:rPr>
        <w:t>八、凡对本次采购提出询问</w:t>
      </w:r>
      <w:r>
        <w:rPr>
          <w:rFonts w:hint="eastAsia" w:cs="宋体" w:asciiTheme="minorEastAsia" w:hAnsiTheme="minorEastAsia" w:eastAsiaTheme="minorEastAsia"/>
          <w:bCs w:val="0"/>
          <w:color w:val="auto"/>
          <w:sz w:val="24"/>
          <w:szCs w:val="24"/>
        </w:rPr>
        <w:t>、质疑、投诉</w:t>
      </w:r>
      <w:r>
        <w:rPr>
          <w:rFonts w:hint="eastAsia" w:cs="宋体" w:asciiTheme="minorEastAsia" w:hAnsiTheme="minorEastAsia" w:eastAsiaTheme="minorEastAsia"/>
          <w:color w:val="auto"/>
          <w:sz w:val="24"/>
          <w:szCs w:val="24"/>
        </w:rPr>
        <w:t>，请按以下方式联系</w:t>
      </w:r>
      <w:bookmarkEnd w:id="37"/>
      <w:bookmarkEnd w:id="38"/>
      <w:bookmarkEnd w:id="39"/>
      <w:bookmarkEnd w:id="40"/>
    </w:p>
    <w:p>
      <w:pPr>
        <w:pStyle w:val="3"/>
        <w:numPr>
          <w:ilvl w:val="0"/>
          <w:numId w:val="0"/>
        </w:numPr>
        <w:ind w:left="432" w:hanging="432"/>
        <w:rPr>
          <w:rFonts w:hint="eastAsia" w:cs="宋体" w:asciiTheme="minorEastAsia" w:hAnsiTheme="minorEastAsia" w:eastAsiaTheme="minorEastAsia"/>
          <w:color w:val="auto"/>
          <w:sz w:val="24"/>
          <w:szCs w:val="24"/>
        </w:rPr>
      </w:pPr>
      <w:bookmarkStart w:id="41" w:name="_Toc35393637"/>
      <w:bookmarkStart w:id="42" w:name="_Toc28359096"/>
      <w:bookmarkStart w:id="43" w:name="_Toc28359019"/>
      <w:bookmarkStart w:id="44" w:name="_Toc35393806"/>
      <w:r>
        <w:rPr>
          <w:rFonts w:hint="eastAsia" w:cs="宋体" w:asciiTheme="minorEastAsia" w:hAnsiTheme="minorEastAsia" w:eastAsiaTheme="minorEastAsia"/>
          <w:color w:val="auto"/>
          <w:sz w:val="24"/>
          <w:szCs w:val="24"/>
        </w:rPr>
        <w:t>1.采购人信息</w:t>
      </w:r>
      <w:bookmarkEnd w:id="41"/>
      <w:bookmarkEnd w:id="42"/>
      <w:bookmarkEnd w:id="43"/>
      <w:bookmarkEnd w:id="44"/>
      <w:r>
        <w:rPr>
          <w:rFonts w:hint="eastAsia" w:cs="宋体" w:asciiTheme="minorEastAsia" w:hAnsiTheme="minorEastAsia" w:eastAsiaTheme="minorEastAsia"/>
          <w:color w:val="auto"/>
          <w:sz w:val="24"/>
          <w:szCs w:val="24"/>
        </w:rPr>
        <w:t>：</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名</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称：长兴县交通建设发展中心</w:t>
      </w:r>
    </w:p>
    <w:p>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    地    址：长兴县长州路799号</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传    真：/</w:t>
      </w:r>
    </w:p>
    <w:p>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项目联系人（询问）： 朱高凯</w:t>
      </w:r>
    </w:p>
    <w:p>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项目联系方式（询问）：</w:t>
      </w:r>
      <w:r>
        <w:rPr>
          <w:rFonts w:asciiTheme="minorEastAsia" w:hAnsiTheme="minorEastAsia" w:eastAsiaTheme="minorEastAsia"/>
          <w:color w:val="auto"/>
          <w:sz w:val="24"/>
        </w:rPr>
        <w:t>0572-6873713</w:t>
      </w:r>
    </w:p>
    <w:p>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质疑联系人： 刘女士</w:t>
      </w:r>
    </w:p>
    <w:p>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质疑联系方式：</w:t>
      </w:r>
      <w:r>
        <w:rPr>
          <w:rFonts w:asciiTheme="minorEastAsia" w:hAnsiTheme="minorEastAsia" w:eastAsiaTheme="minorEastAsia"/>
          <w:color w:val="auto"/>
          <w:sz w:val="24"/>
        </w:rPr>
        <w:t>0572-6221460</w:t>
      </w:r>
    </w:p>
    <w:p>
      <w:pPr>
        <w:pStyle w:val="3"/>
        <w:numPr>
          <w:ilvl w:val="0"/>
          <w:numId w:val="0"/>
        </w:numPr>
        <w:ind w:left="432" w:hanging="432"/>
        <w:rPr>
          <w:rFonts w:hint="eastAsia" w:cs="宋体" w:asciiTheme="minorEastAsia" w:hAnsiTheme="minorEastAsia" w:eastAsiaTheme="minorEastAsia"/>
          <w:color w:val="auto"/>
          <w:sz w:val="24"/>
        </w:rPr>
      </w:pPr>
      <w:bookmarkStart w:id="45" w:name="_Toc28359097"/>
      <w:bookmarkStart w:id="46" w:name="_Toc35393807"/>
      <w:bookmarkStart w:id="47" w:name="_Toc28359020"/>
      <w:bookmarkStart w:id="48" w:name="_Toc35393638"/>
      <w:r>
        <w:rPr>
          <w:rFonts w:hint="eastAsia" w:cs="宋体" w:asciiTheme="minorEastAsia" w:hAnsiTheme="minorEastAsia" w:eastAsiaTheme="minorEastAsia"/>
          <w:color w:val="auto"/>
          <w:sz w:val="24"/>
          <w:szCs w:val="24"/>
        </w:rPr>
        <w:t>2.采购代理机构信息</w:t>
      </w:r>
      <w:bookmarkEnd w:id="45"/>
      <w:bookmarkEnd w:id="46"/>
      <w:bookmarkEnd w:id="47"/>
      <w:bookmarkEnd w:id="48"/>
      <w:r>
        <w:rPr>
          <w:rFonts w:hint="eastAsia" w:cs="宋体" w:asciiTheme="minorEastAsia" w:hAnsiTheme="minorEastAsia" w:eastAsiaTheme="minorEastAsia"/>
          <w:color w:val="auto"/>
          <w:sz w:val="24"/>
          <w:szCs w:val="24"/>
        </w:rPr>
        <w:t>：</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名    称：耀华建设管理有限公司             </w:t>
      </w:r>
    </w:p>
    <w:p>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    地    址：杭州市中山北路632号越都商务大厦702室</w:t>
      </w:r>
    </w:p>
    <w:p>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    传    真：/             </w:t>
      </w:r>
    </w:p>
    <w:p>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项目联系人（询问）：张彬彬</w:t>
      </w:r>
    </w:p>
    <w:p>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项目联系方式（询问）：</w:t>
      </w:r>
      <w:r>
        <w:rPr>
          <w:rFonts w:asciiTheme="minorEastAsia" w:hAnsiTheme="minorEastAsia" w:eastAsiaTheme="minorEastAsia"/>
          <w:color w:val="auto"/>
          <w:sz w:val="24"/>
        </w:rPr>
        <w:t>0571-85383936</w:t>
      </w:r>
      <w:r>
        <w:rPr>
          <w:rFonts w:hint="eastAsia" w:asciiTheme="minorEastAsia" w:hAnsiTheme="minorEastAsia" w:eastAsiaTheme="minorEastAsia"/>
          <w:color w:val="auto"/>
          <w:sz w:val="24"/>
        </w:rPr>
        <w:t xml:space="preserve"> </w:t>
      </w:r>
    </w:p>
    <w:p>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质疑联系人：赵姝炫 </w:t>
      </w:r>
    </w:p>
    <w:p>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质疑联系方式：</w:t>
      </w:r>
      <w:r>
        <w:rPr>
          <w:rFonts w:asciiTheme="minorEastAsia" w:hAnsiTheme="minorEastAsia" w:eastAsiaTheme="minorEastAsia"/>
          <w:color w:val="auto"/>
          <w:sz w:val="24"/>
        </w:rPr>
        <w:t>0571-85383936</w:t>
      </w:r>
      <w:r>
        <w:rPr>
          <w:rFonts w:hint="eastAsia" w:asciiTheme="minorEastAsia" w:hAnsiTheme="minorEastAsia" w:eastAsiaTheme="minorEastAsia"/>
          <w:color w:val="auto"/>
          <w:sz w:val="24"/>
        </w:rPr>
        <w:t xml:space="preserve"> </w:t>
      </w:r>
    </w:p>
    <w:p>
      <w:pPr>
        <w:spacing w:line="360" w:lineRule="auto"/>
        <w:rPr>
          <w:rFonts w:hint="eastAsia" w:asciiTheme="minorEastAsia" w:hAnsiTheme="minorEastAsia" w:eastAsiaTheme="minorEastAsia"/>
          <w:b/>
          <w:color w:val="auto"/>
          <w:sz w:val="24"/>
        </w:rPr>
      </w:pPr>
      <w:bookmarkStart w:id="49" w:name="_Toc35393808"/>
      <w:bookmarkStart w:id="50" w:name="_Toc28359098"/>
      <w:bookmarkStart w:id="51" w:name="_Toc28359021"/>
      <w:bookmarkStart w:id="52" w:name="_Toc35393639"/>
      <w:r>
        <w:rPr>
          <w:rFonts w:hint="eastAsia" w:cs="宋体" w:asciiTheme="minorEastAsia" w:hAnsiTheme="minorEastAsia" w:eastAsiaTheme="minorEastAsia"/>
          <w:b/>
          <w:bCs/>
          <w:color w:val="auto"/>
          <w:sz w:val="24"/>
        </w:rPr>
        <w:t>3.</w:t>
      </w:r>
      <w:r>
        <w:rPr>
          <w:rFonts w:hint="eastAsia" w:asciiTheme="minorEastAsia" w:hAnsiTheme="minorEastAsia" w:eastAsiaTheme="minorEastAsia"/>
          <w:b/>
          <w:color w:val="auto"/>
          <w:sz w:val="24"/>
        </w:rPr>
        <w:t xml:space="preserve"> 同级政府采购监督管理部门：            </w:t>
      </w:r>
    </w:p>
    <w:p>
      <w:pPr>
        <w:spacing w:line="360" w:lineRule="auto"/>
        <w:rPr>
          <w:rFonts w:hint="eastAsia" w:ascii="宋体" w:hAnsi="宋体" w:cs="宋体"/>
          <w:color w:val="auto"/>
          <w:sz w:val="24"/>
        </w:rPr>
      </w:pPr>
      <w:r>
        <w:rPr>
          <w:rFonts w:hint="eastAsia" w:asciiTheme="minorEastAsia" w:hAnsiTheme="minorEastAsia" w:eastAsiaTheme="minorEastAsia"/>
          <w:color w:val="auto"/>
          <w:sz w:val="24"/>
        </w:rPr>
        <w:t xml:space="preserve">    </w:t>
      </w:r>
      <w:bookmarkEnd w:id="49"/>
      <w:bookmarkEnd w:id="50"/>
      <w:bookmarkEnd w:id="51"/>
      <w:bookmarkEnd w:id="52"/>
      <w:r>
        <w:rPr>
          <w:rFonts w:hint="eastAsia" w:ascii="宋体" w:hAnsi="宋体" w:cs="宋体"/>
          <w:color w:val="auto"/>
          <w:sz w:val="24"/>
        </w:rPr>
        <w:t>名    称：长兴县财政局政府采购监督管理科</w:t>
      </w:r>
    </w:p>
    <w:p>
      <w:pPr>
        <w:spacing w:line="360" w:lineRule="auto"/>
        <w:rPr>
          <w:rFonts w:hint="eastAsia" w:ascii="宋体" w:hAnsi="宋体" w:cs="宋体"/>
          <w:color w:val="auto"/>
          <w:sz w:val="24"/>
        </w:rPr>
      </w:pPr>
      <w:r>
        <w:rPr>
          <w:rFonts w:hint="eastAsia" w:ascii="宋体" w:hAnsi="宋体" w:cs="宋体"/>
          <w:color w:val="auto"/>
          <w:sz w:val="24"/>
        </w:rPr>
        <w:t xml:space="preserve">    地    址：长兴县龙山街道锦绣路6号兴国商务楼1号楼1305室 </w:t>
      </w:r>
    </w:p>
    <w:p>
      <w:pPr>
        <w:spacing w:line="360" w:lineRule="auto"/>
        <w:rPr>
          <w:rFonts w:hint="eastAsia" w:ascii="宋体" w:hAnsi="宋体" w:cs="宋体"/>
          <w:color w:val="auto"/>
          <w:sz w:val="24"/>
        </w:rPr>
      </w:pPr>
      <w:r>
        <w:rPr>
          <w:rFonts w:hint="eastAsia" w:ascii="宋体" w:hAnsi="宋体" w:cs="宋体"/>
          <w:color w:val="auto"/>
          <w:sz w:val="24"/>
        </w:rPr>
        <w:t xml:space="preserve">    传    真： /</w:t>
      </w:r>
    </w:p>
    <w:p>
      <w:pPr>
        <w:spacing w:line="360" w:lineRule="auto"/>
        <w:rPr>
          <w:rFonts w:hint="eastAsia" w:ascii="宋体" w:hAnsi="宋体" w:cs="宋体"/>
          <w:color w:val="auto"/>
          <w:sz w:val="24"/>
        </w:rPr>
      </w:pPr>
      <w:r>
        <w:rPr>
          <w:rFonts w:hint="eastAsia" w:ascii="宋体" w:hAnsi="宋体" w:cs="宋体"/>
          <w:color w:val="auto"/>
          <w:sz w:val="24"/>
        </w:rPr>
        <w:t xml:space="preserve">    联系人 ：佘科</w:t>
      </w:r>
    </w:p>
    <w:p>
      <w:pPr>
        <w:spacing w:line="360" w:lineRule="auto"/>
        <w:ind w:firstLine="480"/>
        <w:rPr>
          <w:rFonts w:hint="eastAsia" w:ascii="宋体" w:hAnsi="宋体" w:cs="宋体"/>
          <w:color w:val="auto"/>
          <w:sz w:val="24"/>
        </w:rPr>
      </w:pPr>
      <w:r>
        <w:rPr>
          <w:rFonts w:hint="eastAsia" w:ascii="宋体" w:hAnsi="宋体" w:cs="宋体"/>
          <w:color w:val="auto"/>
          <w:sz w:val="24"/>
        </w:rPr>
        <w:t>监督投诉电话：电话：</w:t>
      </w:r>
      <w:r>
        <w:rPr>
          <w:rFonts w:ascii="宋体" w:hAnsi="宋体" w:cs="宋体"/>
          <w:color w:val="auto"/>
          <w:sz w:val="24"/>
        </w:rPr>
        <w:t>0572-6027789</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若对项目采购电子交易系统操作有疑问，可登录政采云（</w:t>
      </w:r>
      <w:r>
        <w:rPr>
          <w:rFonts w:asciiTheme="minorEastAsia" w:hAnsiTheme="minorEastAsia" w:eastAsiaTheme="minorEastAsia"/>
          <w:color w:val="auto"/>
          <w:sz w:val="24"/>
        </w:rPr>
        <w:t>https://www.zcygov.cn/），点击右侧咨询小采，获取采小蜜智能服务管家帮助，或拨打政</w:t>
      </w:r>
      <w:r>
        <w:rPr>
          <w:rFonts w:hint="eastAsia" w:asciiTheme="minorEastAsia" w:hAnsiTheme="minorEastAsia" w:eastAsiaTheme="minorEastAsia"/>
          <w:color w:val="auto"/>
          <w:sz w:val="24"/>
        </w:rPr>
        <w:t>采云服务热线95763</w:t>
      </w:r>
      <w:r>
        <w:rPr>
          <w:rFonts w:asciiTheme="minorEastAsia" w:hAnsiTheme="minorEastAsia" w:eastAsiaTheme="minorEastAsia"/>
          <w:color w:val="auto"/>
          <w:sz w:val="24"/>
        </w:rPr>
        <w:t>获取热线服务帮助。</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p>
    <w:p>
      <w:pPr>
        <w:spacing w:line="360" w:lineRule="auto"/>
        <w:ind w:firstLine="480" w:firstLineChars="200"/>
        <w:rPr>
          <w:rFonts w:hint="eastAsia" w:asciiTheme="minorEastAsia" w:hAnsiTheme="minorEastAsia" w:eastAsiaTheme="minorEastAsia"/>
          <w:color w:val="auto"/>
          <w:sz w:val="24"/>
        </w:rPr>
      </w:pPr>
    </w:p>
    <w:p>
      <w:pPr>
        <w:spacing w:line="360" w:lineRule="auto"/>
        <w:ind w:firstLine="480" w:firstLineChars="200"/>
        <w:rPr>
          <w:rFonts w:hint="eastAsia" w:asciiTheme="minorEastAsia" w:hAnsiTheme="minorEastAsia" w:eastAsiaTheme="minorEastAsia"/>
          <w:color w:val="auto"/>
          <w:sz w:val="24"/>
        </w:rPr>
      </w:pPr>
      <w:r>
        <w:rPr>
          <w:rFonts w:asciiTheme="minorEastAsia" w:hAnsiTheme="minorEastAsia" w:eastAsiaTheme="minorEastAsia"/>
          <w:color w:val="auto"/>
          <w:sz w:val="24"/>
        </w:rPr>
        <w:t>CA问题联系电话（人工）：</w:t>
      </w:r>
      <w:r>
        <w:rPr>
          <w:rFonts w:hint="eastAsia" w:asciiTheme="minorEastAsia" w:hAnsiTheme="minorEastAsia" w:eastAsiaTheme="minorEastAsia"/>
          <w:color w:val="auto"/>
          <w:sz w:val="24"/>
        </w:rPr>
        <w:t>汇信</w:t>
      </w:r>
      <w:r>
        <w:rPr>
          <w:rFonts w:asciiTheme="minorEastAsia" w:hAnsiTheme="minorEastAsia" w:eastAsiaTheme="minorEastAsia"/>
          <w:color w:val="auto"/>
          <w:sz w:val="24"/>
        </w:rPr>
        <w:t>CA 400-888-4636；天谷CA 400-087-8198。</w:t>
      </w:r>
    </w:p>
    <w:p>
      <w:pPr>
        <w:widowControl/>
        <w:adjustRightInd/>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br w:type="page"/>
      </w:r>
    </w:p>
    <w:p>
      <w:pPr>
        <w:spacing w:line="360" w:lineRule="auto"/>
        <w:ind w:firstLine="480" w:firstLineChars="200"/>
        <w:rPr>
          <w:rFonts w:hint="eastAsia" w:asciiTheme="minorEastAsia" w:hAnsiTheme="minorEastAsia" w:eastAsiaTheme="minorEastAsia"/>
          <w:color w:val="auto"/>
          <w:sz w:val="24"/>
        </w:rPr>
      </w:pPr>
    </w:p>
    <w:p>
      <w:pPr>
        <w:adjustRightInd/>
        <w:spacing w:line="360" w:lineRule="auto"/>
        <w:jc w:val="center"/>
        <w:outlineLvl w:val="0"/>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6"/>
          <w:szCs w:val="20"/>
        </w:rPr>
        <w:t>第二部分 竞争性磋商流程</w:t>
      </w:r>
    </w:p>
    <w:p>
      <w:pPr>
        <w:pStyle w:val="392"/>
        <w:spacing w:before="0" w:line="400" w:lineRule="exact"/>
        <w:ind w:firstLine="0" w:firstLineChars="0"/>
        <w:rPr>
          <w:rFonts w:hint="eastAsia" w:asciiTheme="minorEastAsia" w:hAnsiTheme="minorEastAsia" w:eastAsiaTheme="minorEastAsia"/>
          <w:b/>
          <w:color w:val="auto"/>
        </w:rPr>
      </w:pPr>
      <w:r>
        <w:rPr>
          <w:rFonts w:hint="eastAsia" w:asciiTheme="minorEastAsia" w:hAnsiTheme="minorEastAsia" w:eastAsiaTheme="minorEastAsia"/>
          <w:b/>
          <w:color w:val="auto"/>
        </w:rPr>
        <w:t>1.征集供应商</w:t>
      </w:r>
    </w:p>
    <w:p>
      <w:pPr>
        <w:pStyle w:val="392"/>
        <w:spacing w:before="0" w:line="400" w:lineRule="exact"/>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pPr>
        <w:pStyle w:val="392"/>
        <w:spacing w:before="0" w:line="400" w:lineRule="exact"/>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采用公告方式邀请供应商。</w:t>
      </w:r>
    </w:p>
    <w:p>
      <w:pPr>
        <w:pStyle w:val="392"/>
        <w:spacing w:before="0" w:line="400" w:lineRule="exact"/>
        <w:ind w:firstLine="0" w:firstLineChars="0"/>
        <w:rPr>
          <w:rFonts w:hint="eastAsia"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pPr>
        <w:pStyle w:val="392"/>
        <w:spacing w:before="0" w:line="400" w:lineRule="exact"/>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2.1供应商依据“提交响应文件的截止时间与地点”通过政采云平台在线提交响应文件。供应商在提交响应文件的截止时间前，可以补充、修改或撤回响应文件。</w:t>
      </w:r>
    </w:p>
    <w:p>
      <w:pPr>
        <w:pStyle w:val="392"/>
        <w:spacing w:before="0" w:line="400" w:lineRule="exact"/>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rPr>
        <w:t>采购代理机构将通过“信用中国”网站(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pPr>
        <w:pStyle w:val="392"/>
        <w:spacing w:before="0" w:line="400" w:lineRule="exact"/>
        <w:ind w:firstLine="0" w:firstLineChars="0"/>
        <w:rPr>
          <w:rFonts w:hint="eastAsia" w:asciiTheme="minorEastAsia" w:hAnsiTheme="minorEastAsia" w:eastAsiaTheme="minorEastAsia"/>
          <w:b/>
          <w:color w:val="auto"/>
        </w:rPr>
      </w:pPr>
      <w:r>
        <w:rPr>
          <w:rFonts w:hint="eastAsia" w:asciiTheme="minorEastAsia" w:hAnsiTheme="minorEastAsia" w:eastAsiaTheme="minorEastAsia"/>
          <w:b/>
          <w:color w:val="auto"/>
        </w:rPr>
        <w:t>3.磋商与评审</w:t>
      </w:r>
    </w:p>
    <w:p>
      <w:pPr>
        <w:pStyle w:val="392"/>
        <w:spacing w:before="0" w:line="400" w:lineRule="exact"/>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pPr>
        <w:pStyle w:val="392"/>
        <w:spacing w:before="0" w:line="400" w:lineRule="exact"/>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3.2采购代理机构宣布有关纪律以及磋商、评审工作程序。</w:t>
      </w:r>
    </w:p>
    <w:p>
      <w:pPr>
        <w:pStyle w:val="392"/>
        <w:spacing w:before="0" w:line="400" w:lineRule="exact"/>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3.3磋商小组审查确认磋商文件。磋商文件内容违反国家有关强制性规定的，磋商小组应当停止评审并向采购代理机构说明情况。</w:t>
      </w:r>
    </w:p>
    <w:p>
      <w:pPr>
        <w:pStyle w:val="392"/>
        <w:spacing w:before="0" w:line="400" w:lineRule="exact"/>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pPr>
        <w:pStyle w:val="392"/>
        <w:spacing w:before="0" w:line="400" w:lineRule="exact"/>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pPr>
        <w:pStyle w:val="392"/>
        <w:spacing w:before="0" w:line="400" w:lineRule="exact"/>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pPr>
        <w:pStyle w:val="392"/>
        <w:spacing w:before="0" w:line="400" w:lineRule="exact"/>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2"/>
        <w:spacing w:before="0" w:line="400" w:lineRule="exact"/>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w:t>
      </w:r>
      <w:r>
        <w:rPr>
          <w:rFonts w:asciiTheme="minorEastAsia" w:hAnsiTheme="minorEastAsia" w:eastAsiaTheme="minorEastAsia"/>
          <w:color w:val="auto"/>
          <w:szCs w:val="24"/>
        </w:rPr>
        <w:t>4</w:t>
      </w:r>
      <w:r>
        <w:rPr>
          <w:rFonts w:hint="eastAsia" w:asciiTheme="minorEastAsia" w:hAnsiTheme="minorEastAsia" w:eastAsiaTheme="minorEastAsia"/>
          <w:color w:val="auto"/>
          <w:szCs w:val="24"/>
        </w:rPr>
        <w:t>楼讲标室通过视频会议系统或自备CA数字证书、笔记本电脑等开展磋商活动。</w:t>
      </w:r>
    </w:p>
    <w:p>
      <w:pPr>
        <w:pStyle w:val="392"/>
        <w:spacing w:before="0" w:line="400" w:lineRule="exact"/>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pPr>
        <w:pStyle w:val="392"/>
        <w:spacing w:before="0" w:line="400" w:lineRule="exact"/>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2"/>
        <w:spacing w:before="0" w:line="400" w:lineRule="exact"/>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pPr>
        <w:pStyle w:val="392"/>
        <w:spacing w:before="0" w:line="400" w:lineRule="exact"/>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2"/>
        <w:spacing w:before="0" w:line="400" w:lineRule="exact"/>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2"/>
        <w:spacing w:before="0" w:line="400" w:lineRule="exact"/>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pPr>
        <w:pStyle w:val="392"/>
        <w:spacing w:before="0" w:line="400" w:lineRule="exact"/>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3.13采购代理机构唱价。</w:t>
      </w:r>
    </w:p>
    <w:p>
      <w:pPr>
        <w:pStyle w:val="392"/>
        <w:spacing w:before="0" w:line="400" w:lineRule="exact"/>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2"/>
        <w:spacing w:before="0" w:line="400" w:lineRule="exact"/>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pPr>
        <w:pStyle w:val="392"/>
        <w:spacing w:before="0" w:line="400" w:lineRule="exact"/>
        <w:ind w:firstLine="0" w:firstLineChars="0"/>
        <w:rPr>
          <w:rFonts w:hint="eastAsia" w:asciiTheme="minorEastAsia" w:hAnsiTheme="minorEastAsia" w:eastAsiaTheme="minorEastAsia"/>
          <w:b/>
          <w:color w:val="auto"/>
        </w:rPr>
      </w:pPr>
      <w:r>
        <w:rPr>
          <w:rFonts w:hint="eastAsia" w:asciiTheme="minorEastAsia" w:hAnsiTheme="minorEastAsia" w:eastAsiaTheme="minorEastAsia"/>
          <w:b/>
          <w:color w:val="auto"/>
        </w:rPr>
        <w:t>4. 成交</w:t>
      </w:r>
    </w:p>
    <w:p>
      <w:pPr>
        <w:pStyle w:val="392"/>
        <w:spacing w:before="0" w:line="400" w:lineRule="exact"/>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rPr>
        <w:t>采购代理机构应当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2"/>
        <w:spacing w:before="0" w:line="400" w:lineRule="exact"/>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2"/>
        <w:spacing w:before="0" w:line="400" w:lineRule="exact"/>
        <w:ind w:firstLine="0" w:firstLineChars="0"/>
        <w:rPr>
          <w:rFonts w:hint="eastAsia"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pPr>
        <w:pStyle w:val="392"/>
        <w:spacing w:before="0" w:line="400" w:lineRule="exact"/>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5.1采购人与成交供应商应当在成交通知书发出之日起10个工作日内签订政府采购合同。</w:t>
      </w:r>
    </w:p>
    <w:p>
      <w:pPr>
        <w:tabs>
          <w:tab w:val="left" w:pos="0"/>
        </w:tabs>
        <w:spacing w:line="400" w:lineRule="exact"/>
        <w:ind w:firstLine="482"/>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w:t>
      </w:r>
    </w:p>
    <w:p>
      <w:pPr>
        <w:pStyle w:val="392"/>
        <w:spacing w:before="0" w:line="400" w:lineRule="exact"/>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pPr>
        <w:pStyle w:val="392"/>
        <w:spacing w:before="0" w:line="400" w:lineRule="exact"/>
        <w:ind w:firstLine="480"/>
        <w:rPr>
          <w:rFonts w:hint="eastAsia" w:asciiTheme="minorEastAsia" w:hAnsiTheme="minorEastAsia" w:eastAsiaTheme="minorEastAsia"/>
          <w:b/>
          <w:color w:val="auto"/>
        </w:rPr>
      </w:pPr>
      <w:r>
        <w:rPr>
          <w:rFonts w:hint="eastAsia" w:asciiTheme="minorEastAsia" w:hAnsiTheme="minorEastAsia" w:eastAsiaTheme="minorEastAsia"/>
          <w:color w:val="auto"/>
          <w:szCs w:val="24"/>
        </w:rPr>
        <w:t>5.4采购人组织验收。</w:t>
      </w:r>
    </w:p>
    <w:p>
      <w:pPr>
        <w:pStyle w:val="392"/>
        <w:spacing w:before="0"/>
        <w:ind w:firstLine="0" w:firstLineChars="0"/>
        <w:rPr>
          <w:rFonts w:hint="eastAsia"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pPr>
        <w:widowControl/>
        <w:adjustRightInd/>
        <w:jc w:val="left"/>
        <w:rPr>
          <w:rFonts w:hint="eastAsia"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pPr>
                        <w:rPr>
                          <w:rFonts w:hint="eastAsia"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pPr>
                        <w:rPr>
                          <w:rFonts w:hint="eastAsia"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pPr>
                        <w:jc w:val="center"/>
                        <w:rPr>
                          <w:rFonts w:hint="eastAsia"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pPr>
                        <w:rPr>
                          <w:rFonts w:hint="eastAsia"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pPr>
                        <w:jc w:val="center"/>
                        <w:rPr>
                          <w:rFonts w:hint="eastAsia"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pPr>
                        <w:jc w:val="center"/>
                        <w:rPr>
                          <w:rFonts w:hint="eastAsia"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pPr>
                        <w:jc w:val="center"/>
                        <w:rPr>
                          <w:rFonts w:hint="eastAsia"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pPr>
                        <w:jc w:val="center"/>
                        <w:rPr>
                          <w:rFonts w:hint="eastAsia"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pPr>
        <w:adjustRightInd/>
        <w:spacing w:line="360" w:lineRule="auto"/>
        <w:jc w:val="center"/>
        <w:outlineLvl w:val="0"/>
        <w:rPr>
          <w:rFonts w:hint="eastAsia"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第三部分</w:t>
      </w:r>
      <w:bookmarkEnd w:id="8"/>
      <w:r>
        <w:rPr>
          <w:rFonts w:hint="eastAsia" w:cs="仿宋_GB2312" w:asciiTheme="minorEastAsia" w:hAnsiTheme="minorEastAsia" w:eastAsiaTheme="minorEastAsia"/>
          <w:b/>
          <w:color w:val="auto"/>
          <w:sz w:val="36"/>
          <w:szCs w:val="20"/>
        </w:rPr>
        <w:t xml:space="preserve">  供应商须知</w:t>
      </w:r>
      <w:bookmarkEnd w:id="9"/>
    </w:p>
    <w:p>
      <w:pPr>
        <w:adjustRightInd/>
        <w:spacing w:line="360" w:lineRule="auto"/>
        <w:jc w:val="center"/>
        <w:outlineLvl w:val="0"/>
        <w:rPr>
          <w:rFonts w:hint="eastAsia"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cs="宋体" w:asciiTheme="minorEastAsia" w:hAnsiTheme="minorEastAsia" w:eastAsiaTheme="minorEastAsia"/>
                <w:b/>
                <w:bCs/>
                <w:color w:val="auto"/>
                <w:kern w:val="0"/>
                <w:sz w:val="24"/>
              </w:rPr>
            </w:pPr>
            <w:r>
              <w:rPr>
                <w:rFonts w:hint="eastAsia" w:cs="宋体" w:asciiTheme="minorEastAsia" w:hAnsiTheme="minorEastAsia" w:eastAsiaTheme="minorEastAsia"/>
                <w:color w:val="auto"/>
                <w:kern w:val="0"/>
                <w:sz w:val="24"/>
              </w:rPr>
              <w:t>标的：</w:t>
            </w:r>
            <w:r>
              <w:rPr>
                <w:rFonts w:hint="eastAsia" w:cs="宋体" w:asciiTheme="minorEastAsia" w:hAnsiTheme="minorEastAsia" w:eastAsiaTheme="minorEastAsia"/>
                <w:color w:val="auto"/>
                <w:kern w:val="0"/>
                <w:sz w:val="24"/>
                <w:u w:val="single"/>
              </w:rPr>
              <w:t>S216长兴至安吉公路长兴县泗安至和平段工程（318国道至302省道段）竣（交）工质量评定检测</w:t>
            </w:r>
            <w:r>
              <w:rPr>
                <w:rFonts w:hint="eastAsia" w:cs="宋体" w:asciiTheme="minorEastAsia" w:hAnsiTheme="minorEastAsia" w:eastAsiaTheme="minorEastAsia"/>
                <w:color w:val="auto"/>
                <w:kern w:val="0"/>
                <w:sz w:val="24"/>
              </w:rPr>
              <w:t>，属于</w:t>
            </w:r>
            <w:r>
              <w:rPr>
                <w:rFonts w:hint="eastAsia" w:cs="宋体" w:asciiTheme="minorEastAsia" w:hAnsiTheme="minorEastAsia" w:eastAsiaTheme="minorEastAsia"/>
                <w:color w:val="auto"/>
                <w:kern w:val="0"/>
                <w:sz w:val="24"/>
                <w:u w:val="single"/>
              </w:rPr>
              <w:t xml:space="preserve"> 其他 </w:t>
            </w:r>
            <w:r>
              <w:rPr>
                <w:rFonts w:hint="eastAsia" w:cs="宋体" w:asciiTheme="minorEastAsia" w:hAnsiTheme="minorEastAsia" w:eastAsiaTheme="minorEastAsia"/>
                <w:color w:val="auto"/>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cs="宋体" w:asciiTheme="minorEastAsia" w:hAnsiTheme="minorEastAsia" w:eastAsiaTheme="minorEastAsia"/>
                    <w:color w:val="auto"/>
                    <w:kern w:val="0"/>
                    <w:sz w:val="24"/>
                  </w:rPr>
                  <w:sym w:font="Wingdings" w:char="F0FE"/>
                </w:r>
              </w:sdtContent>
            </w:sdt>
            <w:r>
              <w:rPr>
                <w:rFonts w:hint="eastAsia" w:cs="宋体" w:asciiTheme="minorEastAsia" w:hAnsiTheme="minorEastAsia" w:eastAsiaTheme="minorEastAsia"/>
                <w:color w:val="auto"/>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4772869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cs="宋体" w:asciiTheme="minorEastAsia" w:hAnsiTheme="minorEastAsia" w:eastAsiaTheme="minorEastAsia"/>
                    <w:color w:val="auto"/>
                    <w:kern w:val="0"/>
                    <w:sz w:val="24"/>
                  </w:rPr>
                  <w:sym w:font="Wingdings" w:char="F0FE"/>
                </w:r>
              </w:sdtContent>
            </w:sdt>
            <w:r>
              <w:rPr>
                <w:rFonts w:hint="eastAsia" w:cs="宋体" w:asciiTheme="minorEastAsia" w:hAnsiTheme="minorEastAsia" w:eastAsiaTheme="minorEastAsia"/>
                <w:color w:val="auto"/>
                <w:kern w:val="0"/>
                <w:sz w:val="24"/>
              </w:rPr>
              <w:t xml:space="preserve"> A</w:t>
            </w:r>
            <w:r>
              <w:rPr>
                <w:rFonts w:hint="eastAsia" w:cs="宋体" w:asciiTheme="minorEastAsia" w:hAnsiTheme="minorEastAsia" w:eastAsiaTheme="minorEastAsia"/>
                <w:color w:val="auto"/>
                <w:sz w:val="24"/>
              </w:rPr>
              <w:t>允许，分包人应为中小型企业。分包内容为：经发包人同意和批准，供应商可将试验检测工作进行分包；除跨专业或者有特殊要求的试验检测工作外，常规试验检测工作只允许有一家分包人且该分包人本身或内设机构应具备交通运输部门颁发的试验检测等级证书，分包工作量不超过试验检测工作总量的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cs="宋体" w:asciiTheme="minorEastAsia" w:hAnsiTheme="minorEastAsia" w:eastAsiaTheme="minorEastAsia"/>
                    <w:color w:val="auto"/>
                    <w:kern w:val="0"/>
                    <w:sz w:val="24"/>
                  </w:rPr>
                  <w:sym w:font="Wingdings" w:char="F0FE"/>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宋体" w:asciiTheme="minorEastAsia" w:hAnsiTheme="minorEastAsia" w:eastAsiaTheme="minorEastAsia"/>
                <w:b/>
                <w:color w:val="auto"/>
                <w:sz w:val="24"/>
              </w:rPr>
            </w:pPr>
            <w:sdt>
              <w:sdtPr>
                <w:rPr>
                  <w:rFonts w:hint="eastAsia" w:cs="宋体" w:asciiTheme="minorEastAsia" w:hAnsiTheme="minorEastAsia" w:eastAsiaTheme="minorEastAsia"/>
                  <w:color w:val="auto"/>
                  <w:kern w:val="0"/>
                  <w:sz w:val="24"/>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cs="宋体" w:asciiTheme="minorEastAsia" w:hAnsiTheme="minorEastAsia" w:eastAsiaTheme="minorEastAsia"/>
                    <w:color w:val="auto"/>
                    <w:kern w:val="0"/>
                    <w:sz w:val="24"/>
                  </w:rPr>
                  <w:sym w:font="Wingdings" w:char="F0FE"/>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宋体" w:asciiTheme="minorEastAsia" w:hAnsiTheme="minorEastAsia" w:eastAsiaTheme="minorEastAsia"/>
                <w:b/>
                <w:color w:val="auto"/>
                <w:kern w:val="0"/>
                <w:sz w:val="24"/>
                <w:lang w:val="zh-CN"/>
              </w:rPr>
            </w:pPr>
            <w:sdt>
              <w:sdtPr>
                <w:rPr>
                  <w:rFonts w:hint="eastAsia" w:cs="宋体" w:asciiTheme="minorEastAsia" w:hAnsiTheme="minorEastAsia" w:eastAsiaTheme="minorEastAsia"/>
                  <w:color w:val="auto"/>
                  <w:kern w:val="0"/>
                  <w:sz w:val="24"/>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cs="宋体" w:asciiTheme="minorEastAsia" w:hAnsiTheme="minorEastAsia" w:eastAsiaTheme="minorEastAsia"/>
                    <w:color w:val="auto"/>
                    <w:kern w:val="0"/>
                    <w:sz w:val="24"/>
                  </w:rPr>
                  <w:sym w:font="Wingdings" w:char="F0FE"/>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（1）资格证明文件：见招标文件第三部分-“六、响应文件的编制”-“2响应文件的组成”-（2）资格部分。</w:t>
            </w:r>
          </w:p>
          <w:p>
            <w:pPr>
              <w:spacing w:line="360" w:lineRule="auto"/>
              <w:rPr>
                <w:rFonts w:hint="eastAsia"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cs="宋体" w:asciiTheme="minorEastAsia" w:hAnsiTheme="minorEastAsia" w:eastAsiaTheme="min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cs="宋体" w:asciiTheme="minorEastAsia" w:hAnsiTheme="minorEastAsia" w:eastAsiaTheme="minorEastAsia"/>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tcBorders>
              <w:left w:val="single" w:color="auto" w:sz="4" w:space="0"/>
              <w:bottom w:val="single" w:color="auto" w:sz="4" w:space="0"/>
              <w:right w:val="single" w:color="auto" w:sz="4" w:space="0"/>
            </w:tcBorders>
            <w:vAlign w:val="center"/>
          </w:tcPr>
          <w:p>
            <w:pPr>
              <w:snapToGrid w:val="0"/>
              <w:spacing w:line="360" w:lineRule="auto"/>
              <w:jc w:val="center"/>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9</w:t>
            </w:r>
          </w:p>
        </w:tc>
        <w:tc>
          <w:tcPr>
            <w:tcW w:w="1843" w:type="dxa"/>
            <w:tcBorders>
              <w:left w:val="single" w:color="auto" w:sz="4" w:space="0"/>
              <w:bottom w:val="single" w:color="000000" w:sz="8" w:space="0"/>
              <w:right w:val="single" w:color="000000" w:sz="8" w:space="0"/>
            </w:tcBorders>
            <w:vAlign w:val="center"/>
          </w:tcPr>
          <w:p>
            <w:pPr>
              <w:snapToGrid w:val="0"/>
              <w:spacing w:line="360" w:lineRule="auto"/>
              <w:jc w:val="center"/>
              <w:rPr>
                <w:rFonts w:hint="default" w:cs="宋体" w:asciiTheme="minorEastAsia" w:hAnsiTheme="minorEastAsia" w:eastAsiaTheme="minorEastAsia"/>
                <w:b/>
                <w:color w:val="auto"/>
                <w:sz w:val="24"/>
                <w:lang w:val="en-US" w:eastAsia="zh-CN"/>
              </w:rPr>
            </w:pPr>
            <w:r>
              <w:rPr>
                <w:rFonts w:hint="eastAsia" w:cs="宋体" w:asciiTheme="minorEastAsia" w:hAnsiTheme="minorEastAsia" w:eastAsiaTheme="minorEastAsia"/>
                <w:b/>
                <w:color w:val="auto"/>
                <w:sz w:val="24"/>
                <w:lang w:val="en-US" w:eastAsia="zh-CN"/>
              </w:rPr>
              <w:t>澄清、修改</w:t>
            </w: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已获取磋商文件的潜在供应商，若有问题需要澄清，应于2024年10月9日16:30前，以书面形式（加盖单位公章发送至530325832@qq.com）向采购代理机构提出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color w:val="auto"/>
                <w:szCs w:val="21"/>
              </w:rPr>
            </w:pPr>
            <w:r>
              <w:rPr>
                <w:rFonts w:hint="eastAsia" w:cs="宋体" w:asciiTheme="minorEastAsia" w:hAnsiTheme="minorEastAsia" w:eastAsiaTheme="minorEastAsia"/>
                <w:color w:val="auto"/>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sz w:val="24"/>
                <w:lang w:val="en-US" w:eastAsia="zh-CN"/>
              </w:rPr>
              <w:t>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有关本项目实施所需的所有费用（含税费）均计入最后报价。《最后报价</w:t>
            </w:r>
            <w:r>
              <w:rPr>
                <w:rFonts w:hint="eastAsia" w:cs="宋体" w:asciiTheme="minorEastAsia" w:hAnsiTheme="minorEastAsia" w:eastAsiaTheme="minorEastAsia"/>
                <w:color w:val="auto"/>
                <w:sz w:val="24"/>
              </w:rPr>
              <w:t>一览表（报价表）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p>
          <w:p>
            <w:pPr>
              <w:snapToGrid w:val="0"/>
              <w:spacing w:line="360" w:lineRule="auto"/>
              <w:jc w:val="left"/>
              <w:rPr>
                <w:rFonts w:hint="eastAsia"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pPr>
              <w:snapToGrid w:val="0"/>
              <w:spacing w:line="360" w:lineRule="auto"/>
              <w:ind w:firstLine="241" w:firstLineChars="100"/>
              <w:jc w:val="left"/>
              <w:rPr>
                <w:rFonts w:hint="eastAsia"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pPr>
              <w:snapToGrid w:val="0"/>
              <w:spacing w:line="360" w:lineRule="auto"/>
              <w:ind w:firstLine="241" w:firstLineChars="100"/>
              <w:jc w:val="left"/>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pPr>
              <w:spacing w:line="360" w:lineRule="auto"/>
              <w:ind w:firstLine="241" w:firstLineChars="100"/>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pPr>
              <w:spacing w:line="360" w:lineRule="auto"/>
              <w:ind w:firstLine="241" w:firstLineChars="100"/>
              <w:rPr>
                <w:rFonts w:hint="eastAsia"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1"/>
              <w:spacing w:line="360" w:lineRule="auto"/>
              <w:rPr>
                <w:rFonts w:hint="eastAsia" w:cs="宋体" w:asciiTheme="minorEastAsia" w:hAnsiTheme="minorEastAsia" w:eastAsiaTheme="minorEastAsia"/>
                <w:color w:val="auto"/>
                <w:kern w:val="28"/>
                <w:sz w:val="24"/>
                <w:szCs w:val="24"/>
                <w:lang w:val="en-US" w:eastAsia="zh-CN"/>
              </w:rPr>
            </w:pPr>
            <w:r>
              <w:rPr>
                <w:rFonts w:hint="eastAsia" w:cs="宋体" w:asciiTheme="minorEastAsia" w:hAnsiTheme="minorEastAsia" w:eastAsiaTheme="minorEastAsia"/>
                <w:color w:val="auto"/>
                <w:kern w:val="28"/>
                <w:sz w:val="24"/>
                <w:szCs w:val="24"/>
                <w:lang w:val="en-US" w:eastAsia="zh-CN"/>
              </w:rPr>
              <w:t>备份文件送达截止时间：2024年10月14日16:30前；</w:t>
            </w:r>
          </w:p>
          <w:p>
            <w:pPr>
              <w:pStyle w:val="31"/>
              <w:spacing w:line="360" w:lineRule="auto"/>
              <w:rPr>
                <w:rFonts w:hint="eastAsia" w:cs="宋体" w:asciiTheme="minorEastAsia" w:hAnsiTheme="minorEastAsia" w:eastAsiaTheme="minorEastAsia"/>
                <w:color w:val="auto"/>
                <w:kern w:val="28"/>
                <w:sz w:val="24"/>
              </w:rPr>
            </w:pPr>
            <w:r>
              <w:rPr>
                <w:rFonts w:hint="eastAsia" w:cs="宋体" w:asciiTheme="minorEastAsia" w:hAnsiTheme="minorEastAsia" w:eastAsiaTheme="minorEastAsia"/>
                <w:color w:val="auto"/>
                <w:kern w:val="28"/>
                <w:sz w:val="24"/>
                <w:szCs w:val="24"/>
              </w:rPr>
              <w:t>备份响应文件送达地点：</w:t>
            </w:r>
            <w:r>
              <w:rPr>
                <w:rFonts w:hint="eastAsia" w:cs="宋体" w:asciiTheme="minorEastAsia" w:hAnsiTheme="minorEastAsia" w:eastAsiaTheme="minorEastAsia"/>
                <w:color w:val="auto"/>
                <w:sz w:val="24"/>
                <w:u w:val="single"/>
              </w:rPr>
              <w:t>耀华建设管理有限公司（杭州市中山北路632号越都商务大厦702室）张彬彬13889259991</w:t>
            </w:r>
            <w:r>
              <w:rPr>
                <w:rFonts w:hint="eastAsia" w:cs="宋体" w:asciiTheme="minorEastAsia" w:hAnsiTheme="minorEastAsia" w:eastAsiaTheme="minorEastAsia"/>
                <w:color w:val="auto"/>
                <w:kern w:val="28"/>
                <w:sz w:val="24"/>
                <w:szCs w:val="24"/>
              </w:rPr>
              <w:t>；备份响应文件签收人员联系电话：</w:t>
            </w:r>
            <w:r>
              <w:rPr>
                <w:rFonts w:cs="宋体" w:asciiTheme="minorEastAsia" w:hAnsiTheme="minorEastAsia" w:eastAsiaTheme="minorEastAsia"/>
                <w:color w:val="auto"/>
                <w:sz w:val="24"/>
                <w:u w:val="single"/>
              </w:rPr>
              <w:t>0571-85383936</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b/>
                <w:color w:val="auto"/>
                <w:sz w:val="24"/>
                <w:szCs w:val="24"/>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采购代理服务费及造价咨询服务费</w:t>
            </w: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1.招标代理费用收费标准：参照国家发改委《关于降低部分建设项目收费标准规范收费行为等有关问题的通知》（发改价格[2011]534号文）规定收费标准，按单个标段中标价对应不同服务类型的费率标准计算出代理费，乘以55％收取。</w:t>
            </w:r>
          </w:p>
          <w:p>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2.造价服务费：参照《浙江省物价局关于进一步完善工程造价咨询服务费的通知》（浙价服[2009]84号文）中的“清单计价法：工程量清单及预算、招标控制价的编制或审核”计费费率，以单个标段中标价为计费基数，计算出的造价服务费，乘以46％收取。</w:t>
            </w:r>
          </w:p>
          <w:p>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本次采购代理费由采购人支付。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15</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napToGrid w:val="0"/>
                <w:color w:val="auto"/>
                <w:kern w:val="28"/>
                <w:sz w:val="24"/>
              </w:rPr>
            </w:pPr>
            <w:r>
              <w:rPr>
                <w:rFonts w:ascii="宋体" w:hAnsi="宋体" w:cs="宋体"/>
                <w:snapToGrid w:val="0"/>
                <w:color w:val="auto"/>
                <w:kern w:val="28"/>
                <w:sz w:val="24"/>
              </w:rPr>
              <w:t>供应商提供的履约保证金为合同价的</w:t>
            </w:r>
            <w:r>
              <w:rPr>
                <w:rFonts w:hint="eastAsia" w:ascii="宋体" w:hAnsi="宋体" w:cs="宋体"/>
                <w:snapToGrid w:val="0"/>
                <w:color w:val="auto"/>
                <w:kern w:val="28"/>
                <w:sz w:val="24"/>
              </w:rPr>
              <w:t>1</w:t>
            </w:r>
            <w:r>
              <w:rPr>
                <w:rFonts w:ascii="宋体" w:hAnsi="宋体" w:cs="宋体"/>
                <w:snapToGrid w:val="0"/>
                <w:color w:val="auto"/>
                <w:kern w:val="28"/>
                <w:sz w:val="24"/>
              </w:rPr>
              <w:t>%。履约保证金可以用现金（电汇或银行汇票形式）或工程保函（银行保函或保险机构保证保险保单或融资担保公司保函）等形式交纳。</w:t>
            </w:r>
          </w:p>
        </w:tc>
      </w:tr>
    </w:tbl>
    <w:p>
      <w:pPr>
        <w:snapToGrid w:val="0"/>
        <w:jc w:val="center"/>
        <w:rPr>
          <w:rFonts w:hint="eastAsia" w:cs="仿宋_GB2312" w:asciiTheme="minorEastAsia" w:hAnsiTheme="minorEastAsia" w:eastAsiaTheme="minorEastAsia"/>
          <w:b/>
          <w:color w:val="auto"/>
          <w:sz w:val="32"/>
          <w:szCs w:val="20"/>
        </w:rPr>
      </w:pPr>
    </w:p>
    <w:p>
      <w:pPr>
        <w:adjustRightInd/>
        <w:spacing w:line="360" w:lineRule="auto"/>
        <w:ind w:firstLine="3845" w:firstLineChars="1197"/>
        <w:outlineLvl w:val="0"/>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pPr>
        <w:snapToGrid w:val="0"/>
        <w:spacing w:line="360" w:lineRule="auto"/>
        <w:jc w:val="left"/>
        <w:outlineLvl w:val="1"/>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pPr>
        <w:snapToGrid w:val="0"/>
        <w:spacing w:line="360" w:lineRule="auto"/>
        <w:ind w:firstLine="480" w:firstLineChars="2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pPr>
        <w:adjustRightInd/>
        <w:spacing w:line="360" w:lineRule="auto"/>
        <w:outlineLvl w:val="0"/>
        <w:rPr>
          <w:rFonts w:hint="eastAsia"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2.2 “采购代理机构”系指磋商邀请公告中载明的本项目的采购代理机构。</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2.7“电子交易平台”系指本项目政府采购活动所依托的政府采购云平台（</w:t>
      </w:r>
      <w:r>
        <w:rPr>
          <w:color w:val="auto"/>
        </w:rPr>
        <w:fldChar w:fldCharType="begin"/>
      </w:r>
      <w:r>
        <w:rPr>
          <w:color w:val="auto"/>
        </w:rPr>
        <w:instrText xml:space="preserve">HYPERLINK "https://www.zcygov.cn/"</w:instrText>
      </w:r>
      <w:r>
        <w:rPr>
          <w:color w:val="auto"/>
        </w:rP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color w:val="auto"/>
          <w:sz w:val="24"/>
        </w:rPr>
        <w:t>）。</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2.9 </w:t>
      </w:r>
      <w:r>
        <w:rPr>
          <w:rFonts w:hint="eastAsia" w:asciiTheme="minorEastAsia" w:hAnsiTheme="minorEastAsia" w:eastAsiaTheme="minorEastAsia"/>
          <w:color w:val="auto"/>
          <w:sz w:val="24"/>
          <w:u w:val="single"/>
        </w:rPr>
        <w:t>“书面形式”包括数据电文形式与纸质形式。数据电文形式与纸质形式的采购活动具有同等法律效力。</w:t>
      </w:r>
    </w:p>
    <w:p>
      <w:pPr>
        <w:snapToGrid w:val="0"/>
        <w:spacing w:line="360" w:lineRule="auto"/>
        <w:ind w:firstLine="480" w:firstLineChars="200"/>
        <w:jc w:val="left"/>
        <w:rPr>
          <w:rFonts w:hint="eastAsia"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w:t>
      </w:r>
      <w:sdt>
        <w:sdtPr>
          <w:rPr>
            <w:rFonts w:hint="eastAsia" w:cs="宋体" w:asciiTheme="minorEastAsia" w:hAnsiTheme="minorEastAsia" w:eastAsiaTheme="minorEastAsia"/>
            <w:color w:val="auto"/>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cs="宋体" w:asciiTheme="minorEastAsia" w:hAnsiTheme="minorEastAsia" w:eastAsiaTheme="minorEastAsia"/>
              <w:color w:val="auto"/>
              <w:kern w:val="0"/>
              <w:sz w:val="24"/>
            </w:rPr>
            <w:sym w:font="Wingdings" w:char="F0FE"/>
          </w:r>
        </w:sdtContent>
      </w:sdt>
      <w:r>
        <w:rPr>
          <w:rFonts w:hint="eastAsia" w:cs="宋体" w:asciiTheme="minorEastAsia" w:hAnsiTheme="minorEastAsia" w:eastAsiaTheme="minorEastAsia"/>
          <w:color w:val="auto"/>
          <w:sz w:val="24"/>
        </w:rPr>
        <w:t>” 系指适用本项目的要求，“</w:t>
      </w:r>
      <w:sdt>
        <w:sdtPr>
          <w:rPr>
            <w:rFonts w:hint="eastAsia" w:cs="宋体" w:asciiTheme="minorEastAsia" w:hAnsiTheme="minorEastAsia" w:eastAsiaTheme="minorEastAsia"/>
            <w:color w:val="auto"/>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 系指不适用本项目的要求。</w:t>
      </w:r>
    </w:p>
    <w:p>
      <w:pPr>
        <w:adjustRightInd/>
        <w:spacing w:line="360" w:lineRule="auto"/>
        <w:outlineLvl w:val="0"/>
        <w:rPr>
          <w:rFonts w:hint="eastAsia"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pPr>
        <w:spacing w:line="360" w:lineRule="auto"/>
        <w:ind w:firstLine="480" w:firstLineChars="200"/>
        <w:rPr>
          <w:rFonts w:hint="eastAsia"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响应有效期为从提交响应文件的截止之日起90天。供应商的响应文件中承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pPr>
        <w:pStyle w:val="392"/>
        <w:spacing w:before="0"/>
        <w:ind w:firstLine="480"/>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pPr>
        <w:pStyle w:val="392"/>
        <w:spacing w:before="0"/>
        <w:ind w:firstLine="480"/>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pPr>
        <w:tabs>
          <w:tab w:val="left" w:pos="3780"/>
        </w:tabs>
        <w:spacing w:line="360" w:lineRule="auto"/>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pPr>
        <w:pStyle w:val="31"/>
        <w:spacing w:line="360" w:lineRule="auto"/>
        <w:ind w:firstLine="360" w:firstLineChars="150"/>
        <w:rPr>
          <w:rFonts w:hint="eastAsia"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pPr>
        <w:spacing w:line="360" w:lineRule="auto"/>
        <w:jc w:val="center"/>
        <w:rPr>
          <w:rFonts w:hint="eastAsia" w:cs="仿宋_GB2312" w:asciiTheme="minorEastAsia" w:hAnsiTheme="minorEastAsia" w:eastAsiaTheme="minorEastAsia"/>
          <w:b/>
          <w:color w:val="auto"/>
          <w:sz w:val="24"/>
        </w:rPr>
      </w:pPr>
    </w:p>
    <w:p>
      <w:pPr>
        <w:adjustRightInd/>
        <w:spacing w:line="360" w:lineRule="auto"/>
        <w:jc w:val="center"/>
        <w:outlineLvl w:val="0"/>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pPr>
        <w:pStyle w:val="392"/>
        <w:spacing w:before="0"/>
        <w:ind w:firstLine="0" w:firstLineChars="0"/>
        <w:rPr>
          <w:rFonts w:hint="eastAsia"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pPr>
        <w:pStyle w:val="31"/>
        <w:spacing w:line="360" w:lineRule="auto"/>
        <w:ind w:firstLine="360" w:firstLineChars="15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pPr>
        <w:spacing w:line="360" w:lineRule="auto"/>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pPr>
        <w:spacing w:line="360" w:lineRule="auto"/>
        <w:ind w:firstLine="480" w:firstLineChars="200"/>
        <w:rPr>
          <w:rFonts w:hint="eastAsia"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pPr>
        <w:spacing w:line="360" w:lineRule="auto"/>
        <w:ind w:firstLine="480" w:firstLineChars="200"/>
        <w:rPr>
          <w:rFonts w:hint="eastAsia"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cs="宋体"/>
          <w:color w:val="auto"/>
          <w:sz w:val="24"/>
        </w:rPr>
      </w:pPr>
      <w:r>
        <w:rPr>
          <w:rFonts w:ascii="宋体" w:hAnsi="宋体" w:cs="宋体"/>
          <w:color w:val="auto"/>
          <w:sz w:val="24"/>
        </w:rPr>
        <w:t xml:space="preserve">2.4 </w:t>
      </w:r>
      <w:r>
        <w:rPr>
          <w:rFonts w:hint="eastAsia" w:ascii="宋体" w:hAnsi="宋体" w:cs="宋体"/>
          <w:color w:val="auto"/>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hint="eastAsia" w:ascii="宋体" w:hAnsi="宋体" w:cs="宋体"/>
          <w:color w:val="auto"/>
          <w:sz w:val="24"/>
        </w:rPr>
      </w:pPr>
    </w:p>
    <w:p>
      <w:pPr>
        <w:pStyle w:val="31"/>
        <w:spacing w:line="360" w:lineRule="auto"/>
        <w:rPr>
          <w:rFonts w:hint="eastAsia"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pPr>
        <w:widowControl/>
        <w:spacing w:line="360" w:lineRule="auto"/>
        <w:ind w:firstLine="480" w:firstLineChars="200"/>
        <w:jc w:val="left"/>
        <w:rPr>
          <w:rFonts w:hint="eastAsia"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pPr>
        <w:widowControl/>
        <w:spacing w:line="360" w:lineRule="auto"/>
        <w:ind w:firstLine="480" w:firstLineChars="200"/>
        <w:jc w:val="left"/>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pPr>
        <w:spacing w:line="360" w:lineRule="auto"/>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4.1 采购人优先采购被认定为首台套产品和“制造精品”的自主创新产品。</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pPr>
        <w:spacing w:line="360" w:lineRule="auto"/>
        <w:ind w:firstLine="480" w:firstLineChars="200"/>
        <w:rPr>
          <w:rFonts w:hint="eastAsia" w:asciiTheme="minorEastAsia" w:hAnsiTheme="minorEastAsia" w:eastAsiaTheme="minorEastAsia"/>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pPr>
        <w:spacing w:line="360" w:lineRule="auto"/>
        <w:ind w:firstLine="480" w:firstLineChars="200"/>
        <w:rPr>
          <w:rFonts w:hint="eastAsia" w:asciiTheme="minorEastAsia" w:hAnsiTheme="minorEastAsia" w:eastAsiaTheme="minorEastAsia"/>
          <w:color w:val="auto"/>
          <w:sz w:val="24"/>
        </w:rPr>
      </w:pPr>
    </w:p>
    <w:p>
      <w:pPr>
        <w:adjustRightInd/>
        <w:spacing w:line="360" w:lineRule="auto"/>
        <w:jc w:val="center"/>
        <w:outlineLvl w:val="0"/>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w:t>
      </w:r>
    </w:p>
    <w:p>
      <w:pPr>
        <w:pStyle w:val="31"/>
        <w:spacing w:line="360" w:lineRule="auto"/>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pPr>
        <w:pStyle w:val="31"/>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pPr>
        <w:autoSpaceDE w:val="0"/>
        <w:autoSpaceDN w:val="0"/>
        <w:spacing w:line="360" w:lineRule="auto"/>
        <w:ind w:firstLine="480" w:firstLineChars="200"/>
        <w:jc w:val="left"/>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pPr>
        <w:pStyle w:val="31"/>
        <w:spacing w:line="360" w:lineRule="auto"/>
        <w:ind w:firstLine="482" w:firstLineChars="200"/>
        <w:rPr>
          <w:rFonts w:hint="eastAsia"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pPr>
        <w:pStyle w:val="31"/>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pPr>
        <w:pStyle w:val="31"/>
        <w:spacing w:line="360" w:lineRule="auto"/>
        <w:ind w:firstLine="480" w:firstLineChars="200"/>
        <w:rPr>
          <w:rFonts w:hint="eastAsia"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34" w:firstLineChars="181"/>
        <w:rPr>
          <w:rFonts w:hint="eastAsia"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1"/>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pPr>
        <w:pStyle w:val="31"/>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pPr>
        <w:pStyle w:val="31"/>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pPr>
        <w:pStyle w:val="31"/>
        <w:spacing w:line="360" w:lineRule="auto"/>
        <w:ind w:firstLine="482" w:firstLineChars="200"/>
        <w:rPr>
          <w:rFonts w:hint="eastAsia"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3.2质疑函</w:t>
      </w:r>
    </w:p>
    <w:p>
      <w:pPr>
        <w:pStyle w:val="31"/>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3.2.1供应商提出质疑应当提交质疑函和必要的证明材料。质疑函应当包括下列内容：</w:t>
      </w:r>
    </w:p>
    <w:p>
      <w:pPr>
        <w:pStyle w:val="31"/>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pPr>
        <w:pStyle w:val="31"/>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pPr>
        <w:pStyle w:val="31"/>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pPr>
        <w:pStyle w:val="31"/>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pPr>
        <w:pStyle w:val="31"/>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pPr>
        <w:pStyle w:val="31"/>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pPr>
        <w:pStyle w:val="31"/>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pPr>
        <w:pStyle w:val="31"/>
        <w:spacing w:line="360" w:lineRule="auto"/>
        <w:ind w:firstLine="482" w:firstLineChars="200"/>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pPr>
        <w:spacing w:line="360" w:lineRule="auto"/>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pPr>
        <w:pStyle w:val="31"/>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pPr>
        <w:pStyle w:val="31"/>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pPr>
        <w:pStyle w:val="31"/>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pPr>
        <w:pStyle w:val="31"/>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pPr>
        <w:pStyle w:val="31"/>
        <w:spacing w:line="360" w:lineRule="auto"/>
        <w:ind w:firstLine="482" w:firstLineChars="200"/>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投诉书范本及制作说明详见附件</w:t>
      </w: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w:t>
      </w:r>
    </w:p>
    <w:p>
      <w:pPr>
        <w:rPr>
          <w:color w:val="auto"/>
        </w:rPr>
      </w:pPr>
    </w:p>
    <w:p>
      <w:pPr>
        <w:adjustRightInd/>
        <w:spacing w:line="360" w:lineRule="auto"/>
        <w:jc w:val="center"/>
        <w:outlineLvl w:val="0"/>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pPr>
        <w:autoSpaceDE w:val="0"/>
        <w:autoSpaceDN w:val="0"/>
        <w:spacing w:line="360" w:lineRule="auto"/>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pPr>
        <w:pStyle w:val="31"/>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pPr>
        <w:pStyle w:val="31"/>
        <w:numPr>
          <w:ilvl w:val="0"/>
          <w:numId w:val="4"/>
        </w:numPr>
        <w:spacing w:line="360" w:lineRule="auto"/>
        <w:ind w:left="839"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供应商邀请</w:t>
      </w:r>
    </w:p>
    <w:p>
      <w:pPr>
        <w:pStyle w:val="31"/>
        <w:numPr>
          <w:ilvl w:val="0"/>
          <w:numId w:val="4"/>
        </w:numPr>
        <w:spacing w:line="360" w:lineRule="auto"/>
        <w:ind w:left="839"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pPr>
        <w:pStyle w:val="31"/>
        <w:numPr>
          <w:ilvl w:val="0"/>
          <w:numId w:val="4"/>
        </w:numPr>
        <w:spacing w:line="360" w:lineRule="auto"/>
        <w:ind w:left="839"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pPr>
        <w:pStyle w:val="31"/>
        <w:numPr>
          <w:ilvl w:val="0"/>
          <w:numId w:val="4"/>
        </w:numPr>
        <w:spacing w:line="360" w:lineRule="auto"/>
        <w:ind w:left="839"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pPr>
        <w:pStyle w:val="31"/>
        <w:numPr>
          <w:ilvl w:val="0"/>
          <w:numId w:val="4"/>
        </w:numPr>
        <w:spacing w:line="360" w:lineRule="auto"/>
        <w:ind w:left="839"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pPr>
        <w:pStyle w:val="31"/>
        <w:numPr>
          <w:ilvl w:val="0"/>
          <w:numId w:val="4"/>
        </w:numPr>
        <w:spacing w:line="360" w:lineRule="auto"/>
        <w:ind w:left="839"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pPr>
        <w:pStyle w:val="31"/>
        <w:numPr>
          <w:ilvl w:val="0"/>
          <w:numId w:val="4"/>
        </w:numPr>
        <w:spacing w:line="360" w:lineRule="auto"/>
        <w:ind w:left="839"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报价清单</w:t>
      </w:r>
    </w:p>
    <w:p>
      <w:pPr>
        <w:pStyle w:val="31"/>
        <w:numPr>
          <w:ilvl w:val="0"/>
          <w:numId w:val="4"/>
        </w:numPr>
        <w:spacing w:line="360" w:lineRule="auto"/>
        <w:ind w:left="839"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应提交的有关格式范例</w:t>
      </w:r>
    </w:p>
    <w:p>
      <w:pPr>
        <w:pStyle w:val="31"/>
        <w:numPr>
          <w:ilvl w:val="0"/>
          <w:numId w:val="4"/>
        </w:numPr>
        <w:spacing w:line="360" w:lineRule="auto"/>
        <w:ind w:left="839"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第九部分  最后报价格式</w:t>
      </w:r>
    </w:p>
    <w:p>
      <w:pPr>
        <w:pStyle w:val="31"/>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pPr>
        <w:pStyle w:val="31"/>
        <w:spacing w:line="360" w:lineRule="auto"/>
        <w:rPr>
          <w:rFonts w:hint="eastAsia"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pPr>
        <w:pStyle w:val="392"/>
        <w:snapToGrid w:val="0"/>
        <w:spacing w:before="0"/>
        <w:ind w:firstLine="480"/>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w:t>
      </w:r>
      <w:r>
        <w:rPr>
          <w:rFonts w:hint="eastAsia" w:cs="仿宋_GB2312" w:asciiTheme="minorEastAsia" w:hAnsiTheme="minorEastAsia" w:eastAsiaTheme="minorEastAsia"/>
          <w:color w:val="auto"/>
          <w:lang w:val="en-US" w:eastAsia="zh-CN"/>
        </w:rPr>
        <w:t>前附表规定的</w:t>
      </w:r>
      <w:r>
        <w:rPr>
          <w:rFonts w:hint="eastAsia" w:cs="仿宋_GB2312" w:asciiTheme="minorEastAsia" w:hAnsiTheme="minorEastAsia" w:eastAsiaTheme="minorEastAsia"/>
          <w:color w:val="auto"/>
        </w:rPr>
        <w:t>截止时间前，以书面形式向采购代理机构提出。</w:t>
      </w:r>
    </w:p>
    <w:p>
      <w:pPr>
        <w:pStyle w:val="392"/>
        <w:snapToGrid w:val="0"/>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pPr>
        <w:pStyle w:val="392"/>
        <w:snapToGrid w:val="0"/>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通知所有获取磋商文件的供应商；不足5日的，采购人、采购代理机构应当顺延提交首次响应文件截止时间。</w:t>
      </w:r>
    </w:p>
    <w:p>
      <w:pPr>
        <w:pStyle w:val="392"/>
        <w:snapToGrid w:val="0"/>
        <w:spacing w:before="0"/>
        <w:ind w:firstLine="482"/>
        <w:rPr>
          <w:rFonts w:hint="eastAsia"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pPr>
        <w:pStyle w:val="22"/>
        <w:rPr>
          <w:rFonts w:hint="eastAsia" w:cs="仿宋_GB2312" w:asciiTheme="minorEastAsia" w:hAnsiTheme="minorEastAsia" w:eastAsiaTheme="minorEastAsia"/>
          <w:color w:val="auto"/>
          <w:sz w:val="18"/>
          <w:szCs w:val="18"/>
          <w:lang w:val="en-US"/>
        </w:rPr>
      </w:pPr>
      <w:r>
        <w:rPr>
          <w:rFonts w:hint="eastAsia" w:cs="仿宋_GB2312" w:asciiTheme="minorEastAsia" w:hAnsiTheme="minorEastAsia" w:eastAsiaTheme="minorEastAsia"/>
          <w:color w:val="auto"/>
          <w:szCs w:val="24"/>
          <w:lang w:val="en-US"/>
        </w:rPr>
        <w:t xml:space="preserve">    </w:t>
      </w:r>
    </w:p>
    <w:p>
      <w:pPr>
        <w:adjustRightInd/>
        <w:spacing w:line="360" w:lineRule="auto"/>
        <w:jc w:val="center"/>
        <w:outlineLvl w:val="0"/>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pPr>
        <w:pStyle w:val="31"/>
        <w:spacing w:line="360" w:lineRule="auto"/>
        <w:rPr>
          <w:rFonts w:hint="eastAsia"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pPr>
        <w:pStyle w:val="31"/>
        <w:spacing w:line="360" w:lineRule="auto"/>
        <w:ind w:firstLine="480" w:firstLineChars="200"/>
        <w:rPr>
          <w:rFonts w:hint="eastAsia"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pPr>
        <w:pStyle w:val="31"/>
        <w:spacing w:line="360" w:lineRule="auto"/>
        <w:rPr>
          <w:rFonts w:hint="eastAsia"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pPr>
        <w:pStyle w:val="31"/>
        <w:spacing w:line="360" w:lineRule="auto"/>
        <w:ind w:firstLine="480" w:firstLineChars="200"/>
        <w:rPr>
          <w:rFonts w:hint="eastAsia"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响应文件应当包括以下主要内容：</w:t>
      </w:r>
    </w:p>
    <w:p>
      <w:pPr>
        <w:pStyle w:val="31"/>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（1）响应函</w:t>
      </w:r>
    </w:p>
    <w:p>
      <w:pPr>
        <w:pStyle w:val="31"/>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（2）资格文件</w:t>
      </w:r>
    </w:p>
    <w:p>
      <w:pPr>
        <w:pStyle w:val="31"/>
        <w:spacing w:line="360" w:lineRule="auto"/>
        <w:ind w:firstLine="480" w:firstLineChars="200"/>
        <w:rPr>
          <w:rFonts w:hint="eastAsia"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A、</w:t>
      </w:r>
      <w:r>
        <w:rPr>
          <w:rFonts w:hint="eastAsia" w:cs="宋体" w:asciiTheme="minorEastAsia" w:hAnsiTheme="minorEastAsia" w:eastAsiaTheme="minorEastAsia"/>
          <w:color w:val="auto"/>
          <w:sz w:val="24"/>
        </w:rPr>
        <w:t>符合参加政府采购活动应当具备的一般条件的承诺函；</w:t>
      </w:r>
    </w:p>
    <w:p>
      <w:pPr>
        <w:pStyle w:val="31"/>
        <w:spacing w:line="360" w:lineRule="auto"/>
        <w:ind w:firstLine="480" w:firstLineChars="200"/>
        <w:rPr>
          <w:rFonts w:hint="eastAsia"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B</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落实政府采购政策需满足的资格要求</w:t>
      </w:r>
      <w:r>
        <w:rPr>
          <w:rFonts w:hint="eastAsia" w:cs="宋体" w:asciiTheme="minorEastAsia" w:hAnsiTheme="minorEastAsia" w:eastAsiaTheme="minorEastAsia"/>
          <w:snapToGrid w:val="0"/>
          <w:color w:val="auto"/>
          <w:kern w:val="28"/>
          <w:sz w:val="24"/>
        </w:rPr>
        <w:t>（如果有)；</w:t>
      </w:r>
    </w:p>
    <w:p>
      <w:pPr>
        <w:pStyle w:val="31"/>
        <w:spacing w:line="360" w:lineRule="auto"/>
        <w:ind w:firstLine="480" w:firstLineChars="20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C、符合特定资格条件的有关证明材料。</w:t>
      </w:r>
      <w:r>
        <w:rPr>
          <w:rFonts w:hint="eastAsia" w:cs="仿宋_GB2312" w:asciiTheme="minorEastAsia" w:hAnsiTheme="minorEastAsia" w:eastAsiaTheme="minorEastAsia"/>
          <w:color w:val="auto"/>
          <w:sz w:val="24"/>
        </w:rPr>
        <w:tab/>
      </w:r>
      <w:r>
        <w:rPr>
          <w:rFonts w:cs="仿宋_GB2312" w:asciiTheme="minorEastAsia" w:hAnsiTheme="minorEastAsia" w:eastAsiaTheme="minorEastAsia"/>
          <w:color w:val="auto"/>
          <w:sz w:val="24"/>
        </w:rPr>
        <w:t xml:space="preserve"> </w:t>
      </w:r>
    </w:p>
    <w:p>
      <w:pPr>
        <w:pStyle w:val="31"/>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hAnsi="宋体" w:cs="宋体"/>
          <w:color w:val="auto"/>
          <w:sz w:val="24"/>
        </w:rPr>
        <w:t>法定代表人身份证明或法定代表人的授权委托书；</w:t>
      </w:r>
    </w:p>
    <w:p>
      <w:pPr>
        <w:pStyle w:val="31"/>
        <w:spacing w:line="360" w:lineRule="auto"/>
        <w:ind w:firstLine="480" w:firstLineChars="200"/>
        <w:rPr>
          <w:rFonts w:hint="eastAsia"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（4）</w:t>
      </w:r>
      <w:r>
        <w:rPr>
          <w:rFonts w:hint="eastAsia" w:cs="宋体" w:asciiTheme="minorEastAsia" w:hAnsiTheme="minorEastAsia" w:eastAsiaTheme="minorEastAsia"/>
          <w:color w:val="auto"/>
          <w:sz w:val="24"/>
        </w:rPr>
        <w:t>分包承诺书</w:t>
      </w:r>
      <w:r>
        <w:rPr>
          <w:rFonts w:hint="eastAsia" w:cs="宋体" w:asciiTheme="minorEastAsia" w:hAnsiTheme="minorEastAsia" w:eastAsiaTheme="minorEastAsia"/>
          <w:snapToGrid w:val="0"/>
          <w:color w:val="auto"/>
          <w:kern w:val="28"/>
          <w:sz w:val="24"/>
        </w:rPr>
        <w:t>（如果有)</w:t>
      </w:r>
      <w:r>
        <w:rPr>
          <w:rFonts w:hint="eastAsia" w:cs="仿宋_GB2312" w:asciiTheme="minorEastAsia" w:hAnsiTheme="minorEastAsia" w:eastAsiaTheme="minorEastAsia"/>
          <w:color w:val="auto"/>
          <w:kern w:val="0"/>
          <w:sz w:val="24"/>
          <w:lang w:val="zh-CN"/>
        </w:rPr>
        <w:t>；</w:t>
      </w:r>
    </w:p>
    <w:p>
      <w:pPr>
        <w:pStyle w:val="31"/>
        <w:spacing w:line="360" w:lineRule="auto"/>
        <w:ind w:firstLine="480" w:firstLineChars="200"/>
        <w:rPr>
          <w:rFonts w:hint="eastAsia"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（5）所有资信文件</w:t>
      </w:r>
      <w:r>
        <w:rPr>
          <w:rFonts w:hint="eastAsia" w:cs="宋体" w:asciiTheme="minorEastAsia" w:hAnsiTheme="minorEastAsia" w:eastAsiaTheme="minorEastAsia"/>
          <w:color w:val="auto"/>
          <w:kern w:val="0"/>
          <w:sz w:val="24"/>
        </w:rPr>
        <w:t>（如果有）；</w:t>
      </w:r>
    </w:p>
    <w:p>
      <w:pPr>
        <w:pStyle w:val="31"/>
        <w:spacing w:line="360" w:lineRule="auto"/>
        <w:ind w:firstLine="480" w:firstLineChars="200"/>
        <w:rPr>
          <w:rFonts w:hint="eastAsia" w:cs="仿宋_GB2312" w:asciiTheme="minorEastAsia" w:hAnsiTheme="minorEastAsia" w:eastAsiaTheme="minorEastAsia"/>
          <w:b/>
          <w:color w:val="auto"/>
          <w:sz w:val="24"/>
          <w:szCs w:val="24"/>
        </w:rPr>
      </w:pPr>
      <w:r>
        <w:rPr>
          <w:rFonts w:hint="eastAsia" w:asciiTheme="minorEastAsia" w:hAnsiTheme="minorEastAsia" w:eastAsiaTheme="minorEastAsia"/>
          <w:snapToGrid w:val="0"/>
          <w:color w:val="auto"/>
          <w:sz w:val="24"/>
        </w:rPr>
        <w:t>（6）</w:t>
      </w:r>
      <w:r>
        <w:rPr>
          <w:rFonts w:hint="eastAsia" w:asciiTheme="minorEastAsia" w:hAnsiTheme="minorEastAsia" w:eastAsiaTheme="minorEastAsia"/>
          <w:color w:val="auto"/>
          <w:kern w:val="0"/>
          <w:sz w:val="24"/>
          <w:lang w:val="zh-CN"/>
        </w:rPr>
        <w:t>关于对磋商文件中有关条款的拒绝声明 (如果有)</w:t>
      </w:r>
      <w:r>
        <w:rPr>
          <w:rFonts w:hint="eastAsia" w:asciiTheme="minorEastAsia" w:hAnsiTheme="minorEastAsia" w:eastAsiaTheme="minorEastAsia"/>
          <w:color w:val="auto"/>
          <w:sz w:val="24"/>
          <w:lang w:val="zh-CN"/>
        </w:rPr>
        <w:t xml:space="preserve"> ；</w:t>
      </w:r>
    </w:p>
    <w:p>
      <w:pPr>
        <w:pStyle w:val="31"/>
        <w:spacing w:line="360" w:lineRule="auto"/>
        <w:ind w:firstLine="480" w:firstLineChars="200"/>
        <w:rPr>
          <w:rFonts w:hint="eastAsia"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（7）</w:t>
      </w:r>
      <w:r>
        <w:rPr>
          <w:rFonts w:hint="eastAsia" w:asciiTheme="minorEastAsia" w:hAnsiTheme="minorEastAsia" w:eastAsiaTheme="minorEastAsia"/>
          <w:color w:val="auto"/>
          <w:kern w:val="0"/>
          <w:sz w:val="24"/>
          <w:lang w:val="zh-CN"/>
        </w:rPr>
        <w:t>认为需要的其他商务文件或说明 (如果有) ；</w:t>
      </w:r>
    </w:p>
    <w:p>
      <w:pPr>
        <w:pStyle w:val="31"/>
        <w:spacing w:line="360" w:lineRule="auto"/>
        <w:ind w:firstLine="480" w:firstLineChars="200"/>
        <w:rPr>
          <w:rFonts w:hint="eastAsia" w:asciiTheme="minorEastAsia" w:hAnsiTheme="minorEastAsia" w:eastAsiaTheme="minorEastAsia"/>
          <w:color w:val="auto"/>
          <w:kern w:val="0"/>
          <w:sz w:val="24"/>
          <w:lang w:val="zh-CN"/>
        </w:rPr>
      </w:pPr>
      <w:r>
        <w:rPr>
          <w:rFonts w:hint="eastAsia" w:asciiTheme="minorEastAsia" w:hAnsiTheme="minorEastAsia" w:eastAsiaTheme="minorEastAsia"/>
          <w:color w:val="auto"/>
          <w:kern w:val="0"/>
          <w:sz w:val="24"/>
          <w:lang w:val="zh-CN"/>
        </w:rPr>
        <w:t>（8）拟投入检测驻地设施设备及检测工程师、检测员承诺书</w:t>
      </w:r>
    </w:p>
    <w:p>
      <w:pPr>
        <w:pStyle w:val="31"/>
        <w:spacing w:line="360" w:lineRule="auto"/>
        <w:ind w:firstLine="480" w:firstLineChars="200"/>
        <w:rPr>
          <w:rFonts w:hint="eastAsia"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szCs w:val="24"/>
        </w:rPr>
        <w:t>（9）</w:t>
      </w:r>
      <w:r>
        <w:rPr>
          <w:rFonts w:hint="eastAsia" w:asciiTheme="minorEastAsia" w:hAnsiTheme="minorEastAsia" w:eastAsiaTheme="minorEastAsia"/>
          <w:color w:val="auto"/>
          <w:sz w:val="24"/>
          <w:lang w:val="zh-CN"/>
        </w:rPr>
        <w:t>技术文件。</w:t>
      </w:r>
    </w:p>
    <w:p>
      <w:pPr>
        <w:pStyle w:val="31"/>
        <w:spacing w:line="360" w:lineRule="auto"/>
        <w:ind w:firstLine="480" w:firstLineChars="200"/>
        <w:rPr>
          <w:rFonts w:hint="eastAsia" w:cs="仿宋_GB2312"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sz w:val="24"/>
          <w:szCs w:val="24"/>
        </w:rPr>
        <w:t>（10）</w:t>
      </w:r>
      <w:r>
        <w:rPr>
          <w:rFonts w:hint="eastAsia" w:cs="仿宋_GB2312" w:asciiTheme="minorEastAsia" w:hAnsiTheme="minorEastAsia" w:eastAsiaTheme="minorEastAsia"/>
          <w:color w:val="auto"/>
          <w:kern w:val="0"/>
          <w:sz w:val="24"/>
          <w:szCs w:val="24"/>
          <w:lang w:val="zh-CN"/>
        </w:rPr>
        <w:t>供应商认为需要的其他技术文件或说明（如果有）；</w:t>
      </w:r>
    </w:p>
    <w:p>
      <w:pPr>
        <w:pStyle w:val="31"/>
        <w:spacing w:line="360" w:lineRule="auto"/>
        <w:ind w:firstLine="480" w:firstLineChars="200"/>
        <w:rPr>
          <w:rFonts w:hint="eastAsia"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1）</w:t>
      </w:r>
      <w:r>
        <w:rPr>
          <w:rFonts w:hint="eastAsia" w:cs="仿宋_GB2312" w:asciiTheme="minorEastAsia" w:hAnsiTheme="minorEastAsia" w:eastAsiaTheme="minorEastAsia"/>
          <w:color w:val="auto"/>
          <w:kern w:val="0"/>
          <w:sz w:val="24"/>
          <w:lang w:val="zh-CN"/>
        </w:rPr>
        <w:t>政府采购供应商廉洁自律承诺书。</w:t>
      </w:r>
    </w:p>
    <w:p>
      <w:pPr>
        <w:pStyle w:val="31"/>
        <w:spacing w:line="360" w:lineRule="auto"/>
        <w:ind w:firstLine="482" w:firstLineChars="200"/>
        <w:rPr>
          <w:rFonts w:hint="eastAsia"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pPr>
        <w:spacing w:line="360" w:lineRule="auto"/>
        <w:ind w:firstLine="480" w:firstLineChars="200"/>
        <w:rPr>
          <w:rFonts w:hint="eastAsia"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w:t>
      </w:r>
      <w:r>
        <w:rPr>
          <w:rFonts w:hint="eastAsia" w:cs="仿宋_GB2312" w:asciiTheme="minorEastAsia" w:hAnsiTheme="minorEastAsia" w:eastAsiaTheme="minorEastAsia"/>
          <w:color w:val="auto"/>
          <w:kern w:val="0"/>
          <w:sz w:val="24"/>
        </w:rPr>
        <w:t>八</w:t>
      </w:r>
      <w:r>
        <w:rPr>
          <w:rFonts w:hint="eastAsia" w:cs="仿宋_GB2312" w:asciiTheme="minorEastAsia" w:hAnsiTheme="minorEastAsia" w:eastAsiaTheme="minorEastAsia"/>
          <w:color w:val="auto"/>
          <w:kern w:val="0"/>
          <w:sz w:val="24"/>
          <w:lang w:val="zh-CN"/>
        </w:rPr>
        <w:t>部分规定的格式进行，混乱的编排导致响应文件被误读或磋商小组查找不到有效文件是供应商的风险。</w:t>
      </w:r>
    </w:p>
    <w:p>
      <w:pPr>
        <w:spacing w:line="360" w:lineRule="auto"/>
        <w:ind w:firstLine="480" w:firstLineChars="200"/>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3.3使用“政采云电子交易客户端”需要提前申领CA数字证书，申领流程请自行前往“浙江政府采购网-下载专区-电子交易客户端-CA驱动和申领流程”进行查阅。</w:t>
      </w:r>
    </w:p>
    <w:p>
      <w:pPr>
        <w:pStyle w:val="392"/>
        <w:snapToGrid w:val="0"/>
        <w:spacing w:before="0"/>
        <w:ind w:firstLine="480"/>
        <w:rPr>
          <w:rFonts w:hint="eastAsia"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pPr>
        <w:pStyle w:val="392"/>
        <w:snapToGrid w:val="0"/>
        <w:spacing w:before="0"/>
        <w:ind w:firstLine="480"/>
        <w:rPr>
          <w:rFonts w:hint="eastAsia"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3.5为确保网上操作合法、有效和安全，供应商应当在响应截止时间前完成在“政府采购云平台”的身份认证，确保在电子交易过程中能够对相关数据电文进行加密和使用电子签名。</w:t>
      </w:r>
    </w:p>
    <w:p>
      <w:pPr>
        <w:pStyle w:val="392"/>
        <w:snapToGrid w:val="0"/>
        <w:spacing w:before="0"/>
        <w:ind w:firstLine="480"/>
        <w:rPr>
          <w:rFonts w:hint="eastAsia"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3.6磋商文件对响应文件签署、盖章的要求适用于电子签名。</w:t>
      </w:r>
    </w:p>
    <w:p>
      <w:pPr>
        <w:pStyle w:val="31"/>
        <w:spacing w:line="360" w:lineRule="auto"/>
        <w:ind w:firstLine="480" w:firstLineChars="200"/>
        <w:rPr>
          <w:rFonts w:hint="eastAsia" w:cs="仿宋_GB2312" w:asciiTheme="minorEastAsia" w:hAnsiTheme="minorEastAsia" w:eastAsiaTheme="minorEastAsia"/>
          <w:color w:val="auto"/>
          <w:sz w:val="24"/>
          <w:szCs w:val="24"/>
        </w:rPr>
      </w:pPr>
    </w:p>
    <w:p>
      <w:pPr>
        <w:adjustRightInd/>
        <w:spacing w:line="360" w:lineRule="auto"/>
        <w:jc w:val="center"/>
        <w:outlineLvl w:val="0"/>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pPr>
        <w:pStyle w:val="392"/>
        <w:spacing w:before="0"/>
        <w:ind w:firstLine="0" w:firstLineChars="0"/>
        <w:rPr>
          <w:rFonts w:hint="eastAsia"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pPr>
        <w:pStyle w:val="392"/>
        <w:ind w:firstLine="480"/>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1.5 采购人、采购代理机构可以视情况延长提交响应文件的截止时间。在上述情况下，采购代理机构与供应商以前在响应截止期方面的全部权利、责任和义务，将适用于延长至新的响应截止期。</w:t>
      </w:r>
    </w:p>
    <w:p>
      <w:pPr>
        <w:pStyle w:val="31"/>
        <w:spacing w:line="360" w:lineRule="auto"/>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pPr>
        <w:pStyle w:val="31"/>
        <w:spacing w:line="360" w:lineRule="auto"/>
        <w:ind w:firstLine="360" w:firstLineChars="150"/>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但采购人、采购代理机构不强制或变相强制供应商提交备份响应文件。</w:t>
      </w:r>
    </w:p>
    <w:p>
      <w:pPr>
        <w:pStyle w:val="31"/>
        <w:spacing w:line="360" w:lineRule="auto"/>
        <w:ind w:firstLine="360" w:firstLineChars="150"/>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备份响应文件须在“政采云投标客户端”制作生成，并储存在不可修改的</w:t>
      </w:r>
      <w:r>
        <w:rPr>
          <w:rFonts w:hint="eastAsia" w:asciiTheme="minorEastAsia" w:hAnsiTheme="minorEastAsia" w:eastAsiaTheme="minorEastAsia"/>
          <w:b/>
          <w:color w:val="auto"/>
          <w:sz w:val="24"/>
          <w:u w:val="single"/>
        </w:rPr>
        <w:t>电子光盘等存储介质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pPr>
        <w:pStyle w:val="31"/>
        <w:spacing w:line="360" w:lineRule="auto"/>
        <w:ind w:firstLine="360" w:firstLineChars="150"/>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pPr>
        <w:pStyle w:val="31"/>
        <w:spacing w:line="360" w:lineRule="auto"/>
        <w:ind w:firstLine="360" w:firstLineChars="150"/>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；送达时间以签收人签收时间为准。采购代理机构将拒绝接受逾期送达的备份响应文件。邮寄过程中，电子备份响应文件发生泄露、遗失、损坏或延期送达等情况的，由供应商自行负责。</w:t>
      </w:r>
    </w:p>
    <w:p>
      <w:pPr>
        <w:pStyle w:val="31"/>
        <w:spacing w:line="360" w:lineRule="auto"/>
        <w:ind w:firstLine="361" w:firstLineChars="150"/>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pPr>
        <w:adjustRightInd/>
        <w:spacing w:line="360" w:lineRule="auto"/>
        <w:jc w:val="center"/>
        <w:outlineLvl w:val="0"/>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pPr>
        <w:pStyle w:val="31"/>
        <w:spacing w:line="360" w:lineRule="auto"/>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pPr>
        <w:pStyle w:val="31"/>
        <w:spacing w:line="360" w:lineRule="auto"/>
        <w:ind w:firstLine="360" w:firstLineChars="150"/>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pPr>
        <w:pStyle w:val="31"/>
        <w:spacing w:line="360" w:lineRule="auto"/>
        <w:ind w:firstLine="360" w:firstLineChars="150"/>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pPr>
        <w:pStyle w:val="31"/>
        <w:spacing w:line="360" w:lineRule="auto"/>
        <w:ind w:firstLine="361" w:firstLineChars="150"/>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pPr>
        <w:pStyle w:val="392"/>
        <w:spacing w:before="0"/>
        <w:ind w:firstLine="0" w:firstLineChars="0"/>
        <w:rPr>
          <w:rFonts w:hint="eastAsia"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pPr>
        <w:pStyle w:val="392"/>
        <w:spacing w:before="0"/>
        <w:ind w:firstLine="495" w:firstLineChars="0"/>
        <w:rPr>
          <w:rFonts w:hint="eastAsia"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2.1信用信息查询渠道及截止时间：采购代理机构将通过“信用中国”网站(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pPr>
        <w:pStyle w:val="392"/>
        <w:spacing w:before="0"/>
        <w:ind w:firstLine="495" w:firstLineChars="0"/>
        <w:rPr>
          <w:rFonts w:hint="eastAsia"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pPr>
        <w:pStyle w:val="392"/>
        <w:spacing w:before="0"/>
        <w:ind w:firstLine="495" w:firstLineChars="0"/>
        <w:rPr>
          <w:rFonts w:hint="eastAsia"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pPr>
        <w:pStyle w:val="392"/>
        <w:spacing w:before="0"/>
        <w:ind w:firstLine="495" w:firstLineChars="0"/>
        <w:rPr>
          <w:rFonts w:hint="eastAsia"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者其他组织组成一个联合体，以一个供应商的身份共同参加政府采购活动的，应当对所有联合体成员进行信用记录查询，联合体成员存在不良信用记录的，视同联合体存在不良信用记录。</w:t>
      </w:r>
    </w:p>
    <w:p>
      <w:pPr>
        <w:pStyle w:val="31"/>
        <w:spacing w:line="360" w:lineRule="auto"/>
        <w:rPr>
          <w:rFonts w:hint="eastAsia" w:cs="仿宋_GB2312" w:asciiTheme="minorEastAsia" w:hAnsiTheme="minorEastAsia" w:eastAsiaTheme="minorEastAsia"/>
          <w:b/>
          <w:color w:val="auto"/>
          <w:sz w:val="24"/>
          <w:szCs w:val="24"/>
        </w:rPr>
      </w:pPr>
    </w:p>
    <w:p>
      <w:pPr>
        <w:adjustRightInd/>
        <w:spacing w:line="360" w:lineRule="auto"/>
        <w:jc w:val="center"/>
        <w:outlineLvl w:val="0"/>
        <w:rPr>
          <w:rFonts w:hint="eastAsia"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pPr>
        <w:snapToGrid w:val="0"/>
        <w:spacing w:line="360" w:lineRule="auto"/>
        <w:rPr>
          <w:rFonts w:hint="eastAsia"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应包括以下内容（均需使用电子签名）：</w:t>
      </w:r>
    </w:p>
    <w:p>
      <w:pPr>
        <w:pStyle w:val="31"/>
        <w:snapToGrid w:val="0"/>
        <w:spacing w:line="360" w:lineRule="auto"/>
        <w:ind w:firstLine="480" w:firstLineChars="200"/>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w:t>
      </w:r>
    </w:p>
    <w:p>
      <w:pPr>
        <w:pStyle w:val="31"/>
        <w:snapToGrid w:val="0"/>
        <w:spacing w:line="360" w:lineRule="auto"/>
        <w:ind w:firstLine="480" w:firstLineChars="200"/>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1.2中小企业声明函（如果有）。</w:t>
      </w:r>
    </w:p>
    <w:p>
      <w:pPr>
        <w:adjustRightInd/>
        <w:spacing w:line="360" w:lineRule="auto"/>
        <w:jc w:val="center"/>
        <w:outlineLvl w:val="0"/>
        <w:rPr>
          <w:rFonts w:hint="eastAsia"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pPr>
        <w:pStyle w:val="392"/>
        <w:spacing w:before="0"/>
        <w:ind w:firstLine="0" w:firstLineChars="0"/>
        <w:rPr>
          <w:rFonts w:hint="eastAsia"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pPr>
        <w:pStyle w:val="392"/>
        <w:spacing w:before="0"/>
        <w:ind w:firstLine="0" w:firstLineChars="0"/>
        <w:rPr>
          <w:rFonts w:hint="eastAsia"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pPr>
        <w:pStyle w:val="392"/>
        <w:spacing w:before="0"/>
        <w:ind w:firstLine="0" w:firstLineChars="0"/>
        <w:rPr>
          <w:rFonts w:hint="eastAsia"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pPr>
        <w:adjustRightInd/>
        <w:spacing w:line="360" w:lineRule="auto"/>
        <w:jc w:val="center"/>
        <w:outlineLvl w:val="0"/>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pPr>
        <w:pStyle w:val="31"/>
        <w:spacing w:line="360" w:lineRule="auto"/>
        <w:rPr>
          <w:rFonts w:hint="eastAsia"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pPr>
        <w:spacing w:line="360" w:lineRule="auto"/>
        <w:ind w:firstLine="465" w:firstLineChars="194"/>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1"/>
        <w:spacing w:line="360" w:lineRule="auto"/>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pPr>
        <w:spacing w:line="360" w:lineRule="auto"/>
        <w:ind w:firstLine="360" w:firstLineChars="15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hint="eastAsia"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pPr>
        <w:spacing w:line="360" w:lineRule="auto"/>
        <w:ind w:firstLine="360" w:firstLineChars="150"/>
        <w:rPr>
          <w:rFonts w:hint="eastAsia" w:ascii="宋体" w:hAnsi="宋体" w:cs="宋体"/>
          <w:color w:val="auto"/>
          <w:sz w:val="24"/>
        </w:rPr>
      </w:pPr>
      <w:r>
        <w:rPr>
          <w:rFonts w:hint="eastAsia" w:asciiTheme="minorEastAsia" w:hAnsiTheme="minorEastAsia" w:eastAsiaTheme="minorEastAsia"/>
          <w:color w:val="auto"/>
          <w:sz w:val="24"/>
          <w:szCs w:val="21"/>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r>
        <w:rPr>
          <w:rFonts w:hint="eastAsia" w:ascii="宋体" w:hAnsi="宋体" w:cs="宋体" w:eastAsiaTheme="minorEastAsia"/>
          <w:color w:val="auto"/>
          <w:sz w:val="24"/>
        </w:rPr>
        <w:t>采购代理机构</w:t>
      </w:r>
      <w:r>
        <w:rPr>
          <w:rFonts w:hint="eastAsia" w:ascii="宋体" w:hAnsi="宋体" w:cs="宋体"/>
          <w:color w:val="auto"/>
          <w:sz w:val="24"/>
        </w:rPr>
        <w:t>也可以以纸质形式进行成交通知。</w:t>
      </w:r>
    </w:p>
    <w:p>
      <w:pPr>
        <w:spacing w:line="360" w:lineRule="auto"/>
        <w:ind w:firstLine="360" w:firstLineChars="150"/>
        <w:rPr>
          <w:rFonts w:hint="eastAsia"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采购人及其委托的采购代理机构的名称、地址、联系方式，项目名称和项目编号，成交人名称、地址和成交金额，主要中标标的的名称、规格型号、数量、单价、服务要求，开标记录、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rPr>
        <w:t>资格审查情况、评审专家抽取规则、符合性审查情况、</w:t>
      </w:r>
      <w:bookmarkEnd w:id="53"/>
      <w:r>
        <w:rPr>
          <w:rFonts w:hint="eastAsia" w:cs="宋体" w:asciiTheme="minorEastAsia" w:hAnsiTheme="minorEastAsia" w:eastAsiaTheme="minorEastAsia"/>
          <w:color w:val="auto"/>
          <w:sz w:val="24"/>
        </w:rPr>
        <w:t>未成交情况说明、成交公告期限以及评审专家名单、评分汇总及明细。</w:t>
      </w:r>
    </w:p>
    <w:p>
      <w:pPr>
        <w:spacing w:line="360" w:lineRule="auto"/>
        <w:ind w:firstLine="360" w:firstLineChars="150"/>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pPr>
        <w:snapToGrid w:val="0"/>
        <w:spacing w:line="360" w:lineRule="auto"/>
        <w:jc w:val="center"/>
        <w:outlineLvl w:val="0"/>
        <w:rPr>
          <w:rFonts w:hint="eastAsia"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pPr>
        <w:tabs>
          <w:tab w:val="left" w:pos="0"/>
        </w:tabs>
        <w:spacing w:line="360" w:lineRule="auto"/>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pPr>
        <w:tabs>
          <w:tab w:val="left" w:pos="0"/>
        </w:tabs>
        <w:spacing w:line="360" w:lineRule="auto"/>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pPr>
        <w:widowControl/>
        <w:shd w:val="clear" w:color="auto" w:fill="FFFFFF"/>
        <w:spacing w:line="360" w:lineRule="auto"/>
        <w:ind w:firstLine="480"/>
        <w:jc w:val="left"/>
        <w:rPr>
          <w:rFonts w:hint="eastAsia" w:cs="宋体" w:asciiTheme="minorEastAsia" w:hAnsiTheme="minorEastAsia" w:eastAsiaTheme="minorEastAsia"/>
          <w:color w:val="auto"/>
          <w:kern w:val="0"/>
          <w:sz w:val="24"/>
        </w:rPr>
      </w:pPr>
      <w:r>
        <w:rPr>
          <w:rFonts w:hint="eastAsia" w:asciiTheme="minorEastAsia" w:hAnsiTheme="minorEastAsia" w:eastAsiaTheme="minorEastAsia"/>
          <w:color w:val="auto"/>
          <w:szCs w:val="21"/>
        </w:rPr>
        <w:t>2.1</w:t>
      </w:r>
      <w:r>
        <w:rPr>
          <w:rFonts w:hint="eastAsia" w:cs="宋体" w:asciiTheme="minorEastAsia" w:hAnsiTheme="minorEastAsia" w:eastAsiaTheme="minorEastAsia"/>
          <w:color w:val="auto"/>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2"/>
        <w:snapToGrid w:val="0"/>
        <w:spacing w:before="0"/>
        <w:ind w:firstLine="480"/>
        <w:rPr>
          <w:rFonts w:hint="eastAsia"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pPr>
        <w:pStyle w:val="392"/>
        <w:snapToGrid w:val="0"/>
        <w:spacing w:before="0" w:after="120"/>
        <w:ind w:firstLine="480"/>
        <w:rPr>
          <w:rFonts w:hint="eastAsia"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pPr>
        <w:tabs>
          <w:tab w:val="left" w:pos="0"/>
        </w:tabs>
        <w:spacing w:line="360" w:lineRule="auto"/>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w:t>
      </w:r>
    </w:p>
    <w:p>
      <w:pPr>
        <w:tabs>
          <w:tab w:val="left" w:pos="0"/>
        </w:tabs>
        <w:spacing w:line="360" w:lineRule="auto"/>
        <w:ind w:firstLine="482"/>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拟签订的合同文本要求成交供应商提交履约保证金的，履约保证金的形式及金额见前附表</w:t>
      </w:r>
      <w:r>
        <w:rPr>
          <w:rFonts w:hint="eastAsia" w:cs="宋体" w:asciiTheme="minorEastAsia" w:hAnsiTheme="minorEastAsia" w:eastAsiaTheme="minorEastAsia"/>
          <w:color w:val="auto"/>
          <w:sz w:val="24"/>
        </w:rPr>
        <w:t>。</w:t>
      </w:r>
    </w:p>
    <w:p>
      <w:pPr>
        <w:tabs>
          <w:tab w:val="left" w:pos="0"/>
        </w:tabs>
        <w:spacing w:line="360" w:lineRule="auto"/>
        <w:ind w:firstLine="482"/>
        <w:rPr>
          <w:rFonts w:hint="eastAsia"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numPr>
          <w:ilvl w:val="255"/>
          <w:numId w:val="0"/>
        </w:numPr>
        <w:rPr>
          <w:rFonts w:hint="eastAsia"/>
          <w:color w:val="auto"/>
        </w:rPr>
      </w:pPr>
      <w:r>
        <w:rPr>
          <w:rFonts w:ascii="宋体" w:hAnsi="宋体" w:eastAsia="宋体"/>
          <w:color w:val="auto"/>
          <w:sz w:val="24"/>
          <w:lang w:val="en-US"/>
        </w:rPr>
        <w:t>4.</w:t>
      </w:r>
      <w:r>
        <w:rPr>
          <w:rFonts w:hint="eastAsia" w:ascii="宋体" w:hAnsi="宋体" w:eastAsia="宋体"/>
          <w:color w:val="auto"/>
          <w:sz w:val="24"/>
          <w:lang w:val="en-US"/>
        </w:rPr>
        <w:t>预付款</w:t>
      </w:r>
    </w:p>
    <w:p>
      <w:pPr>
        <w:adjustRightInd/>
        <w:spacing w:line="360" w:lineRule="auto"/>
        <w:ind w:firstLine="480" w:firstLineChars="200"/>
        <w:rPr>
          <w:color w:val="auto"/>
        </w:rPr>
      </w:pPr>
      <w:r>
        <w:rPr>
          <w:rFonts w:hint="eastAsia" w:ascii="宋体" w:hAnsi="宋体"/>
          <w:color w:val="auto"/>
          <w:sz w:val="24"/>
        </w:rPr>
        <w:t>采购单位应当在政府采购合同中约定预付款，对中小企业合同预付款比例原则上不低于合同金额的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提交银行、保险公司等金融机构出具的预付款保函或其他担保措施。政府采购预付款应在合同生效以及具备实施条件后5个工作日内支付。</w:t>
      </w:r>
      <w:r>
        <w:rPr>
          <w:rFonts w:hint="eastAsia" w:ascii="宋体" w:hAnsi="宋体"/>
          <w:color w:val="auto"/>
          <w:sz w:val="24"/>
        </w:rPr>
        <w:t>政府采购工程以及与工程建设有关的货物、服务，采用招标方式采购的，预付款从其相关规定。供应商可登录政采云前台大厅选择金融服务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w:t>
      </w:r>
      <w:r>
        <w:rPr>
          <w:rFonts w:ascii="宋体" w:hAnsi="宋体"/>
          <w:color w:val="auto"/>
          <w:sz w:val="24"/>
        </w:rPr>
        <w:t>400-903-9583。</w:t>
      </w:r>
    </w:p>
    <w:p>
      <w:pPr>
        <w:tabs>
          <w:tab w:val="left" w:pos="0"/>
        </w:tabs>
        <w:spacing w:line="360" w:lineRule="auto"/>
        <w:rPr>
          <w:rFonts w:hint="eastAsia" w:cs="宋体" w:asciiTheme="minorEastAsia" w:hAnsiTheme="minorEastAsia" w:eastAsiaTheme="minorEastAsia"/>
          <w:snapToGrid w:val="0"/>
          <w:color w:val="auto"/>
          <w:kern w:val="28"/>
          <w:sz w:val="24"/>
        </w:rPr>
      </w:pPr>
    </w:p>
    <w:p>
      <w:pPr>
        <w:snapToGrid w:val="0"/>
        <w:spacing w:line="360" w:lineRule="auto"/>
        <w:jc w:val="center"/>
        <w:rPr>
          <w:rFonts w:hint="eastAsia" w:cs="仿宋_GB2312" w:asciiTheme="minorEastAsia" w:hAnsiTheme="minorEastAsia" w:eastAsiaTheme="minorEastAsia"/>
          <w:b/>
          <w:color w:val="auto"/>
          <w:sz w:val="36"/>
          <w:szCs w:val="36"/>
        </w:rPr>
      </w:pPr>
    </w:p>
    <w:p>
      <w:pPr>
        <w:snapToGrid w:val="0"/>
        <w:spacing w:line="360" w:lineRule="auto"/>
        <w:jc w:val="center"/>
        <w:outlineLvl w:val="0"/>
        <w:rPr>
          <w:rFonts w:hint="eastAsia"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pPr>
        <w:pStyle w:val="23"/>
        <w:spacing w:line="360" w:lineRule="auto"/>
        <w:ind w:firstLine="0" w:firstLineChars="0"/>
        <w:rPr>
          <w:rFonts w:hint="eastAsia" w:asciiTheme="minorEastAsia" w:hAnsiTheme="minorEastAsia" w:eastAsiaTheme="minorEastAsia"/>
          <w:b/>
          <w:color w:val="auto"/>
        </w:rPr>
      </w:pPr>
      <w:r>
        <w:rPr>
          <w:rFonts w:hint="eastAsia" w:asciiTheme="minorEastAsia" w:hAnsiTheme="minorEastAsia" w:eastAsiaTheme="minorEastAsia"/>
          <w:b/>
          <w:color w:val="auto"/>
        </w:rPr>
        <w:t>1.验收</w:t>
      </w:r>
    </w:p>
    <w:p>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hint="eastAsia"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pPr>
        <w:tabs>
          <w:tab w:val="left" w:pos="0"/>
        </w:tabs>
        <w:spacing w:line="360" w:lineRule="auto"/>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pPr>
        <w:tabs>
          <w:tab w:val="left" w:pos="0"/>
        </w:tabs>
        <w:spacing w:line="360" w:lineRule="auto"/>
        <w:rPr>
          <w:rFonts w:hint="eastAsia" w:cs="仿宋_GB2312" w:asciiTheme="minorEastAsia" w:hAnsiTheme="minorEastAsia" w:eastAsiaTheme="minorEastAsia"/>
          <w:b/>
          <w:color w:val="auto"/>
          <w:sz w:val="36"/>
          <w:szCs w:val="36"/>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5236011"/>
      <w:bookmarkEnd w:id="54"/>
      <w:bookmarkStart w:id="55" w:name="_Hlt74714665"/>
      <w:bookmarkEnd w:id="55"/>
      <w:bookmarkStart w:id="56" w:name="_Hlt68057669"/>
      <w:bookmarkEnd w:id="56"/>
      <w:bookmarkStart w:id="57" w:name="_Hlt75236290"/>
      <w:bookmarkEnd w:id="57"/>
      <w:bookmarkStart w:id="58" w:name="_Hlt68072990"/>
      <w:bookmarkEnd w:id="58"/>
      <w:bookmarkStart w:id="59" w:name="_Hlt75236101"/>
      <w:bookmarkEnd w:id="59"/>
      <w:bookmarkStart w:id="60" w:name="_Hlt74729768"/>
      <w:bookmarkEnd w:id="60"/>
      <w:bookmarkStart w:id="61" w:name="_Hlt74730295"/>
      <w:bookmarkEnd w:id="61"/>
      <w:bookmarkStart w:id="62" w:name="_Hlt74707468"/>
      <w:bookmarkEnd w:id="62"/>
      <w:bookmarkStart w:id="63" w:name="_Toc164416483"/>
      <w:bookmarkStart w:id="64" w:name="第三部分"/>
      <w:r>
        <w:rPr>
          <w:rFonts w:cs="仿宋_GB2312" w:asciiTheme="minorEastAsia" w:hAnsiTheme="minorEastAsia" w:eastAsiaTheme="minorEastAsia"/>
          <w:b/>
          <w:color w:val="auto"/>
          <w:sz w:val="36"/>
          <w:szCs w:val="36"/>
        </w:rPr>
        <w:br w:type="page"/>
      </w:r>
    </w:p>
    <w:p>
      <w:pPr>
        <w:adjustRightInd/>
        <w:spacing w:line="360" w:lineRule="auto"/>
        <w:jc w:val="center"/>
        <w:outlineLvl w:val="0"/>
        <w:rPr>
          <w:rFonts w:hint="eastAsia"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第四部分  采购需求</w:t>
      </w:r>
    </w:p>
    <w:p>
      <w:pPr>
        <w:adjustRightInd/>
        <w:spacing w:line="360" w:lineRule="auto"/>
        <w:jc w:val="left"/>
        <w:outlineLvl w:val="0"/>
        <w:rPr>
          <w:rFonts w:hint="eastAsia" w:cs="仿宋_GB2312" w:asciiTheme="minorEastAsia" w:hAnsiTheme="minorEastAsia" w:eastAsiaTheme="minorEastAsia"/>
          <w:b/>
          <w:color w:val="auto"/>
          <w:sz w:val="36"/>
          <w:szCs w:val="36"/>
          <w:u w:val="single"/>
        </w:rPr>
      </w:pPr>
      <w:r>
        <w:rPr>
          <w:rFonts w:hint="eastAsia" w:asciiTheme="minorEastAsia" w:hAnsiTheme="minorEastAsia" w:eastAsiaTheme="minorEastAsia"/>
          <w:color w:val="auto"/>
          <w:sz w:val="24"/>
          <w:u w:val="single"/>
        </w:rPr>
        <w:t>注：“▲” 系指实质性要求条款， “</w:t>
      </w:r>
      <w:r>
        <w:rPr>
          <w:rFonts w:hint="eastAsia" w:asciiTheme="minorEastAsia" w:hAnsiTheme="minorEastAsia" w:eastAsiaTheme="minorEastAsia"/>
          <w:b/>
          <w:color w:val="auto"/>
          <w:sz w:val="24"/>
          <w:u w:val="single"/>
        </w:rPr>
        <w:t>※</w:t>
      </w:r>
      <w:r>
        <w:rPr>
          <w:rFonts w:hint="eastAsia" w:asciiTheme="minorEastAsia" w:hAnsiTheme="minorEastAsia" w:eastAsiaTheme="minorEastAsia"/>
          <w:color w:val="auto"/>
          <w:sz w:val="24"/>
          <w:u w:val="single"/>
        </w:rPr>
        <w:t>”系指磋商过程中可能实质性变动的内容。</w:t>
      </w:r>
    </w:p>
    <w:p>
      <w:pPr>
        <w:adjustRightInd/>
        <w:spacing w:line="360" w:lineRule="auto"/>
        <w:jc w:val="left"/>
        <w:outlineLvl w:val="0"/>
        <w:rPr>
          <w:rFonts w:hint="eastAsia"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一、项目概况及招标范围</w:t>
      </w:r>
    </w:p>
    <w:p>
      <w:pPr>
        <w:spacing w:line="360" w:lineRule="auto"/>
        <w:ind w:firstLine="480" w:firstLineChars="200"/>
        <w:rPr>
          <w:color w:val="auto"/>
          <w:sz w:val="24"/>
        </w:rPr>
      </w:pPr>
      <w:r>
        <w:rPr>
          <w:rFonts w:hint="eastAsia"/>
          <w:color w:val="auto"/>
          <w:sz w:val="24"/>
        </w:rPr>
        <w:t>1.1项目概况：</w:t>
      </w:r>
      <w:r>
        <w:rPr>
          <w:color w:val="auto"/>
          <w:sz w:val="24"/>
        </w:rPr>
        <w:t>S216长兴至安吉公路长兴县泗安至和平段工程（318国道至302省道段）（以下简称“本项目”）路线起点位于S216与G318交叉口，起点桩号为K27+928.216，路线往南沿现状X225虹林线和X212观青线走向在里塘加油站南侧偏离现状道路至观青线西侧现状农村公路，下穿商合杭高铁（K34+209.28处）并与观青线相交后与长兴县吴山大桥工程起点相接，利用长兴县吴山大桥工程（K35+713.117～K36+747.084段长约1.03公里）走向跨越西苕溪后继续往南跨晓墅港（Ⅶ级航道）后路线往西南，与现状观青线相交后路线沿现状乡道终点与S302相交于长安村附近，终点桩号K40+675.248，路线全长约12.74公里，其中新建段约11.71公里，利用段约1.03公里。全线共设大桥231.04m/1座、中小桥308.36m/9座（含改路桥梁2座），涵洞约42道，道班房约2700m2/1处。项目概算总投资为65816.0438万元，其中建筑安装工程费为31549.1193万元。</w:t>
      </w:r>
    </w:p>
    <w:p>
      <w:pPr>
        <w:spacing w:line="360" w:lineRule="auto"/>
        <w:ind w:firstLine="480" w:firstLineChars="200"/>
        <w:rPr>
          <w:color w:val="auto"/>
          <w:sz w:val="24"/>
        </w:rPr>
      </w:pPr>
      <w:r>
        <w:rPr>
          <w:rFonts w:hint="eastAsia"/>
          <w:color w:val="auto"/>
          <w:sz w:val="24"/>
        </w:rPr>
        <w:t>1.2技术标准：本项目按交通运输部颁《公路工程技术标准》（JTGB01-2014）规定的二级公路标准建设，设计速度采用60km/h，全线为双向两车道，标准路基宽12m，荷载等级采用公路—I级。其余技术指标符合相应技术标准、规范的要求。</w:t>
      </w:r>
    </w:p>
    <w:p>
      <w:pPr>
        <w:spacing w:line="360" w:lineRule="auto"/>
        <w:ind w:firstLine="480" w:firstLineChars="200"/>
        <w:rPr>
          <w:color w:val="auto"/>
          <w:sz w:val="24"/>
        </w:rPr>
      </w:pPr>
      <w:r>
        <w:rPr>
          <w:rFonts w:hint="eastAsia" w:asciiTheme="minorEastAsia" w:hAnsiTheme="minorEastAsia" w:eastAsiaTheme="minorEastAsia"/>
          <w:color w:val="auto"/>
          <w:sz w:val="24"/>
          <w:u w:val="single"/>
        </w:rPr>
        <w:t>▲</w:t>
      </w:r>
      <w:r>
        <w:rPr>
          <w:rFonts w:hint="eastAsia"/>
          <w:color w:val="auto"/>
          <w:sz w:val="24"/>
        </w:rPr>
        <w:t>1.3招标范围：本项目全线范围内路基、路面、桥梁（含桥梁荷载试验）、交通安全设施、环保（含绿化）、机电等工程交工实体检测、竣工实体检测、外观检查，检测频率及参数按浙江省交通运输厅《浙江省公路工程竣（交）工验收办法》（浙交〔2019〕184号）执行，出具工程实体检测报告、外观检查报告，并协助发包人对工程质量进行评定等工作；</w:t>
      </w:r>
    </w:p>
    <w:p>
      <w:pPr>
        <w:spacing w:line="360" w:lineRule="auto"/>
        <w:ind w:firstLine="480" w:firstLineChars="200"/>
        <w:rPr>
          <w:color w:val="auto"/>
          <w:sz w:val="24"/>
        </w:rPr>
      </w:pPr>
      <w:r>
        <w:rPr>
          <w:rFonts w:hint="eastAsia" w:asciiTheme="minorEastAsia" w:hAnsiTheme="minorEastAsia" w:eastAsiaTheme="minorEastAsia"/>
          <w:color w:val="auto"/>
          <w:sz w:val="24"/>
          <w:u w:val="single"/>
        </w:rPr>
        <w:t>▲</w:t>
      </w:r>
      <w:r>
        <w:rPr>
          <w:rFonts w:hint="eastAsia"/>
          <w:color w:val="auto"/>
          <w:sz w:val="24"/>
        </w:rPr>
        <w:t>1.4试验检测服务期：合同签订至所有试验检测报告提交并通过竣工质量评定止，预计60月（1825日历天）；</w:t>
      </w:r>
    </w:p>
    <w:p>
      <w:pPr>
        <w:adjustRightInd/>
        <w:spacing w:line="360" w:lineRule="auto"/>
        <w:jc w:val="left"/>
        <w:outlineLvl w:val="0"/>
        <w:rPr>
          <w:rFonts w:hint="eastAsia"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二、资格条件最低要求</w:t>
      </w:r>
    </w:p>
    <w:p>
      <w:pPr>
        <w:spacing w:line="360" w:lineRule="auto"/>
        <w:ind w:firstLine="480" w:firstLineChars="200"/>
        <w:rPr>
          <w:rFonts w:hint="eastAsia"/>
          <w:color w:val="auto"/>
          <w:sz w:val="24"/>
        </w:rPr>
      </w:pPr>
      <w:r>
        <w:rPr>
          <w:rFonts w:hint="eastAsia" w:asciiTheme="minorEastAsia" w:hAnsiTheme="minorEastAsia" w:eastAsiaTheme="minorEastAsia"/>
          <w:color w:val="auto"/>
          <w:sz w:val="24"/>
          <w:u w:val="single"/>
        </w:rPr>
        <w:t>▲</w:t>
      </w:r>
      <w:r>
        <w:rPr>
          <w:rFonts w:hint="eastAsia"/>
          <w:color w:val="auto"/>
          <w:sz w:val="24"/>
        </w:rPr>
        <w:t>2.1 供应商应具备独立法人资格，其本身或内设检测机构具备交通运输部门核发的公路工程综合乙级及以上或公路工程乙级及以上（由于交通运输部对公路水运工程质量检测管理信息系统进行升级期间造成等级证书有效期未能延期的情形，本次响应予以认可。交通运输部对公路水运工程试验检测机构等级证书有效期有新规定的，按交通运输部规定执行）试验检测等级证书；</w:t>
      </w:r>
    </w:p>
    <w:p>
      <w:pPr>
        <w:spacing w:line="360" w:lineRule="auto"/>
        <w:ind w:firstLine="480" w:firstLineChars="200"/>
        <w:rPr>
          <w:rFonts w:hint="eastAsia"/>
          <w:color w:val="auto"/>
          <w:sz w:val="24"/>
        </w:rPr>
      </w:pPr>
      <w:r>
        <w:rPr>
          <w:rFonts w:hint="eastAsia"/>
          <w:color w:val="auto"/>
          <w:sz w:val="24"/>
        </w:rPr>
        <w:t>供应商名称和等级应与交通运输部“公路水运工程质量检测管理信息系统（https://www.ttiis.cn/）”中的相应机构名称和等级完全一致。</w:t>
      </w:r>
    </w:p>
    <w:p>
      <w:pPr>
        <w:spacing w:line="360" w:lineRule="auto"/>
        <w:ind w:firstLine="480" w:firstLineChars="200"/>
        <w:rPr>
          <w:color w:val="auto"/>
          <w:sz w:val="24"/>
        </w:rPr>
      </w:pPr>
      <w:r>
        <w:rPr>
          <w:rFonts w:hint="eastAsia"/>
          <w:color w:val="auto"/>
          <w:sz w:val="24"/>
        </w:rPr>
        <w:t>具有省级市场监督管理部门核发的资质认定证书。</w:t>
      </w:r>
    </w:p>
    <w:p>
      <w:pPr>
        <w:spacing w:line="360" w:lineRule="auto"/>
        <w:ind w:firstLine="480" w:firstLineChars="200"/>
        <w:rPr>
          <w:color w:val="auto"/>
          <w:sz w:val="24"/>
        </w:rPr>
      </w:pPr>
      <w:r>
        <w:rPr>
          <w:rFonts w:hint="eastAsia" w:asciiTheme="minorEastAsia" w:hAnsiTheme="minorEastAsia" w:eastAsiaTheme="minorEastAsia"/>
          <w:color w:val="auto"/>
          <w:sz w:val="24"/>
          <w:u w:val="single"/>
        </w:rPr>
        <w:t>▲</w:t>
      </w:r>
      <w:r>
        <w:rPr>
          <w:rFonts w:hint="eastAsia"/>
          <w:color w:val="auto"/>
          <w:sz w:val="24"/>
        </w:rPr>
        <w:t>2.2供应商自2019年7月1日（以交工验收证书或备案书载明的检测完成日期为准）以来完成过1项新建或改（扩）建二级及以上公路工程的交工或竣（交）工质量评定检测且检测内容至少包含桥梁的试验检测任务；</w:t>
      </w:r>
    </w:p>
    <w:p>
      <w:pPr>
        <w:spacing w:line="360" w:lineRule="auto"/>
        <w:ind w:firstLine="480" w:firstLineChars="200"/>
        <w:rPr>
          <w:color w:val="auto"/>
          <w:sz w:val="24"/>
        </w:rPr>
      </w:pPr>
      <w:r>
        <w:rPr>
          <w:rFonts w:hint="eastAsia"/>
          <w:color w:val="auto"/>
          <w:sz w:val="24"/>
        </w:rPr>
        <w:t>注：①业绩认定时间以交工验收证书或备案书载明的检测完成日期为准；</w:t>
      </w:r>
    </w:p>
    <w:p>
      <w:pPr>
        <w:spacing w:line="360" w:lineRule="auto"/>
        <w:ind w:firstLine="480" w:firstLineChars="200"/>
        <w:rPr>
          <w:color w:val="auto"/>
          <w:sz w:val="24"/>
        </w:rPr>
      </w:pPr>
      <w:r>
        <w:rPr>
          <w:rFonts w:hint="eastAsia"/>
          <w:color w:val="auto"/>
          <w:sz w:val="24"/>
        </w:rPr>
        <w:t>②业绩证明应附合同协议书或委托书、交工验收证书或备案书，两者缺一不可。如合同协议书或委托书、交工验收证书或备案书均无法反映工程规模、技术标准、主要检测内容的，应提供发包人（或交通运输部门）出具的证明材料，否则业绩不予认可。如合同协议书或委托协议书中同时包含交工和竣工质量检测的，在响应截止前仅完成了交工质量检测的，该业绩也予以认可，仅完成竣工试验检测任务的业绩不予认可。</w:t>
      </w:r>
    </w:p>
    <w:p>
      <w:pPr>
        <w:spacing w:line="360" w:lineRule="auto"/>
        <w:ind w:firstLine="480" w:firstLineChars="200"/>
        <w:rPr>
          <w:color w:val="auto"/>
          <w:sz w:val="24"/>
        </w:rPr>
      </w:pPr>
      <w:r>
        <w:rPr>
          <w:rFonts w:hint="eastAsia"/>
          <w:color w:val="auto"/>
          <w:sz w:val="24"/>
        </w:rPr>
        <w:t>③上述资料中的单位名称与供应商名称必须一致（单位名称发生合法变更的除外，但需提供合法变更的有效文件），否则业绩不予认可。</w:t>
      </w:r>
    </w:p>
    <w:p>
      <w:pPr>
        <w:spacing w:line="360" w:lineRule="auto"/>
        <w:ind w:firstLine="480" w:firstLineChars="200"/>
        <w:rPr>
          <w:color w:val="auto"/>
          <w:sz w:val="24"/>
        </w:rPr>
      </w:pPr>
      <w:r>
        <w:rPr>
          <w:rFonts w:hint="eastAsia"/>
          <w:color w:val="auto"/>
          <w:sz w:val="24"/>
        </w:rPr>
        <w:t>④工程规模的解释顺序为：交工验收证书或备案书、合同协议书或委托书、发包人（或交通运输部门）出具的证明材料。</w:t>
      </w:r>
    </w:p>
    <w:p>
      <w:pPr>
        <w:spacing w:line="360" w:lineRule="auto"/>
        <w:ind w:firstLine="480" w:firstLineChars="200"/>
        <w:rPr>
          <w:color w:val="auto"/>
          <w:sz w:val="24"/>
        </w:rPr>
      </w:pPr>
      <w:r>
        <w:rPr>
          <w:rFonts w:hint="eastAsia" w:asciiTheme="minorEastAsia" w:hAnsiTheme="minorEastAsia" w:eastAsiaTheme="minorEastAsia"/>
          <w:color w:val="auto"/>
          <w:sz w:val="24"/>
          <w:u w:val="single"/>
        </w:rPr>
        <w:t>▲</w:t>
      </w:r>
      <w:r>
        <w:rPr>
          <w:rFonts w:hint="eastAsia"/>
          <w:color w:val="auto"/>
          <w:sz w:val="24"/>
        </w:rPr>
        <w:t>2.3供应商拟委任的本项目的项目负责人具有高级工程师及以上职称，且有交通运输部门颁发的公路工程试验检测工程师（公路和桥梁专业），或交通运输部职业资格中心颁发的公路水运工程试验检测师（道路工程专业和桥梁隧道工程专业）资格，担任过1项新建或改（扩）建二级及以上公路项目的交竣工（或交工）质量检测且检测内容至少包含桥梁项目的项目负责人或技术负责人，根据交通运输部最新公布的试验检测人员信用评价结果，检测工程师个人扣分在40分以下。</w:t>
      </w:r>
    </w:p>
    <w:p>
      <w:pPr>
        <w:spacing w:line="360" w:lineRule="auto"/>
        <w:ind w:firstLine="720" w:firstLineChars="300"/>
        <w:rPr>
          <w:color w:val="auto"/>
          <w:sz w:val="24"/>
        </w:rPr>
      </w:pPr>
      <w:r>
        <w:rPr>
          <w:rFonts w:hint="eastAsia"/>
          <w:color w:val="auto"/>
          <w:sz w:val="24"/>
        </w:rPr>
        <w:t>供应商拟委任的本项目的技术负责人具有高级工程师及以上职称，且有交通运输部门颁发的公路工程试验检测工程师（同时具备公路和桥梁专业），或交通运输部职业资格中心颁发的公路水运工程试验检测师（道路工程专业和桥梁隧道工程专业）资格。根据交通运输部最新公布的试验检测人员信用评价结果，检测工程师个人扣分在40分以下。</w:t>
      </w:r>
    </w:p>
    <w:p>
      <w:pPr>
        <w:spacing w:line="360" w:lineRule="auto"/>
        <w:ind w:firstLine="480" w:firstLineChars="200"/>
        <w:rPr>
          <w:color w:val="auto"/>
          <w:sz w:val="24"/>
        </w:rPr>
      </w:pPr>
      <w:r>
        <w:rPr>
          <w:rFonts w:hint="eastAsia"/>
          <w:color w:val="auto"/>
          <w:sz w:val="24"/>
        </w:rPr>
        <w:t>主要人员证明材料应附：a.拟委任的主要人员的身份证、职称资格证书以及资格审查条件所要求的其他相关证书（如试验检测人员证书等）的复印件、供应商在公路水运工程质量检测管理信息系统公开的信息（如信用评价结果、人员信息等）打印件、浙江省交通运输厅最新公布的项目负责人信用评价网上截图打印件（如有）等。b.对主要人员有业绩要求的，应出具相应业绩证明材料：中标通知书或合同协议书或委托书。如中标通知书或合同协议书或委托书无法体现人员姓名和任职的，应提供发包人（或交通运输部门）出具的证明材料，否则业绩不予认可。</w:t>
      </w:r>
    </w:p>
    <w:p>
      <w:pPr>
        <w:spacing w:line="360" w:lineRule="auto"/>
        <w:ind w:firstLine="480" w:firstLineChars="200"/>
        <w:rPr>
          <w:rFonts w:hint="eastAsia"/>
          <w:color w:val="auto"/>
          <w:sz w:val="24"/>
        </w:rPr>
      </w:pPr>
      <w:r>
        <w:rPr>
          <w:rFonts w:hint="eastAsia" w:asciiTheme="minorEastAsia" w:hAnsiTheme="minorEastAsia" w:eastAsiaTheme="minorEastAsia"/>
          <w:color w:val="auto"/>
          <w:sz w:val="24"/>
          <w:u w:val="single"/>
        </w:rPr>
        <w:t>▲</w:t>
      </w:r>
      <w:r>
        <w:rPr>
          <w:rFonts w:hint="eastAsia"/>
          <w:color w:val="auto"/>
          <w:sz w:val="24"/>
        </w:rPr>
        <w:t>2.4①供应商不得存在下列任一情形：</w:t>
      </w:r>
    </w:p>
    <w:p>
      <w:pPr>
        <w:spacing w:line="360" w:lineRule="auto"/>
        <w:ind w:firstLine="480" w:firstLineChars="200"/>
        <w:rPr>
          <w:rFonts w:hint="eastAsia"/>
          <w:color w:val="auto"/>
          <w:sz w:val="24"/>
        </w:rPr>
      </w:pPr>
      <w:r>
        <w:rPr>
          <w:rFonts w:hint="eastAsia"/>
          <w:color w:val="auto"/>
          <w:sz w:val="24"/>
        </w:rPr>
        <w:t>a.为采购人不具有独立法人资格的附属机构（单位）；</w:t>
      </w:r>
    </w:p>
    <w:p>
      <w:pPr>
        <w:spacing w:line="360" w:lineRule="auto"/>
        <w:ind w:firstLine="480" w:firstLineChars="200"/>
        <w:rPr>
          <w:rFonts w:hint="eastAsia"/>
          <w:color w:val="auto"/>
          <w:sz w:val="24"/>
        </w:rPr>
      </w:pPr>
      <w:r>
        <w:rPr>
          <w:rFonts w:hint="eastAsia"/>
          <w:color w:val="auto"/>
          <w:sz w:val="24"/>
        </w:rPr>
        <w:t>b.为本招标项目的代建人；</w:t>
      </w:r>
    </w:p>
    <w:p>
      <w:pPr>
        <w:spacing w:line="360" w:lineRule="auto"/>
        <w:ind w:firstLine="480" w:firstLineChars="200"/>
        <w:rPr>
          <w:rFonts w:hint="eastAsia"/>
          <w:color w:val="auto"/>
          <w:sz w:val="24"/>
        </w:rPr>
      </w:pPr>
      <w:r>
        <w:rPr>
          <w:rFonts w:hint="eastAsia"/>
          <w:color w:val="auto"/>
          <w:sz w:val="24"/>
        </w:rPr>
        <w:t>c.为本招标项目的施工承包人；</w:t>
      </w:r>
    </w:p>
    <w:p>
      <w:pPr>
        <w:spacing w:line="360" w:lineRule="auto"/>
        <w:ind w:firstLine="480" w:firstLineChars="200"/>
        <w:rPr>
          <w:rFonts w:hint="eastAsia"/>
          <w:color w:val="auto"/>
          <w:sz w:val="24"/>
        </w:rPr>
      </w:pPr>
      <w:r>
        <w:rPr>
          <w:rFonts w:hint="eastAsia"/>
          <w:color w:val="auto"/>
          <w:sz w:val="24"/>
        </w:rPr>
        <w:t>d.为本招标项目提供招标代理服务的；</w:t>
      </w:r>
    </w:p>
    <w:p>
      <w:pPr>
        <w:spacing w:line="360" w:lineRule="auto"/>
        <w:ind w:firstLine="480" w:firstLineChars="200"/>
        <w:rPr>
          <w:rFonts w:hint="eastAsia"/>
          <w:color w:val="auto"/>
          <w:sz w:val="24"/>
        </w:rPr>
      </w:pPr>
      <w:r>
        <w:rPr>
          <w:rFonts w:hint="eastAsia"/>
          <w:color w:val="auto"/>
          <w:sz w:val="24"/>
        </w:rPr>
        <w:t>e.与本招标项目的代建人或施工承包人或监理人或招标代理机构同为一个法定代表人的；</w:t>
      </w:r>
    </w:p>
    <w:p>
      <w:pPr>
        <w:spacing w:line="360" w:lineRule="auto"/>
        <w:ind w:firstLine="480" w:firstLineChars="200"/>
        <w:rPr>
          <w:rFonts w:hint="eastAsia"/>
          <w:color w:val="auto"/>
          <w:sz w:val="24"/>
        </w:rPr>
      </w:pPr>
      <w:r>
        <w:rPr>
          <w:rFonts w:hint="eastAsia"/>
          <w:color w:val="auto"/>
          <w:sz w:val="24"/>
        </w:rPr>
        <w:t>g.与本招标项目的代建人或施工承包人或监理人或招标代理机构相互控股或参股的；</w:t>
      </w:r>
    </w:p>
    <w:p>
      <w:pPr>
        <w:spacing w:line="360" w:lineRule="auto"/>
        <w:ind w:firstLine="480" w:firstLineChars="200"/>
        <w:rPr>
          <w:rFonts w:hint="eastAsia"/>
          <w:color w:val="auto"/>
          <w:sz w:val="24"/>
        </w:rPr>
      </w:pPr>
      <w:r>
        <w:rPr>
          <w:rFonts w:hint="eastAsia"/>
          <w:color w:val="auto"/>
          <w:sz w:val="24"/>
        </w:rPr>
        <w:t>g.与本招标项目的代建人或施工承包人或监理人或招标代理机构相互任职或工作的；</w:t>
      </w:r>
    </w:p>
    <w:p>
      <w:pPr>
        <w:spacing w:line="360" w:lineRule="auto"/>
        <w:ind w:firstLine="480" w:firstLineChars="200"/>
        <w:rPr>
          <w:rFonts w:hint="eastAsia"/>
          <w:color w:val="auto"/>
          <w:sz w:val="24"/>
        </w:rPr>
      </w:pPr>
      <w:r>
        <w:rPr>
          <w:rFonts w:hint="eastAsia"/>
          <w:color w:val="auto"/>
          <w:sz w:val="24"/>
        </w:rPr>
        <w:t>h.与采购人存在利害关系可能影响招标公正性的法人、其他组织；</w:t>
      </w:r>
    </w:p>
    <w:p>
      <w:pPr>
        <w:spacing w:line="360" w:lineRule="auto"/>
        <w:ind w:firstLine="480" w:firstLineChars="200"/>
        <w:rPr>
          <w:rFonts w:hint="eastAsia"/>
          <w:color w:val="auto"/>
          <w:sz w:val="24"/>
        </w:rPr>
      </w:pPr>
      <w:r>
        <w:rPr>
          <w:rFonts w:hint="eastAsia"/>
          <w:color w:val="auto"/>
          <w:sz w:val="24"/>
        </w:rPr>
        <w:t>i.与本标段的其他供应商存在控股（含法定代表人控股）、管理关系的；</w:t>
      </w:r>
    </w:p>
    <w:p>
      <w:pPr>
        <w:spacing w:line="360" w:lineRule="auto"/>
        <w:ind w:firstLine="480" w:firstLineChars="200"/>
        <w:rPr>
          <w:rFonts w:hint="eastAsia"/>
          <w:color w:val="auto"/>
          <w:sz w:val="24"/>
        </w:rPr>
      </w:pPr>
      <w:r>
        <w:rPr>
          <w:rFonts w:hint="eastAsia"/>
          <w:color w:val="auto"/>
          <w:sz w:val="24"/>
        </w:rPr>
        <w:t>j.为投资参股本招标项目的法人单位；</w:t>
      </w:r>
    </w:p>
    <w:p>
      <w:pPr>
        <w:spacing w:line="360" w:lineRule="auto"/>
        <w:ind w:firstLine="480" w:firstLineChars="200"/>
        <w:rPr>
          <w:rFonts w:hint="eastAsia"/>
          <w:color w:val="auto"/>
          <w:sz w:val="24"/>
        </w:rPr>
      </w:pPr>
      <w:r>
        <w:rPr>
          <w:rFonts w:hint="eastAsia"/>
          <w:color w:val="auto"/>
          <w:sz w:val="24"/>
        </w:rPr>
        <w:t>k.为接受本项目业主或监理或施工等方委托的与本次招标相同内容（含）的试验检测单位。</w:t>
      </w:r>
    </w:p>
    <w:p>
      <w:pPr>
        <w:spacing w:line="360" w:lineRule="auto"/>
        <w:ind w:firstLine="480" w:firstLineChars="200"/>
        <w:rPr>
          <w:rFonts w:hint="eastAsia"/>
          <w:color w:val="auto"/>
          <w:sz w:val="24"/>
        </w:rPr>
      </w:pPr>
      <w:r>
        <w:rPr>
          <w:rFonts w:hint="eastAsia"/>
          <w:color w:val="auto"/>
          <w:sz w:val="24"/>
        </w:rPr>
        <w:t>②供应商不得存在下列不良信用记录：</w:t>
      </w:r>
    </w:p>
    <w:p>
      <w:pPr>
        <w:spacing w:line="360" w:lineRule="auto"/>
        <w:ind w:firstLine="480" w:firstLineChars="200"/>
        <w:rPr>
          <w:rFonts w:hint="eastAsia"/>
          <w:color w:val="auto"/>
          <w:sz w:val="24"/>
        </w:rPr>
      </w:pPr>
      <w:r>
        <w:rPr>
          <w:rFonts w:hint="eastAsia"/>
          <w:color w:val="auto"/>
          <w:sz w:val="24"/>
        </w:rPr>
        <w:t>a.被责令停业的；</w:t>
      </w:r>
    </w:p>
    <w:p>
      <w:pPr>
        <w:spacing w:line="360" w:lineRule="auto"/>
        <w:ind w:firstLine="480" w:firstLineChars="200"/>
        <w:rPr>
          <w:rFonts w:hint="eastAsia"/>
          <w:color w:val="auto"/>
          <w:sz w:val="24"/>
        </w:rPr>
      </w:pPr>
      <w:r>
        <w:rPr>
          <w:rFonts w:hint="eastAsia"/>
          <w:color w:val="auto"/>
          <w:sz w:val="24"/>
        </w:rPr>
        <w:t>b.财产被接管或全部冻结的；</w:t>
      </w:r>
    </w:p>
    <w:p>
      <w:pPr>
        <w:spacing w:line="360" w:lineRule="auto"/>
        <w:ind w:firstLine="480" w:firstLineChars="200"/>
        <w:rPr>
          <w:rFonts w:hint="eastAsia"/>
          <w:color w:val="auto"/>
          <w:sz w:val="24"/>
        </w:rPr>
      </w:pPr>
      <w:r>
        <w:rPr>
          <w:rFonts w:hint="eastAsia"/>
          <w:color w:val="auto"/>
          <w:sz w:val="24"/>
        </w:rPr>
        <w:t>c.被交通运输部、浙江省交通运输厅、浙江省发展和改革委员会取消投标资格或禁止进入浙江省建设市场且处于有效期内；</w:t>
      </w:r>
    </w:p>
    <w:p>
      <w:pPr>
        <w:spacing w:line="360" w:lineRule="auto"/>
        <w:ind w:firstLine="480" w:firstLineChars="200"/>
        <w:rPr>
          <w:rFonts w:hint="eastAsia"/>
          <w:color w:val="auto"/>
          <w:sz w:val="24"/>
        </w:rPr>
      </w:pPr>
      <w:r>
        <w:rPr>
          <w:rFonts w:hint="eastAsia"/>
          <w:color w:val="auto"/>
          <w:sz w:val="24"/>
        </w:rPr>
        <w:t>d.被列入在全国企业信用信息公示系统中列入严重违法企业名单的；</w:t>
      </w:r>
    </w:p>
    <w:p>
      <w:pPr>
        <w:spacing w:line="360" w:lineRule="auto"/>
        <w:ind w:firstLine="480" w:firstLineChars="200"/>
        <w:rPr>
          <w:rFonts w:hint="eastAsia"/>
          <w:color w:val="auto"/>
          <w:sz w:val="24"/>
        </w:rPr>
      </w:pPr>
      <w:r>
        <w:rPr>
          <w:rFonts w:hint="eastAsia"/>
          <w:color w:val="auto"/>
          <w:sz w:val="24"/>
        </w:rPr>
        <w:t>e.被列入在“信用中国”网站（http://www.creditchina.gov.cn/）中被列入失信被执行人名单的供应商。</w:t>
      </w:r>
    </w:p>
    <w:p>
      <w:pPr>
        <w:spacing w:line="360" w:lineRule="auto"/>
        <w:ind w:firstLine="480" w:firstLineChars="200"/>
        <w:rPr>
          <w:rFonts w:hint="eastAsia"/>
          <w:color w:val="auto"/>
          <w:sz w:val="24"/>
        </w:rPr>
      </w:pPr>
      <w:r>
        <w:rPr>
          <w:rFonts w:hint="eastAsia"/>
          <w:color w:val="auto"/>
          <w:sz w:val="24"/>
        </w:rPr>
        <w:t>f.供应商须知前附表规定的日期内有骗取中标或较大及以上工程质量（或安全生产责任事故）负有责任的（以司法机关出具的有关法律文书为准）；</w:t>
      </w:r>
    </w:p>
    <w:p>
      <w:pPr>
        <w:spacing w:line="360" w:lineRule="auto"/>
        <w:ind w:firstLine="480" w:firstLineChars="200"/>
        <w:rPr>
          <w:color w:val="auto"/>
          <w:sz w:val="24"/>
        </w:rPr>
      </w:pPr>
      <w:r>
        <w:rPr>
          <w:rFonts w:hint="eastAsia"/>
          <w:color w:val="auto"/>
          <w:sz w:val="24"/>
        </w:rPr>
        <w:t>g. 2021年7月1日以来，供应商或其法定代表人、拟委任的项目负责人有行贿犯罪行为的（行贿犯罪行为的认定以中国裁判文书网查询结果为准，供应商无需提供），在评标结束定标前查询）。</w:t>
      </w:r>
    </w:p>
    <w:p>
      <w:pPr>
        <w:snapToGrid w:val="0"/>
        <w:spacing w:line="360" w:lineRule="auto"/>
        <w:ind w:firstLine="480" w:firstLineChars="200"/>
        <w:rPr>
          <w:rFonts w:hint="eastAsia" w:cs="宋体" w:asciiTheme="minorEastAsia" w:hAnsiTheme="minorEastAsia" w:eastAsiaTheme="minorEastAsia"/>
          <w:color w:val="auto"/>
          <w:sz w:val="24"/>
        </w:rPr>
      </w:pPr>
      <w:r>
        <w:rPr>
          <w:rFonts w:hint="eastAsia" w:asciiTheme="minorEastAsia" w:hAnsiTheme="minorEastAsia" w:eastAsiaTheme="minorEastAsia"/>
          <w:color w:val="auto"/>
          <w:sz w:val="24"/>
          <w:u w:val="single"/>
        </w:rPr>
        <w:t>▲</w:t>
      </w:r>
      <w:r>
        <w:rPr>
          <w:rFonts w:hint="eastAsia"/>
          <w:color w:val="auto"/>
          <w:sz w:val="24"/>
        </w:rPr>
        <w:t>2.5</w:t>
      </w:r>
      <w:r>
        <w:rPr>
          <w:rFonts w:hint="eastAsia" w:cs="宋体" w:asciiTheme="minorEastAsia" w:hAnsiTheme="minorEastAsia" w:eastAsiaTheme="minorEastAsia"/>
          <w:color w:val="auto"/>
          <w:sz w:val="24"/>
        </w:rPr>
        <w:t>供应商须具有下列仪器设备：</w:t>
      </w:r>
    </w:p>
    <w:tbl>
      <w:tblPr>
        <w:tblStyle w:val="61"/>
        <w:tblW w:w="0" w:type="auto"/>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410"/>
        <w:gridCol w:w="2551"/>
        <w:gridCol w:w="709"/>
        <w:gridCol w:w="851"/>
        <w:gridCol w:w="1061"/>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694" w:type="dxa"/>
            <w:tcBorders>
              <w:top w:val="double" w:color="auto" w:sz="2" w:space="0"/>
              <w:left w:val="double" w:color="auto" w:sz="2" w:space="0"/>
              <w:bottom w:val="single" w:color="auto" w:sz="6" w:space="0"/>
              <w:right w:val="single" w:color="auto" w:sz="6" w:space="0"/>
            </w:tcBorders>
            <w:vAlign w:val="center"/>
          </w:tcPr>
          <w:p>
            <w:pPr>
              <w:snapToGrid w:val="0"/>
              <w:spacing w:line="360" w:lineRule="auto"/>
              <w:rPr>
                <w:rFonts w:cs="宋体" w:asciiTheme="minorEastAsia" w:hAnsiTheme="minorEastAsia" w:eastAsiaTheme="minorEastAsia"/>
                <w:color w:val="auto"/>
                <w:sz w:val="24"/>
              </w:rPr>
            </w:pPr>
            <w:r>
              <w:rPr>
                <w:rFonts w:cs="宋体" w:asciiTheme="minorEastAsia" w:hAnsiTheme="minorEastAsia" w:eastAsiaTheme="minorEastAsia"/>
                <w:color w:val="auto"/>
                <w:sz w:val="24"/>
              </w:rPr>
              <w:t>序号</w:t>
            </w:r>
          </w:p>
        </w:tc>
        <w:tc>
          <w:tcPr>
            <w:tcW w:w="2410" w:type="dxa"/>
            <w:tcBorders>
              <w:top w:val="double" w:color="auto" w:sz="2" w:space="0"/>
              <w:left w:val="single" w:color="auto" w:sz="6" w:space="0"/>
              <w:bottom w:val="single" w:color="auto" w:sz="6" w:space="0"/>
              <w:right w:val="single" w:color="auto" w:sz="6" w:space="0"/>
            </w:tcBorders>
            <w:vAlign w:val="center"/>
          </w:tcPr>
          <w:p>
            <w:pPr>
              <w:snapToGrid w:val="0"/>
              <w:spacing w:line="360" w:lineRule="auto"/>
              <w:rPr>
                <w:rFonts w:cs="宋体" w:asciiTheme="minorEastAsia" w:hAnsiTheme="minorEastAsia" w:eastAsiaTheme="minorEastAsia"/>
                <w:color w:val="auto"/>
                <w:sz w:val="24"/>
              </w:rPr>
            </w:pPr>
            <w:r>
              <w:rPr>
                <w:rFonts w:cs="宋体" w:asciiTheme="minorEastAsia" w:hAnsiTheme="minorEastAsia" w:eastAsiaTheme="minorEastAsia"/>
                <w:color w:val="auto"/>
                <w:sz w:val="24"/>
              </w:rPr>
              <w:t>仪器设备名称</w:t>
            </w:r>
          </w:p>
        </w:tc>
        <w:tc>
          <w:tcPr>
            <w:tcW w:w="2551" w:type="dxa"/>
            <w:tcBorders>
              <w:top w:val="double" w:color="auto" w:sz="2" w:space="0"/>
              <w:left w:val="single" w:color="auto" w:sz="6" w:space="0"/>
              <w:bottom w:val="single" w:color="auto" w:sz="6" w:space="0"/>
              <w:right w:val="single" w:color="auto" w:sz="6" w:space="0"/>
            </w:tcBorders>
            <w:vAlign w:val="center"/>
          </w:tcPr>
          <w:p>
            <w:pPr>
              <w:snapToGrid w:val="0"/>
              <w:spacing w:line="360" w:lineRule="auto"/>
              <w:rPr>
                <w:rFonts w:cs="宋体" w:asciiTheme="minorEastAsia" w:hAnsiTheme="minorEastAsia" w:eastAsiaTheme="minorEastAsia"/>
                <w:color w:val="auto"/>
                <w:sz w:val="24"/>
              </w:rPr>
            </w:pPr>
            <w:r>
              <w:rPr>
                <w:rFonts w:cs="宋体" w:asciiTheme="minorEastAsia" w:hAnsiTheme="minorEastAsia" w:eastAsiaTheme="minorEastAsia"/>
                <w:color w:val="auto"/>
                <w:sz w:val="24"/>
              </w:rPr>
              <w:t>规格、功能及容量</w:t>
            </w:r>
          </w:p>
        </w:tc>
        <w:tc>
          <w:tcPr>
            <w:tcW w:w="709" w:type="dxa"/>
            <w:tcBorders>
              <w:top w:val="double" w:color="auto" w:sz="2" w:space="0"/>
              <w:left w:val="single" w:color="auto" w:sz="6" w:space="0"/>
              <w:bottom w:val="single" w:color="auto" w:sz="6" w:space="0"/>
              <w:right w:val="single" w:color="auto" w:sz="6" w:space="0"/>
            </w:tcBorders>
            <w:vAlign w:val="center"/>
          </w:tcPr>
          <w:p>
            <w:pPr>
              <w:snapToGrid w:val="0"/>
              <w:spacing w:line="360" w:lineRule="auto"/>
              <w:rPr>
                <w:rFonts w:cs="宋体" w:asciiTheme="minorEastAsia" w:hAnsiTheme="minorEastAsia" w:eastAsiaTheme="minorEastAsia"/>
                <w:color w:val="auto"/>
                <w:sz w:val="24"/>
              </w:rPr>
            </w:pPr>
            <w:r>
              <w:rPr>
                <w:rFonts w:cs="宋体" w:asciiTheme="minorEastAsia" w:hAnsiTheme="minorEastAsia" w:eastAsiaTheme="minorEastAsia"/>
                <w:color w:val="auto"/>
                <w:sz w:val="24"/>
              </w:rPr>
              <w:t>单位</w:t>
            </w:r>
          </w:p>
        </w:tc>
        <w:tc>
          <w:tcPr>
            <w:tcW w:w="851" w:type="dxa"/>
            <w:tcBorders>
              <w:top w:val="double" w:color="auto" w:sz="2" w:space="0"/>
              <w:left w:val="single" w:color="auto" w:sz="6" w:space="0"/>
              <w:bottom w:val="single" w:color="auto" w:sz="6" w:space="0"/>
              <w:right w:val="single" w:color="auto" w:sz="6" w:space="0"/>
            </w:tcBorders>
            <w:vAlign w:val="center"/>
          </w:tcPr>
          <w:p>
            <w:pPr>
              <w:snapToGrid w:val="0"/>
              <w:spacing w:line="360" w:lineRule="auto"/>
              <w:rPr>
                <w:rFonts w:cs="宋体" w:asciiTheme="minorEastAsia" w:hAnsiTheme="minorEastAsia" w:eastAsiaTheme="minorEastAsia"/>
                <w:color w:val="auto"/>
                <w:sz w:val="24"/>
              </w:rPr>
            </w:pPr>
            <w:r>
              <w:rPr>
                <w:rFonts w:cs="宋体" w:asciiTheme="minorEastAsia" w:hAnsiTheme="minorEastAsia" w:eastAsiaTheme="minorEastAsia"/>
                <w:color w:val="auto"/>
                <w:sz w:val="24"/>
              </w:rPr>
              <w:t>最低数量要求</w:t>
            </w:r>
          </w:p>
        </w:tc>
        <w:tc>
          <w:tcPr>
            <w:tcW w:w="1061" w:type="dxa"/>
            <w:tcBorders>
              <w:top w:val="double" w:color="auto" w:sz="2" w:space="0"/>
              <w:left w:val="single" w:color="auto" w:sz="6" w:space="0"/>
              <w:bottom w:val="single" w:color="auto" w:sz="6" w:space="0"/>
              <w:right w:val="double" w:color="auto" w:sz="2" w:space="0"/>
            </w:tcBorders>
            <w:vAlign w:val="center"/>
          </w:tcPr>
          <w:p>
            <w:pPr>
              <w:snapToGrid w:val="0"/>
              <w:spacing w:line="360" w:lineRule="auto"/>
              <w:rPr>
                <w:rFonts w:cs="宋体" w:asciiTheme="minorEastAsia" w:hAnsiTheme="minorEastAsia" w:eastAsiaTheme="minorEastAsia"/>
                <w:color w:val="auto"/>
                <w:sz w:val="24"/>
              </w:rPr>
            </w:pPr>
            <w:r>
              <w:rPr>
                <w:rFonts w:cs="宋体" w:asciiTheme="minorEastAsia" w:hAnsiTheme="minorEastAsia" w:eastAsiaTheme="minorEastAsia"/>
                <w:color w:val="auto"/>
                <w:sz w:val="24"/>
              </w:rPr>
              <w:t>备 注</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4" w:type="dxa"/>
            <w:tcBorders>
              <w:top w:val="single" w:color="auto" w:sz="6" w:space="0"/>
              <w:left w:val="double" w:color="auto" w:sz="2"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1</w:t>
            </w:r>
          </w:p>
        </w:tc>
        <w:tc>
          <w:tcPr>
            <w:tcW w:w="241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落锤弯沉仪</w:t>
            </w:r>
          </w:p>
        </w:tc>
        <w:tc>
          <w:tcPr>
            <w:tcW w:w="25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满足检测要求</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台</w:t>
            </w:r>
          </w:p>
        </w:tc>
        <w:tc>
          <w:tcPr>
            <w:tcW w:w="8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1</w:t>
            </w:r>
          </w:p>
        </w:tc>
        <w:tc>
          <w:tcPr>
            <w:tcW w:w="1061" w:type="dxa"/>
            <w:vMerge w:val="restart"/>
            <w:tcBorders>
              <w:top w:val="single" w:color="auto" w:sz="6" w:space="0"/>
              <w:left w:val="single" w:color="auto" w:sz="6" w:space="0"/>
              <w:bottom w:val="single" w:color="auto" w:sz="6" w:space="0"/>
              <w:right w:val="double" w:color="auto" w:sz="2" w:space="0"/>
            </w:tcBorders>
            <w:vAlign w:val="center"/>
          </w:tcPr>
          <w:p>
            <w:pPr>
              <w:snapToGrid w:val="0"/>
              <w:spacing w:line="360" w:lineRule="auto"/>
              <w:rPr>
                <w:rFonts w:cs="宋体" w:asciiTheme="minorEastAsia" w:hAnsiTheme="minorEastAsia" w:eastAsiaTheme="minorEastAsia"/>
                <w:color w:val="auto"/>
                <w:sz w:val="24"/>
              </w:rPr>
            </w:pPr>
            <w:r>
              <w:rPr>
                <w:rFonts w:cs="宋体" w:asciiTheme="minorEastAsia" w:hAnsiTheme="minorEastAsia" w:eastAsiaTheme="minorEastAsia"/>
                <w:color w:val="auto"/>
                <w:sz w:val="24"/>
              </w:rPr>
              <w:t>提供承诺书</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4" w:type="dxa"/>
            <w:tcBorders>
              <w:top w:val="single" w:color="auto" w:sz="6" w:space="0"/>
              <w:left w:val="double" w:color="auto" w:sz="2"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2</w:t>
            </w:r>
          </w:p>
        </w:tc>
        <w:tc>
          <w:tcPr>
            <w:tcW w:w="241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激光平整仪</w:t>
            </w:r>
          </w:p>
        </w:tc>
        <w:tc>
          <w:tcPr>
            <w:tcW w:w="25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满足检测要求</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台</w:t>
            </w:r>
          </w:p>
        </w:tc>
        <w:tc>
          <w:tcPr>
            <w:tcW w:w="8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1</w:t>
            </w:r>
          </w:p>
        </w:tc>
        <w:tc>
          <w:tcPr>
            <w:tcW w:w="0" w:type="auto"/>
            <w:vMerge w:val="continue"/>
            <w:tcBorders>
              <w:top w:val="single" w:color="auto" w:sz="6" w:space="0"/>
              <w:left w:val="single" w:color="auto" w:sz="6" w:space="0"/>
              <w:bottom w:val="single" w:color="auto" w:sz="6" w:space="0"/>
              <w:right w:val="double" w:color="auto" w:sz="2"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4" w:type="dxa"/>
            <w:tcBorders>
              <w:top w:val="single" w:color="auto" w:sz="6" w:space="0"/>
              <w:left w:val="double" w:color="auto" w:sz="2"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3</w:t>
            </w:r>
          </w:p>
        </w:tc>
        <w:tc>
          <w:tcPr>
            <w:tcW w:w="241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激光车辙仪</w:t>
            </w:r>
          </w:p>
        </w:tc>
        <w:tc>
          <w:tcPr>
            <w:tcW w:w="25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满足检测要求</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台</w:t>
            </w:r>
          </w:p>
        </w:tc>
        <w:tc>
          <w:tcPr>
            <w:tcW w:w="8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1</w:t>
            </w:r>
          </w:p>
        </w:tc>
        <w:tc>
          <w:tcPr>
            <w:tcW w:w="0" w:type="auto"/>
            <w:vMerge w:val="continue"/>
            <w:tcBorders>
              <w:top w:val="single" w:color="auto" w:sz="6" w:space="0"/>
              <w:left w:val="single" w:color="auto" w:sz="6" w:space="0"/>
              <w:bottom w:val="single" w:color="auto" w:sz="6" w:space="0"/>
              <w:right w:val="double" w:color="auto" w:sz="2"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4" w:type="dxa"/>
            <w:tcBorders>
              <w:top w:val="single" w:color="auto" w:sz="6" w:space="0"/>
              <w:left w:val="double" w:color="auto" w:sz="2"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4</w:t>
            </w:r>
          </w:p>
        </w:tc>
        <w:tc>
          <w:tcPr>
            <w:tcW w:w="241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横向力系数测试仪</w:t>
            </w:r>
          </w:p>
        </w:tc>
        <w:tc>
          <w:tcPr>
            <w:tcW w:w="25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满足检测要求</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台</w:t>
            </w:r>
          </w:p>
        </w:tc>
        <w:tc>
          <w:tcPr>
            <w:tcW w:w="8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1</w:t>
            </w:r>
          </w:p>
        </w:tc>
        <w:tc>
          <w:tcPr>
            <w:tcW w:w="0" w:type="auto"/>
            <w:vMerge w:val="continue"/>
            <w:tcBorders>
              <w:top w:val="single" w:color="auto" w:sz="6" w:space="0"/>
              <w:left w:val="single" w:color="auto" w:sz="6" w:space="0"/>
              <w:bottom w:val="single" w:color="auto" w:sz="6" w:space="0"/>
              <w:right w:val="double" w:color="auto" w:sz="2"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4" w:type="dxa"/>
            <w:tcBorders>
              <w:top w:val="single" w:color="auto" w:sz="6" w:space="0"/>
              <w:left w:val="double" w:color="auto" w:sz="2"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5</w:t>
            </w:r>
          </w:p>
        </w:tc>
        <w:tc>
          <w:tcPr>
            <w:tcW w:w="241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非金属超声波检测仪</w:t>
            </w:r>
          </w:p>
        </w:tc>
        <w:tc>
          <w:tcPr>
            <w:tcW w:w="25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满足检测要求</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台</w:t>
            </w:r>
          </w:p>
        </w:tc>
        <w:tc>
          <w:tcPr>
            <w:tcW w:w="8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1</w:t>
            </w:r>
          </w:p>
        </w:tc>
        <w:tc>
          <w:tcPr>
            <w:tcW w:w="0" w:type="auto"/>
            <w:vMerge w:val="continue"/>
            <w:tcBorders>
              <w:top w:val="single" w:color="auto" w:sz="6" w:space="0"/>
              <w:left w:val="single" w:color="auto" w:sz="6" w:space="0"/>
              <w:bottom w:val="single" w:color="auto" w:sz="6" w:space="0"/>
              <w:right w:val="double" w:color="auto" w:sz="2"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4" w:type="dxa"/>
            <w:tcBorders>
              <w:top w:val="single" w:color="auto" w:sz="6" w:space="0"/>
              <w:left w:val="double" w:color="auto" w:sz="2"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6</w:t>
            </w:r>
          </w:p>
        </w:tc>
        <w:tc>
          <w:tcPr>
            <w:tcW w:w="241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超声波测厚仪</w:t>
            </w:r>
          </w:p>
        </w:tc>
        <w:tc>
          <w:tcPr>
            <w:tcW w:w="25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满足检测要求</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台</w:t>
            </w:r>
          </w:p>
        </w:tc>
        <w:tc>
          <w:tcPr>
            <w:tcW w:w="8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0" w:type="auto"/>
            <w:vMerge w:val="continue"/>
            <w:tcBorders>
              <w:top w:val="single" w:color="auto" w:sz="6" w:space="0"/>
              <w:left w:val="single" w:color="auto" w:sz="6" w:space="0"/>
              <w:bottom w:val="single" w:color="auto" w:sz="6" w:space="0"/>
              <w:right w:val="double" w:color="auto" w:sz="2"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4" w:type="dxa"/>
            <w:tcBorders>
              <w:top w:val="single" w:color="auto" w:sz="6" w:space="0"/>
              <w:left w:val="double" w:color="auto" w:sz="2"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7</w:t>
            </w:r>
          </w:p>
        </w:tc>
        <w:tc>
          <w:tcPr>
            <w:tcW w:w="241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混凝土回弹仪</w:t>
            </w:r>
          </w:p>
        </w:tc>
        <w:tc>
          <w:tcPr>
            <w:tcW w:w="25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满足检测要求</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台</w:t>
            </w:r>
          </w:p>
        </w:tc>
        <w:tc>
          <w:tcPr>
            <w:tcW w:w="8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0" w:type="auto"/>
            <w:vMerge w:val="continue"/>
            <w:tcBorders>
              <w:top w:val="single" w:color="auto" w:sz="6" w:space="0"/>
              <w:left w:val="single" w:color="auto" w:sz="6" w:space="0"/>
              <w:bottom w:val="single" w:color="auto" w:sz="6" w:space="0"/>
              <w:right w:val="double" w:color="auto" w:sz="2"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4" w:type="dxa"/>
            <w:tcBorders>
              <w:top w:val="single" w:color="auto" w:sz="6" w:space="0"/>
              <w:left w:val="double" w:color="auto" w:sz="2"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8</w:t>
            </w:r>
          </w:p>
        </w:tc>
        <w:tc>
          <w:tcPr>
            <w:tcW w:w="241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逆反射标志测量仪（多角度）</w:t>
            </w:r>
          </w:p>
        </w:tc>
        <w:tc>
          <w:tcPr>
            <w:tcW w:w="25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满足检测要求</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台</w:t>
            </w:r>
          </w:p>
        </w:tc>
        <w:tc>
          <w:tcPr>
            <w:tcW w:w="8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1</w:t>
            </w:r>
          </w:p>
        </w:tc>
        <w:tc>
          <w:tcPr>
            <w:tcW w:w="0" w:type="auto"/>
            <w:vMerge w:val="continue"/>
            <w:tcBorders>
              <w:top w:val="single" w:color="auto" w:sz="6" w:space="0"/>
              <w:left w:val="single" w:color="auto" w:sz="6" w:space="0"/>
              <w:bottom w:val="single" w:color="auto" w:sz="6" w:space="0"/>
              <w:right w:val="double" w:color="auto" w:sz="2"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4" w:type="dxa"/>
            <w:tcBorders>
              <w:top w:val="single" w:color="auto" w:sz="6" w:space="0"/>
              <w:left w:val="double" w:color="auto" w:sz="2"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9</w:t>
            </w:r>
          </w:p>
        </w:tc>
        <w:tc>
          <w:tcPr>
            <w:tcW w:w="241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绝缘电阻测试仪</w:t>
            </w:r>
          </w:p>
        </w:tc>
        <w:tc>
          <w:tcPr>
            <w:tcW w:w="25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满足检测要求</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台</w:t>
            </w:r>
          </w:p>
        </w:tc>
        <w:tc>
          <w:tcPr>
            <w:tcW w:w="8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1</w:t>
            </w:r>
          </w:p>
        </w:tc>
        <w:tc>
          <w:tcPr>
            <w:tcW w:w="0" w:type="auto"/>
            <w:vMerge w:val="continue"/>
            <w:tcBorders>
              <w:top w:val="single" w:color="auto" w:sz="6" w:space="0"/>
              <w:left w:val="single" w:color="auto" w:sz="6" w:space="0"/>
              <w:bottom w:val="single" w:color="auto" w:sz="6" w:space="0"/>
              <w:right w:val="double" w:color="auto" w:sz="2"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PrEx>
        <w:trPr>
          <w:trHeight w:val="567" w:hRule="atLeast"/>
          <w:jc w:val="center"/>
        </w:trPr>
        <w:tc>
          <w:tcPr>
            <w:tcW w:w="694" w:type="dxa"/>
            <w:tcBorders>
              <w:top w:val="single" w:color="auto" w:sz="6" w:space="0"/>
              <w:left w:val="double" w:color="auto" w:sz="2"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10</w:t>
            </w:r>
          </w:p>
        </w:tc>
        <w:tc>
          <w:tcPr>
            <w:tcW w:w="241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荷载试验仪器设备</w:t>
            </w:r>
          </w:p>
        </w:tc>
        <w:tc>
          <w:tcPr>
            <w:tcW w:w="25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满足检测要求</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套</w:t>
            </w:r>
          </w:p>
        </w:tc>
        <w:tc>
          <w:tcPr>
            <w:tcW w:w="8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1</w:t>
            </w:r>
          </w:p>
        </w:tc>
        <w:tc>
          <w:tcPr>
            <w:tcW w:w="0" w:type="auto"/>
            <w:vMerge w:val="continue"/>
            <w:tcBorders>
              <w:top w:val="single" w:color="auto" w:sz="6" w:space="0"/>
              <w:left w:val="single" w:color="auto" w:sz="6" w:space="0"/>
              <w:bottom w:val="single" w:color="auto" w:sz="6" w:space="0"/>
              <w:right w:val="double" w:color="auto" w:sz="2"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4" w:type="dxa"/>
            <w:tcBorders>
              <w:top w:val="single" w:color="auto" w:sz="6" w:space="0"/>
              <w:left w:val="double" w:color="auto" w:sz="2"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11</w:t>
            </w:r>
          </w:p>
        </w:tc>
        <w:tc>
          <w:tcPr>
            <w:tcW w:w="241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桥梁检测车</w:t>
            </w:r>
          </w:p>
        </w:tc>
        <w:tc>
          <w:tcPr>
            <w:tcW w:w="25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满足检测要求</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台</w:t>
            </w:r>
          </w:p>
        </w:tc>
        <w:tc>
          <w:tcPr>
            <w:tcW w:w="8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1</w:t>
            </w:r>
          </w:p>
        </w:tc>
        <w:tc>
          <w:tcPr>
            <w:tcW w:w="0" w:type="auto"/>
            <w:vMerge w:val="continue"/>
            <w:tcBorders>
              <w:top w:val="single" w:color="auto" w:sz="6" w:space="0"/>
              <w:left w:val="single" w:color="auto" w:sz="6" w:space="0"/>
              <w:bottom w:val="single" w:color="auto" w:sz="6" w:space="0"/>
              <w:right w:val="double" w:color="auto" w:sz="2"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4" w:type="dxa"/>
            <w:tcBorders>
              <w:top w:val="single" w:color="auto" w:sz="6" w:space="0"/>
              <w:left w:val="double" w:color="auto" w:sz="2"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12</w:t>
            </w:r>
          </w:p>
        </w:tc>
        <w:tc>
          <w:tcPr>
            <w:tcW w:w="241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全站仪</w:t>
            </w:r>
          </w:p>
        </w:tc>
        <w:tc>
          <w:tcPr>
            <w:tcW w:w="25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满足检测要求</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台</w:t>
            </w:r>
          </w:p>
        </w:tc>
        <w:tc>
          <w:tcPr>
            <w:tcW w:w="8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1</w:t>
            </w:r>
          </w:p>
        </w:tc>
        <w:tc>
          <w:tcPr>
            <w:tcW w:w="0" w:type="auto"/>
            <w:vMerge w:val="continue"/>
            <w:tcBorders>
              <w:top w:val="single" w:color="auto" w:sz="6" w:space="0"/>
              <w:left w:val="single" w:color="auto" w:sz="6" w:space="0"/>
              <w:bottom w:val="single" w:color="auto" w:sz="6" w:space="0"/>
              <w:right w:val="double" w:color="auto" w:sz="2"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4" w:type="dxa"/>
            <w:tcBorders>
              <w:top w:val="single" w:color="auto" w:sz="6" w:space="0"/>
              <w:left w:val="double" w:color="auto" w:sz="2" w:space="0"/>
              <w:bottom w:val="double" w:color="auto" w:sz="2"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13</w:t>
            </w:r>
          </w:p>
        </w:tc>
        <w:tc>
          <w:tcPr>
            <w:tcW w:w="2410" w:type="dxa"/>
            <w:tcBorders>
              <w:top w:val="single" w:color="auto" w:sz="6" w:space="0"/>
              <w:left w:val="single" w:color="auto" w:sz="6" w:space="0"/>
              <w:bottom w:val="double" w:color="auto" w:sz="2"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雷达测厚仪</w:t>
            </w:r>
          </w:p>
        </w:tc>
        <w:tc>
          <w:tcPr>
            <w:tcW w:w="2551" w:type="dxa"/>
            <w:tcBorders>
              <w:top w:val="single" w:color="auto" w:sz="6" w:space="0"/>
              <w:left w:val="single" w:color="auto" w:sz="6" w:space="0"/>
              <w:bottom w:val="double" w:color="auto" w:sz="2" w:space="0"/>
              <w:right w:val="single" w:color="auto" w:sz="6"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满足检测要求</w:t>
            </w:r>
          </w:p>
        </w:tc>
        <w:tc>
          <w:tcPr>
            <w:tcW w:w="709" w:type="dxa"/>
            <w:tcBorders>
              <w:top w:val="single" w:color="auto" w:sz="6" w:space="0"/>
              <w:left w:val="single" w:color="auto" w:sz="6" w:space="0"/>
              <w:bottom w:val="double" w:color="auto" w:sz="2"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台</w:t>
            </w:r>
          </w:p>
        </w:tc>
        <w:tc>
          <w:tcPr>
            <w:tcW w:w="851" w:type="dxa"/>
            <w:tcBorders>
              <w:top w:val="single" w:color="auto" w:sz="6" w:space="0"/>
              <w:left w:val="single" w:color="auto" w:sz="6" w:space="0"/>
              <w:bottom w:val="double" w:color="auto" w:sz="2" w:space="0"/>
              <w:right w:val="single" w:color="auto" w:sz="6" w:space="0"/>
            </w:tcBorders>
            <w:vAlign w:val="center"/>
          </w:tcPr>
          <w:p>
            <w:pPr>
              <w:snapToGrid w:val="0"/>
              <w:spacing w:line="360" w:lineRule="auto"/>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1</w:t>
            </w:r>
          </w:p>
        </w:tc>
        <w:tc>
          <w:tcPr>
            <w:tcW w:w="0" w:type="auto"/>
            <w:vMerge w:val="continue"/>
            <w:tcBorders>
              <w:top w:val="single" w:color="auto" w:sz="6" w:space="0"/>
              <w:left w:val="single" w:color="auto" w:sz="6" w:space="0"/>
              <w:bottom w:val="single" w:color="auto" w:sz="6" w:space="0"/>
              <w:right w:val="double" w:color="auto" w:sz="2" w:space="0"/>
            </w:tcBorders>
            <w:vAlign w:val="center"/>
          </w:tcPr>
          <w:p>
            <w:pPr>
              <w:snapToGrid w:val="0"/>
              <w:spacing w:line="360" w:lineRule="auto"/>
              <w:ind w:firstLine="480" w:firstLineChars="200"/>
              <w:rPr>
                <w:rFonts w:cs="宋体" w:asciiTheme="minorEastAsia" w:hAnsiTheme="minorEastAsia" w:eastAsiaTheme="minorEastAsia"/>
                <w:color w:val="auto"/>
                <w:sz w:val="24"/>
              </w:rPr>
            </w:pPr>
          </w:p>
        </w:tc>
      </w:tr>
    </w:tbl>
    <w:p>
      <w:pPr>
        <w:rPr>
          <w:color w:val="auto"/>
        </w:rPr>
      </w:pPr>
    </w:p>
    <w:p>
      <w:pPr>
        <w:adjustRightInd/>
        <w:spacing w:line="360" w:lineRule="auto"/>
        <w:jc w:val="left"/>
        <w:outlineLvl w:val="0"/>
        <w:rPr>
          <w:rFonts w:hint="eastAsia"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三、费用与支付</w:t>
      </w:r>
    </w:p>
    <w:p>
      <w:pPr>
        <w:snapToGrid w:val="0"/>
        <w:spacing w:line="360" w:lineRule="auto"/>
        <w:ind w:firstLine="480" w:firstLineChars="200"/>
        <w:rPr>
          <w:color w:val="auto"/>
          <w:sz w:val="24"/>
        </w:rPr>
      </w:pPr>
      <w:r>
        <w:rPr>
          <w:rFonts w:hint="eastAsia" w:ascii="宋体" w:hAnsi="宋体"/>
          <w:color w:val="auto"/>
          <w:sz w:val="24"/>
        </w:rPr>
        <w:t>3.1附加试验检测服务的费用计算方法：</w:t>
      </w:r>
    </w:p>
    <w:p>
      <w:pPr>
        <w:snapToGrid w:val="0"/>
        <w:spacing w:line="360" w:lineRule="auto"/>
        <w:ind w:firstLine="480" w:firstLineChars="200"/>
        <w:rPr>
          <w:color w:val="auto"/>
          <w:sz w:val="24"/>
        </w:rPr>
      </w:pPr>
      <w:r>
        <w:rPr>
          <w:rFonts w:hint="eastAsia" w:ascii="宋体" w:hAnsi="宋体"/>
          <w:color w:val="auto"/>
          <w:sz w:val="24"/>
        </w:rPr>
        <w:t>（</w:t>
      </w:r>
      <w:r>
        <w:rPr>
          <w:rFonts w:hint="eastAsia"/>
          <w:color w:val="auto"/>
          <w:sz w:val="24"/>
        </w:rPr>
        <w:t>1</w:t>
      </w:r>
      <w:r>
        <w:rPr>
          <w:rFonts w:hint="eastAsia" w:ascii="宋体" w:hAnsi="宋体"/>
          <w:color w:val="auto"/>
          <w:sz w:val="24"/>
        </w:rPr>
        <w:t>）涉及试验检测</w:t>
      </w:r>
      <w:r>
        <w:rPr>
          <w:rFonts w:ascii="宋体" w:hAnsi="宋体"/>
          <w:color w:val="auto"/>
          <w:sz w:val="24"/>
        </w:rPr>
        <w:t>内容</w:t>
      </w:r>
      <w:r>
        <w:rPr>
          <w:rFonts w:hint="eastAsia" w:ascii="宋体" w:hAnsi="宋体"/>
          <w:color w:val="auto"/>
          <w:sz w:val="24"/>
        </w:rPr>
        <w:t>或项目</w:t>
      </w:r>
      <w:r>
        <w:rPr>
          <w:rFonts w:ascii="宋体" w:hAnsi="宋体"/>
          <w:color w:val="auto"/>
          <w:sz w:val="24"/>
        </w:rPr>
        <w:t>增</w:t>
      </w:r>
      <w:r>
        <w:rPr>
          <w:rFonts w:hint="eastAsia" w:ascii="宋体" w:hAnsi="宋体"/>
          <w:color w:val="auto"/>
          <w:sz w:val="24"/>
        </w:rPr>
        <w:t>减的</w:t>
      </w:r>
      <w:r>
        <w:rPr>
          <w:rFonts w:ascii="宋体" w:hAnsi="宋体"/>
          <w:color w:val="auto"/>
          <w:sz w:val="24"/>
        </w:rPr>
        <w:t>，</w:t>
      </w:r>
      <w:r>
        <w:rPr>
          <w:rFonts w:hint="eastAsia" w:ascii="宋体" w:hAnsi="宋体"/>
          <w:color w:val="auto"/>
          <w:sz w:val="24"/>
        </w:rPr>
        <w:t>已标价</w:t>
      </w:r>
      <w:r>
        <w:rPr>
          <w:rFonts w:ascii="宋体" w:hAnsi="宋体"/>
          <w:color w:val="auto"/>
          <w:sz w:val="24"/>
        </w:rPr>
        <w:t>的</w:t>
      </w:r>
      <w:r>
        <w:rPr>
          <w:rFonts w:hint="eastAsia" w:ascii="宋体" w:hAnsi="宋体"/>
          <w:color w:val="auto"/>
          <w:sz w:val="24"/>
        </w:rPr>
        <w:t>报价</w:t>
      </w:r>
      <w:r>
        <w:rPr>
          <w:rFonts w:ascii="宋体" w:hAnsi="宋体"/>
          <w:color w:val="auto"/>
          <w:sz w:val="24"/>
        </w:rPr>
        <w:t>清单中有适用于</w:t>
      </w:r>
      <w:r>
        <w:rPr>
          <w:rFonts w:hint="eastAsia" w:ascii="宋体" w:hAnsi="宋体"/>
          <w:color w:val="auto"/>
          <w:sz w:val="24"/>
        </w:rPr>
        <w:t>该检测</w:t>
      </w:r>
      <w:r>
        <w:rPr>
          <w:rFonts w:ascii="宋体" w:hAnsi="宋体"/>
          <w:color w:val="auto"/>
          <w:sz w:val="24"/>
        </w:rPr>
        <w:t>内容或</w:t>
      </w:r>
      <w:r>
        <w:rPr>
          <w:rFonts w:hint="eastAsia" w:ascii="宋体" w:hAnsi="宋体"/>
          <w:color w:val="auto"/>
          <w:sz w:val="24"/>
        </w:rPr>
        <w:t>项目单价</w:t>
      </w:r>
      <w:r>
        <w:rPr>
          <w:rFonts w:ascii="宋体" w:hAnsi="宋体"/>
          <w:color w:val="auto"/>
          <w:sz w:val="24"/>
        </w:rPr>
        <w:t>的</w:t>
      </w:r>
      <w:r>
        <w:rPr>
          <w:rFonts w:hint="eastAsia" w:ascii="宋体" w:hAnsi="宋体"/>
          <w:color w:val="auto"/>
          <w:sz w:val="24"/>
        </w:rPr>
        <w:t>，</w:t>
      </w:r>
      <w:r>
        <w:rPr>
          <w:rFonts w:ascii="宋体" w:hAnsi="宋体"/>
          <w:color w:val="auto"/>
          <w:sz w:val="24"/>
        </w:rPr>
        <w:t>采用该内容或项目单价</w:t>
      </w:r>
      <w:r>
        <w:rPr>
          <w:rFonts w:hint="eastAsia" w:ascii="宋体" w:hAnsi="宋体"/>
          <w:color w:val="auto"/>
          <w:sz w:val="24"/>
        </w:rPr>
        <w:t>；已标价</w:t>
      </w:r>
      <w:r>
        <w:rPr>
          <w:rFonts w:ascii="宋体" w:hAnsi="宋体"/>
          <w:color w:val="auto"/>
          <w:sz w:val="24"/>
        </w:rPr>
        <w:t>的</w:t>
      </w:r>
      <w:r>
        <w:rPr>
          <w:rFonts w:hint="eastAsia" w:ascii="宋体" w:hAnsi="宋体"/>
          <w:color w:val="auto"/>
          <w:sz w:val="24"/>
        </w:rPr>
        <w:t>报价</w:t>
      </w:r>
      <w:r>
        <w:rPr>
          <w:rFonts w:ascii="宋体" w:hAnsi="宋体"/>
          <w:color w:val="auto"/>
          <w:sz w:val="24"/>
        </w:rPr>
        <w:t>清单中</w:t>
      </w:r>
      <w:r>
        <w:rPr>
          <w:rFonts w:hint="eastAsia" w:ascii="宋体" w:hAnsi="宋体"/>
          <w:color w:val="auto"/>
          <w:sz w:val="24"/>
        </w:rPr>
        <w:t>无</w:t>
      </w:r>
      <w:r>
        <w:rPr>
          <w:rFonts w:ascii="宋体" w:hAnsi="宋体"/>
          <w:color w:val="auto"/>
          <w:sz w:val="24"/>
        </w:rPr>
        <w:t>适用于</w:t>
      </w:r>
      <w:r>
        <w:rPr>
          <w:rFonts w:hint="eastAsia" w:ascii="宋体" w:hAnsi="宋体"/>
          <w:color w:val="auto"/>
          <w:sz w:val="24"/>
        </w:rPr>
        <w:t>该检测</w:t>
      </w:r>
      <w:r>
        <w:rPr>
          <w:rFonts w:ascii="宋体" w:hAnsi="宋体"/>
          <w:color w:val="auto"/>
          <w:sz w:val="24"/>
        </w:rPr>
        <w:t>内容或</w:t>
      </w:r>
      <w:r>
        <w:rPr>
          <w:rFonts w:hint="eastAsia" w:ascii="宋体" w:hAnsi="宋体"/>
          <w:color w:val="auto"/>
          <w:sz w:val="24"/>
        </w:rPr>
        <w:t>项目单价</w:t>
      </w:r>
      <w:r>
        <w:rPr>
          <w:rFonts w:ascii="宋体" w:hAnsi="宋体"/>
          <w:color w:val="auto"/>
          <w:sz w:val="24"/>
        </w:rPr>
        <w:t>的，则按照《关于调整交通建设工程质量检测和工程材料试验收费标准的复函》（浙价服</w:t>
      </w:r>
      <w:r>
        <w:rPr>
          <w:rFonts w:hint="eastAsia" w:ascii="宋体" w:hAnsi="宋体"/>
          <w:color w:val="auto"/>
          <w:sz w:val="24"/>
        </w:rPr>
        <w:t>〔</w:t>
      </w:r>
      <w:r>
        <w:rPr>
          <w:color w:val="auto"/>
          <w:sz w:val="24"/>
        </w:rPr>
        <w:t>2013</w:t>
      </w:r>
      <w:r>
        <w:rPr>
          <w:rFonts w:hint="eastAsia" w:ascii="宋体" w:hAnsi="宋体"/>
          <w:color w:val="auto"/>
          <w:sz w:val="24"/>
        </w:rPr>
        <w:t>〕</w:t>
      </w:r>
      <w:r>
        <w:rPr>
          <w:color w:val="auto"/>
          <w:sz w:val="24"/>
        </w:rPr>
        <w:t>264</w:t>
      </w:r>
      <w:r>
        <w:rPr>
          <w:rFonts w:ascii="宋体" w:hAnsi="宋体"/>
          <w:color w:val="auto"/>
          <w:sz w:val="24"/>
        </w:rPr>
        <w:t>号）所列收费标准乘以</w:t>
      </w:r>
      <w:r>
        <w:rPr>
          <w:color w:val="auto"/>
          <w:sz w:val="24"/>
          <w:u w:val="single"/>
        </w:rPr>
        <w:t xml:space="preserve"> </w:t>
      </w:r>
      <w:r>
        <w:rPr>
          <w:rFonts w:hint="eastAsia" w:ascii="宋体" w:hAnsi="宋体"/>
          <w:color w:val="auto"/>
          <w:sz w:val="24"/>
          <w:u w:val="single"/>
        </w:rPr>
        <w:t>75</w:t>
      </w:r>
      <w:r>
        <w:rPr>
          <w:color w:val="auto"/>
          <w:sz w:val="24"/>
          <w:u w:val="single"/>
        </w:rPr>
        <w:t xml:space="preserve"> </w:t>
      </w:r>
      <w:r>
        <w:rPr>
          <w:color w:val="auto"/>
          <w:sz w:val="24"/>
        </w:rPr>
        <w:t>%</w:t>
      </w:r>
      <w:r>
        <w:rPr>
          <w:rFonts w:hint="eastAsia" w:ascii="宋体" w:hAnsi="宋体"/>
          <w:color w:val="auto"/>
          <w:sz w:val="24"/>
        </w:rPr>
        <w:t>，再</w:t>
      </w:r>
      <w:r>
        <w:rPr>
          <w:rFonts w:ascii="宋体" w:hAnsi="宋体"/>
          <w:color w:val="auto"/>
          <w:sz w:val="24"/>
        </w:rPr>
        <w:t>乘以</w:t>
      </w:r>
      <w:r>
        <w:rPr>
          <w:color w:val="auto"/>
          <w:sz w:val="24"/>
        </w:rPr>
        <w:t>“</w:t>
      </w:r>
      <w:r>
        <w:rPr>
          <w:rFonts w:ascii="宋体" w:hAnsi="宋体"/>
          <w:color w:val="auto"/>
          <w:sz w:val="24"/>
        </w:rPr>
        <w:t>签约合同价</w:t>
      </w:r>
      <w:r>
        <w:rPr>
          <w:color w:val="auto"/>
          <w:sz w:val="24"/>
        </w:rPr>
        <w:t>”</w:t>
      </w:r>
      <w:r>
        <w:rPr>
          <w:rFonts w:ascii="宋体" w:hAnsi="宋体"/>
          <w:color w:val="auto"/>
          <w:sz w:val="24"/>
        </w:rPr>
        <w:t>与该项目招标时的</w:t>
      </w:r>
      <w:r>
        <w:rPr>
          <w:rFonts w:hint="eastAsia" w:ascii="宋体" w:hAnsi="宋体"/>
          <w:color w:val="auto"/>
          <w:sz w:val="24"/>
        </w:rPr>
        <w:t>最高限价</w:t>
      </w:r>
      <w:r>
        <w:rPr>
          <w:rFonts w:ascii="宋体" w:hAnsi="宋体"/>
          <w:color w:val="auto"/>
          <w:sz w:val="24"/>
        </w:rPr>
        <w:t>的比值执行；若《关于调整交通建设工程质量检测和工程材料试验收费标准的复函》中仍无相关内容可参照的，则双方协商解决。</w:t>
      </w:r>
    </w:p>
    <w:p>
      <w:pPr>
        <w:snapToGrid w:val="0"/>
        <w:spacing w:line="360" w:lineRule="auto"/>
        <w:ind w:firstLine="480" w:firstLineChars="200"/>
        <w:rPr>
          <w:color w:val="auto"/>
          <w:sz w:val="24"/>
        </w:rPr>
      </w:pPr>
      <w:r>
        <w:rPr>
          <w:rFonts w:hint="eastAsia" w:ascii="宋体" w:hAnsi="宋体"/>
          <w:color w:val="auto"/>
          <w:sz w:val="24"/>
        </w:rPr>
        <w:t>（</w:t>
      </w:r>
      <w:r>
        <w:rPr>
          <w:rFonts w:hint="eastAsia"/>
          <w:color w:val="auto"/>
          <w:sz w:val="24"/>
        </w:rPr>
        <w:t>2</w:t>
      </w:r>
      <w:r>
        <w:rPr>
          <w:rFonts w:hint="eastAsia" w:ascii="宋体" w:hAnsi="宋体"/>
          <w:color w:val="auto"/>
          <w:sz w:val="24"/>
        </w:rPr>
        <w:t>）</w:t>
      </w:r>
      <w:r>
        <w:rPr>
          <w:rFonts w:ascii="宋体" w:hAnsi="宋体"/>
          <w:color w:val="auto"/>
          <w:sz w:val="24"/>
        </w:rPr>
        <w:t>涉及检测服务时间</w:t>
      </w:r>
      <w:r>
        <w:rPr>
          <w:rFonts w:hint="eastAsia" w:ascii="宋体" w:hAnsi="宋体"/>
          <w:color w:val="auto"/>
          <w:sz w:val="24"/>
        </w:rPr>
        <w:t>增加或</w:t>
      </w:r>
      <w:r>
        <w:rPr>
          <w:rFonts w:ascii="宋体" w:hAnsi="宋体"/>
          <w:color w:val="auto"/>
          <w:sz w:val="24"/>
        </w:rPr>
        <w:t>减少的，双方协商解决。</w:t>
      </w:r>
    </w:p>
    <w:p>
      <w:pPr>
        <w:snapToGrid w:val="0"/>
        <w:spacing w:line="360" w:lineRule="auto"/>
        <w:ind w:firstLine="480" w:firstLineChars="200"/>
        <w:rPr>
          <w:color w:val="auto"/>
          <w:sz w:val="24"/>
        </w:rPr>
      </w:pPr>
      <w:r>
        <w:rPr>
          <w:rFonts w:hint="eastAsia"/>
          <w:color w:val="auto"/>
          <w:sz w:val="24"/>
        </w:rPr>
        <w:t xml:space="preserve">3.2 </w:t>
      </w:r>
      <w:r>
        <w:rPr>
          <w:rFonts w:hint="eastAsia" w:ascii="宋体" w:hAnsi="宋体"/>
          <w:color w:val="auto"/>
          <w:sz w:val="24"/>
        </w:rPr>
        <w:t>试验检测服务费的调整：</w:t>
      </w:r>
      <w:r>
        <w:rPr>
          <w:rFonts w:ascii="宋体" w:hAnsi="宋体"/>
          <w:color w:val="auto"/>
          <w:sz w:val="24"/>
          <w:u w:val="single"/>
        </w:rPr>
        <w:t>报价清单第</w:t>
      </w:r>
      <w:r>
        <w:rPr>
          <w:color w:val="auto"/>
          <w:sz w:val="24"/>
          <w:u w:val="single"/>
        </w:rPr>
        <w:t>100</w:t>
      </w:r>
      <w:r>
        <w:rPr>
          <w:rFonts w:ascii="宋体" w:hAnsi="宋体"/>
          <w:color w:val="auto"/>
          <w:sz w:val="24"/>
          <w:u w:val="single"/>
        </w:rPr>
        <w:t>章</w:t>
      </w:r>
      <w:r>
        <w:rPr>
          <w:rFonts w:hint="eastAsia" w:ascii="宋体" w:hAnsi="宋体"/>
          <w:color w:val="auto"/>
          <w:sz w:val="24"/>
          <w:u w:val="single"/>
        </w:rPr>
        <w:t>（不含安全生产费）</w:t>
      </w:r>
      <w:r>
        <w:rPr>
          <w:rFonts w:ascii="宋体" w:hAnsi="宋体"/>
          <w:color w:val="auto"/>
          <w:sz w:val="24"/>
          <w:u w:val="single"/>
        </w:rPr>
        <w:t>的费用由检测人总额包干，不予调整</w:t>
      </w:r>
      <w:r>
        <w:rPr>
          <w:rFonts w:hint="eastAsia" w:ascii="宋体" w:hAnsi="宋体"/>
          <w:color w:val="auto"/>
          <w:sz w:val="24"/>
          <w:u w:val="single"/>
        </w:rPr>
        <w:t>，报价清单其它章节检测项目的中标单价</w:t>
      </w:r>
      <w:r>
        <w:rPr>
          <w:rFonts w:ascii="宋体" w:hAnsi="宋体"/>
          <w:color w:val="auto"/>
          <w:sz w:val="24"/>
          <w:u w:val="single"/>
        </w:rPr>
        <w:t>不随国家政策、法律法规、标准和市场因素、材料因素、施工工期等变化而进行调整</w:t>
      </w:r>
      <w:r>
        <w:rPr>
          <w:rFonts w:hint="eastAsia" w:ascii="宋体" w:hAnsi="宋体"/>
          <w:color w:val="auto"/>
          <w:sz w:val="24"/>
          <w:u w:val="single"/>
        </w:rPr>
        <w:t>；</w:t>
      </w:r>
      <w:r>
        <w:rPr>
          <w:rFonts w:ascii="宋体" w:hAnsi="宋体"/>
          <w:color w:val="auto"/>
          <w:sz w:val="24"/>
          <w:u w:val="single"/>
        </w:rPr>
        <w:t>检测数量应</w:t>
      </w:r>
      <w:r>
        <w:rPr>
          <w:rFonts w:hint="eastAsia" w:ascii="宋体" w:hAnsi="宋体"/>
          <w:color w:val="auto"/>
          <w:sz w:val="24"/>
          <w:u w:val="single"/>
        </w:rPr>
        <w:t>以“</w:t>
      </w:r>
      <w:r>
        <w:rPr>
          <w:rFonts w:ascii="宋体" w:hAnsi="宋体"/>
          <w:color w:val="auto"/>
          <w:sz w:val="24"/>
          <w:u w:val="single"/>
        </w:rPr>
        <w:t>实施性试验检测方案</w:t>
      </w:r>
      <w:r>
        <w:rPr>
          <w:rFonts w:hint="eastAsia" w:ascii="宋体" w:hAnsi="宋体"/>
          <w:color w:val="auto"/>
          <w:sz w:val="24"/>
          <w:u w:val="single"/>
        </w:rPr>
        <w:t>”</w:t>
      </w:r>
      <w:r>
        <w:rPr>
          <w:rFonts w:ascii="宋体" w:hAnsi="宋体"/>
          <w:color w:val="auto"/>
          <w:sz w:val="24"/>
          <w:u w:val="single"/>
        </w:rPr>
        <w:t>中的检测频率数量</w:t>
      </w:r>
      <w:r>
        <w:rPr>
          <w:rFonts w:hint="eastAsia" w:ascii="宋体" w:hAnsi="宋体"/>
          <w:color w:val="auto"/>
          <w:sz w:val="24"/>
          <w:u w:val="single"/>
        </w:rPr>
        <w:t>为准，除《浙江省交通建设工程推进平安百年品质工程建设实施方案》（浙交〔</w:t>
      </w:r>
      <w:r>
        <w:rPr>
          <w:color w:val="auto"/>
          <w:sz w:val="24"/>
          <w:u w:val="single"/>
        </w:rPr>
        <w:t>2023</w:t>
      </w:r>
      <w:r>
        <w:rPr>
          <w:rFonts w:ascii="宋体" w:hAnsi="宋体"/>
          <w:color w:val="auto"/>
          <w:sz w:val="24"/>
          <w:u w:val="single"/>
        </w:rPr>
        <w:t>〕</w:t>
      </w:r>
      <w:r>
        <w:rPr>
          <w:color w:val="auto"/>
          <w:sz w:val="24"/>
          <w:u w:val="single"/>
        </w:rPr>
        <w:t>132</w:t>
      </w:r>
      <w:r>
        <w:rPr>
          <w:rFonts w:ascii="宋体" w:hAnsi="宋体"/>
          <w:color w:val="auto"/>
          <w:sz w:val="24"/>
          <w:u w:val="single"/>
        </w:rPr>
        <w:t>号）及发包人或主管部门要求增加的检测指标外，</w:t>
      </w:r>
      <w:r>
        <w:rPr>
          <w:rFonts w:hint="eastAsia" w:ascii="宋体" w:hAnsi="宋体"/>
          <w:color w:val="auto"/>
          <w:sz w:val="24"/>
          <w:u w:val="single"/>
        </w:rPr>
        <w:t>数量超出</w:t>
      </w:r>
      <w:r>
        <w:rPr>
          <w:rFonts w:ascii="宋体" w:hAnsi="宋体"/>
          <w:color w:val="auto"/>
          <w:sz w:val="24"/>
          <w:u w:val="single"/>
        </w:rPr>
        <w:t>《浙江省公路工程竣（交）工验收办法》（浙交〔</w:t>
      </w:r>
      <w:r>
        <w:rPr>
          <w:color w:val="auto"/>
          <w:sz w:val="24"/>
          <w:u w:val="single"/>
        </w:rPr>
        <w:t>2019</w:t>
      </w:r>
      <w:r>
        <w:rPr>
          <w:rFonts w:ascii="宋体" w:hAnsi="宋体"/>
          <w:color w:val="auto"/>
          <w:sz w:val="24"/>
          <w:u w:val="single"/>
        </w:rPr>
        <w:t>〕</w:t>
      </w:r>
      <w:r>
        <w:rPr>
          <w:color w:val="auto"/>
          <w:sz w:val="24"/>
          <w:u w:val="single"/>
        </w:rPr>
        <w:t>184</w:t>
      </w:r>
      <w:r>
        <w:rPr>
          <w:rFonts w:ascii="宋体" w:hAnsi="宋体"/>
          <w:color w:val="auto"/>
          <w:sz w:val="24"/>
          <w:u w:val="single"/>
        </w:rPr>
        <w:t>号）及工程实际情况</w:t>
      </w:r>
      <w:r>
        <w:rPr>
          <w:rFonts w:hint="eastAsia" w:ascii="宋体" w:hAnsi="宋体"/>
          <w:color w:val="auto"/>
          <w:sz w:val="24"/>
          <w:u w:val="single"/>
        </w:rPr>
        <w:t>的，不予计量</w:t>
      </w:r>
      <w:r>
        <w:rPr>
          <w:rFonts w:hint="eastAsia" w:ascii="宋体" w:hAnsi="宋体"/>
          <w:color w:val="auto"/>
          <w:sz w:val="24"/>
        </w:rPr>
        <w:t>。</w:t>
      </w:r>
    </w:p>
    <w:p>
      <w:pPr>
        <w:pStyle w:val="630"/>
        <w:spacing w:after="120"/>
        <w:ind w:firstLine="482"/>
        <w:outlineLvl w:val="9"/>
        <w:rPr>
          <w:color w:val="auto"/>
          <w:sz w:val="24"/>
          <w:szCs w:val="24"/>
        </w:rPr>
      </w:pPr>
      <w:r>
        <w:rPr>
          <w:rFonts w:hint="eastAsia"/>
          <w:color w:val="auto"/>
          <w:sz w:val="24"/>
          <w:szCs w:val="24"/>
        </w:rPr>
        <w:t>3.3</w:t>
      </w:r>
      <w:r>
        <w:rPr>
          <w:color w:val="auto"/>
          <w:sz w:val="24"/>
          <w:szCs w:val="24"/>
        </w:rPr>
        <w:t xml:space="preserve"> </w:t>
      </w:r>
      <w:r>
        <w:rPr>
          <w:rFonts w:hint="eastAsia" w:ascii="黑体" w:hAnsi="黑体"/>
          <w:color w:val="auto"/>
          <w:sz w:val="24"/>
          <w:szCs w:val="24"/>
        </w:rPr>
        <w:t>支付</w:t>
      </w:r>
    </w:p>
    <w:p>
      <w:pPr>
        <w:snapToGrid w:val="0"/>
        <w:spacing w:line="360" w:lineRule="auto"/>
        <w:ind w:firstLine="480" w:firstLineChars="200"/>
        <w:rPr>
          <w:bCs/>
          <w:color w:val="auto"/>
          <w:sz w:val="24"/>
        </w:rPr>
      </w:pPr>
      <w:r>
        <w:rPr>
          <w:rFonts w:ascii="宋体" w:hAnsi="宋体"/>
          <w:bCs/>
          <w:color w:val="auto"/>
          <w:sz w:val="24"/>
        </w:rPr>
        <w:t>发包人按半年一次向检测人支付试验检测服务费。试验检测人于每半年将交工试验检测服务费支付申请上报发包人，发包人应在收到符合发包人要求的交工试验检测支付申请后</w:t>
      </w:r>
      <w:r>
        <w:rPr>
          <w:bCs/>
          <w:color w:val="auto"/>
          <w:sz w:val="24"/>
        </w:rPr>
        <w:t>7</w:t>
      </w:r>
      <w:r>
        <w:rPr>
          <w:rFonts w:ascii="宋体" w:hAnsi="宋体"/>
          <w:bCs/>
          <w:color w:val="auto"/>
          <w:sz w:val="24"/>
        </w:rPr>
        <w:t>日内予以审批，在批复后</w:t>
      </w:r>
      <w:r>
        <w:rPr>
          <w:bCs/>
          <w:color w:val="auto"/>
          <w:sz w:val="24"/>
        </w:rPr>
        <w:t>14</w:t>
      </w:r>
      <w:r>
        <w:rPr>
          <w:rFonts w:ascii="宋体" w:hAnsi="宋体"/>
          <w:bCs/>
          <w:color w:val="auto"/>
          <w:sz w:val="24"/>
        </w:rPr>
        <w:t>日内向检测人支付当期交工试验检测服务费的</w:t>
      </w:r>
      <w:r>
        <w:rPr>
          <w:rFonts w:hint="eastAsia"/>
          <w:bCs/>
          <w:color w:val="auto"/>
          <w:sz w:val="24"/>
        </w:rPr>
        <w:t>90</w:t>
      </w:r>
      <w:r>
        <w:rPr>
          <w:bCs/>
          <w:color w:val="auto"/>
          <w:sz w:val="24"/>
        </w:rPr>
        <w:t>%</w:t>
      </w:r>
      <w:r>
        <w:rPr>
          <w:rFonts w:ascii="宋体" w:hAnsi="宋体"/>
          <w:bCs/>
          <w:color w:val="auto"/>
          <w:sz w:val="24"/>
        </w:rPr>
        <w:t>，交工</w:t>
      </w:r>
      <w:r>
        <w:rPr>
          <w:rFonts w:hint="eastAsia" w:ascii="宋体" w:hAnsi="宋体"/>
          <w:bCs/>
          <w:color w:val="auto"/>
          <w:sz w:val="24"/>
        </w:rPr>
        <w:t>验收证书颁发</w:t>
      </w:r>
      <w:r>
        <w:rPr>
          <w:rFonts w:ascii="宋体" w:hAnsi="宋体"/>
          <w:bCs/>
          <w:color w:val="auto"/>
          <w:sz w:val="24"/>
        </w:rPr>
        <w:t>后累计支付</w:t>
      </w:r>
      <w:r>
        <w:rPr>
          <w:rFonts w:hint="eastAsia" w:ascii="宋体" w:hAnsi="宋体"/>
          <w:bCs/>
          <w:color w:val="auto"/>
          <w:sz w:val="24"/>
        </w:rPr>
        <w:t>至</w:t>
      </w:r>
      <w:r>
        <w:rPr>
          <w:rFonts w:ascii="宋体" w:hAnsi="宋体"/>
          <w:bCs/>
          <w:color w:val="auto"/>
          <w:sz w:val="24"/>
        </w:rPr>
        <w:t>交工试验检测服务费的</w:t>
      </w:r>
      <w:r>
        <w:rPr>
          <w:rFonts w:hint="eastAsia"/>
          <w:bCs/>
          <w:color w:val="auto"/>
          <w:sz w:val="24"/>
        </w:rPr>
        <w:t>100</w:t>
      </w:r>
      <w:r>
        <w:rPr>
          <w:bCs/>
          <w:color w:val="auto"/>
          <w:sz w:val="24"/>
        </w:rPr>
        <w:t>%</w:t>
      </w:r>
      <w:r>
        <w:rPr>
          <w:rFonts w:ascii="宋体" w:hAnsi="宋体"/>
          <w:bCs/>
          <w:color w:val="auto"/>
          <w:sz w:val="24"/>
        </w:rPr>
        <w:t>，竣工检测服务费在竣工质量评定检测报告经交通运输主管部门备案后</w:t>
      </w:r>
      <w:r>
        <w:rPr>
          <w:bCs/>
          <w:color w:val="auto"/>
          <w:sz w:val="24"/>
        </w:rPr>
        <w:t>30</w:t>
      </w:r>
      <w:r>
        <w:rPr>
          <w:rFonts w:ascii="宋体" w:hAnsi="宋体"/>
          <w:bCs/>
          <w:color w:val="auto"/>
          <w:sz w:val="24"/>
        </w:rPr>
        <w:t>日内一次性支付。</w:t>
      </w:r>
    </w:p>
    <w:p>
      <w:pPr>
        <w:snapToGrid w:val="0"/>
        <w:spacing w:line="360" w:lineRule="auto"/>
        <w:ind w:firstLine="480" w:firstLineChars="200"/>
        <w:rPr>
          <w:color w:val="auto"/>
          <w:sz w:val="24"/>
        </w:rPr>
      </w:pPr>
      <w:r>
        <w:rPr>
          <w:rFonts w:ascii="宋体" w:hAnsi="宋体"/>
          <w:color w:val="auto"/>
          <w:sz w:val="24"/>
        </w:rPr>
        <w:t>（</w:t>
      </w:r>
      <w:r>
        <w:rPr>
          <w:color w:val="auto"/>
          <w:sz w:val="24"/>
        </w:rPr>
        <w:t>1</w:t>
      </w:r>
      <w:r>
        <w:rPr>
          <w:rFonts w:ascii="宋体" w:hAnsi="宋体"/>
          <w:color w:val="auto"/>
          <w:sz w:val="24"/>
        </w:rPr>
        <w:t>）正常试验检测服务费用按半年支付，检测数量以实际完成并经发包人确认的数量为准；</w:t>
      </w:r>
    </w:p>
    <w:p>
      <w:pPr>
        <w:snapToGrid w:val="0"/>
        <w:spacing w:line="360" w:lineRule="auto"/>
        <w:ind w:firstLine="480" w:firstLineChars="200"/>
        <w:rPr>
          <w:b/>
          <w:color w:val="auto"/>
          <w:sz w:val="24"/>
        </w:rPr>
      </w:pPr>
      <w:r>
        <w:rPr>
          <w:rFonts w:ascii="宋体" w:hAnsi="宋体"/>
          <w:color w:val="auto"/>
          <w:sz w:val="24"/>
        </w:rPr>
        <w:t>（</w:t>
      </w:r>
      <w:r>
        <w:rPr>
          <w:color w:val="auto"/>
          <w:sz w:val="24"/>
        </w:rPr>
        <w:t>2</w:t>
      </w:r>
      <w:r>
        <w:rPr>
          <w:rFonts w:ascii="宋体" w:hAnsi="宋体"/>
          <w:color w:val="auto"/>
          <w:sz w:val="24"/>
        </w:rPr>
        <w:t>）附加试验检测服务费用经发包人确认后，在下期计量支付中按实际完成并经发包人确认的数量支付。</w:t>
      </w:r>
    </w:p>
    <w:p>
      <w:pPr>
        <w:snapToGrid w:val="0"/>
        <w:spacing w:line="360" w:lineRule="auto"/>
        <w:ind w:firstLine="480" w:firstLineChars="200"/>
        <w:rPr>
          <w:color w:val="auto"/>
          <w:sz w:val="24"/>
        </w:rPr>
      </w:pPr>
      <w:r>
        <w:rPr>
          <w:rFonts w:ascii="宋体" w:hAnsi="宋体"/>
          <w:color w:val="auto"/>
          <w:sz w:val="24"/>
        </w:rPr>
        <w:t>（</w:t>
      </w:r>
      <w:r>
        <w:rPr>
          <w:color w:val="auto"/>
          <w:sz w:val="24"/>
        </w:rPr>
        <w:t>3</w:t>
      </w:r>
      <w:r>
        <w:rPr>
          <w:rFonts w:ascii="宋体" w:hAnsi="宋体"/>
          <w:color w:val="auto"/>
          <w:sz w:val="24"/>
        </w:rPr>
        <w:t>）报价清单</w:t>
      </w:r>
      <w:r>
        <w:rPr>
          <w:color w:val="auto"/>
          <w:sz w:val="24"/>
        </w:rPr>
        <w:t>100</w:t>
      </w:r>
      <w:r>
        <w:rPr>
          <w:rFonts w:ascii="宋体" w:hAnsi="宋体"/>
          <w:color w:val="auto"/>
          <w:sz w:val="24"/>
        </w:rPr>
        <w:t>章费用的支付约定为</w:t>
      </w:r>
      <w:r>
        <w:rPr>
          <w:color w:val="auto"/>
          <w:sz w:val="24"/>
        </w:rPr>
        <w:t>:</w:t>
      </w:r>
      <w:r>
        <w:rPr>
          <w:rFonts w:ascii="宋体" w:hAnsi="宋体"/>
          <w:color w:val="auto"/>
          <w:sz w:val="24"/>
        </w:rPr>
        <w:t>第</w:t>
      </w:r>
      <w:r>
        <w:rPr>
          <w:color w:val="auto"/>
          <w:sz w:val="24"/>
        </w:rPr>
        <w:t>100</w:t>
      </w:r>
      <w:r>
        <w:rPr>
          <w:rFonts w:ascii="宋体" w:hAnsi="宋体"/>
          <w:color w:val="auto"/>
          <w:sz w:val="24"/>
        </w:rPr>
        <w:t>章费用（不含安全生产费）的支付时间及比例按下表规定执行。</w:t>
      </w:r>
    </w:p>
    <w:tbl>
      <w:tblPr>
        <w:tblStyle w:val="6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91"/>
        <w:gridCol w:w="1971"/>
        <w:gridCol w:w="3969"/>
        <w:gridCol w:w="13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1" w:hRule="atLeast"/>
          <w:jc w:val="center"/>
        </w:trPr>
        <w:tc>
          <w:tcPr>
            <w:tcW w:w="991" w:type="dxa"/>
            <w:tcBorders>
              <w:top w:val="single" w:color="auto" w:sz="12" w:space="0"/>
              <w:left w:val="single" w:color="auto" w:sz="12" w:space="0"/>
              <w:bottom w:val="single" w:color="auto" w:sz="6" w:space="0"/>
              <w:right w:val="single" w:color="auto" w:sz="6" w:space="0"/>
            </w:tcBorders>
            <w:vAlign w:val="center"/>
          </w:tcPr>
          <w:p>
            <w:pPr>
              <w:snapToGrid w:val="0"/>
              <w:spacing w:line="360" w:lineRule="auto"/>
              <w:ind w:firstLine="200"/>
              <w:rPr>
                <w:b/>
                <w:color w:val="auto"/>
                <w:sz w:val="24"/>
              </w:rPr>
            </w:pPr>
            <w:r>
              <w:rPr>
                <w:rFonts w:ascii="宋体" w:hAnsi="宋体"/>
                <w:b/>
                <w:color w:val="auto"/>
                <w:sz w:val="24"/>
              </w:rPr>
              <w:t>序号</w:t>
            </w:r>
          </w:p>
        </w:tc>
        <w:tc>
          <w:tcPr>
            <w:tcW w:w="1971" w:type="dxa"/>
            <w:tcBorders>
              <w:top w:val="single" w:color="auto" w:sz="12" w:space="0"/>
              <w:left w:val="single" w:color="auto" w:sz="6" w:space="0"/>
              <w:bottom w:val="single" w:color="auto" w:sz="6" w:space="0"/>
              <w:right w:val="single" w:color="auto" w:sz="6" w:space="0"/>
            </w:tcBorders>
            <w:vAlign w:val="center"/>
          </w:tcPr>
          <w:p>
            <w:pPr>
              <w:snapToGrid w:val="0"/>
              <w:spacing w:line="360" w:lineRule="auto"/>
              <w:ind w:firstLine="200"/>
              <w:rPr>
                <w:b/>
                <w:color w:val="auto"/>
                <w:sz w:val="24"/>
              </w:rPr>
            </w:pPr>
            <w:r>
              <w:rPr>
                <w:rFonts w:ascii="宋体" w:hAnsi="宋体"/>
                <w:b/>
                <w:color w:val="auto"/>
                <w:sz w:val="24"/>
              </w:rPr>
              <w:t>阶段</w:t>
            </w:r>
          </w:p>
        </w:tc>
        <w:tc>
          <w:tcPr>
            <w:tcW w:w="3969" w:type="dxa"/>
            <w:tcBorders>
              <w:top w:val="single" w:color="auto" w:sz="12" w:space="0"/>
              <w:left w:val="single" w:color="auto" w:sz="6" w:space="0"/>
              <w:bottom w:val="single" w:color="auto" w:sz="6" w:space="0"/>
              <w:right w:val="single" w:color="auto" w:sz="6" w:space="0"/>
            </w:tcBorders>
            <w:vAlign w:val="center"/>
          </w:tcPr>
          <w:p>
            <w:pPr>
              <w:snapToGrid w:val="0"/>
              <w:spacing w:line="360" w:lineRule="auto"/>
              <w:ind w:firstLine="200"/>
              <w:rPr>
                <w:b/>
                <w:color w:val="auto"/>
                <w:sz w:val="24"/>
              </w:rPr>
            </w:pPr>
            <w:r>
              <w:rPr>
                <w:rFonts w:ascii="宋体" w:hAnsi="宋体"/>
                <w:b/>
                <w:color w:val="auto"/>
                <w:sz w:val="24"/>
              </w:rPr>
              <w:t>支付时间</w:t>
            </w:r>
          </w:p>
        </w:tc>
        <w:tc>
          <w:tcPr>
            <w:tcW w:w="1345" w:type="dxa"/>
            <w:tcBorders>
              <w:top w:val="single" w:color="auto" w:sz="12" w:space="0"/>
              <w:left w:val="single" w:color="auto" w:sz="6" w:space="0"/>
              <w:bottom w:val="single" w:color="auto" w:sz="6" w:space="0"/>
              <w:right w:val="single" w:color="auto" w:sz="12" w:space="0"/>
            </w:tcBorders>
            <w:vAlign w:val="center"/>
          </w:tcPr>
          <w:p>
            <w:pPr>
              <w:snapToGrid w:val="0"/>
              <w:spacing w:line="360" w:lineRule="auto"/>
              <w:rPr>
                <w:b/>
                <w:color w:val="auto"/>
                <w:sz w:val="24"/>
              </w:rPr>
            </w:pPr>
            <w:r>
              <w:rPr>
                <w:rFonts w:ascii="宋体" w:hAnsi="宋体"/>
                <w:b/>
                <w:color w:val="auto"/>
                <w:sz w:val="24"/>
              </w:rPr>
              <w:t>支付比例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1" w:hRule="atLeast"/>
          <w:jc w:val="center"/>
        </w:trPr>
        <w:tc>
          <w:tcPr>
            <w:tcW w:w="991"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ind w:firstLine="200"/>
              <w:rPr>
                <w:color w:val="auto"/>
                <w:sz w:val="24"/>
              </w:rPr>
            </w:pPr>
            <w:r>
              <w:rPr>
                <w:color w:val="auto"/>
                <w:sz w:val="24"/>
              </w:rPr>
              <w:t>1</w:t>
            </w:r>
          </w:p>
        </w:tc>
        <w:tc>
          <w:tcPr>
            <w:tcW w:w="197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200"/>
              <w:rPr>
                <w:color w:val="auto"/>
                <w:sz w:val="24"/>
              </w:rPr>
            </w:pPr>
            <w:r>
              <w:rPr>
                <w:rFonts w:ascii="宋体" w:hAnsi="宋体"/>
                <w:color w:val="auto"/>
                <w:sz w:val="24"/>
              </w:rPr>
              <w:t>交工检测阶段</w:t>
            </w:r>
          </w:p>
        </w:tc>
        <w:tc>
          <w:tcPr>
            <w:tcW w:w="396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200"/>
              <w:rPr>
                <w:color w:val="auto"/>
                <w:sz w:val="24"/>
              </w:rPr>
            </w:pPr>
            <w:r>
              <w:rPr>
                <w:rFonts w:ascii="宋体" w:hAnsi="宋体"/>
                <w:color w:val="auto"/>
                <w:sz w:val="24"/>
              </w:rPr>
              <w:t>首次实体检测费用支付时；</w:t>
            </w:r>
          </w:p>
        </w:tc>
        <w:tc>
          <w:tcPr>
            <w:tcW w:w="1345"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ind w:firstLine="200"/>
              <w:rPr>
                <w:b/>
                <w:color w:val="auto"/>
                <w:sz w:val="24"/>
              </w:rPr>
            </w:pPr>
            <w:r>
              <w:rPr>
                <w:rFonts w:hint="eastAsia"/>
                <w:b/>
                <w:color w:val="auto"/>
                <w:sz w:val="24"/>
              </w:rPr>
              <w:t>80</w:t>
            </w:r>
            <w:r>
              <w:rPr>
                <w:b/>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1" w:hRule="atLeast"/>
          <w:jc w:val="center"/>
        </w:trPr>
        <w:tc>
          <w:tcPr>
            <w:tcW w:w="991" w:type="dxa"/>
            <w:tcBorders>
              <w:top w:val="single" w:color="auto" w:sz="6" w:space="0"/>
              <w:left w:val="single" w:color="auto" w:sz="12" w:space="0"/>
              <w:bottom w:val="single" w:color="auto" w:sz="12" w:space="0"/>
              <w:right w:val="single" w:color="auto" w:sz="6" w:space="0"/>
            </w:tcBorders>
            <w:vAlign w:val="center"/>
          </w:tcPr>
          <w:p>
            <w:pPr>
              <w:snapToGrid w:val="0"/>
              <w:spacing w:line="360" w:lineRule="auto"/>
              <w:ind w:firstLine="200"/>
              <w:rPr>
                <w:color w:val="auto"/>
                <w:sz w:val="24"/>
              </w:rPr>
            </w:pPr>
            <w:r>
              <w:rPr>
                <w:rFonts w:hint="eastAsia"/>
                <w:color w:val="auto"/>
                <w:sz w:val="24"/>
              </w:rPr>
              <w:t>2</w:t>
            </w:r>
          </w:p>
        </w:tc>
        <w:tc>
          <w:tcPr>
            <w:tcW w:w="1971" w:type="dxa"/>
            <w:tcBorders>
              <w:top w:val="single" w:color="auto" w:sz="6" w:space="0"/>
              <w:left w:val="single" w:color="auto" w:sz="6" w:space="0"/>
              <w:bottom w:val="single" w:color="auto" w:sz="12" w:space="0"/>
              <w:right w:val="single" w:color="auto" w:sz="6" w:space="0"/>
            </w:tcBorders>
            <w:vAlign w:val="center"/>
          </w:tcPr>
          <w:p>
            <w:pPr>
              <w:snapToGrid w:val="0"/>
              <w:spacing w:line="360" w:lineRule="auto"/>
              <w:ind w:firstLine="200"/>
              <w:rPr>
                <w:color w:val="auto"/>
                <w:sz w:val="24"/>
              </w:rPr>
            </w:pPr>
            <w:r>
              <w:rPr>
                <w:rFonts w:ascii="宋体" w:hAnsi="宋体"/>
                <w:color w:val="auto"/>
                <w:sz w:val="24"/>
              </w:rPr>
              <w:t>竣工检测阶段</w:t>
            </w:r>
          </w:p>
        </w:tc>
        <w:tc>
          <w:tcPr>
            <w:tcW w:w="3969" w:type="dxa"/>
            <w:tcBorders>
              <w:top w:val="single" w:color="auto" w:sz="6" w:space="0"/>
              <w:left w:val="single" w:color="auto" w:sz="6" w:space="0"/>
              <w:bottom w:val="single" w:color="auto" w:sz="12" w:space="0"/>
              <w:right w:val="single" w:color="auto" w:sz="6" w:space="0"/>
            </w:tcBorders>
            <w:vAlign w:val="center"/>
          </w:tcPr>
          <w:p>
            <w:pPr>
              <w:snapToGrid w:val="0"/>
              <w:spacing w:line="360" w:lineRule="auto"/>
              <w:ind w:firstLine="200"/>
              <w:rPr>
                <w:color w:val="auto"/>
                <w:sz w:val="24"/>
              </w:rPr>
            </w:pPr>
            <w:r>
              <w:rPr>
                <w:rFonts w:ascii="宋体" w:hAnsi="宋体"/>
                <w:color w:val="auto"/>
                <w:sz w:val="24"/>
              </w:rPr>
              <w:t>竣工检测质量评定备案后</w:t>
            </w:r>
            <w:r>
              <w:rPr>
                <w:color w:val="auto"/>
                <w:sz w:val="24"/>
              </w:rPr>
              <w:t>30</w:t>
            </w:r>
            <w:r>
              <w:rPr>
                <w:rFonts w:ascii="宋体" w:hAnsi="宋体"/>
                <w:color w:val="auto"/>
                <w:sz w:val="24"/>
              </w:rPr>
              <w:t>日内</w:t>
            </w:r>
          </w:p>
        </w:tc>
        <w:tc>
          <w:tcPr>
            <w:tcW w:w="1345" w:type="dxa"/>
            <w:tcBorders>
              <w:top w:val="single" w:color="auto" w:sz="6" w:space="0"/>
              <w:left w:val="single" w:color="auto" w:sz="6" w:space="0"/>
              <w:bottom w:val="single" w:color="auto" w:sz="12" w:space="0"/>
              <w:right w:val="single" w:color="auto" w:sz="12" w:space="0"/>
            </w:tcBorders>
            <w:vAlign w:val="center"/>
          </w:tcPr>
          <w:p>
            <w:pPr>
              <w:snapToGrid w:val="0"/>
              <w:spacing w:line="360" w:lineRule="auto"/>
              <w:ind w:firstLine="200"/>
              <w:rPr>
                <w:b/>
                <w:color w:val="auto"/>
                <w:sz w:val="24"/>
              </w:rPr>
            </w:pPr>
            <w:r>
              <w:rPr>
                <w:rFonts w:hint="eastAsia"/>
                <w:b/>
                <w:color w:val="auto"/>
                <w:sz w:val="24"/>
              </w:rPr>
              <w:t>20</w:t>
            </w:r>
            <w:r>
              <w:rPr>
                <w:b/>
                <w:color w:val="auto"/>
                <w:sz w:val="24"/>
              </w:rPr>
              <w:t>%</w:t>
            </w:r>
          </w:p>
        </w:tc>
      </w:tr>
    </w:tbl>
    <w:p>
      <w:pPr>
        <w:snapToGrid w:val="0"/>
        <w:spacing w:line="360" w:lineRule="auto"/>
        <w:ind w:firstLine="480" w:firstLineChars="200"/>
        <w:rPr>
          <w:color w:val="auto"/>
          <w:sz w:val="24"/>
        </w:rPr>
      </w:pPr>
      <w:r>
        <w:rPr>
          <w:rFonts w:ascii="宋体" w:hAnsi="宋体"/>
          <w:color w:val="auto"/>
          <w:sz w:val="24"/>
        </w:rPr>
        <w:t>（</w:t>
      </w:r>
      <w:r>
        <w:rPr>
          <w:color w:val="auto"/>
          <w:sz w:val="24"/>
        </w:rPr>
        <w:t>4</w:t>
      </w:r>
      <w:r>
        <w:rPr>
          <w:rFonts w:ascii="宋体" w:hAnsi="宋体"/>
          <w:color w:val="auto"/>
          <w:sz w:val="24"/>
        </w:rPr>
        <w:t>）安全生产费在每期支付时按实际发生的费用上报发包人，发包人在收到支付申请后</w:t>
      </w:r>
      <w:r>
        <w:rPr>
          <w:color w:val="auto"/>
          <w:sz w:val="24"/>
        </w:rPr>
        <w:t>14</w:t>
      </w:r>
      <w:r>
        <w:rPr>
          <w:rFonts w:ascii="宋体" w:hAnsi="宋体"/>
          <w:color w:val="auto"/>
          <w:sz w:val="24"/>
        </w:rPr>
        <w:t>天内予以审核审批。</w:t>
      </w:r>
    </w:p>
    <w:p>
      <w:pPr>
        <w:rPr>
          <w:color w:val="auto"/>
        </w:rPr>
      </w:pPr>
    </w:p>
    <w:p>
      <w:pPr>
        <w:pStyle w:val="3"/>
        <w:ind w:firstLine="643" w:firstLineChars="200"/>
        <w:rPr>
          <w:rFonts w:hint="eastAsia"/>
          <w:color w:val="auto"/>
        </w:rPr>
      </w:pPr>
      <w:r>
        <w:rPr>
          <w:rFonts w:hint="eastAsia"/>
          <w:color w:val="auto"/>
        </w:rPr>
        <w:br w:type="page"/>
      </w:r>
    </w:p>
    <w:p>
      <w:pPr>
        <w:adjustRightInd/>
        <w:spacing w:line="360" w:lineRule="auto"/>
        <w:jc w:val="center"/>
        <w:outlineLvl w:val="0"/>
        <w:rPr>
          <w:rFonts w:hint="eastAsia"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 xml:space="preserve">第五部分  </w:t>
      </w:r>
      <w:bookmarkEnd w:id="63"/>
      <w:bookmarkEnd w:id="64"/>
      <w:bookmarkStart w:id="65" w:name="第四部分"/>
      <w:r>
        <w:rPr>
          <w:rFonts w:hint="eastAsia" w:cs="仿宋_GB2312" w:asciiTheme="minorEastAsia" w:hAnsiTheme="minorEastAsia" w:eastAsiaTheme="minorEastAsia"/>
          <w:b/>
          <w:color w:val="auto"/>
          <w:sz w:val="36"/>
          <w:szCs w:val="36"/>
        </w:rPr>
        <w:t>评审方法及评审标准</w:t>
      </w:r>
    </w:p>
    <w:p>
      <w:pPr>
        <w:pStyle w:val="392"/>
        <w:spacing w:before="0"/>
        <w:ind w:firstLine="643"/>
        <w:jc w:val="center"/>
        <w:rPr>
          <w:rFonts w:hint="eastAsia"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评审方法前附表</w:t>
      </w:r>
    </w:p>
    <w:tbl>
      <w:tblPr>
        <w:tblStyle w:val="6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1274"/>
        <w:gridCol w:w="538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12" w:space="0"/>
              <w:left w:val="single" w:color="auto" w:sz="12" w:space="0"/>
              <w:bottom w:val="single" w:color="auto" w:sz="12" w:space="0"/>
            </w:tcBorders>
            <w:vAlign w:val="center"/>
          </w:tcPr>
          <w:p>
            <w:pPr>
              <w:pStyle w:val="392"/>
              <w:spacing w:before="0"/>
              <w:ind w:firstLine="0" w:firstLineChars="0"/>
              <w:jc w:val="center"/>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序号</w:t>
            </w:r>
          </w:p>
        </w:tc>
        <w:tc>
          <w:tcPr>
            <w:tcW w:w="1274" w:type="dxa"/>
            <w:tcBorders>
              <w:top w:val="single" w:color="auto" w:sz="12" w:space="0"/>
              <w:bottom w:val="single" w:color="auto" w:sz="12" w:space="0"/>
            </w:tcBorders>
            <w:vAlign w:val="center"/>
          </w:tcPr>
          <w:p>
            <w:pPr>
              <w:pStyle w:val="392"/>
              <w:spacing w:before="0"/>
              <w:ind w:firstLine="0" w:firstLineChars="0"/>
              <w:jc w:val="center"/>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评审内容</w:t>
            </w:r>
          </w:p>
        </w:tc>
        <w:tc>
          <w:tcPr>
            <w:tcW w:w="5386" w:type="dxa"/>
            <w:tcBorders>
              <w:top w:val="single" w:color="auto" w:sz="12" w:space="0"/>
              <w:bottom w:val="single" w:color="auto" w:sz="12" w:space="0"/>
            </w:tcBorders>
            <w:vAlign w:val="center"/>
          </w:tcPr>
          <w:p>
            <w:pPr>
              <w:pStyle w:val="392"/>
              <w:spacing w:before="0"/>
              <w:ind w:firstLine="0" w:firstLineChars="0"/>
              <w:jc w:val="center"/>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评审标准</w:t>
            </w:r>
          </w:p>
        </w:tc>
        <w:tc>
          <w:tcPr>
            <w:tcW w:w="1701" w:type="dxa"/>
            <w:tcBorders>
              <w:top w:val="single" w:color="auto" w:sz="12" w:space="0"/>
              <w:bottom w:val="single" w:color="auto" w:sz="12" w:space="0"/>
              <w:right w:val="single" w:color="auto" w:sz="12" w:space="0"/>
            </w:tcBorders>
            <w:vAlign w:val="center"/>
          </w:tcPr>
          <w:p>
            <w:pPr>
              <w:pStyle w:val="392"/>
              <w:spacing w:before="0"/>
              <w:ind w:firstLine="0" w:firstLineChars="0"/>
              <w:jc w:val="center"/>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12" w:space="0"/>
              <w:left w:val="single" w:color="auto" w:sz="12" w:space="0"/>
              <w:bottom w:val="single" w:color="auto" w:sz="12" w:space="0"/>
            </w:tcBorders>
            <w:vAlign w:val="center"/>
          </w:tcPr>
          <w:p>
            <w:pPr>
              <w:pStyle w:val="392"/>
              <w:spacing w:before="0"/>
              <w:ind w:firstLine="0" w:firstLineChars="0"/>
              <w:jc w:val="center"/>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w:t>
            </w:r>
          </w:p>
        </w:tc>
        <w:tc>
          <w:tcPr>
            <w:tcW w:w="1274" w:type="dxa"/>
            <w:tcBorders>
              <w:top w:val="single" w:color="auto" w:sz="12" w:space="0"/>
              <w:bottom w:val="single" w:color="auto" w:sz="12" w:space="0"/>
            </w:tcBorders>
            <w:vAlign w:val="center"/>
          </w:tcPr>
          <w:p>
            <w:pPr>
              <w:pStyle w:val="392"/>
              <w:spacing w:before="0"/>
              <w:ind w:firstLine="0" w:firstLineChars="0"/>
              <w:jc w:val="center"/>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供应商与本项目相关的业绩</w:t>
            </w:r>
          </w:p>
        </w:tc>
        <w:tc>
          <w:tcPr>
            <w:tcW w:w="5386" w:type="dxa"/>
            <w:tcBorders>
              <w:top w:val="single" w:color="auto" w:sz="12" w:space="0"/>
              <w:bottom w:val="single" w:color="auto" w:sz="12" w:space="0"/>
            </w:tcBorders>
            <w:vAlign w:val="center"/>
          </w:tcPr>
          <w:p>
            <w:pPr>
              <w:pStyle w:val="392"/>
              <w:spacing w:before="0"/>
              <w:ind w:firstLine="480"/>
              <w:jc w:val="left"/>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自2019年7月1日以来，供应商完成过1项新建或改（扩）建二级及以上公路工程的交工或竣（交）工质量评定检测且检测内容至少包含桥梁荷载试验的试验检测任务的，加1分；</w:t>
            </w:r>
          </w:p>
          <w:p>
            <w:pPr>
              <w:pStyle w:val="392"/>
              <w:spacing w:before="0"/>
              <w:ind w:firstLine="480"/>
              <w:jc w:val="left"/>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业绩证明材料同资格条件的业绩证明材料；</w:t>
            </w:r>
          </w:p>
        </w:tc>
        <w:tc>
          <w:tcPr>
            <w:tcW w:w="1701" w:type="dxa"/>
            <w:tcBorders>
              <w:top w:val="single" w:color="auto" w:sz="12" w:space="0"/>
              <w:bottom w:val="single" w:color="auto" w:sz="12" w:space="0"/>
              <w:right w:val="single" w:color="auto" w:sz="12" w:space="0"/>
            </w:tcBorders>
            <w:vAlign w:val="center"/>
          </w:tcPr>
          <w:p>
            <w:pPr>
              <w:pStyle w:val="392"/>
              <w:spacing w:before="0"/>
              <w:ind w:firstLine="0" w:firstLineChars="0"/>
              <w:jc w:val="center"/>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12" w:space="0"/>
              <w:left w:val="single" w:color="auto" w:sz="12" w:space="0"/>
            </w:tcBorders>
            <w:vAlign w:val="center"/>
          </w:tcPr>
          <w:p>
            <w:pPr>
              <w:pStyle w:val="392"/>
              <w:spacing w:before="0"/>
              <w:ind w:firstLine="0" w:firstLineChars="0"/>
              <w:jc w:val="center"/>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2</w:t>
            </w:r>
          </w:p>
        </w:tc>
        <w:tc>
          <w:tcPr>
            <w:tcW w:w="1274" w:type="dxa"/>
            <w:tcBorders>
              <w:top w:val="single" w:color="auto" w:sz="12" w:space="0"/>
            </w:tcBorders>
            <w:vAlign w:val="center"/>
          </w:tcPr>
          <w:p>
            <w:pPr>
              <w:pStyle w:val="392"/>
              <w:spacing w:before="0"/>
              <w:ind w:firstLine="0" w:firstLineChars="0"/>
              <w:jc w:val="center"/>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拟投入本项目的人员和资格能力</w:t>
            </w:r>
          </w:p>
        </w:tc>
        <w:tc>
          <w:tcPr>
            <w:tcW w:w="5386" w:type="dxa"/>
            <w:tcBorders>
              <w:top w:val="single" w:color="auto" w:sz="12" w:space="0"/>
            </w:tcBorders>
            <w:vAlign w:val="center"/>
          </w:tcPr>
          <w:p>
            <w:pPr>
              <w:widowControl/>
              <w:snapToGrid w:val="0"/>
              <w:spacing w:line="360" w:lineRule="auto"/>
              <w:ind w:firstLine="480" w:firstLineChars="200"/>
              <w:jc w:val="left"/>
              <w:rPr>
                <w:rFonts w:hint="eastAsia" w:cs="仿宋_GB2312" w:asciiTheme="minorEastAsia" w:hAnsiTheme="minorEastAsia" w:eastAsiaTheme="minorEastAsia"/>
                <w:color w:val="auto"/>
                <w:sz w:val="24"/>
              </w:rPr>
            </w:pPr>
            <w:r>
              <w:rPr>
                <w:rFonts w:cs="仿宋_GB2312" w:asciiTheme="minorEastAsia" w:hAnsiTheme="minorEastAsia" w:eastAsiaTheme="minorEastAsia"/>
                <w:color w:val="auto"/>
                <w:sz w:val="24"/>
              </w:rPr>
              <w:t>根据浙江省交通运输厅最新公布的信用评价结果，拟委任项目负责人信用评价为 AA 的得</w:t>
            </w:r>
            <w:r>
              <w:rPr>
                <w:rFonts w:hint="eastAsia" w:cs="仿宋_GB2312" w:asciiTheme="minorEastAsia" w:hAnsiTheme="minorEastAsia" w:eastAsiaTheme="minorEastAsia"/>
                <w:color w:val="auto"/>
                <w:sz w:val="24"/>
              </w:rPr>
              <w:t>1</w:t>
            </w:r>
            <w:r>
              <w:rPr>
                <w:rFonts w:cs="仿宋_GB2312" w:asciiTheme="minorEastAsia" w:hAnsiTheme="minorEastAsia" w:eastAsiaTheme="minorEastAsia"/>
                <w:color w:val="auto"/>
                <w:sz w:val="24"/>
              </w:rPr>
              <w:t>分，为A 的得0.</w:t>
            </w:r>
            <w:r>
              <w:rPr>
                <w:rFonts w:hint="eastAsia" w:cs="仿宋_GB2312" w:asciiTheme="minorEastAsia" w:hAnsiTheme="minorEastAsia" w:eastAsiaTheme="minorEastAsia"/>
                <w:color w:val="auto"/>
                <w:sz w:val="24"/>
              </w:rPr>
              <w:t>5</w:t>
            </w:r>
            <w:r>
              <w:rPr>
                <w:rFonts w:cs="仿宋_GB2312" w:asciiTheme="minorEastAsia" w:hAnsiTheme="minorEastAsia" w:eastAsiaTheme="minorEastAsia"/>
                <w:color w:val="auto"/>
                <w:sz w:val="24"/>
              </w:rPr>
              <w:t>分，其余不得分。</w:t>
            </w:r>
          </w:p>
          <w:p>
            <w:pPr>
              <w:pStyle w:val="392"/>
              <w:spacing w:before="0"/>
              <w:ind w:firstLine="0" w:firstLineChars="0"/>
              <w:jc w:val="left"/>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证明材料：浙江省交通运输厅最新公布的项目负责人信用评价网上截图打印件。</w:t>
            </w:r>
          </w:p>
        </w:tc>
        <w:tc>
          <w:tcPr>
            <w:tcW w:w="1701" w:type="dxa"/>
            <w:tcBorders>
              <w:top w:val="single" w:color="auto" w:sz="12" w:space="0"/>
              <w:right w:val="single" w:color="auto" w:sz="12" w:space="0"/>
            </w:tcBorders>
            <w:vAlign w:val="center"/>
          </w:tcPr>
          <w:p>
            <w:pPr>
              <w:pStyle w:val="392"/>
              <w:spacing w:before="0"/>
              <w:ind w:firstLine="0" w:firstLineChars="0"/>
              <w:jc w:val="center"/>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961" w:type="dxa"/>
            <w:vMerge w:val="restart"/>
            <w:tcBorders>
              <w:top w:val="single" w:color="auto" w:sz="12" w:space="0"/>
              <w:left w:val="single" w:color="auto" w:sz="12" w:space="0"/>
            </w:tcBorders>
            <w:vAlign w:val="center"/>
          </w:tcPr>
          <w:p>
            <w:pPr>
              <w:pStyle w:val="392"/>
              <w:spacing w:before="0"/>
              <w:ind w:firstLine="0" w:firstLineChars="0"/>
              <w:jc w:val="center"/>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3</w:t>
            </w:r>
          </w:p>
        </w:tc>
        <w:tc>
          <w:tcPr>
            <w:tcW w:w="1274" w:type="dxa"/>
            <w:vMerge w:val="restart"/>
            <w:tcBorders>
              <w:top w:val="single" w:color="auto" w:sz="12" w:space="0"/>
            </w:tcBorders>
            <w:vAlign w:val="center"/>
          </w:tcPr>
          <w:p>
            <w:pPr>
              <w:pStyle w:val="392"/>
              <w:spacing w:before="0"/>
              <w:ind w:firstLine="0" w:firstLineChars="0"/>
              <w:jc w:val="center"/>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供应商的信誉</w:t>
            </w:r>
          </w:p>
        </w:tc>
        <w:tc>
          <w:tcPr>
            <w:tcW w:w="5386" w:type="dxa"/>
            <w:tcBorders>
              <w:top w:val="single" w:color="auto" w:sz="12" w:space="0"/>
            </w:tcBorders>
            <w:vAlign w:val="center"/>
          </w:tcPr>
          <w:p>
            <w:pPr>
              <w:widowControl/>
              <w:snapToGrid w:val="0"/>
              <w:spacing w:line="360" w:lineRule="exact"/>
              <w:ind w:firstLine="480" w:firstLineChars="200"/>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根据浙</w:t>
            </w:r>
            <w:r>
              <w:rPr>
                <w:rFonts w:cs="仿宋_GB2312" w:asciiTheme="minorEastAsia" w:hAnsiTheme="minorEastAsia" w:eastAsiaTheme="minorEastAsia"/>
                <w:color w:val="auto"/>
                <w:sz w:val="24"/>
              </w:rPr>
              <w:t>江省交通运输厅最新公布的试验检测信用评价结果，供应商（联合体形式</w:t>
            </w:r>
            <w:r>
              <w:rPr>
                <w:rFonts w:hint="eastAsia" w:cs="仿宋_GB2312" w:asciiTheme="minorEastAsia" w:hAnsiTheme="minorEastAsia" w:eastAsiaTheme="minorEastAsia"/>
                <w:color w:val="auto"/>
                <w:sz w:val="24"/>
              </w:rPr>
              <w:t>响应</w:t>
            </w:r>
            <w:r>
              <w:rPr>
                <w:rFonts w:cs="仿宋_GB2312" w:asciiTheme="minorEastAsia" w:hAnsiTheme="minorEastAsia" w:eastAsiaTheme="minorEastAsia"/>
                <w:color w:val="auto"/>
                <w:sz w:val="24"/>
              </w:rPr>
              <w:t>的企业信用评价结果得分按联合体各成员信用评价最低的计算）信用评价结果为AA级信用企业的得2分，A级信用企业的得1分，B级信用企业不得分（无信用评价结果的视为B级），C级信用企业扣2分，D级信用企业扣3分。</w:t>
            </w:r>
          </w:p>
          <w:p>
            <w:pPr>
              <w:snapToGrid w:val="0"/>
              <w:spacing w:line="360" w:lineRule="exact"/>
              <w:ind w:firstLine="480" w:firstLineChars="200"/>
              <w:jc w:val="left"/>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sz w:val="24"/>
              </w:rPr>
              <w:t>根据交通运</w:t>
            </w:r>
            <w:r>
              <w:rPr>
                <w:rFonts w:cs="仿宋_GB2312" w:asciiTheme="minorEastAsia" w:hAnsiTheme="minorEastAsia" w:eastAsiaTheme="minorEastAsia"/>
                <w:color w:val="auto"/>
                <w:sz w:val="24"/>
              </w:rPr>
              <w:t>输部最新公布的试验检测人员信用评价结果，拟投入的人员中检测工程师个人扣分在20分及以上但不超过40分的，每有1人扣0.5分，最多扣1分。</w:t>
            </w:r>
          </w:p>
        </w:tc>
        <w:tc>
          <w:tcPr>
            <w:tcW w:w="1701" w:type="dxa"/>
            <w:tcBorders>
              <w:top w:val="single" w:color="auto" w:sz="12" w:space="0"/>
              <w:right w:val="single" w:color="auto" w:sz="12" w:space="0"/>
            </w:tcBorders>
            <w:vAlign w:val="center"/>
          </w:tcPr>
          <w:p>
            <w:pPr>
              <w:pStyle w:val="392"/>
              <w:spacing w:before="0"/>
              <w:ind w:firstLine="0" w:firstLineChars="0"/>
              <w:jc w:val="center"/>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-4</w:t>
            </w:r>
            <w:r>
              <w:rPr>
                <w:rFonts w:ascii="宋体" w:hAnsi="宋体"/>
                <w:color w:val="auto"/>
              </w:rPr>
              <w:t>～</w:t>
            </w:r>
            <w:r>
              <w:rPr>
                <w:rFonts w:hint="eastAsia" w:cs="仿宋_GB2312" w:asciiTheme="minorEastAsia" w:hAnsiTheme="minorEastAsia" w:eastAsiaTheme="minorEastAsia"/>
                <w:color w:val="auto"/>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tcBorders>
              <w:left w:val="single" w:color="auto" w:sz="12" w:space="0"/>
            </w:tcBorders>
            <w:vAlign w:val="center"/>
          </w:tcPr>
          <w:p>
            <w:pPr>
              <w:pStyle w:val="392"/>
              <w:spacing w:before="0"/>
              <w:ind w:firstLine="480"/>
              <w:jc w:val="center"/>
              <w:rPr>
                <w:rFonts w:hint="eastAsia" w:cs="仿宋_GB2312" w:asciiTheme="minorEastAsia" w:hAnsiTheme="minorEastAsia" w:eastAsiaTheme="minorEastAsia"/>
                <w:color w:val="auto"/>
                <w:szCs w:val="24"/>
              </w:rPr>
            </w:pPr>
          </w:p>
        </w:tc>
        <w:tc>
          <w:tcPr>
            <w:tcW w:w="1274" w:type="dxa"/>
            <w:vMerge w:val="continue"/>
            <w:vAlign w:val="center"/>
          </w:tcPr>
          <w:p>
            <w:pPr>
              <w:pStyle w:val="392"/>
              <w:spacing w:before="0"/>
              <w:ind w:firstLine="0" w:firstLineChars="0"/>
              <w:jc w:val="center"/>
              <w:rPr>
                <w:rFonts w:hint="eastAsia" w:cs="仿宋_GB2312" w:asciiTheme="minorEastAsia" w:hAnsiTheme="minorEastAsia" w:eastAsiaTheme="minorEastAsia"/>
                <w:color w:val="auto"/>
                <w:szCs w:val="24"/>
              </w:rPr>
            </w:pPr>
          </w:p>
        </w:tc>
        <w:tc>
          <w:tcPr>
            <w:tcW w:w="5386" w:type="dxa"/>
            <w:vAlign w:val="center"/>
          </w:tcPr>
          <w:p>
            <w:pPr>
              <w:widowControl/>
              <w:snapToGrid w:val="0"/>
              <w:spacing w:line="360" w:lineRule="exact"/>
              <w:ind w:firstLine="480" w:firstLineChars="200"/>
              <w:jc w:val="left"/>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sz w:val="24"/>
              </w:rPr>
              <w:t>供应商（联</w:t>
            </w:r>
            <w:r>
              <w:rPr>
                <w:rFonts w:cs="仿宋_GB2312" w:asciiTheme="minorEastAsia" w:hAnsiTheme="minorEastAsia" w:eastAsiaTheme="minorEastAsia"/>
                <w:color w:val="auto"/>
                <w:sz w:val="24"/>
              </w:rPr>
              <w:t>合体形式</w:t>
            </w:r>
            <w:r>
              <w:rPr>
                <w:rFonts w:hint="eastAsia" w:cs="仿宋_GB2312" w:asciiTheme="minorEastAsia" w:hAnsiTheme="minorEastAsia" w:eastAsiaTheme="minorEastAsia"/>
                <w:color w:val="auto"/>
                <w:sz w:val="24"/>
              </w:rPr>
              <w:t>响应</w:t>
            </w:r>
            <w:r>
              <w:rPr>
                <w:rFonts w:cs="仿宋_GB2312" w:asciiTheme="minorEastAsia" w:hAnsiTheme="minorEastAsia" w:eastAsiaTheme="minorEastAsia"/>
                <w:color w:val="auto"/>
                <w:sz w:val="24"/>
              </w:rPr>
              <w:t>的企业信息公开结果得分联合体各成员均满足方可得分）在公路水运工程试验检测信息管理系统中向社会公开信息的，得1分，否则不得分；项目负责人、技术负责人的职称证书、试验检测证书等相关信息在公路水运工程试验检测信息管理系统中公开的，得1分，否则不得分</w:t>
            </w:r>
            <w:r>
              <w:rPr>
                <w:rFonts w:hint="eastAsia" w:cs="仿宋_GB2312" w:asciiTheme="minorEastAsia" w:hAnsiTheme="minorEastAsia" w:eastAsiaTheme="minorEastAsia"/>
                <w:color w:val="auto"/>
                <w:sz w:val="24"/>
              </w:rPr>
              <w:t>。</w:t>
            </w:r>
          </w:p>
        </w:tc>
        <w:tc>
          <w:tcPr>
            <w:tcW w:w="1701" w:type="dxa"/>
            <w:tcBorders>
              <w:right w:val="single" w:color="auto" w:sz="12" w:space="0"/>
            </w:tcBorders>
            <w:vAlign w:val="center"/>
          </w:tcPr>
          <w:p>
            <w:pPr>
              <w:pStyle w:val="392"/>
              <w:spacing w:before="0"/>
              <w:ind w:firstLine="0" w:firstLineChars="0"/>
              <w:jc w:val="center"/>
              <w:rPr>
                <w:rFonts w:hint="eastAsia" w:cs="仿宋_GB2312" w:asciiTheme="minorEastAsia" w:hAnsiTheme="minorEastAsia" w:eastAsiaTheme="minorEastAsia"/>
                <w:color w:val="auto"/>
                <w:szCs w:val="24"/>
              </w:rPr>
            </w:pPr>
            <w:r>
              <w:rPr>
                <w:rFonts w:cs="仿宋_GB2312" w:asciiTheme="minorEastAsia" w:hAnsiTheme="minorEastAsia" w:eastAsiaTheme="minorEastAsia"/>
                <w:color w:val="auto"/>
                <w:szCs w:val="24"/>
              </w:rPr>
              <w:t>0或1或2分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tcBorders>
              <w:left w:val="single" w:color="auto" w:sz="12" w:space="0"/>
            </w:tcBorders>
            <w:vAlign w:val="center"/>
          </w:tcPr>
          <w:p>
            <w:pPr>
              <w:pStyle w:val="392"/>
              <w:spacing w:before="0"/>
              <w:ind w:firstLine="0" w:firstLineChars="0"/>
              <w:jc w:val="center"/>
              <w:rPr>
                <w:rFonts w:hint="eastAsia" w:cs="仿宋_GB2312" w:asciiTheme="minorEastAsia" w:hAnsiTheme="minorEastAsia" w:eastAsiaTheme="minorEastAsia"/>
                <w:color w:val="auto"/>
                <w:szCs w:val="24"/>
              </w:rPr>
            </w:pPr>
          </w:p>
        </w:tc>
        <w:tc>
          <w:tcPr>
            <w:tcW w:w="1274" w:type="dxa"/>
            <w:vMerge w:val="continue"/>
            <w:vAlign w:val="center"/>
          </w:tcPr>
          <w:p>
            <w:pPr>
              <w:pStyle w:val="392"/>
              <w:spacing w:before="0"/>
              <w:ind w:firstLine="0" w:firstLineChars="0"/>
              <w:jc w:val="center"/>
              <w:rPr>
                <w:rFonts w:hint="eastAsia" w:cs="仿宋_GB2312" w:asciiTheme="minorEastAsia" w:hAnsiTheme="minorEastAsia" w:eastAsiaTheme="minorEastAsia"/>
                <w:color w:val="auto"/>
                <w:szCs w:val="24"/>
              </w:rPr>
            </w:pPr>
          </w:p>
        </w:tc>
        <w:tc>
          <w:tcPr>
            <w:tcW w:w="5386" w:type="dxa"/>
            <w:vAlign w:val="center"/>
          </w:tcPr>
          <w:p>
            <w:pPr>
              <w:widowControl/>
              <w:snapToGrid w:val="0"/>
              <w:spacing w:line="360" w:lineRule="exact"/>
              <w:ind w:firstLine="480" w:firstLineChars="200"/>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近一年来</w:t>
            </w:r>
            <w:r>
              <w:rPr>
                <w:rFonts w:cs="仿宋_GB2312" w:asciiTheme="minorEastAsia" w:hAnsiTheme="minorEastAsia" w:eastAsiaTheme="minorEastAsia"/>
                <w:color w:val="auto"/>
                <w:sz w:val="24"/>
              </w:rPr>
              <w:t>(自2023年</w:t>
            </w:r>
            <w:r>
              <w:rPr>
                <w:rFonts w:hint="eastAsia" w:cs="仿宋_GB2312" w:asciiTheme="minorEastAsia" w:hAnsiTheme="minorEastAsia" w:eastAsiaTheme="minorEastAsia"/>
                <w:color w:val="auto"/>
                <w:sz w:val="24"/>
              </w:rPr>
              <w:t>7</w:t>
            </w:r>
            <w:r>
              <w:rPr>
                <w:rFonts w:cs="仿宋_GB2312" w:asciiTheme="minorEastAsia" w:hAnsiTheme="minorEastAsia" w:eastAsiaTheme="minorEastAsia"/>
                <w:color w:val="auto"/>
                <w:sz w:val="24"/>
              </w:rPr>
              <w:t>月1日以来)，被交通运输部、浙江省发展和改革委员会、浙江省交通运输厅三部门以外的省级及以上单位（部门）书面通报限制投标，并在处罚期内的，如实填报的扣1分；</w:t>
            </w:r>
          </w:p>
          <w:p>
            <w:pPr>
              <w:widowControl/>
              <w:snapToGrid w:val="0"/>
              <w:spacing w:line="360" w:lineRule="exact"/>
              <w:ind w:firstLine="480" w:firstLineChars="200"/>
              <w:jc w:val="left"/>
              <w:rPr>
                <w:rFonts w:hint="eastAsia" w:cs="仿宋_GB2312" w:asciiTheme="minorEastAsia" w:hAnsiTheme="minorEastAsia" w:eastAsiaTheme="minorEastAsia"/>
                <w:color w:val="auto"/>
                <w:sz w:val="24"/>
              </w:rPr>
            </w:pPr>
            <w:r>
              <w:rPr>
                <w:rFonts w:cs="仿宋_GB2312" w:asciiTheme="minorEastAsia" w:hAnsiTheme="minorEastAsia" w:eastAsiaTheme="minorEastAsia"/>
                <w:color w:val="auto"/>
                <w:sz w:val="24"/>
              </w:rPr>
              <w:t>近3年来(自2021年</w:t>
            </w:r>
            <w:r>
              <w:rPr>
                <w:rFonts w:hint="eastAsia" w:cs="仿宋_GB2312" w:asciiTheme="minorEastAsia" w:hAnsiTheme="minorEastAsia" w:eastAsiaTheme="minorEastAsia"/>
                <w:color w:val="auto"/>
                <w:sz w:val="24"/>
              </w:rPr>
              <w:t>7</w:t>
            </w:r>
            <w:r>
              <w:rPr>
                <w:rFonts w:cs="仿宋_GB2312" w:asciiTheme="minorEastAsia" w:hAnsiTheme="minorEastAsia" w:eastAsiaTheme="minorEastAsia"/>
                <w:color w:val="auto"/>
                <w:sz w:val="24"/>
              </w:rPr>
              <w:t>月1日以来)，供应商或拟委任的项目负责人在工程建设领域中，有行贿受贿行为未构成犯罪的，如实填报的扣1分。</w:t>
            </w:r>
          </w:p>
          <w:p>
            <w:pPr>
              <w:widowControl/>
              <w:snapToGrid w:val="0"/>
              <w:spacing w:line="360" w:lineRule="exact"/>
              <w:ind w:firstLine="480" w:firstLineChars="200"/>
              <w:jc w:val="left"/>
              <w:rPr>
                <w:rFonts w:hint="eastAsia" w:cs="仿宋_GB2312" w:asciiTheme="minorEastAsia" w:hAnsiTheme="minorEastAsia" w:eastAsiaTheme="minorEastAsia"/>
                <w:color w:val="auto"/>
              </w:rPr>
            </w:pPr>
            <w:r>
              <w:rPr>
                <w:rFonts w:cs="仿宋_GB2312" w:asciiTheme="minorEastAsia" w:hAnsiTheme="minorEastAsia" w:eastAsiaTheme="minorEastAsia"/>
                <w:color w:val="auto"/>
                <w:sz w:val="24"/>
              </w:rPr>
              <w:t>有上述行为隐瞒不报的，一经查实，作否决投标处理，并视为供应商提供虚假资料，</w:t>
            </w:r>
            <w:r>
              <w:rPr>
                <w:rFonts w:hint="eastAsia" w:cs="仿宋_GB2312" w:asciiTheme="minorEastAsia" w:hAnsiTheme="minorEastAsia" w:eastAsiaTheme="minorEastAsia"/>
                <w:color w:val="auto"/>
                <w:sz w:val="24"/>
              </w:rPr>
              <w:t>并抄告交通运输部门</w:t>
            </w:r>
            <w:r>
              <w:rPr>
                <w:rFonts w:cs="仿宋_GB2312" w:asciiTheme="minorEastAsia" w:hAnsiTheme="minorEastAsia" w:eastAsiaTheme="minorEastAsia"/>
                <w:color w:val="auto"/>
                <w:sz w:val="24"/>
              </w:rPr>
              <w:t>。</w:t>
            </w:r>
          </w:p>
        </w:tc>
        <w:tc>
          <w:tcPr>
            <w:tcW w:w="1701" w:type="dxa"/>
            <w:tcBorders>
              <w:right w:val="single" w:color="auto" w:sz="12" w:space="0"/>
            </w:tcBorders>
            <w:vAlign w:val="center"/>
          </w:tcPr>
          <w:p>
            <w:pPr>
              <w:pStyle w:val="392"/>
              <w:spacing w:before="0"/>
              <w:ind w:firstLine="0" w:firstLineChars="0"/>
              <w:jc w:val="center"/>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-2或-1或0分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restart"/>
            <w:tcBorders>
              <w:top w:val="single" w:color="auto" w:sz="12" w:space="0"/>
              <w:left w:val="single" w:color="auto" w:sz="12" w:space="0"/>
            </w:tcBorders>
            <w:vAlign w:val="center"/>
          </w:tcPr>
          <w:p>
            <w:pPr>
              <w:pStyle w:val="392"/>
              <w:spacing w:before="0"/>
              <w:ind w:firstLine="0" w:firstLineChars="0"/>
              <w:jc w:val="center"/>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4</w:t>
            </w:r>
          </w:p>
        </w:tc>
        <w:tc>
          <w:tcPr>
            <w:tcW w:w="1274" w:type="dxa"/>
            <w:vMerge w:val="restart"/>
            <w:tcBorders>
              <w:top w:val="single" w:color="auto" w:sz="12" w:space="0"/>
            </w:tcBorders>
            <w:vAlign w:val="center"/>
          </w:tcPr>
          <w:p>
            <w:pPr>
              <w:pStyle w:val="392"/>
              <w:spacing w:before="0"/>
              <w:ind w:firstLine="0" w:firstLineChars="0"/>
              <w:jc w:val="center"/>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技术文件（84分）</w:t>
            </w:r>
          </w:p>
        </w:tc>
        <w:tc>
          <w:tcPr>
            <w:tcW w:w="5386" w:type="dxa"/>
            <w:tcBorders>
              <w:top w:val="single" w:color="auto" w:sz="12" w:space="0"/>
            </w:tcBorders>
            <w:vAlign w:val="center"/>
          </w:tcPr>
          <w:p>
            <w:pPr>
              <w:widowControl/>
              <w:snapToGrid w:val="0"/>
              <w:spacing w:line="360" w:lineRule="exact"/>
              <w:ind w:firstLine="480" w:firstLineChars="200"/>
              <w:jc w:val="left"/>
              <w:rPr>
                <w:rFonts w:hint="eastAsia" w:cs="仿宋_GB2312" w:asciiTheme="minorEastAsia" w:hAnsiTheme="minorEastAsia" w:eastAsiaTheme="minorEastAsia"/>
                <w:color w:val="auto"/>
                <w:sz w:val="24"/>
              </w:rPr>
            </w:pPr>
            <w:r>
              <w:rPr>
                <w:rFonts w:cs="仿宋_GB2312" w:asciiTheme="minorEastAsia" w:hAnsiTheme="minorEastAsia" w:eastAsiaTheme="minorEastAsia"/>
                <w:color w:val="auto"/>
                <w:sz w:val="24"/>
              </w:rPr>
              <w:t>试验检测的目的、检测内容、方法</w:t>
            </w:r>
            <w:r>
              <w:rPr>
                <w:rFonts w:hint="eastAsia" w:cs="仿宋_GB2312" w:asciiTheme="minorEastAsia" w:hAnsiTheme="minorEastAsia" w:eastAsiaTheme="minorEastAsia"/>
                <w:color w:val="auto"/>
                <w:sz w:val="24"/>
              </w:rPr>
              <w:t>；视供应商对试验检测的目的、检测内容的理解情况，以及采取的试验检测方法情况按好、较好、</w:t>
            </w:r>
            <w:r>
              <w:rPr>
                <w:rFonts w:hint="eastAsia" w:cs="仿宋_GB2312" w:asciiTheme="minorEastAsia" w:hAnsiTheme="minorEastAsia" w:eastAsiaTheme="minorEastAsia"/>
                <w:color w:val="auto"/>
                <w:sz w:val="24"/>
                <w:lang w:val="en-US" w:eastAsia="zh-CN"/>
              </w:rPr>
              <w:t>较不好</w:t>
            </w:r>
            <w:r>
              <w:rPr>
                <w:rFonts w:hint="eastAsia" w:cs="仿宋_GB2312" w:asciiTheme="minorEastAsia" w:hAnsiTheme="minorEastAsia" w:eastAsiaTheme="minorEastAsia"/>
                <w:color w:val="auto"/>
                <w:sz w:val="24"/>
              </w:rPr>
              <w:t>的分值进行打分。</w:t>
            </w:r>
          </w:p>
        </w:tc>
        <w:tc>
          <w:tcPr>
            <w:tcW w:w="1701" w:type="dxa"/>
            <w:tcBorders>
              <w:top w:val="single" w:color="auto" w:sz="12" w:space="0"/>
              <w:right w:val="single" w:color="auto" w:sz="12" w:space="0"/>
            </w:tcBorders>
            <w:vAlign w:val="center"/>
          </w:tcPr>
          <w:p>
            <w:pPr>
              <w:spacing w:line="360" w:lineRule="exact"/>
              <w:jc w:val="center"/>
              <w:rPr>
                <w:rFonts w:hint="eastAsia" w:cs="仿宋_GB2312" w:asciiTheme="minorEastAsia" w:hAnsiTheme="minorEastAsia" w:eastAsiaTheme="minorEastAsia"/>
                <w:color w:val="auto"/>
                <w:sz w:val="24"/>
              </w:rPr>
            </w:pPr>
            <w:r>
              <w:rPr>
                <w:rFonts w:cs="仿宋_GB2312" w:asciiTheme="minorEastAsia" w:hAnsiTheme="minorEastAsia" w:eastAsiaTheme="minorEastAsia"/>
                <w:color w:val="auto"/>
                <w:sz w:val="24"/>
              </w:rPr>
              <w:t>好</w:t>
            </w:r>
            <w:r>
              <w:rPr>
                <w:rFonts w:hint="eastAsia" w:cs="仿宋_GB2312" w:asciiTheme="minorEastAsia" w:hAnsiTheme="minorEastAsia" w:eastAsiaTheme="minorEastAsia"/>
                <w:color w:val="auto"/>
                <w:sz w:val="24"/>
              </w:rPr>
              <w:t>20</w:t>
            </w:r>
            <w:r>
              <w:rPr>
                <w:rFonts w:cs="仿宋_GB2312" w:asciiTheme="minorEastAsia" w:hAnsiTheme="minorEastAsia" w:eastAsiaTheme="minorEastAsia"/>
                <w:color w:val="auto"/>
                <w:sz w:val="24"/>
              </w:rPr>
              <w:t>分</w:t>
            </w:r>
          </w:p>
          <w:p>
            <w:pPr>
              <w:spacing w:line="360" w:lineRule="exact"/>
              <w:jc w:val="center"/>
              <w:rPr>
                <w:rFonts w:hint="eastAsia" w:cs="仿宋_GB2312" w:asciiTheme="minorEastAsia" w:hAnsiTheme="minorEastAsia" w:eastAsiaTheme="minorEastAsia"/>
                <w:color w:val="auto"/>
                <w:sz w:val="24"/>
              </w:rPr>
            </w:pPr>
            <w:r>
              <w:rPr>
                <w:rFonts w:cs="仿宋_GB2312" w:asciiTheme="minorEastAsia" w:hAnsiTheme="minorEastAsia" w:eastAsiaTheme="minorEastAsia"/>
                <w:color w:val="auto"/>
                <w:sz w:val="24"/>
              </w:rPr>
              <w:t>较好</w:t>
            </w:r>
            <w:r>
              <w:rPr>
                <w:rFonts w:hint="eastAsia" w:cs="仿宋_GB2312" w:asciiTheme="minorEastAsia" w:hAnsiTheme="minorEastAsia" w:eastAsiaTheme="minorEastAsia"/>
                <w:color w:val="auto"/>
                <w:sz w:val="24"/>
              </w:rPr>
              <w:t>18</w:t>
            </w:r>
            <w:r>
              <w:rPr>
                <w:rFonts w:cs="仿宋_GB2312" w:asciiTheme="minorEastAsia" w:hAnsiTheme="minorEastAsia" w:eastAsiaTheme="minorEastAsia"/>
                <w:color w:val="auto"/>
                <w:sz w:val="24"/>
              </w:rPr>
              <w:t>分</w:t>
            </w:r>
          </w:p>
          <w:p>
            <w:pPr>
              <w:pStyle w:val="392"/>
              <w:spacing w:before="0"/>
              <w:ind w:firstLine="0" w:firstLineChars="0"/>
              <w:jc w:val="center"/>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sz w:val="24"/>
                <w:lang w:val="en-US" w:eastAsia="zh-CN"/>
              </w:rPr>
              <w:t>较不好</w:t>
            </w:r>
            <w:r>
              <w:rPr>
                <w:rFonts w:hint="eastAsia" w:cs="仿宋_GB2312" w:asciiTheme="minorEastAsia" w:hAnsiTheme="minorEastAsia" w:eastAsiaTheme="minorEastAsia"/>
                <w:color w:val="auto"/>
                <w:szCs w:val="24"/>
              </w:rPr>
              <w:t>16</w:t>
            </w:r>
            <w:r>
              <w:rPr>
                <w:rFonts w:cs="仿宋_GB2312" w:asciiTheme="minorEastAsia" w:hAnsiTheme="minorEastAsia" w:eastAsiaTheme="minorEastAsia"/>
                <w:color w:val="auto"/>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tcBorders>
              <w:left w:val="single" w:color="auto" w:sz="12" w:space="0"/>
            </w:tcBorders>
            <w:vAlign w:val="center"/>
          </w:tcPr>
          <w:p>
            <w:pPr>
              <w:pStyle w:val="392"/>
              <w:spacing w:before="0"/>
              <w:ind w:firstLine="480"/>
              <w:jc w:val="center"/>
              <w:rPr>
                <w:rFonts w:hint="eastAsia" w:cs="仿宋_GB2312" w:asciiTheme="minorEastAsia" w:hAnsiTheme="minorEastAsia" w:eastAsiaTheme="minorEastAsia"/>
                <w:color w:val="auto"/>
                <w:szCs w:val="24"/>
              </w:rPr>
            </w:pPr>
          </w:p>
        </w:tc>
        <w:tc>
          <w:tcPr>
            <w:tcW w:w="1274" w:type="dxa"/>
            <w:vMerge w:val="continue"/>
            <w:vAlign w:val="center"/>
          </w:tcPr>
          <w:p>
            <w:pPr>
              <w:pStyle w:val="392"/>
              <w:spacing w:before="0"/>
              <w:ind w:firstLine="0" w:firstLineChars="0"/>
              <w:jc w:val="center"/>
              <w:rPr>
                <w:rFonts w:hint="eastAsia" w:cs="仿宋_GB2312" w:asciiTheme="minorEastAsia" w:hAnsiTheme="minorEastAsia" w:eastAsiaTheme="minorEastAsia"/>
                <w:color w:val="auto"/>
                <w:szCs w:val="24"/>
              </w:rPr>
            </w:pPr>
          </w:p>
        </w:tc>
        <w:tc>
          <w:tcPr>
            <w:tcW w:w="5386" w:type="dxa"/>
            <w:vAlign w:val="center"/>
          </w:tcPr>
          <w:p>
            <w:pPr>
              <w:widowControl/>
              <w:snapToGrid w:val="0"/>
              <w:spacing w:line="360" w:lineRule="exact"/>
              <w:ind w:firstLine="480" w:firstLineChars="200"/>
              <w:jc w:val="left"/>
              <w:rPr>
                <w:rFonts w:hint="eastAsia" w:cs="仿宋_GB2312" w:asciiTheme="minorEastAsia" w:hAnsiTheme="minorEastAsia" w:eastAsiaTheme="minorEastAsia"/>
                <w:color w:val="auto"/>
                <w:sz w:val="24"/>
              </w:rPr>
            </w:pPr>
            <w:r>
              <w:rPr>
                <w:rFonts w:cs="仿宋_GB2312" w:asciiTheme="minorEastAsia" w:hAnsiTheme="minorEastAsia" w:eastAsiaTheme="minorEastAsia"/>
                <w:color w:val="auto"/>
                <w:sz w:val="24"/>
              </w:rPr>
              <w:t>本项目管理、试验检测的重点、难点分析</w:t>
            </w:r>
            <w:r>
              <w:rPr>
                <w:rFonts w:hint="eastAsia" w:cs="仿宋_GB2312" w:asciiTheme="minorEastAsia" w:hAnsiTheme="minorEastAsia" w:eastAsiaTheme="minorEastAsia"/>
                <w:color w:val="auto"/>
                <w:sz w:val="24"/>
              </w:rPr>
              <w:t>；</w:t>
            </w:r>
          </w:p>
          <w:p>
            <w:pPr>
              <w:widowControl/>
              <w:snapToGrid w:val="0"/>
              <w:spacing w:line="360" w:lineRule="exact"/>
              <w:ind w:firstLine="480" w:firstLineChars="200"/>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视供应商对项目管理的情况，以及对试验检测重难点分析情况按好、较好、</w:t>
            </w:r>
            <w:r>
              <w:rPr>
                <w:rFonts w:hint="eastAsia" w:cs="仿宋_GB2312" w:asciiTheme="minorEastAsia" w:hAnsiTheme="minorEastAsia" w:eastAsiaTheme="minorEastAsia"/>
                <w:color w:val="auto"/>
                <w:sz w:val="24"/>
                <w:lang w:val="en-US" w:eastAsia="zh-CN"/>
              </w:rPr>
              <w:t>较不好</w:t>
            </w:r>
            <w:r>
              <w:rPr>
                <w:rFonts w:hint="eastAsia" w:cs="仿宋_GB2312" w:asciiTheme="minorEastAsia" w:hAnsiTheme="minorEastAsia" w:eastAsiaTheme="minorEastAsia"/>
                <w:color w:val="auto"/>
                <w:sz w:val="24"/>
              </w:rPr>
              <w:t>的分值进行打分。</w:t>
            </w:r>
          </w:p>
        </w:tc>
        <w:tc>
          <w:tcPr>
            <w:tcW w:w="1701" w:type="dxa"/>
            <w:tcBorders>
              <w:right w:val="single" w:color="auto" w:sz="12" w:space="0"/>
            </w:tcBorders>
            <w:vAlign w:val="center"/>
          </w:tcPr>
          <w:p>
            <w:pPr>
              <w:spacing w:line="360" w:lineRule="exact"/>
              <w:jc w:val="center"/>
              <w:rPr>
                <w:rFonts w:hint="eastAsia" w:cs="仿宋_GB2312" w:asciiTheme="minorEastAsia" w:hAnsiTheme="minorEastAsia" w:eastAsiaTheme="minorEastAsia"/>
                <w:color w:val="auto"/>
                <w:sz w:val="24"/>
              </w:rPr>
            </w:pPr>
            <w:r>
              <w:rPr>
                <w:rFonts w:cs="仿宋_GB2312" w:asciiTheme="minorEastAsia" w:hAnsiTheme="minorEastAsia" w:eastAsiaTheme="minorEastAsia"/>
                <w:color w:val="auto"/>
                <w:sz w:val="24"/>
              </w:rPr>
              <w:t>好</w:t>
            </w:r>
            <w:r>
              <w:rPr>
                <w:rFonts w:hint="eastAsia" w:cs="仿宋_GB2312" w:asciiTheme="minorEastAsia" w:hAnsiTheme="minorEastAsia" w:eastAsiaTheme="minorEastAsia"/>
                <w:color w:val="auto"/>
                <w:sz w:val="24"/>
              </w:rPr>
              <w:t>20</w:t>
            </w:r>
            <w:r>
              <w:rPr>
                <w:rFonts w:cs="仿宋_GB2312" w:asciiTheme="minorEastAsia" w:hAnsiTheme="minorEastAsia" w:eastAsiaTheme="minorEastAsia"/>
                <w:color w:val="auto"/>
                <w:sz w:val="24"/>
              </w:rPr>
              <w:t>分</w:t>
            </w:r>
          </w:p>
          <w:p>
            <w:pPr>
              <w:spacing w:line="360" w:lineRule="exact"/>
              <w:jc w:val="center"/>
              <w:rPr>
                <w:rFonts w:hint="eastAsia" w:cs="仿宋_GB2312" w:asciiTheme="minorEastAsia" w:hAnsiTheme="minorEastAsia" w:eastAsiaTheme="minorEastAsia"/>
                <w:color w:val="auto"/>
                <w:sz w:val="24"/>
              </w:rPr>
            </w:pPr>
            <w:r>
              <w:rPr>
                <w:rFonts w:cs="仿宋_GB2312" w:asciiTheme="minorEastAsia" w:hAnsiTheme="minorEastAsia" w:eastAsiaTheme="minorEastAsia"/>
                <w:color w:val="auto"/>
                <w:sz w:val="24"/>
              </w:rPr>
              <w:t>较好</w:t>
            </w:r>
            <w:r>
              <w:rPr>
                <w:rFonts w:hint="eastAsia" w:cs="仿宋_GB2312" w:asciiTheme="minorEastAsia" w:hAnsiTheme="minorEastAsia" w:eastAsiaTheme="minorEastAsia"/>
                <w:color w:val="auto"/>
                <w:sz w:val="24"/>
              </w:rPr>
              <w:t>18</w:t>
            </w:r>
            <w:r>
              <w:rPr>
                <w:rFonts w:cs="仿宋_GB2312" w:asciiTheme="minorEastAsia" w:hAnsiTheme="minorEastAsia" w:eastAsiaTheme="minorEastAsia"/>
                <w:color w:val="auto"/>
                <w:sz w:val="24"/>
              </w:rPr>
              <w:t>分</w:t>
            </w:r>
          </w:p>
          <w:p>
            <w:pPr>
              <w:pStyle w:val="392"/>
              <w:spacing w:before="0"/>
              <w:ind w:firstLine="0" w:firstLineChars="0"/>
              <w:jc w:val="center"/>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sz w:val="24"/>
                <w:lang w:val="en-US" w:eastAsia="zh-CN"/>
              </w:rPr>
              <w:t>较不好</w:t>
            </w:r>
            <w:r>
              <w:rPr>
                <w:rFonts w:hint="eastAsia" w:cs="仿宋_GB2312" w:asciiTheme="minorEastAsia" w:hAnsiTheme="minorEastAsia" w:eastAsiaTheme="minorEastAsia"/>
                <w:color w:val="auto"/>
                <w:szCs w:val="24"/>
              </w:rPr>
              <w:t>16</w:t>
            </w:r>
            <w:r>
              <w:rPr>
                <w:rFonts w:cs="仿宋_GB2312" w:asciiTheme="minorEastAsia" w:hAnsiTheme="minorEastAsia" w:eastAsiaTheme="minorEastAsia"/>
                <w:color w:val="auto"/>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tcBorders>
              <w:left w:val="single" w:color="auto" w:sz="12" w:space="0"/>
            </w:tcBorders>
            <w:vAlign w:val="center"/>
          </w:tcPr>
          <w:p>
            <w:pPr>
              <w:pStyle w:val="392"/>
              <w:spacing w:before="0"/>
              <w:ind w:firstLine="480"/>
              <w:jc w:val="center"/>
              <w:rPr>
                <w:rFonts w:hint="eastAsia" w:cs="仿宋_GB2312" w:asciiTheme="minorEastAsia" w:hAnsiTheme="minorEastAsia" w:eastAsiaTheme="minorEastAsia"/>
                <w:color w:val="auto"/>
                <w:szCs w:val="24"/>
              </w:rPr>
            </w:pPr>
          </w:p>
        </w:tc>
        <w:tc>
          <w:tcPr>
            <w:tcW w:w="1274" w:type="dxa"/>
            <w:vMerge w:val="continue"/>
            <w:vAlign w:val="center"/>
          </w:tcPr>
          <w:p>
            <w:pPr>
              <w:pStyle w:val="392"/>
              <w:spacing w:before="0"/>
              <w:ind w:firstLine="0" w:firstLineChars="0"/>
              <w:jc w:val="center"/>
              <w:rPr>
                <w:rFonts w:hint="eastAsia" w:cs="仿宋_GB2312" w:asciiTheme="minorEastAsia" w:hAnsiTheme="minorEastAsia" w:eastAsiaTheme="minorEastAsia"/>
                <w:color w:val="auto"/>
                <w:szCs w:val="24"/>
              </w:rPr>
            </w:pPr>
          </w:p>
        </w:tc>
        <w:tc>
          <w:tcPr>
            <w:tcW w:w="5386" w:type="dxa"/>
            <w:vAlign w:val="center"/>
          </w:tcPr>
          <w:p>
            <w:pPr>
              <w:widowControl/>
              <w:snapToGrid w:val="0"/>
              <w:spacing w:line="360" w:lineRule="exact"/>
              <w:ind w:firstLine="480" w:firstLineChars="200"/>
              <w:jc w:val="left"/>
              <w:rPr>
                <w:rFonts w:hint="eastAsia" w:cs="仿宋_GB2312" w:asciiTheme="minorEastAsia" w:hAnsiTheme="minorEastAsia" w:eastAsiaTheme="minorEastAsia"/>
                <w:color w:val="auto"/>
                <w:sz w:val="24"/>
              </w:rPr>
            </w:pPr>
            <w:r>
              <w:rPr>
                <w:rFonts w:cs="仿宋_GB2312" w:asciiTheme="minorEastAsia" w:hAnsiTheme="minorEastAsia" w:eastAsiaTheme="minorEastAsia"/>
                <w:color w:val="auto"/>
                <w:sz w:val="24"/>
              </w:rPr>
              <w:t>质量保证措施及服务方案</w:t>
            </w:r>
          </w:p>
          <w:p>
            <w:pPr>
              <w:widowControl/>
              <w:snapToGrid w:val="0"/>
              <w:spacing w:line="360" w:lineRule="exact"/>
              <w:ind w:firstLine="480" w:firstLineChars="200"/>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视供应商的质量保证措施及服务方案</w:t>
            </w:r>
            <w:r>
              <w:rPr>
                <w:rFonts w:hint="eastAsia" w:cs="仿宋_GB2312" w:asciiTheme="minorEastAsia" w:hAnsiTheme="minorEastAsia" w:eastAsiaTheme="minorEastAsia"/>
                <w:color w:val="auto"/>
                <w:sz w:val="24"/>
                <w:lang w:val="en-US" w:eastAsia="zh-CN"/>
              </w:rPr>
              <w:t>好坏</w:t>
            </w:r>
            <w:bookmarkStart w:id="74" w:name="_GoBack"/>
            <w:bookmarkEnd w:id="74"/>
            <w:r>
              <w:rPr>
                <w:rFonts w:hint="eastAsia" w:cs="仿宋_GB2312" w:asciiTheme="minorEastAsia" w:hAnsiTheme="minorEastAsia" w:eastAsiaTheme="minorEastAsia"/>
                <w:color w:val="auto"/>
                <w:sz w:val="24"/>
              </w:rPr>
              <w:t>情况按好、较好、</w:t>
            </w:r>
            <w:r>
              <w:rPr>
                <w:rFonts w:hint="eastAsia" w:cs="仿宋_GB2312" w:asciiTheme="minorEastAsia" w:hAnsiTheme="minorEastAsia" w:eastAsiaTheme="minorEastAsia"/>
                <w:color w:val="auto"/>
                <w:sz w:val="24"/>
                <w:lang w:val="en-US" w:eastAsia="zh-CN"/>
              </w:rPr>
              <w:t>较不好</w:t>
            </w:r>
            <w:r>
              <w:rPr>
                <w:rFonts w:hint="eastAsia" w:cs="仿宋_GB2312" w:asciiTheme="minorEastAsia" w:hAnsiTheme="minorEastAsia" w:eastAsiaTheme="minorEastAsia"/>
                <w:color w:val="auto"/>
                <w:sz w:val="24"/>
              </w:rPr>
              <w:t>的分值进行打分。</w:t>
            </w:r>
          </w:p>
        </w:tc>
        <w:tc>
          <w:tcPr>
            <w:tcW w:w="1701" w:type="dxa"/>
            <w:tcBorders>
              <w:right w:val="single" w:color="auto" w:sz="12" w:space="0"/>
            </w:tcBorders>
            <w:vAlign w:val="center"/>
          </w:tcPr>
          <w:p>
            <w:pPr>
              <w:spacing w:line="360" w:lineRule="exact"/>
              <w:jc w:val="center"/>
              <w:rPr>
                <w:rFonts w:hint="eastAsia" w:cs="仿宋_GB2312" w:asciiTheme="minorEastAsia" w:hAnsiTheme="minorEastAsia" w:eastAsiaTheme="minorEastAsia"/>
                <w:color w:val="auto"/>
                <w:sz w:val="24"/>
              </w:rPr>
            </w:pPr>
            <w:r>
              <w:rPr>
                <w:rFonts w:cs="仿宋_GB2312" w:asciiTheme="minorEastAsia" w:hAnsiTheme="minorEastAsia" w:eastAsiaTheme="minorEastAsia"/>
                <w:color w:val="auto"/>
                <w:sz w:val="24"/>
              </w:rPr>
              <w:t>好</w:t>
            </w:r>
            <w:r>
              <w:rPr>
                <w:rFonts w:hint="eastAsia" w:cs="仿宋_GB2312" w:asciiTheme="minorEastAsia" w:hAnsiTheme="minorEastAsia" w:eastAsiaTheme="minorEastAsia"/>
                <w:color w:val="auto"/>
                <w:sz w:val="24"/>
              </w:rPr>
              <w:t>20</w:t>
            </w:r>
            <w:r>
              <w:rPr>
                <w:rFonts w:cs="仿宋_GB2312" w:asciiTheme="minorEastAsia" w:hAnsiTheme="minorEastAsia" w:eastAsiaTheme="minorEastAsia"/>
                <w:color w:val="auto"/>
                <w:sz w:val="24"/>
              </w:rPr>
              <w:t>分</w:t>
            </w:r>
          </w:p>
          <w:p>
            <w:pPr>
              <w:spacing w:line="360" w:lineRule="exact"/>
              <w:jc w:val="center"/>
              <w:rPr>
                <w:rFonts w:hint="eastAsia" w:cs="仿宋_GB2312" w:asciiTheme="minorEastAsia" w:hAnsiTheme="minorEastAsia" w:eastAsiaTheme="minorEastAsia"/>
                <w:color w:val="auto"/>
                <w:sz w:val="24"/>
              </w:rPr>
            </w:pPr>
            <w:r>
              <w:rPr>
                <w:rFonts w:cs="仿宋_GB2312" w:asciiTheme="minorEastAsia" w:hAnsiTheme="minorEastAsia" w:eastAsiaTheme="minorEastAsia"/>
                <w:color w:val="auto"/>
                <w:sz w:val="24"/>
              </w:rPr>
              <w:t>较好</w:t>
            </w:r>
            <w:r>
              <w:rPr>
                <w:rFonts w:hint="eastAsia" w:cs="仿宋_GB2312" w:asciiTheme="minorEastAsia" w:hAnsiTheme="minorEastAsia" w:eastAsiaTheme="minorEastAsia"/>
                <w:color w:val="auto"/>
                <w:sz w:val="24"/>
              </w:rPr>
              <w:t>18</w:t>
            </w:r>
            <w:r>
              <w:rPr>
                <w:rFonts w:cs="仿宋_GB2312" w:asciiTheme="minorEastAsia" w:hAnsiTheme="minorEastAsia" w:eastAsiaTheme="minorEastAsia"/>
                <w:color w:val="auto"/>
                <w:sz w:val="24"/>
              </w:rPr>
              <w:t>分</w:t>
            </w:r>
          </w:p>
          <w:p>
            <w:pPr>
              <w:pStyle w:val="392"/>
              <w:spacing w:before="0"/>
              <w:ind w:firstLine="0" w:firstLineChars="0"/>
              <w:jc w:val="center"/>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sz w:val="24"/>
                <w:lang w:val="en-US" w:eastAsia="zh-CN"/>
              </w:rPr>
              <w:t>较不好</w:t>
            </w:r>
            <w:r>
              <w:rPr>
                <w:rFonts w:hint="eastAsia" w:cs="仿宋_GB2312" w:asciiTheme="minorEastAsia" w:hAnsiTheme="minorEastAsia" w:eastAsiaTheme="minorEastAsia"/>
                <w:color w:val="auto"/>
                <w:szCs w:val="24"/>
              </w:rPr>
              <w:t>16</w:t>
            </w:r>
            <w:r>
              <w:rPr>
                <w:rFonts w:cs="仿宋_GB2312" w:asciiTheme="minorEastAsia" w:hAnsiTheme="minorEastAsia" w:eastAsiaTheme="minorEastAsia"/>
                <w:color w:val="auto"/>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tcBorders>
              <w:left w:val="single" w:color="auto" w:sz="12" w:space="0"/>
            </w:tcBorders>
            <w:vAlign w:val="center"/>
          </w:tcPr>
          <w:p>
            <w:pPr>
              <w:pStyle w:val="392"/>
              <w:spacing w:before="0"/>
              <w:ind w:firstLine="480"/>
              <w:jc w:val="center"/>
              <w:rPr>
                <w:rFonts w:hint="eastAsia" w:cs="仿宋_GB2312" w:asciiTheme="minorEastAsia" w:hAnsiTheme="minorEastAsia" w:eastAsiaTheme="minorEastAsia"/>
                <w:color w:val="auto"/>
                <w:szCs w:val="24"/>
              </w:rPr>
            </w:pPr>
          </w:p>
        </w:tc>
        <w:tc>
          <w:tcPr>
            <w:tcW w:w="1274" w:type="dxa"/>
            <w:vMerge w:val="continue"/>
            <w:vAlign w:val="center"/>
          </w:tcPr>
          <w:p>
            <w:pPr>
              <w:pStyle w:val="392"/>
              <w:spacing w:before="0"/>
              <w:ind w:firstLine="0" w:firstLineChars="0"/>
              <w:jc w:val="center"/>
              <w:rPr>
                <w:rFonts w:hint="eastAsia" w:cs="仿宋_GB2312" w:asciiTheme="minorEastAsia" w:hAnsiTheme="minorEastAsia" w:eastAsiaTheme="minorEastAsia"/>
                <w:color w:val="auto"/>
                <w:szCs w:val="24"/>
              </w:rPr>
            </w:pPr>
          </w:p>
        </w:tc>
        <w:tc>
          <w:tcPr>
            <w:tcW w:w="5386" w:type="dxa"/>
            <w:vAlign w:val="center"/>
          </w:tcPr>
          <w:p>
            <w:pPr>
              <w:widowControl/>
              <w:snapToGrid w:val="0"/>
              <w:spacing w:line="360" w:lineRule="exact"/>
              <w:ind w:firstLine="480" w:firstLineChars="200"/>
              <w:jc w:val="left"/>
              <w:rPr>
                <w:rFonts w:hint="eastAsia" w:cs="仿宋_GB2312" w:asciiTheme="minorEastAsia" w:hAnsiTheme="minorEastAsia" w:eastAsiaTheme="minorEastAsia"/>
                <w:color w:val="auto"/>
                <w:sz w:val="24"/>
              </w:rPr>
            </w:pPr>
            <w:r>
              <w:rPr>
                <w:rFonts w:cs="仿宋_GB2312" w:asciiTheme="minorEastAsia" w:hAnsiTheme="minorEastAsia" w:eastAsiaTheme="minorEastAsia"/>
                <w:color w:val="auto"/>
                <w:sz w:val="24"/>
              </w:rPr>
              <w:t>信息化建设方案</w:t>
            </w:r>
            <w:r>
              <w:rPr>
                <w:rFonts w:hint="eastAsia" w:cs="仿宋_GB2312" w:asciiTheme="minorEastAsia" w:hAnsiTheme="minorEastAsia" w:eastAsiaTheme="minorEastAsia"/>
                <w:color w:val="auto"/>
                <w:sz w:val="24"/>
              </w:rPr>
              <w:t>；</w:t>
            </w:r>
          </w:p>
          <w:p>
            <w:pPr>
              <w:widowControl/>
              <w:snapToGrid w:val="0"/>
              <w:spacing w:line="360" w:lineRule="exact"/>
              <w:ind w:firstLine="480" w:firstLineChars="200"/>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视供应商的信息化建设方案</w:t>
            </w:r>
            <w:r>
              <w:rPr>
                <w:rFonts w:hint="eastAsia" w:cs="仿宋_GB2312" w:asciiTheme="minorEastAsia" w:hAnsiTheme="minorEastAsia" w:eastAsiaTheme="minorEastAsia"/>
                <w:color w:val="auto"/>
                <w:sz w:val="24"/>
                <w:lang w:val="en-US" w:eastAsia="zh-CN"/>
              </w:rPr>
              <w:t>好坏</w:t>
            </w:r>
            <w:r>
              <w:rPr>
                <w:rFonts w:hint="eastAsia" w:cs="仿宋_GB2312" w:asciiTheme="minorEastAsia" w:hAnsiTheme="minorEastAsia" w:eastAsiaTheme="minorEastAsia"/>
                <w:color w:val="auto"/>
                <w:sz w:val="24"/>
              </w:rPr>
              <w:t>情况按好、较好、</w:t>
            </w:r>
            <w:r>
              <w:rPr>
                <w:rFonts w:hint="eastAsia" w:cs="仿宋_GB2312" w:asciiTheme="minorEastAsia" w:hAnsiTheme="minorEastAsia" w:eastAsiaTheme="minorEastAsia"/>
                <w:color w:val="auto"/>
                <w:sz w:val="24"/>
                <w:lang w:val="en-US" w:eastAsia="zh-CN"/>
              </w:rPr>
              <w:t>较不好</w:t>
            </w:r>
            <w:r>
              <w:rPr>
                <w:rFonts w:hint="eastAsia" w:cs="仿宋_GB2312" w:asciiTheme="minorEastAsia" w:hAnsiTheme="minorEastAsia" w:eastAsiaTheme="minorEastAsia"/>
                <w:color w:val="auto"/>
                <w:sz w:val="24"/>
              </w:rPr>
              <w:t>的分值进行打分。</w:t>
            </w:r>
          </w:p>
        </w:tc>
        <w:tc>
          <w:tcPr>
            <w:tcW w:w="1701" w:type="dxa"/>
            <w:tcBorders>
              <w:right w:val="single" w:color="auto" w:sz="12" w:space="0"/>
            </w:tcBorders>
            <w:vAlign w:val="center"/>
          </w:tcPr>
          <w:p>
            <w:pPr>
              <w:spacing w:line="360" w:lineRule="exact"/>
              <w:jc w:val="center"/>
              <w:rPr>
                <w:rFonts w:hint="eastAsia" w:cs="仿宋_GB2312" w:asciiTheme="minorEastAsia" w:hAnsiTheme="minorEastAsia" w:eastAsiaTheme="minorEastAsia"/>
                <w:color w:val="auto"/>
                <w:sz w:val="24"/>
              </w:rPr>
            </w:pPr>
            <w:r>
              <w:rPr>
                <w:rFonts w:cs="仿宋_GB2312" w:asciiTheme="minorEastAsia" w:hAnsiTheme="minorEastAsia" w:eastAsiaTheme="minorEastAsia"/>
                <w:color w:val="auto"/>
                <w:sz w:val="24"/>
              </w:rPr>
              <w:t>好</w:t>
            </w:r>
            <w:r>
              <w:rPr>
                <w:rFonts w:hint="eastAsia" w:cs="仿宋_GB2312" w:asciiTheme="minorEastAsia" w:hAnsiTheme="minorEastAsia" w:eastAsiaTheme="minorEastAsia"/>
                <w:color w:val="auto"/>
                <w:sz w:val="24"/>
              </w:rPr>
              <w:t>12</w:t>
            </w:r>
            <w:r>
              <w:rPr>
                <w:rFonts w:cs="仿宋_GB2312" w:asciiTheme="minorEastAsia" w:hAnsiTheme="minorEastAsia" w:eastAsiaTheme="minorEastAsia"/>
                <w:color w:val="auto"/>
                <w:sz w:val="24"/>
              </w:rPr>
              <w:t>分</w:t>
            </w:r>
          </w:p>
          <w:p>
            <w:pPr>
              <w:spacing w:line="360" w:lineRule="exact"/>
              <w:jc w:val="center"/>
              <w:rPr>
                <w:rFonts w:hint="eastAsia" w:cs="仿宋_GB2312" w:asciiTheme="minorEastAsia" w:hAnsiTheme="minorEastAsia" w:eastAsiaTheme="minorEastAsia"/>
                <w:color w:val="auto"/>
                <w:sz w:val="24"/>
              </w:rPr>
            </w:pPr>
            <w:r>
              <w:rPr>
                <w:rFonts w:cs="仿宋_GB2312" w:asciiTheme="minorEastAsia" w:hAnsiTheme="minorEastAsia" w:eastAsiaTheme="minorEastAsia"/>
                <w:color w:val="auto"/>
                <w:sz w:val="24"/>
              </w:rPr>
              <w:t>较好</w:t>
            </w:r>
            <w:r>
              <w:rPr>
                <w:rFonts w:hint="eastAsia" w:cs="仿宋_GB2312" w:asciiTheme="minorEastAsia" w:hAnsiTheme="minorEastAsia" w:eastAsiaTheme="minorEastAsia"/>
                <w:color w:val="auto"/>
                <w:sz w:val="24"/>
              </w:rPr>
              <w:t>9.6</w:t>
            </w:r>
            <w:r>
              <w:rPr>
                <w:rFonts w:cs="仿宋_GB2312" w:asciiTheme="minorEastAsia" w:hAnsiTheme="minorEastAsia" w:eastAsiaTheme="minorEastAsia"/>
                <w:color w:val="auto"/>
                <w:sz w:val="24"/>
              </w:rPr>
              <w:t>分</w:t>
            </w:r>
          </w:p>
          <w:p>
            <w:pPr>
              <w:pStyle w:val="392"/>
              <w:spacing w:before="0"/>
              <w:ind w:firstLine="0" w:firstLineChars="0"/>
              <w:jc w:val="center"/>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sz w:val="24"/>
                <w:lang w:val="en-US" w:eastAsia="zh-CN"/>
              </w:rPr>
              <w:t>较不好</w:t>
            </w:r>
            <w:r>
              <w:rPr>
                <w:rFonts w:hint="eastAsia" w:cs="仿宋_GB2312" w:asciiTheme="minorEastAsia" w:hAnsiTheme="minorEastAsia" w:eastAsiaTheme="minorEastAsia"/>
                <w:color w:val="auto"/>
                <w:szCs w:val="24"/>
              </w:rPr>
              <w:t>7.2</w:t>
            </w:r>
            <w:r>
              <w:rPr>
                <w:rFonts w:cs="仿宋_GB2312" w:asciiTheme="minorEastAsia" w:hAnsiTheme="minorEastAsia" w:eastAsiaTheme="minorEastAsia"/>
                <w:color w:val="auto"/>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tcBorders>
              <w:left w:val="single" w:color="auto" w:sz="12" w:space="0"/>
              <w:bottom w:val="single" w:color="auto" w:sz="12" w:space="0"/>
            </w:tcBorders>
            <w:vAlign w:val="center"/>
          </w:tcPr>
          <w:p>
            <w:pPr>
              <w:pStyle w:val="392"/>
              <w:spacing w:before="0"/>
              <w:ind w:firstLine="0" w:firstLineChars="0"/>
              <w:jc w:val="center"/>
              <w:rPr>
                <w:rFonts w:hint="eastAsia" w:cs="仿宋_GB2312" w:asciiTheme="minorEastAsia" w:hAnsiTheme="minorEastAsia" w:eastAsiaTheme="minorEastAsia"/>
                <w:color w:val="auto"/>
                <w:szCs w:val="24"/>
              </w:rPr>
            </w:pPr>
          </w:p>
        </w:tc>
        <w:tc>
          <w:tcPr>
            <w:tcW w:w="1274" w:type="dxa"/>
            <w:vMerge w:val="continue"/>
            <w:tcBorders>
              <w:bottom w:val="single" w:color="auto" w:sz="12" w:space="0"/>
            </w:tcBorders>
            <w:vAlign w:val="center"/>
          </w:tcPr>
          <w:p>
            <w:pPr>
              <w:pStyle w:val="392"/>
              <w:spacing w:before="0"/>
              <w:ind w:firstLine="0" w:firstLineChars="0"/>
              <w:jc w:val="center"/>
              <w:rPr>
                <w:rFonts w:hint="eastAsia" w:cs="仿宋_GB2312" w:asciiTheme="minorEastAsia" w:hAnsiTheme="minorEastAsia" w:eastAsiaTheme="minorEastAsia"/>
                <w:color w:val="auto"/>
                <w:szCs w:val="24"/>
              </w:rPr>
            </w:pPr>
          </w:p>
        </w:tc>
        <w:tc>
          <w:tcPr>
            <w:tcW w:w="5386" w:type="dxa"/>
            <w:tcBorders>
              <w:bottom w:val="single" w:color="auto" w:sz="12" w:space="0"/>
            </w:tcBorders>
            <w:vAlign w:val="center"/>
          </w:tcPr>
          <w:p>
            <w:pPr>
              <w:widowControl/>
              <w:snapToGrid w:val="0"/>
              <w:spacing w:line="360" w:lineRule="exact"/>
              <w:ind w:firstLine="480" w:firstLineChars="200"/>
              <w:jc w:val="left"/>
              <w:rPr>
                <w:rFonts w:hint="eastAsia" w:cs="仿宋_GB2312" w:asciiTheme="minorEastAsia" w:hAnsiTheme="minorEastAsia" w:eastAsiaTheme="minorEastAsia"/>
                <w:color w:val="auto"/>
                <w:sz w:val="24"/>
              </w:rPr>
            </w:pPr>
            <w:r>
              <w:rPr>
                <w:rFonts w:cs="仿宋_GB2312" w:asciiTheme="minorEastAsia" w:hAnsiTheme="minorEastAsia" w:eastAsiaTheme="minorEastAsia"/>
                <w:color w:val="auto"/>
                <w:sz w:val="24"/>
              </w:rPr>
              <w:t>安全保证措施及廉政保证措施</w:t>
            </w:r>
            <w:r>
              <w:rPr>
                <w:rFonts w:hint="eastAsia" w:cs="仿宋_GB2312" w:asciiTheme="minorEastAsia" w:hAnsiTheme="minorEastAsia" w:eastAsiaTheme="minorEastAsia"/>
                <w:color w:val="auto"/>
                <w:sz w:val="24"/>
              </w:rPr>
              <w:t>；</w:t>
            </w:r>
          </w:p>
          <w:p>
            <w:pPr>
              <w:widowControl/>
              <w:snapToGrid w:val="0"/>
              <w:ind w:firstLine="480" w:firstLineChars="200"/>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视供应商的安全保证措施及廉政保证措施</w:t>
            </w:r>
            <w:r>
              <w:rPr>
                <w:rFonts w:hint="eastAsia" w:cs="仿宋_GB2312" w:asciiTheme="minorEastAsia" w:hAnsiTheme="minorEastAsia" w:eastAsiaTheme="minorEastAsia"/>
                <w:color w:val="auto"/>
                <w:sz w:val="24"/>
                <w:lang w:val="en-US" w:eastAsia="zh-CN"/>
              </w:rPr>
              <w:t>好坏</w:t>
            </w:r>
            <w:r>
              <w:rPr>
                <w:rFonts w:hint="eastAsia" w:cs="仿宋_GB2312" w:asciiTheme="minorEastAsia" w:hAnsiTheme="minorEastAsia" w:eastAsiaTheme="minorEastAsia"/>
                <w:color w:val="auto"/>
                <w:sz w:val="24"/>
              </w:rPr>
              <w:t>情况按好、较好、</w:t>
            </w:r>
            <w:r>
              <w:rPr>
                <w:rFonts w:hint="eastAsia" w:cs="仿宋_GB2312" w:asciiTheme="minorEastAsia" w:hAnsiTheme="minorEastAsia" w:eastAsiaTheme="minorEastAsia"/>
                <w:color w:val="auto"/>
                <w:sz w:val="24"/>
                <w:lang w:val="en-US" w:eastAsia="zh-CN"/>
              </w:rPr>
              <w:t>较不好</w:t>
            </w:r>
            <w:r>
              <w:rPr>
                <w:rFonts w:hint="eastAsia" w:cs="仿宋_GB2312" w:asciiTheme="minorEastAsia" w:hAnsiTheme="minorEastAsia" w:eastAsiaTheme="minorEastAsia"/>
                <w:color w:val="auto"/>
                <w:sz w:val="24"/>
              </w:rPr>
              <w:t>的分值进行打分。</w:t>
            </w:r>
          </w:p>
        </w:tc>
        <w:tc>
          <w:tcPr>
            <w:tcW w:w="1701" w:type="dxa"/>
            <w:tcBorders>
              <w:bottom w:val="single" w:color="auto" w:sz="12" w:space="0"/>
              <w:right w:val="single" w:color="auto" w:sz="12" w:space="0"/>
            </w:tcBorders>
            <w:vAlign w:val="center"/>
          </w:tcPr>
          <w:p>
            <w:pPr>
              <w:spacing w:line="360" w:lineRule="exact"/>
              <w:jc w:val="center"/>
              <w:rPr>
                <w:rFonts w:hint="eastAsia" w:cs="仿宋_GB2312" w:asciiTheme="minorEastAsia" w:hAnsiTheme="minorEastAsia" w:eastAsiaTheme="minorEastAsia"/>
                <w:color w:val="auto"/>
                <w:sz w:val="24"/>
              </w:rPr>
            </w:pPr>
            <w:r>
              <w:rPr>
                <w:rFonts w:cs="仿宋_GB2312" w:asciiTheme="minorEastAsia" w:hAnsiTheme="minorEastAsia" w:eastAsiaTheme="minorEastAsia"/>
                <w:color w:val="auto"/>
                <w:sz w:val="24"/>
              </w:rPr>
              <w:t>好</w:t>
            </w:r>
            <w:r>
              <w:rPr>
                <w:rFonts w:hint="eastAsia" w:cs="仿宋_GB2312" w:asciiTheme="minorEastAsia" w:hAnsiTheme="minorEastAsia" w:eastAsiaTheme="minorEastAsia"/>
                <w:color w:val="auto"/>
                <w:sz w:val="24"/>
              </w:rPr>
              <w:t>12</w:t>
            </w:r>
            <w:r>
              <w:rPr>
                <w:rFonts w:cs="仿宋_GB2312" w:asciiTheme="minorEastAsia" w:hAnsiTheme="minorEastAsia" w:eastAsiaTheme="minorEastAsia"/>
                <w:color w:val="auto"/>
                <w:sz w:val="24"/>
              </w:rPr>
              <w:t>分</w:t>
            </w:r>
          </w:p>
          <w:p>
            <w:pPr>
              <w:spacing w:line="360" w:lineRule="exact"/>
              <w:jc w:val="center"/>
              <w:rPr>
                <w:rFonts w:hint="eastAsia" w:cs="仿宋_GB2312" w:asciiTheme="minorEastAsia" w:hAnsiTheme="minorEastAsia" w:eastAsiaTheme="minorEastAsia"/>
                <w:color w:val="auto"/>
                <w:sz w:val="24"/>
              </w:rPr>
            </w:pPr>
            <w:r>
              <w:rPr>
                <w:rFonts w:cs="仿宋_GB2312" w:asciiTheme="minorEastAsia" w:hAnsiTheme="minorEastAsia" w:eastAsiaTheme="minorEastAsia"/>
                <w:color w:val="auto"/>
                <w:sz w:val="24"/>
              </w:rPr>
              <w:t>较好</w:t>
            </w:r>
            <w:r>
              <w:rPr>
                <w:rFonts w:hint="eastAsia" w:cs="仿宋_GB2312" w:asciiTheme="minorEastAsia" w:hAnsiTheme="minorEastAsia" w:eastAsiaTheme="minorEastAsia"/>
                <w:color w:val="auto"/>
                <w:sz w:val="24"/>
              </w:rPr>
              <w:t>9.6</w:t>
            </w:r>
            <w:r>
              <w:rPr>
                <w:rFonts w:cs="仿宋_GB2312" w:asciiTheme="minorEastAsia" w:hAnsiTheme="minorEastAsia" w:eastAsiaTheme="minorEastAsia"/>
                <w:color w:val="auto"/>
                <w:sz w:val="24"/>
              </w:rPr>
              <w:t>分</w:t>
            </w:r>
          </w:p>
          <w:p>
            <w:pPr>
              <w:pStyle w:val="392"/>
              <w:spacing w:before="0"/>
              <w:ind w:firstLine="0" w:firstLineChars="0"/>
              <w:jc w:val="center"/>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sz w:val="24"/>
                <w:lang w:val="en-US" w:eastAsia="zh-CN"/>
              </w:rPr>
              <w:t>较不好</w:t>
            </w:r>
            <w:r>
              <w:rPr>
                <w:rFonts w:hint="eastAsia" w:cs="仿宋_GB2312" w:asciiTheme="minorEastAsia" w:hAnsiTheme="minorEastAsia" w:eastAsiaTheme="minorEastAsia"/>
                <w:color w:val="auto"/>
                <w:szCs w:val="24"/>
              </w:rPr>
              <w:t>7.2</w:t>
            </w:r>
            <w:r>
              <w:rPr>
                <w:rFonts w:cs="仿宋_GB2312" w:asciiTheme="minorEastAsia" w:hAnsiTheme="minorEastAsia" w:eastAsiaTheme="minorEastAsia"/>
                <w:color w:val="auto"/>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12" w:space="0"/>
              <w:left w:val="single" w:color="auto" w:sz="12" w:space="0"/>
              <w:bottom w:val="single" w:color="auto" w:sz="12" w:space="0"/>
            </w:tcBorders>
            <w:vAlign w:val="center"/>
          </w:tcPr>
          <w:p>
            <w:pPr>
              <w:pStyle w:val="392"/>
              <w:spacing w:before="0"/>
              <w:ind w:firstLine="0" w:firstLineChars="0"/>
              <w:jc w:val="center"/>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5</w:t>
            </w:r>
          </w:p>
        </w:tc>
        <w:tc>
          <w:tcPr>
            <w:tcW w:w="1274" w:type="dxa"/>
            <w:tcBorders>
              <w:top w:val="single" w:color="auto" w:sz="12" w:space="0"/>
              <w:bottom w:val="single" w:color="auto" w:sz="12" w:space="0"/>
            </w:tcBorders>
            <w:vAlign w:val="center"/>
          </w:tcPr>
          <w:p>
            <w:pPr>
              <w:pStyle w:val="392"/>
              <w:spacing w:before="0"/>
              <w:ind w:firstLine="0" w:firstLineChars="0"/>
              <w:jc w:val="center"/>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报价</w:t>
            </w:r>
          </w:p>
        </w:tc>
        <w:tc>
          <w:tcPr>
            <w:tcW w:w="5386" w:type="dxa"/>
            <w:tcBorders>
              <w:top w:val="single" w:color="auto" w:sz="12" w:space="0"/>
              <w:bottom w:val="single" w:color="auto" w:sz="12" w:space="0"/>
            </w:tcBorders>
            <w:vAlign w:val="center"/>
          </w:tcPr>
          <w:p>
            <w:pPr>
              <w:spacing w:line="360" w:lineRule="auto"/>
              <w:outlineLvl w:val="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有效最后报价的最低价作为评审基准价，其最低报价为满分；按［最后报价得分=（评审基准价/最后报价）*10］的计算公式计算。</w:t>
            </w:r>
          </w:p>
          <w:p>
            <w:pPr>
              <w:widowControl/>
              <w:shd w:val="clear" w:color="auto" w:fill="FFFFFF"/>
              <w:adjustRightInd/>
              <w:spacing w:after="225" w:line="315" w:lineRule="atLeast"/>
              <w:ind w:firstLine="42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评审过程中，不得去掉报价中的最高报价和最低报价。</w:t>
            </w:r>
          </w:p>
        </w:tc>
        <w:tc>
          <w:tcPr>
            <w:tcW w:w="1701" w:type="dxa"/>
            <w:tcBorders>
              <w:top w:val="single" w:color="auto" w:sz="12" w:space="0"/>
              <w:bottom w:val="single" w:color="auto" w:sz="12" w:space="0"/>
              <w:right w:val="single" w:color="auto" w:sz="12" w:space="0"/>
            </w:tcBorders>
            <w:vAlign w:val="center"/>
          </w:tcPr>
          <w:p>
            <w:pPr>
              <w:pStyle w:val="392"/>
              <w:spacing w:before="0"/>
              <w:ind w:firstLine="0" w:firstLineChars="0"/>
              <w:jc w:val="center"/>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10分</w:t>
            </w:r>
          </w:p>
        </w:tc>
      </w:tr>
    </w:tbl>
    <w:p>
      <w:pPr>
        <w:adjustRightInd/>
        <w:spacing w:line="360" w:lineRule="auto"/>
        <w:ind w:firstLine="482" w:firstLineChars="200"/>
        <w:rPr>
          <w:rFonts w:hint="eastAsia" w:cs="Arial" w:asciiTheme="minorEastAsia" w:hAnsiTheme="minorEastAsia" w:eastAsiaTheme="minorEastAsia"/>
          <w:b/>
          <w:color w:val="auto"/>
          <w:kern w:val="0"/>
          <w:sz w:val="24"/>
        </w:rPr>
      </w:pPr>
    </w:p>
    <w:p>
      <w:pPr>
        <w:pStyle w:val="392"/>
        <w:spacing w:before="0"/>
        <w:ind w:firstLine="643"/>
        <w:jc w:val="center"/>
        <w:rPr>
          <w:rFonts w:hint="eastAsia"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pPr>
        <w:adjustRightInd/>
        <w:spacing w:line="360" w:lineRule="auto"/>
        <w:rPr>
          <w:rFonts w:hint="eastAsia"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hint="eastAsia" w:cs="Arial" w:asciiTheme="minorEastAsia" w:hAnsiTheme="minorEastAsia" w:eastAsiaTheme="minorEastAsia"/>
          <w:color w:val="auto"/>
          <w:kern w:val="0"/>
          <w:sz w:val="24"/>
        </w:rPr>
      </w:pPr>
    </w:p>
    <w:p>
      <w:pPr>
        <w:snapToGrid w:val="0"/>
        <w:spacing w:line="360" w:lineRule="auto"/>
        <w:ind w:left="120" w:leftChars="57" w:firstLine="422" w:firstLineChars="150"/>
        <w:jc w:val="center"/>
        <w:rPr>
          <w:rFonts w:hint="eastAsia" w:cs="仿宋_GB2312" w:asciiTheme="minorEastAsia" w:hAnsiTheme="minorEastAsia" w:eastAsiaTheme="minorEastAsia"/>
          <w:b/>
          <w:color w:val="auto"/>
          <w:sz w:val="32"/>
        </w:rPr>
      </w:pPr>
      <w:r>
        <w:rPr>
          <w:rFonts w:hint="eastAsia" w:asciiTheme="minorEastAsia" w:hAnsiTheme="minorEastAsia" w:eastAsiaTheme="minorEastAsia"/>
          <w:b/>
          <w:color w:val="auto"/>
          <w:sz w:val="28"/>
          <w:szCs w:val="28"/>
        </w:rPr>
        <w:t xml:space="preserve">   </w:t>
      </w:r>
      <w:r>
        <w:rPr>
          <w:rFonts w:hint="eastAsia" w:cs="仿宋_GB2312" w:asciiTheme="minorEastAsia" w:hAnsiTheme="minorEastAsia" w:eastAsiaTheme="minorEastAsia"/>
          <w:b/>
          <w:color w:val="auto"/>
          <w:sz w:val="32"/>
        </w:rPr>
        <w:t>二、磋商小组的组成</w:t>
      </w:r>
    </w:p>
    <w:p>
      <w:pPr>
        <w:pStyle w:val="392"/>
        <w:spacing w:before="0"/>
        <w:ind w:firstLine="0" w:firstLineChars="0"/>
        <w:rPr>
          <w:rFonts w:hint="eastAsia"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pPr>
        <w:pStyle w:val="392"/>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pStyle w:val="392"/>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hint="eastAsia"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pPr>
        <w:pStyle w:val="392"/>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pPr>
        <w:pStyle w:val="392"/>
        <w:spacing w:before="0"/>
        <w:ind w:firstLine="0" w:firstLineChars="0"/>
        <w:rPr>
          <w:rFonts w:hint="eastAsia"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pPr>
        <w:pStyle w:val="392"/>
        <w:spacing w:before="0"/>
        <w:ind w:firstLine="0" w:firstLineChars="0"/>
        <w:rPr>
          <w:rFonts w:hint="eastAsia"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pPr>
        <w:pStyle w:val="392"/>
        <w:spacing w:before="0"/>
        <w:ind w:firstLine="0" w:firstLineChars="0"/>
        <w:rPr>
          <w:rFonts w:hint="eastAsia"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pPr>
        <w:pStyle w:val="392"/>
        <w:spacing w:before="0"/>
        <w:ind w:firstLine="480" w:firstLineChars="0"/>
        <w:rPr>
          <w:rFonts w:hint="eastAsia"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pPr>
        <w:pStyle w:val="392"/>
        <w:spacing w:before="0"/>
        <w:ind w:firstLine="480" w:firstLineChars="0"/>
        <w:rPr>
          <w:rFonts w:hint="eastAsia"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pPr>
        <w:snapToGrid w:val="0"/>
        <w:spacing w:line="360" w:lineRule="auto"/>
        <w:ind w:left="120" w:leftChars="57" w:firstLine="482" w:firstLineChars="150"/>
        <w:jc w:val="center"/>
        <w:rPr>
          <w:rFonts w:hint="eastAsia" w:cs="仿宋_GB2312" w:asciiTheme="minorEastAsia" w:hAnsiTheme="minorEastAsia" w:eastAsiaTheme="minorEastAsia"/>
          <w:b/>
          <w:color w:val="auto"/>
          <w:sz w:val="32"/>
        </w:rPr>
      </w:pPr>
    </w:p>
    <w:p>
      <w:pPr>
        <w:snapToGrid w:val="0"/>
        <w:spacing w:line="360" w:lineRule="auto"/>
        <w:ind w:left="120" w:leftChars="57" w:firstLine="482" w:firstLineChars="150"/>
        <w:jc w:val="center"/>
        <w:rPr>
          <w:rFonts w:hint="eastAsia"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pPr>
        <w:pStyle w:val="392"/>
        <w:spacing w:before="0"/>
        <w:ind w:firstLine="0" w:firstLineChars="0"/>
        <w:rPr>
          <w:rFonts w:hint="eastAsia"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pPr>
        <w:pStyle w:val="392"/>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pPr>
        <w:pStyle w:val="392"/>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pPr>
        <w:pStyle w:val="392"/>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pPr>
        <w:pStyle w:val="392"/>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pPr>
        <w:pStyle w:val="392"/>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pPr>
        <w:pStyle w:val="392"/>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pPr>
        <w:pStyle w:val="392"/>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pPr>
        <w:pStyle w:val="392"/>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1.8向采购人、采购代理机构或者有关部门报告评审中发现的违法行为；</w:t>
      </w:r>
    </w:p>
    <w:p>
      <w:pPr>
        <w:pStyle w:val="392"/>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pPr>
        <w:pStyle w:val="392"/>
        <w:spacing w:before="0"/>
        <w:ind w:firstLine="0" w:firstLineChars="0"/>
        <w:rPr>
          <w:rFonts w:hint="eastAsia"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pPr>
        <w:pStyle w:val="392"/>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pPr>
        <w:pStyle w:val="392"/>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pPr>
        <w:pStyle w:val="392"/>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pPr>
        <w:pStyle w:val="392"/>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pPr>
        <w:pStyle w:val="392"/>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pPr>
        <w:pStyle w:val="392"/>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pPr>
        <w:pStyle w:val="392"/>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pPr>
        <w:pStyle w:val="392"/>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pPr>
        <w:pStyle w:val="392"/>
        <w:spacing w:before="0"/>
        <w:ind w:firstLine="0" w:firstLineChars="0"/>
        <w:rPr>
          <w:rFonts w:hint="eastAsia" w:asciiTheme="minorEastAsia" w:hAnsiTheme="minorEastAsia" w:eastAsiaTheme="minorEastAsia"/>
          <w:b/>
          <w:color w:val="auto"/>
        </w:rPr>
      </w:pPr>
    </w:p>
    <w:p>
      <w:pPr>
        <w:pStyle w:val="392"/>
        <w:spacing w:before="0"/>
        <w:ind w:firstLine="0" w:firstLineChars="0"/>
        <w:jc w:val="center"/>
        <w:rPr>
          <w:rFonts w:hint="eastAsia"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pPr>
        <w:pStyle w:val="392"/>
        <w:spacing w:before="0"/>
        <w:ind w:firstLine="472" w:firstLineChars="196"/>
        <w:rPr>
          <w:rFonts w:hint="eastAsia"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pPr>
        <w:pStyle w:val="392"/>
        <w:spacing w:before="0"/>
        <w:ind w:firstLine="0" w:firstLineChars="0"/>
        <w:rPr>
          <w:rFonts w:hint="eastAsia" w:asciiTheme="minorEastAsia" w:hAnsiTheme="minorEastAsia" w:eastAsiaTheme="minorEastAsia"/>
          <w:b/>
          <w:color w:val="auto"/>
        </w:rPr>
      </w:pPr>
    </w:p>
    <w:p>
      <w:pPr>
        <w:pStyle w:val="392"/>
        <w:spacing w:before="0"/>
        <w:ind w:firstLine="0" w:firstLineChars="0"/>
        <w:jc w:val="center"/>
        <w:rPr>
          <w:rFonts w:hint="eastAsia"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pPr>
        <w:pStyle w:val="392"/>
        <w:spacing w:before="0"/>
        <w:ind w:firstLine="0" w:firstLineChars="0"/>
        <w:rPr>
          <w:rFonts w:hint="eastAsia"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pPr>
        <w:spacing w:line="360" w:lineRule="auto"/>
        <w:ind w:firstLine="48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w:t>
      </w:r>
      <w:r>
        <w:rPr>
          <w:rFonts w:hint="eastAsia" w:asciiTheme="minorEastAsia" w:hAnsiTheme="minorEastAsia" w:eastAsiaTheme="minorEastAsia"/>
          <w:color w:val="auto"/>
          <w:sz w:val="24"/>
          <w:lang w:val="en-US" w:eastAsia="zh-CN"/>
        </w:rPr>
        <w:t>为</w:t>
      </w:r>
      <w:r>
        <w:rPr>
          <w:rFonts w:hint="eastAsia" w:asciiTheme="minorEastAsia" w:hAnsiTheme="minorEastAsia" w:eastAsiaTheme="minorEastAsia"/>
          <w:color w:val="auto"/>
          <w:sz w:val="24"/>
        </w:rPr>
        <w:t>半小时，供应商已经明确表示澄清说明或补正完毕的除外。供应商的澄清、说明或者补正不得超出响应文件的范围或者改变响应文件的实质性内容。</w:t>
      </w:r>
    </w:p>
    <w:p>
      <w:pPr>
        <w:pStyle w:val="392"/>
        <w:spacing w:before="0"/>
        <w:ind w:firstLine="0" w:firstLineChars="0"/>
        <w:rPr>
          <w:rFonts w:hint="eastAsia"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pPr>
        <w:spacing w:line="360" w:lineRule="auto"/>
        <w:ind w:firstLine="48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2.1《最后报价一览表》内容与响应文件中响应内容不一致的，以《最后报价一览表》为准;</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2.3单价金额小数点或者百分比有明显错位的，以《最后报价一览表》的总价为准，并修改单价;</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pPr>
        <w:spacing w:line="360" w:lineRule="auto"/>
        <w:rPr>
          <w:rFonts w:hint="eastAsia"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pPr>
        <w:pStyle w:val="392"/>
        <w:spacing w:before="0"/>
        <w:ind w:firstLine="0" w:firstLineChars="0"/>
        <w:rPr>
          <w:rFonts w:hint="eastAsia"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pPr>
        <w:pStyle w:val="23"/>
        <w:spacing w:line="360" w:lineRule="auto"/>
        <w:ind w:firstLine="600" w:firstLineChars="250"/>
        <w:rPr>
          <w:rFonts w:hint="eastAsia"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pPr>
        <w:spacing w:line="360" w:lineRule="auto"/>
        <w:ind w:firstLine="480" w:firstLineChars="200"/>
        <w:rPr>
          <w:rFonts w:hint="eastAsia"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受本项目承包人或监理人委托已服务于本项目的第三方试验检测单位或其所属试验检测机构、为采购项目提供整体设计、规范编制或者项目管理、监理、检测等服务的供应商再参加该采购项目的其他采购活动的； </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val="en-US" w:eastAsia="zh-CN"/>
        </w:rPr>
        <w:t>4</w:t>
      </w:r>
      <w:r>
        <w:rPr>
          <w:rFonts w:hint="eastAsia" w:asciiTheme="minorEastAsia" w:hAnsiTheme="minorEastAsia" w:eastAsiaTheme="minorEastAsia"/>
          <w:color w:val="auto"/>
          <w:sz w:val="24"/>
        </w:rPr>
        <w:t>响应文件未按磋商文件的澄清、修改的内容编制，又不符合实质性要求的；</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响应文件组成漏项，内容不全或内容字迹模糊辨认不清的；</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响应文件中法人授权书所载内容与本项目内容有异的；</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响应文件未按照磋商文件要求签署、盖章的；</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val="en-US" w:eastAsia="zh-CN"/>
        </w:rPr>
        <w:t>8</w:t>
      </w:r>
      <w:r>
        <w:rPr>
          <w:rFonts w:hint="eastAsia" w:asciiTheme="minorEastAsia" w:hAnsiTheme="minorEastAsia" w:eastAsiaTheme="minorEastAsia"/>
          <w:color w:val="auto"/>
          <w:sz w:val="24"/>
        </w:rPr>
        <w:t>响应文件含有采购人不能接受的附加条件的；</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val="en-US" w:eastAsia="zh-CN"/>
        </w:rPr>
        <w:t>9</w:t>
      </w:r>
      <w:r>
        <w:rPr>
          <w:rFonts w:hint="eastAsia" w:asciiTheme="minorEastAsia" w:hAnsiTheme="minorEastAsia" w:eastAsiaTheme="minorEastAsia"/>
          <w:color w:val="auto"/>
          <w:sz w:val="24"/>
        </w:rPr>
        <w:t>响应文件中承诺的响应有效期少于磋商文件中载明的响应有效期的；</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0</w:t>
      </w:r>
      <w:r>
        <w:rPr>
          <w:rFonts w:hint="eastAsia" w:asciiTheme="minorEastAsia" w:hAnsiTheme="minorEastAsia" w:eastAsiaTheme="minorEastAsia"/>
          <w:color w:val="auto"/>
          <w:sz w:val="24"/>
        </w:rPr>
        <w:t>供应商所投内容不符合磋商文件中实质性要求的；</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1</w:t>
      </w:r>
      <w:r>
        <w:rPr>
          <w:rFonts w:hint="eastAsia" w:asciiTheme="minorEastAsia" w:hAnsiTheme="minorEastAsia" w:eastAsiaTheme="minorEastAsia"/>
          <w:color w:val="auto"/>
          <w:sz w:val="24"/>
        </w:rPr>
        <w:t>所提交的《最后报价一览表》中出现不是唯一的、有选择性的报价的;</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最后报价高于本项目采购预算或者最高限价的;</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3</w:t>
      </w:r>
      <w:r>
        <w:rPr>
          <w:rFonts w:hint="eastAsia" w:asciiTheme="minorEastAsia" w:hAnsiTheme="minorEastAsia" w:eastAsiaTheme="minorEastAsia"/>
          <w:color w:val="auto"/>
          <w:sz w:val="24"/>
        </w:rPr>
        <w:t>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4</w:t>
      </w:r>
      <w:r>
        <w:rPr>
          <w:rFonts w:hint="eastAsia" w:asciiTheme="minorEastAsia" w:hAnsiTheme="minorEastAsia" w:eastAsiaTheme="minorEastAsia"/>
          <w:color w:val="auto"/>
          <w:sz w:val="24"/>
        </w:rPr>
        <w:t>《最后报价一览表》填写不完整或字迹不能辨认或有漏项的；</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供应商对根据修正原则修正后的最后报价不确认的；</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供应商提供虚假材料响应的（包括但不限于以下情节）；</w:t>
      </w:r>
    </w:p>
    <w:p>
      <w:pPr>
        <w:pStyle w:val="104"/>
        <w:numPr>
          <w:ilvl w:val="0"/>
          <w:numId w:val="8"/>
        </w:numPr>
        <w:ind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pPr>
        <w:pStyle w:val="104"/>
        <w:numPr>
          <w:ilvl w:val="0"/>
          <w:numId w:val="8"/>
        </w:numPr>
        <w:ind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pPr>
        <w:pStyle w:val="104"/>
        <w:numPr>
          <w:ilvl w:val="0"/>
          <w:numId w:val="8"/>
        </w:numPr>
        <w:ind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pPr>
        <w:pStyle w:val="104"/>
        <w:numPr>
          <w:ilvl w:val="0"/>
          <w:numId w:val="8"/>
        </w:numPr>
        <w:ind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提供虚假的信用状况；</w:t>
      </w:r>
    </w:p>
    <w:p>
      <w:pPr>
        <w:pStyle w:val="104"/>
        <w:numPr>
          <w:ilvl w:val="0"/>
          <w:numId w:val="8"/>
        </w:numPr>
        <w:ind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其他弄虚作假的行为。</w:t>
      </w:r>
    </w:p>
    <w:p>
      <w:pPr>
        <w:spacing w:line="360" w:lineRule="auto"/>
        <w:ind w:firstLine="48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供应商有恶意串通、妨碍其他供应商的竞争行为、损害采购人或者其他供应商的合法权益情形的。</w:t>
      </w:r>
    </w:p>
    <w:p>
      <w:pPr>
        <w:spacing w:line="360" w:lineRule="auto"/>
        <w:ind w:firstLine="48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pPr>
        <w:pStyle w:val="104"/>
        <w:numPr>
          <w:ilvl w:val="0"/>
          <w:numId w:val="9"/>
        </w:numPr>
        <w:ind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供应商直接或者间接从采购人或者采购代理机构处获得其他供应商的相关情况并修改其响应文件；</w:t>
      </w:r>
    </w:p>
    <w:p>
      <w:pPr>
        <w:pStyle w:val="104"/>
        <w:numPr>
          <w:ilvl w:val="0"/>
          <w:numId w:val="9"/>
        </w:numPr>
        <w:ind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供应商按照采购人或者采购代理机构的授意撤换、修改投标文件或者响应文件；</w:t>
      </w:r>
    </w:p>
    <w:p>
      <w:pPr>
        <w:pStyle w:val="104"/>
        <w:numPr>
          <w:ilvl w:val="0"/>
          <w:numId w:val="9"/>
        </w:numPr>
        <w:ind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pPr>
        <w:pStyle w:val="104"/>
        <w:numPr>
          <w:ilvl w:val="0"/>
          <w:numId w:val="9"/>
        </w:numPr>
        <w:ind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pPr>
        <w:pStyle w:val="104"/>
        <w:numPr>
          <w:ilvl w:val="0"/>
          <w:numId w:val="9"/>
        </w:numPr>
        <w:ind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pPr>
        <w:pStyle w:val="104"/>
        <w:numPr>
          <w:ilvl w:val="0"/>
          <w:numId w:val="9"/>
        </w:numPr>
        <w:ind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pPr>
        <w:pStyle w:val="104"/>
        <w:numPr>
          <w:ilvl w:val="0"/>
          <w:numId w:val="9"/>
        </w:numPr>
        <w:ind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供应商与采购人或者采购代理机构之间、供应商相互之间，为谋求特定供应商中标、成交或者排斥其他供应商的其他串通行为。</w:t>
      </w:r>
    </w:p>
    <w:p>
      <w:pPr>
        <w:pStyle w:val="104"/>
        <w:numPr>
          <w:ilvl w:val="0"/>
          <w:numId w:val="9"/>
        </w:numPr>
        <w:ind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pPr>
        <w:pStyle w:val="104"/>
        <w:numPr>
          <w:ilvl w:val="0"/>
          <w:numId w:val="9"/>
        </w:numPr>
        <w:ind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pPr>
        <w:pStyle w:val="104"/>
        <w:numPr>
          <w:ilvl w:val="0"/>
          <w:numId w:val="9"/>
        </w:numPr>
        <w:ind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pPr>
        <w:pStyle w:val="104"/>
        <w:numPr>
          <w:ilvl w:val="0"/>
          <w:numId w:val="9"/>
        </w:numPr>
        <w:ind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pPr>
        <w:pStyle w:val="104"/>
        <w:numPr>
          <w:ilvl w:val="0"/>
          <w:numId w:val="9"/>
        </w:numPr>
        <w:ind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val="en-US" w:eastAsia="zh-CN"/>
        </w:rPr>
        <w:t>18</w:t>
      </w:r>
      <w:r>
        <w:rPr>
          <w:rFonts w:hint="eastAsia" w:asciiTheme="minorEastAsia" w:hAnsiTheme="minorEastAsia" w:eastAsiaTheme="minorEastAsia"/>
          <w:color w:val="auto"/>
          <w:sz w:val="24"/>
        </w:rPr>
        <w:t>供应商仅提交备份响应文件，没有在电子交易平台传输提交响应文件的，响应无效；</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val="en-US" w:eastAsia="zh-CN"/>
        </w:rPr>
        <w:t>19</w:t>
      </w:r>
      <w:r>
        <w:rPr>
          <w:rFonts w:hint="eastAsia" w:asciiTheme="minorEastAsia" w:hAnsiTheme="minorEastAsia" w:eastAsiaTheme="minorEastAsia"/>
          <w:color w:val="auto"/>
          <w:sz w:val="24"/>
        </w:rPr>
        <w:t>法律、法规、规章（适用本市的）及省级以上规范性文件（适用本市的）规定的其他无效情形。</w:t>
      </w:r>
    </w:p>
    <w:p>
      <w:pPr>
        <w:pStyle w:val="392"/>
        <w:spacing w:before="0"/>
        <w:ind w:firstLine="0" w:firstLineChars="0"/>
        <w:rPr>
          <w:rFonts w:hint="eastAsia"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pPr>
        <w:spacing w:line="360" w:lineRule="auto"/>
        <w:ind w:firstLine="407" w:firstLineChars="194"/>
        <w:rPr>
          <w:rFonts w:hint="eastAsia"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出现下列情形之一的，采购代理机构应当终止竞争性磋商采购活动，通过电子交易平台发布项目终止公告并说明原因，重新开展采购活动：</w:t>
      </w:r>
    </w:p>
    <w:p>
      <w:pPr>
        <w:spacing w:line="360" w:lineRule="auto"/>
        <w:ind w:firstLine="465" w:firstLineChars="194"/>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pPr>
        <w:spacing w:line="360" w:lineRule="auto"/>
        <w:ind w:firstLine="465" w:firstLineChars="194"/>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pPr>
        <w:spacing w:line="360" w:lineRule="auto"/>
        <w:ind w:firstLine="465" w:firstLineChars="194"/>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pPr>
        <w:pStyle w:val="392"/>
        <w:spacing w:before="0"/>
        <w:ind w:firstLine="0" w:firstLineChars="0"/>
        <w:rPr>
          <w:rFonts w:hint="eastAsia"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pPr>
        <w:spacing w:line="360" w:lineRule="auto"/>
        <w:ind w:firstLine="465" w:firstLineChars="194"/>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在采购活动中因重大变故，采购任务取消的，采购代理机构将终止采购活动，通过电子交易平台通知所有参加采购活动的供应商，并将项目实施情况和采购任务取消原因报送本级财政部门。</w:t>
      </w:r>
    </w:p>
    <w:p>
      <w:pPr>
        <w:numPr>
          <w:ilvl w:val="0"/>
          <w:numId w:val="10"/>
        </w:num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采购代理机构有权对磋商小组各成员的评分情况和评审意见进行合理性和合规性审查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pPr>
        <w:numPr>
          <w:ilvl w:val="0"/>
          <w:numId w:val="10"/>
        </w:num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供应商与本项目相关的业绩、拟投入本项目的人员的资格能力、供应商的信誉、由评审小组统一打分，技术文件打由为评审小徐各成员独立打分，哥评审因素得分为评审小泽各成员的打分平均值确定；</w:t>
      </w:r>
    </w:p>
    <w:p>
      <w:pPr>
        <w:pStyle w:val="392"/>
        <w:spacing w:before="0"/>
        <w:ind w:firstLine="0" w:firstLineChars="0"/>
        <w:rPr>
          <w:rFonts w:hint="eastAsia" w:cs="仿宋_GB2312" w:asciiTheme="minorEastAsia" w:hAnsiTheme="minorEastAsia" w:eastAsiaTheme="minorEastAsia"/>
          <w:b/>
          <w:color w:val="auto"/>
        </w:rPr>
      </w:pPr>
    </w:p>
    <w:p>
      <w:pPr>
        <w:snapToGrid w:val="0"/>
        <w:spacing w:line="360" w:lineRule="auto"/>
        <w:ind w:left="120" w:leftChars="57" w:firstLine="482" w:firstLineChars="150"/>
        <w:jc w:val="center"/>
        <w:rPr>
          <w:rFonts w:hint="eastAsia"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pPr>
        <w:widowControl/>
        <w:spacing w:line="360" w:lineRule="auto"/>
        <w:ind w:firstLine="482" w:firstLineChars="20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pPr>
        <w:widowControl/>
        <w:spacing w:line="360" w:lineRule="auto"/>
        <w:ind w:firstLine="482" w:firstLineChars="20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rPr>
        <w:t>采购代理机构对评审工作现场进行全过程录音录像，录音录像资料作为采购项目文件随其他文件一并存档。</w:t>
      </w:r>
    </w:p>
    <w:p>
      <w:pPr>
        <w:widowControl/>
        <w:adjustRightInd/>
        <w:jc w:val="left"/>
        <w:rPr>
          <w:rFonts w:hint="eastAsia"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pPr>
        <w:spacing w:line="360" w:lineRule="auto"/>
        <w:jc w:val="center"/>
        <w:outlineLvl w:val="0"/>
        <w:rPr>
          <w:rFonts w:hint="eastAsia"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第六部分</w:t>
      </w:r>
      <w:bookmarkEnd w:id="65"/>
      <w:r>
        <w:rPr>
          <w:rFonts w:hint="eastAsia" w:cs="仿宋_GB2312" w:asciiTheme="minorEastAsia" w:hAnsiTheme="minorEastAsia" w:eastAsiaTheme="minorEastAsia"/>
          <w:b/>
          <w:color w:val="auto"/>
          <w:sz w:val="36"/>
          <w:szCs w:val="36"/>
        </w:rPr>
        <w:t xml:space="preserve">  拟签订的合同文本</w:t>
      </w:r>
    </w:p>
    <w:p>
      <w:pPr>
        <w:pStyle w:val="44"/>
        <w:spacing w:after="120"/>
        <w:rPr>
          <w:color w:val="auto"/>
          <w:sz w:val="28"/>
          <w:szCs w:val="28"/>
        </w:rPr>
      </w:pPr>
      <w:bookmarkStart w:id="66" w:name="第五部分"/>
      <w:bookmarkStart w:id="67" w:name="_Toc86217003"/>
      <w:r>
        <w:rPr>
          <w:color w:val="auto"/>
        </w:rPr>
        <w:t>第一节  通用合同条款</w:t>
      </w:r>
    </w:p>
    <w:p>
      <w:pPr>
        <w:pStyle w:val="634"/>
        <w:rPr>
          <w:b/>
          <w:color w:val="auto"/>
        </w:rPr>
      </w:pPr>
      <w:r>
        <w:rPr>
          <w:rFonts w:hint="eastAsia"/>
          <w:b/>
          <w:color w:val="auto"/>
        </w:rPr>
        <w:t>1</w:t>
      </w:r>
      <w:r>
        <w:rPr>
          <w:rFonts w:hint="eastAsia" w:ascii="黑体" w:hAnsi="黑体"/>
          <w:b/>
          <w:color w:val="auto"/>
        </w:rPr>
        <w:t>．</w:t>
      </w:r>
      <w:r>
        <w:rPr>
          <w:rFonts w:hint="eastAsia" w:ascii="黑体" w:hAnsi="黑体"/>
          <w:color w:val="auto"/>
        </w:rPr>
        <w:t>定义与解释</w:t>
      </w:r>
    </w:p>
    <w:p>
      <w:pPr>
        <w:pStyle w:val="630"/>
        <w:ind w:firstLine="422"/>
        <w:rPr>
          <w:color w:val="auto"/>
        </w:rPr>
      </w:pPr>
      <w:r>
        <w:rPr>
          <w:rFonts w:hint="eastAsia"/>
          <w:color w:val="auto"/>
        </w:rPr>
        <w:t>1.1</w:t>
      </w:r>
      <w:r>
        <w:rPr>
          <w:color w:val="auto"/>
        </w:rPr>
        <w:t xml:space="preserve">  </w:t>
      </w:r>
      <w:r>
        <w:rPr>
          <w:rFonts w:hint="eastAsia" w:ascii="黑体" w:hAnsi="黑体"/>
          <w:color w:val="auto"/>
        </w:rPr>
        <w:t>定义</w:t>
      </w:r>
    </w:p>
    <w:p>
      <w:pPr>
        <w:snapToGrid w:val="0"/>
        <w:ind w:firstLine="420" w:firstLineChars="200"/>
        <w:rPr>
          <w:color w:val="auto"/>
          <w:szCs w:val="21"/>
        </w:rPr>
      </w:pPr>
      <w:r>
        <w:rPr>
          <w:color w:val="auto"/>
          <w:szCs w:val="21"/>
        </w:rPr>
        <w:t>本文用词定义如下，但根据上下文另有其意义的除外。</w:t>
      </w:r>
    </w:p>
    <w:p>
      <w:pPr>
        <w:snapToGrid w:val="0"/>
        <w:ind w:firstLine="420" w:firstLineChars="200"/>
        <w:rPr>
          <w:color w:val="auto"/>
          <w:szCs w:val="21"/>
        </w:rPr>
      </w:pPr>
      <w:r>
        <w:rPr>
          <w:color w:val="auto"/>
          <w:szCs w:val="21"/>
        </w:rPr>
        <w:t xml:space="preserve">1.1.1  </w:t>
      </w:r>
      <w:r>
        <w:rPr>
          <w:b/>
          <w:color w:val="auto"/>
          <w:szCs w:val="21"/>
        </w:rPr>
        <w:t xml:space="preserve">项目  </w:t>
      </w:r>
      <w:r>
        <w:rPr>
          <w:color w:val="auto"/>
          <w:szCs w:val="21"/>
        </w:rPr>
        <w:t>发包人委托试验检测单位提供试验检测服务的对象，具体情况在专用合同条款中指明。</w:t>
      </w:r>
    </w:p>
    <w:p>
      <w:pPr>
        <w:snapToGrid w:val="0"/>
        <w:ind w:firstLine="420" w:firstLineChars="200"/>
        <w:rPr>
          <w:color w:val="auto"/>
          <w:szCs w:val="21"/>
        </w:rPr>
      </w:pPr>
      <w:r>
        <w:rPr>
          <w:color w:val="auto"/>
          <w:szCs w:val="21"/>
        </w:rPr>
        <w:t>1.1.2</w:t>
      </w:r>
      <w:r>
        <w:rPr>
          <w:b/>
          <w:color w:val="auto"/>
          <w:szCs w:val="21"/>
        </w:rPr>
        <w:t xml:space="preserve">工程  </w:t>
      </w:r>
      <w:r>
        <w:rPr>
          <w:color w:val="auto"/>
          <w:szCs w:val="21"/>
        </w:rPr>
        <w:t>为完成项目所实施的一项或若干项永久或临时工程(包括向发包人提供的物资和设备)，具体情况在专用合同条款中指明。</w:t>
      </w:r>
    </w:p>
    <w:p>
      <w:pPr>
        <w:snapToGrid w:val="0"/>
        <w:ind w:firstLine="420" w:firstLineChars="200"/>
        <w:rPr>
          <w:color w:val="auto"/>
          <w:szCs w:val="21"/>
        </w:rPr>
      </w:pPr>
      <w:r>
        <w:rPr>
          <w:color w:val="auto"/>
          <w:szCs w:val="21"/>
        </w:rPr>
        <w:t>1.1.3</w:t>
      </w:r>
      <w:r>
        <w:rPr>
          <w:b/>
          <w:color w:val="auto"/>
          <w:szCs w:val="21"/>
        </w:rPr>
        <w:t xml:space="preserve">服务  </w:t>
      </w:r>
      <w:r>
        <w:rPr>
          <w:color w:val="auto"/>
          <w:szCs w:val="21"/>
        </w:rPr>
        <w:t>检测人根据试验检测合同所承担的工作，包括正常的服务、附加的服务，亦称试验检测服务。</w:t>
      </w:r>
    </w:p>
    <w:p>
      <w:pPr>
        <w:snapToGrid w:val="0"/>
        <w:ind w:firstLine="420" w:firstLineChars="200"/>
        <w:rPr>
          <w:color w:val="auto"/>
          <w:szCs w:val="21"/>
        </w:rPr>
      </w:pPr>
      <w:r>
        <w:rPr>
          <w:color w:val="auto"/>
          <w:szCs w:val="21"/>
        </w:rPr>
        <w:t>1.1.4</w:t>
      </w:r>
      <w:r>
        <w:rPr>
          <w:b/>
          <w:color w:val="auto"/>
          <w:szCs w:val="21"/>
        </w:rPr>
        <w:t>发包人</w:t>
      </w:r>
      <w:r>
        <w:rPr>
          <w:rFonts w:hint="eastAsia"/>
          <w:b/>
          <w:color w:val="auto"/>
          <w:szCs w:val="21"/>
        </w:rPr>
        <w:t>（采购人）</w:t>
      </w:r>
      <w:r>
        <w:rPr>
          <w:b/>
          <w:color w:val="auto"/>
          <w:szCs w:val="21"/>
        </w:rPr>
        <w:t xml:space="preserve">  </w:t>
      </w:r>
      <w:r>
        <w:rPr>
          <w:color w:val="auto"/>
          <w:szCs w:val="21"/>
        </w:rPr>
        <w:t>委托检测人提供试验检测服务的建设项目法人或其指定的负责管理建设项目的代表机构，具体情况在专用合同条款中指明。</w:t>
      </w:r>
    </w:p>
    <w:p>
      <w:pPr>
        <w:snapToGrid w:val="0"/>
        <w:ind w:firstLine="420" w:firstLineChars="200"/>
        <w:rPr>
          <w:color w:val="auto"/>
          <w:szCs w:val="21"/>
        </w:rPr>
      </w:pPr>
      <w:r>
        <w:rPr>
          <w:color w:val="auto"/>
          <w:szCs w:val="21"/>
        </w:rPr>
        <w:t>1.1.5</w:t>
      </w:r>
      <w:r>
        <w:rPr>
          <w:b/>
          <w:bCs/>
          <w:color w:val="auto"/>
          <w:szCs w:val="21"/>
        </w:rPr>
        <w:t xml:space="preserve">承包人  </w:t>
      </w:r>
      <w:r>
        <w:rPr>
          <w:color w:val="auto"/>
          <w:szCs w:val="21"/>
        </w:rPr>
        <w:t>与发包人签订施工合同协议承担工程施工任务的当事人（单位），以及取得该当事人（单位）资格的合法继承人（单位）。</w:t>
      </w:r>
    </w:p>
    <w:p>
      <w:pPr>
        <w:snapToGrid w:val="0"/>
        <w:ind w:firstLine="420" w:firstLineChars="200"/>
        <w:rPr>
          <w:color w:val="auto"/>
          <w:szCs w:val="21"/>
        </w:rPr>
      </w:pPr>
      <w:r>
        <w:rPr>
          <w:color w:val="auto"/>
          <w:szCs w:val="21"/>
        </w:rPr>
        <w:t>1.1.6</w:t>
      </w:r>
      <w:r>
        <w:rPr>
          <w:b/>
          <w:color w:val="auto"/>
          <w:szCs w:val="21"/>
        </w:rPr>
        <w:t xml:space="preserve">检测人  </w:t>
      </w:r>
      <w:r>
        <w:rPr>
          <w:color w:val="auto"/>
          <w:szCs w:val="21"/>
        </w:rPr>
        <w:t>与发包人签订试验检测合同，承担工程试验检测任务的当事人（单位），以及取得该当事人（单位）资格的合法继承人（单位）。根据上下文的内容，亦指检测人根据试验检测合同派驻项目现场履行检测服务的机构。</w:t>
      </w:r>
    </w:p>
    <w:p>
      <w:pPr>
        <w:snapToGrid w:val="0"/>
        <w:ind w:firstLine="420" w:firstLineChars="200"/>
        <w:rPr>
          <w:color w:val="auto"/>
          <w:szCs w:val="21"/>
        </w:rPr>
      </w:pPr>
      <w:r>
        <w:rPr>
          <w:color w:val="auto"/>
          <w:szCs w:val="21"/>
        </w:rPr>
        <w:t>1.1.7</w:t>
      </w:r>
      <w:r>
        <w:rPr>
          <w:b/>
          <w:color w:val="auto"/>
          <w:szCs w:val="21"/>
        </w:rPr>
        <w:t xml:space="preserve">试验检测合同  </w:t>
      </w:r>
      <w:r>
        <w:rPr>
          <w:color w:val="auto"/>
          <w:szCs w:val="21"/>
        </w:rPr>
        <w:t>指由合同协议书及附件、</w:t>
      </w:r>
      <w:r>
        <w:rPr>
          <w:rFonts w:hint="eastAsia"/>
          <w:color w:val="auto"/>
          <w:szCs w:val="21"/>
        </w:rPr>
        <w:t>成交</w:t>
      </w:r>
      <w:r>
        <w:rPr>
          <w:color w:val="auto"/>
          <w:szCs w:val="21"/>
        </w:rPr>
        <w:t>通知书、</w:t>
      </w:r>
      <w:r>
        <w:rPr>
          <w:rFonts w:hint="eastAsia"/>
          <w:color w:val="auto"/>
          <w:szCs w:val="21"/>
        </w:rPr>
        <w:t>响应</w:t>
      </w:r>
      <w:r>
        <w:rPr>
          <w:color w:val="auto"/>
          <w:szCs w:val="21"/>
        </w:rPr>
        <w:t>文件、专用合同条款、通用合同条款、技术规范和要求、双方签认的澄清文件等组成的受法律保护并确定当事双方权利、义务关系的协议。</w:t>
      </w:r>
    </w:p>
    <w:p>
      <w:pPr>
        <w:snapToGrid w:val="0"/>
        <w:ind w:firstLine="420" w:firstLineChars="200"/>
        <w:rPr>
          <w:color w:val="auto"/>
          <w:szCs w:val="21"/>
        </w:rPr>
      </w:pPr>
      <w:r>
        <w:rPr>
          <w:color w:val="auto"/>
          <w:szCs w:val="21"/>
        </w:rPr>
        <w:t>1.1.8</w:t>
      </w:r>
      <w:r>
        <w:rPr>
          <w:b/>
          <w:color w:val="auto"/>
          <w:szCs w:val="21"/>
        </w:rPr>
        <w:t xml:space="preserve">书面形式  </w:t>
      </w:r>
      <w:r>
        <w:rPr>
          <w:color w:val="auto"/>
          <w:szCs w:val="21"/>
        </w:rPr>
        <w:t>指合同书、信件和数据电文（包括电报、电传、传真、电子数据交换和电子邮件）等可以有形地表现所载内容的形式。</w:t>
      </w:r>
    </w:p>
    <w:p>
      <w:pPr>
        <w:snapToGrid w:val="0"/>
        <w:ind w:firstLine="420" w:firstLineChars="200"/>
        <w:rPr>
          <w:color w:val="auto"/>
          <w:szCs w:val="21"/>
        </w:rPr>
      </w:pPr>
      <w:r>
        <w:rPr>
          <w:color w:val="auto"/>
          <w:szCs w:val="21"/>
        </w:rPr>
        <w:t>1.1.9</w:t>
      </w:r>
      <w:r>
        <w:rPr>
          <w:b/>
          <w:color w:val="auto"/>
          <w:szCs w:val="21"/>
        </w:rPr>
        <w:t xml:space="preserve">日  </w:t>
      </w:r>
      <w:r>
        <w:rPr>
          <w:color w:val="auto"/>
          <w:szCs w:val="21"/>
        </w:rPr>
        <w:t>即日历日。</w:t>
      </w:r>
    </w:p>
    <w:p>
      <w:pPr>
        <w:snapToGrid w:val="0"/>
        <w:ind w:firstLine="420" w:firstLineChars="200"/>
        <w:rPr>
          <w:color w:val="auto"/>
          <w:szCs w:val="21"/>
        </w:rPr>
      </w:pPr>
      <w:r>
        <w:rPr>
          <w:color w:val="auto"/>
          <w:szCs w:val="21"/>
        </w:rPr>
        <w:t>1.1.10</w:t>
      </w:r>
      <w:r>
        <w:rPr>
          <w:b/>
          <w:color w:val="auto"/>
          <w:szCs w:val="21"/>
        </w:rPr>
        <w:t xml:space="preserve">月  </w:t>
      </w:r>
      <w:r>
        <w:rPr>
          <w:color w:val="auto"/>
          <w:szCs w:val="21"/>
        </w:rPr>
        <w:t>根据公历从某一个月份中的任何一日的第二日开始至下一个月份相应日期截止的时间段。</w:t>
      </w:r>
    </w:p>
    <w:p>
      <w:pPr>
        <w:snapToGrid w:val="0"/>
        <w:ind w:firstLine="420" w:firstLineChars="200"/>
        <w:rPr>
          <w:color w:val="auto"/>
          <w:szCs w:val="21"/>
        </w:rPr>
      </w:pPr>
      <w:r>
        <w:rPr>
          <w:color w:val="auto"/>
          <w:szCs w:val="21"/>
        </w:rPr>
        <w:t>1.1.11</w:t>
      </w:r>
      <w:r>
        <w:rPr>
          <w:b/>
          <w:color w:val="auto"/>
          <w:szCs w:val="21"/>
        </w:rPr>
        <w:t xml:space="preserve">正常试验检测服务  </w:t>
      </w:r>
      <w:r>
        <w:rPr>
          <w:color w:val="auto"/>
          <w:szCs w:val="21"/>
        </w:rPr>
        <w:t>指在合同约定的期限内的工程范围和工作范围内的试验检测工作。</w:t>
      </w:r>
    </w:p>
    <w:p>
      <w:pPr>
        <w:snapToGrid w:val="0"/>
        <w:ind w:firstLine="420" w:firstLineChars="200"/>
        <w:rPr>
          <w:color w:val="auto"/>
          <w:szCs w:val="21"/>
        </w:rPr>
      </w:pPr>
      <w:r>
        <w:rPr>
          <w:color w:val="auto"/>
          <w:szCs w:val="21"/>
        </w:rPr>
        <w:t>1.1.12</w:t>
      </w:r>
      <w:r>
        <w:rPr>
          <w:b/>
          <w:color w:val="auto"/>
          <w:szCs w:val="21"/>
        </w:rPr>
        <w:t xml:space="preserve">附加试验检测服务  </w:t>
      </w:r>
      <w:r>
        <w:rPr>
          <w:color w:val="auto"/>
          <w:szCs w:val="21"/>
        </w:rPr>
        <w:t>指除正常试验检测服务范围以外的试验检测工作。</w:t>
      </w:r>
    </w:p>
    <w:p>
      <w:pPr>
        <w:pStyle w:val="630"/>
        <w:ind w:firstLine="422"/>
        <w:rPr>
          <w:color w:val="auto"/>
        </w:rPr>
      </w:pPr>
      <w:r>
        <w:rPr>
          <w:rFonts w:hint="eastAsia"/>
          <w:color w:val="auto"/>
        </w:rPr>
        <w:t>1.2</w:t>
      </w:r>
      <w:r>
        <w:rPr>
          <w:color w:val="auto"/>
        </w:rPr>
        <w:t xml:space="preserve">  </w:t>
      </w:r>
      <w:r>
        <w:rPr>
          <w:rFonts w:hint="eastAsia" w:ascii="黑体" w:hAnsi="黑体"/>
          <w:color w:val="auto"/>
        </w:rPr>
        <w:t>解释</w:t>
      </w:r>
    </w:p>
    <w:p>
      <w:pPr>
        <w:snapToGrid w:val="0"/>
        <w:ind w:firstLine="420" w:firstLineChars="200"/>
        <w:rPr>
          <w:color w:val="auto"/>
          <w:szCs w:val="21"/>
        </w:rPr>
      </w:pPr>
      <w:r>
        <w:rPr>
          <w:color w:val="auto"/>
          <w:szCs w:val="21"/>
        </w:rPr>
        <w:t>1.2.1  试验检测合同中条款的标题只是为了方便查阅，不应作为试验检测合同本身的内容予以理解，也不应将其用于对检测合同进行解释。</w:t>
      </w:r>
    </w:p>
    <w:p>
      <w:pPr>
        <w:snapToGrid w:val="0"/>
        <w:ind w:firstLine="420" w:firstLineChars="200"/>
        <w:rPr>
          <w:color w:val="auto"/>
          <w:szCs w:val="21"/>
        </w:rPr>
      </w:pPr>
      <w:r>
        <w:rPr>
          <w:color w:val="auto"/>
          <w:szCs w:val="21"/>
        </w:rPr>
        <w:t>1.2.2  为了简练文字，试验检测合同中有些词句或用语可能会有多种含义，阅读时应视上下文的实际需要而定义。</w:t>
      </w:r>
    </w:p>
    <w:p>
      <w:pPr>
        <w:snapToGrid w:val="0"/>
        <w:ind w:firstLine="420" w:firstLineChars="200"/>
        <w:rPr>
          <w:color w:val="auto"/>
          <w:szCs w:val="21"/>
        </w:rPr>
      </w:pPr>
      <w:r>
        <w:rPr>
          <w:color w:val="auto"/>
          <w:szCs w:val="21"/>
        </w:rPr>
        <w:t>1.2.3  组成试验检测合同的各个文件应该认为是一个整体，彼此相互解释，相互补充，如出现相互矛盾的情况，以下述文件次序在先者为准：</w:t>
      </w:r>
    </w:p>
    <w:p>
      <w:pPr>
        <w:snapToGrid w:val="0"/>
        <w:ind w:firstLine="420" w:firstLineChars="200"/>
        <w:rPr>
          <w:color w:val="auto"/>
          <w:szCs w:val="21"/>
        </w:rPr>
      </w:pPr>
      <w:r>
        <w:rPr>
          <w:color w:val="auto"/>
          <w:szCs w:val="21"/>
        </w:rPr>
        <w:t>1.2.3.1  合同协议书及附件。</w:t>
      </w:r>
    </w:p>
    <w:p>
      <w:pPr>
        <w:snapToGrid w:val="0"/>
        <w:ind w:firstLine="420" w:firstLineChars="200"/>
        <w:rPr>
          <w:color w:val="auto"/>
          <w:szCs w:val="21"/>
        </w:rPr>
      </w:pPr>
      <w:r>
        <w:rPr>
          <w:color w:val="auto"/>
          <w:szCs w:val="21"/>
        </w:rPr>
        <w:t xml:space="preserve">1.2.3.2  </w:t>
      </w:r>
      <w:r>
        <w:rPr>
          <w:rFonts w:hint="eastAsia"/>
          <w:color w:val="auto"/>
          <w:szCs w:val="21"/>
        </w:rPr>
        <w:t>成交</w:t>
      </w:r>
      <w:r>
        <w:rPr>
          <w:color w:val="auto"/>
          <w:szCs w:val="21"/>
        </w:rPr>
        <w:t>通知书。</w:t>
      </w:r>
    </w:p>
    <w:p>
      <w:pPr>
        <w:snapToGrid w:val="0"/>
        <w:ind w:firstLine="420" w:firstLineChars="200"/>
        <w:rPr>
          <w:color w:val="auto"/>
          <w:szCs w:val="21"/>
        </w:rPr>
      </w:pPr>
      <w:r>
        <w:rPr>
          <w:color w:val="auto"/>
          <w:szCs w:val="21"/>
        </w:rPr>
        <w:t xml:space="preserve">1.2.3.3  </w:t>
      </w:r>
      <w:r>
        <w:rPr>
          <w:rFonts w:hint="eastAsia"/>
          <w:color w:val="auto"/>
          <w:szCs w:val="21"/>
        </w:rPr>
        <w:t>响应</w:t>
      </w:r>
      <w:r>
        <w:rPr>
          <w:color w:val="auto"/>
          <w:szCs w:val="21"/>
        </w:rPr>
        <w:t>函。</w:t>
      </w:r>
    </w:p>
    <w:p>
      <w:pPr>
        <w:snapToGrid w:val="0"/>
        <w:ind w:firstLine="420" w:firstLineChars="200"/>
        <w:rPr>
          <w:color w:val="auto"/>
          <w:szCs w:val="21"/>
        </w:rPr>
      </w:pPr>
      <w:r>
        <w:rPr>
          <w:color w:val="auto"/>
          <w:szCs w:val="21"/>
        </w:rPr>
        <w:t>1.2.3.4  专用合同条款。</w:t>
      </w:r>
    </w:p>
    <w:p>
      <w:pPr>
        <w:snapToGrid w:val="0"/>
        <w:ind w:firstLine="420" w:firstLineChars="200"/>
        <w:rPr>
          <w:color w:val="auto"/>
          <w:szCs w:val="21"/>
        </w:rPr>
      </w:pPr>
      <w:r>
        <w:rPr>
          <w:color w:val="auto"/>
          <w:szCs w:val="21"/>
        </w:rPr>
        <w:t>1.2.3.5  通用合同条款。</w:t>
      </w:r>
    </w:p>
    <w:p>
      <w:pPr>
        <w:snapToGrid w:val="0"/>
        <w:ind w:firstLine="420" w:firstLineChars="200"/>
        <w:rPr>
          <w:color w:val="auto"/>
          <w:szCs w:val="21"/>
        </w:rPr>
      </w:pPr>
      <w:r>
        <w:rPr>
          <w:color w:val="auto"/>
          <w:szCs w:val="21"/>
        </w:rPr>
        <w:t>1.2.3.6  试验检测技术规范和要求。</w:t>
      </w:r>
    </w:p>
    <w:p>
      <w:pPr>
        <w:snapToGrid w:val="0"/>
        <w:ind w:firstLine="420" w:firstLineChars="200"/>
        <w:rPr>
          <w:color w:val="auto"/>
          <w:szCs w:val="21"/>
        </w:rPr>
      </w:pPr>
      <w:r>
        <w:rPr>
          <w:color w:val="auto"/>
          <w:szCs w:val="21"/>
        </w:rPr>
        <w:t>1.2.3.7  在专用合同条款中约定的构成本合同组成部分的其他文件。</w:t>
      </w:r>
    </w:p>
    <w:p>
      <w:pPr>
        <w:snapToGrid w:val="0"/>
        <w:ind w:firstLine="420" w:firstLineChars="200"/>
        <w:rPr>
          <w:color w:val="auto"/>
          <w:szCs w:val="21"/>
        </w:rPr>
      </w:pPr>
      <w:r>
        <w:rPr>
          <w:color w:val="auto"/>
          <w:szCs w:val="21"/>
        </w:rPr>
        <w:t>对于同一类合同文件，以其最新版本或最新颁发者为准。</w:t>
      </w:r>
    </w:p>
    <w:p>
      <w:pPr>
        <w:pStyle w:val="634"/>
        <w:rPr>
          <w:b/>
          <w:color w:val="auto"/>
        </w:rPr>
      </w:pPr>
      <w:r>
        <w:rPr>
          <w:rFonts w:hint="eastAsia"/>
          <w:b/>
          <w:color w:val="auto"/>
        </w:rPr>
        <w:t>2</w:t>
      </w:r>
      <w:r>
        <w:rPr>
          <w:rFonts w:hint="eastAsia" w:ascii="黑体" w:hAnsi="黑体"/>
          <w:b/>
          <w:color w:val="auto"/>
        </w:rPr>
        <w:t>．</w:t>
      </w:r>
      <w:r>
        <w:rPr>
          <w:rFonts w:hint="eastAsia" w:ascii="黑体" w:hAnsi="黑体"/>
          <w:color w:val="auto"/>
        </w:rPr>
        <w:t>检测人的义务</w:t>
      </w:r>
    </w:p>
    <w:p>
      <w:pPr>
        <w:pStyle w:val="630"/>
        <w:ind w:firstLine="422"/>
        <w:rPr>
          <w:color w:val="auto"/>
        </w:rPr>
      </w:pPr>
      <w:r>
        <w:rPr>
          <w:rFonts w:hint="eastAsia"/>
          <w:color w:val="auto"/>
        </w:rPr>
        <w:t xml:space="preserve">2.1 </w:t>
      </w:r>
      <w:r>
        <w:rPr>
          <w:color w:val="auto"/>
        </w:rPr>
        <w:t xml:space="preserve"> </w:t>
      </w:r>
      <w:r>
        <w:rPr>
          <w:rFonts w:hint="eastAsia" w:ascii="黑体" w:hAnsi="黑体"/>
          <w:color w:val="auto"/>
        </w:rPr>
        <w:t>试验检测服务的形式、范围与内容</w:t>
      </w:r>
    </w:p>
    <w:p>
      <w:pPr>
        <w:snapToGrid w:val="0"/>
        <w:ind w:firstLine="420" w:firstLineChars="200"/>
        <w:rPr>
          <w:color w:val="auto"/>
          <w:szCs w:val="21"/>
        </w:rPr>
      </w:pPr>
      <w:r>
        <w:rPr>
          <w:color w:val="auto"/>
          <w:szCs w:val="21"/>
        </w:rPr>
        <w:t>2.1.1  服务形式</w:t>
      </w:r>
    </w:p>
    <w:p>
      <w:pPr>
        <w:snapToGrid w:val="0"/>
        <w:ind w:firstLine="420" w:firstLineChars="200"/>
        <w:rPr>
          <w:color w:val="auto"/>
          <w:szCs w:val="21"/>
        </w:rPr>
      </w:pPr>
      <w:r>
        <w:rPr>
          <w:color w:val="auto"/>
          <w:szCs w:val="21"/>
        </w:rPr>
        <w:t>检测人应根据工程规模、难易程度、合同工期安排、现场条件等因素设置试验检测的组织机构并满足合同要求。发包人对检测人的服务形式具体要求在专用合同条款中约定。</w:t>
      </w:r>
    </w:p>
    <w:p>
      <w:pPr>
        <w:snapToGrid w:val="0"/>
        <w:ind w:firstLine="420" w:firstLineChars="200"/>
        <w:rPr>
          <w:color w:val="auto"/>
          <w:szCs w:val="21"/>
        </w:rPr>
      </w:pPr>
      <w:r>
        <w:rPr>
          <w:color w:val="auto"/>
          <w:szCs w:val="21"/>
        </w:rPr>
        <w:t>2.1.2  服务范围</w:t>
      </w:r>
    </w:p>
    <w:p>
      <w:pPr>
        <w:snapToGrid w:val="0"/>
        <w:ind w:firstLine="420" w:firstLineChars="200"/>
        <w:rPr>
          <w:color w:val="auto"/>
          <w:szCs w:val="21"/>
        </w:rPr>
      </w:pPr>
      <w:r>
        <w:rPr>
          <w:color w:val="auto"/>
          <w:szCs w:val="21"/>
        </w:rPr>
        <w:t>2.1.2.1  试验检测服务的工程范围：在专用合同条款中约定。</w:t>
      </w:r>
    </w:p>
    <w:p>
      <w:pPr>
        <w:snapToGrid w:val="0"/>
        <w:ind w:firstLine="420" w:firstLineChars="200"/>
        <w:rPr>
          <w:color w:val="auto"/>
          <w:szCs w:val="21"/>
        </w:rPr>
      </w:pPr>
      <w:r>
        <w:rPr>
          <w:color w:val="auto"/>
          <w:szCs w:val="21"/>
        </w:rPr>
        <w:t>2.1.2.2  试验检测服务的工作范围：检测人应当按照合同要求和发包人的授权范围进行下述试验检测服务。</w:t>
      </w:r>
    </w:p>
    <w:p>
      <w:pPr>
        <w:snapToGrid w:val="0"/>
        <w:ind w:firstLine="420" w:firstLineChars="200"/>
        <w:rPr>
          <w:color w:val="auto"/>
          <w:szCs w:val="21"/>
        </w:rPr>
      </w:pPr>
      <w:r>
        <w:rPr>
          <w:color w:val="auto"/>
          <w:szCs w:val="21"/>
        </w:rPr>
        <w:t>（1）正常试验检测服务的范围：除非专用合同条款另有约定，正常试验检测服务的范围是指在合同约定的工程范围内及约定的正常试验检测服务期限内，对工程进行工作范围（已标价报价清单所列试验检测项目）内的试验检测。</w:t>
      </w:r>
    </w:p>
    <w:p>
      <w:pPr>
        <w:snapToGrid w:val="0"/>
        <w:ind w:firstLine="420" w:firstLineChars="200"/>
        <w:rPr>
          <w:color w:val="auto"/>
          <w:szCs w:val="21"/>
        </w:rPr>
      </w:pPr>
      <w:r>
        <w:rPr>
          <w:color w:val="auto"/>
          <w:szCs w:val="21"/>
        </w:rPr>
        <w:t>（2）附加试验检测服务的范围：包括但不限于：</w:t>
      </w:r>
      <w:r>
        <w:rPr>
          <w:rFonts w:ascii="Cambria Math" w:hAnsi="Cambria Math" w:cs="Cambria Math"/>
          <w:color w:val="auto"/>
          <w:szCs w:val="21"/>
        </w:rPr>
        <w:t>①</w:t>
      </w:r>
      <w:r>
        <w:rPr>
          <w:color w:val="auto"/>
          <w:szCs w:val="21"/>
        </w:rPr>
        <w:t>由于非检测人（含发包人或第三方责任）原因导致合同约定的试验检测服务期限延长，所延长的服务时间应视为附加试验检测服务；</w:t>
      </w:r>
      <w:r>
        <w:rPr>
          <w:rFonts w:ascii="Cambria Math" w:hAnsi="Cambria Math" w:cs="Cambria Math"/>
          <w:color w:val="auto"/>
          <w:szCs w:val="21"/>
        </w:rPr>
        <w:t>②</w:t>
      </w:r>
      <w:r>
        <w:rPr>
          <w:color w:val="auto"/>
          <w:szCs w:val="21"/>
        </w:rPr>
        <w:t>发包人书面提出正常试验检测服务范围以外的试验检测服务要求，检测人完成此项服务应视为附加试验检测服务；</w:t>
      </w:r>
      <w:r>
        <w:rPr>
          <w:rFonts w:ascii="Cambria Math" w:hAnsi="Cambria Math" w:cs="Cambria Math"/>
          <w:color w:val="auto"/>
          <w:szCs w:val="21"/>
        </w:rPr>
        <w:t>③</w:t>
      </w:r>
      <w:r>
        <w:rPr>
          <w:color w:val="auto"/>
          <w:szCs w:val="21"/>
        </w:rPr>
        <w:t>发包人书面提出试验检测合同约定的工作范围以外的试验检测工作，检测人完成此项工作应视为附加试验检测服务；</w:t>
      </w:r>
      <w:r>
        <w:rPr>
          <w:rFonts w:ascii="Cambria Math" w:hAnsi="Cambria Math" w:cs="Cambria Math"/>
          <w:color w:val="auto"/>
          <w:szCs w:val="21"/>
        </w:rPr>
        <w:t>④</w:t>
      </w:r>
      <w:r>
        <w:rPr>
          <w:color w:val="auto"/>
          <w:szCs w:val="21"/>
        </w:rPr>
        <w:t>发包人书面提出高于试验检测合同约定的服务目标，检测人为完成此目标而增加的投入应视为附加试验检测服务。</w:t>
      </w:r>
    </w:p>
    <w:p>
      <w:pPr>
        <w:snapToGrid w:val="0"/>
        <w:ind w:firstLine="420" w:firstLineChars="200"/>
        <w:rPr>
          <w:color w:val="auto"/>
          <w:szCs w:val="21"/>
        </w:rPr>
      </w:pPr>
      <w:r>
        <w:rPr>
          <w:color w:val="auto"/>
          <w:szCs w:val="21"/>
        </w:rPr>
        <w:t>2.1.3  服务内容</w:t>
      </w:r>
    </w:p>
    <w:p>
      <w:pPr>
        <w:snapToGrid w:val="0"/>
        <w:ind w:firstLine="420" w:firstLineChars="200"/>
        <w:rPr>
          <w:color w:val="auto"/>
          <w:szCs w:val="21"/>
        </w:rPr>
      </w:pPr>
      <w:r>
        <w:rPr>
          <w:color w:val="auto"/>
          <w:szCs w:val="21"/>
        </w:rPr>
        <w:t>检测人应按照合同规定的内容开展试验检测服务。</w:t>
      </w:r>
    </w:p>
    <w:p>
      <w:pPr>
        <w:snapToGrid w:val="0"/>
        <w:ind w:firstLine="420" w:firstLineChars="200"/>
        <w:rPr>
          <w:color w:val="auto"/>
          <w:szCs w:val="21"/>
        </w:rPr>
      </w:pPr>
      <w:r>
        <w:rPr>
          <w:color w:val="auto"/>
          <w:szCs w:val="21"/>
        </w:rPr>
        <w:t>2.1.4  服务要求</w:t>
      </w:r>
    </w:p>
    <w:p>
      <w:pPr>
        <w:snapToGrid w:val="0"/>
        <w:ind w:firstLine="420" w:firstLineChars="200"/>
        <w:rPr>
          <w:color w:val="auto"/>
          <w:szCs w:val="21"/>
        </w:rPr>
      </w:pPr>
      <w:r>
        <w:rPr>
          <w:color w:val="auto"/>
          <w:szCs w:val="21"/>
        </w:rPr>
        <w:t>检测人应于每月25日前向发包人报送试验检测情况月报告。发包人应根据规定在专用合同条款中明确具体要求。</w:t>
      </w:r>
    </w:p>
    <w:p>
      <w:pPr>
        <w:snapToGrid w:val="0"/>
        <w:ind w:firstLine="420" w:firstLineChars="200"/>
        <w:rPr>
          <w:color w:val="auto"/>
          <w:szCs w:val="21"/>
        </w:rPr>
      </w:pPr>
      <w:r>
        <w:rPr>
          <w:color w:val="auto"/>
          <w:szCs w:val="21"/>
        </w:rPr>
        <w:t>检测人应根据本合同条款2.1.1项要求的服务形式完成本次招标所有试验检测项目。检测人对各试验检测项目的试验检测方案在实际合同履行中可根据发包人要求作适当调整。</w:t>
      </w:r>
    </w:p>
    <w:p>
      <w:pPr>
        <w:snapToGrid w:val="0"/>
        <w:ind w:firstLine="420" w:firstLineChars="200"/>
        <w:rPr>
          <w:color w:val="auto"/>
          <w:szCs w:val="21"/>
        </w:rPr>
      </w:pPr>
      <w:r>
        <w:rPr>
          <w:color w:val="auto"/>
          <w:szCs w:val="21"/>
        </w:rPr>
        <w:t>2.1.5  发包人对检测人的授权</w:t>
      </w:r>
    </w:p>
    <w:p>
      <w:pPr>
        <w:snapToGrid w:val="0"/>
        <w:ind w:firstLine="420" w:firstLineChars="200"/>
        <w:rPr>
          <w:color w:val="auto"/>
          <w:szCs w:val="21"/>
        </w:rPr>
      </w:pPr>
      <w:r>
        <w:rPr>
          <w:color w:val="auto"/>
          <w:szCs w:val="21"/>
        </w:rPr>
        <w:t>发包人对检测人的授权应在专用合同条款中约定。</w:t>
      </w:r>
    </w:p>
    <w:p>
      <w:pPr>
        <w:pStyle w:val="630"/>
        <w:ind w:firstLine="422"/>
        <w:rPr>
          <w:color w:val="auto"/>
        </w:rPr>
      </w:pPr>
      <w:r>
        <w:rPr>
          <w:color w:val="auto"/>
        </w:rPr>
        <w:t xml:space="preserve">2.2 </w:t>
      </w:r>
      <w:r>
        <w:rPr>
          <w:rFonts w:hint="eastAsia"/>
          <w:color w:val="auto"/>
        </w:rPr>
        <w:t xml:space="preserve"> </w:t>
      </w:r>
      <w:r>
        <w:rPr>
          <w:rFonts w:hint="eastAsia" w:ascii="黑体" w:hAnsi="黑体"/>
          <w:color w:val="auto"/>
        </w:rPr>
        <w:t>试验检测服务的依据</w:t>
      </w:r>
    </w:p>
    <w:p>
      <w:pPr>
        <w:snapToGrid w:val="0"/>
        <w:ind w:firstLine="420" w:firstLineChars="200"/>
        <w:rPr>
          <w:color w:val="auto"/>
          <w:szCs w:val="21"/>
        </w:rPr>
      </w:pPr>
      <w:r>
        <w:rPr>
          <w:color w:val="auto"/>
          <w:szCs w:val="21"/>
        </w:rPr>
        <w:t>2.2.1  适用的法律、法规、规章。</w:t>
      </w:r>
    </w:p>
    <w:p>
      <w:pPr>
        <w:snapToGrid w:val="0"/>
        <w:ind w:firstLine="420" w:firstLineChars="200"/>
        <w:rPr>
          <w:color w:val="auto"/>
          <w:szCs w:val="21"/>
        </w:rPr>
      </w:pPr>
      <w:r>
        <w:rPr>
          <w:color w:val="auto"/>
          <w:szCs w:val="21"/>
        </w:rPr>
        <w:t>2.2.2  国家和行业有关标准、规范、规程；浙江省关于公路水运试验检测方面现行的标准、规范、规程、办法、规定。</w:t>
      </w:r>
    </w:p>
    <w:p>
      <w:pPr>
        <w:snapToGrid w:val="0"/>
        <w:ind w:firstLine="420" w:firstLineChars="200"/>
        <w:rPr>
          <w:color w:val="auto"/>
          <w:szCs w:val="21"/>
        </w:rPr>
      </w:pPr>
      <w:r>
        <w:rPr>
          <w:color w:val="auto"/>
          <w:szCs w:val="21"/>
        </w:rPr>
        <w:t>2.2.3  试验检测合同。</w:t>
      </w:r>
    </w:p>
    <w:p>
      <w:pPr>
        <w:snapToGrid w:val="0"/>
        <w:ind w:firstLine="420" w:firstLineChars="200"/>
        <w:rPr>
          <w:color w:val="auto"/>
          <w:szCs w:val="21"/>
        </w:rPr>
      </w:pPr>
      <w:r>
        <w:rPr>
          <w:color w:val="auto"/>
          <w:szCs w:val="21"/>
        </w:rPr>
        <w:t>2.2.4  工程设计文件和图纸。</w:t>
      </w:r>
    </w:p>
    <w:p>
      <w:pPr>
        <w:snapToGrid w:val="0"/>
        <w:ind w:firstLine="420" w:firstLineChars="200"/>
        <w:rPr>
          <w:color w:val="auto"/>
          <w:szCs w:val="21"/>
        </w:rPr>
      </w:pPr>
      <w:r>
        <w:rPr>
          <w:color w:val="auto"/>
          <w:szCs w:val="21"/>
        </w:rPr>
        <w:t>2.2.5  工程实施过程中有关的函件。</w:t>
      </w:r>
    </w:p>
    <w:p>
      <w:pPr>
        <w:pStyle w:val="630"/>
        <w:ind w:firstLine="422"/>
        <w:rPr>
          <w:color w:val="auto"/>
        </w:rPr>
      </w:pPr>
      <w:r>
        <w:rPr>
          <w:color w:val="auto"/>
        </w:rPr>
        <w:t xml:space="preserve">2.3  </w:t>
      </w:r>
      <w:r>
        <w:rPr>
          <w:rFonts w:hint="eastAsia" w:ascii="黑体" w:hAnsi="黑体"/>
          <w:color w:val="auto"/>
        </w:rPr>
        <w:t>试验检测职责</w:t>
      </w:r>
    </w:p>
    <w:p>
      <w:pPr>
        <w:snapToGrid w:val="0"/>
        <w:ind w:firstLine="420" w:firstLineChars="200"/>
        <w:rPr>
          <w:color w:val="auto"/>
          <w:szCs w:val="21"/>
        </w:rPr>
      </w:pPr>
      <w:r>
        <w:rPr>
          <w:color w:val="auto"/>
          <w:szCs w:val="21"/>
        </w:rPr>
        <w:t>2.3.1  检测人应本着“科学、客观、严谨、公正”的原则，按照国家和行业有关标准、规范、规程，出具试验检测报告。</w:t>
      </w:r>
    </w:p>
    <w:p>
      <w:pPr>
        <w:snapToGrid w:val="0"/>
        <w:ind w:firstLine="420" w:firstLineChars="200"/>
        <w:rPr>
          <w:color w:val="auto"/>
          <w:szCs w:val="21"/>
        </w:rPr>
      </w:pPr>
      <w:r>
        <w:rPr>
          <w:color w:val="auto"/>
          <w:szCs w:val="21"/>
        </w:rPr>
        <w:t>2.3.2  检测项目负责人必须得到该单位法人的书面授权。</w:t>
      </w:r>
    </w:p>
    <w:p>
      <w:pPr>
        <w:pStyle w:val="630"/>
        <w:ind w:firstLine="422"/>
        <w:rPr>
          <w:color w:val="auto"/>
        </w:rPr>
      </w:pPr>
      <w:r>
        <w:rPr>
          <w:color w:val="auto"/>
        </w:rPr>
        <w:t xml:space="preserve">2.4  </w:t>
      </w:r>
      <w:r>
        <w:rPr>
          <w:rFonts w:hint="eastAsia" w:ascii="黑体" w:hAnsi="黑体"/>
          <w:color w:val="auto"/>
        </w:rPr>
        <w:t>试验检测人员</w:t>
      </w:r>
    </w:p>
    <w:p>
      <w:pPr>
        <w:snapToGrid w:val="0"/>
        <w:ind w:firstLine="420" w:firstLineChars="200"/>
        <w:rPr>
          <w:color w:val="auto"/>
          <w:szCs w:val="21"/>
        </w:rPr>
      </w:pPr>
      <w:r>
        <w:rPr>
          <w:color w:val="auto"/>
          <w:szCs w:val="21"/>
        </w:rPr>
        <w:t>2.4.1  检测人为本项目配备的试验检测人员，应能够胜任试验检测合同约定的试验检测服务工作，检测人配备的重要试验检测岗位人员职称、专业、年龄、资格、资历、业绩、数量等须满足招标文件的要求，除非专用合同条款另有约定。</w:t>
      </w:r>
    </w:p>
    <w:p>
      <w:pPr>
        <w:snapToGrid w:val="0"/>
        <w:ind w:firstLine="420" w:firstLineChars="200"/>
        <w:rPr>
          <w:color w:val="auto"/>
          <w:szCs w:val="21"/>
        </w:rPr>
      </w:pPr>
      <w:r>
        <w:rPr>
          <w:color w:val="auto"/>
          <w:szCs w:val="21"/>
        </w:rPr>
        <w:t>2.4.2  为了进行试验检测服务，检测人应在</w:t>
      </w:r>
      <w:r>
        <w:rPr>
          <w:rFonts w:hint="eastAsia"/>
          <w:color w:val="auto"/>
          <w:szCs w:val="21"/>
        </w:rPr>
        <w:t>响应</w:t>
      </w:r>
      <w:r>
        <w:rPr>
          <w:color w:val="auto"/>
          <w:szCs w:val="21"/>
        </w:rPr>
        <w:t>文件中授权项目负责人代表检测人全面履行试验检测合同；与发包人的授权代表建立工作联系。更换或变更其授权时，必须提前7日通知发包人，并得到发包人的同意。</w:t>
      </w:r>
    </w:p>
    <w:p>
      <w:pPr>
        <w:snapToGrid w:val="0"/>
        <w:ind w:firstLine="420" w:firstLineChars="200"/>
        <w:rPr>
          <w:color w:val="auto"/>
          <w:szCs w:val="21"/>
        </w:rPr>
      </w:pPr>
      <w:r>
        <w:rPr>
          <w:color w:val="auto"/>
          <w:szCs w:val="21"/>
        </w:rPr>
        <w:t>2.4.3  检测人因工作安排或其他原因，需要更换本项目的重要岗位试验检测人员时，应事先得到发包人的同意。</w:t>
      </w:r>
    </w:p>
    <w:p>
      <w:pPr>
        <w:snapToGrid w:val="0"/>
        <w:ind w:firstLine="420" w:firstLineChars="200"/>
        <w:rPr>
          <w:color w:val="auto"/>
          <w:szCs w:val="21"/>
        </w:rPr>
      </w:pPr>
      <w:r>
        <w:rPr>
          <w:color w:val="auto"/>
          <w:szCs w:val="21"/>
        </w:rPr>
        <w:t>2.4.4  即使是发包人要求或同意更换的试验检测人员，其代替人员的资质不得低于被代替人员且应得到发包人的认可。</w:t>
      </w:r>
    </w:p>
    <w:p>
      <w:pPr>
        <w:snapToGrid w:val="0"/>
        <w:ind w:firstLine="420" w:firstLineChars="200"/>
        <w:rPr>
          <w:color w:val="auto"/>
          <w:szCs w:val="21"/>
        </w:rPr>
      </w:pPr>
      <w:r>
        <w:rPr>
          <w:color w:val="auto"/>
          <w:szCs w:val="21"/>
        </w:rPr>
        <w:t>2.4.5  发包人有权以书面形式要求检测人更换不能按照试验检测合同的约定进行试验检测服务的派驻人员。</w:t>
      </w:r>
    </w:p>
    <w:p>
      <w:pPr>
        <w:snapToGrid w:val="0"/>
        <w:ind w:firstLine="420" w:firstLineChars="200"/>
        <w:rPr>
          <w:color w:val="auto"/>
          <w:szCs w:val="21"/>
        </w:rPr>
      </w:pPr>
      <w:r>
        <w:rPr>
          <w:color w:val="auto"/>
          <w:szCs w:val="21"/>
        </w:rPr>
        <w:t>2.4.6  检测人为本项目配备的项目负责人、技术负责人及重要岗位试验检测人员，必须根据本合同条款2.1.1项要求满足现场试验检测。</w:t>
      </w:r>
    </w:p>
    <w:p>
      <w:pPr>
        <w:pStyle w:val="630"/>
        <w:ind w:firstLine="422"/>
        <w:rPr>
          <w:color w:val="auto"/>
        </w:rPr>
      </w:pPr>
      <w:r>
        <w:rPr>
          <w:color w:val="auto"/>
        </w:rPr>
        <w:t xml:space="preserve">2.5  </w:t>
      </w:r>
      <w:r>
        <w:rPr>
          <w:rFonts w:hint="eastAsia" w:ascii="黑体" w:hAnsi="黑体"/>
          <w:color w:val="auto"/>
        </w:rPr>
        <w:t>试验检测设备</w:t>
      </w:r>
    </w:p>
    <w:p>
      <w:pPr>
        <w:snapToGrid w:val="0"/>
        <w:ind w:firstLine="420" w:firstLineChars="200"/>
        <w:rPr>
          <w:color w:val="auto"/>
          <w:szCs w:val="21"/>
        </w:rPr>
      </w:pPr>
      <w:r>
        <w:rPr>
          <w:color w:val="auto"/>
          <w:szCs w:val="21"/>
        </w:rPr>
        <w:t>检测人应投入</w:t>
      </w:r>
      <w:r>
        <w:rPr>
          <w:rFonts w:hint="eastAsia"/>
          <w:color w:val="auto"/>
          <w:szCs w:val="21"/>
        </w:rPr>
        <w:t>响应</w:t>
      </w:r>
      <w:r>
        <w:rPr>
          <w:color w:val="auto"/>
          <w:szCs w:val="21"/>
        </w:rPr>
        <w:t>文件中所列的试验检测仪器、设备及设施。尽管检测人已按照</w:t>
      </w:r>
      <w:r>
        <w:rPr>
          <w:rFonts w:hint="eastAsia"/>
          <w:color w:val="auto"/>
          <w:szCs w:val="21"/>
        </w:rPr>
        <w:t>响应</w:t>
      </w:r>
      <w:r>
        <w:rPr>
          <w:color w:val="auto"/>
          <w:szCs w:val="21"/>
        </w:rPr>
        <w:t>文件所列的试验检测仪器设备投入本项目，若发包人认为投入的仪器设备仍不足以满足试验检测服务的需要而影响了对工程质量及进度的控制时，发包人有权要求检测人增加仪器设备的投入，因此而增加的费用视为已包含在其</w:t>
      </w:r>
      <w:r>
        <w:rPr>
          <w:rFonts w:hint="eastAsia"/>
          <w:color w:val="auto"/>
          <w:szCs w:val="21"/>
        </w:rPr>
        <w:t>响应</w:t>
      </w:r>
      <w:r>
        <w:rPr>
          <w:color w:val="auto"/>
          <w:szCs w:val="21"/>
        </w:rPr>
        <w:t>报价中，发包人将不另行支付。</w:t>
      </w:r>
    </w:p>
    <w:p>
      <w:pPr>
        <w:pStyle w:val="630"/>
        <w:ind w:firstLine="422"/>
        <w:rPr>
          <w:color w:val="auto"/>
        </w:rPr>
      </w:pPr>
      <w:r>
        <w:rPr>
          <w:rFonts w:hint="eastAsia"/>
          <w:color w:val="auto"/>
        </w:rPr>
        <w:t xml:space="preserve">2.6  </w:t>
      </w:r>
      <w:r>
        <w:rPr>
          <w:rFonts w:hint="eastAsia" w:ascii="黑体" w:hAnsi="黑体"/>
          <w:color w:val="auto"/>
        </w:rPr>
        <w:t>联合体</w:t>
      </w:r>
    </w:p>
    <w:p>
      <w:pPr>
        <w:snapToGrid w:val="0"/>
        <w:ind w:firstLine="420" w:firstLineChars="200"/>
        <w:rPr>
          <w:color w:val="auto"/>
          <w:szCs w:val="21"/>
        </w:rPr>
      </w:pPr>
      <w:r>
        <w:rPr>
          <w:color w:val="auto"/>
          <w:szCs w:val="21"/>
        </w:rPr>
        <w:t>2.6.1 联合体各方应共同与发包人签订合同协议书。联合体各方应为履行合同承担连带责任。</w:t>
      </w:r>
    </w:p>
    <w:p>
      <w:pPr>
        <w:snapToGrid w:val="0"/>
        <w:ind w:firstLine="420" w:firstLineChars="200"/>
        <w:rPr>
          <w:color w:val="auto"/>
          <w:szCs w:val="21"/>
        </w:rPr>
      </w:pPr>
      <w:r>
        <w:rPr>
          <w:color w:val="auto"/>
          <w:szCs w:val="21"/>
        </w:rPr>
        <w:t>2.6.2 联合体协议经发包人确认后作为合同附件。在履行合同过程中，未经发包人同意，不得修改联合体协议。</w:t>
      </w:r>
    </w:p>
    <w:p>
      <w:pPr>
        <w:snapToGrid w:val="0"/>
        <w:ind w:firstLine="420" w:firstLineChars="200"/>
        <w:rPr>
          <w:color w:val="auto"/>
          <w:szCs w:val="21"/>
        </w:rPr>
      </w:pPr>
      <w:r>
        <w:rPr>
          <w:color w:val="auto"/>
          <w:szCs w:val="21"/>
        </w:rPr>
        <w:t>2.6.3 联合体牵头人负责与发包人联系并接受指示，负责组织联合体各成员全面履行合同。发包人就本合同工程向联合体牵头人发布的任何指令、指示、通知等均对联合体其他成员具有同等效力。</w:t>
      </w:r>
    </w:p>
    <w:p>
      <w:pPr>
        <w:snapToGrid w:val="0"/>
        <w:ind w:firstLine="420" w:firstLineChars="200"/>
        <w:rPr>
          <w:color w:val="auto"/>
          <w:szCs w:val="21"/>
        </w:rPr>
      </w:pPr>
      <w:r>
        <w:rPr>
          <w:color w:val="auto"/>
          <w:szCs w:val="21"/>
        </w:rPr>
        <w:t>2.6.4 联合体牵头人应按本合同规定代表联合体向发包人提交全部合格的试验检测报告。</w:t>
      </w:r>
    </w:p>
    <w:p>
      <w:pPr>
        <w:snapToGrid w:val="0"/>
        <w:ind w:firstLine="420" w:firstLineChars="200"/>
        <w:rPr>
          <w:color w:val="auto"/>
          <w:szCs w:val="21"/>
        </w:rPr>
      </w:pPr>
      <w:r>
        <w:rPr>
          <w:color w:val="auto"/>
          <w:szCs w:val="21"/>
        </w:rPr>
        <w:t>2.6.5 未经发包人事先同意，联合体的组成、结构与业务分工均不得变动。</w:t>
      </w:r>
    </w:p>
    <w:p>
      <w:pPr>
        <w:pStyle w:val="630"/>
        <w:ind w:firstLine="422"/>
        <w:rPr>
          <w:color w:val="auto"/>
        </w:rPr>
      </w:pPr>
      <w:r>
        <w:rPr>
          <w:rFonts w:hint="eastAsia"/>
          <w:color w:val="auto"/>
        </w:rPr>
        <w:t xml:space="preserve">2.7  </w:t>
      </w:r>
      <w:r>
        <w:rPr>
          <w:rFonts w:hint="eastAsia" w:ascii="黑体" w:hAnsi="黑体"/>
          <w:color w:val="auto"/>
        </w:rPr>
        <w:t>保密</w:t>
      </w:r>
    </w:p>
    <w:p>
      <w:pPr>
        <w:snapToGrid w:val="0"/>
        <w:ind w:firstLine="420" w:firstLineChars="200"/>
        <w:rPr>
          <w:color w:val="auto"/>
          <w:szCs w:val="21"/>
        </w:rPr>
      </w:pPr>
      <w:r>
        <w:rPr>
          <w:color w:val="auto"/>
          <w:szCs w:val="21"/>
        </w:rPr>
        <w:t>在专用合同条款约定的时间内，未经发包人的书面同意，检测人不得泄露发包人与本项目、本工程、本试验检测合同有关的保密资料。</w:t>
      </w:r>
    </w:p>
    <w:p>
      <w:pPr>
        <w:pStyle w:val="634"/>
        <w:rPr>
          <w:color w:val="auto"/>
        </w:rPr>
      </w:pPr>
      <w:r>
        <w:rPr>
          <w:rFonts w:hint="eastAsia"/>
          <w:color w:val="auto"/>
        </w:rPr>
        <w:t>3</w:t>
      </w:r>
      <w:r>
        <w:rPr>
          <w:color w:val="auto"/>
        </w:rPr>
        <w:t>.</w:t>
      </w:r>
      <w:r>
        <w:rPr>
          <w:rFonts w:hint="eastAsia" w:ascii="黑体" w:hAnsi="黑体"/>
          <w:color w:val="auto"/>
        </w:rPr>
        <w:t>发包人的义务</w:t>
      </w:r>
    </w:p>
    <w:p>
      <w:pPr>
        <w:pStyle w:val="630"/>
        <w:ind w:firstLine="422"/>
        <w:rPr>
          <w:color w:val="auto"/>
        </w:rPr>
      </w:pPr>
      <w:r>
        <w:rPr>
          <w:color w:val="auto"/>
        </w:rPr>
        <w:t xml:space="preserve">3.1 </w:t>
      </w:r>
      <w:r>
        <w:rPr>
          <w:rFonts w:hint="eastAsia"/>
          <w:color w:val="auto"/>
        </w:rPr>
        <w:t xml:space="preserve"> </w:t>
      </w:r>
      <w:r>
        <w:rPr>
          <w:rFonts w:hint="eastAsia" w:ascii="黑体" w:hAnsi="黑体"/>
          <w:color w:val="auto"/>
        </w:rPr>
        <w:t>试验检测工作条件</w:t>
      </w:r>
    </w:p>
    <w:p>
      <w:pPr>
        <w:snapToGrid w:val="0"/>
        <w:ind w:firstLine="420" w:firstLineChars="200"/>
        <w:rPr>
          <w:color w:val="auto"/>
          <w:szCs w:val="21"/>
        </w:rPr>
      </w:pPr>
      <w:r>
        <w:rPr>
          <w:color w:val="auto"/>
          <w:szCs w:val="21"/>
        </w:rPr>
        <w:t>发包人应按照试验检测合同约定向检测人提供履行试验检测服务所必需的工作条件。</w:t>
      </w:r>
    </w:p>
    <w:p>
      <w:pPr>
        <w:pStyle w:val="630"/>
        <w:ind w:firstLine="422"/>
        <w:rPr>
          <w:color w:val="auto"/>
        </w:rPr>
      </w:pPr>
      <w:r>
        <w:rPr>
          <w:color w:val="auto"/>
        </w:rPr>
        <w:t xml:space="preserve">3.2  </w:t>
      </w:r>
      <w:r>
        <w:rPr>
          <w:rFonts w:hint="eastAsia" w:ascii="黑体" w:hAnsi="黑体"/>
          <w:color w:val="auto"/>
        </w:rPr>
        <w:t>文件和资料</w:t>
      </w:r>
    </w:p>
    <w:p>
      <w:pPr>
        <w:snapToGrid w:val="0"/>
        <w:ind w:firstLine="420" w:firstLineChars="200"/>
        <w:rPr>
          <w:color w:val="auto"/>
          <w:szCs w:val="21"/>
        </w:rPr>
      </w:pPr>
      <w:r>
        <w:rPr>
          <w:color w:val="auto"/>
          <w:szCs w:val="21"/>
        </w:rPr>
        <w:t>发包人在试验检测合同生效之日起，且在取得相关文件、资料7日内，向检测人免费提供与本试验检测项目相关图纸、工程地质勘察报告、试验检测相关用图等资料（复印件）各1套。</w:t>
      </w:r>
    </w:p>
    <w:p>
      <w:pPr>
        <w:pStyle w:val="630"/>
        <w:ind w:firstLine="422"/>
        <w:rPr>
          <w:color w:val="auto"/>
        </w:rPr>
      </w:pPr>
      <w:r>
        <w:rPr>
          <w:color w:val="auto"/>
        </w:rPr>
        <w:t xml:space="preserve">3.3  </w:t>
      </w:r>
      <w:r>
        <w:rPr>
          <w:rFonts w:hint="eastAsia" w:ascii="黑体" w:hAnsi="黑体"/>
          <w:color w:val="auto"/>
        </w:rPr>
        <w:t>协助</w:t>
      </w:r>
    </w:p>
    <w:p>
      <w:pPr>
        <w:snapToGrid w:val="0"/>
        <w:ind w:firstLine="420" w:firstLineChars="200"/>
        <w:rPr>
          <w:color w:val="auto"/>
          <w:szCs w:val="21"/>
        </w:rPr>
      </w:pPr>
      <w:r>
        <w:rPr>
          <w:color w:val="auto"/>
          <w:szCs w:val="21"/>
        </w:rPr>
        <w:t>发包人在工程所在地对检测人提供进场试验检测的相关条件，解决非检测人原因而发生意外事件时，试验检测工作人员的撤场和相关事宜；并避免或解决检测人根据试验检测合同进行试验检测服务而导致的第三方的干扰或收费(不含税金)。</w:t>
      </w:r>
    </w:p>
    <w:p>
      <w:pPr>
        <w:pStyle w:val="630"/>
        <w:ind w:firstLine="422"/>
        <w:rPr>
          <w:color w:val="auto"/>
        </w:rPr>
      </w:pPr>
      <w:r>
        <w:rPr>
          <w:color w:val="auto"/>
        </w:rPr>
        <w:t xml:space="preserve">3.4  </w:t>
      </w:r>
      <w:r>
        <w:rPr>
          <w:rFonts w:hint="eastAsia" w:ascii="黑体" w:hAnsi="黑体"/>
          <w:color w:val="auto"/>
        </w:rPr>
        <w:t>代表</w:t>
      </w:r>
    </w:p>
    <w:p>
      <w:pPr>
        <w:snapToGrid w:val="0"/>
        <w:ind w:firstLine="420" w:firstLineChars="200"/>
        <w:rPr>
          <w:color w:val="auto"/>
          <w:szCs w:val="21"/>
        </w:rPr>
      </w:pPr>
      <w:r>
        <w:rPr>
          <w:color w:val="auto"/>
          <w:szCs w:val="21"/>
        </w:rPr>
        <w:t>发包人应在专用合同条款中明确一名授权代表，与检测人的授权项目负责人建立工作联系。更换该代表或变更其授权时，必须提前7日通知检测人。</w:t>
      </w:r>
    </w:p>
    <w:p>
      <w:pPr>
        <w:pStyle w:val="630"/>
        <w:ind w:firstLine="422"/>
        <w:rPr>
          <w:color w:val="auto"/>
        </w:rPr>
      </w:pPr>
      <w:r>
        <w:rPr>
          <w:color w:val="auto"/>
        </w:rPr>
        <w:t xml:space="preserve">3.5  </w:t>
      </w:r>
      <w:r>
        <w:rPr>
          <w:rFonts w:hint="eastAsia" w:ascii="黑体" w:hAnsi="黑体"/>
          <w:color w:val="auto"/>
        </w:rPr>
        <w:t>授权通知</w:t>
      </w:r>
    </w:p>
    <w:p>
      <w:pPr>
        <w:snapToGrid w:val="0"/>
        <w:ind w:firstLine="420" w:firstLineChars="200"/>
        <w:rPr>
          <w:color w:val="auto"/>
          <w:szCs w:val="21"/>
        </w:rPr>
      </w:pPr>
      <w:r>
        <w:rPr>
          <w:color w:val="auto"/>
          <w:szCs w:val="21"/>
        </w:rPr>
        <w:t>发包人必须将履行试验检测服务的检测人及发包人授予检测人的职责权力，及时用书面形式通知第三方。</w:t>
      </w:r>
    </w:p>
    <w:p>
      <w:pPr>
        <w:pStyle w:val="630"/>
        <w:ind w:firstLine="422"/>
        <w:rPr>
          <w:color w:val="auto"/>
        </w:rPr>
      </w:pPr>
      <w:r>
        <w:rPr>
          <w:color w:val="auto"/>
        </w:rPr>
        <w:t xml:space="preserve">3.6  </w:t>
      </w:r>
      <w:r>
        <w:rPr>
          <w:rFonts w:hint="eastAsia" w:ascii="黑体" w:hAnsi="黑体"/>
          <w:color w:val="auto"/>
        </w:rPr>
        <w:t>支付费用</w:t>
      </w:r>
    </w:p>
    <w:p>
      <w:pPr>
        <w:snapToGrid w:val="0"/>
        <w:ind w:firstLine="420" w:firstLineChars="200"/>
        <w:rPr>
          <w:color w:val="auto"/>
          <w:szCs w:val="21"/>
        </w:rPr>
      </w:pPr>
      <w:r>
        <w:rPr>
          <w:color w:val="auto"/>
          <w:szCs w:val="21"/>
        </w:rPr>
        <w:t>发包人须按合同约定向检测人支付试验检测服务费用。</w:t>
      </w:r>
    </w:p>
    <w:p>
      <w:pPr>
        <w:pStyle w:val="634"/>
        <w:rPr>
          <w:b/>
          <w:color w:val="auto"/>
        </w:rPr>
      </w:pPr>
      <w:r>
        <w:rPr>
          <w:rFonts w:hint="eastAsia"/>
          <w:b/>
          <w:color w:val="auto"/>
        </w:rPr>
        <w:t>4</w:t>
      </w:r>
      <w:r>
        <w:rPr>
          <w:rFonts w:hint="eastAsia" w:ascii="黑体" w:hAnsi="黑体"/>
          <w:b/>
          <w:color w:val="auto"/>
        </w:rPr>
        <w:t>．</w:t>
      </w:r>
      <w:r>
        <w:rPr>
          <w:rFonts w:hint="eastAsia" w:ascii="黑体" w:hAnsi="黑体"/>
          <w:color w:val="auto"/>
        </w:rPr>
        <w:t>责任和保障</w:t>
      </w:r>
    </w:p>
    <w:p>
      <w:pPr>
        <w:pStyle w:val="630"/>
        <w:ind w:firstLine="422"/>
        <w:rPr>
          <w:color w:val="auto"/>
        </w:rPr>
      </w:pPr>
      <w:r>
        <w:rPr>
          <w:rFonts w:hint="eastAsia"/>
          <w:color w:val="auto"/>
        </w:rPr>
        <w:t xml:space="preserve">4.1  </w:t>
      </w:r>
      <w:r>
        <w:rPr>
          <w:rFonts w:hint="eastAsia" w:ascii="黑体" w:hAnsi="黑体"/>
          <w:color w:val="auto"/>
        </w:rPr>
        <w:t>检测人的违约及赔偿责任</w:t>
      </w:r>
    </w:p>
    <w:p>
      <w:pPr>
        <w:snapToGrid w:val="0"/>
        <w:ind w:firstLine="420" w:firstLineChars="200"/>
        <w:rPr>
          <w:color w:val="auto"/>
          <w:szCs w:val="21"/>
        </w:rPr>
      </w:pPr>
      <w:r>
        <w:rPr>
          <w:color w:val="auto"/>
          <w:szCs w:val="21"/>
        </w:rPr>
        <w:t>4.1.1  检测人的违约</w:t>
      </w:r>
    </w:p>
    <w:p>
      <w:pPr>
        <w:snapToGrid w:val="0"/>
        <w:ind w:firstLine="420" w:firstLineChars="200"/>
        <w:rPr>
          <w:color w:val="auto"/>
          <w:szCs w:val="21"/>
        </w:rPr>
      </w:pPr>
      <w:r>
        <w:rPr>
          <w:color w:val="auto"/>
          <w:szCs w:val="21"/>
        </w:rPr>
        <w:t>4.1.1.1  检测人违反试验检测合同的约定，将试验检测服务的任何部分转让或分包。</w:t>
      </w:r>
    </w:p>
    <w:p>
      <w:pPr>
        <w:snapToGrid w:val="0"/>
        <w:ind w:firstLine="420" w:firstLineChars="200"/>
        <w:rPr>
          <w:color w:val="auto"/>
          <w:szCs w:val="21"/>
        </w:rPr>
      </w:pPr>
      <w:r>
        <w:rPr>
          <w:color w:val="auto"/>
          <w:szCs w:val="21"/>
        </w:rPr>
        <w:t>4.1.1.2  检测人未能按照</w:t>
      </w:r>
      <w:r>
        <w:rPr>
          <w:rFonts w:hint="eastAsia"/>
          <w:color w:val="auto"/>
          <w:szCs w:val="21"/>
        </w:rPr>
        <w:t>响应</w:t>
      </w:r>
      <w:r>
        <w:rPr>
          <w:color w:val="auto"/>
          <w:szCs w:val="21"/>
        </w:rPr>
        <w:t>文件的承诺配备满足试验检测服务需求的人员或设施、设备。</w:t>
      </w:r>
    </w:p>
    <w:p>
      <w:pPr>
        <w:snapToGrid w:val="0"/>
        <w:ind w:firstLine="420" w:firstLineChars="200"/>
        <w:rPr>
          <w:color w:val="auto"/>
          <w:szCs w:val="21"/>
        </w:rPr>
      </w:pPr>
      <w:r>
        <w:rPr>
          <w:color w:val="auto"/>
          <w:szCs w:val="21"/>
        </w:rPr>
        <w:t>4.1.1.3  检测人不履行试验检测职责，造成工程质量、安全事故或向承包人索贿、谋取私利，或与承包人串通损害发包人利益，给发包人造成损失。</w:t>
      </w:r>
    </w:p>
    <w:p>
      <w:pPr>
        <w:snapToGrid w:val="0"/>
        <w:ind w:firstLine="420" w:firstLineChars="200"/>
        <w:rPr>
          <w:color w:val="auto"/>
          <w:szCs w:val="21"/>
        </w:rPr>
      </w:pPr>
      <w:r>
        <w:rPr>
          <w:color w:val="auto"/>
          <w:szCs w:val="21"/>
        </w:rPr>
        <w:t>4.1.1.4  检测人未按试验检测操作规程进行试验检测或试验检测数据不准确造成工程质量隐患。</w:t>
      </w:r>
    </w:p>
    <w:p>
      <w:pPr>
        <w:snapToGrid w:val="0"/>
        <w:ind w:firstLine="420" w:firstLineChars="200"/>
        <w:rPr>
          <w:color w:val="auto"/>
          <w:szCs w:val="21"/>
        </w:rPr>
      </w:pPr>
      <w:r>
        <w:rPr>
          <w:color w:val="auto"/>
          <w:szCs w:val="21"/>
        </w:rPr>
        <w:t>4.1.1.5  出具虚假试验检测报告。</w:t>
      </w:r>
    </w:p>
    <w:p>
      <w:pPr>
        <w:snapToGrid w:val="0"/>
        <w:ind w:firstLine="420" w:firstLineChars="200"/>
        <w:rPr>
          <w:color w:val="auto"/>
          <w:szCs w:val="21"/>
        </w:rPr>
      </w:pPr>
      <w:r>
        <w:rPr>
          <w:color w:val="auto"/>
          <w:szCs w:val="21"/>
        </w:rPr>
        <w:t>4.1.1.6  违反专用合同条款约定的其他情形。</w:t>
      </w:r>
    </w:p>
    <w:p>
      <w:pPr>
        <w:snapToGrid w:val="0"/>
        <w:ind w:firstLine="420" w:firstLineChars="200"/>
        <w:rPr>
          <w:color w:val="auto"/>
          <w:szCs w:val="21"/>
        </w:rPr>
      </w:pPr>
      <w:r>
        <w:rPr>
          <w:color w:val="auto"/>
          <w:szCs w:val="21"/>
        </w:rPr>
        <w:t>发包人应视其违约情节分别采取以下处理方法：</w:t>
      </w:r>
    </w:p>
    <w:p>
      <w:pPr>
        <w:snapToGrid w:val="0"/>
        <w:ind w:firstLine="420" w:firstLineChars="200"/>
        <w:rPr>
          <w:color w:val="auto"/>
          <w:szCs w:val="21"/>
        </w:rPr>
      </w:pPr>
      <w:r>
        <w:rPr>
          <w:color w:val="auto"/>
          <w:szCs w:val="21"/>
        </w:rPr>
        <w:t>检测人违反上述约定应承担违约责任，发包人有权向检测人发出书面通知要求其限期改正。当发包人在向检测人发出书面通知的14日内未见纠正后，可以向检测人课以专用合同条款中约定的违约金，并可在21日内发出第二次通知终止合同。在4.1.1.1目或4.1.1.3目情形时，发包人可直接发出书面通知立即终止合同。</w:t>
      </w:r>
    </w:p>
    <w:p>
      <w:pPr>
        <w:snapToGrid w:val="0"/>
        <w:ind w:firstLine="420" w:firstLineChars="200"/>
        <w:rPr>
          <w:color w:val="auto"/>
          <w:szCs w:val="21"/>
        </w:rPr>
      </w:pPr>
      <w:r>
        <w:rPr>
          <w:color w:val="auto"/>
          <w:szCs w:val="21"/>
        </w:rPr>
        <w:t>4.1.2  检测人的违约赔偿责任</w:t>
      </w:r>
    </w:p>
    <w:p>
      <w:pPr>
        <w:snapToGrid w:val="0"/>
        <w:ind w:firstLine="420" w:firstLineChars="200"/>
        <w:rPr>
          <w:color w:val="auto"/>
          <w:szCs w:val="21"/>
        </w:rPr>
      </w:pPr>
      <w:r>
        <w:rPr>
          <w:color w:val="auto"/>
          <w:szCs w:val="21"/>
        </w:rPr>
        <w:t>检测人违反试验检测合同的约定并造成发包人的经济损失，应向发包人赔偿，除非专用合同条款另有约定，赔偿金应按下式计算：</w:t>
      </w:r>
    </w:p>
    <w:p>
      <w:pPr>
        <w:snapToGrid w:val="0"/>
        <w:ind w:firstLine="420" w:firstLineChars="200"/>
        <w:rPr>
          <w:color w:val="auto"/>
          <w:szCs w:val="21"/>
        </w:rPr>
      </w:pPr>
      <w:r>
        <w:rPr>
          <w:color w:val="auto"/>
          <w:szCs w:val="21"/>
        </w:rPr>
        <w:t>赔偿金 = 发包人直接经济损失所对应的检测费 × 检测人应承担责任的比例</w:t>
      </w:r>
    </w:p>
    <w:p>
      <w:pPr>
        <w:snapToGrid w:val="0"/>
        <w:ind w:firstLine="420" w:firstLineChars="200"/>
        <w:rPr>
          <w:color w:val="auto"/>
          <w:szCs w:val="21"/>
        </w:rPr>
      </w:pPr>
      <w:r>
        <w:rPr>
          <w:color w:val="auto"/>
          <w:szCs w:val="21"/>
        </w:rPr>
        <w:t>检测人对由于第三方责任造成的任何经济损失，不承担责任。如果检测人与发包人或第三方对有关经济损失共负责任时，应按责任比例计算赔偿。</w:t>
      </w:r>
    </w:p>
    <w:p>
      <w:pPr>
        <w:snapToGrid w:val="0"/>
        <w:ind w:firstLine="420" w:firstLineChars="200"/>
        <w:rPr>
          <w:color w:val="auto"/>
          <w:szCs w:val="21"/>
        </w:rPr>
      </w:pPr>
      <w:r>
        <w:rPr>
          <w:color w:val="auto"/>
          <w:szCs w:val="21"/>
        </w:rPr>
        <w:t>检测人的上述责任赔偿，均应按照本合同条款第4.4款的约定办理。</w:t>
      </w:r>
    </w:p>
    <w:p>
      <w:pPr>
        <w:snapToGrid w:val="0"/>
        <w:ind w:firstLine="420" w:firstLineChars="200"/>
        <w:rPr>
          <w:color w:val="auto"/>
          <w:szCs w:val="21"/>
        </w:rPr>
      </w:pPr>
      <w:r>
        <w:rPr>
          <w:color w:val="auto"/>
          <w:szCs w:val="21"/>
        </w:rPr>
        <w:t>4.1.3  检测人对发包人未授权的试验检测服务范围不承担试验检测责任。</w:t>
      </w:r>
    </w:p>
    <w:p>
      <w:pPr>
        <w:pStyle w:val="630"/>
        <w:ind w:firstLine="422"/>
        <w:rPr>
          <w:color w:val="auto"/>
        </w:rPr>
      </w:pPr>
      <w:r>
        <w:rPr>
          <w:color w:val="auto"/>
        </w:rPr>
        <w:t xml:space="preserve">4.2  </w:t>
      </w:r>
      <w:r>
        <w:rPr>
          <w:rFonts w:hint="eastAsia" w:ascii="黑体" w:hAnsi="黑体"/>
          <w:color w:val="auto"/>
        </w:rPr>
        <w:t>发包人的违约和赔偿责任</w:t>
      </w:r>
    </w:p>
    <w:p>
      <w:pPr>
        <w:snapToGrid w:val="0"/>
        <w:ind w:firstLine="420" w:firstLineChars="200"/>
        <w:rPr>
          <w:color w:val="auto"/>
          <w:szCs w:val="21"/>
        </w:rPr>
      </w:pPr>
      <w:r>
        <w:rPr>
          <w:color w:val="auto"/>
          <w:szCs w:val="21"/>
        </w:rPr>
        <w:t>4.2.1  发包人的违约</w:t>
      </w:r>
    </w:p>
    <w:p>
      <w:pPr>
        <w:snapToGrid w:val="0"/>
        <w:ind w:firstLine="420" w:firstLineChars="200"/>
        <w:rPr>
          <w:color w:val="auto"/>
          <w:szCs w:val="21"/>
        </w:rPr>
      </w:pPr>
      <w:r>
        <w:rPr>
          <w:color w:val="auto"/>
          <w:szCs w:val="21"/>
        </w:rPr>
        <w:t>4.2.1.1  发包人在合同约定的期限内，未向检测人支付到期应付的款项。</w:t>
      </w:r>
    </w:p>
    <w:p>
      <w:pPr>
        <w:snapToGrid w:val="0"/>
        <w:ind w:firstLine="420" w:firstLineChars="200"/>
        <w:rPr>
          <w:color w:val="auto"/>
          <w:szCs w:val="21"/>
        </w:rPr>
      </w:pPr>
      <w:r>
        <w:rPr>
          <w:color w:val="auto"/>
          <w:szCs w:val="21"/>
        </w:rPr>
        <w:t>4.2.1.2  发包人未按合同约定履行其他应尽义务。</w:t>
      </w:r>
    </w:p>
    <w:p>
      <w:pPr>
        <w:snapToGrid w:val="0"/>
        <w:ind w:firstLine="420" w:firstLineChars="200"/>
        <w:rPr>
          <w:color w:val="auto"/>
          <w:szCs w:val="21"/>
        </w:rPr>
      </w:pPr>
      <w:r>
        <w:rPr>
          <w:color w:val="auto"/>
          <w:szCs w:val="21"/>
        </w:rPr>
        <w:t>发包人违反上述约定应承担违约责任，并按相关合同条款约定承担相应的费用。</w:t>
      </w:r>
    </w:p>
    <w:p>
      <w:pPr>
        <w:snapToGrid w:val="0"/>
        <w:ind w:firstLine="420" w:firstLineChars="200"/>
        <w:rPr>
          <w:color w:val="auto"/>
          <w:szCs w:val="21"/>
        </w:rPr>
      </w:pPr>
      <w:r>
        <w:rPr>
          <w:color w:val="auto"/>
          <w:szCs w:val="21"/>
        </w:rPr>
        <w:t>4.2.2  发包人的赔偿责任</w:t>
      </w:r>
    </w:p>
    <w:p>
      <w:pPr>
        <w:snapToGrid w:val="0"/>
        <w:ind w:firstLine="420" w:firstLineChars="200"/>
        <w:rPr>
          <w:color w:val="auto"/>
          <w:szCs w:val="21"/>
        </w:rPr>
      </w:pPr>
      <w:r>
        <w:rPr>
          <w:color w:val="auto"/>
          <w:szCs w:val="21"/>
        </w:rPr>
        <w:t>发包人违反试验检测合同的约定并造成检测人的经济损失，应向检测人赔偿，除非专用合同条款另有约定，发包人应据实赔偿检测人的直接经济损失。</w:t>
      </w:r>
    </w:p>
    <w:p>
      <w:pPr>
        <w:pStyle w:val="630"/>
        <w:ind w:firstLine="422"/>
        <w:rPr>
          <w:color w:val="auto"/>
        </w:rPr>
      </w:pPr>
      <w:r>
        <w:rPr>
          <w:color w:val="auto"/>
        </w:rPr>
        <w:t xml:space="preserve">4.3  </w:t>
      </w:r>
      <w:r>
        <w:rPr>
          <w:rFonts w:hint="eastAsia" w:ascii="黑体" w:hAnsi="黑体"/>
          <w:color w:val="auto"/>
        </w:rPr>
        <w:t>赔偿责任的期限</w:t>
      </w:r>
    </w:p>
    <w:p>
      <w:pPr>
        <w:snapToGrid w:val="0"/>
        <w:ind w:firstLine="420" w:firstLineChars="200"/>
        <w:rPr>
          <w:color w:val="auto"/>
          <w:szCs w:val="21"/>
        </w:rPr>
      </w:pPr>
      <w:r>
        <w:rPr>
          <w:color w:val="auto"/>
          <w:szCs w:val="21"/>
        </w:rPr>
        <w:t>发包人或检测人任何一方向另一方要求的赔偿，都应在赔偿事件发生后的28日之内以书面形式提出索赔。如果该事件具有持续性，则应在事件首次发生后7日之内提出索赔意向，并每隔7日提供一次该事件仍在持续发展的证明材料，直至该事件结束后28日之内提出正式的索赔文件。无论是发包人还是检测人，逾期未提出书面索赔意向书，则失去索赔权利。</w:t>
      </w:r>
    </w:p>
    <w:p>
      <w:pPr>
        <w:pStyle w:val="630"/>
        <w:ind w:firstLine="422"/>
        <w:rPr>
          <w:color w:val="auto"/>
        </w:rPr>
      </w:pPr>
      <w:r>
        <w:rPr>
          <w:color w:val="auto"/>
        </w:rPr>
        <w:t xml:space="preserve">4.4  </w:t>
      </w:r>
      <w:r>
        <w:rPr>
          <w:rFonts w:hint="eastAsia" w:ascii="黑体" w:hAnsi="黑体"/>
          <w:color w:val="auto"/>
        </w:rPr>
        <w:t>赔偿的限额</w:t>
      </w:r>
    </w:p>
    <w:p>
      <w:pPr>
        <w:snapToGrid w:val="0"/>
        <w:ind w:firstLine="420" w:firstLineChars="200"/>
        <w:rPr>
          <w:color w:val="auto"/>
          <w:szCs w:val="21"/>
        </w:rPr>
      </w:pPr>
      <w:r>
        <w:rPr>
          <w:color w:val="auto"/>
          <w:szCs w:val="21"/>
        </w:rPr>
        <w:t>鉴于双方在本条款中，约定了任何一方向另一方依据本合同条款第4.1款和第4.2款支付赔偿的最高限额，除非专用合同条款另行约定，双方在此一致同意放弃超过该限额的剩余赔偿要求。但本合同条款其他条款约定的补偿和由于任何一方故意违约而引起的索赔，不受该限额的限制。</w:t>
      </w:r>
    </w:p>
    <w:p>
      <w:pPr>
        <w:snapToGrid w:val="0"/>
        <w:ind w:firstLine="420" w:firstLineChars="200"/>
        <w:rPr>
          <w:color w:val="auto"/>
          <w:szCs w:val="21"/>
        </w:rPr>
      </w:pPr>
      <w:r>
        <w:rPr>
          <w:color w:val="auto"/>
          <w:szCs w:val="21"/>
        </w:rPr>
        <w:t>检测人的累计赔偿限额为试验检测服务费总额的30%，当达到此限额时，发包人在按规定报备后有权单方面终止试验检测合同，没收检测人的履约担保。</w:t>
      </w:r>
    </w:p>
    <w:p>
      <w:pPr>
        <w:snapToGrid w:val="0"/>
        <w:ind w:firstLine="420" w:firstLineChars="200"/>
        <w:rPr>
          <w:color w:val="auto"/>
          <w:szCs w:val="21"/>
        </w:rPr>
      </w:pPr>
      <w:r>
        <w:rPr>
          <w:color w:val="auto"/>
          <w:szCs w:val="21"/>
        </w:rPr>
        <w:t>发包人赔偿检测人的直接经济损失的累计限额为试验检测服务费总额。</w:t>
      </w:r>
    </w:p>
    <w:p>
      <w:pPr>
        <w:pStyle w:val="630"/>
        <w:ind w:firstLine="422"/>
        <w:rPr>
          <w:color w:val="auto"/>
        </w:rPr>
      </w:pPr>
      <w:r>
        <w:rPr>
          <w:color w:val="auto"/>
        </w:rPr>
        <w:t xml:space="preserve">4.5  </w:t>
      </w:r>
      <w:r>
        <w:rPr>
          <w:rFonts w:hint="eastAsia" w:ascii="黑体" w:hAnsi="黑体"/>
          <w:color w:val="auto"/>
        </w:rPr>
        <w:t>保障</w:t>
      </w:r>
    </w:p>
    <w:p>
      <w:pPr>
        <w:snapToGrid w:val="0"/>
        <w:ind w:firstLine="420" w:firstLineChars="200"/>
        <w:rPr>
          <w:color w:val="auto"/>
          <w:szCs w:val="21"/>
        </w:rPr>
      </w:pPr>
      <w:r>
        <w:rPr>
          <w:color w:val="auto"/>
          <w:szCs w:val="21"/>
        </w:rPr>
        <w:t>4.5.1  在检测人不违反有关法律、法规和合同约定的前提下，发包人应保障检测人免受因履行本试验检测合同而引起的外界索赔或干扰。</w:t>
      </w:r>
    </w:p>
    <w:p>
      <w:pPr>
        <w:snapToGrid w:val="0"/>
        <w:ind w:firstLine="420" w:firstLineChars="200"/>
        <w:rPr>
          <w:color w:val="auto"/>
          <w:szCs w:val="21"/>
        </w:rPr>
      </w:pPr>
      <w:r>
        <w:rPr>
          <w:color w:val="auto"/>
          <w:szCs w:val="21"/>
        </w:rPr>
        <w:t>4.5.2  检测人在签订试验检测合同协议书时，应按照发包人认可的形式向发包人递交履约保函或履约保证金。如果检测人无正当理由全部或部分不履行本试验检测合同时，发包人有权根据具体情况没收全部或部分履约担保。发包人应当同时向检测人提供试验检测服务费支付担保。</w:t>
      </w:r>
    </w:p>
    <w:p>
      <w:pPr>
        <w:snapToGrid w:val="0"/>
        <w:ind w:firstLine="420" w:firstLineChars="200"/>
        <w:rPr>
          <w:color w:val="auto"/>
          <w:szCs w:val="21"/>
        </w:rPr>
      </w:pPr>
      <w:r>
        <w:rPr>
          <w:color w:val="auto"/>
          <w:szCs w:val="21"/>
        </w:rPr>
        <w:t>4.5.3  检测人完成了所有检测任务，提交试验检测报告并通过了发包人验收后的14日内，发包人向检测人返还履约担保。</w:t>
      </w:r>
    </w:p>
    <w:p>
      <w:pPr>
        <w:pStyle w:val="630"/>
        <w:ind w:firstLine="422"/>
        <w:rPr>
          <w:color w:val="auto"/>
        </w:rPr>
      </w:pPr>
      <w:r>
        <w:rPr>
          <w:color w:val="auto"/>
        </w:rPr>
        <w:t xml:space="preserve">4.6  </w:t>
      </w:r>
      <w:r>
        <w:rPr>
          <w:rFonts w:hint="eastAsia" w:ascii="黑体" w:hAnsi="黑体"/>
          <w:color w:val="auto"/>
        </w:rPr>
        <w:t>保险</w:t>
      </w:r>
    </w:p>
    <w:p>
      <w:pPr>
        <w:snapToGrid w:val="0"/>
        <w:ind w:firstLine="420" w:firstLineChars="200"/>
        <w:rPr>
          <w:color w:val="auto"/>
          <w:szCs w:val="21"/>
        </w:rPr>
      </w:pPr>
      <w:r>
        <w:rPr>
          <w:color w:val="auto"/>
          <w:szCs w:val="21"/>
        </w:rPr>
        <w:t>检测人应在试验检测服务期内，自费办理本项目试验检测人员的人身和自备财产的有关保险，保险时间应随服务时间的延长而顺延，并在出险后自行办理索赔。如果检测人不办理上述保险，则应对有关风险及后果自负其责。</w:t>
      </w:r>
    </w:p>
    <w:p>
      <w:pPr>
        <w:pStyle w:val="634"/>
        <w:rPr>
          <w:b/>
          <w:color w:val="auto"/>
        </w:rPr>
      </w:pPr>
      <w:r>
        <w:rPr>
          <w:rFonts w:hint="eastAsia"/>
          <w:b/>
          <w:color w:val="auto"/>
        </w:rPr>
        <w:t>5</w:t>
      </w:r>
      <w:r>
        <w:rPr>
          <w:rFonts w:hint="eastAsia" w:ascii="黑体" w:hAnsi="黑体"/>
          <w:b/>
          <w:color w:val="auto"/>
        </w:rPr>
        <w:t>．</w:t>
      </w:r>
      <w:r>
        <w:rPr>
          <w:rFonts w:hint="eastAsia" w:ascii="黑体" w:hAnsi="黑体"/>
          <w:color w:val="auto"/>
        </w:rPr>
        <w:t>试验检测合同的生效、终止、变更、暂停与解除</w:t>
      </w:r>
    </w:p>
    <w:p>
      <w:pPr>
        <w:pStyle w:val="630"/>
        <w:ind w:firstLine="422"/>
        <w:rPr>
          <w:color w:val="auto"/>
        </w:rPr>
      </w:pPr>
      <w:r>
        <w:rPr>
          <w:color w:val="auto"/>
        </w:rPr>
        <w:t xml:space="preserve">5.1  </w:t>
      </w:r>
      <w:r>
        <w:rPr>
          <w:rFonts w:hint="eastAsia" w:ascii="黑体" w:hAnsi="黑体"/>
          <w:color w:val="auto"/>
        </w:rPr>
        <w:t>试验检测合同协议书的生效</w:t>
      </w:r>
    </w:p>
    <w:p>
      <w:pPr>
        <w:snapToGrid w:val="0"/>
        <w:ind w:firstLine="420" w:firstLineChars="200"/>
        <w:rPr>
          <w:color w:val="auto"/>
          <w:szCs w:val="21"/>
        </w:rPr>
      </w:pPr>
      <w:r>
        <w:rPr>
          <w:color w:val="auto"/>
          <w:szCs w:val="21"/>
        </w:rPr>
        <w:t>试验检测合同协议书生效的时间，以双方签署的协议书上约定的时间为准。</w:t>
      </w:r>
    </w:p>
    <w:p>
      <w:pPr>
        <w:pStyle w:val="630"/>
        <w:ind w:firstLine="422"/>
        <w:rPr>
          <w:color w:val="auto"/>
        </w:rPr>
      </w:pPr>
      <w:r>
        <w:rPr>
          <w:color w:val="auto"/>
        </w:rPr>
        <w:t xml:space="preserve">5.2 </w:t>
      </w:r>
      <w:r>
        <w:rPr>
          <w:rFonts w:hint="eastAsia"/>
          <w:color w:val="auto"/>
        </w:rPr>
        <w:t xml:space="preserve"> </w:t>
      </w:r>
      <w:r>
        <w:rPr>
          <w:rFonts w:hint="eastAsia" w:ascii="黑体" w:hAnsi="黑体"/>
          <w:color w:val="auto"/>
        </w:rPr>
        <w:t>试验检测服务的时间和期限</w:t>
      </w:r>
    </w:p>
    <w:p>
      <w:pPr>
        <w:snapToGrid w:val="0"/>
        <w:ind w:firstLine="420" w:firstLineChars="200"/>
        <w:rPr>
          <w:color w:val="auto"/>
          <w:szCs w:val="21"/>
        </w:rPr>
      </w:pPr>
      <w:r>
        <w:rPr>
          <w:color w:val="auto"/>
          <w:szCs w:val="21"/>
        </w:rPr>
        <w:t>检测人必须按照试验检测合同约定的时间和有关期限履行和完成试验检测服务。如果非检测人的原因，致使试验检测服务时间需要延长，可由双方通过协商，另行签订补充协议。</w:t>
      </w:r>
    </w:p>
    <w:p>
      <w:pPr>
        <w:pStyle w:val="630"/>
        <w:ind w:firstLine="422"/>
        <w:rPr>
          <w:color w:val="auto"/>
        </w:rPr>
      </w:pPr>
      <w:r>
        <w:rPr>
          <w:color w:val="auto"/>
        </w:rPr>
        <w:t xml:space="preserve">5.3 </w:t>
      </w:r>
      <w:r>
        <w:rPr>
          <w:rFonts w:hint="eastAsia"/>
          <w:color w:val="auto"/>
        </w:rPr>
        <w:t xml:space="preserve"> </w:t>
      </w:r>
      <w:r>
        <w:rPr>
          <w:rFonts w:hint="eastAsia" w:ascii="黑体" w:hAnsi="黑体"/>
          <w:color w:val="auto"/>
        </w:rPr>
        <w:t>试验检测合同的终止</w:t>
      </w:r>
    </w:p>
    <w:p>
      <w:pPr>
        <w:snapToGrid w:val="0"/>
        <w:ind w:firstLine="420" w:firstLineChars="200"/>
        <w:rPr>
          <w:color w:val="auto"/>
          <w:szCs w:val="21"/>
        </w:rPr>
      </w:pPr>
      <w:r>
        <w:rPr>
          <w:color w:val="auto"/>
          <w:szCs w:val="21"/>
        </w:rPr>
        <w:t>试验检测合同终止和失效的时间，按双方签署的协议书上注明的方式确定。合同协议的终止并不影响双方应有的权利和应承担的责任。</w:t>
      </w:r>
    </w:p>
    <w:p>
      <w:pPr>
        <w:pStyle w:val="630"/>
        <w:ind w:firstLine="422"/>
        <w:rPr>
          <w:color w:val="auto"/>
        </w:rPr>
      </w:pPr>
      <w:r>
        <w:rPr>
          <w:color w:val="auto"/>
        </w:rPr>
        <w:t xml:space="preserve">5.4  </w:t>
      </w:r>
      <w:r>
        <w:rPr>
          <w:rFonts w:hint="eastAsia" w:ascii="黑体" w:hAnsi="黑体"/>
          <w:color w:val="auto"/>
        </w:rPr>
        <w:t>试验检测合同的变更</w:t>
      </w:r>
    </w:p>
    <w:p>
      <w:pPr>
        <w:snapToGrid w:val="0"/>
        <w:ind w:firstLine="420" w:firstLineChars="200"/>
        <w:rPr>
          <w:color w:val="auto"/>
          <w:szCs w:val="21"/>
        </w:rPr>
      </w:pPr>
      <w:r>
        <w:rPr>
          <w:color w:val="auto"/>
          <w:szCs w:val="21"/>
        </w:rPr>
        <w:t>5.4.1  任何一方提出申请并经双方书面同意后，可对本试验检测合同进行变更。</w:t>
      </w:r>
    </w:p>
    <w:p>
      <w:pPr>
        <w:snapToGrid w:val="0"/>
        <w:ind w:firstLine="420" w:firstLineChars="200"/>
        <w:rPr>
          <w:color w:val="auto"/>
          <w:szCs w:val="21"/>
        </w:rPr>
      </w:pPr>
      <w:r>
        <w:rPr>
          <w:color w:val="auto"/>
          <w:szCs w:val="21"/>
        </w:rPr>
        <w:t>5.4.2  发包人可书面要求改变本合同条款第2.1款和试验检测合同约定的试验检测服务的形式、范围与内容，但必须在双方协商一致的基础上，按照本试验检测合同的约定进行变更。上述变更导致增加或减少的试验检测服务工作量，其有关的试验检测费用和服务时间亦应做相应的调整。</w:t>
      </w:r>
    </w:p>
    <w:p>
      <w:pPr>
        <w:snapToGrid w:val="0"/>
        <w:ind w:firstLine="420" w:firstLineChars="200"/>
        <w:rPr>
          <w:color w:val="auto"/>
          <w:szCs w:val="21"/>
        </w:rPr>
      </w:pPr>
      <w:r>
        <w:rPr>
          <w:color w:val="auto"/>
          <w:szCs w:val="21"/>
        </w:rPr>
        <w:t>5.4.3  因发包人或第三方的责任，阻碍或延误了检测人履行试验检测服务，检测人应及时将该情况与其可能产生的影响书面通知发包人，如有必要，在双方协商一致的基础上对试验检测合同进行相应的变更。上述情况导致增加的试验检测服务工作量或工作时间，其费用按专用合同条款约定进行</w:t>
      </w:r>
      <w:r>
        <w:rPr>
          <w:color w:val="auto"/>
        </w:rPr>
        <w:t>调</w:t>
      </w:r>
      <w:r>
        <w:rPr>
          <w:color w:val="auto"/>
          <w:szCs w:val="21"/>
        </w:rPr>
        <w:t>整，检测人完成相应服务的时间亦应予以延长。</w:t>
      </w:r>
    </w:p>
    <w:p>
      <w:pPr>
        <w:snapToGrid w:val="0"/>
        <w:ind w:firstLine="420" w:firstLineChars="200"/>
        <w:rPr>
          <w:color w:val="auto"/>
          <w:szCs w:val="21"/>
        </w:rPr>
      </w:pPr>
      <w:r>
        <w:rPr>
          <w:color w:val="auto"/>
          <w:szCs w:val="21"/>
        </w:rPr>
        <w:t>5.4.4  在签订本试验检测合同后，因物价变动等因素而引起试验检测服务费用的变化，发包人应按专用合同条款的约定进行调整。</w:t>
      </w:r>
    </w:p>
    <w:p>
      <w:pPr>
        <w:snapToGrid w:val="0"/>
        <w:ind w:firstLine="420" w:firstLineChars="200"/>
        <w:rPr>
          <w:color w:val="auto"/>
          <w:szCs w:val="21"/>
        </w:rPr>
      </w:pPr>
      <w:r>
        <w:rPr>
          <w:color w:val="auto"/>
          <w:szCs w:val="21"/>
        </w:rPr>
        <w:t>5.4.5  在签订本试验检测合同后，因国家或地方政府的法律、法规变动而引起试验检测服务费用的增加或服务时间的延长，发包人应按专用合同条款约定进行调整。</w:t>
      </w:r>
    </w:p>
    <w:p>
      <w:pPr>
        <w:pStyle w:val="630"/>
        <w:ind w:firstLine="422"/>
        <w:rPr>
          <w:color w:val="auto"/>
        </w:rPr>
      </w:pPr>
      <w:r>
        <w:rPr>
          <w:color w:val="auto"/>
        </w:rPr>
        <w:t xml:space="preserve">5.5  </w:t>
      </w:r>
      <w:r>
        <w:rPr>
          <w:rFonts w:hint="eastAsia" w:ascii="黑体" w:hAnsi="黑体"/>
          <w:color w:val="auto"/>
        </w:rPr>
        <w:t>试验检测合同的暂停与解除</w:t>
      </w:r>
    </w:p>
    <w:p>
      <w:pPr>
        <w:snapToGrid w:val="0"/>
        <w:ind w:firstLine="420" w:firstLineChars="200"/>
        <w:rPr>
          <w:color w:val="auto"/>
          <w:szCs w:val="21"/>
        </w:rPr>
      </w:pPr>
      <w:r>
        <w:rPr>
          <w:color w:val="auto"/>
          <w:szCs w:val="21"/>
        </w:rPr>
        <w:t>5.5.1  出现根据本试验检测合同的约定不应由检测人负责的情况，且该情况已使检测人不能继续履行全部或部分试验检测服务时，检测人应立即书面通知发包人。并且：</w:t>
      </w:r>
    </w:p>
    <w:p>
      <w:pPr>
        <w:snapToGrid w:val="0"/>
        <w:ind w:firstLine="420" w:firstLineChars="200"/>
        <w:rPr>
          <w:color w:val="auto"/>
          <w:szCs w:val="21"/>
        </w:rPr>
      </w:pPr>
      <w:r>
        <w:rPr>
          <w:color w:val="auto"/>
          <w:szCs w:val="21"/>
        </w:rPr>
        <w:t>5.5.1.1  不得不暂停或减缓某些试验检测服务时，则上述服务的完成期限应予以延长，因此而增加的试验检测服务工作量或延长的服务时间，发包人应按专用合同条款约定进行调整。</w:t>
      </w:r>
    </w:p>
    <w:p>
      <w:pPr>
        <w:snapToGrid w:val="0"/>
        <w:ind w:firstLine="420" w:firstLineChars="200"/>
        <w:rPr>
          <w:color w:val="auto"/>
          <w:szCs w:val="21"/>
        </w:rPr>
      </w:pPr>
      <w:r>
        <w:rPr>
          <w:color w:val="auto"/>
          <w:szCs w:val="21"/>
        </w:rPr>
        <w:t>5.5.1.2  全部试验检测服务已无法继续履行时，检测人在书面通知发包人28日之后，有权单方面解除本试验检测合同，因此增加的试验检测服务工作量所涉及费用，发包人应按合同条款约定进行调整，同时应及时向检测人返还全部或剩余部分的履约担保。</w:t>
      </w:r>
    </w:p>
    <w:p>
      <w:pPr>
        <w:snapToGrid w:val="0"/>
        <w:ind w:firstLine="420" w:firstLineChars="200"/>
        <w:rPr>
          <w:color w:val="auto"/>
          <w:szCs w:val="21"/>
        </w:rPr>
      </w:pPr>
      <w:r>
        <w:rPr>
          <w:color w:val="auto"/>
          <w:szCs w:val="21"/>
        </w:rPr>
        <w:t>5.5.1.3  因不可抗力致使本试验检测合同不能履行或只能部分履行时，一方应立即书面通知另一方，暂停或解除试验检测合同。双方应对由此而产生的任何损失、损害或延误各负其责。不可抗力是指检测人和发包人在订立合同时不可预见，在工程实施过程中不可避免发生并不能克服的自然灾害和社会性突发事件，如地震、海啸、瘟疫、水灾、暴动、战争和专用合同条款约定的其他情形。</w:t>
      </w:r>
    </w:p>
    <w:p>
      <w:pPr>
        <w:snapToGrid w:val="0"/>
        <w:ind w:firstLine="420" w:firstLineChars="200"/>
        <w:rPr>
          <w:color w:val="auto"/>
          <w:szCs w:val="21"/>
        </w:rPr>
      </w:pPr>
      <w:r>
        <w:rPr>
          <w:color w:val="auto"/>
          <w:szCs w:val="21"/>
        </w:rPr>
        <w:t>5.5.2  发包人要求检测人全部或部分暂停试验检测服务或解除本试验检测合同时，必须在56日之前发出书面通知。检测人在接到通知后，应立即安排停止全部或该部分试验检测服务并将相关费用开支减至最小。因此增加的试验检测服务工作量所涉及的费用，发包人应按合同条款约定进行调整，同时及时向检测人返还全部或剩余部分的履约担保。</w:t>
      </w:r>
    </w:p>
    <w:p>
      <w:pPr>
        <w:snapToGrid w:val="0"/>
        <w:ind w:firstLine="420" w:firstLineChars="200"/>
        <w:rPr>
          <w:color w:val="auto"/>
          <w:szCs w:val="21"/>
        </w:rPr>
      </w:pPr>
      <w:r>
        <w:rPr>
          <w:color w:val="auto"/>
          <w:szCs w:val="21"/>
        </w:rPr>
        <w:t>5.5.3  检测人无正当的理由，未根据试验检测合同的约定履行全部或部分试验检测服务，发包人可书面要求检测人予以解释。若检测人在28日内未能根据本试验检测合同给予合理的答复，发包人可在进一步发出书面通知14日后，并按规定报备后可单方面解除本试验检测合同，并视情况没收检测人的全部或部分履约担保。</w:t>
      </w:r>
    </w:p>
    <w:p>
      <w:pPr>
        <w:snapToGrid w:val="0"/>
        <w:ind w:firstLine="420" w:firstLineChars="200"/>
        <w:rPr>
          <w:color w:val="auto"/>
          <w:szCs w:val="21"/>
        </w:rPr>
      </w:pPr>
      <w:r>
        <w:rPr>
          <w:color w:val="auto"/>
          <w:szCs w:val="21"/>
        </w:rPr>
        <w:t>5.5.4  发包人拖延支付试验检测服务费用，并已超过合同条款约定支付期限后28日，或根据本合同条款第5.5.1.1目或第5.5.2项的约定，暂停试验检测服务已超过6个月，检测人可书面要求发包人予以解释。若发包人在28日内未能根据本试验检测合同给予合理的答复，检测人可在进一步发出书面通知14日后，单方面解除本试验检测合同或自行暂停全部或部分试验检测服务。因此增加的试验检测服务工作量所涉及的费用，发包人应按合同条款约定进行调整，同时应及时向检测人返还全部或剩余部分的履约担保。</w:t>
      </w:r>
    </w:p>
    <w:p>
      <w:pPr>
        <w:snapToGrid w:val="0"/>
        <w:ind w:firstLine="420" w:firstLineChars="200"/>
        <w:rPr>
          <w:color w:val="auto"/>
          <w:szCs w:val="21"/>
        </w:rPr>
      </w:pPr>
      <w:r>
        <w:rPr>
          <w:color w:val="auto"/>
          <w:szCs w:val="21"/>
        </w:rPr>
        <w:t>5.5.5  试验检测合同的解除，不得损害或影响双方根据本试验检测合同应有的义务、责任、权力和利益。</w:t>
      </w:r>
    </w:p>
    <w:p>
      <w:pPr>
        <w:pStyle w:val="630"/>
        <w:ind w:firstLine="422"/>
        <w:rPr>
          <w:color w:val="auto"/>
        </w:rPr>
      </w:pPr>
      <w:r>
        <w:rPr>
          <w:color w:val="auto"/>
        </w:rPr>
        <w:t xml:space="preserve">5.6  </w:t>
      </w:r>
      <w:r>
        <w:rPr>
          <w:rFonts w:hint="eastAsia" w:ascii="黑体" w:hAnsi="黑体"/>
          <w:color w:val="auto"/>
        </w:rPr>
        <w:t>转让和分包</w:t>
      </w:r>
    </w:p>
    <w:p>
      <w:pPr>
        <w:snapToGrid w:val="0"/>
        <w:ind w:firstLine="420" w:firstLineChars="200"/>
        <w:rPr>
          <w:color w:val="auto"/>
          <w:szCs w:val="21"/>
        </w:rPr>
      </w:pPr>
      <w:r>
        <w:rPr>
          <w:color w:val="auto"/>
          <w:szCs w:val="21"/>
        </w:rPr>
        <w:t>5.6.1 检测人不得将本合同规定的试验检测任务转包。</w:t>
      </w:r>
    </w:p>
    <w:p>
      <w:pPr>
        <w:snapToGrid w:val="0"/>
        <w:ind w:firstLine="420" w:firstLineChars="200"/>
        <w:rPr>
          <w:color w:val="auto"/>
          <w:szCs w:val="21"/>
        </w:rPr>
      </w:pPr>
      <w:r>
        <w:rPr>
          <w:color w:val="auto"/>
          <w:szCs w:val="21"/>
        </w:rPr>
        <w:t>5.6.2 现场专项检测不允许分包；竣（交）工检测，经发包人同意和批准，检测人可将试验检测工作进行分包；除跨专业或者有特殊要求的试验检测工作外，常规试验检测工作只允许有一家分包人且该分包人本身或内设机构应具备交通运输部门颁发的试验检测等级证书，分包工作量不超过试验检测工作总量的30%。</w:t>
      </w:r>
    </w:p>
    <w:p>
      <w:pPr>
        <w:snapToGrid w:val="0"/>
        <w:ind w:firstLine="420" w:firstLineChars="200"/>
        <w:rPr>
          <w:color w:val="auto"/>
          <w:szCs w:val="21"/>
        </w:rPr>
      </w:pPr>
      <w:r>
        <w:rPr>
          <w:color w:val="auto"/>
          <w:szCs w:val="21"/>
        </w:rPr>
        <w:t>5.6.3 分包人的试验检测参数应与其承担的试验检测规模和标准相适应，分包人不得将该分包项目再次分包或转包。</w:t>
      </w:r>
    </w:p>
    <w:p>
      <w:pPr>
        <w:snapToGrid w:val="0"/>
        <w:ind w:firstLine="420" w:firstLineChars="200"/>
        <w:rPr>
          <w:color w:val="auto"/>
          <w:szCs w:val="21"/>
        </w:rPr>
      </w:pPr>
      <w:r>
        <w:rPr>
          <w:color w:val="auto"/>
          <w:szCs w:val="21"/>
        </w:rPr>
        <w:t>5.6.4 即使发包人同意分包，也不应解除检测人根据合同规定应承担的全部责任和义务，检测人和分包人应就分包人的工作对发包人负连带责任。</w:t>
      </w:r>
    </w:p>
    <w:p>
      <w:pPr>
        <w:snapToGrid w:val="0"/>
        <w:ind w:firstLine="420" w:firstLineChars="200"/>
        <w:rPr>
          <w:color w:val="auto"/>
          <w:szCs w:val="21"/>
        </w:rPr>
      </w:pPr>
      <w:r>
        <w:rPr>
          <w:color w:val="auto"/>
          <w:szCs w:val="21"/>
        </w:rPr>
        <w:t>5.6.5 任何分包合同须在签订之日7天内报发包人备案。</w:t>
      </w:r>
    </w:p>
    <w:p>
      <w:pPr>
        <w:snapToGrid w:val="0"/>
        <w:ind w:firstLine="420" w:firstLineChars="200"/>
        <w:rPr>
          <w:color w:val="auto"/>
          <w:szCs w:val="21"/>
        </w:rPr>
      </w:pPr>
      <w:r>
        <w:rPr>
          <w:color w:val="auto"/>
          <w:szCs w:val="21"/>
        </w:rPr>
        <w:t>5.6.6 发包人对检测人与各分包人之间的法律和经济纠纷不承担任何责任和义务。</w:t>
      </w:r>
    </w:p>
    <w:p>
      <w:pPr>
        <w:pStyle w:val="634"/>
        <w:rPr>
          <w:b/>
          <w:color w:val="auto"/>
        </w:rPr>
      </w:pPr>
      <w:r>
        <w:rPr>
          <w:rFonts w:hint="eastAsia"/>
          <w:b/>
          <w:color w:val="auto"/>
        </w:rPr>
        <w:t>6</w:t>
      </w:r>
      <w:r>
        <w:rPr>
          <w:rFonts w:hint="eastAsia" w:ascii="黑体" w:hAnsi="黑体"/>
          <w:b/>
          <w:color w:val="auto"/>
        </w:rPr>
        <w:t>．</w:t>
      </w:r>
      <w:r>
        <w:rPr>
          <w:rFonts w:hint="eastAsia" w:ascii="黑体" w:hAnsi="黑体"/>
          <w:color w:val="auto"/>
        </w:rPr>
        <w:t>试验检测服务的费用与支付</w:t>
      </w:r>
    </w:p>
    <w:p>
      <w:pPr>
        <w:pStyle w:val="630"/>
        <w:ind w:firstLine="422"/>
        <w:rPr>
          <w:color w:val="auto"/>
        </w:rPr>
      </w:pPr>
      <w:r>
        <w:rPr>
          <w:color w:val="auto"/>
        </w:rPr>
        <w:t xml:space="preserve">6.1  </w:t>
      </w:r>
      <w:r>
        <w:rPr>
          <w:rFonts w:hint="eastAsia" w:ascii="黑体" w:hAnsi="黑体"/>
          <w:color w:val="auto"/>
        </w:rPr>
        <w:t>试验检测服务费用内容</w:t>
      </w:r>
    </w:p>
    <w:p>
      <w:pPr>
        <w:snapToGrid w:val="0"/>
        <w:ind w:firstLine="420" w:firstLineChars="200"/>
        <w:rPr>
          <w:color w:val="auto"/>
          <w:szCs w:val="21"/>
        </w:rPr>
      </w:pPr>
      <w:r>
        <w:rPr>
          <w:color w:val="auto"/>
          <w:szCs w:val="21"/>
        </w:rPr>
        <w:t>试验检测服务费用指为完成合同所列试验检测工作所需一切费用。</w:t>
      </w:r>
    </w:p>
    <w:p>
      <w:pPr>
        <w:pStyle w:val="630"/>
        <w:ind w:firstLine="422"/>
        <w:rPr>
          <w:color w:val="auto"/>
        </w:rPr>
      </w:pPr>
      <w:r>
        <w:rPr>
          <w:rFonts w:hint="eastAsia"/>
          <w:color w:val="auto"/>
        </w:rPr>
        <w:t>6.2</w:t>
      </w:r>
      <w:r>
        <w:rPr>
          <w:color w:val="auto"/>
        </w:rPr>
        <w:t xml:space="preserve">  </w:t>
      </w:r>
      <w:r>
        <w:rPr>
          <w:rFonts w:hint="eastAsia" w:ascii="黑体" w:hAnsi="黑体"/>
          <w:color w:val="auto"/>
        </w:rPr>
        <w:t>试验检测服务费计费方法</w:t>
      </w:r>
    </w:p>
    <w:p>
      <w:pPr>
        <w:snapToGrid w:val="0"/>
        <w:ind w:firstLine="420" w:firstLineChars="200"/>
        <w:rPr>
          <w:color w:val="auto"/>
          <w:szCs w:val="21"/>
        </w:rPr>
      </w:pPr>
      <w:r>
        <w:rPr>
          <w:color w:val="auto"/>
          <w:szCs w:val="21"/>
        </w:rPr>
        <w:t>试验检测服务费用由正常试验检测服务和附加试验检测服务两个方面的试验检测费用组成。</w:t>
      </w:r>
    </w:p>
    <w:p>
      <w:pPr>
        <w:snapToGrid w:val="0"/>
        <w:ind w:firstLine="420" w:firstLineChars="200"/>
        <w:rPr>
          <w:color w:val="auto"/>
          <w:szCs w:val="21"/>
        </w:rPr>
      </w:pPr>
      <w:r>
        <w:rPr>
          <w:color w:val="auto"/>
          <w:szCs w:val="21"/>
        </w:rPr>
        <w:t>6.2.1  正常试验检测服务的费用</w:t>
      </w:r>
    </w:p>
    <w:p>
      <w:pPr>
        <w:snapToGrid w:val="0"/>
        <w:ind w:firstLine="420" w:firstLineChars="200"/>
        <w:rPr>
          <w:color w:val="auto"/>
          <w:szCs w:val="21"/>
        </w:rPr>
      </w:pPr>
      <w:r>
        <w:rPr>
          <w:color w:val="auto"/>
          <w:szCs w:val="21"/>
        </w:rPr>
        <w:t>正常试验检测服务费用指为完成正常试验检测服务所需费用。</w:t>
      </w:r>
    </w:p>
    <w:p>
      <w:pPr>
        <w:snapToGrid w:val="0"/>
        <w:ind w:firstLine="420" w:firstLineChars="200"/>
        <w:rPr>
          <w:color w:val="auto"/>
          <w:szCs w:val="21"/>
        </w:rPr>
      </w:pPr>
      <w:r>
        <w:rPr>
          <w:color w:val="auto"/>
          <w:szCs w:val="21"/>
        </w:rPr>
        <w:t>6.2.2  附加试验检测服务的费用</w:t>
      </w:r>
    </w:p>
    <w:p>
      <w:pPr>
        <w:snapToGrid w:val="0"/>
        <w:ind w:firstLine="420" w:firstLineChars="200"/>
        <w:rPr>
          <w:color w:val="auto"/>
          <w:szCs w:val="21"/>
        </w:rPr>
      </w:pPr>
      <w:r>
        <w:rPr>
          <w:color w:val="auto"/>
          <w:szCs w:val="21"/>
        </w:rPr>
        <w:t>附加试验检测服务费用应按照专用合同条款约定计算。</w:t>
      </w:r>
    </w:p>
    <w:p>
      <w:pPr>
        <w:snapToGrid w:val="0"/>
        <w:ind w:firstLine="420" w:firstLineChars="200"/>
        <w:rPr>
          <w:color w:val="auto"/>
          <w:szCs w:val="21"/>
        </w:rPr>
      </w:pPr>
      <w:r>
        <w:rPr>
          <w:color w:val="auto"/>
          <w:szCs w:val="21"/>
        </w:rPr>
        <w:t>6.2.3  试验检测服务费的调整</w:t>
      </w:r>
    </w:p>
    <w:p>
      <w:pPr>
        <w:snapToGrid w:val="0"/>
        <w:ind w:firstLine="420" w:firstLineChars="200"/>
        <w:rPr>
          <w:color w:val="auto"/>
          <w:szCs w:val="21"/>
        </w:rPr>
      </w:pPr>
      <w:r>
        <w:rPr>
          <w:color w:val="auto"/>
          <w:szCs w:val="21"/>
        </w:rPr>
        <w:t>试验检测服务费用的调整应按照专用合同条款约定进行。</w:t>
      </w:r>
    </w:p>
    <w:p>
      <w:pPr>
        <w:pStyle w:val="630"/>
        <w:ind w:firstLine="422"/>
        <w:rPr>
          <w:color w:val="auto"/>
        </w:rPr>
      </w:pPr>
      <w:r>
        <w:rPr>
          <w:color w:val="auto"/>
        </w:rPr>
        <w:t xml:space="preserve">6.3  </w:t>
      </w:r>
      <w:r>
        <w:rPr>
          <w:rFonts w:hint="eastAsia" w:ascii="黑体" w:hAnsi="黑体"/>
          <w:color w:val="auto"/>
        </w:rPr>
        <w:t>支付</w:t>
      </w:r>
    </w:p>
    <w:p>
      <w:pPr>
        <w:snapToGrid w:val="0"/>
        <w:ind w:firstLine="420" w:firstLineChars="200"/>
        <w:rPr>
          <w:color w:val="auto"/>
          <w:szCs w:val="21"/>
        </w:rPr>
      </w:pPr>
      <w:r>
        <w:rPr>
          <w:color w:val="auto"/>
          <w:szCs w:val="21"/>
        </w:rPr>
        <w:t>6.3.1  预付款</w:t>
      </w:r>
    </w:p>
    <w:p>
      <w:pPr>
        <w:snapToGrid w:val="0"/>
        <w:ind w:firstLine="420" w:firstLineChars="200"/>
        <w:rPr>
          <w:color w:val="auto"/>
          <w:szCs w:val="21"/>
        </w:rPr>
      </w:pPr>
      <w:r>
        <w:rPr>
          <w:color w:val="auto"/>
          <w:szCs w:val="21"/>
        </w:rPr>
        <w:t>为使试验检测服务能够及时开展，发包人应在试验检测合同签订后7日内按“签约合同价”的10﹪向检测人支付预付款，但专用合同条款另有约定的除外。</w:t>
      </w:r>
    </w:p>
    <w:p>
      <w:pPr>
        <w:snapToGrid w:val="0"/>
        <w:ind w:firstLine="420" w:firstLineChars="200"/>
        <w:rPr>
          <w:color w:val="auto"/>
          <w:szCs w:val="21"/>
        </w:rPr>
      </w:pPr>
      <w:r>
        <w:rPr>
          <w:color w:val="auto"/>
          <w:szCs w:val="21"/>
        </w:rPr>
        <w:t>6.3.2  履约担保</w:t>
      </w:r>
    </w:p>
    <w:p>
      <w:pPr>
        <w:snapToGrid w:val="0"/>
        <w:ind w:firstLine="420" w:firstLineChars="200"/>
        <w:rPr>
          <w:color w:val="auto"/>
          <w:szCs w:val="21"/>
        </w:rPr>
      </w:pPr>
      <w:r>
        <w:rPr>
          <w:color w:val="auto"/>
          <w:szCs w:val="21"/>
        </w:rPr>
        <w:t>6.3.2.1  履约担保的提交和返还按照试验检测通用合同条款第4.5.2项、第4.5.3项执行。</w:t>
      </w:r>
      <w:r>
        <w:rPr>
          <w:rFonts w:hint="eastAsia"/>
          <w:color w:val="auto"/>
          <w:szCs w:val="21"/>
        </w:rPr>
        <w:t>成交供应商不能按要求提交履约保证金的，视为放弃中标，给采购人造成损失的，还应予以赔偿，并由采购人将其行为抄告项目主管交通运输部门。</w:t>
      </w:r>
    </w:p>
    <w:p>
      <w:pPr>
        <w:snapToGrid w:val="0"/>
        <w:ind w:firstLine="420" w:firstLineChars="200"/>
        <w:rPr>
          <w:color w:val="auto"/>
          <w:szCs w:val="21"/>
        </w:rPr>
      </w:pPr>
      <w:r>
        <w:rPr>
          <w:color w:val="auto"/>
          <w:szCs w:val="21"/>
        </w:rPr>
        <w:t>6.3.3.2  发包人没收检测人的全部或部分履约担保时，不影响检测人根据试验检测合同应当得到的其他款项的支付。</w:t>
      </w:r>
    </w:p>
    <w:p>
      <w:pPr>
        <w:snapToGrid w:val="0"/>
        <w:ind w:firstLine="420" w:firstLineChars="200"/>
        <w:rPr>
          <w:color w:val="auto"/>
          <w:szCs w:val="21"/>
        </w:rPr>
      </w:pPr>
      <w:r>
        <w:rPr>
          <w:color w:val="auto"/>
          <w:szCs w:val="21"/>
        </w:rPr>
        <w:t>6.3.3  违约金和赔偿金</w:t>
      </w:r>
    </w:p>
    <w:p>
      <w:pPr>
        <w:snapToGrid w:val="0"/>
        <w:ind w:firstLine="420" w:firstLineChars="200"/>
        <w:rPr>
          <w:color w:val="auto"/>
          <w:szCs w:val="21"/>
        </w:rPr>
      </w:pPr>
      <w:r>
        <w:rPr>
          <w:color w:val="auto"/>
          <w:szCs w:val="21"/>
        </w:rPr>
        <w:t>6.3.3.1  根据试验检测通用合同条款第4.1款确定的检测人对发包人的赔偿金额，经双方确认后由发包人从对检测人的当期日常支付中扣回，如双方有争议的，根据通用合同条款第8条处理。</w:t>
      </w:r>
    </w:p>
    <w:p>
      <w:pPr>
        <w:snapToGrid w:val="0"/>
        <w:ind w:firstLine="420" w:firstLineChars="200"/>
        <w:rPr>
          <w:color w:val="auto"/>
          <w:szCs w:val="21"/>
        </w:rPr>
      </w:pPr>
      <w:r>
        <w:rPr>
          <w:color w:val="auto"/>
          <w:szCs w:val="21"/>
        </w:rPr>
        <w:t>6.3.3.2  根据试验检测通用合同条款第4.2款确定的发包人对检测人的赔偿金额，经双方确认后应由发包人在当期日常支付中向检测人支付，如双方有争议的，根据通用合同条款第8条处理。</w:t>
      </w:r>
    </w:p>
    <w:p>
      <w:pPr>
        <w:snapToGrid w:val="0"/>
        <w:ind w:firstLine="420" w:firstLineChars="200"/>
        <w:rPr>
          <w:color w:val="auto"/>
          <w:szCs w:val="21"/>
        </w:rPr>
      </w:pPr>
      <w:r>
        <w:rPr>
          <w:color w:val="auto"/>
          <w:szCs w:val="21"/>
        </w:rPr>
        <w:t>6.3.4  支付担保</w:t>
      </w:r>
    </w:p>
    <w:p>
      <w:pPr>
        <w:snapToGrid w:val="0"/>
        <w:ind w:firstLine="420" w:firstLineChars="200"/>
        <w:rPr>
          <w:color w:val="auto"/>
          <w:szCs w:val="21"/>
        </w:rPr>
      </w:pPr>
      <w:r>
        <w:rPr>
          <w:color w:val="auto"/>
          <w:szCs w:val="21"/>
        </w:rPr>
        <w:t>6.3.4.1  发包人为履行合同约定的支付义务，在签订合同时，按专用合同条款约定的金额办理支付担保，并将此担保交给检测人。</w:t>
      </w:r>
    </w:p>
    <w:p>
      <w:pPr>
        <w:snapToGrid w:val="0"/>
        <w:ind w:firstLine="420" w:firstLineChars="200"/>
        <w:rPr>
          <w:color w:val="auto"/>
          <w:szCs w:val="21"/>
        </w:rPr>
      </w:pPr>
      <w:r>
        <w:rPr>
          <w:color w:val="auto"/>
          <w:szCs w:val="21"/>
        </w:rPr>
        <w:t>6.3.4.2  支付担保的开具机构应与履约担保开具机构相同级别。除非在专用合同条款另有约定，执行本条款所发生的费用应由发包人承担。</w:t>
      </w:r>
    </w:p>
    <w:p>
      <w:pPr>
        <w:snapToGrid w:val="0"/>
        <w:ind w:firstLine="420" w:firstLineChars="200"/>
        <w:rPr>
          <w:color w:val="auto"/>
          <w:szCs w:val="21"/>
        </w:rPr>
      </w:pPr>
      <w:r>
        <w:rPr>
          <w:color w:val="auto"/>
          <w:szCs w:val="21"/>
        </w:rPr>
        <w:t>6.3.4.3  支付担保的有效期应至发包人按照通用合同条款第6.3.7项约定完全履行其支付义务之日止。</w:t>
      </w:r>
    </w:p>
    <w:p>
      <w:pPr>
        <w:snapToGrid w:val="0"/>
        <w:ind w:firstLine="420" w:firstLineChars="200"/>
        <w:rPr>
          <w:color w:val="auto"/>
          <w:szCs w:val="21"/>
        </w:rPr>
      </w:pPr>
      <w:r>
        <w:rPr>
          <w:color w:val="auto"/>
          <w:szCs w:val="21"/>
        </w:rPr>
        <w:t>6.3.5  支付方式</w:t>
      </w:r>
    </w:p>
    <w:p>
      <w:pPr>
        <w:snapToGrid w:val="0"/>
        <w:ind w:firstLine="420" w:firstLineChars="200"/>
        <w:rPr>
          <w:color w:val="auto"/>
          <w:szCs w:val="21"/>
        </w:rPr>
      </w:pPr>
      <w:r>
        <w:rPr>
          <w:color w:val="auto"/>
          <w:szCs w:val="21"/>
        </w:rPr>
        <w:t>发包人按月向检测人支付试验检测服务费。检测人于每月7日前将上月试验检测服务费支付申请报发包人，发包人应在收到试验检测支付申请后7日内予以审批，在批复后14日内向检测人支付试验检测服务费。本条款在专用合同条款另有约定的除外。</w:t>
      </w:r>
    </w:p>
    <w:p>
      <w:pPr>
        <w:snapToGrid w:val="0"/>
        <w:ind w:firstLine="420" w:firstLineChars="200"/>
        <w:rPr>
          <w:color w:val="auto"/>
          <w:szCs w:val="21"/>
        </w:rPr>
      </w:pPr>
      <w:r>
        <w:rPr>
          <w:color w:val="auto"/>
          <w:szCs w:val="21"/>
        </w:rPr>
        <w:t>（1）正常试验检测服务费用按月支付，检测数量以实际完成并经发包人确认的数量为准；</w:t>
      </w:r>
    </w:p>
    <w:p>
      <w:pPr>
        <w:snapToGrid w:val="0"/>
        <w:ind w:firstLine="420" w:firstLineChars="200"/>
        <w:rPr>
          <w:color w:val="auto"/>
          <w:szCs w:val="21"/>
        </w:rPr>
      </w:pPr>
      <w:r>
        <w:rPr>
          <w:color w:val="auto"/>
          <w:szCs w:val="21"/>
        </w:rPr>
        <w:t>（2）附加试验检测服务费用经双方协商确认后，按双方所签订补充协议约定的支付方式进行支付；</w:t>
      </w:r>
    </w:p>
    <w:p>
      <w:pPr>
        <w:snapToGrid w:val="0"/>
        <w:ind w:firstLine="420" w:firstLineChars="200"/>
        <w:rPr>
          <w:color w:val="auto"/>
          <w:szCs w:val="21"/>
        </w:rPr>
      </w:pPr>
      <w:r>
        <w:rPr>
          <w:color w:val="auto"/>
          <w:szCs w:val="21"/>
        </w:rPr>
        <w:t>（3）依据通用合同条款第7.3款约定对检测人的奖励，发包人应于对检测人的当期支付费用中一次性支付。</w:t>
      </w:r>
    </w:p>
    <w:p>
      <w:pPr>
        <w:snapToGrid w:val="0"/>
        <w:ind w:firstLine="420" w:firstLineChars="200"/>
        <w:rPr>
          <w:color w:val="auto"/>
          <w:szCs w:val="21"/>
        </w:rPr>
      </w:pPr>
      <w:r>
        <w:rPr>
          <w:color w:val="auto"/>
          <w:szCs w:val="21"/>
        </w:rPr>
        <w:t>（4）报价清单100章费用的支付按专用合同条款约定执行。</w:t>
      </w:r>
    </w:p>
    <w:p>
      <w:pPr>
        <w:snapToGrid w:val="0"/>
        <w:ind w:firstLine="420" w:firstLineChars="200"/>
        <w:rPr>
          <w:color w:val="auto"/>
          <w:szCs w:val="21"/>
        </w:rPr>
      </w:pPr>
      <w:r>
        <w:rPr>
          <w:color w:val="auto"/>
          <w:szCs w:val="21"/>
        </w:rPr>
        <w:t>6.3.6  预付款的扣回</w:t>
      </w:r>
    </w:p>
    <w:p>
      <w:pPr>
        <w:snapToGrid w:val="0"/>
        <w:ind w:firstLine="420" w:firstLineChars="200"/>
        <w:rPr>
          <w:color w:val="auto"/>
          <w:szCs w:val="21"/>
        </w:rPr>
      </w:pPr>
      <w:r>
        <w:rPr>
          <w:color w:val="auto"/>
          <w:szCs w:val="21"/>
        </w:rPr>
        <w:t>预付款在试验检测服务费支付的累计金额达到“签约合同价”的30﹪时开始抵扣，全部预付款应在试验检测服务费累计支付到“签约合同价”的80﹪时扣完。</w:t>
      </w:r>
    </w:p>
    <w:p>
      <w:pPr>
        <w:snapToGrid w:val="0"/>
        <w:ind w:firstLine="420" w:firstLineChars="200"/>
        <w:rPr>
          <w:color w:val="auto"/>
          <w:szCs w:val="21"/>
        </w:rPr>
      </w:pPr>
      <w:r>
        <w:rPr>
          <w:color w:val="auto"/>
          <w:szCs w:val="21"/>
        </w:rPr>
        <w:t>6.3.7  结算</w:t>
      </w:r>
    </w:p>
    <w:p>
      <w:pPr>
        <w:snapToGrid w:val="0"/>
        <w:ind w:firstLine="420" w:firstLineChars="200"/>
        <w:rPr>
          <w:color w:val="auto"/>
          <w:szCs w:val="21"/>
        </w:rPr>
      </w:pPr>
      <w:r>
        <w:rPr>
          <w:color w:val="auto"/>
          <w:szCs w:val="21"/>
        </w:rPr>
        <w:t>在检测阶段试验检测服务工作结束后7日内，检测人应将实际发生的试验检测服务费用，扣减预付款和检测人赔偿金后余额的支付申请报至发包人，发包人应在收到该支付申请后7日内予以审批，在批复后14日内向检测人支付费用，同时退还履约担保。</w:t>
      </w:r>
    </w:p>
    <w:p>
      <w:pPr>
        <w:snapToGrid w:val="0"/>
        <w:ind w:firstLine="420" w:firstLineChars="200"/>
        <w:rPr>
          <w:color w:val="auto"/>
          <w:szCs w:val="21"/>
        </w:rPr>
      </w:pPr>
      <w:r>
        <w:rPr>
          <w:color w:val="auto"/>
          <w:szCs w:val="21"/>
        </w:rPr>
        <w:t>6.3.8  试验检测服务费用的支付期限</w:t>
      </w:r>
    </w:p>
    <w:p>
      <w:pPr>
        <w:snapToGrid w:val="0"/>
        <w:ind w:firstLine="420" w:firstLineChars="200"/>
        <w:rPr>
          <w:color w:val="auto"/>
          <w:szCs w:val="21"/>
        </w:rPr>
      </w:pPr>
      <w:r>
        <w:rPr>
          <w:color w:val="auto"/>
          <w:szCs w:val="21"/>
        </w:rPr>
        <w:t>发包人在收到检测人提交的书面支付申请后，应按上述条款约定的支付期限内支付试验检测服务费用。发包人在约定的期限内，未向检测人支付到期应付的款项，应承担违约责任，并支付逾期付款违约金。除非专用合同条款另有约定，逾期付款的违约金以到期应付而未付的款项，按照银行同期贷款利率计算相应的利息作为违约金，时间自未付款项的应付之日起算。该逾期付款违约金的支付不影响本合同条款第5.5.4项约定的检测人的权力。</w:t>
      </w:r>
    </w:p>
    <w:p>
      <w:pPr>
        <w:snapToGrid w:val="0"/>
        <w:ind w:firstLine="420" w:firstLineChars="200"/>
        <w:rPr>
          <w:color w:val="auto"/>
          <w:szCs w:val="21"/>
        </w:rPr>
      </w:pPr>
      <w:r>
        <w:rPr>
          <w:color w:val="auto"/>
          <w:szCs w:val="21"/>
        </w:rPr>
        <w:t>6.3.9  支付争议</w:t>
      </w:r>
    </w:p>
    <w:p>
      <w:pPr>
        <w:snapToGrid w:val="0"/>
        <w:ind w:firstLine="420" w:firstLineChars="200"/>
        <w:rPr>
          <w:color w:val="auto"/>
          <w:szCs w:val="21"/>
        </w:rPr>
      </w:pPr>
      <w:r>
        <w:rPr>
          <w:color w:val="auto"/>
          <w:szCs w:val="21"/>
        </w:rPr>
        <w:t>发包人对检测人要求支付的款项中的任何部分有异议，应在收到检测人提交的书面支付申请7日内发出书面通知说明理由，但不得借此延误对检测人其他应得款项的支付。</w:t>
      </w:r>
    </w:p>
    <w:p>
      <w:pPr>
        <w:pStyle w:val="630"/>
        <w:ind w:firstLine="422"/>
        <w:rPr>
          <w:color w:val="auto"/>
        </w:rPr>
      </w:pPr>
      <w:r>
        <w:rPr>
          <w:color w:val="auto"/>
        </w:rPr>
        <w:t xml:space="preserve">6.4  </w:t>
      </w:r>
      <w:r>
        <w:rPr>
          <w:rFonts w:hint="eastAsia" w:ascii="黑体" w:hAnsi="黑体"/>
          <w:color w:val="auto"/>
        </w:rPr>
        <w:t>货币</w:t>
      </w:r>
    </w:p>
    <w:p>
      <w:pPr>
        <w:snapToGrid w:val="0"/>
        <w:ind w:firstLine="420" w:firstLineChars="200"/>
        <w:rPr>
          <w:color w:val="auto"/>
          <w:szCs w:val="21"/>
        </w:rPr>
      </w:pPr>
      <w:r>
        <w:rPr>
          <w:color w:val="auto"/>
          <w:szCs w:val="21"/>
        </w:rPr>
        <w:t>除专用合同条款另有约定外，发包人支付检测人履行试验检测服务的费用一律采用人民币支付。涉及外币支付的，其货币种类、比例和汇率等事宜，在专用合同条款中约定。</w:t>
      </w:r>
    </w:p>
    <w:p>
      <w:pPr>
        <w:pStyle w:val="634"/>
        <w:rPr>
          <w:color w:val="auto"/>
        </w:rPr>
      </w:pPr>
      <w:r>
        <w:rPr>
          <w:rFonts w:hint="eastAsia"/>
          <w:color w:val="auto"/>
        </w:rPr>
        <w:t>7</w:t>
      </w:r>
      <w:r>
        <w:rPr>
          <w:rFonts w:hint="eastAsia" w:ascii="黑体" w:hAnsi="黑体"/>
          <w:color w:val="auto"/>
        </w:rPr>
        <w:t>．其他</w:t>
      </w:r>
    </w:p>
    <w:p>
      <w:pPr>
        <w:pStyle w:val="630"/>
        <w:ind w:firstLine="422"/>
        <w:rPr>
          <w:color w:val="auto"/>
        </w:rPr>
      </w:pPr>
      <w:r>
        <w:rPr>
          <w:color w:val="auto"/>
        </w:rPr>
        <w:t xml:space="preserve">7.1  </w:t>
      </w:r>
      <w:r>
        <w:rPr>
          <w:rFonts w:hint="eastAsia" w:ascii="黑体" w:hAnsi="黑体"/>
          <w:color w:val="auto"/>
        </w:rPr>
        <w:t>合同双方的关系</w:t>
      </w:r>
    </w:p>
    <w:p>
      <w:pPr>
        <w:snapToGrid w:val="0"/>
        <w:ind w:firstLine="420" w:firstLineChars="200"/>
        <w:rPr>
          <w:color w:val="auto"/>
          <w:szCs w:val="21"/>
        </w:rPr>
      </w:pPr>
      <w:r>
        <w:rPr>
          <w:color w:val="auto"/>
          <w:szCs w:val="21"/>
        </w:rPr>
        <w:t>合同双方互为权利和义务主体，双方应遵循平等互利、协商一致的原则履行本试验检测合同。发包人和检测人均应按照试验检测合同公正地行使权力和全面履行自己的职责。</w:t>
      </w:r>
    </w:p>
    <w:p>
      <w:pPr>
        <w:pStyle w:val="630"/>
        <w:ind w:firstLine="422"/>
        <w:rPr>
          <w:color w:val="auto"/>
        </w:rPr>
      </w:pPr>
      <w:r>
        <w:rPr>
          <w:color w:val="auto"/>
        </w:rPr>
        <w:t xml:space="preserve">7.2  </w:t>
      </w:r>
      <w:r>
        <w:rPr>
          <w:rFonts w:hint="eastAsia" w:ascii="黑体" w:hAnsi="黑体"/>
          <w:color w:val="auto"/>
        </w:rPr>
        <w:t>语言和法律</w:t>
      </w:r>
    </w:p>
    <w:p>
      <w:pPr>
        <w:snapToGrid w:val="0"/>
        <w:ind w:firstLine="420" w:firstLineChars="200"/>
        <w:rPr>
          <w:color w:val="auto"/>
          <w:szCs w:val="21"/>
        </w:rPr>
      </w:pPr>
      <w:r>
        <w:rPr>
          <w:color w:val="auto"/>
          <w:szCs w:val="21"/>
        </w:rPr>
        <w:t>7.2.1  除专用术语外，本试验检测合同使用的语言文字为中文。必要时专用术语应附有中文注释。</w:t>
      </w:r>
    </w:p>
    <w:p>
      <w:pPr>
        <w:snapToGrid w:val="0"/>
        <w:ind w:firstLine="420" w:firstLineChars="200"/>
        <w:rPr>
          <w:color w:val="auto"/>
          <w:szCs w:val="21"/>
        </w:rPr>
      </w:pPr>
      <w:r>
        <w:rPr>
          <w:color w:val="auto"/>
          <w:szCs w:val="21"/>
        </w:rPr>
        <w:t>7.2.2  适用于本试验检测合同的法律包括中华人民共和国法律、行政法规、部门规章以及工程所在地的地方法规、单行条例和地方政府规章。</w:t>
      </w:r>
    </w:p>
    <w:p>
      <w:pPr>
        <w:pStyle w:val="630"/>
        <w:ind w:firstLine="422"/>
        <w:rPr>
          <w:color w:val="auto"/>
        </w:rPr>
      </w:pPr>
      <w:r>
        <w:rPr>
          <w:color w:val="auto"/>
        </w:rPr>
        <w:t xml:space="preserve">7.3  </w:t>
      </w:r>
      <w:r>
        <w:rPr>
          <w:rFonts w:hint="eastAsia" w:ascii="黑体" w:hAnsi="黑体"/>
          <w:color w:val="auto"/>
        </w:rPr>
        <w:t>奖励</w:t>
      </w:r>
    </w:p>
    <w:p>
      <w:pPr>
        <w:snapToGrid w:val="0"/>
        <w:ind w:firstLine="420" w:firstLineChars="200"/>
        <w:rPr>
          <w:color w:val="auto"/>
          <w:szCs w:val="21"/>
        </w:rPr>
      </w:pPr>
      <w:r>
        <w:rPr>
          <w:color w:val="auto"/>
          <w:szCs w:val="21"/>
        </w:rPr>
        <w:t>由于检测人提出的合理化建议降低了工程造价、消除了安全隐患或产生了经济效益，发包人可按国家有关规定在专用合同条款中约定给予奖励。</w:t>
      </w:r>
    </w:p>
    <w:p>
      <w:pPr>
        <w:pStyle w:val="630"/>
        <w:ind w:firstLine="422"/>
        <w:rPr>
          <w:color w:val="auto"/>
        </w:rPr>
      </w:pPr>
      <w:r>
        <w:rPr>
          <w:color w:val="auto"/>
        </w:rPr>
        <w:t xml:space="preserve">7.4  </w:t>
      </w:r>
      <w:r>
        <w:rPr>
          <w:rFonts w:hint="eastAsia" w:ascii="黑体" w:hAnsi="黑体"/>
          <w:color w:val="auto"/>
        </w:rPr>
        <w:t>利益矛盾</w:t>
      </w:r>
    </w:p>
    <w:p>
      <w:pPr>
        <w:snapToGrid w:val="0"/>
        <w:ind w:firstLine="420" w:firstLineChars="200"/>
        <w:rPr>
          <w:color w:val="auto"/>
          <w:szCs w:val="21"/>
        </w:rPr>
      </w:pPr>
      <w:r>
        <w:rPr>
          <w:color w:val="auto"/>
          <w:szCs w:val="21"/>
        </w:rPr>
        <w:t>未经发包人书面同意，检测人不得获取本试验检测合同约定以外的与本工程有关的任何利益，不得参与与本试验检测合同约定的发包人利益相冲突的任何活动。</w:t>
      </w:r>
    </w:p>
    <w:p>
      <w:pPr>
        <w:pStyle w:val="630"/>
        <w:ind w:firstLine="422"/>
        <w:rPr>
          <w:color w:val="auto"/>
        </w:rPr>
      </w:pPr>
      <w:r>
        <w:rPr>
          <w:color w:val="auto"/>
        </w:rPr>
        <w:t xml:space="preserve">7.5  </w:t>
      </w:r>
      <w:r>
        <w:rPr>
          <w:rFonts w:hint="eastAsia" w:ascii="黑体" w:hAnsi="黑体"/>
          <w:color w:val="auto"/>
        </w:rPr>
        <w:t>版权</w:t>
      </w:r>
    </w:p>
    <w:p>
      <w:pPr>
        <w:snapToGrid w:val="0"/>
        <w:ind w:firstLine="420" w:firstLineChars="200"/>
        <w:rPr>
          <w:color w:val="auto"/>
          <w:szCs w:val="21"/>
        </w:rPr>
      </w:pPr>
      <w:r>
        <w:rPr>
          <w:color w:val="auto"/>
          <w:szCs w:val="21"/>
        </w:rPr>
        <w:t>7.5.1  对检测人拥有版权并已用于本试验检测服务中的所有文件，发包人有权在本合同工程中使用或复制。但未经检测人的同意，发包人不得将上述文件直接或间接用于其他项目、工程或服务之中。</w:t>
      </w:r>
    </w:p>
    <w:p>
      <w:pPr>
        <w:snapToGrid w:val="0"/>
        <w:ind w:firstLine="420" w:firstLineChars="200"/>
        <w:rPr>
          <w:color w:val="auto"/>
          <w:szCs w:val="21"/>
        </w:rPr>
      </w:pPr>
      <w:r>
        <w:rPr>
          <w:color w:val="auto"/>
          <w:szCs w:val="21"/>
        </w:rPr>
        <w:t>7.5.2  如果在专用合同条款中没有另外约定，则检测人有权出版与本项目或本工程试验检测服务有关的资料。但未经发包人同意，上述出版物中不得涉及发包人的专利、专有技术以及经济情报。</w:t>
      </w:r>
    </w:p>
    <w:p>
      <w:pPr>
        <w:pStyle w:val="630"/>
        <w:ind w:firstLine="422"/>
        <w:rPr>
          <w:color w:val="auto"/>
        </w:rPr>
      </w:pPr>
      <w:r>
        <w:rPr>
          <w:color w:val="auto"/>
        </w:rPr>
        <w:t xml:space="preserve">7.6  </w:t>
      </w:r>
      <w:r>
        <w:rPr>
          <w:rFonts w:hint="eastAsia" w:ascii="黑体" w:hAnsi="黑体"/>
          <w:color w:val="auto"/>
        </w:rPr>
        <w:t>通知</w:t>
      </w:r>
    </w:p>
    <w:p>
      <w:pPr>
        <w:snapToGrid w:val="0"/>
        <w:ind w:firstLine="420" w:firstLineChars="200"/>
        <w:rPr>
          <w:color w:val="auto"/>
          <w:szCs w:val="21"/>
        </w:rPr>
      </w:pPr>
      <w:r>
        <w:rPr>
          <w:color w:val="auto"/>
          <w:szCs w:val="21"/>
        </w:rPr>
        <w:t>本试验检测合同涉及的通知均为书面形式，在送达协议书中注明的地址并由收受方签收后生效。无论发送方采用何种方式递送通知，收受方都应用书面回执确认。</w:t>
      </w:r>
    </w:p>
    <w:p>
      <w:pPr>
        <w:pStyle w:val="634"/>
        <w:rPr>
          <w:b/>
          <w:color w:val="auto"/>
        </w:rPr>
      </w:pPr>
      <w:r>
        <w:rPr>
          <w:rFonts w:hint="eastAsia"/>
          <w:b/>
          <w:color w:val="auto"/>
        </w:rPr>
        <w:t>8</w:t>
      </w:r>
      <w:r>
        <w:rPr>
          <w:rFonts w:hint="eastAsia" w:ascii="黑体" w:hAnsi="黑体"/>
          <w:b/>
          <w:color w:val="auto"/>
        </w:rPr>
        <w:t>．</w:t>
      </w:r>
      <w:r>
        <w:rPr>
          <w:rFonts w:hint="eastAsia" w:ascii="黑体" w:hAnsi="黑体"/>
          <w:color w:val="auto"/>
        </w:rPr>
        <w:t>争端的解决</w:t>
      </w:r>
    </w:p>
    <w:p>
      <w:pPr>
        <w:snapToGrid w:val="0"/>
        <w:ind w:firstLine="420" w:firstLineChars="200"/>
        <w:rPr>
          <w:color w:val="auto"/>
          <w:szCs w:val="21"/>
        </w:rPr>
      </w:pPr>
      <w:r>
        <w:rPr>
          <w:color w:val="auto"/>
          <w:szCs w:val="21"/>
        </w:rPr>
        <w:t>双方在履行本试验检测合同过程中发生争端时，应本着友好协商的原则解决问题，或通过上级主管部门进行调解。若经过协商或调解仍不能达成一致时，任何一方均可根据专用合同条款的约定，申请仲裁或向项目所在地有管辖权的人民法院提起诉讼。</w:t>
      </w:r>
    </w:p>
    <w:p>
      <w:pPr>
        <w:pStyle w:val="44"/>
        <w:spacing w:after="120"/>
        <w:rPr>
          <w:color w:val="auto"/>
          <w:sz w:val="28"/>
          <w:szCs w:val="28"/>
        </w:rPr>
      </w:pPr>
      <w:r>
        <w:rPr>
          <w:rFonts w:ascii="Times New Roman" w:hAnsi="Times New Roman"/>
          <w:color w:val="auto"/>
        </w:rPr>
        <w:br w:type="page"/>
      </w:r>
      <w:r>
        <w:rPr>
          <w:color w:val="auto"/>
        </w:rPr>
        <w:t>第二节  专用合同条款</w:t>
      </w:r>
    </w:p>
    <w:p>
      <w:pPr>
        <w:pStyle w:val="634"/>
        <w:rPr>
          <w:color w:val="auto"/>
        </w:rPr>
      </w:pPr>
      <w:r>
        <w:rPr>
          <w:color w:val="auto"/>
        </w:rPr>
        <w:t>1.</w:t>
      </w:r>
      <w:r>
        <w:rPr>
          <w:rFonts w:hint="eastAsia" w:ascii="黑体" w:hAnsi="黑体"/>
          <w:color w:val="auto"/>
        </w:rPr>
        <w:t>定义与解释</w:t>
      </w:r>
    </w:p>
    <w:p>
      <w:pPr>
        <w:snapToGrid w:val="0"/>
        <w:spacing w:line="360" w:lineRule="auto"/>
        <w:ind w:firstLine="420" w:firstLineChars="200"/>
        <w:rPr>
          <w:color w:val="auto"/>
          <w:szCs w:val="21"/>
        </w:rPr>
      </w:pPr>
      <w:r>
        <w:rPr>
          <w:color w:val="auto"/>
          <w:szCs w:val="21"/>
        </w:rPr>
        <w:t>1.1.1  项目</w:t>
      </w:r>
    </w:p>
    <w:p>
      <w:pPr>
        <w:snapToGrid w:val="0"/>
        <w:spacing w:line="360" w:lineRule="auto"/>
        <w:ind w:firstLine="420" w:firstLineChars="200"/>
        <w:rPr>
          <w:color w:val="auto"/>
          <w:szCs w:val="21"/>
        </w:rPr>
      </w:pPr>
      <w:r>
        <w:rPr>
          <w:color w:val="auto"/>
          <w:szCs w:val="21"/>
        </w:rPr>
        <w:t>项目名称：</w:t>
      </w:r>
      <w:r>
        <w:rPr>
          <w:color w:val="auto"/>
          <w:szCs w:val="21"/>
          <w:u w:val="single"/>
        </w:rPr>
        <w:t>S216长兴至安吉公路长兴县泗安至和平段工程（318国道至302省道段）</w:t>
      </w:r>
      <w:r>
        <w:rPr>
          <w:color w:val="auto"/>
          <w:szCs w:val="21"/>
        </w:rPr>
        <w:t>；</w:t>
      </w:r>
    </w:p>
    <w:p>
      <w:pPr>
        <w:snapToGrid w:val="0"/>
        <w:spacing w:line="360" w:lineRule="auto"/>
        <w:ind w:firstLine="420" w:firstLineChars="200"/>
        <w:rPr>
          <w:color w:val="auto"/>
          <w:szCs w:val="21"/>
        </w:rPr>
      </w:pPr>
      <w:r>
        <w:rPr>
          <w:color w:val="auto"/>
          <w:szCs w:val="21"/>
        </w:rPr>
        <w:t>1.1.2  工程</w:t>
      </w:r>
    </w:p>
    <w:p>
      <w:pPr>
        <w:snapToGrid w:val="0"/>
        <w:spacing w:line="360" w:lineRule="auto"/>
        <w:ind w:firstLine="420" w:firstLineChars="200"/>
        <w:rPr>
          <w:color w:val="auto"/>
          <w:szCs w:val="21"/>
          <w:u w:val="single"/>
        </w:rPr>
      </w:pPr>
      <w:r>
        <w:rPr>
          <w:color w:val="auto"/>
          <w:szCs w:val="21"/>
        </w:rPr>
        <w:t>工程地点：</w:t>
      </w:r>
      <w:r>
        <w:rPr>
          <w:color w:val="auto"/>
          <w:szCs w:val="21"/>
          <w:u w:val="single"/>
        </w:rPr>
        <w:t xml:space="preserve">浙江省湖州市长兴县                                        </w:t>
      </w:r>
      <w:r>
        <w:rPr>
          <w:color w:val="auto"/>
          <w:szCs w:val="21"/>
        </w:rPr>
        <w:t>；</w:t>
      </w:r>
    </w:p>
    <w:p>
      <w:pPr>
        <w:snapToGrid w:val="0"/>
        <w:spacing w:line="360" w:lineRule="auto"/>
        <w:ind w:firstLine="420" w:firstLineChars="200"/>
        <w:rPr>
          <w:color w:val="auto"/>
          <w:szCs w:val="21"/>
          <w:u w:val="single"/>
        </w:rPr>
      </w:pPr>
      <w:r>
        <w:rPr>
          <w:color w:val="auto"/>
          <w:szCs w:val="21"/>
        </w:rPr>
        <w:t>起迄桩号：</w:t>
      </w:r>
      <w:r>
        <w:rPr>
          <w:color w:val="auto"/>
          <w:szCs w:val="21"/>
          <w:u w:val="single"/>
        </w:rPr>
        <w:t xml:space="preserve">起讫桩号为K27+928.216~ K40+675.248 </w:t>
      </w:r>
      <w:r>
        <w:rPr>
          <w:color w:val="auto"/>
          <w:szCs w:val="21"/>
        </w:rPr>
        <w:t>；</w:t>
      </w:r>
    </w:p>
    <w:p>
      <w:pPr>
        <w:snapToGrid w:val="0"/>
        <w:spacing w:line="360" w:lineRule="auto"/>
        <w:ind w:firstLine="420" w:firstLineChars="200"/>
        <w:rPr>
          <w:color w:val="auto"/>
          <w:szCs w:val="21"/>
          <w:u w:val="single"/>
        </w:rPr>
      </w:pPr>
      <w:r>
        <w:rPr>
          <w:color w:val="auto"/>
          <w:szCs w:val="21"/>
        </w:rPr>
        <w:t>工程概况：</w:t>
      </w:r>
      <w:r>
        <w:rPr>
          <w:color w:val="auto"/>
          <w:szCs w:val="21"/>
          <w:u w:val="single"/>
        </w:rPr>
        <w:t>S216长兴至安吉公路长兴县泗安至和平段工程（318国道至302省道段）（以下简称“本项目”）路线起点位于S216与G318交叉口，起点桩号为K27+928.216，路线往南沿现状X225虹林线和X212观青线走向在里塘加油站南侧偏离现状道路至观青线西侧现状农村公路，下穿商合杭高铁（K34+209.28处）并与观青线相交后与长兴县吴山大桥工程起点相接，利用长兴县吴山大桥工程（K35+713.117～K36+747.084段长约1.03公里）走向跨越西苕溪后继续往南跨晓墅港（Ⅶ级航道）后路线往西南，与现状观青线相交后路线沿现状乡道终点与S302相交于长安村附近，终点桩号K40+675.248，路线全长约12.74公里，其中新建段约11.71公里，利用段约1.03公里。全线共设大桥231.04m/1座、中小桥308.36m/9座（含改路桥梁2座），涵洞约42道，道班房约2700m2/1处。项目概算总投资为65816.0438万元，其中建筑安装工程费为31549.1193万元。</w:t>
      </w:r>
    </w:p>
    <w:p>
      <w:pPr>
        <w:snapToGrid w:val="0"/>
        <w:spacing w:line="360" w:lineRule="auto"/>
        <w:ind w:firstLine="420" w:firstLineChars="200"/>
        <w:rPr>
          <w:color w:val="auto"/>
          <w:szCs w:val="21"/>
          <w:u w:val="single"/>
        </w:rPr>
      </w:pPr>
      <w:r>
        <w:rPr>
          <w:color w:val="auto"/>
          <w:szCs w:val="21"/>
          <w:u w:val="single"/>
        </w:rPr>
        <w:t>本项目按交通运输部颁《公路工程技术标准》（JTGB01-2014）规定的二级公路标准建设，设计速度采用60km/h，全线为双向两车道，标准路基宽12m，荷载等级采用公路—I级。其余技术指标符合相应技术标准、规范的要求。</w:t>
      </w:r>
    </w:p>
    <w:p>
      <w:pPr>
        <w:snapToGrid w:val="0"/>
        <w:spacing w:line="360" w:lineRule="auto"/>
        <w:ind w:firstLine="420" w:firstLineChars="200"/>
        <w:rPr>
          <w:color w:val="auto"/>
          <w:szCs w:val="21"/>
        </w:rPr>
      </w:pPr>
      <w:r>
        <w:rPr>
          <w:color w:val="auto"/>
          <w:szCs w:val="21"/>
        </w:rPr>
        <w:t>施工标段划分情况：</w:t>
      </w:r>
    </w:p>
    <w:p>
      <w:pPr>
        <w:snapToGrid w:val="0"/>
        <w:spacing w:line="360" w:lineRule="auto"/>
        <w:ind w:firstLine="420" w:firstLineChars="200"/>
        <w:rPr>
          <w:color w:val="auto"/>
          <w:szCs w:val="21"/>
          <w:u w:val="single"/>
        </w:rPr>
      </w:pPr>
      <w:r>
        <w:rPr>
          <w:color w:val="auto"/>
          <w:szCs w:val="21"/>
          <w:u w:val="single"/>
        </w:rPr>
        <w:t>设2个标段</w:t>
      </w:r>
    </w:p>
    <w:p>
      <w:pPr>
        <w:snapToGrid w:val="0"/>
        <w:spacing w:line="360" w:lineRule="auto"/>
        <w:ind w:firstLine="420" w:firstLineChars="200"/>
        <w:rPr>
          <w:color w:val="auto"/>
          <w:szCs w:val="21"/>
        </w:rPr>
      </w:pPr>
      <w:r>
        <w:rPr>
          <w:color w:val="auto"/>
          <w:szCs w:val="21"/>
        </w:rPr>
        <w:t>试验检测标段划分情况：本次竣（交）工质量评定检测招标设1个试验检测标段，即JC01标段。</w:t>
      </w:r>
    </w:p>
    <w:p>
      <w:pPr>
        <w:snapToGrid w:val="0"/>
        <w:spacing w:line="360" w:lineRule="auto"/>
        <w:ind w:firstLine="420" w:firstLineChars="200"/>
        <w:rPr>
          <w:color w:val="auto"/>
          <w:szCs w:val="21"/>
        </w:rPr>
      </w:pPr>
      <w:r>
        <w:rPr>
          <w:color w:val="auto"/>
          <w:szCs w:val="21"/>
        </w:rPr>
        <w:t xml:space="preserve">第1.1.4 发包人 </w:t>
      </w:r>
    </w:p>
    <w:p>
      <w:pPr>
        <w:snapToGrid w:val="0"/>
        <w:spacing w:line="360" w:lineRule="auto"/>
        <w:ind w:firstLine="420" w:firstLineChars="200"/>
        <w:rPr>
          <w:color w:val="auto"/>
          <w:szCs w:val="21"/>
        </w:rPr>
      </w:pPr>
      <w:r>
        <w:rPr>
          <w:color w:val="auto"/>
          <w:szCs w:val="21"/>
        </w:rPr>
        <w:t>1.1.4  发包人名称：</w:t>
      </w:r>
      <w:r>
        <w:rPr>
          <w:color w:val="auto"/>
          <w:szCs w:val="21"/>
          <w:u w:val="single"/>
        </w:rPr>
        <w:t>长兴县交通建设发展中心</w:t>
      </w:r>
      <w:r>
        <w:rPr>
          <w:color w:val="auto"/>
          <w:szCs w:val="21"/>
        </w:rPr>
        <w:t>。</w:t>
      </w:r>
    </w:p>
    <w:p>
      <w:pPr>
        <w:snapToGrid w:val="0"/>
        <w:spacing w:line="360" w:lineRule="auto"/>
        <w:ind w:firstLine="420" w:firstLineChars="200"/>
        <w:rPr>
          <w:color w:val="auto"/>
          <w:szCs w:val="21"/>
        </w:rPr>
      </w:pPr>
      <w:r>
        <w:rPr>
          <w:color w:val="auto"/>
          <w:szCs w:val="21"/>
        </w:rPr>
        <w:t>1.2.3.7 构成本合同组成部分的其他文件</w:t>
      </w:r>
      <w:r>
        <w:rPr>
          <w:color w:val="auto"/>
          <w:szCs w:val="21"/>
          <w:u w:val="single"/>
        </w:rPr>
        <w:t xml:space="preserve">               /              </w:t>
      </w:r>
      <w:r>
        <w:rPr>
          <w:color w:val="auto"/>
          <w:szCs w:val="21"/>
        </w:rPr>
        <w:t>。</w:t>
      </w:r>
    </w:p>
    <w:p>
      <w:pPr>
        <w:pStyle w:val="634"/>
        <w:rPr>
          <w:b/>
          <w:color w:val="auto"/>
        </w:rPr>
      </w:pPr>
      <w:r>
        <w:rPr>
          <w:b/>
          <w:color w:val="auto"/>
        </w:rPr>
        <w:t>2.</w:t>
      </w:r>
      <w:r>
        <w:rPr>
          <w:rFonts w:hint="eastAsia" w:ascii="黑体" w:hAnsi="黑体"/>
          <w:color w:val="auto"/>
        </w:rPr>
        <w:t>检测人的义务</w:t>
      </w:r>
    </w:p>
    <w:p>
      <w:pPr>
        <w:pStyle w:val="630"/>
        <w:ind w:firstLine="422"/>
        <w:rPr>
          <w:color w:val="auto"/>
        </w:rPr>
      </w:pPr>
      <w:r>
        <w:rPr>
          <w:rFonts w:hint="eastAsia"/>
          <w:color w:val="auto"/>
        </w:rPr>
        <w:t>2.1</w:t>
      </w:r>
      <w:r>
        <w:rPr>
          <w:rFonts w:hint="eastAsia" w:ascii="黑体" w:hAnsi="黑体"/>
          <w:color w:val="auto"/>
        </w:rPr>
        <w:t>试验</w:t>
      </w:r>
      <w:r>
        <w:rPr>
          <w:rFonts w:ascii="黑体" w:hAnsi="黑体"/>
          <w:color w:val="auto"/>
        </w:rPr>
        <w:t>检测服务的形式、范围与内容</w:t>
      </w:r>
    </w:p>
    <w:p>
      <w:pPr>
        <w:snapToGrid w:val="0"/>
        <w:spacing w:line="360" w:lineRule="auto"/>
        <w:ind w:firstLine="420" w:firstLineChars="200"/>
        <w:rPr>
          <w:color w:val="auto"/>
          <w:szCs w:val="21"/>
        </w:rPr>
      </w:pPr>
      <w:r>
        <w:rPr>
          <w:color w:val="auto"/>
          <w:szCs w:val="21"/>
        </w:rPr>
        <w:t>是否设立现场检测项目部：</w:t>
      </w:r>
      <w:r>
        <w:rPr>
          <w:color w:val="auto"/>
          <w:szCs w:val="21"/>
          <w:u w:val="single"/>
        </w:rPr>
        <w:t xml:space="preserve">  </w:t>
      </w:r>
      <w:r>
        <w:rPr>
          <w:rFonts w:hint="eastAsia"/>
          <w:color w:val="auto"/>
          <w:szCs w:val="21"/>
          <w:u w:val="single"/>
        </w:rPr>
        <w:t>是</w:t>
      </w:r>
      <w:r>
        <w:rPr>
          <w:color w:val="auto"/>
          <w:szCs w:val="21"/>
          <w:u w:val="single"/>
        </w:rPr>
        <w:t xml:space="preserve">  </w:t>
      </w:r>
      <w:r>
        <w:rPr>
          <w:color w:val="auto"/>
          <w:szCs w:val="21"/>
        </w:rPr>
        <w:t>。</w:t>
      </w:r>
    </w:p>
    <w:p>
      <w:pPr>
        <w:snapToGrid w:val="0"/>
        <w:spacing w:line="360" w:lineRule="auto"/>
        <w:ind w:firstLine="420" w:firstLineChars="200"/>
        <w:rPr>
          <w:color w:val="auto"/>
          <w:szCs w:val="21"/>
        </w:rPr>
      </w:pPr>
      <w:r>
        <w:rPr>
          <w:color w:val="auto"/>
          <w:szCs w:val="21"/>
        </w:rPr>
        <w:t>检测项目部建筑面积：</w:t>
      </w:r>
      <w:r>
        <w:rPr>
          <w:rFonts w:hint="eastAsia"/>
          <w:color w:val="auto"/>
          <w:szCs w:val="21"/>
          <w:u w:val="single"/>
        </w:rPr>
        <w:t>设立现场试验检测项目部（面积不少于80㎡），选址前须报发包人确认，若与发包人现场集中办公，检测人须承担相应的费用</w:t>
      </w:r>
      <w:r>
        <w:rPr>
          <w:color w:val="auto"/>
          <w:szCs w:val="21"/>
        </w:rPr>
        <w:t>。</w:t>
      </w:r>
    </w:p>
    <w:p>
      <w:pPr>
        <w:snapToGrid w:val="0"/>
        <w:spacing w:line="360" w:lineRule="auto"/>
        <w:ind w:firstLine="420" w:firstLineChars="200"/>
        <w:rPr>
          <w:color w:val="auto"/>
          <w:szCs w:val="21"/>
          <w:u w:val="single"/>
        </w:rPr>
      </w:pPr>
      <w:r>
        <w:rPr>
          <w:color w:val="auto"/>
          <w:szCs w:val="21"/>
        </w:rPr>
        <w:t>检测项目部设施配备：</w:t>
      </w:r>
      <w:r>
        <w:rPr>
          <w:rFonts w:hint="eastAsia"/>
          <w:color w:val="auto"/>
          <w:szCs w:val="21"/>
          <w:u w:val="single"/>
        </w:rPr>
        <w:t>配备满足现场办公需求的办公及生活设施、考勤系统（含硬件和软件）、信息化系统（含硬件和软件），视频会议系统，配备汽车至少2辆（不包括检测功能用车），配备满足试验检测工作需求的试验检测仪器设备</w:t>
      </w:r>
      <w:r>
        <w:rPr>
          <w:color w:val="auto"/>
          <w:szCs w:val="21"/>
          <w:u w:val="single"/>
        </w:rPr>
        <w:t>。</w:t>
      </w:r>
    </w:p>
    <w:p>
      <w:pPr>
        <w:snapToGrid w:val="0"/>
        <w:jc w:val="center"/>
        <w:rPr>
          <w:b/>
          <w:bCs/>
          <w:color w:val="auto"/>
          <w:sz w:val="24"/>
        </w:rPr>
      </w:pPr>
      <w:r>
        <w:rPr>
          <w:b/>
          <w:bCs/>
          <w:color w:val="auto"/>
        </w:rPr>
        <w:t>本项目检测人员要求表</w:t>
      </w:r>
    </w:p>
    <w:tbl>
      <w:tblPr>
        <w:tblStyle w:val="60"/>
        <w:tblW w:w="5129" w:type="pct"/>
        <w:tblInd w:w="1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07"/>
        <w:gridCol w:w="910"/>
        <w:gridCol w:w="4342"/>
        <w:gridCol w:w="17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9" w:hRule="atLeast"/>
        </w:trPr>
        <w:tc>
          <w:tcPr>
            <w:tcW w:w="1160" w:type="pct"/>
            <w:tcBorders>
              <w:top w:val="single" w:color="auto" w:sz="12" w:space="0"/>
              <w:left w:val="single" w:color="auto" w:sz="12" w:space="0"/>
              <w:bottom w:val="single" w:color="auto" w:sz="6" w:space="0"/>
              <w:right w:val="single" w:color="auto" w:sz="6" w:space="0"/>
            </w:tcBorders>
            <w:vAlign w:val="center"/>
          </w:tcPr>
          <w:p>
            <w:pPr>
              <w:spacing w:line="420" w:lineRule="exact"/>
              <w:jc w:val="center"/>
              <w:rPr>
                <w:rFonts w:hint="eastAsia" w:ascii="宋体" w:hAnsi="宋体"/>
                <w:b/>
                <w:bCs/>
                <w:color w:val="auto"/>
                <w:szCs w:val="21"/>
              </w:rPr>
            </w:pPr>
            <w:r>
              <w:rPr>
                <w:b/>
                <w:bCs/>
                <w:color w:val="auto"/>
                <w:szCs w:val="21"/>
              </w:rPr>
              <w:t>人员</w:t>
            </w:r>
          </w:p>
        </w:tc>
        <w:tc>
          <w:tcPr>
            <w:tcW w:w="501" w:type="pct"/>
            <w:tcBorders>
              <w:top w:val="single" w:color="auto" w:sz="12" w:space="0"/>
              <w:left w:val="single" w:color="auto" w:sz="6" w:space="0"/>
              <w:bottom w:val="single" w:color="auto" w:sz="6" w:space="0"/>
              <w:right w:val="single" w:color="auto" w:sz="6" w:space="0"/>
            </w:tcBorders>
            <w:vAlign w:val="center"/>
          </w:tcPr>
          <w:p>
            <w:pPr>
              <w:spacing w:line="420" w:lineRule="exact"/>
              <w:jc w:val="center"/>
              <w:rPr>
                <w:rFonts w:hint="eastAsia" w:ascii="宋体" w:hAnsi="宋体"/>
                <w:b/>
                <w:bCs/>
                <w:color w:val="auto"/>
                <w:szCs w:val="21"/>
              </w:rPr>
            </w:pPr>
            <w:r>
              <w:rPr>
                <w:b/>
                <w:bCs/>
                <w:color w:val="auto"/>
                <w:szCs w:val="21"/>
              </w:rPr>
              <w:t>数量</w:t>
            </w:r>
          </w:p>
        </w:tc>
        <w:tc>
          <w:tcPr>
            <w:tcW w:w="2390" w:type="pct"/>
            <w:tcBorders>
              <w:top w:val="single" w:color="auto" w:sz="12" w:space="0"/>
              <w:left w:val="single" w:color="auto" w:sz="6" w:space="0"/>
              <w:bottom w:val="single" w:color="auto" w:sz="6" w:space="0"/>
              <w:right w:val="single" w:color="auto" w:sz="6" w:space="0"/>
            </w:tcBorders>
            <w:vAlign w:val="center"/>
          </w:tcPr>
          <w:p>
            <w:pPr>
              <w:spacing w:line="420" w:lineRule="exact"/>
              <w:jc w:val="center"/>
              <w:rPr>
                <w:rFonts w:hint="eastAsia" w:ascii="宋体" w:hAnsi="宋体"/>
                <w:b/>
                <w:bCs/>
                <w:color w:val="auto"/>
                <w:szCs w:val="21"/>
              </w:rPr>
            </w:pPr>
            <w:r>
              <w:rPr>
                <w:b/>
                <w:bCs/>
                <w:color w:val="auto"/>
                <w:szCs w:val="21"/>
              </w:rPr>
              <w:t>资格要求</w:t>
            </w:r>
          </w:p>
        </w:tc>
        <w:tc>
          <w:tcPr>
            <w:tcW w:w="949" w:type="pct"/>
            <w:tcBorders>
              <w:top w:val="single" w:color="auto" w:sz="12" w:space="0"/>
              <w:left w:val="single" w:color="auto" w:sz="6" w:space="0"/>
              <w:bottom w:val="single" w:color="auto" w:sz="6" w:space="0"/>
              <w:right w:val="single" w:color="auto" w:sz="12" w:space="0"/>
            </w:tcBorders>
            <w:vAlign w:val="center"/>
          </w:tcPr>
          <w:p>
            <w:pPr>
              <w:spacing w:line="420" w:lineRule="exact"/>
              <w:jc w:val="center"/>
              <w:rPr>
                <w:rFonts w:hint="eastAsia" w:ascii="宋体" w:hAnsi="宋体"/>
                <w:b/>
                <w:bCs/>
                <w:color w:val="auto"/>
                <w:szCs w:val="21"/>
              </w:rPr>
            </w:pPr>
            <w:r>
              <w:rPr>
                <w:b/>
                <w:bCs/>
                <w:color w:val="auto"/>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trPr>
        <w:tc>
          <w:tcPr>
            <w:tcW w:w="1160" w:type="pct"/>
            <w:tcBorders>
              <w:top w:val="single" w:color="auto" w:sz="6" w:space="0"/>
              <w:left w:val="single" w:color="auto" w:sz="12" w:space="0"/>
              <w:bottom w:val="single" w:color="auto" w:sz="6" w:space="0"/>
              <w:right w:val="single" w:color="auto" w:sz="6" w:space="0"/>
            </w:tcBorders>
            <w:vAlign w:val="center"/>
          </w:tcPr>
          <w:p>
            <w:pPr>
              <w:spacing w:line="420" w:lineRule="exact"/>
              <w:jc w:val="center"/>
              <w:rPr>
                <w:rFonts w:hint="eastAsia" w:ascii="宋体" w:hAnsi="宋体"/>
                <w:color w:val="auto"/>
                <w:szCs w:val="21"/>
              </w:rPr>
            </w:pPr>
            <w:r>
              <w:rPr>
                <w:color w:val="auto"/>
                <w:szCs w:val="21"/>
              </w:rPr>
              <w:t>项目负责人</w:t>
            </w:r>
          </w:p>
        </w:tc>
        <w:tc>
          <w:tcPr>
            <w:tcW w:w="3840" w:type="pct"/>
            <w:gridSpan w:val="3"/>
            <w:tcBorders>
              <w:top w:val="single" w:color="auto" w:sz="6" w:space="0"/>
              <w:left w:val="single" w:color="auto" w:sz="6" w:space="0"/>
              <w:bottom w:val="single" w:color="auto" w:sz="6" w:space="0"/>
              <w:right w:val="single" w:color="auto" w:sz="12" w:space="0"/>
            </w:tcBorders>
            <w:vAlign w:val="center"/>
          </w:tcPr>
          <w:p>
            <w:pPr>
              <w:spacing w:line="420" w:lineRule="exact"/>
              <w:jc w:val="center"/>
              <w:rPr>
                <w:rFonts w:hint="eastAsia" w:ascii="宋体" w:hAnsi="宋体"/>
                <w:color w:val="auto"/>
                <w:szCs w:val="21"/>
              </w:rPr>
            </w:pPr>
            <w:r>
              <w:rPr>
                <w:color w:val="auto"/>
                <w:szCs w:val="21"/>
              </w:rPr>
              <w:t>见资格审查最低要求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160" w:type="pct"/>
            <w:tcBorders>
              <w:top w:val="single" w:color="auto" w:sz="6" w:space="0"/>
              <w:left w:val="single" w:color="auto" w:sz="12" w:space="0"/>
              <w:bottom w:val="single" w:color="auto" w:sz="6" w:space="0"/>
              <w:right w:val="single" w:color="auto" w:sz="6" w:space="0"/>
            </w:tcBorders>
            <w:vAlign w:val="center"/>
          </w:tcPr>
          <w:p>
            <w:pPr>
              <w:spacing w:line="420" w:lineRule="exact"/>
              <w:jc w:val="center"/>
              <w:rPr>
                <w:rFonts w:hint="eastAsia" w:ascii="宋体" w:hAnsi="宋体"/>
                <w:color w:val="auto"/>
                <w:szCs w:val="21"/>
              </w:rPr>
            </w:pPr>
            <w:r>
              <w:rPr>
                <w:color w:val="auto"/>
                <w:szCs w:val="21"/>
              </w:rPr>
              <w:t>技术负责人</w:t>
            </w:r>
          </w:p>
        </w:tc>
        <w:tc>
          <w:tcPr>
            <w:tcW w:w="3840" w:type="pct"/>
            <w:gridSpan w:val="3"/>
            <w:tcBorders>
              <w:top w:val="single" w:color="auto" w:sz="6" w:space="0"/>
              <w:left w:val="single" w:color="auto" w:sz="6" w:space="0"/>
              <w:bottom w:val="single" w:color="auto" w:sz="6" w:space="0"/>
              <w:right w:val="single" w:color="auto" w:sz="12" w:space="0"/>
            </w:tcBorders>
            <w:vAlign w:val="center"/>
          </w:tcPr>
          <w:p>
            <w:pPr>
              <w:spacing w:line="420" w:lineRule="exact"/>
              <w:jc w:val="center"/>
              <w:rPr>
                <w:rFonts w:hint="eastAsia" w:ascii="宋体" w:hAnsi="宋体"/>
                <w:color w:val="auto"/>
                <w:szCs w:val="21"/>
              </w:rPr>
            </w:pPr>
            <w:r>
              <w:rPr>
                <w:color w:val="auto"/>
                <w:szCs w:val="21"/>
              </w:rPr>
              <w:t>见资格审查最低要求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9" w:hRule="atLeast"/>
        </w:trPr>
        <w:tc>
          <w:tcPr>
            <w:tcW w:w="1160" w:type="pct"/>
            <w:tcBorders>
              <w:top w:val="single" w:color="auto" w:sz="6" w:space="0"/>
              <w:left w:val="single" w:color="auto" w:sz="12" w:space="0"/>
              <w:bottom w:val="single" w:color="auto" w:sz="6" w:space="0"/>
              <w:right w:val="single" w:color="auto" w:sz="6" w:space="0"/>
            </w:tcBorders>
            <w:vAlign w:val="center"/>
          </w:tcPr>
          <w:p>
            <w:pPr>
              <w:spacing w:line="420" w:lineRule="exact"/>
              <w:jc w:val="center"/>
              <w:rPr>
                <w:rFonts w:hint="eastAsia" w:ascii="宋体" w:hAnsi="宋体"/>
                <w:color w:val="auto"/>
                <w:szCs w:val="21"/>
              </w:rPr>
            </w:pPr>
            <w:r>
              <w:rPr>
                <w:color w:val="auto"/>
                <w:szCs w:val="21"/>
              </w:rPr>
              <w:t>试验检测工程师</w:t>
            </w:r>
          </w:p>
        </w:tc>
        <w:tc>
          <w:tcPr>
            <w:tcW w:w="501" w:type="pct"/>
            <w:tcBorders>
              <w:top w:val="single" w:color="auto" w:sz="6" w:space="0"/>
              <w:left w:val="single" w:color="auto" w:sz="6" w:space="0"/>
              <w:bottom w:val="single" w:color="auto" w:sz="6" w:space="0"/>
              <w:right w:val="single" w:color="auto" w:sz="6" w:space="0"/>
            </w:tcBorders>
            <w:vAlign w:val="center"/>
          </w:tcPr>
          <w:p>
            <w:pPr>
              <w:spacing w:line="420" w:lineRule="exact"/>
              <w:jc w:val="center"/>
              <w:rPr>
                <w:rFonts w:hint="eastAsia" w:ascii="宋体" w:hAnsi="宋体"/>
                <w:color w:val="auto"/>
                <w:szCs w:val="21"/>
              </w:rPr>
            </w:pPr>
            <w:r>
              <w:rPr>
                <w:rFonts w:ascii="宋体" w:hAnsi="宋体"/>
                <w:color w:val="auto"/>
                <w:szCs w:val="21"/>
              </w:rPr>
              <w:t>2</w:t>
            </w:r>
          </w:p>
        </w:tc>
        <w:tc>
          <w:tcPr>
            <w:tcW w:w="2390" w:type="pct"/>
            <w:tcBorders>
              <w:top w:val="single" w:color="auto" w:sz="6" w:space="0"/>
              <w:left w:val="single" w:color="auto" w:sz="6" w:space="0"/>
              <w:bottom w:val="single" w:color="auto" w:sz="6" w:space="0"/>
              <w:right w:val="single" w:color="auto" w:sz="6" w:space="0"/>
            </w:tcBorders>
            <w:vAlign w:val="center"/>
          </w:tcPr>
          <w:p>
            <w:pPr>
              <w:spacing w:line="420" w:lineRule="exact"/>
              <w:rPr>
                <w:rFonts w:hint="eastAsia" w:ascii="宋体" w:hAnsi="宋体"/>
                <w:color w:val="auto"/>
                <w:szCs w:val="21"/>
              </w:rPr>
            </w:pPr>
            <w:r>
              <w:rPr>
                <w:bCs/>
                <w:color w:val="auto"/>
                <w:szCs w:val="21"/>
              </w:rPr>
              <w:t>具有</w:t>
            </w:r>
            <w:r>
              <w:rPr>
                <w:bCs/>
                <w:color w:val="auto"/>
                <w:szCs w:val="21"/>
                <w:u w:val="single"/>
              </w:rPr>
              <w:t>工程师及以上技术</w:t>
            </w:r>
            <w:r>
              <w:rPr>
                <w:bCs/>
                <w:color w:val="auto"/>
                <w:szCs w:val="21"/>
              </w:rPr>
              <w:t>职称，且有交通运输部门颁发的</w:t>
            </w:r>
            <w:r>
              <w:rPr>
                <w:bCs/>
                <w:color w:val="auto"/>
                <w:szCs w:val="21"/>
                <w:u w:val="single"/>
              </w:rPr>
              <w:t>公路工程试验检测工程师（公路专业或桥梁专业），</w:t>
            </w:r>
            <w:r>
              <w:rPr>
                <w:b/>
                <w:color w:val="auto"/>
                <w:szCs w:val="21"/>
                <w:u w:val="single"/>
              </w:rPr>
              <w:t>或</w:t>
            </w:r>
            <w:r>
              <w:rPr>
                <w:bCs/>
                <w:color w:val="auto"/>
                <w:szCs w:val="21"/>
                <w:u w:val="single"/>
              </w:rPr>
              <w:t>人社部和交通运输部核发的公路水运工程试验检测师（道路工程专业或桥梁隧道工程专业）</w:t>
            </w:r>
            <w:r>
              <w:rPr>
                <w:bCs/>
                <w:color w:val="auto"/>
                <w:szCs w:val="21"/>
              </w:rPr>
              <w:t>资格，年龄</w:t>
            </w:r>
            <w:r>
              <w:rPr>
                <w:bCs/>
                <w:color w:val="auto"/>
                <w:szCs w:val="21"/>
                <w:u w:val="single"/>
              </w:rPr>
              <w:t>60</w:t>
            </w:r>
            <w:r>
              <w:rPr>
                <w:bCs/>
                <w:color w:val="auto"/>
                <w:szCs w:val="21"/>
              </w:rPr>
              <w:t>周岁及以下，根据交通运输部最新公布的试验检测人员信用评价结果，检测工程师个人扣分在40分以下。</w:t>
            </w:r>
          </w:p>
        </w:tc>
        <w:tc>
          <w:tcPr>
            <w:tcW w:w="949" w:type="pct"/>
            <w:tcBorders>
              <w:top w:val="single" w:color="auto" w:sz="6" w:space="0"/>
              <w:left w:val="single" w:color="auto" w:sz="6" w:space="0"/>
              <w:bottom w:val="single" w:color="auto" w:sz="6" w:space="0"/>
              <w:right w:val="single" w:color="auto" w:sz="12" w:space="0"/>
            </w:tcBorders>
            <w:vAlign w:val="center"/>
          </w:tcPr>
          <w:p>
            <w:pPr>
              <w:spacing w:line="420" w:lineRule="exact"/>
              <w:jc w:val="center"/>
              <w:rPr>
                <w:rFonts w:hint="eastAsia" w:ascii="宋体" w:hAnsi="宋体"/>
                <w:color w:val="auto"/>
                <w:szCs w:val="21"/>
              </w:rPr>
            </w:pPr>
            <w:r>
              <w:rPr>
                <w:rFonts w:ascii="宋体" w:hAnsi="宋体"/>
                <w:color w:val="auto"/>
                <w:szCs w:val="21"/>
              </w:rPr>
              <w:t>2</w:t>
            </w:r>
            <w:r>
              <w:rPr>
                <w:color w:val="auto"/>
                <w:szCs w:val="21"/>
              </w:rPr>
              <w:t>人职业资格证书专业应一人至少包含</w:t>
            </w:r>
            <w:r>
              <w:rPr>
                <w:bCs/>
                <w:color w:val="auto"/>
                <w:szCs w:val="21"/>
                <w:u w:val="single"/>
              </w:rPr>
              <w:t>公路专业(或道路工程专业)，一人</w:t>
            </w:r>
            <w:r>
              <w:rPr>
                <w:color w:val="auto"/>
                <w:szCs w:val="21"/>
              </w:rPr>
              <w:t>至少包含</w:t>
            </w:r>
            <w:r>
              <w:rPr>
                <w:bCs/>
                <w:color w:val="auto"/>
                <w:szCs w:val="21"/>
                <w:u w:val="single"/>
              </w:rPr>
              <w:t>桥梁专业(或桥梁隧道专业)。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1160" w:type="pct"/>
            <w:tcBorders>
              <w:top w:val="single" w:color="auto" w:sz="6" w:space="0"/>
              <w:left w:val="single" w:color="auto" w:sz="12" w:space="0"/>
              <w:bottom w:val="single" w:color="auto" w:sz="12" w:space="0"/>
              <w:right w:val="single" w:color="auto" w:sz="6" w:space="0"/>
            </w:tcBorders>
            <w:vAlign w:val="center"/>
          </w:tcPr>
          <w:p>
            <w:pPr>
              <w:spacing w:line="420" w:lineRule="exact"/>
              <w:jc w:val="center"/>
              <w:rPr>
                <w:rFonts w:hint="eastAsia" w:ascii="宋体" w:hAnsi="宋体"/>
                <w:color w:val="auto"/>
                <w:szCs w:val="21"/>
              </w:rPr>
            </w:pPr>
            <w:r>
              <w:rPr>
                <w:color w:val="auto"/>
                <w:szCs w:val="21"/>
              </w:rPr>
              <w:t>试验检测员</w:t>
            </w:r>
          </w:p>
        </w:tc>
        <w:tc>
          <w:tcPr>
            <w:tcW w:w="501" w:type="pct"/>
            <w:tcBorders>
              <w:top w:val="single" w:color="auto" w:sz="6" w:space="0"/>
              <w:left w:val="single" w:color="auto" w:sz="6" w:space="0"/>
              <w:bottom w:val="single" w:color="auto" w:sz="12" w:space="0"/>
              <w:right w:val="single" w:color="auto" w:sz="6" w:space="0"/>
            </w:tcBorders>
            <w:vAlign w:val="center"/>
          </w:tcPr>
          <w:p>
            <w:pPr>
              <w:spacing w:line="420" w:lineRule="exact"/>
              <w:jc w:val="center"/>
              <w:rPr>
                <w:rFonts w:hint="eastAsia" w:ascii="宋体" w:hAnsi="宋体"/>
                <w:color w:val="auto"/>
                <w:szCs w:val="21"/>
              </w:rPr>
            </w:pPr>
            <w:r>
              <w:rPr>
                <w:rFonts w:ascii="宋体" w:hAnsi="宋体"/>
                <w:color w:val="auto"/>
                <w:szCs w:val="21"/>
              </w:rPr>
              <w:t>4</w:t>
            </w:r>
          </w:p>
        </w:tc>
        <w:tc>
          <w:tcPr>
            <w:tcW w:w="2390" w:type="pct"/>
            <w:tcBorders>
              <w:top w:val="single" w:color="auto" w:sz="6" w:space="0"/>
              <w:left w:val="single" w:color="auto" w:sz="6" w:space="0"/>
              <w:bottom w:val="single" w:color="auto" w:sz="12" w:space="0"/>
              <w:right w:val="single" w:color="auto" w:sz="6" w:space="0"/>
            </w:tcBorders>
            <w:vAlign w:val="center"/>
          </w:tcPr>
          <w:p>
            <w:pPr>
              <w:spacing w:line="420" w:lineRule="exact"/>
              <w:rPr>
                <w:rFonts w:hint="eastAsia" w:ascii="宋体" w:hAnsi="宋体"/>
                <w:color w:val="auto"/>
                <w:szCs w:val="21"/>
              </w:rPr>
            </w:pPr>
            <w:r>
              <w:rPr>
                <w:bCs/>
                <w:color w:val="auto"/>
                <w:szCs w:val="21"/>
              </w:rPr>
              <w:t>具有</w:t>
            </w:r>
            <w:r>
              <w:rPr>
                <w:bCs/>
                <w:color w:val="auto"/>
                <w:szCs w:val="21"/>
                <w:u w:val="single"/>
              </w:rPr>
              <w:t>助理工程师及以上技术</w:t>
            </w:r>
            <w:r>
              <w:rPr>
                <w:bCs/>
                <w:color w:val="auto"/>
                <w:szCs w:val="21"/>
              </w:rPr>
              <w:t>职称，且有交通运输部门颁发的</w:t>
            </w:r>
            <w:r>
              <w:rPr>
                <w:bCs/>
                <w:color w:val="auto"/>
                <w:szCs w:val="21"/>
                <w:u w:val="single"/>
              </w:rPr>
              <w:t>公路工程试验检测员及以上资格，</w:t>
            </w:r>
            <w:r>
              <w:rPr>
                <w:b/>
                <w:color w:val="auto"/>
                <w:szCs w:val="21"/>
                <w:u w:val="single"/>
              </w:rPr>
              <w:t>或</w:t>
            </w:r>
            <w:r>
              <w:rPr>
                <w:bCs/>
                <w:color w:val="auto"/>
                <w:szCs w:val="21"/>
                <w:u w:val="single"/>
              </w:rPr>
              <w:t>人社部和交通运输部核发的公路水运工程助理试验检测师及以上</w:t>
            </w:r>
            <w:r>
              <w:rPr>
                <w:bCs/>
                <w:color w:val="auto"/>
                <w:szCs w:val="21"/>
              </w:rPr>
              <w:t>资格，年龄</w:t>
            </w:r>
            <w:r>
              <w:rPr>
                <w:bCs/>
                <w:color w:val="auto"/>
                <w:szCs w:val="21"/>
                <w:u w:val="single"/>
              </w:rPr>
              <w:t>60</w:t>
            </w:r>
            <w:r>
              <w:rPr>
                <w:bCs/>
                <w:color w:val="auto"/>
                <w:szCs w:val="21"/>
              </w:rPr>
              <w:t>周岁及以下，根据交通运输部最新公布的试验检测人员信用评价结果，检测工程师个人扣分在40分以下。</w:t>
            </w:r>
          </w:p>
        </w:tc>
        <w:tc>
          <w:tcPr>
            <w:tcW w:w="949" w:type="pct"/>
            <w:tcBorders>
              <w:top w:val="single" w:color="auto" w:sz="6" w:space="0"/>
              <w:left w:val="single" w:color="auto" w:sz="6" w:space="0"/>
              <w:bottom w:val="single" w:color="auto" w:sz="12" w:space="0"/>
              <w:right w:val="single" w:color="auto" w:sz="12" w:space="0"/>
            </w:tcBorders>
            <w:vAlign w:val="center"/>
          </w:tcPr>
          <w:p>
            <w:pPr>
              <w:spacing w:line="420" w:lineRule="exact"/>
              <w:jc w:val="center"/>
              <w:rPr>
                <w:rFonts w:hint="eastAsia" w:ascii="宋体" w:hAnsi="宋体"/>
                <w:color w:val="auto"/>
                <w:szCs w:val="21"/>
              </w:rPr>
            </w:pPr>
            <w:r>
              <w:rPr>
                <w:rFonts w:ascii="宋体" w:hAnsi="宋体"/>
                <w:color w:val="auto"/>
                <w:szCs w:val="21"/>
              </w:rPr>
              <w:t>4</w:t>
            </w:r>
            <w:r>
              <w:rPr>
                <w:color w:val="auto"/>
                <w:szCs w:val="21"/>
              </w:rPr>
              <w:t>人职业资格证书专业应覆盖道路工程专业（或</w:t>
            </w:r>
            <w:r>
              <w:rPr>
                <w:bCs/>
                <w:color w:val="auto"/>
                <w:szCs w:val="21"/>
                <w:u w:val="single"/>
              </w:rPr>
              <w:t>公路专业</w:t>
            </w:r>
            <w:r>
              <w:rPr>
                <w:color w:val="auto"/>
                <w:szCs w:val="21"/>
              </w:rPr>
              <w:t>）和桥梁隧道工程专业</w:t>
            </w:r>
            <w:r>
              <w:rPr>
                <w:rFonts w:ascii="宋体" w:hAnsi="宋体"/>
                <w:color w:val="auto"/>
                <w:szCs w:val="21"/>
              </w:rPr>
              <w:t>(</w:t>
            </w:r>
            <w:r>
              <w:rPr>
                <w:color w:val="auto"/>
                <w:szCs w:val="21"/>
              </w:rPr>
              <w:t>或</w:t>
            </w:r>
            <w:r>
              <w:rPr>
                <w:bCs/>
                <w:color w:val="auto"/>
                <w:szCs w:val="21"/>
                <w:u w:val="single"/>
              </w:rPr>
              <w:t>桥梁专业)</w:t>
            </w:r>
            <w:r>
              <w:rPr>
                <w:color w:val="auto"/>
                <w:szCs w:val="21"/>
              </w:rPr>
              <w:t>。</w:t>
            </w:r>
          </w:p>
          <w:p>
            <w:pPr>
              <w:spacing w:line="420" w:lineRule="exact"/>
              <w:jc w:val="center"/>
              <w:rPr>
                <w:rFonts w:hint="eastAsia" w:ascii="宋体" w:hAnsi="宋体"/>
                <w:color w:val="auto"/>
                <w:szCs w:val="21"/>
              </w:rPr>
            </w:pPr>
          </w:p>
        </w:tc>
      </w:tr>
    </w:tbl>
    <w:p>
      <w:pPr>
        <w:snapToGrid w:val="0"/>
        <w:spacing w:before="240" w:beforeLines="100" w:line="360" w:lineRule="auto"/>
        <w:ind w:firstLine="420" w:firstLineChars="200"/>
        <w:rPr>
          <w:rFonts w:ascii="Cambria" w:hAnsi="Cambria" w:cs="宋体"/>
          <w:color w:val="auto"/>
          <w:szCs w:val="21"/>
        </w:rPr>
      </w:pPr>
      <w:r>
        <w:rPr>
          <w:color w:val="auto"/>
          <w:szCs w:val="21"/>
        </w:rPr>
        <w:t>2.1.2  服务范围</w:t>
      </w:r>
    </w:p>
    <w:p>
      <w:pPr>
        <w:snapToGrid w:val="0"/>
        <w:spacing w:line="360" w:lineRule="auto"/>
        <w:ind w:firstLine="420" w:firstLineChars="200"/>
        <w:rPr>
          <w:color w:val="auto"/>
          <w:szCs w:val="21"/>
        </w:rPr>
      </w:pPr>
      <w:r>
        <w:rPr>
          <w:color w:val="auto"/>
          <w:szCs w:val="21"/>
        </w:rPr>
        <w:t>2.1.2.1  试验检测服务的工程范围：</w:t>
      </w:r>
      <w:r>
        <w:rPr>
          <w:color w:val="auto"/>
          <w:szCs w:val="21"/>
          <w:u w:val="single"/>
        </w:rPr>
        <w:t>本项目全线范围内路基、路面、桥梁（含桥梁荷载试验）、交通安全设施、环保（含绿化）、机电等工程交工实体检测、竣工实体检测、外观检查，检测频率及参数按浙江省交通运输厅《浙江省公路工程竣（交）工验收办法》（浙交〔2019〕184号）执行，出具工程实体检测报告、外观检查报告，并协助发包人对工程质量进行评定等工作；</w:t>
      </w:r>
    </w:p>
    <w:p>
      <w:pPr>
        <w:snapToGrid w:val="0"/>
        <w:spacing w:line="360" w:lineRule="auto"/>
        <w:ind w:firstLine="420" w:firstLineChars="200"/>
        <w:rPr>
          <w:color w:val="auto"/>
          <w:szCs w:val="21"/>
        </w:rPr>
      </w:pPr>
      <w:r>
        <w:rPr>
          <w:color w:val="auto"/>
          <w:szCs w:val="21"/>
        </w:rPr>
        <w:t>2.1.3  服务内容</w:t>
      </w:r>
    </w:p>
    <w:p>
      <w:pPr>
        <w:snapToGrid w:val="0"/>
        <w:spacing w:line="360" w:lineRule="auto"/>
        <w:ind w:firstLine="420" w:firstLineChars="200"/>
        <w:rPr>
          <w:color w:val="auto"/>
          <w:szCs w:val="21"/>
        </w:rPr>
      </w:pPr>
      <w:r>
        <w:rPr>
          <w:color w:val="auto"/>
          <w:szCs w:val="21"/>
        </w:rPr>
        <w:t>检测人应按照相关法律、法规、规范、规程及《公路水运工程质量检测管理办法》（中华人民共和国交通运输部令2023年第9号）、《浙江省交通建设工程质量和安全生产管理条例》、《浙江省公路工程竣（交）工验收办法》（浙交〔2019〕184号）、《省交通运输厅关于印发&lt;浙江省交通建设工程推进平安百年品质工程建设实施方案&gt;的通知》（浙交〔2023〕132号）、《省交通运输厅关于印发&lt;浙江省交通建设工程质量和安全生产监督工作实施细则&gt;&lt;浙江省交通建设危险性较大的分部分项工程专项施工方案管理办法&gt;和&lt;浙江省交通建设工程平安工地建设管理实施办法&gt;》（浙交〔2019〕197号）、《浙江省公路水运工程试验管理办法》等相关要求开展试验检测服务。其试验检测服务内容为（但不限于）：</w:t>
      </w:r>
    </w:p>
    <w:p>
      <w:pPr>
        <w:snapToGrid w:val="0"/>
        <w:spacing w:line="360" w:lineRule="auto"/>
        <w:ind w:firstLine="420" w:firstLineChars="200"/>
        <w:rPr>
          <w:color w:val="auto"/>
          <w:szCs w:val="21"/>
        </w:rPr>
      </w:pPr>
      <w:r>
        <w:rPr>
          <w:color w:val="auto"/>
          <w:szCs w:val="21"/>
        </w:rPr>
        <w:t>（1）编制实施性试验检测方案；</w:t>
      </w:r>
    </w:p>
    <w:p>
      <w:pPr>
        <w:snapToGrid w:val="0"/>
        <w:spacing w:line="360" w:lineRule="auto"/>
        <w:ind w:firstLine="420" w:firstLineChars="200"/>
        <w:rPr>
          <w:color w:val="auto"/>
          <w:szCs w:val="21"/>
        </w:rPr>
      </w:pPr>
      <w:r>
        <w:rPr>
          <w:color w:val="auto"/>
          <w:szCs w:val="21"/>
        </w:rPr>
        <w:t>（2）主持召开试验检测交底会；</w:t>
      </w:r>
    </w:p>
    <w:p>
      <w:pPr>
        <w:snapToGrid w:val="0"/>
        <w:spacing w:line="360" w:lineRule="auto"/>
        <w:ind w:firstLine="420" w:firstLineChars="200"/>
        <w:rPr>
          <w:color w:val="auto"/>
          <w:szCs w:val="21"/>
        </w:rPr>
      </w:pPr>
      <w:r>
        <w:rPr>
          <w:color w:val="auto"/>
          <w:szCs w:val="21"/>
        </w:rPr>
        <w:t>（3）参加工地会议以及其他有关试验检测服务内容的会议；</w:t>
      </w:r>
    </w:p>
    <w:p>
      <w:pPr>
        <w:snapToGrid w:val="0"/>
        <w:spacing w:line="360" w:lineRule="auto"/>
        <w:ind w:firstLine="420" w:firstLineChars="200"/>
        <w:rPr>
          <w:color w:val="auto"/>
          <w:szCs w:val="21"/>
        </w:rPr>
      </w:pPr>
      <w:r>
        <w:rPr>
          <w:color w:val="auto"/>
          <w:szCs w:val="21"/>
        </w:rPr>
        <w:t>（4）按合同约定开展试验检测工作、试验检测数据采集、成果分析、出具报告等；</w:t>
      </w:r>
    </w:p>
    <w:p>
      <w:pPr>
        <w:snapToGrid w:val="0"/>
        <w:spacing w:line="360" w:lineRule="auto"/>
        <w:ind w:firstLine="420" w:firstLineChars="200"/>
        <w:rPr>
          <w:color w:val="auto"/>
          <w:szCs w:val="21"/>
        </w:rPr>
      </w:pPr>
      <w:r>
        <w:rPr>
          <w:color w:val="auto"/>
          <w:szCs w:val="21"/>
        </w:rPr>
        <w:t>（5）协助发包人质量巡查和管理，配合发包人现场巡查、质量大检查、专项检查和检测等、协助发包人开展试验检测管理；</w:t>
      </w:r>
    </w:p>
    <w:p>
      <w:pPr>
        <w:snapToGrid w:val="0"/>
        <w:spacing w:line="360" w:lineRule="auto"/>
        <w:ind w:firstLine="420" w:firstLineChars="200"/>
        <w:rPr>
          <w:color w:val="auto"/>
          <w:szCs w:val="21"/>
        </w:rPr>
      </w:pPr>
      <w:r>
        <w:rPr>
          <w:color w:val="auto"/>
          <w:szCs w:val="21"/>
        </w:rPr>
        <w:t>（6）协助发包人工程范围内发生的质量缺陷、隐患和事故进行调查分析，提交分析报告及处置意见；</w:t>
      </w:r>
    </w:p>
    <w:p>
      <w:pPr>
        <w:snapToGrid w:val="0"/>
        <w:spacing w:line="360" w:lineRule="auto"/>
        <w:ind w:firstLine="420" w:firstLineChars="200"/>
        <w:rPr>
          <w:color w:val="auto"/>
          <w:szCs w:val="21"/>
        </w:rPr>
      </w:pPr>
      <w:r>
        <w:rPr>
          <w:color w:val="auto"/>
          <w:szCs w:val="21"/>
        </w:rPr>
        <w:t>（7）提交试验检测指令单；</w:t>
      </w:r>
    </w:p>
    <w:p>
      <w:pPr>
        <w:snapToGrid w:val="0"/>
        <w:spacing w:line="360" w:lineRule="auto"/>
        <w:ind w:firstLine="420" w:firstLineChars="200"/>
        <w:rPr>
          <w:color w:val="auto"/>
          <w:szCs w:val="21"/>
        </w:rPr>
      </w:pPr>
      <w:r>
        <w:rPr>
          <w:color w:val="auto"/>
          <w:szCs w:val="21"/>
        </w:rPr>
        <w:t>（8）协助发包人交工验收、竣工验收；</w:t>
      </w:r>
    </w:p>
    <w:p>
      <w:pPr>
        <w:snapToGrid w:val="0"/>
        <w:spacing w:line="360" w:lineRule="auto"/>
        <w:ind w:firstLine="420" w:firstLineChars="200"/>
        <w:rPr>
          <w:color w:val="auto"/>
          <w:szCs w:val="21"/>
        </w:rPr>
      </w:pPr>
      <w:r>
        <w:rPr>
          <w:color w:val="auto"/>
          <w:szCs w:val="21"/>
        </w:rPr>
        <w:t>（9）编写试验检测报告。</w:t>
      </w:r>
    </w:p>
    <w:p>
      <w:pPr>
        <w:snapToGrid w:val="0"/>
        <w:spacing w:line="360" w:lineRule="auto"/>
        <w:ind w:firstLine="420" w:firstLineChars="200"/>
        <w:rPr>
          <w:color w:val="auto"/>
          <w:szCs w:val="21"/>
        </w:rPr>
      </w:pPr>
      <w:r>
        <w:rPr>
          <w:color w:val="auto"/>
          <w:szCs w:val="21"/>
        </w:rPr>
        <w:t>2.1.4  服务要求</w:t>
      </w:r>
    </w:p>
    <w:p>
      <w:pPr>
        <w:snapToGrid w:val="0"/>
        <w:spacing w:line="360" w:lineRule="auto"/>
        <w:ind w:firstLine="420" w:firstLineChars="200"/>
        <w:rPr>
          <w:color w:val="auto"/>
          <w:szCs w:val="21"/>
        </w:rPr>
      </w:pPr>
      <w:r>
        <w:rPr>
          <w:color w:val="auto"/>
          <w:szCs w:val="21"/>
        </w:rPr>
        <w:t>（1）检测人应本着严格试验检测、一丝不苟的原则，以试验检测合同文件及相关图纸、资料为依据，独立、公正地开展试验检测工作，保证试验检测数据客观、公正、准确。</w:t>
      </w:r>
    </w:p>
    <w:p>
      <w:pPr>
        <w:snapToGrid w:val="0"/>
        <w:spacing w:line="360" w:lineRule="auto"/>
        <w:ind w:firstLine="420" w:firstLineChars="200"/>
        <w:rPr>
          <w:color w:val="auto"/>
          <w:szCs w:val="21"/>
        </w:rPr>
      </w:pPr>
      <w:r>
        <w:rPr>
          <w:color w:val="auto"/>
          <w:szCs w:val="21"/>
        </w:rPr>
        <w:t>（2）建立完善、有效的质量保证体系，并按照有关规定对仪器设备进行正常维护，定期检定或校准。</w:t>
      </w:r>
    </w:p>
    <w:p>
      <w:pPr>
        <w:snapToGrid w:val="0"/>
        <w:spacing w:line="360" w:lineRule="auto"/>
        <w:ind w:firstLine="420" w:firstLineChars="200"/>
        <w:rPr>
          <w:color w:val="auto"/>
          <w:szCs w:val="21"/>
        </w:rPr>
      </w:pPr>
      <w:r>
        <w:rPr>
          <w:color w:val="auto"/>
          <w:szCs w:val="21"/>
        </w:rPr>
        <w:t>（3）建立健全档案管理制度，试验检测资料及时整理和归档，保证档案齐备，原始记录和试验检测报告内容真实、完整、规范。原始记录、检测报告应当按年度统一编号，编号应当连续，不得随意抽撤、涂改。</w:t>
      </w:r>
    </w:p>
    <w:p>
      <w:pPr>
        <w:snapToGrid w:val="0"/>
        <w:spacing w:line="360" w:lineRule="auto"/>
        <w:ind w:firstLine="420" w:firstLineChars="200"/>
        <w:rPr>
          <w:color w:val="auto"/>
          <w:szCs w:val="21"/>
        </w:rPr>
      </w:pPr>
      <w:r>
        <w:rPr>
          <w:color w:val="auto"/>
          <w:szCs w:val="21"/>
        </w:rPr>
        <w:t>（4）检测人应对试验检测数据的真实性负责。</w:t>
      </w:r>
    </w:p>
    <w:p>
      <w:pPr>
        <w:snapToGrid w:val="0"/>
        <w:spacing w:line="360" w:lineRule="auto"/>
        <w:ind w:firstLine="420" w:firstLineChars="200"/>
        <w:rPr>
          <w:color w:val="auto"/>
          <w:szCs w:val="21"/>
        </w:rPr>
      </w:pPr>
      <w:r>
        <w:rPr>
          <w:color w:val="auto"/>
          <w:szCs w:val="21"/>
        </w:rPr>
        <w:t>（5）建立不合格报告台帐，并及时向发包人和项目主管工程管理机构报告。</w:t>
      </w:r>
    </w:p>
    <w:p>
      <w:pPr>
        <w:snapToGrid w:val="0"/>
        <w:spacing w:line="360" w:lineRule="auto"/>
        <w:ind w:firstLine="420" w:firstLineChars="200"/>
        <w:rPr>
          <w:color w:val="auto"/>
          <w:szCs w:val="21"/>
        </w:rPr>
      </w:pPr>
      <w:r>
        <w:rPr>
          <w:color w:val="auto"/>
          <w:szCs w:val="21"/>
        </w:rPr>
        <w:t>（6）检测人应在签订合同后</w:t>
      </w:r>
      <w:r>
        <w:rPr>
          <w:b/>
          <w:bCs/>
          <w:color w:val="auto"/>
          <w:szCs w:val="21"/>
          <w:u w:val="single"/>
        </w:rPr>
        <w:t xml:space="preserve"> 21 </w:t>
      </w:r>
      <w:r>
        <w:rPr>
          <w:color w:val="auto"/>
          <w:szCs w:val="21"/>
        </w:rPr>
        <w:t>天内向发包人提交经专家论证并修改完善后的实施性试验检测方案计划，检测人按照完善后的方案实施并报发包人备案。</w:t>
      </w:r>
    </w:p>
    <w:p>
      <w:pPr>
        <w:snapToGrid w:val="0"/>
        <w:spacing w:line="360" w:lineRule="auto"/>
        <w:ind w:firstLine="420" w:firstLineChars="200"/>
        <w:rPr>
          <w:color w:val="auto"/>
          <w:szCs w:val="21"/>
        </w:rPr>
      </w:pPr>
      <w:r>
        <w:rPr>
          <w:color w:val="auto"/>
          <w:szCs w:val="21"/>
        </w:rPr>
        <w:t>（7）检测人应于试验检测实施后</w:t>
      </w:r>
      <w:r>
        <w:rPr>
          <w:color w:val="auto"/>
          <w:szCs w:val="21"/>
          <w:u w:val="single"/>
        </w:rPr>
        <w:t xml:space="preserve"> </w:t>
      </w:r>
      <w:r>
        <w:rPr>
          <w:b/>
          <w:bCs/>
          <w:color w:val="auto"/>
          <w:szCs w:val="21"/>
          <w:u w:val="single"/>
        </w:rPr>
        <w:t>3</w:t>
      </w:r>
      <w:r>
        <w:rPr>
          <w:color w:val="auto"/>
          <w:szCs w:val="21"/>
          <w:u w:val="single"/>
        </w:rPr>
        <w:t xml:space="preserve"> </w:t>
      </w:r>
      <w:r>
        <w:rPr>
          <w:color w:val="auto"/>
          <w:szCs w:val="21"/>
        </w:rPr>
        <w:t>天内提交试验检测结果，并</w:t>
      </w:r>
      <w:r>
        <w:rPr>
          <w:b/>
          <w:bCs/>
          <w:color w:val="auto"/>
          <w:szCs w:val="21"/>
        </w:rPr>
        <w:t>及时</w:t>
      </w:r>
      <w:r>
        <w:rPr>
          <w:color w:val="auto"/>
          <w:szCs w:val="21"/>
        </w:rPr>
        <w:t>提供完整的试验检测报告，所有试验检测报告应提供一式</w:t>
      </w:r>
      <w:r>
        <w:rPr>
          <w:b/>
          <w:bCs/>
          <w:color w:val="auto"/>
          <w:szCs w:val="21"/>
          <w:u w:val="single"/>
        </w:rPr>
        <w:t xml:space="preserve"> 6 </w:t>
      </w:r>
      <w:r>
        <w:rPr>
          <w:color w:val="auto"/>
          <w:szCs w:val="21"/>
        </w:rPr>
        <w:t>份；</w:t>
      </w:r>
    </w:p>
    <w:p>
      <w:pPr>
        <w:snapToGrid w:val="0"/>
        <w:spacing w:line="360" w:lineRule="auto"/>
        <w:ind w:firstLine="420" w:firstLineChars="200"/>
        <w:rPr>
          <w:color w:val="auto"/>
          <w:szCs w:val="21"/>
        </w:rPr>
      </w:pPr>
      <w:r>
        <w:rPr>
          <w:color w:val="auto"/>
          <w:szCs w:val="21"/>
        </w:rPr>
        <w:t>（8）要求设立现场检测项目部，拟投入本项目的试验检测员1人应常驻现场，常驻时间不少于每月22日；技术负责人及其他检测人员每个月驻工地时间应以满足工程检测进展和检测工作需要；技术负责人负责检测项目技术指导工作；项目负责人驻场时间在保证检测项目顺利实施的情况下不少于</w:t>
      </w:r>
      <w:r>
        <w:rPr>
          <w:rFonts w:hint="eastAsia"/>
          <w:color w:val="auto"/>
          <w:szCs w:val="21"/>
        </w:rPr>
        <w:t>1</w:t>
      </w:r>
      <w:r>
        <w:rPr>
          <w:color w:val="auto"/>
          <w:szCs w:val="21"/>
        </w:rPr>
        <w:t>次/月；</w:t>
      </w:r>
    </w:p>
    <w:p>
      <w:pPr>
        <w:snapToGrid w:val="0"/>
        <w:spacing w:line="360" w:lineRule="auto"/>
        <w:ind w:firstLine="420" w:firstLineChars="200"/>
        <w:rPr>
          <w:color w:val="auto"/>
          <w:szCs w:val="21"/>
        </w:rPr>
      </w:pPr>
      <w:r>
        <w:rPr>
          <w:color w:val="auto"/>
          <w:szCs w:val="21"/>
        </w:rPr>
        <w:t>（9）检测人应做好检测过程中的安全措施，并为检测人员办理必要的保险；如检测人未能采取有效的措施，而发生的与检测活动有关的人身伤亡、罚款、索赔、损失赔偿、诉讼费用及其他一切责任应由检测人负责。</w:t>
      </w:r>
    </w:p>
    <w:p>
      <w:pPr>
        <w:snapToGrid w:val="0"/>
        <w:spacing w:line="360" w:lineRule="auto"/>
        <w:ind w:firstLine="420" w:firstLineChars="200"/>
        <w:rPr>
          <w:color w:val="auto"/>
          <w:szCs w:val="21"/>
        </w:rPr>
      </w:pPr>
      <w:r>
        <w:rPr>
          <w:color w:val="auto"/>
          <w:szCs w:val="21"/>
        </w:rPr>
        <w:t>（10）检测过程中发生异常情况、关键部位检测结果有异常或不合格，判定影响结构安全的，检测人应在</w:t>
      </w:r>
      <w:r>
        <w:rPr>
          <w:color w:val="auto"/>
          <w:szCs w:val="21"/>
          <w:u w:val="single"/>
        </w:rPr>
        <w:t xml:space="preserve"> </w:t>
      </w:r>
      <w:r>
        <w:rPr>
          <w:b/>
          <w:bCs/>
          <w:color w:val="auto"/>
          <w:szCs w:val="21"/>
          <w:u w:val="single"/>
        </w:rPr>
        <w:t>12</w:t>
      </w:r>
      <w:r>
        <w:rPr>
          <w:color w:val="auto"/>
          <w:szCs w:val="21"/>
          <w:u w:val="single"/>
        </w:rPr>
        <w:t xml:space="preserve"> </w:t>
      </w:r>
      <w:r>
        <w:rPr>
          <w:color w:val="auto"/>
          <w:szCs w:val="21"/>
        </w:rPr>
        <w:t>小时内及时告知发包人（及建设单位），并在</w:t>
      </w:r>
      <w:r>
        <w:rPr>
          <w:color w:val="auto"/>
          <w:szCs w:val="21"/>
          <w:u w:val="single"/>
        </w:rPr>
        <w:t xml:space="preserve"> </w:t>
      </w:r>
      <w:r>
        <w:rPr>
          <w:b/>
          <w:bCs/>
          <w:color w:val="auto"/>
          <w:szCs w:val="21"/>
          <w:u w:val="single"/>
        </w:rPr>
        <w:t>24</w:t>
      </w:r>
      <w:r>
        <w:rPr>
          <w:color w:val="auto"/>
          <w:szCs w:val="21"/>
          <w:u w:val="single"/>
        </w:rPr>
        <w:t xml:space="preserve"> </w:t>
      </w:r>
      <w:r>
        <w:rPr>
          <w:color w:val="auto"/>
          <w:szCs w:val="21"/>
        </w:rPr>
        <w:t>小时内提交书面正式报告；</w:t>
      </w:r>
    </w:p>
    <w:p>
      <w:pPr>
        <w:snapToGrid w:val="0"/>
        <w:spacing w:line="360" w:lineRule="auto"/>
        <w:ind w:firstLine="420" w:firstLineChars="200"/>
        <w:rPr>
          <w:color w:val="auto"/>
          <w:szCs w:val="21"/>
        </w:rPr>
      </w:pPr>
      <w:r>
        <w:rPr>
          <w:color w:val="auto"/>
          <w:szCs w:val="21"/>
        </w:rPr>
        <w:t>（11）发包人的要求实施检测的项目，应在接到发包人的通知后的</w:t>
      </w:r>
      <w:r>
        <w:rPr>
          <w:b/>
          <w:bCs/>
          <w:color w:val="auto"/>
          <w:szCs w:val="21"/>
        </w:rPr>
        <w:t>次日</w:t>
      </w:r>
      <w:r>
        <w:rPr>
          <w:color w:val="auto"/>
          <w:szCs w:val="21"/>
        </w:rPr>
        <w:t>进行实施。</w:t>
      </w:r>
    </w:p>
    <w:p>
      <w:pPr>
        <w:snapToGrid w:val="0"/>
        <w:spacing w:line="360" w:lineRule="auto"/>
        <w:ind w:firstLine="420" w:firstLineChars="200"/>
        <w:rPr>
          <w:color w:val="auto"/>
          <w:szCs w:val="21"/>
        </w:rPr>
      </w:pPr>
      <w:r>
        <w:rPr>
          <w:color w:val="auto"/>
          <w:szCs w:val="21"/>
        </w:rPr>
        <w:t>（12）对于经确认的检测不合格项目，承包人整改后，检测人应进行复检，费用由承包人承担。</w:t>
      </w:r>
    </w:p>
    <w:p>
      <w:pPr>
        <w:snapToGrid w:val="0"/>
        <w:spacing w:line="360" w:lineRule="auto"/>
        <w:ind w:firstLine="420" w:firstLineChars="200"/>
        <w:rPr>
          <w:color w:val="auto"/>
          <w:szCs w:val="21"/>
        </w:rPr>
      </w:pPr>
      <w:r>
        <w:rPr>
          <w:color w:val="auto"/>
          <w:szCs w:val="21"/>
        </w:rPr>
        <w:t>（13）检测人应于每月25日前编制检测月报上报发包人，对结果进行分类统计分析，对检测过程中发现的问题提出合理化建议。</w:t>
      </w:r>
    </w:p>
    <w:p>
      <w:pPr>
        <w:snapToGrid w:val="0"/>
        <w:spacing w:line="360" w:lineRule="auto"/>
        <w:ind w:firstLine="420" w:firstLineChars="200"/>
        <w:rPr>
          <w:color w:val="auto"/>
          <w:szCs w:val="21"/>
        </w:rPr>
      </w:pPr>
      <w:r>
        <w:rPr>
          <w:color w:val="auto"/>
          <w:szCs w:val="21"/>
        </w:rPr>
        <w:t>（14）检测人须及时组织对监理人、承包人等单位的试验检测技术交底，进一步明确关于检测频率等方面的要求。</w:t>
      </w:r>
    </w:p>
    <w:p>
      <w:pPr>
        <w:snapToGrid w:val="0"/>
        <w:spacing w:line="360" w:lineRule="auto"/>
        <w:ind w:firstLine="420" w:firstLineChars="200"/>
        <w:rPr>
          <w:color w:val="auto"/>
          <w:szCs w:val="21"/>
        </w:rPr>
      </w:pPr>
      <w:r>
        <w:rPr>
          <w:color w:val="auto"/>
          <w:szCs w:val="21"/>
        </w:rPr>
        <w:t>（15）检测人应按发包人的要求委派本项目主要人员参加发包人组织的相关会议。</w:t>
      </w:r>
    </w:p>
    <w:p>
      <w:pPr>
        <w:snapToGrid w:val="0"/>
        <w:spacing w:line="360" w:lineRule="auto"/>
        <w:ind w:firstLine="420" w:firstLineChars="200"/>
        <w:rPr>
          <w:color w:val="auto"/>
          <w:szCs w:val="21"/>
        </w:rPr>
      </w:pPr>
      <w:r>
        <w:rPr>
          <w:color w:val="auto"/>
          <w:szCs w:val="21"/>
        </w:rPr>
        <w:t>（16）检测人应加强对试验检测人员、设备、安全的管理；建立有效的廉政考核和安全生产制度。</w:t>
      </w:r>
    </w:p>
    <w:p>
      <w:pPr>
        <w:snapToGrid w:val="0"/>
        <w:spacing w:line="360" w:lineRule="auto"/>
        <w:ind w:firstLine="420" w:firstLineChars="200"/>
        <w:rPr>
          <w:color w:val="auto"/>
          <w:szCs w:val="21"/>
        </w:rPr>
      </w:pPr>
      <w:r>
        <w:rPr>
          <w:color w:val="auto"/>
          <w:szCs w:val="21"/>
        </w:rPr>
        <w:t>（17）检测人对各试验检测项目的试验检测方案在实际合同履行中可根据发包人要求作适当调整。</w:t>
      </w:r>
    </w:p>
    <w:p>
      <w:pPr>
        <w:snapToGrid w:val="0"/>
        <w:spacing w:line="360" w:lineRule="auto"/>
        <w:ind w:firstLine="420" w:firstLineChars="200"/>
        <w:rPr>
          <w:color w:val="auto"/>
          <w:szCs w:val="21"/>
        </w:rPr>
      </w:pPr>
      <w:r>
        <w:rPr>
          <w:color w:val="auto"/>
          <w:szCs w:val="21"/>
        </w:rPr>
        <w:t>（18）检测人应当对承担的项目检测质量、安全、报告等负总责，分包单位对分包合同范围内的检测质量负责，检测人对分包项目承担连带责任。检测人应按照本章第5.6款要求分包的检测工作应由各分包单位自行出具检测报告，出具的检测报告应真实有效并由检测人统一汇总管理。</w:t>
      </w:r>
    </w:p>
    <w:p>
      <w:pPr>
        <w:snapToGrid w:val="0"/>
        <w:spacing w:line="360" w:lineRule="auto"/>
        <w:ind w:firstLine="420" w:firstLineChars="200"/>
        <w:rPr>
          <w:b/>
          <w:bCs/>
          <w:color w:val="auto"/>
          <w:szCs w:val="21"/>
        </w:rPr>
      </w:pPr>
      <w:r>
        <w:rPr>
          <w:color w:val="auto"/>
          <w:szCs w:val="21"/>
        </w:rPr>
        <w:t>（19）</w:t>
      </w:r>
      <w:r>
        <w:rPr>
          <w:b/>
          <w:bCs/>
          <w:color w:val="auto"/>
          <w:szCs w:val="21"/>
        </w:rPr>
        <w:t>检测人应按《省交通运输厅关于印发&lt;浙江省交通建设工程推进平安百年品质工程建设实施方案&gt;的通知》（浙交〔2023〕132号）和发包人及主管部门的相关要求，建立信息化平台，检测人应做好试验检测项目物联网数据采集、上传、统计、分析、维护、备份、数据整合等工作，并</w:t>
      </w:r>
      <w:r>
        <w:rPr>
          <w:rFonts w:hint="eastAsia"/>
          <w:b/>
          <w:bCs/>
          <w:color w:val="auto"/>
          <w:szCs w:val="21"/>
        </w:rPr>
        <w:t>将数据上传至发包人的智慧技术信息平台及</w:t>
      </w:r>
      <w:r>
        <w:rPr>
          <w:b/>
          <w:bCs/>
          <w:color w:val="auto"/>
          <w:szCs w:val="21"/>
        </w:rPr>
        <w:t>配备专职系统操作人员，由此增加的费用由检测人承担。</w:t>
      </w:r>
    </w:p>
    <w:p>
      <w:pPr>
        <w:snapToGrid w:val="0"/>
        <w:spacing w:line="360" w:lineRule="auto"/>
        <w:ind w:firstLine="420" w:firstLineChars="200"/>
        <w:rPr>
          <w:color w:val="auto"/>
          <w:szCs w:val="21"/>
        </w:rPr>
      </w:pPr>
      <w:r>
        <w:rPr>
          <w:color w:val="auto"/>
          <w:szCs w:val="21"/>
        </w:rPr>
        <w:t>2.1.5  发包人对检测人的授权</w:t>
      </w:r>
    </w:p>
    <w:p>
      <w:pPr>
        <w:snapToGrid w:val="0"/>
        <w:spacing w:line="360" w:lineRule="auto"/>
        <w:ind w:firstLine="420" w:firstLineChars="200"/>
        <w:rPr>
          <w:color w:val="auto"/>
          <w:szCs w:val="21"/>
        </w:rPr>
      </w:pPr>
      <w:r>
        <w:rPr>
          <w:color w:val="auto"/>
          <w:szCs w:val="21"/>
        </w:rPr>
        <w:t>发包人对检测人的授权：</w:t>
      </w:r>
      <w:r>
        <w:rPr>
          <w:color w:val="auto"/>
          <w:szCs w:val="21"/>
          <w:u w:val="single"/>
        </w:rPr>
        <w:t>检测人根据试验检测合同，有权独立履行检测服务内容的职责和权限，以及根据本工程的特点授予检测人的下列权利：（1）对承包人不配合试验检测工作或拒不执行检测指令的，有权要求监理人责令承包人限期改正；（2）检测人有参加承包人或监理人为实施合同工程而组织的有关会议的权利；（3）发包人认为必要的其他权限</w:t>
      </w:r>
      <w:r>
        <w:rPr>
          <w:color w:val="auto"/>
          <w:szCs w:val="21"/>
        </w:rPr>
        <w:t>。</w:t>
      </w:r>
    </w:p>
    <w:p>
      <w:pPr>
        <w:pStyle w:val="630"/>
        <w:ind w:firstLine="422"/>
        <w:rPr>
          <w:color w:val="auto"/>
        </w:rPr>
      </w:pPr>
      <w:r>
        <w:rPr>
          <w:rFonts w:hint="eastAsia"/>
          <w:color w:val="auto"/>
        </w:rPr>
        <w:t>2.4</w:t>
      </w:r>
      <w:r>
        <w:rPr>
          <w:color w:val="auto"/>
        </w:rPr>
        <w:t xml:space="preserve">  </w:t>
      </w:r>
      <w:r>
        <w:rPr>
          <w:rFonts w:hint="eastAsia" w:ascii="黑体" w:hAnsi="黑体"/>
          <w:color w:val="auto"/>
        </w:rPr>
        <w:t>试验</w:t>
      </w:r>
      <w:r>
        <w:rPr>
          <w:rFonts w:ascii="黑体" w:hAnsi="黑体"/>
          <w:color w:val="auto"/>
        </w:rPr>
        <w:t>检测人员</w:t>
      </w:r>
    </w:p>
    <w:p>
      <w:pPr>
        <w:snapToGrid w:val="0"/>
        <w:spacing w:line="360" w:lineRule="auto"/>
        <w:ind w:firstLine="420" w:firstLineChars="200"/>
        <w:rPr>
          <w:color w:val="auto"/>
          <w:szCs w:val="21"/>
        </w:rPr>
      </w:pPr>
      <w:r>
        <w:rPr>
          <w:color w:val="auto"/>
          <w:szCs w:val="21"/>
        </w:rPr>
        <w:t>2.4.1  发包人对检测人为本项目配备的检测人员的其他要求：</w:t>
      </w:r>
      <w:r>
        <w:rPr>
          <w:color w:val="auto"/>
          <w:szCs w:val="21"/>
          <w:u w:val="single"/>
        </w:rPr>
        <w:t>应具备良好的素质和技术能力，能够承担本项目相关工作，其常驻现场检测人员应按审定后的“实施性试验检测方案”及审批后的进退场计划要求派驻。若发包人认为投入的检测人员不足以满足试验检测服务的需要而影响了对工程质量及进度的控制时，发包人有权要求检测人增加检测人员，检测人应积极配合，由此增加的费用由检测人承担</w:t>
      </w:r>
      <w:r>
        <w:rPr>
          <w:color w:val="auto"/>
          <w:szCs w:val="21"/>
        </w:rPr>
        <w:t>。</w:t>
      </w:r>
    </w:p>
    <w:p>
      <w:pPr>
        <w:snapToGrid w:val="0"/>
        <w:spacing w:line="360" w:lineRule="auto"/>
        <w:ind w:firstLine="422" w:firstLineChars="200"/>
        <w:rPr>
          <w:color w:val="auto"/>
          <w:szCs w:val="21"/>
        </w:rPr>
      </w:pPr>
      <w:r>
        <w:rPr>
          <w:b/>
          <w:bCs/>
          <w:color w:val="auto"/>
          <w:szCs w:val="21"/>
        </w:rPr>
        <w:t>第2.4.4项修改为</w:t>
      </w:r>
      <w:r>
        <w:rPr>
          <w:color w:val="auto"/>
          <w:szCs w:val="21"/>
        </w:rPr>
        <w:t>：</w:t>
      </w:r>
    </w:p>
    <w:p>
      <w:pPr>
        <w:snapToGrid w:val="0"/>
        <w:spacing w:line="360" w:lineRule="auto"/>
        <w:ind w:firstLine="420" w:firstLineChars="200"/>
        <w:rPr>
          <w:color w:val="auto"/>
          <w:szCs w:val="21"/>
        </w:rPr>
      </w:pPr>
      <w:r>
        <w:rPr>
          <w:color w:val="auto"/>
          <w:szCs w:val="21"/>
        </w:rPr>
        <w:t>2.4.4 项目负责人、技术负责人及试验检测工程师除被责令停止执业、羁押或判刑、不能胜任本职工作，或发包人责令检测人更换外，检测人原则上不得提出更换，即使是发包人要求或同意更换的试验检测人员，其代替人员的资质不得低于被代替人员且应得到发包人的认可。</w:t>
      </w:r>
    </w:p>
    <w:p>
      <w:pPr>
        <w:snapToGrid w:val="0"/>
        <w:spacing w:line="360" w:lineRule="auto"/>
        <w:ind w:firstLine="422" w:firstLineChars="200"/>
        <w:rPr>
          <w:b/>
          <w:bCs/>
          <w:color w:val="auto"/>
          <w:szCs w:val="21"/>
        </w:rPr>
      </w:pPr>
      <w:r>
        <w:rPr>
          <w:b/>
          <w:bCs/>
          <w:color w:val="auto"/>
          <w:szCs w:val="21"/>
        </w:rPr>
        <w:t>补充第2.4.7项：</w:t>
      </w:r>
    </w:p>
    <w:p>
      <w:pPr>
        <w:snapToGrid w:val="0"/>
        <w:spacing w:line="360" w:lineRule="auto"/>
        <w:ind w:firstLine="420" w:firstLineChars="200"/>
        <w:rPr>
          <w:color w:val="auto"/>
          <w:szCs w:val="21"/>
        </w:rPr>
      </w:pPr>
      <w:r>
        <w:rPr>
          <w:color w:val="auto"/>
          <w:szCs w:val="21"/>
        </w:rPr>
        <w:t>2.4.7检测人应定期组织所有试验检测人员开展必要的业务学习及各种形式的培训，提升人员业务素质和技能水平，发包人将对此进行检查。</w:t>
      </w:r>
    </w:p>
    <w:p>
      <w:pPr>
        <w:pStyle w:val="630"/>
        <w:ind w:firstLine="422"/>
        <w:rPr>
          <w:color w:val="auto"/>
        </w:rPr>
      </w:pPr>
      <w:r>
        <w:rPr>
          <w:rFonts w:hint="eastAsia"/>
          <w:color w:val="auto"/>
        </w:rPr>
        <w:t>2.7</w:t>
      </w:r>
      <w:r>
        <w:rPr>
          <w:color w:val="auto"/>
        </w:rPr>
        <w:t xml:space="preserve">  </w:t>
      </w:r>
      <w:r>
        <w:rPr>
          <w:rFonts w:hint="eastAsia" w:ascii="黑体" w:hAnsi="黑体"/>
          <w:color w:val="auto"/>
        </w:rPr>
        <w:t>保密</w:t>
      </w:r>
    </w:p>
    <w:p>
      <w:pPr>
        <w:snapToGrid w:val="0"/>
        <w:spacing w:line="360" w:lineRule="auto"/>
        <w:ind w:firstLine="420" w:firstLineChars="200"/>
        <w:rPr>
          <w:color w:val="auto"/>
          <w:szCs w:val="21"/>
        </w:rPr>
      </w:pPr>
      <w:r>
        <w:rPr>
          <w:color w:val="auto"/>
          <w:szCs w:val="21"/>
        </w:rPr>
        <w:t>本项目、本工程、本试验检测合同有关的资料保密时间为：按国家相关规定。</w:t>
      </w:r>
    </w:p>
    <w:p>
      <w:pPr>
        <w:pStyle w:val="634"/>
        <w:rPr>
          <w:b/>
          <w:color w:val="auto"/>
        </w:rPr>
      </w:pPr>
      <w:r>
        <w:rPr>
          <w:b/>
          <w:color w:val="auto"/>
        </w:rPr>
        <w:t>3.</w:t>
      </w:r>
      <w:r>
        <w:rPr>
          <w:rFonts w:hint="eastAsia" w:ascii="黑体" w:hAnsi="黑体"/>
          <w:color w:val="auto"/>
        </w:rPr>
        <w:t>发包人的义务</w:t>
      </w:r>
    </w:p>
    <w:p>
      <w:pPr>
        <w:pStyle w:val="630"/>
        <w:ind w:firstLine="422"/>
        <w:rPr>
          <w:color w:val="auto"/>
        </w:rPr>
      </w:pPr>
      <w:r>
        <w:rPr>
          <w:color w:val="auto"/>
        </w:rPr>
        <w:t>3.</w:t>
      </w:r>
      <w:r>
        <w:rPr>
          <w:rFonts w:hint="eastAsia"/>
          <w:color w:val="auto"/>
        </w:rPr>
        <w:t>4</w:t>
      </w:r>
      <w:r>
        <w:rPr>
          <w:color w:val="auto"/>
        </w:rPr>
        <w:t xml:space="preserve">  </w:t>
      </w:r>
      <w:r>
        <w:rPr>
          <w:rFonts w:hint="eastAsia" w:ascii="黑体" w:hAnsi="黑体"/>
          <w:color w:val="auto"/>
        </w:rPr>
        <w:t>代表</w:t>
      </w:r>
    </w:p>
    <w:p>
      <w:pPr>
        <w:snapToGrid w:val="0"/>
        <w:spacing w:line="360" w:lineRule="auto"/>
        <w:ind w:firstLine="420" w:firstLineChars="200"/>
        <w:rPr>
          <w:color w:val="auto"/>
          <w:szCs w:val="21"/>
          <w:u w:val="single"/>
        </w:rPr>
      </w:pPr>
      <w:r>
        <w:rPr>
          <w:color w:val="auto"/>
          <w:szCs w:val="21"/>
        </w:rPr>
        <w:t>发包人授权代表：</w:t>
      </w:r>
      <w:r>
        <w:rPr>
          <w:color w:val="auto"/>
          <w:szCs w:val="21"/>
          <w:u w:val="single"/>
        </w:rPr>
        <w:t>合同签订时由发包人明确</w:t>
      </w:r>
      <w:r>
        <w:rPr>
          <w:color w:val="auto"/>
          <w:szCs w:val="21"/>
        </w:rPr>
        <w:t>。</w:t>
      </w:r>
    </w:p>
    <w:p>
      <w:pPr>
        <w:pStyle w:val="634"/>
        <w:rPr>
          <w:b/>
          <w:color w:val="auto"/>
        </w:rPr>
      </w:pPr>
      <w:r>
        <w:rPr>
          <w:b/>
          <w:color w:val="auto"/>
        </w:rPr>
        <w:t>4.</w:t>
      </w:r>
      <w:r>
        <w:rPr>
          <w:rFonts w:hint="eastAsia" w:ascii="黑体" w:hAnsi="黑体"/>
          <w:color w:val="auto"/>
        </w:rPr>
        <w:t>责任和保障</w:t>
      </w:r>
    </w:p>
    <w:p>
      <w:pPr>
        <w:pStyle w:val="630"/>
        <w:ind w:firstLine="422"/>
        <w:rPr>
          <w:color w:val="auto"/>
        </w:rPr>
      </w:pPr>
      <w:r>
        <w:rPr>
          <w:color w:val="auto"/>
        </w:rPr>
        <w:t xml:space="preserve">4.1  </w:t>
      </w:r>
      <w:r>
        <w:rPr>
          <w:rFonts w:hint="eastAsia" w:ascii="黑体" w:hAnsi="黑体"/>
          <w:color w:val="auto"/>
        </w:rPr>
        <w:t>检测人的违约及赔偿责任</w:t>
      </w:r>
    </w:p>
    <w:p>
      <w:pPr>
        <w:snapToGrid w:val="0"/>
        <w:spacing w:line="360" w:lineRule="auto"/>
        <w:ind w:firstLine="420" w:firstLineChars="200"/>
        <w:rPr>
          <w:color w:val="auto"/>
          <w:szCs w:val="21"/>
        </w:rPr>
      </w:pPr>
      <w:r>
        <w:rPr>
          <w:color w:val="auto"/>
          <w:szCs w:val="21"/>
        </w:rPr>
        <w:t>4.1.1 检测人的违约</w:t>
      </w:r>
    </w:p>
    <w:p>
      <w:pPr>
        <w:snapToGrid w:val="0"/>
        <w:spacing w:line="360" w:lineRule="auto"/>
        <w:ind w:firstLine="422" w:firstLineChars="200"/>
        <w:rPr>
          <w:b/>
          <w:bCs/>
          <w:color w:val="auto"/>
          <w:szCs w:val="21"/>
        </w:rPr>
      </w:pPr>
      <w:r>
        <w:rPr>
          <w:b/>
          <w:bCs/>
          <w:color w:val="auto"/>
          <w:szCs w:val="21"/>
        </w:rPr>
        <w:t>第4.1.1.1、4.1.1.3、4.1.1.5目修改为：</w:t>
      </w:r>
    </w:p>
    <w:p>
      <w:pPr>
        <w:snapToGrid w:val="0"/>
        <w:spacing w:line="360" w:lineRule="auto"/>
        <w:ind w:firstLine="420" w:firstLineChars="200"/>
        <w:rPr>
          <w:color w:val="auto"/>
          <w:szCs w:val="21"/>
        </w:rPr>
      </w:pPr>
      <w:r>
        <w:rPr>
          <w:bCs/>
          <w:color w:val="auto"/>
          <w:szCs w:val="21"/>
        </w:rPr>
        <w:t>4.1.1.1  检测人违反</w:t>
      </w:r>
      <w:r>
        <w:rPr>
          <w:color w:val="auto"/>
          <w:szCs w:val="21"/>
        </w:rPr>
        <w:t>试验</w:t>
      </w:r>
      <w:r>
        <w:rPr>
          <w:bCs/>
          <w:color w:val="auto"/>
          <w:szCs w:val="21"/>
        </w:rPr>
        <w:t>检测合同的约定，将</w:t>
      </w:r>
      <w:r>
        <w:rPr>
          <w:color w:val="auto"/>
          <w:szCs w:val="21"/>
        </w:rPr>
        <w:t>试验</w:t>
      </w:r>
      <w:r>
        <w:rPr>
          <w:bCs/>
          <w:color w:val="auto"/>
          <w:szCs w:val="21"/>
        </w:rPr>
        <w:t>检测服务的任何部分转让或违规分包。</w:t>
      </w:r>
    </w:p>
    <w:p>
      <w:pPr>
        <w:snapToGrid w:val="0"/>
        <w:spacing w:line="360" w:lineRule="auto"/>
        <w:ind w:firstLine="420" w:firstLineChars="200"/>
        <w:rPr>
          <w:color w:val="auto"/>
          <w:szCs w:val="21"/>
        </w:rPr>
      </w:pPr>
      <w:r>
        <w:rPr>
          <w:color w:val="auto"/>
          <w:szCs w:val="21"/>
        </w:rPr>
        <w:t>4.1.1.3  检测人不履行试验检测职责或严重失职，造成工程质量、安全或环保事故或向承包人索贿、谋取私利，或与承包人串通损害发包人利益，给发包人造成损失。</w:t>
      </w:r>
    </w:p>
    <w:p>
      <w:pPr>
        <w:snapToGrid w:val="0"/>
        <w:spacing w:line="360" w:lineRule="auto"/>
        <w:ind w:firstLine="420" w:firstLineChars="200"/>
        <w:rPr>
          <w:color w:val="auto"/>
          <w:szCs w:val="21"/>
        </w:rPr>
      </w:pPr>
      <w:r>
        <w:rPr>
          <w:color w:val="auto"/>
          <w:szCs w:val="21"/>
        </w:rPr>
        <w:t>4.1.1.5  检测人在试验过程或结果出现差错或抄袭试验检测数据或数据做假等造成后果的。</w:t>
      </w:r>
    </w:p>
    <w:p>
      <w:pPr>
        <w:snapToGrid w:val="0"/>
        <w:spacing w:line="360" w:lineRule="auto"/>
        <w:ind w:firstLine="420" w:firstLineChars="200"/>
        <w:rPr>
          <w:color w:val="auto"/>
          <w:szCs w:val="21"/>
        </w:rPr>
      </w:pPr>
      <w:r>
        <w:rPr>
          <w:color w:val="auto"/>
          <w:szCs w:val="21"/>
        </w:rPr>
        <w:t>4.1.1.6检测人的其他违约责任：</w:t>
      </w:r>
    </w:p>
    <w:p>
      <w:pPr>
        <w:snapToGrid w:val="0"/>
        <w:spacing w:line="360" w:lineRule="auto"/>
        <w:ind w:firstLine="420" w:firstLineChars="200"/>
        <w:rPr>
          <w:color w:val="auto"/>
          <w:szCs w:val="21"/>
        </w:rPr>
      </w:pPr>
      <w:r>
        <w:rPr>
          <w:color w:val="auto"/>
          <w:szCs w:val="21"/>
        </w:rPr>
        <w:t>（1）自中标开始至检测阶段结束，检测人违约调换项目负责人、技术负责人、试验检测人员的；</w:t>
      </w:r>
    </w:p>
    <w:p>
      <w:pPr>
        <w:snapToGrid w:val="0"/>
        <w:spacing w:line="360" w:lineRule="auto"/>
        <w:ind w:firstLine="420" w:firstLineChars="200"/>
        <w:rPr>
          <w:color w:val="auto"/>
          <w:szCs w:val="21"/>
        </w:rPr>
      </w:pPr>
      <w:r>
        <w:rPr>
          <w:color w:val="auto"/>
          <w:szCs w:val="21"/>
        </w:rPr>
        <w:t>（2）试验检测人员不能胜任本职工作，而检测人又不能按发包人要求及时更换的；</w:t>
      </w:r>
    </w:p>
    <w:p>
      <w:pPr>
        <w:snapToGrid w:val="0"/>
        <w:spacing w:line="360" w:lineRule="auto"/>
        <w:ind w:firstLine="420" w:firstLineChars="200"/>
        <w:rPr>
          <w:color w:val="auto"/>
          <w:szCs w:val="21"/>
        </w:rPr>
      </w:pPr>
      <w:r>
        <w:rPr>
          <w:color w:val="auto"/>
          <w:szCs w:val="21"/>
        </w:rPr>
        <w:t>（3）接到承包人书面检测申请或接到发包人检测要求后，未按检测方案规定时间到现场检测的；</w:t>
      </w:r>
    </w:p>
    <w:p>
      <w:pPr>
        <w:snapToGrid w:val="0"/>
        <w:spacing w:line="360" w:lineRule="auto"/>
        <w:ind w:firstLine="420" w:firstLineChars="200"/>
        <w:rPr>
          <w:color w:val="auto"/>
          <w:szCs w:val="21"/>
        </w:rPr>
      </w:pPr>
      <w:r>
        <w:rPr>
          <w:color w:val="auto"/>
          <w:szCs w:val="21"/>
        </w:rPr>
        <w:t>（4）项目负责人、技术负责人的休假未经发包人书面同意，其他试验检测人员的休假未经项目负责人批准而影响试验检测工作的；</w:t>
      </w:r>
    </w:p>
    <w:p>
      <w:pPr>
        <w:snapToGrid w:val="0"/>
        <w:spacing w:line="360" w:lineRule="auto"/>
        <w:ind w:firstLine="420" w:firstLineChars="200"/>
        <w:rPr>
          <w:color w:val="auto"/>
          <w:szCs w:val="21"/>
        </w:rPr>
      </w:pPr>
      <w:r>
        <w:rPr>
          <w:color w:val="auto"/>
          <w:szCs w:val="21"/>
        </w:rPr>
        <w:t>（5）试验检测人员有吃拿卡要或其它不良行为的。</w:t>
      </w:r>
    </w:p>
    <w:p>
      <w:pPr>
        <w:snapToGrid w:val="0"/>
        <w:spacing w:line="360" w:lineRule="auto"/>
        <w:ind w:firstLine="420" w:firstLineChars="200"/>
        <w:rPr>
          <w:color w:val="auto"/>
          <w:szCs w:val="21"/>
        </w:rPr>
      </w:pPr>
      <w:r>
        <w:rPr>
          <w:color w:val="auto"/>
          <w:szCs w:val="21"/>
        </w:rPr>
        <w:t>（6）要求设立现场检测项目部的，拟投入本项目的试验检测员1人应常驻现场，常驻时间不少于每月22日；技术负责人及其他检测人员每个月驻工地时间应以满足工程检测进展和检测工作需要；</w:t>
      </w:r>
    </w:p>
    <w:p>
      <w:pPr>
        <w:snapToGrid w:val="0"/>
        <w:spacing w:line="360" w:lineRule="auto"/>
        <w:ind w:firstLine="420" w:firstLineChars="200"/>
        <w:rPr>
          <w:color w:val="auto"/>
          <w:szCs w:val="21"/>
        </w:rPr>
      </w:pPr>
      <w:r>
        <w:rPr>
          <w:color w:val="auto"/>
          <w:szCs w:val="21"/>
        </w:rPr>
        <w:t>（7）项目负责人驻场时间在保证检测项目顺利实施的情况下不少于</w:t>
      </w:r>
      <w:r>
        <w:rPr>
          <w:rFonts w:hint="eastAsia"/>
          <w:color w:val="auto"/>
          <w:szCs w:val="21"/>
        </w:rPr>
        <w:t>1</w:t>
      </w:r>
      <w:r>
        <w:rPr>
          <w:color w:val="auto"/>
          <w:szCs w:val="21"/>
        </w:rPr>
        <w:t>次/月；</w:t>
      </w:r>
    </w:p>
    <w:p>
      <w:pPr>
        <w:snapToGrid w:val="0"/>
        <w:spacing w:line="360" w:lineRule="auto"/>
        <w:ind w:firstLine="420" w:firstLineChars="200"/>
        <w:rPr>
          <w:color w:val="auto"/>
          <w:szCs w:val="21"/>
        </w:rPr>
      </w:pPr>
      <w:r>
        <w:rPr>
          <w:color w:val="auto"/>
          <w:szCs w:val="21"/>
        </w:rPr>
        <w:t>（8）检测人未做好检测过程中的安全措施，未按要求为检测人员办理必要的保险的；</w:t>
      </w:r>
    </w:p>
    <w:p>
      <w:pPr>
        <w:snapToGrid w:val="0"/>
        <w:spacing w:line="360" w:lineRule="auto"/>
        <w:ind w:firstLine="420" w:firstLineChars="200"/>
        <w:rPr>
          <w:color w:val="auto"/>
          <w:szCs w:val="21"/>
        </w:rPr>
      </w:pPr>
      <w:r>
        <w:rPr>
          <w:color w:val="auto"/>
          <w:szCs w:val="21"/>
        </w:rPr>
        <w:t>（9）检测人出具检测报告不满足专用合同条款</w:t>
      </w:r>
      <w:r>
        <w:rPr>
          <w:b/>
          <w:bCs/>
          <w:color w:val="auto"/>
          <w:szCs w:val="21"/>
        </w:rPr>
        <w:t>2.1.4（7）</w:t>
      </w:r>
      <w:r>
        <w:rPr>
          <w:color w:val="auto"/>
          <w:szCs w:val="21"/>
        </w:rPr>
        <w:t>规定的；</w:t>
      </w:r>
    </w:p>
    <w:p>
      <w:pPr>
        <w:snapToGrid w:val="0"/>
        <w:spacing w:line="360" w:lineRule="auto"/>
        <w:ind w:firstLine="420" w:firstLineChars="200"/>
        <w:rPr>
          <w:color w:val="auto"/>
          <w:szCs w:val="21"/>
        </w:rPr>
      </w:pPr>
      <w:r>
        <w:rPr>
          <w:color w:val="auto"/>
          <w:szCs w:val="21"/>
        </w:rPr>
        <w:t>（10）检测过程中发生异常情况、关键部位检测结果有异常或不合格，判定影响结构安全的，检测人告知发包人（及建设单位）、提交书面正式报告时间不满足专用合同条款第2.1.4（10）目规定的；</w:t>
      </w:r>
    </w:p>
    <w:p>
      <w:pPr>
        <w:snapToGrid w:val="0"/>
        <w:spacing w:line="360" w:lineRule="auto"/>
        <w:ind w:firstLine="420" w:firstLineChars="200"/>
        <w:rPr>
          <w:color w:val="auto"/>
          <w:szCs w:val="21"/>
        </w:rPr>
      </w:pPr>
      <w:r>
        <w:rPr>
          <w:color w:val="auto"/>
          <w:szCs w:val="21"/>
        </w:rPr>
        <w:t>（11）检测人未按发包人要求参加发包人组织的会议；</w:t>
      </w:r>
    </w:p>
    <w:p>
      <w:pPr>
        <w:snapToGrid w:val="0"/>
        <w:spacing w:line="360" w:lineRule="auto"/>
        <w:ind w:firstLine="420" w:firstLineChars="200"/>
        <w:rPr>
          <w:color w:val="auto"/>
          <w:szCs w:val="21"/>
        </w:rPr>
      </w:pPr>
      <w:r>
        <w:rPr>
          <w:color w:val="auto"/>
          <w:szCs w:val="21"/>
        </w:rPr>
        <w:t>（12）检测人违反试验检测程序，试验漏项、或参数不全、或抽检频率不足的；</w:t>
      </w:r>
    </w:p>
    <w:p>
      <w:pPr>
        <w:snapToGrid w:val="0"/>
        <w:spacing w:line="360" w:lineRule="auto"/>
        <w:ind w:firstLine="420" w:firstLineChars="200"/>
        <w:rPr>
          <w:color w:val="auto"/>
          <w:szCs w:val="21"/>
        </w:rPr>
      </w:pPr>
      <w:r>
        <w:rPr>
          <w:color w:val="auto"/>
          <w:szCs w:val="21"/>
        </w:rPr>
        <w:t>（13）未按照经评审后的检测方案开展检测工作的。</w:t>
      </w:r>
    </w:p>
    <w:p>
      <w:pPr>
        <w:snapToGrid w:val="0"/>
        <w:spacing w:line="360" w:lineRule="auto"/>
        <w:ind w:firstLine="422" w:firstLineChars="200"/>
        <w:rPr>
          <w:b/>
          <w:bCs/>
          <w:color w:val="auto"/>
          <w:szCs w:val="21"/>
        </w:rPr>
      </w:pPr>
      <w:r>
        <w:rPr>
          <w:b/>
          <w:bCs/>
          <w:color w:val="auto"/>
          <w:szCs w:val="21"/>
        </w:rPr>
        <w:t>因检测人违约，发包人对检测人课以违约金的计算方法：</w:t>
      </w:r>
    </w:p>
    <w:p>
      <w:pPr>
        <w:snapToGrid w:val="0"/>
        <w:spacing w:line="360" w:lineRule="auto"/>
        <w:ind w:firstLine="420" w:firstLineChars="200"/>
        <w:rPr>
          <w:color w:val="auto"/>
          <w:szCs w:val="21"/>
        </w:rPr>
      </w:pPr>
      <w:r>
        <w:rPr>
          <w:color w:val="auto"/>
          <w:szCs w:val="21"/>
        </w:rPr>
        <w:t>a. 有4.1.1.1情形，检测人违反第5.6.1项约定的情形，除责令立即纠正外，并课以</w:t>
      </w:r>
      <w:r>
        <w:rPr>
          <w:b/>
          <w:bCs/>
          <w:color w:val="auto"/>
          <w:szCs w:val="21"/>
        </w:rPr>
        <w:t>5%</w:t>
      </w:r>
      <w:r>
        <w:rPr>
          <w:color w:val="auto"/>
          <w:szCs w:val="21"/>
        </w:rPr>
        <w:t>签约合同价的违约金；检测人违反第5.6.2项和（或）第5.6.3项约定的情形，在发包人向检测人发出书面通知的14天内未见纠正后，发包人将向检测人课以</w:t>
      </w:r>
      <w:r>
        <w:rPr>
          <w:b/>
          <w:bCs/>
          <w:color w:val="auto"/>
          <w:szCs w:val="21"/>
        </w:rPr>
        <w:t>2%</w:t>
      </w:r>
      <w:r>
        <w:rPr>
          <w:color w:val="auto"/>
          <w:szCs w:val="21"/>
        </w:rPr>
        <w:t>签约合同价的违约金。即使缴纳了违约金，检测人仍应按合同规定继续完成本合同的试验检测工作；</w:t>
      </w:r>
    </w:p>
    <w:p>
      <w:pPr>
        <w:snapToGrid w:val="0"/>
        <w:spacing w:line="360" w:lineRule="auto"/>
        <w:ind w:firstLine="420" w:firstLineChars="200"/>
        <w:rPr>
          <w:color w:val="auto"/>
          <w:szCs w:val="21"/>
        </w:rPr>
      </w:pPr>
      <w:r>
        <w:rPr>
          <w:color w:val="auto"/>
          <w:szCs w:val="21"/>
        </w:rPr>
        <w:t>b. 有4.1.1.2情形，发包人有权购买任何未按承诺配备的设施、设备和物品及其安装和服务，费用均由检测人承担，并在中期支付中将此款扣除；人员未按承诺进场试验检测，项目负责人、技术负责人课以每次</w:t>
      </w:r>
      <w:r>
        <w:rPr>
          <w:b/>
          <w:bCs/>
          <w:color w:val="auto"/>
          <w:szCs w:val="21"/>
          <w:u w:val="single"/>
        </w:rPr>
        <w:t>20000</w:t>
      </w:r>
      <w:r>
        <w:rPr>
          <w:color w:val="auto"/>
          <w:szCs w:val="21"/>
        </w:rPr>
        <w:t>元的违约金，其他常驻现场检测人员每人次课以</w:t>
      </w:r>
      <w:r>
        <w:rPr>
          <w:b/>
          <w:bCs/>
          <w:color w:val="auto"/>
          <w:szCs w:val="21"/>
          <w:u w:val="single"/>
        </w:rPr>
        <w:t>10000</w:t>
      </w:r>
      <w:r>
        <w:rPr>
          <w:color w:val="auto"/>
          <w:szCs w:val="21"/>
        </w:rPr>
        <w:t>元的违约金。</w:t>
      </w:r>
    </w:p>
    <w:p>
      <w:pPr>
        <w:snapToGrid w:val="0"/>
        <w:spacing w:line="360" w:lineRule="auto"/>
        <w:ind w:firstLine="420" w:firstLineChars="200"/>
        <w:rPr>
          <w:color w:val="auto"/>
          <w:szCs w:val="21"/>
        </w:rPr>
      </w:pPr>
      <w:r>
        <w:rPr>
          <w:color w:val="auto"/>
          <w:szCs w:val="21"/>
        </w:rPr>
        <w:t>c. 有4.1.1.3情形（造成工程质量、安全或环保事故）的每次课以</w:t>
      </w:r>
      <w:r>
        <w:rPr>
          <w:b/>
          <w:bCs/>
          <w:color w:val="auto"/>
          <w:szCs w:val="21"/>
          <w:u w:val="single"/>
        </w:rPr>
        <w:t>20000</w:t>
      </w:r>
      <w:r>
        <w:rPr>
          <w:color w:val="auto"/>
          <w:szCs w:val="21"/>
        </w:rPr>
        <w:t>元的违约金；有4.1.1.3情形（向承包人索贿、谋取私利，或与承包人串通损害发包人利益，给发包人造成损失）每人次课以</w:t>
      </w:r>
      <w:r>
        <w:rPr>
          <w:b/>
          <w:bCs/>
          <w:color w:val="auto"/>
          <w:szCs w:val="21"/>
          <w:u w:val="single"/>
        </w:rPr>
        <w:t>20000</w:t>
      </w:r>
      <w:r>
        <w:rPr>
          <w:color w:val="auto"/>
          <w:szCs w:val="21"/>
        </w:rPr>
        <w:t>元的违约金；</w:t>
      </w:r>
    </w:p>
    <w:p>
      <w:pPr>
        <w:snapToGrid w:val="0"/>
        <w:spacing w:line="360" w:lineRule="auto"/>
        <w:ind w:firstLine="420" w:firstLineChars="200"/>
        <w:rPr>
          <w:color w:val="auto"/>
          <w:szCs w:val="21"/>
        </w:rPr>
      </w:pPr>
      <w:r>
        <w:rPr>
          <w:color w:val="auto"/>
          <w:szCs w:val="21"/>
        </w:rPr>
        <w:t>d. 有4.1.1.4情形，每人次课以</w:t>
      </w:r>
      <w:r>
        <w:rPr>
          <w:b/>
          <w:bCs/>
          <w:color w:val="auto"/>
          <w:szCs w:val="21"/>
          <w:u w:val="single"/>
        </w:rPr>
        <w:t xml:space="preserve"> 10000 </w:t>
      </w:r>
      <w:r>
        <w:rPr>
          <w:color w:val="auto"/>
          <w:szCs w:val="21"/>
        </w:rPr>
        <w:t>元的违约金；</w:t>
      </w:r>
    </w:p>
    <w:p>
      <w:pPr>
        <w:snapToGrid w:val="0"/>
        <w:spacing w:line="360" w:lineRule="auto"/>
        <w:ind w:firstLine="420" w:firstLineChars="200"/>
        <w:rPr>
          <w:color w:val="auto"/>
          <w:szCs w:val="21"/>
        </w:rPr>
      </w:pPr>
      <w:r>
        <w:rPr>
          <w:color w:val="auto"/>
          <w:szCs w:val="21"/>
        </w:rPr>
        <w:t>e. 有4.1.1.5情形，试验过程或结果出现差错，每次课以</w:t>
      </w:r>
      <w:r>
        <w:rPr>
          <w:b/>
          <w:bCs/>
          <w:color w:val="auto"/>
          <w:szCs w:val="21"/>
          <w:u w:val="single"/>
        </w:rPr>
        <w:t>2000</w:t>
      </w:r>
      <w:r>
        <w:rPr>
          <w:color w:val="auto"/>
          <w:szCs w:val="21"/>
        </w:rPr>
        <w:t>元的违约金；抄袭试验检测数据，每次课以</w:t>
      </w:r>
      <w:r>
        <w:rPr>
          <w:b/>
          <w:bCs/>
          <w:color w:val="auto"/>
          <w:szCs w:val="21"/>
          <w:u w:val="single"/>
        </w:rPr>
        <w:t>20000</w:t>
      </w:r>
      <w:r>
        <w:rPr>
          <w:color w:val="auto"/>
          <w:szCs w:val="21"/>
        </w:rPr>
        <w:t>元的违约金；数据做假的，每次课以</w:t>
      </w:r>
      <w:r>
        <w:rPr>
          <w:b/>
          <w:bCs/>
          <w:color w:val="auto"/>
          <w:szCs w:val="21"/>
          <w:u w:val="single"/>
        </w:rPr>
        <w:t>50000</w:t>
      </w:r>
      <w:r>
        <w:rPr>
          <w:color w:val="auto"/>
          <w:szCs w:val="21"/>
        </w:rPr>
        <w:t>元的违约金；</w:t>
      </w:r>
    </w:p>
    <w:p>
      <w:pPr>
        <w:snapToGrid w:val="0"/>
        <w:spacing w:line="360" w:lineRule="auto"/>
        <w:ind w:firstLine="420" w:firstLineChars="200"/>
        <w:rPr>
          <w:color w:val="auto"/>
          <w:szCs w:val="21"/>
        </w:rPr>
      </w:pPr>
      <w:r>
        <w:rPr>
          <w:color w:val="auto"/>
          <w:szCs w:val="21"/>
        </w:rPr>
        <w:t>f. 有4.1.1.6（1）情形，项目负责人每人次课以</w:t>
      </w:r>
      <w:r>
        <w:rPr>
          <w:b/>
          <w:color w:val="auto"/>
          <w:szCs w:val="21"/>
          <w:u w:val="single"/>
        </w:rPr>
        <w:t>50000</w:t>
      </w:r>
      <w:r>
        <w:rPr>
          <w:color w:val="auto"/>
          <w:szCs w:val="21"/>
        </w:rPr>
        <w:t>元的违约金；技术负责人每人次课以</w:t>
      </w:r>
      <w:r>
        <w:rPr>
          <w:b/>
          <w:color w:val="auto"/>
          <w:szCs w:val="21"/>
          <w:u w:val="single"/>
        </w:rPr>
        <w:t>20000</w:t>
      </w:r>
      <w:r>
        <w:rPr>
          <w:color w:val="auto"/>
          <w:szCs w:val="21"/>
        </w:rPr>
        <w:t>元的违约金；其他试验检测人员每人次课以</w:t>
      </w:r>
      <w:r>
        <w:rPr>
          <w:b/>
          <w:color w:val="auto"/>
          <w:szCs w:val="21"/>
          <w:u w:val="single"/>
        </w:rPr>
        <w:t>10000</w:t>
      </w:r>
      <w:r>
        <w:rPr>
          <w:color w:val="auto"/>
          <w:szCs w:val="21"/>
        </w:rPr>
        <w:t>元的违约金；人员调换率超过40%，超过部分每人次再额外课以</w:t>
      </w:r>
      <w:r>
        <w:rPr>
          <w:b/>
          <w:bCs/>
          <w:color w:val="auto"/>
          <w:szCs w:val="21"/>
          <w:u w:val="single"/>
        </w:rPr>
        <w:t>10000</w:t>
      </w:r>
      <w:r>
        <w:rPr>
          <w:color w:val="auto"/>
          <w:szCs w:val="21"/>
        </w:rPr>
        <w:t>元的违约金；</w:t>
      </w:r>
    </w:p>
    <w:p>
      <w:pPr>
        <w:snapToGrid w:val="0"/>
        <w:spacing w:line="360" w:lineRule="auto"/>
        <w:ind w:firstLine="420" w:firstLineChars="200"/>
        <w:rPr>
          <w:color w:val="auto"/>
          <w:szCs w:val="21"/>
        </w:rPr>
      </w:pPr>
      <w:r>
        <w:rPr>
          <w:color w:val="auto"/>
          <w:szCs w:val="21"/>
        </w:rPr>
        <w:t>g. 有4.1.1.6（2）情形，除按要求更换外，每人次课以</w:t>
      </w:r>
      <w:r>
        <w:rPr>
          <w:b/>
          <w:bCs/>
          <w:color w:val="auto"/>
          <w:szCs w:val="21"/>
          <w:u w:val="single"/>
        </w:rPr>
        <w:t xml:space="preserve"> 20000 </w:t>
      </w:r>
      <w:r>
        <w:rPr>
          <w:color w:val="auto"/>
          <w:szCs w:val="21"/>
        </w:rPr>
        <w:t>元的违约金；</w:t>
      </w:r>
    </w:p>
    <w:p>
      <w:pPr>
        <w:snapToGrid w:val="0"/>
        <w:spacing w:line="360" w:lineRule="auto"/>
        <w:ind w:firstLine="420" w:firstLineChars="200"/>
        <w:rPr>
          <w:color w:val="auto"/>
          <w:szCs w:val="21"/>
        </w:rPr>
      </w:pPr>
      <w:r>
        <w:rPr>
          <w:color w:val="auto"/>
          <w:szCs w:val="21"/>
        </w:rPr>
        <w:t>h. 有4.1.1.6（3）情形，每延误一天课以</w:t>
      </w:r>
      <w:r>
        <w:rPr>
          <w:b/>
          <w:bCs/>
          <w:color w:val="auto"/>
          <w:szCs w:val="21"/>
          <w:u w:val="single"/>
        </w:rPr>
        <w:t>20000</w:t>
      </w:r>
      <w:r>
        <w:rPr>
          <w:color w:val="auto"/>
          <w:szCs w:val="21"/>
        </w:rPr>
        <w:t>元的违约金，且发包人有权将检测人未及时开展的检测工作委托其他具有资质的检测单位，费用均由检测人承担，并在中期支付中将此款扣除；</w:t>
      </w:r>
    </w:p>
    <w:p>
      <w:pPr>
        <w:snapToGrid w:val="0"/>
        <w:spacing w:line="360" w:lineRule="auto"/>
        <w:ind w:firstLine="420" w:firstLineChars="200"/>
        <w:rPr>
          <w:color w:val="auto"/>
          <w:szCs w:val="21"/>
        </w:rPr>
      </w:pPr>
      <w:r>
        <w:rPr>
          <w:color w:val="auto"/>
          <w:szCs w:val="21"/>
        </w:rPr>
        <w:t>i. 有4.1.1.6（4）情形，项目负责人、技术负责人每人每天课以</w:t>
      </w:r>
      <w:r>
        <w:rPr>
          <w:b/>
          <w:bCs/>
          <w:color w:val="auto"/>
          <w:szCs w:val="21"/>
          <w:u w:val="single"/>
        </w:rPr>
        <w:t>5000</w:t>
      </w:r>
      <w:r>
        <w:rPr>
          <w:color w:val="auto"/>
          <w:szCs w:val="21"/>
        </w:rPr>
        <w:t>元的违约金；其他检测人员每人每天课以</w:t>
      </w:r>
      <w:r>
        <w:rPr>
          <w:b/>
          <w:bCs/>
          <w:color w:val="auto"/>
          <w:szCs w:val="21"/>
          <w:u w:val="single"/>
        </w:rPr>
        <w:t>2000</w:t>
      </w:r>
      <w:r>
        <w:rPr>
          <w:b/>
          <w:bCs/>
          <w:color w:val="auto"/>
          <w:szCs w:val="21"/>
        </w:rPr>
        <w:t>元</w:t>
      </w:r>
      <w:r>
        <w:rPr>
          <w:color w:val="auto"/>
          <w:szCs w:val="21"/>
        </w:rPr>
        <w:t>的违约金；</w:t>
      </w:r>
    </w:p>
    <w:p>
      <w:pPr>
        <w:snapToGrid w:val="0"/>
        <w:spacing w:line="360" w:lineRule="auto"/>
        <w:ind w:firstLine="420" w:firstLineChars="200"/>
        <w:rPr>
          <w:color w:val="auto"/>
          <w:szCs w:val="21"/>
        </w:rPr>
      </w:pPr>
      <w:r>
        <w:rPr>
          <w:color w:val="auto"/>
          <w:szCs w:val="21"/>
        </w:rPr>
        <w:t>j. 有4.1.1.6（5）情形，每人次课以</w:t>
      </w:r>
      <w:r>
        <w:rPr>
          <w:b/>
          <w:bCs/>
          <w:color w:val="auto"/>
          <w:szCs w:val="21"/>
          <w:u w:val="single"/>
        </w:rPr>
        <w:t>5000</w:t>
      </w:r>
      <w:r>
        <w:rPr>
          <w:color w:val="auto"/>
          <w:szCs w:val="21"/>
        </w:rPr>
        <w:t>元的违约金；</w:t>
      </w:r>
    </w:p>
    <w:p>
      <w:pPr>
        <w:snapToGrid w:val="0"/>
        <w:spacing w:line="360" w:lineRule="auto"/>
        <w:ind w:firstLine="420" w:firstLineChars="200"/>
        <w:rPr>
          <w:color w:val="auto"/>
          <w:szCs w:val="21"/>
        </w:rPr>
      </w:pPr>
      <w:r>
        <w:rPr>
          <w:color w:val="auto"/>
          <w:szCs w:val="21"/>
        </w:rPr>
        <w:t>k. 有4.1.1.6（6）情形，每月在现场时间少于22日但大于</w:t>
      </w:r>
      <w:r>
        <w:rPr>
          <w:b/>
          <w:bCs/>
          <w:color w:val="auto"/>
          <w:szCs w:val="21"/>
        </w:rPr>
        <w:t>15</w:t>
      </w:r>
      <w:r>
        <w:rPr>
          <w:color w:val="auto"/>
          <w:szCs w:val="21"/>
        </w:rPr>
        <w:t>天的，每天课以违约金</w:t>
      </w:r>
      <w:r>
        <w:rPr>
          <w:b/>
          <w:color w:val="auto"/>
          <w:szCs w:val="21"/>
          <w:u w:val="single"/>
        </w:rPr>
        <w:t>1000</w:t>
      </w:r>
      <w:r>
        <w:rPr>
          <w:color w:val="auto"/>
          <w:szCs w:val="21"/>
        </w:rPr>
        <w:t>元/人；每月在现场少于</w:t>
      </w:r>
      <w:r>
        <w:rPr>
          <w:b/>
          <w:color w:val="auto"/>
          <w:szCs w:val="21"/>
        </w:rPr>
        <w:t>15</w:t>
      </w:r>
      <w:r>
        <w:rPr>
          <w:color w:val="auto"/>
          <w:szCs w:val="21"/>
        </w:rPr>
        <w:t>日的，每天课以违约金</w:t>
      </w:r>
      <w:r>
        <w:rPr>
          <w:b/>
          <w:color w:val="auto"/>
          <w:szCs w:val="21"/>
          <w:u w:val="single"/>
        </w:rPr>
        <w:t>2000</w:t>
      </w:r>
      <w:r>
        <w:rPr>
          <w:color w:val="auto"/>
          <w:szCs w:val="21"/>
        </w:rPr>
        <w:t>元/人；</w:t>
      </w:r>
    </w:p>
    <w:p>
      <w:pPr>
        <w:snapToGrid w:val="0"/>
        <w:spacing w:line="360" w:lineRule="auto"/>
        <w:ind w:firstLine="420" w:firstLineChars="200"/>
        <w:rPr>
          <w:color w:val="auto"/>
          <w:szCs w:val="21"/>
        </w:rPr>
      </w:pPr>
      <w:r>
        <w:rPr>
          <w:color w:val="auto"/>
          <w:szCs w:val="21"/>
        </w:rPr>
        <w:t>l. 有4.1.1.6（7）情形，每次课以</w:t>
      </w:r>
      <w:r>
        <w:rPr>
          <w:b/>
          <w:bCs/>
          <w:color w:val="auto"/>
          <w:szCs w:val="21"/>
          <w:u w:val="single"/>
        </w:rPr>
        <w:t xml:space="preserve"> 20000 </w:t>
      </w:r>
      <w:r>
        <w:rPr>
          <w:color w:val="auto"/>
          <w:szCs w:val="21"/>
        </w:rPr>
        <w:t>元的违约金；</w:t>
      </w:r>
    </w:p>
    <w:p>
      <w:pPr>
        <w:snapToGrid w:val="0"/>
        <w:spacing w:line="360" w:lineRule="auto"/>
        <w:ind w:firstLine="420" w:firstLineChars="200"/>
        <w:rPr>
          <w:color w:val="auto"/>
          <w:szCs w:val="21"/>
        </w:rPr>
      </w:pPr>
      <w:r>
        <w:rPr>
          <w:color w:val="auto"/>
          <w:szCs w:val="21"/>
        </w:rPr>
        <w:t>m. 有4.1.1.6（8）情形，每发现一次未做好安全措施的课以</w:t>
      </w:r>
      <w:r>
        <w:rPr>
          <w:b/>
          <w:bCs/>
          <w:color w:val="auto"/>
          <w:szCs w:val="21"/>
          <w:u w:val="single"/>
        </w:rPr>
        <w:t xml:space="preserve"> 5000 </w:t>
      </w:r>
      <w:r>
        <w:rPr>
          <w:color w:val="auto"/>
          <w:szCs w:val="21"/>
        </w:rPr>
        <w:t>元的违约金；未按要求为检测人员办理必要的保险的，在发包人向检测人发出书面通知的14天内未见纠正后，发包人将向检测人课以每人</w:t>
      </w:r>
      <w:r>
        <w:rPr>
          <w:b/>
          <w:bCs/>
          <w:color w:val="auto"/>
          <w:szCs w:val="21"/>
          <w:u w:val="single"/>
        </w:rPr>
        <w:t>2000</w:t>
      </w:r>
      <w:r>
        <w:rPr>
          <w:b/>
          <w:bCs/>
          <w:color w:val="auto"/>
          <w:szCs w:val="21"/>
        </w:rPr>
        <w:t>元</w:t>
      </w:r>
      <w:r>
        <w:rPr>
          <w:color w:val="auto"/>
          <w:szCs w:val="21"/>
        </w:rPr>
        <w:t>的违约金；</w:t>
      </w:r>
    </w:p>
    <w:p>
      <w:pPr>
        <w:snapToGrid w:val="0"/>
        <w:spacing w:line="360" w:lineRule="auto"/>
        <w:ind w:firstLine="420" w:firstLineChars="200"/>
        <w:rPr>
          <w:color w:val="auto"/>
          <w:szCs w:val="21"/>
        </w:rPr>
      </w:pPr>
      <w:r>
        <w:rPr>
          <w:color w:val="auto"/>
          <w:szCs w:val="21"/>
        </w:rPr>
        <w:t>n. 有4.1.1.6（9）情形，每延期一天课以</w:t>
      </w:r>
      <w:r>
        <w:rPr>
          <w:b/>
          <w:bCs/>
          <w:color w:val="auto"/>
          <w:szCs w:val="21"/>
          <w:u w:val="single"/>
        </w:rPr>
        <w:t>2000</w:t>
      </w:r>
      <w:r>
        <w:rPr>
          <w:color w:val="auto"/>
          <w:szCs w:val="21"/>
        </w:rPr>
        <w:t>元的违约金；</w:t>
      </w:r>
    </w:p>
    <w:p>
      <w:pPr>
        <w:snapToGrid w:val="0"/>
        <w:spacing w:line="360" w:lineRule="auto"/>
        <w:ind w:firstLine="420" w:firstLineChars="200"/>
        <w:rPr>
          <w:color w:val="auto"/>
          <w:szCs w:val="21"/>
        </w:rPr>
      </w:pPr>
      <w:r>
        <w:rPr>
          <w:color w:val="auto"/>
          <w:szCs w:val="21"/>
        </w:rPr>
        <w:t>o. 有4.1.1.6（10）情形，每次课以</w:t>
      </w:r>
      <w:r>
        <w:rPr>
          <w:b/>
          <w:bCs/>
          <w:color w:val="auto"/>
          <w:szCs w:val="21"/>
          <w:u w:val="single"/>
        </w:rPr>
        <w:t>20000</w:t>
      </w:r>
      <w:r>
        <w:rPr>
          <w:color w:val="auto"/>
          <w:szCs w:val="21"/>
        </w:rPr>
        <w:t>元的违约金；</w:t>
      </w:r>
    </w:p>
    <w:p>
      <w:pPr>
        <w:snapToGrid w:val="0"/>
        <w:spacing w:line="360" w:lineRule="auto"/>
        <w:ind w:firstLine="420" w:firstLineChars="200"/>
        <w:rPr>
          <w:color w:val="auto"/>
          <w:szCs w:val="21"/>
        </w:rPr>
      </w:pPr>
      <w:r>
        <w:rPr>
          <w:color w:val="auto"/>
          <w:szCs w:val="21"/>
        </w:rPr>
        <w:t>p. 有4.1.1.6（11）情形，每次课以</w:t>
      </w:r>
      <w:r>
        <w:rPr>
          <w:b/>
          <w:bCs/>
          <w:color w:val="auto"/>
          <w:szCs w:val="21"/>
          <w:u w:val="single"/>
        </w:rPr>
        <w:t>1000</w:t>
      </w:r>
      <w:r>
        <w:rPr>
          <w:color w:val="auto"/>
          <w:szCs w:val="21"/>
        </w:rPr>
        <w:t>元的违约金；</w:t>
      </w:r>
    </w:p>
    <w:p>
      <w:pPr>
        <w:snapToGrid w:val="0"/>
        <w:spacing w:line="360" w:lineRule="auto"/>
        <w:ind w:firstLine="420" w:firstLineChars="200"/>
        <w:rPr>
          <w:color w:val="auto"/>
          <w:szCs w:val="21"/>
        </w:rPr>
      </w:pPr>
      <w:r>
        <w:rPr>
          <w:color w:val="auto"/>
          <w:szCs w:val="21"/>
        </w:rPr>
        <w:t>q. 有4.1.1.6（12）情形，违反试验检测程序的按每项课以</w:t>
      </w:r>
      <w:r>
        <w:rPr>
          <w:b/>
          <w:bCs/>
          <w:color w:val="auto"/>
          <w:szCs w:val="21"/>
          <w:u w:val="single"/>
        </w:rPr>
        <w:t>30000</w:t>
      </w:r>
      <w:r>
        <w:rPr>
          <w:color w:val="auto"/>
          <w:szCs w:val="21"/>
        </w:rPr>
        <w:t>元的违约金；试验漏项、或参数不全、或抽检频率不足的按每项课以</w:t>
      </w:r>
      <w:r>
        <w:rPr>
          <w:b/>
          <w:bCs/>
          <w:color w:val="auto"/>
          <w:szCs w:val="21"/>
          <w:u w:val="single"/>
        </w:rPr>
        <w:t>2000</w:t>
      </w:r>
      <w:r>
        <w:rPr>
          <w:color w:val="auto"/>
          <w:szCs w:val="21"/>
        </w:rPr>
        <w:t>元的违约金；</w:t>
      </w:r>
    </w:p>
    <w:p>
      <w:pPr>
        <w:snapToGrid w:val="0"/>
        <w:spacing w:line="360" w:lineRule="auto"/>
        <w:ind w:firstLine="420" w:firstLineChars="200"/>
        <w:rPr>
          <w:color w:val="auto"/>
          <w:szCs w:val="21"/>
        </w:rPr>
      </w:pPr>
      <w:r>
        <w:rPr>
          <w:color w:val="auto"/>
          <w:szCs w:val="21"/>
        </w:rPr>
        <w:t>r. 有4.1.1.6（13）情形，每次课以</w:t>
      </w:r>
      <w:r>
        <w:rPr>
          <w:b/>
          <w:bCs/>
          <w:color w:val="auto"/>
          <w:szCs w:val="21"/>
          <w:u w:val="single"/>
        </w:rPr>
        <w:t>20000</w:t>
      </w:r>
      <w:r>
        <w:rPr>
          <w:color w:val="auto"/>
          <w:szCs w:val="21"/>
        </w:rPr>
        <w:t>元的违约金。</w:t>
      </w:r>
    </w:p>
    <w:p>
      <w:pPr>
        <w:snapToGrid w:val="0"/>
        <w:spacing w:line="360" w:lineRule="auto"/>
        <w:ind w:firstLine="420" w:firstLineChars="200"/>
        <w:rPr>
          <w:color w:val="auto"/>
          <w:sz w:val="24"/>
        </w:rPr>
      </w:pPr>
      <w:r>
        <w:rPr>
          <w:color w:val="auto"/>
          <w:szCs w:val="21"/>
        </w:rPr>
        <w:t>违约金在履约担保或支付的试验检测服务费中扣除（给发包人造成经济损失的，按通用合同条款4.1.2项规定另行承担赔偿责任）。</w:t>
      </w:r>
    </w:p>
    <w:p>
      <w:pPr>
        <w:pStyle w:val="634"/>
        <w:rPr>
          <w:b/>
          <w:color w:val="auto"/>
        </w:rPr>
      </w:pPr>
      <w:r>
        <w:rPr>
          <w:b/>
          <w:color w:val="auto"/>
        </w:rPr>
        <w:t>5.</w:t>
      </w:r>
      <w:r>
        <w:rPr>
          <w:rFonts w:hint="eastAsia" w:ascii="黑体" w:hAnsi="黑体"/>
          <w:color w:val="auto"/>
        </w:rPr>
        <w:t>试验检测合同的生效、终止、变更、暂停与解除</w:t>
      </w:r>
    </w:p>
    <w:p>
      <w:pPr>
        <w:pStyle w:val="630"/>
        <w:ind w:firstLine="422"/>
        <w:rPr>
          <w:color w:val="auto"/>
        </w:rPr>
      </w:pPr>
      <w:r>
        <w:rPr>
          <w:color w:val="auto"/>
        </w:rPr>
        <w:t xml:space="preserve">5.4  </w:t>
      </w:r>
      <w:r>
        <w:rPr>
          <w:rFonts w:hint="eastAsia" w:ascii="黑体" w:hAnsi="黑体"/>
          <w:color w:val="auto"/>
        </w:rPr>
        <w:t>试验检测合同的</w:t>
      </w:r>
      <w:r>
        <w:rPr>
          <w:rFonts w:ascii="黑体" w:hAnsi="黑体"/>
          <w:color w:val="auto"/>
        </w:rPr>
        <w:t>变更</w:t>
      </w:r>
    </w:p>
    <w:p>
      <w:pPr>
        <w:snapToGrid w:val="0"/>
        <w:spacing w:line="360" w:lineRule="auto"/>
        <w:ind w:firstLine="420" w:firstLineChars="200"/>
        <w:rPr>
          <w:color w:val="auto"/>
          <w:szCs w:val="21"/>
        </w:rPr>
      </w:pPr>
      <w:r>
        <w:rPr>
          <w:color w:val="auto"/>
          <w:szCs w:val="21"/>
        </w:rPr>
        <w:t>5.4.3 因发包人或第三方的责任，阻碍或延误了检测人履行试验检测服务，检测人应及时将该情况与其可能产生的影响书面通知发包人，如有必要，在双方协商一致的基础上对试验检测合同进行相应的变更。上述情况导致增加的试验检测服务工作量或工作时间，其费用按6.2款约定进行调整，检测人完成相应服务的时间亦应予以延长。</w:t>
      </w:r>
    </w:p>
    <w:p>
      <w:pPr>
        <w:snapToGrid w:val="0"/>
        <w:spacing w:line="360" w:lineRule="auto"/>
        <w:ind w:firstLine="420" w:firstLineChars="200"/>
        <w:rPr>
          <w:color w:val="auto"/>
          <w:szCs w:val="21"/>
        </w:rPr>
      </w:pPr>
      <w:r>
        <w:rPr>
          <w:color w:val="auto"/>
          <w:szCs w:val="21"/>
        </w:rPr>
        <w:t>5.4.4发包人对在试验检测合同有效期内因物价变动而导致试验检测服务费增减的补偿</w:t>
      </w:r>
      <w:r>
        <w:rPr>
          <w:color w:val="auto"/>
          <w:szCs w:val="21"/>
          <w:u w:val="single"/>
        </w:rPr>
        <w:t>不予考虑</w:t>
      </w:r>
      <w:r>
        <w:rPr>
          <w:color w:val="auto"/>
          <w:szCs w:val="21"/>
        </w:rPr>
        <w:t>。</w:t>
      </w:r>
    </w:p>
    <w:p>
      <w:pPr>
        <w:snapToGrid w:val="0"/>
        <w:spacing w:line="360" w:lineRule="auto"/>
        <w:ind w:firstLine="420" w:firstLineChars="200"/>
        <w:rPr>
          <w:color w:val="auto"/>
          <w:szCs w:val="21"/>
        </w:rPr>
      </w:pPr>
      <w:r>
        <w:rPr>
          <w:color w:val="auto"/>
          <w:szCs w:val="21"/>
        </w:rPr>
        <w:t>5.4.5在签订本试验检测合同后，因国家或地方法律、法规变动而引起试验检测服务费用的增减</w:t>
      </w:r>
      <w:r>
        <w:rPr>
          <w:color w:val="auto"/>
          <w:szCs w:val="21"/>
          <w:u w:val="single"/>
        </w:rPr>
        <w:t>不予考虑</w:t>
      </w:r>
      <w:r>
        <w:rPr>
          <w:color w:val="auto"/>
          <w:szCs w:val="21"/>
        </w:rPr>
        <w:t>。</w:t>
      </w:r>
    </w:p>
    <w:p>
      <w:pPr>
        <w:pStyle w:val="630"/>
        <w:ind w:firstLine="422"/>
        <w:rPr>
          <w:color w:val="auto"/>
        </w:rPr>
      </w:pPr>
      <w:r>
        <w:rPr>
          <w:color w:val="auto"/>
        </w:rPr>
        <w:t xml:space="preserve">5.5  </w:t>
      </w:r>
      <w:r>
        <w:rPr>
          <w:rFonts w:hint="eastAsia" w:ascii="黑体" w:hAnsi="黑体"/>
          <w:color w:val="auto"/>
        </w:rPr>
        <w:t>试验检测合同的暂停与</w:t>
      </w:r>
      <w:r>
        <w:rPr>
          <w:rFonts w:ascii="黑体" w:hAnsi="黑体"/>
          <w:color w:val="auto"/>
        </w:rPr>
        <w:t>解除</w:t>
      </w:r>
    </w:p>
    <w:p>
      <w:pPr>
        <w:snapToGrid w:val="0"/>
        <w:spacing w:line="360" w:lineRule="auto"/>
        <w:ind w:firstLine="420" w:firstLineChars="200"/>
        <w:rPr>
          <w:color w:val="auto"/>
          <w:szCs w:val="21"/>
        </w:rPr>
      </w:pPr>
      <w:r>
        <w:rPr>
          <w:color w:val="auto"/>
          <w:szCs w:val="21"/>
        </w:rPr>
        <w:t>5.5.1.1  按6.2款进行调整。</w:t>
      </w:r>
    </w:p>
    <w:p>
      <w:pPr>
        <w:snapToGrid w:val="0"/>
        <w:spacing w:line="360" w:lineRule="auto"/>
        <w:ind w:firstLine="420" w:firstLineChars="200"/>
        <w:rPr>
          <w:color w:val="auto"/>
          <w:szCs w:val="21"/>
        </w:rPr>
      </w:pPr>
      <w:r>
        <w:rPr>
          <w:color w:val="auto"/>
          <w:szCs w:val="21"/>
        </w:rPr>
        <w:t>5.5.1.2  按6.2款进行调整。</w:t>
      </w:r>
    </w:p>
    <w:p>
      <w:pPr>
        <w:snapToGrid w:val="0"/>
        <w:spacing w:line="360" w:lineRule="auto"/>
        <w:ind w:firstLine="420" w:firstLineChars="200"/>
        <w:rPr>
          <w:color w:val="auto"/>
          <w:szCs w:val="21"/>
        </w:rPr>
      </w:pPr>
      <w:r>
        <w:rPr>
          <w:color w:val="auto"/>
          <w:szCs w:val="21"/>
        </w:rPr>
        <w:t>5.5.1.3  不可抗力的其他情形：</w:t>
      </w:r>
      <w:r>
        <w:rPr>
          <w:color w:val="auto"/>
          <w:szCs w:val="21"/>
          <w:u w:val="single"/>
        </w:rPr>
        <w:t xml:space="preserve">    /     </w:t>
      </w:r>
      <w:r>
        <w:rPr>
          <w:color w:val="auto"/>
          <w:szCs w:val="21"/>
        </w:rPr>
        <w:t>。</w:t>
      </w:r>
    </w:p>
    <w:p>
      <w:pPr>
        <w:pStyle w:val="630"/>
        <w:ind w:firstLine="422"/>
        <w:rPr>
          <w:color w:val="auto"/>
        </w:rPr>
      </w:pPr>
      <w:r>
        <w:rPr>
          <w:color w:val="auto"/>
        </w:rPr>
        <w:t xml:space="preserve">5.6  </w:t>
      </w:r>
      <w:r>
        <w:rPr>
          <w:rFonts w:hint="eastAsia" w:ascii="黑体" w:hAnsi="黑体"/>
          <w:color w:val="auto"/>
        </w:rPr>
        <w:t>转让和分包</w:t>
      </w:r>
    </w:p>
    <w:p>
      <w:pPr>
        <w:snapToGrid w:val="0"/>
        <w:spacing w:line="360" w:lineRule="auto"/>
        <w:ind w:firstLine="420" w:firstLineChars="200"/>
        <w:rPr>
          <w:color w:val="auto"/>
          <w:szCs w:val="21"/>
        </w:rPr>
      </w:pPr>
      <w:r>
        <w:rPr>
          <w:color w:val="auto"/>
          <w:szCs w:val="21"/>
        </w:rPr>
        <w:t>5.6.2  允许分包的内容为：</w:t>
      </w:r>
      <w:r>
        <w:rPr>
          <w:color w:val="auto"/>
          <w:szCs w:val="21"/>
          <w:u w:val="single"/>
        </w:rPr>
        <w:t>经发包人同意和批准，检测人可将试验检测工作进行分包；除跨专业或者有特殊要求的试验检测工作外，常规试验检测工作只允许有一家分包人且该分包人本身或内设机构应具备交通运输部门颁发的试验检测等级证书，分包工作量不超过试验检测工作总量的30%</w:t>
      </w:r>
      <w:r>
        <w:rPr>
          <w:color w:val="auto"/>
          <w:szCs w:val="21"/>
        </w:rPr>
        <w:t>。</w:t>
      </w:r>
    </w:p>
    <w:p>
      <w:pPr>
        <w:snapToGrid w:val="0"/>
        <w:spacing w:line="360" w:lineRule="auto"/>
        <w:ind w:firstLine="422" w:firstLineChars="200"/>
        <w:rPr>
          <w:b/>
          <w:color w:val="auto"/>
          <w:szCs w:val="21"/>
        </w:rPr>
      </w:pPr>
      <w:r>
        <w:rPr>
          <w:b/>
          <w:color w:val="auto"/>
          <w:szCs w:val="21"/>
        </w:rPr>
        <w:t>补充第5.6.7、5.6.8、5.6.9款：</w:t>
      </w:r>
    </w:p>
    <w:p>
      <w:pPr>
        <w:snapToGrid w:val="0"/>
        <w:spacing w:line="360" w:lineRule="auto"/>
        <w:ind w:firstLine="420" w:firstLineChars="200"/>
        <w:rPr>
          <w:color w:val="auto"/>
          <w:szCs w:val="21"/>
        </w:rPr>
      </w:pPr>
      <w:r>
        <w:rPr>
          <w:color w:val="auto"/>
          <w:szCs w:val="21"/>
        </w:rPr>
        <w:t>5.6.7 检测人分包方案须经过发包人批准后实施。</w:t>
      </w:r>
    </w:p>
    <w:p>
      <w:pPr>
        <w:snapToGrid w:val="0"/>
        <w:spacing w:line="360" w:lineRule="auto"/>
        <w:ind w:firstLine="420" w:firstLineChars="200"/>
        <w:rPr>
          <w:color w:val="auto"/>
          <w:szCs w:val="21"/>
        </w:rPr>
      </w:pPr>
      <w:r>
        <w:rPr>
          <w:color w:val="auto"/>
          <w:szCs w:val="21"/>
        </w:rPr>
        <w:t>5.6.8 检测人更换分包单位，应事先征得报发包人同意，且更换后的分包单位资质、业绩不得低于</w:t>
      </w:r>
      <w:r>
        <w:rPr>
          <w:rFonts w:hint="eastAsia"/>
          <w:color w:val="auto"/>
          <w:szCs w:val="21"/>
        </w:rPr>
        <w:t>响应</w:t>
      </w:r>
      <w:r>
        <w:rPr>
          <w:color w:val="auto"/>
          <w:szCs w:val="21"/>
        </w:rPr>
        <w:t>时的拟分包单位。</w:t>
      </w:r>
    </w:p>
    <w:p>
      <w:pPr>
        <w:snapToGrid w:val="0"/>
        <w:spacing w:line="360" w:lineRule="auto"/>
        <w:ind w:firstLine="420" w:firstLineChars="200"/>
        <w:rPr>
          <w:color w:val="auto"/>
          <w:szCs w:val="21"/>
        </w:rPr>
      </w:pPr>
      <w:r>
        <w:rPr>
          <w:color w:val="auto"/>
          <w:szCs w:val="21"/>
        </w:rPr>
        <w:t>5.6.9 对于新型检测项目，检测方案、规程须经发包人批准同意后组织实施。</w:t>
      </w:r>
    </w:p>
    <w:p>
      <w:pPr>
        <w:pStyle w:val="634"/>
        <w:rPr>
          <w:b/>
          <w:color w:val="auto"/>
        </w:rPr>
      </w:pPr>
      <w:r>
        <w:rPr>
          <w:b/>
          <w:color w:val="auto"/>
        </w:rPr>
        <w:t>6.</w:t>
      </w:r>
      <w:r>
        <w:rPr>
          <w:rFonts w:hint="eastAsia" w:ascii="黑体" w:hAnsi="黑体"/>
          <w:color w:val="auto"/>
        </w:rPr>
        <w:t>试验检测服务的费用与支付</w:t>
      </w:r>
    </w:p>
    <w:p>
      <w:pPr>
        <w:pStyle w:val="630"/>
        <w:ind w:firstLine="422"/>
        <w:rPr>
          <w:color w:val="auto"/>
        </w:rPr>
      </w:pPr>
      <w:r>
        <w:rPr>
          <w:rFonts w:hint="eastAsia"/>
          <w:color w:val="auto"/>
        </w:rPr>
        <w:t>6</w:t>
      </w:r>
      <w:r>
        <w:rPr>
          <w:color w:val="auto"/>
        </w:rPr>
        <w:t xml:space="preserve">.2 </w:t>
      </w:r>
      <w:r>
        <w:rPr>
          <w:rFonts w:hint="eastAsia" w:ascii="黑体" w:hAnsi="黑体"/>
          <w:color w:val="auto"/>
        </w:rPr>
        <w:t>试验检测服务费计费方法</w:t>
      </w:r>
    </w:p>
    <w:p>
      <w:pPr>
        <w:snapToGrid w:val="0"/>
        <w:spacing w:line="360" w:lineRule="auto"/>
        <w:ind w:firstLine="420" w:firstLineChars="200"/>
        <w:rPr>
          <w:color w:val="auto"/>
          <w:szCs w:val="21"/>
        </w:rPr>
      </w:pPr>
      <w:r>
        <w:rPr>
          <w:color w:val="auto"/>
          <w:szCs w:val="21"/>
        </w:rPr>
        <w:t>6.2.2  附加试验检测服务的费用</w:t>
      </w:r>
    </w:p>
    <w:p>
      <w:pPr>
        <w:snapToGrid w:val="0"/>
        <w:spacing w:line="360" w:lineRule="auto"/>
        <w:ind w:firstLine="420" w:firstLineChars="200"/>
        <w:rPr>
          <w:color w:val="auto"/>
          <w:szCs w:val="21"/>
        </w:rPr>
      </w:pPr>
      <w:r>
        <w:rPr>
          <w:color w:val="auto"/>
          <w:szCs w:val="21"/>
        </w:rPr>
        <w:t>附加试验检测服务的费用计算方法：</w:t>
      </w:r>
    </w:p>
    <w:p>
      <w:pPr>
        <w:snapToGrid w:val="0"/>
        <w:spacing w:line="360" w:lineRule="auto"/>
        <w:ind w:firstLine="420" w:firstLineChars="200"/>
        <w:rPr>
          <w:color w:val="auto"/>
          <w:szCs w:val="21"/>
        </w:rPr>
      </w:pPr>
      <w:r>
        <w:rPr>
          <w:color w:val="auto"/>
          <w:szCs w:val="21"/>
        </w:rPr>
        <w:t>（1）涉及试验检测内容或项目增减的，已标价的报价清单中有适用于该检测内容或项目单价的，采用该内容或项目单价；已标价的报价清单中无适用于该检测内容或项目单价的，则按照《关于调整交通建设工程质量检测和工程材料试验收费标准的复函》（浙价服〔2013〕264号）所列收费标准乘以</w:t>
      </w:r>
      <w:r>
        <w:rPr>
          <w:color w:val="auto"/>
          <w:szCs w:val="21"/>
          <w:u w:val="single"/>
        </w:rPr>
        <w:t xml:space="preserve">  </w:t>
      </w:r>
      <w:r>
        <w:rPr>
          <w:rFonts w:hint="eastAsia"/>
          <w:color w:val="auto"/>
          <w:szCs w:val="21"/>
          <w:u w:val="single"/>
        </w:rPr>
        <w:t>75</w:t>
      </w:r>
      <w:r>
        <w:rPr>
          <w:color w:val="auto"/>
          <w:szCs w:val="21"/>
          <w:u w:val="single"/>
        </w:rPr>
        <w:t xml:space="preserve">  </w:t>
      </w:r>
      <w:r>
        <w:rPr>
          <w:color w:val="auto"/>
          <w:szCs w:val="21"/>
        </w:rPr>
        <w:t>%，再乘以“签约合同价”与该项目</w:t>
      </w:r>
      <w:r>
        <w:rPr>
          <w:rFonts w:hint="eastAsia"/>
          <w:color w:val="auto"/>
          <w:szCs w:val="21"/>
        </w:rPr>
        <w:t>竞争性磋商</w:t>
      </w:r>
      <w:r>
        <w:rPr>
          <w:color w:val="auto"/>
          <w:szCs w:val="21"/>
        </w:rPr>
        <w:t>时的</w:t>
      </w:r>
      <w:r>
        <w:rPr>
          <w:rFonts w:hint="eastAsia"/>
          <w:color w:val="auto"/>
          <w:szCs w:val="21"/>
        </w:rPr>
        <w:t>最高限价</w:t>
      </w:r>
      <w:r>
        <w:rPr>
          <w:color w:val="auto"/>
          <w:szCs w:val="21"/>
        </w:rPr>
        <w:t>的比值执行；若《关于调整交通建设工程质量检测和工程材料试验收费标准的复函》中仍无相关内容可参照的，则双方协商解决。</w:t>
      </w:r>
    </w:p>
    <w:p>
      <w:pPr>
        <w:snapToGrid w:val="0"/>
        <w:spacing w:line="360" w:lineRule="auto"/>
        <w:ind w:firstLine="420" w:firstLineChars="200"/>
        <w:rPr>
          <w:color w:val="auto"/>
          <w:szCs w:val="21"/>
        </w:rPr>
      </w:pPr>
      <w:r>
        <w:rPr>
          <w:color w:val="auto"/>
          <w:szCs w:val="21"/>
        </w:rPr>
        <w:t>（2）涉及检测服务时间增加或减少的，双方协商解决。</w:t>
      </w:r>
    </w:p>
    <w:p>
      <w:pPr>
        <w:snapToGrid w:val="0"/>
        <w:spacing w:line="360" w:lineRule="auto"/>
        <w:ind w:firstLine="420" w:firstLineChars="200"/>
        <w:rPr>
          <w:color w:val="auto"/>
          <w:szCs w:val="21"/>
        </w:rPr>
      </w:pPr>
      <w:r>
        <w:rPr>
          <w:color w:val="auto"/>
          <w:szCs w:val="21"/>
        </w:rPr>
        <w:t>（3）</w:t>
      </w:r>
      <w:r>
        <w:rPr>
          <w:color w:val="auto"/>
          <w:szCs w:val="21"/>
          <w:u w:val="single"/>
        </w:rPr>
        <w:t xml:space="preserve">         /                                </w:t>
      </w:r>
      <w:r>
        <w:rPr>
          <w:color w:val="auto"/>
          <w:szCs w:val="21"/>
        </w:rPr>
        <w:t>。</w:t>
      </w:r>
    </w:p>
    <w:p>
      <w:pPr>
        <w:snapToGrid w:val="0"/>
        <w:spacing w:line="360" w:lineRule="auto"/>
        <w:ind w:firstLine="420" w:firstLineChars="200"/>
        <w:rPr>
          <w:color w:val="auto"/>
          <w:szCs w:val="21"/>
        </w:rPr>
      </w:pPr>
      <w:r>
        <w:rPr>
          <w:color w:val="auto"/>
          <w:szCs w:val="21"/>
        </w:rPr>
        <w:t>6.2.3 试验检测服务费的调整：</w:t>
      </w:r>
      <w:r>
        <w:rPr>
          <w:color w:val="auto"/>
          <w:szCs w:val="21"/>
          <w:u w:val="single"/>
        </w:rPr>
        <w:t>报价清单第100章（不含安全生产费）的费用由检测人总额包干，不予调整，报价清单其它章节检测项目的中标单价不随国家政策、法律法规、标准和市场因素、材料因素、施工工期等变化而进行调整；检测数量应以“实施性试验检测方案”中的检测频率数量为准，除《浙江省交通建设工程推进平安百年品质工程建设实施方案》（浙交〔2023〕132号）及发包人或主管部门要求增加的检测指标外，数量超出《浙江省公路工程竣（交）工验收办法》（浙交〔2019〕184号）及工程实际情况的，不予计量</w:t>
      </w:r>
      <w:r>
        <w:rPr>
          <w:color w:val="auto"/>
          <w:szCs w:val="21"/>
        </w:rPr>
        <w:t>。</w:t>
      </w:r>
    </w:p>
    <w:p>
      <w:pPr>
        <w:pStyle w:val="630"/>
        <w:ind w:firstLine="422"/>
        <w:rPr>
          <w:color w:val="auto"/>
        </w:rPr>
      </w:pPr>
      <w:r>
        <w:rPr>
          <w:rFonts w:hint="eastAsia"/>
          <w:color w:val="auto"/>
        </w:rPr>
        <w:t>6</w:t>
      </w:r>
      <w:r>
        <w:rPr>
          <w:color w:val="auto"/>
        </w:rPr>
        <w:t xml:space="preserve">.3 </w:t>
      </w:r>
      <w:r>
        <w:rPr>
          <w:rFonts w:hint="eastAsia" w:ascii="黑体" w:hAnsi="黑体"/>
          <w:color w:val="auto"/>
        </w:rPr>
        <w:t>支付</w:t>
      </w:r>
    </w:p>
    <w:p>
      <w:pPr>
        <w:snapToGrid w:val="0"/>
        <w:spacing w:line="360" w:lineRule="auto"/>
        <w:ind w:firstLine="420" w:firstLineChars="200"/>
        <w:rPr>
          <w:color w:val="auto"/>
          <w:szCs w:val="21"/>
        </w:rPr>
      </w:pPr>
      <w:r>
        <w:rPr>
          <w:rFonts w:hint="eastAsia"/>
          <w:color w:val="auto"/>
          <w:szCs w:val="21"/>
        </w:rPr>
        <w:t>6.3.1预付款</w:t>
      </w:r>
    </w:p>
    <w:p>
      <w:pPr>
        <w:snapToGrid w:val="0"/>
        <w:spacing w:line="360" w:lineRule="auto"/>
        <w:ind w:firstLine="420" w:firstLineChars="200"/>
        <w:rPr>
          <w:color w:val="auto"/>
          <w:szCs w:val="21"/>
        </w:rPr>
      </w:pPr>
      <w:r>
        <w:rPr>
          <w:rFonts w:hint="eastAsia"/>
          <w:color w:val="auto"/>
          <w:szCs w:val="21"/>
        </w:rPr>
        <w:t>删除原文，修改为：</w:t>
      </w:r>
    </w:p>
    <w:p>
      <w:pPr>
        <w:snapToGrid w:val="0"/>
        <w:spacing w:line="360" w:lineRule="auto"/>
        <w:ind w:firstLine="420" w:firstLineChars="200"/>
        <w:rPr>
          <w:color w:val="auto"/>
          <w:szCs w:val="21"/>
        </w:rPr>
      </w:pPr>
      <w:r>
        <w:rPr>
          <w:rFonts w:hint="eastAsia"/>
          <w:color w:val="auto"/>
          <w:szCs w:val="21"/>
        </w:rPr>
        <w:t>为使试验检测服务能够及时开展，发包人应在试验检测合同签订后5个工作日内按“签约合同价”的20﹪向检测人支付预付款。</w:t>
      </w:r>
    </w:p>
    <w:p>
      <w:pPr>
        <w:snapToGrid w:val="0"/>
        <w:spacing w:line="360" w:lineRule="auto"/>
        <w:ind w:firstLine="420" w:firstLineChars="200"/>
        <w:rPr>
          <w:color w:val="auto"/>
          <w:szCs w:val="21"/>
        </w:rPr>
      </w:pPr>
      <w:r>
        <w:rPr>
          <w:color w:val="auto"/>
          <w:szCs w:val="21"/>
        </w:rPr>
        <w:t>6.3.4  支付担保</w:t>
      </w:r>
    </w:p>
    <w:p>
      <w:pPr>
        <w:snapToGrid w:val="0"/>
        <w:spacing w:line="360" w:lineRule="auto"/>
        <w:ind w:firstLine="420" w:firstLineChars="200"/>
        <w:rPr>
          <w:color w:val="auto"/>
          <w:szCs w:val="21"/>
        </w:rPr>
      </w:pPr>
      <w:r>
        <w:rPr>
          <w:color w:val="auto"/>
          <w:szCs w:val="21"/>
        </w:rPr>
        <w:t>6.3.4.1  发包人在签订合同时，向检测人提交支付担保，额度与履约担保同等。</w:t>
      </w:r>
    </w:p>
    <w:p>
      <w:pPr>
        <w:snapToGrid w:val="0"/>
        <w:spacing w:line="360" w:lineRule="auto"/>
        <w:ind w:firstLine="420" w:firstLineChars="200"/>
        <w:rPr>
          <w:color w:val="auto"/>
          <w:szCs w:val="21"/>
        </w:rPr>
      </w:pPr>
      <w:r>
        <w:rPr>
          <w:color w:val="auto"/>
          <w:szCs w:val="21"/>
        </w:rPr>
        <w:t>6.3.5  支付方式</w:t>
      </w:r>
    </w:p>
    <w:p>
      <w:pPr>
        <w:snapToGrid w:val="0"/>
        <w:spacing w:line="360" w:lineRule="auto"/>
        <w:ind w:firstLine="422" w:firstLineChars="200"/>
        <w:rPr>
          <w:b/>
          <w:color w:val="auto"/>
          <w:szCs w:val="21"/>
        </w:rPr>
      </w:pPr>
      <w:r>
        <w:rPr>
          <w:b/>
          <w:color w:val="auto"/>
          <w:szCs w:val="21"/>
        </w:rPr>
        <w:t>删除原文，修改为：</w:t>
      </w:r>
    </w:p>
    <w:p>
      <w:pPr>
        <w:snapToGrid w:val="0"/>
        <w:spacing w:line="360" w:lineRule="auto"/>
        <w:ind w:firstLine="420" w:firstLineChars="200"/>
        <w:rPr>
          <w:bCs/>
          <w:color w:val="auto"/>
          <w:szCs w:val="21"/>
        </w:rPr>
      </w:pPr>
      <w:r>
        <w:rPr>
          <w:bCs/>
          <w:color w:val="auto"/>
          <w:szCs w:val="21"/>
        </w:rPr>
        <w:t>发包人按半年一次向检测人支付试验检测服务费。试验检测人于每半年将交工试验检测服务费支付申请上报发包人，发包人应在收到符合发包人要求的交工试验检测支付申请后7日内予以审批，在批复后14日内向检测人支付当期交工试验检测服务费的90%，交工验收证书颁发后累计支付至交工试验检测服务费的100%，竣工检测服务费在竣工质量评定检测报告经交通运输主管部门备案后30日内一次性支付。</w:t>
      </w:r>
    </w:p>
    <w:p>
      <w:pPr>
        <w:snapToGrid w:val="0"/>
        <w:spacing w:line="360" w:lineRule="auto"/>
        <w:ind w:firstLine="420" w:firstLineChars="200"/>
        <w:rPr>
          <w:color w:val="auto"/>
          <w:szCs w:val="21"/>
        </w:rPr>
      </w:pPr>
      <w:r>
        <w:rPr>
          <w:color w:val="auto"/>
          <w:szCs w:val="21"/>
        </w:rPr>
        <w:t>（1）正常试验检测服务费用按半年支付，检测数量以实际完成并经发包人确认的数量为准；</w:t>
      </w:r>
    </w:p>
    <w:p>
      <w:pPr>
        <w:snapToGrid w:val="0"/>
        <w:spacing w:line="360" w:lineRule="auto"/>
        <w:ind w:firstLine="420" w:firstLineChars="200"/>
        <w:rPr>
          <w:b/>
          <w:color w:val="auto"/>
          <w:szCs w:val="21"/>
        </w:rPr>
      </w:pPr>
      <w:r>
        <w:rPr>
          <w:color w:val="auto"/>
          <w:szCs w:val="21"/>
        </w:rPr>
        <w:t>（2）附加试验检测服务费用经发包人确认后，在下期计量支付中按实际完成并经发包人确认的数量支付。</w:t>
      </w:r>
    </w:p>
    <w:p>
      <w:pPr>
        <w:snapToGrid w:val="0"/>
        <w:spacing w:line="360" w:lineRule="auto"/>
        <w:ind w:firstLine="420" w:firstLineChars="200"/>
        <w:rPr>
          <w:color w:val="auto"/>
          <w:szCs w:val="21"/>
        </w:rPr>
      </w:pPr>
      <w:r>
        <w:rPr>
          <w:color w:val="auto"/>
          <w:szCs w:val="21"/>
        </w:rPr>
        <w:t>（3）报价清单100章费用的支付约定为:第100章费用（不含安全生产费）的支付时间及比例按下表规定执行。</w:t>
      </w:r>
    </w:p>
    <w:tbl>
      <w:tblPr>
        <w:tblStyle w:val="6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91"/>
        <w:gridCol w:w="1971"/>
        <w:gridCol w:w="3969"/>
        <w:gridCol w:w="13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1" w:hRule="atLeast"/>
          <w:jc w:val="center"/>
        </w:trPr>
        <w:tc>
          <w:tcPr>
            <w:tcW w:w="991" w:type="dxa"/>
            <w:tcBorders>
              <w:top w:val="single" w:color="auto" w:sz="12" w:space="0"/>
              <w:left w:val="single" w:color="auto" w:sz="12" w:space="0"/>
              <w:bottom w:val="single" w:color="auto" w:sz="6" w:space="0"/>
              <w:right w:val="single" w:color="auto" w:sz="6" w:space="0"/>
            </w:tcBorders>
            <w:vAlign w:val="center"/>
          </w:tcPr>
          <w:p>
            <w:pPr>
              <w:snapToGrid w:val="0"/>
              <w:spacing w:line="360" w:lineRule="auto"/>
              <w:jc w:val="center"/>
              <w:rPr>
                <w:b/>
                <w:color w:val="auto"/>
                <w:szCs w:val="21"/>
              </w:rPr>
            </w:pPr>
            <w:r>
              <w:rPr>
                <w:b/>
                <w:color w:val="auto"/>
                <w:szCs w:val="21"/>
              </w:rPr>
              <w:t>序号</w:t>
            </w:r>
          </w:p>
        </w:tc>
        <w:tc>
          <w:tcPr>
            <w:tcW w:w="1971" w:type="dxa"/>
            <w:tcBorders>
              <w:top w:val="single" w:color="auto" w:sz="12" w:space="0"/>
              <w:left w:val="single" w:color="auto" w:sz="6" w:space="0"/>
              <w:bottom w:val="single" w:color="auto" w:sz="6" w:space="0"/>
              <w:right w:val="single" w:color="auto" w:sz="6" w:space="0"/>
            </w:tcBorders>
            <w:vAlign w:val="center"/>
          </w:tcPr>
          <w:p>
            <w:pPr>
              <w:snapToGrid w:val="0"/>
              <w:spacing w:line="360" w:lineRule="auto"/>
              <w:jc w:val="center"/>
              <w:rPr>
                <w:b/>
                <w:color w:val="auto"/>
                <w:szCs w:val="21"/>
              </w:rPr>
            </w:pPr>
            <w:r>
              <w:rPr>
                <w:b/>
                <w:color w:val="auto"/>
                <w:szCs w:val="21"/>
              </w:rPr>
              <w:t>阶段</w:t>
            </w:r>
          </w:p>
        </w:tc>
        <w:tc>
          <w:tcPr>
            <w:tcW w:w="3969" w:type="dxa"/>
            <w:tcBorders>
              <w:top w:val="single" w:color="auto" w:sz="12" w:space="0"/>
              <w:left w:val="single" w:color="auto" w:sz="6" w:space="0"/>
              <w:bottom w:val="single" w:color="auto" w:sz="6" w:space="0"/>
              <w:right w:val="single" w:color="auto" w:sz="6" w:space="0"/>
            </w:tcBorders>
            <w:vAlign w:val="center"/>
          </w:tcPr>
          <w:p>
            <w:pPr>
              <w:snapToGrid w:val="0"/>
              <w:spacing w:line="360" w:lineRule="auto"/>
              <w:jc w:val="center"/>
              <w:rPr>
                <w:b/>
                <w:color w:val="auto"/>
                <w:szCs w:val="21"/>
              </w:rPr>
            </w:pPr>
            <w:r>
              <w:rPr>
                <w:b/>
                <w:color w:val="auto"/>
                <w:szCs w:val="21"/>
              </w:rPr>
              <w:t>支付时间</w:t>
            </w:r>
          </w:p>
        </w:tc>
        <w:tc>
          <w:tcPr>
            <w:tcW w:w="1345" w:type="dxa"/>
            <w:tcBorders>
              <w:top w:val="single" w:color="auto" w:sz="12" w:space="0"/>
              <w:left w:val="single" w:color="auto" w:sz="6" w:space="0"/>
              <w:bottom w:val="single" w:color="auto" w:sz="6" w:space="0"/>
              <w:right w:val="single" w:color="auto" w:sz="12" w:space="0"/>
            </w:tcBorders>
            <w:vAlign w:val="center"/>
          </w:tcPr>
          <w:p>
            <w:pPr>
              <w:snapToGrid w:val="0"/>
              <w:spacing w:line="360" w:lineRule="auto"/>
              <w:jc w:val="center"/>
              <w:rPr>
                <w:b/>
                <w:color w:val="auto"/>
                <w:szCs w:val="21"/>
              </w:rPr>
            </w:pPr>
            <w:r>
              <w:rPr>
                <w:b/>
                <w:color w:val="auto"/>
                <w:szCs w:val="21"/>
              </w:rPr>
              <w:t>支付比例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1" w:hRule="atLeast"/>
          <w:jc w:val="center"/>
        </w:trPr>
        <w:tc>
          <w:tcPr>
            <w:tcW w:w="991"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color w:val="auto"/>
                <w:szCs w:val="21"/>
              </w:rPr>
            </w:pPr>
            <w:r>
              <w:rPr>
                <w:color w:val="auto"/>
                <w:szCs w:val="21"/>
              </w:rPr>
              <w:t>1</w:t>
            </w:r>
          </w:p>
        </w:tc>
        <w:tc>
          <w:tcPr>
            <w:tcW w:w="197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color w:val="auto"/>
                <w:szCs w:val="21"/>
              </w:rPr>
            </w:pPr>
            <w:r>
              <w:rPr>
                <w:color w:val="auto"/>
                <w:szCs w:val="21"/>
              </w:rPr>
              <w:t>交工检测阶段</w:t>
            </w:r>
          </w:p>
        </w:tc>
        <w:tc>
          <w:tcPr>
            <w:tcW w:w="396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rPr>
                <w:color w:val="auto"/>
                <w:szCs w:val="21"/>
              </w:rPr>
            </w:pPr>
            <w:r>
              <w:rPr>
                <w:color w:val="auto"/>
                <w:szCs w:val="21"/>
              </w:rPr>
              <w:t>首次实体检测费用支付时；</w:t>
            </w:r>
          </w:p>
        </w:tc>
        <w:tc>
          <w:tcPr>
            <w:tcW w:w="1345"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center"/>
              <w:rPr>
                <w:b/>
                <w:color w:val="auto"/>
                <w:szCs w:val="21"/>
              </w:rPr>
            </w:pPr>
            <w:r>
              <w:rPr>
                <w:b/>
                <w:color w:val="auto"/>
                <w:szCs w:val="21"/>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1" w:hRule="atLeast"/>
          <w:jc w:val="center"/>
        </w:trPr>
        <w:tc>
          <w:tcPr>
            <w:tcW w:w="991" w:type="dxa"/>
            <w:tcBorders>
              <w:top w:val="single" w:color="auto" w:sz="6" w:space="0"/>
              <w:left w:val="single" w:color="auto" w:sz="12" w:space="0"/>
              <w:bottom w:val="single" w:color="auto" w:sz="12" w:space="0"/>
              <w:right w:val="single" w:color="auto" w:sz="6" w:space="0"/>
            </w:tcBorders>
            <w:vAlign w:val="center"/>
          </w:tcPr>
          <w:p>
            <w:pPr>
              <w:snapToGrid w:val="0"/>
              <w:spacing w:line="360" w:lineRule="auto"/>
              <w:jc w:val="center"/>
              <w:rPr>
                <w:color w:val="auto"/>
                <w:szCs w:val="21"/>
              </w:rPr>
            </w:pPr>
            <w:r>
              <w:rPr>
                <w:color w:val="auto"/>
                <w:szCs w:val="21"/>
              </w:rPr>
              <w:t>2</w:t>
            </w:r>
          </w:p>
        </w:tc>
        <w:tc>
          <w:tcPr>
            <w:tcW w:w="1971" w:type="dxa"/>
            <w:tcBorders>
              <w:top w:val="single" w:color="auto" w:sz="6" w:space="0"/>
              <w:left w:val="single" w:color="auto" w:sz="6" w:space="0"/>
              <w:bottom w:val="single" w:color="auto" w:sz="12" w:space="0"/>
              <w:right w:val="single" w:color="auto" w:sz="6" w:space="0"/>
            </w:tcBorders>
            <w:vAlign w:val="center"/>
          </w:tcPr>
          <w:p>
            <w:pPr>
              <w:snapToGrid w:val="0"/>
              <w:spacing w:line="360" w:lineRule="auto"/>
              <w:jc w:val="center"/>
              <w:rPr>
                <w:color w:val="auto"/>
                <w:szCs w:val="21"/>
              </w:rPr>
            </w:pPr>
            <w:r>
              <w:rPr>
                <w:color w:val="auto"/>
                <w:szCs w:val="21"/>
              </w:rPr>
              <w:t>竣工检测阶段</w:t>
            </w:r>
          </w:p>
        </w:tc>
        <w:tc>
          <w:tcPr>
            <w:tcW w:w="3969" w:type="dxa"/>
            <w:tcBorders>
              <w:top w:val="single" w:color="auto" w:sz="6" w:space="0"/>
              <w:left w:val="single" w:color="auto" w:sz="6" w:space="0"/>
              <w:bottom w:val="single" w:color="auto" w:sz="12" w:space="0"/>
              <w:right w:val="single" w:color="auto" w:sz="6" w:space="0"/>
            </w:tcBorders>
            <w:vAlign w:val="center"/>
          </w:tcPr>
          <w:p>
            <w:pPr>
              <w:snapToGrid w:val="0"/>
              <w:spacing w:line="360" w:lineRule="auto"/>
              <w:rPr>
                <w:color w:val="auto"/>
                <w:szCs w:val="21"/>
              </w:rPr>
            </w:pPr>
            <w:r>
              <w:rPr>
                <w:color w:val="auto"/>
                <w:szCs w:val="21"/>
              </w:rPr>
              <w:t>竣工检测质量评定备案后30日内</w:t>
            </w:r>
          </w:p>
        </w:tc>
        <w:tc>
          <w:tcPr>
            <w:tcW w:w="1345" w:type="dxa"/>
            <w:tcBorders>
              <w:top w:val="single" w:color="auto" w:sz="6" w:space="0"/>
              <w:left w:val="single" w:color="auto" w:sz="6" w:space="0"/>
              <w:bottom w:val="single" w:color="auto" w:sz="12" w:space="0"/>
              <w:right w:val="single" w:color="auto" w:sz="12" w:space="0"/>
            </w:tcBorders>
            <w:vAlign w:val="center"/>
          </w:tcPr>
          <w:p>
            <w:pPr>
              <w:snapToGrid w:val="0"/>
              <w:spacing w:line="360" w:lineRule="auto"/>
              <w:jc w:val="center"/>
              <w:rPr>
                <w:b/>
                <w:color w:val="auto"/>
                <w:szCs w:val="21"/>
              </w:rPr>
            </w:pPr>
            <w:r>
              <w:rPr>
                <w:b/>
                <w:color w:val="auto"/>
                <w:szCs w:val="21"/>
              </w:rPr>
              <w:t>20%</w:t>
            </w:r>
          </w:p>
        </w:tc>
      </w:tr>
    </w:tbl>
    <w:p>
      <w:pPr>
        <w:numPr>
          <w:ilvl w:val="0"/>
          <w:numId w:val="11"/>
        </w:numPr>
        <w:snapToGrid w:val="0"/>
        <w:spacing w:line="360" w:lineRule="auto"/>
        <w:ind w:firstLine="420" w:firstLineChars="200"/>
        <w:rPr>
          <w:color w:val="auto"/>
          <w:szCs w:val="21"/>
        </w:rPr>
      </w:pPr>
      <w:r>
        <w:rPr>
          <w:color w:val="auto"/>
          <w:szCs w:val="21"/>
        </w:rPr>
        <w:t>安全生产费在每期支付时按实际发生的费用上报发包人，发包人在收到支付申请后14天内予以审核审批。</w:t>
      </w:r>
    </w:p>
    <w:p>
      <w:pPr>
        <w:snapToGrid w:val="0"/>
        <w:spacing w:line="360" w:lineRule="auto"/>
        <w:ind w:firstLine="420" w:firstLineChars="200"/>
        <w:rPr>
          <w:color w:val="auto"/>
          <w:szCs w:val="21"/>
        </w:rPr>
      </w:pPr>
      <w:r>
        <w:rPr>
          <w:rFonts w:hint="eastAsia"/>
          <w:color w:val="auto"/>
          <w:szCs w:val="21"/>
        </w:rPr>
        <w:t>6.3.6  预付款的扣回</w:t>
      </w:r>
    </w:p>
    <w:p>
      <w:pPr>
        <w:snapToGrid w:val="0"/>
        <w:spacing w:line="360" w:lineRule="auto"/>
        <w:ind w:firstLine="420" w:firstLineChars="200"/>
        <w:rPr>
          <w:color w:val="auto"/>
          <w:szCs w:val="21"/>
        </w:rPr>
      </w:pPr>
      <w:r>
        <w:rPr>
          <w:rFonts w:hint="eastAsia"/>
          <w:color w:val="auto"/>
          <w:szCs w:val="21"/>
        </w:rPr>
        <w:t>预付款在试验检测服务费支付的累计金额达到“签约合同价”的30﹪时开始抵扣，开始按工程进度以固定比例（即每完成签约合同价的 1%，扣回开工预付款的 2%）全部预付款应在试验检测服务费累计支付到“签约合同价”的80﹪时扣完。</w:t>
      </w:r>
    </w:p>
    <w:p>
      <w:pPr>
        <w:snapToGrid w:val="0"/>
        <w:spacing w:line="360" w:lineRule="auto"/>
        <w:ind w:firstLine="420" w:firstLineChars="200"/>
        <w:rPr>
          <w:color w:val="auto"/>
          <w:szCs w:val="21"/>
        </w:rPr>
      </w:pPr>
      <w:r>
        <w:rPr>
          <w:color w:val="auto"/>
          <w:szCs w:val="21"/>
        </w:rPr>
        <w:t>6.3.8  试验检测服务费用的支付期限</w:t>
      </w:r>
    </w:p>
    <w:p>
      <w:pPr>
        <w:snapToGrid w:val="0"/>
        <w:spacing w:line="360" w:lineRule="auto"/>
        <w:ind w:firstLine="422" w:firstLineChars="200"/>
        <w:rPr>
          <w:b/>
          <w:bCs/>
          <w:color w:val="auto"/>
          <w:szCs w:val="21"/>
        </w:rPr>
      </w:pPr>
      <w:r>
        <w:rPr>
          <w:b/>
          <w:bCs/>
          <w:color w:val="auto"/>
          <w:szCs w:val="21"/>
        </w:rPr>
        <w:t>本项细化为：</w:t>
      </w:r>
    </w:p>
    <w:p>
      <w:pPr>
        <w:snapToGrid w:val="0"/>
        <w:spacing w:line="360" w:lineRule="auto"/>
        <w:ind w:firstLine="420" w:firstLineChars="200"/>
        <w:rPr>
          <w:color w:val="auto"/>
          <w:szCs w:val="21"/>
        </w:rPr>
      </w:pPr>
      <w:r>
        <w:rPr>
          <w:color w:val="auto"/>
          <w:szCs w:val="21"/>
        </w:rPr>
        <w:t>发包人在收到检测人提交的书面支付申请后，应按上述条款约定的支付期限内支付试验检测服务费用。发包人在约定的期限内，未向检测人支付到期应付的款项，应承担违约责任，并支付逾期付款违约金。逾期付款的违约金以到期应付而未付的款项，按照中国人民银行授权全国银行间同业拆借中心发布的同期贷款市场报价利率一年期（LPR）计算利息作为违约金，时间自未付款项的应付之日起算。该逾期付款违约金的支付不影响本合同条款第5.5.4项约定的检测人的权力。</w:t>
      </w:r>
    </w:p>
    <w:p>
      <w:pPr>
        <w:pStyle w:val="634"/>
        <w:rPr>
          <w:color w:val="auto"/>
        </w:rPr>
      </w:pPr>
      <w:r>
        <w:rPr>
          <w:color w:val="auto"/>
        </w:rPr>
        <w:t>7.</w:t>
      </w:r>
      <w:r>
        <w:rPr>
          <w:rFonts w:hint="eastAsia" w:ascii="黑体" w:hAnsi="黑体"/>
          <w:color w:val="auto"/>
        </w:rPr>
        <w:t>其他</w:t>
      </w:r>
    </w:p>
    <w:p>
      <w:pPr>
        <w:pStyle w:val="630"/>
        <w:ind w:firstLine="422"/>
        <w:rPr>
          <w:color w:val="auto"/>
        </w:rPr>
      </w:pPr>
      <w:r>
        <w:rPr>
          <w:color w:val="auto"/>
        </w:rPr>
        <w:t xml:space="preserve">7.3  </w:t>
      </w:r>
      <w:r>
        <w:rPr>
          <w:rFonts w:hint="eastAsia" w:ascii="黑体" w:hAnsi="黑体"/>
          <w:color w:val="auto"/>
        </w:rPr>
        <w:t>奖励</w:t>
      </w:r>
    </w:p>
    <w:p>
      <w:pPr>
        <w:snapToGrid w:val="0"/>
        <w:spacing w:line="360" w:lineRule="auto"/>
        <w:ind w:firstLine="420" w:firstLineChars="200"/>
        <w:rPr>
          <w:color w:val="auto"/>
          <w:szCs w:val="21"/>
        </w:rPr>
      </w:pPr>
      <w:r>
        <w:rPr>
          <w:color w:val="auto"/>
          <w:szCs w:val="21"/>
        </w:rPr>
        <w:t>发包人对检测人的额外奖励办法：</w:t>
      </w:r>
      <w:r>
        <w:rPr>
          <w:color w:val="auto"/>
          <w:szCs w:val="21"/>
          <w:u w:val="single"/>
        </w:rPr>
        <w:t xml:space="preserve">               /                      </w:t>
      </w:r>
      <w:r>
        <w:rPr>
          <w:color w:val="auto"/>
          <w:szCs w:val="21"/>
        </w:rPr>
        <w:t>。</w:t>
      </w:r>
    </w:p>
    <w:p>
      <w:pPr>
        <w:pStyle w:val="634"/>
        <w:rPr>
          <w:b/>
          <w:color w:val="auto"/>
        </w:rPr>
      </w:pPr>
      <w:r>
        <w:rPr>
          <w:b/>
          <w:color w:val="auto"/>
        </w:rPr>
        <w:t>8.</w:t>
      </w:r>
      <w:r>
        <w:rPr>
          <w:rFonts w:hint="eastAsia" w:ascii="黑体" w:hAnsi="黑体"/>
          <w:color w:val="auto"/>
        </w:rPr>
        <w:t>争端的解决</w:t>
      </w:r>
    </w:p>
    <w:p>
      <w:pPr>
        <w:snapToGrid w:val="0"/>
        <w:ind w:firstLine="420" w:firstLineChars="200"/>
        <w:rPr>
          <w:color w:val="auto"/>
          <w:szCs w:val="21"/>
        </w:rPr>
      </w:pPr>
      <w:r>
        <w:rPr>
          <w:color w:val="auto"/>
          <w:szCs w:val="21"/>
        </w:rPr>
        <w:t>双方在此约定：对合同执行过程中的争端最终由</w:t>
      </w:r>
      <w:r>
        <w:rPr>
          <w:color w:val="auto"/>
          <w:szCs w:val="21"/>
          <w:u w:val="single"/>
        </w:rPr>
        <w:t>项目所在地有管辖权的人民法院</w:t>
      </w:r>
      <w:r>
        <w:rPr>
          <w:color w:val="auto"/>
          <w:szCs w:val="21"/>
        </w:rPr>
        <w:t>解决。</w:t>
      </w:r>
    </w:p>
    <w:p>
      <w:pPr>
        <w:pStyle w:val="634"/>
        <w:rPr>
          <w:b/>
          <w:color w:val="auto"/>
        </w:rPr>
      </w:pPr>
      <w:r>
        <w:rPr>
          <w:b/>
          <w:color w:val="auto"/>
        </w:rPr>
        <w:t>9.</w:t>
      </w:r>
      <w:r>
        <w:rPr>
          <w:rFonts w:hint="eastAsia" w:ascii="黑体" w:hAnsi="黑体"/>
          <w:color w:val="auto"/>
        </w:rPr>
        <w:t>补充条款</w:t>
      </w:r>
    </w:p>
    <w:p>
      <w:pPr>
        <w:snapToGrid w:val="0"/>
        <w:ind w:firstLine="420" w:firstLineChars="200"/>
        <w:rPr>
          <w:color w:val="auto"/>
          <w:szCs w:val="21"/>
        </w:rPr>
      </w:pPr>
      <w:r>
        <w:rPr>
          <w:color w:val="auto"/>
          <w:szCs w:val="21"/>
        </w:rPr>
        <w:t>需补充的其他条款：</w:t>
      </w:r>
      <w:r>
        <w:rPr>
          <w:color w:val="auto"/>
          <w:szCs w:val="21"/>
          <w:u w:val="single"/>
        </w:rPr>
        <w:t xml:space="preserve">         /         </w:t>
      </w:r>
      <w:r>
        <w:rPr>
          <w:color w:val="auto"/>
          <w:szCs w:val="21"/>
        </w:rPr>
        <w:t>。</w:t>
      </w:r>
    </w:p>
    <w:p>
      <w:pPr>
        <w:pStyle w:val="44"/>
        <w:spacing w:after="120"/>
        <w:rPr>
          <w:color w:val="auto"/>
          <w:sz w:val="28"/>
          <w:szCs w:val="28"/>
        </w:rPr>
      </w:pPr>
      <w:r>
        <w:rPr>
          <w:color w:val="auto"/>
        </w:rPr>
        <w:br w:type="page"/>
      </w:r>
      <w:r>
        <w:rPr>
          <w:color w:val="auto"/>
        </w:rPr>
        <w:t>第三节  合同附件格式</w:t>
      </w:r>
    </w:p>
    <w:p>
      <w:pPr>
        <w:snapToGrid w:val="0"/>
        <w:jc w:val="center"/>
        <w:rPr>
          <w:color w:val="auto"/>
        </w:rPr>
      </w:pPr>
      <w:r>
        <w:rPr>
          <w:b/>
          <w:color w:val="auto"/>
        </w:rPr>
        <w:t>（本格式编排在招标文件中，供供应商参考，</w:t>
      </w:r>
      <w:r>
        <w:rPr>
          <w:rFonts w:hint="eastAsia"/>
          <w:b/>
          <w:color w:val="auto"/>
        </w:rPr>
        <w:t>响应</w:t>
      </w:r>
      <w:r>
        <w:rPr>
          <w:b/>
          <w:color w:val="auto"/>
        </w:rPr>
        <w:t>时不需填写）</w:t>
      </w:r>
    </w:p>
    <w:p>
      <w:pPr>
        <w:snapToGrid w:val="0"/>
        <w:rPr>
          <w:color w:val="auto"/>
        </w:rPr>
      </w:pPr>
      <w:r>
        <w:rPr>
          <w:color w:val="auto"/>
        </w:rPr>
        <w:t xml:space="preserve"> </w:t>
      </w:r>
    </w:p>
    <w:p>
      <w:pPr>
        <w:snapToGrid w:val="0"/>
        <w:rPr>
          <w:color w:val="auto"/>
        </w:rPr>
      </w:pPr>
      <w:r>
        <w:rPr>
          <w:color w:val="auto"/>
        </w:rPr>
        <w:t xml:space="preserve"> </w:t>
      </w:r>
    </w:p>
    <w:p>
      <w:pPr>
        <w:pStyle w:val="630"/>
        <w:ind w:firstLine="422"/>
        <w:rPr>
          <w:color w:val="auto"/>
        </w:rPr>
      </w:pPr>
      <w:r>
        <w:rPr>
          <w:rFonts w:eastAsia="宋体"/>
          <w:color w:val="auto"/>
        </w:rPr>
        <w:br w:type="page"/>
      </w:r>
      <w:r>
        <w:rPr>
          <w:rFonts w:hint="eastAsia" w:ascii="黑体" w:hAnsi="黑体"/>
          <w:color w:val="auto"/>
        </w:rPr>
        <w:t>附件一：合同协议书格式</w:t>
      </w:r>
    </w:p>
    <w:p>
      <w:pPr>
        <w:snapToGrid w:val="0"/>
        <w:jc w:val="center"/>
        <w:rPr>
          <w:rFonts w:hint="eastAsia" w:ascii="黑体" w:hAnsi="黑体" w:eastAsia="黑体"/>
          <w:color w:val="auto"/>
          <w:sz w:val="28"/>
          <w:szCs w:val="28"/>
        </w:rPr>
      </w:pPr>
      <w:r>
        <w:rPr>
          <w:rFonts w:hint="eastAsia" w:ascii="黑体" w:hAnsi="黑体" w:eastAsia="黑体"/>
          <w:color w:val="auto"/>
          <w:sz w:val="28"/>
          <w:szCs w:val="28"/>
        </w:rPr>
        <w:t>合同协议书</w:t>
      </w:r>
    </w:p>
    <w:p>
      <w:pPr>
        <w:snapToGrid w:val="0"/>
        <w:ind w:firstLine="420" w:firstLineChars="200"/>
        <w:rPr>
          <w:rFonts w:ascii="Cambria" w:hAnsi="Cambria"/>
          <w:color w:val="auto"/>
          <w:szCs w:val="21"/>
        </w:rPr>
      </w:pPr>
      <w:r>
        <w:rPr>
          <w:color w:val="auto"/>
          <w:szCs w:val="21"/>
        </w:rPr>
        <w:t xml:space="preserve">本协议书由 </w:t>
      </w:r>
      <w:r>
        <w:rPr>
          <w:color w:val="auto"/>
          <w:szCs w:val="21"/>
          <w:u w:val="single"/>
        </w:rPr>
        <w:t xml:space="preserve">（发包人全称） </w:t>
      </w:r>
      <w:r>
        <w:rPr>
          <w:color w:val="auto"/>
          <w:szCs w:val="21"/>
        </w:rPr>
        <w:t>（下称“发包人”）为一方，与</w:t>
      </w:r>
      <w:r>
        <w:rPr>
          <w:color w:val="auto"/>
          <w:szCs w:val="21"/>
          <w:u w:val="single"/>
        </w:rPr>
        <w:t>（检测人全称）</w:t>
      </w:r>
      <w:r>
        <w:rPr>
          <w:color w:val="auto"/>
          <w:szCs w:val="21"/>
        </w:rPr>
        <w:t>（下称“检测人”）为另一方于______年____月____日共同订立。</w:t>
      </w:r>
    </w:p>
    <w:p>
      <w:pPr>
        <w:snapToGrid w:val="0"/>
        <w:ind w:firstLine="420" w:firstLineChars="200"/>
        <w:rPr>
          <w:color w:val="auto"/>
          <w:szCs w:val="21"/>
        </w:rPr>
      </w:pPr>
      <w:r>
        <w:rPr>
          <w:color w:val="auto"/>
          <w:szCs w:val="21"/>
        </w:rPr>
        <w:t>鉴于发包人已通过</w:t>
      </w:r>
      <w:r>
        <w:rPr>
          <w:rFonts w:hint="eastAsia"/>
          <w:color w:val="auto"/>
          <w:szCs w:val="21"/>
        </w:rPr>
        <w:t>竞争性磋商</w:t>
      </w:r>
      <w:r>
        <w:rPr>
          <w:color w:val="auto"/>
          <w:szCs w:val="21"/>
        </w:rPr>
        <w:t>确定检测人为_______</w:t>
      </w:r>
      <w:r>
        <w:rPr>
          <w:color w:val="auto"/>
          <w:szCs w:val="21"/>
          <w:u w:val="single"/>
        </w:rPr>
        <w:t xml:space="preserve">      </w:t>
      </w:r>
      <w:r>
        <w:rPr>
          <w:color w:val="auto"/>
          <w:szCs w:val="21"/>
        </w:rPr>
        <w:t>（项目名称）</w:t>
      </w:r>
      <w:r>
        <w:rPr>
          <w:color w:val="auto"/>
          <w:szCs w:val="21"/>
          <w:u w:val="single"/>
        </w:rPr>
        <w:t xml:space="preserve">      </w:t>
      </w:r>
      <w:r>
        <w:rPr>
          <w:color w:val="auto"/>
          <w:szCs w:val="21"/>
        </w:rPr>
        <w:t>标段试验检测标段提供试验检测服务，主要试验检测服务内容：</w:t>
      </w:r>
      <w:r>
        <w:rPr>
          <w:color w:val="auto"/>
          <w:szCs w:val="21"/>
          <w:u w:val="single"/>
        </w:rPr>
        <w:t xml:space="preserve">                      </w:t>
      </w:r>
      <w:r>
        <w:rPr>
          <w:color w:val="auto"/>
          <w:szCs w:val="21"/>
        </w:rPr>
        <w:t>。并已接受了检测人就此提交的</w:t>
      </w:r>
      <w:r>
        <w:rPr>
          <w:rFonts w:hint="eastAsia"/>
          <w:color w:val="auto"/>
          <w:szCs w:val="21"/>
        </w:rPr>
        <w:t>响应</w:t>
      </w:r>
      <w:r>
        <w:rPr>
          <w:color w:val="auto"/>
          <w:szCs w:val="21"/>
        </w:rPr>
        <w:t>文件，为明确双方在合同期间的义务、责任、权利和利益，兹就以下事项达成协议：</w:t>
      </w:r>
    </w:p>
    <w:p>
      <w:pPr>
        <w:snapToGrid w:val="0"/>
        <w:ind w:firstLine="420" w:firstLineChars="200"/>
        <w:rPr>
          <w:color w:val="auto"/>
          <w:szCs w:val="21"/>
        </w:rPr>
      </w:pPr>
      <w:r>
        <w:rPr>
          <w:color w:val="auto"/>
          <w:szCs w:val="21"/>
        </w:rPr>
        <w:t>1.本协议书中的词句和用语与合同条款所规定的定义相同。</w:t>
      </w:r>
    </w:p>
    <w:p>
      <w:pPr>
        <w:snapToGrid w:val="0"/>
        <w:ind w:firstLine="420" w:firstLineChars="200"/>
        <w:rPr>
          <w:color w:val="auto"/>
          <w:szCs w:val="21"/>
        </w:rPr>
      </w:pPr>
      <w:r>
        <w:rPr>
          <w:color w:val="auto"/>
          <w:szCs w:val="21"/>
        </w:rPr>
        <w:t>2.下列文件是本协议书的组成部分，应作为协议书的有效内容予以遵守和执行。组成合同的各个文件按以下次序，以在先者为准。</w:t>
      </w:r>
    </w:p>
    <w:p>
      <w:pPr>
        <w:snapToGrid w:val="0"/>
        <w:ind w:firstLine="420" w:firstLineChars="200"/>
        <w:rPr>
          <w:color w:val="auto"/>
          <w:szCs w:val="21"/>
        </w:rPr>
      </w:pPr>
      <w:r>
        <w:rPr>
          <w:color w:val="auto"/>
          <w:szCs w:val="21"/>
        </w:rPr>
        <w:t>(1) 本合同协议书及附件（含廉政合同、安全生产合同及合同谈判中澄清文件和补充资料）；</w:t>
      </w:r>
    </w:p>
    <w:p>
      <w:pPr>
        <w:snapToGrid w:val="0"/>
        <w:ind w:firstLine="420" w:firstLineChars="200"/>
        <w:rPr>
          <w:color w:val="auto"/>
          <w:szCs w:val="21"/>
        </w:rPr>
      </w:pPr>
      <w:r>
        <w:rPr>
          <w:color w:val="auto"/>
          <w:szCs w:val="21"/>
        </w:rPr>
        <w:t xml:space="preserve">(2) </w:t>
      </w:r>
      <w:r>
        <w:rPr>
          <w:rFonts w:hint="eastAsia"/>
          <w:color w:val="auto"/>
          <w:szCs w:val="21"/>
        </w:rPr>
        <w:t>成交</w:t>
      </w:r>
      <w:r>
        <w:rPr>
          <w:color w:val="auto"/>
          <w:szCs w:val="21"/>
        </w:rPr>
        <w:t>通知书；</w:t>
      </w:r>
    </w:p>
    <w:p>
      <w:pPr>
        <w:snapToGrid w:val="0"/>
        <w:ind w:firstLine="420" w:firstLineChars="200"/>
        <w:rPr>
          <w:color w:val="auto"/>
          <w:szCs w:val="21"/>
        </w:rPr>
      </w:pPr>
      <w:r>
        <w:rPr>
          <w:color w:val="auto"/>
          <w:szCs w:val="21"/>
        </w:rPr>
        <w:t xml:space="preserve">(3) </w:t>
      </w:r>
      <w:r>
        <w:rPr>
          <w:rFonts w:hint="eastAsia"/>
          <w:color w:val="auto"/>
          <w:szCs w:val="21"/>
        </w:rPr>
        <w:t>响应</w:t>
      </w:r>
      <w:r>
        <w:rPr>
          <w:color w:val="auto"/>
          <w:szCs w:val="21"/>
        </w:rPr>
        <w:t xml:space="preserve">函； </w:t>
      </w:r>
    </w:p>
    <w:p>
      <w:pPr>
        <w:snapToGrid w:val="0"/>
        <w:ind w:firstLine="420" w:firstLineChars="200"/>
        <w:rPr>
          <w:color w:val="auto"/>
          <w:szCs w:val="21"/>
        </w:rPr>
      </w:pPr>
      <w:r>
        <w:rPr>
          <w:color w:val="auto"/>
          <w:szCs w:val="21"/>
        </w:rPr>
        <w:t>(4) 专用合同条款（含招标文件补遗书中与此有关的部分）；</w:t>
      </w:r>
    </w:p>
    <w:p>
      <w:pPr>
        <w:snapToGrid w:val="0"/>
        <w:ind w:firstLine="420" w:firstLineChars="200"/>
        <w:rPr>
          <w:color w:val="auto"/>
          <w:szCs w:val="21"/>
        </w:rPr>
      </w:pPr>
      <w:r>
        <w:rPr>
          <w:color w:val="auto"/>
          <w:szCs w:val="21"/>
        </w:rPr>
        <w:t>(5) 通用合同条款；</w:t>
      </w:r>
    </w:p>
    <w:p>
      <w:pPr>
        <w:snapToGrid w:val="0"/>
        <w:ind w:firstLine="420" w:firstLineChars="200"/>
        <w:rPr>
          <w:color w:val="auto"/>
          <w:szCs w:val="21"/>
        </w:rPr>
      </w:pPr>
      <w:r>
        <w:rPr>
          <w:color w:val="auto"/>
          <w:szCs w:val="21"/>
        </w:rPr>
        <w:t>(6) 试验检测技术规范和要求（含招标文件补遗书中与此有关的部分）；</w:t>
      </w:r>
    </w:p>
    <w:p>
      <w:pPr>
        <w:snapToGrid w:val="0"/>
        <w:ind w:firstLine="420" w:firstLineChars="200"/>
        <w:rPr>
          <w:color w:val="auto"/>
          <w:szCs w:val="21"/>
        </w:rPr>
      </w:pPr>
      <w:r>
        <w:rPr>
          <w:color w:val="auto"/>
          <w:szCs w:val="21"/>
        </w:rPr>
        <w:t>(7) 试验检测实施方案；</w:t>
      </w:r>
    </w:p>
    <w:p>
      <w:pPr>
        <w:snapToGrid w:val="0"/>
        <w:ind w:firstLine="420" w:firstLineChars="200"/>
        <w:rPr>
          <w:color w:val="auto"/>
          <w:szCs w:val="21"/>
        </w:rPr>
      </w:pPr>
      <w:r>
        <w:rPr>
          <w:color w:val="auto"/>
          <w:szCs w:val="21"/>
        </w:rPr>
        <w:t>(8) 已标价的报价清单；</w:t>
      </w:r>
    </w:p>
    <w:p>
      <w:pPr>
        <w:snapToGrid w:val="0"/>
        <w:ind w:firstLine="420" w:firstLineChars="200"/>
        <w:rPr>
          <w:color w:val="auto"/>
          <w:szCs w:val="21"/>
        </w:rPr>
      </w:pPr>
      <w:r>
        <w:rPr>
          <w:color w:val="auto"/>
          <w:szCs w:val="21"/>
        </w:rPr>
        <w:t>(9) 资格审查资料；</w:t>
      </w:r>
    </w:p>
    <w:p>
      <w:pPr>
        <w:snapToGrid w:val="0"/>
        <w:ind w:firstLine="420" w:firstLineChars="200"/>
        <w:rPr>
          <w:color w:val="auto"/>
          <w:szCs w:val="21"/>
        </w:rPr>
      </w:pPr>
      <w:r>
        <w:rPr>
          <w:color w:val="auto"/>
          <w:szCs w:val="21"/>
        </w:rPr>
        <w:t>(10) 构成本合同组成部分的其他文件。</w:t>
      </w:r>
    </w:p>
    <w:p>
      <w:pPr>
        <w:snapToGrid w:val="0"/>
        <w:ind w:firstLine="420" w:firstLineChars="200"/>
        <w:rPr>
          <w:color w:val="auto"/>
          <w:szCs w:val="21"/>
        </w:rPr>
      </w:pPr>
      <w:r>
        <w:rPr>
          <w:color w:val="auto"/>
          <w:szCs w:val="21"/>
        </w:rPr>
        <w:t>3.本合同的试验检测服务费用总额为人民币（大写）</w:t>
      </w:r>
      <w:r>
        <w:rPr>
          <w:color w:val="auto"/>
          <w:szCs w:val="21"/>
          <w:u w:val="single"/>
        </w:rPr>
        <w:t xml:space="preserve">          </w:t>
      </w:r>
      <w:r>
        <w:rPr>
          <w:color w:val="auto"/>
          <w:szCs w:val="21"/>
        </w:rPr>
        <w:t>元（¥</w:t>
      </w:r>
      <w:r>
        <w:rPr>
          <w:color w:val="auto"/>
          <w:szCs w:val="21"/>
          <w:u w:val="single"/>
        </w:rPr>
        <w:t xml:space="preserve">          </w:t>
      </w:r>
      <w:r>
        <w:rPr>
          <w:color w:val="auto"/>
          <w:szCs w:val="21"/>
        </w:rPr>
        <w:t>）。</w:t>
      </w:r>
    </w:p>
    <w:p>
      <w:pPr>
        <w:snapToGrid w:val="0"/>
        <w:ind w:firstLine="420" w:firstLineChars="200"/>
        <w:rPr>
          <w:color w:val="auto"/>
          <w:szCs w:val="21"/>
        </w:rPr>
      </w:pPr>
      <w:r>
        <w:rPr>
          <w:color w:val="auto"/>
          <w:szCs w:val="21"/>
        </w:rPr>
        <w:t>4.试验检测服务期：</w:t>
      </w:r>
      <w:r>
        <w:rPr>
          <w:color w:val="auto"/>
          <w:szCs w:val="21"/>
          <w:u w:val="single"/>
        </w:rPr>
        <w:t xml:space="preserve">                      </w:t>
      </w:r>
      <w:r>
        <w:rPr>
          <w:color w:val="auto"/>
          <w:szCs w:val="21"/>
        </w:rPr>
        <w:t>。</w:t>
      </w:r>
    </w:p>
    <w:p>
      <w:pPr>
        <w:snapToGrid w:val="0"/>
        <w:ind w:firstLine="420" w:firstLineChars="200"/>
        <w:rPr>
          <w:color w:val="auto"/>
          <w:szCs w:val="21"/>
        </w:rPr>
      </w:pPr>
      <w:r>
        <w:rPr>
          <w:color w:val="auto"/>
          <w:szCs w:val="21"/>
        </w:rPr>
        <w:t>5.项目负责人：</w:t>
      </w:r>
      <w:r>
        <w:rPr>
          <w:color w:val="auto"/>
          <w:szCs w:val="21"/>
          <w:u w:val="single"/>
        </w:rPr>
        <w:t xml:space="preserve">                      </w:t>
      </w:r>
      <w:r>
        <w:rPr>
          <w:color w:val="auto"/>
          <w:szCs w:val="21"/>
        </w:rPr>
        <w:t>。</w:t>
      </w:r>
    </w:p>
    <w:p>
      <w:pPr>
        <w:snapToGrid w:val="0"/>
        <w:ind w:firstLine="420" w:firstLineChars="200"/>
        <w:rPr>
          <w:color w:val="auto"/>
          <w:szCs w:val="21"/>
        </w:rPr>
      </w:pPr>
      <w:r>
        <w:rPr>
          <w:color w:val="auto"/>
          <w:szCs w:val="21"/>
        </w:rPr>
        <w:t>6.发包人在此同意按照本合同规定的期限和方式，向检测人支付根据检测合同规定应支付的费用和提供工作条件。</w:t>
      </w:r>
    </w:p>
    <w:p>
      <w:pPr>
        <w:snapToGrid w:val="0"/>
        <w:ind w:firstLine="420" w:firstLineChars="200"/>
        <w:rPr>
          <w:color w:val="auto"/>
          <w:szCs w:val="21"/>
        </w:rPr>
      </w:pPr>
      <w:r>
        <w:rPr>
          <w:color w:val="auto"/>
          <w:szCs w:val="21"/>
        </w:rPr>
        <w:t>7.检测人基于发包人的上述保证，在此向发包人承诺按照本合同的规定履行检测服务。</w:t>
      </w:r>
    </w:p>
    <w:p>
      <w:pPr>
        <w:snapToGrid w:val="0"/>
        <w:ind w:firstLine="420" w:firstLineChars="200"/>
        <w:rPr>
          <w:color w:val="auto"/>
          <w:szCs w:val="21"/>
        </w:rPr>
      </w:pPr>
      <w:r>
        <w:rPr>
          <w:color w:val="auto"/>
          <w:szCs w:val="21"/>
        </w:rPr>
        <w:t>8.本协议书由双方法定代表人或其授权的代理人签署并加盖单位章后生效。试验检测服务工作全部完成并通过发包人对试验检测报告的认可，同时试验检测服务费用按照合同的规定全部结清后，本协议书自动失效。</w:t>
      </w:r>
    </w:p>
    <w:p>
      <w:pPr>
        <w:snapToGrid w:val="0"/>
        <w:ind w:firstLine="420" w:firstLineChars="200"/>
        <w:rPr>
          <w:color w:val="auto"/>
          <w:szCs w:val="21"/>
        </w:rPr>
      </w:pPr>
      <w:r>
        <w:rPr>
          <w:color w:val="auto"/>
          <w:szCs w:val="21"/>
        </w:rPr>
        <w:t>9. 本协议书正本一式两份，合同双方各执一份，具有同等法律效力。协议书副本八份，双方各执四份。当正本与副本的内容不一致时，以正本为准。</w:t>
      </w:r>
    </w:p>
    <w:p>
      <w:pPr>
        <w:snapToGrid w:val="0"/>
        <w:rPr>
          <w:color w:val="auto"/>
          <w:szCs w:val="21"/>
        </w:rPr>
      </w:pPr>
      <w:r>
        <w:rPr>
          <w:color w:val="auto"/>
          <w:szCs w:val="21"/>
        </w:rPr>
        <w:t xml:space="preserve"> </w:t>
      </w:r>
    </w:p>
    <w:p>
      <w:pPr>
        <w:snapToGrid w:val="0"/>
        <w:rPr>
          <w:color w:val="auto"/>
          <w:szCs w:val="21"/>
        </w:rPr>
      </w:pPr>
      <w:r>
        <w:rPr>
          <w:color w:val="auto"/>
          <w:szCs w:val="21"/>
        </w:rPr>
        <w:t xml:space="preserve"> </w:t>
      </w:r>
    </w:p>
    <w:p>
      <w:pPr>
        <w:snapToGrid w:val="0"/>
        <w:rPr>
          <w:color w:val="auto"/>
          <w:szCs w:val="21"/>
        </w:rPr>
      </w:pPr>
      <w:r>
        <w:rPr>
          <w:color w:val="auto"/>
          <w:szCs w:val="21"/>
        </w:rPr>
        <w:t>发包人：</w:t>
      </w:r>
      <w:r>
        <w:rPr>
          <w:color w:val="auto"/>
          <w:szCs w:val="21"/>
          <w:u w:val="single"/>
        </w:rPr>
        <w:t>（单位全称）     （盖章）</w:t>
      </w:r>
      <w:r>
        <w:rPr>
          <w:color w:val="auto"/>
          <w:szCs w:val="21"/>
        </w:rPr>
        <w:t xml:space="preserve">       检测人：</w:t>
      </w:r>
      <w:r>
        <w:rPr>
          <w:color w:val="auto"/>
          <w:szCs w:val="21"/>
          <w:u w:val="single"/>
        </w:rPr>
        <w:t xml:space="preserve">（单位全称）（盖章） </w:t>
      </w:r>
    </w:p>
    <w:p>
      <w:pPr>
        <w:snapToGrid w:val="0"/>
        <w:rPr>
          <w:color w:val="auto"/>
          <w:szCs w:val="21"/>
        </w:rPr>
      </w:pPr>
      <w:r>
        <w:rPr>
          <w:color w:val="auto"/>
          <w:szCs w:val="21"/>
        </w:rPr>
        <w:t xml:space="preserve"> </w:t>
      </w:r>
    </w:p>
    <w:p>
      <w:pPr>
        <w:snapToGrid w:val="0"/>
        <w:rPr>
          <w:color w:val="auto"/>
          <w:szCs w:val="21"/>
        </w:rPr>
      </w:pPr>
      <w:r>
        <w:rPr>
          <w:color w:val="auto"/>
          <w:szCs w:val="21"/>
        </w:rPr>
        <w:t>法定代表人                             法定代表人</w:t>
      </w:r>
    </w:p>
    <w:p>
      <w:pPr>
        <w:snapToGrid w:val="0"/>
        <w:rPr>
          <w:color w:val="auto"/>
          <w:szCs w:val="21"/>
        </w:rPr>
      </w:pPr>
      <w:r>
        <w:rPr>
          <w:color w:val="auto"/>
          <w:szCs w:val="21"/>
        </w:rPr>
        <w:t xml:space="preserve">     或                                  或</w:t>
      </w:r>
    </w:p>
    <w:p>
      <w:pPr>
        <w:snapToGrid w:val="0"/>
        <w:rPr>
          <w:color w:val="auto"/>
          <w:szCs w:val="21"/>
          <w:u w:val="single"/>
        </w:rPr>
      </w:pPr>
      <w:r>
        <w:rPr>
          <w:color w:val="auto"/>
          <w:szCs w:val="21"/>
        </w:rPr>
        <w:t xml:space="preserve">其授权的代理人 </w:t>
      </w:r>
      <w:r>
        <w:rPr>
          <w:color w:val="auto"/>
          <w:szCs w:val="21"/>
          <w:u w:val="single"/>
        </w:rPr>
        <w:t xml:space="preserve">  （签名）  </w:t>
      </w:r>
      <w:r>
        <w:rPr>
          <w:color w:val="auto"/>
          <w:szCs w:val="21"/>
        </w:rPr>
        <w:t xml:space="preserve">            其授权的代理人 </w:t>
      </w:r>
      <w:r>
        <w:rPr>
          <w:color w:val="auto"/>
          <w:szCs w:val="21"/>
          <w:u w:val="single"/>
        </w:rPr>
        <w:t xml:space="preserve">  （签名）  </w:t>
      </w:r>
    </w:p>
    <w:p>
      <w:pPr>
        <w:snapToGrid w:val="0"/>
        <w:rPr>
          <w:color w:val="auto"/>
          <w:szCs w:val="21"/>
          <w:u w:val="single"/>
        </w:rPr>
      </w:pPr>
      <w:r>
        <w:rPr>
          <w:color w:val="auto"/>
          <w:szCs w:val="21"/>
        </w:rPr>
        <w:t xml:space="preserve">              </w:t>
      </w:r>
    </w:p>
    <w:p>
      <w:pPr>
        <w:snapToGrid w:val="0"/>
        <w:rPr>
          <w:color w:val="auto"/>
          <w:szCs w:val="21"/>
        </w:rPr>
      </w:pPr>
      <w:r>
        <w:rPr>
          <w:color w:val="auto"/>
          <w:szCs w:val="21"/>
        </w:rPr>
        <w:t xml:space="preserve"> </w:t>
      </w:r>
    </w:p>
    <w:p>
      <w:pPr>
        <w:snapToGrid w:val="0"/>
        <w:rPr>
          <w:color w:val="auto"/>
          <w:szCs w:val="21"/>
        </w:rPr>
      </w:pPr>
      <w:r>
        <w:rPr>
          <w:color w:val="auto"/>
          <w:szCs w:val="21"/>
        </w:rPr>
        <w:t>单位地址：</w:t>
      </w:r>
      <w:r>
        <w:rPr>
          <w:color w:val="auto"/>
          <w:szCs w:val="21"/>
          <w:u w:val="single"/>
        </w:rPr>
        <w:t xml:space="preserve">                    </w:t>
      </w:r>
      <w:r>
        <w:rPr>
          <w:color w:val="auto"/>
          <w:szCs w:val="21"/>
        </w:rPr>
        <w:t xml:space="preserve">        单位地址：</w:t>
      </w:r>
      <w:r>
        <w:rPr>
          <w:color w:val="auto"/>
          <w:szCs w:val="21"/>
          <w:u w:val="single"/>
        </w:rPr>
        <w:t xml:space="preserve">                    </w:t>
      </w:r>
      <w:r>
        <w:rPr>
          <w:color w:val="auto"/>
          <w:szCs w:val="21"/>
        </w:rPr>
        <w:t xml:space="preserve">  </w:t>
      </w:r>
    </w:p>
    <w:p>
      <w:pPr>
        <w:snapToGrid w:val="0"/>
        <w:rPr>
          <w:color w:val="auto"/>
          <w:szCs w:val="21"/>
        </w:rPr>
      </w:pPr>
      <w:r>
        <w:rPr>
          <w:color w:val="auto"/>
          <w:szCs w:val="21"/>
        </w:rPr>
        <w:t>邮    编：</w:t>
      </w:r>
      <w:r>
        <w:rPr>
          <w:color w:val="auto"/>
          <w:szCs w:val="21"/>
          <w:u w:val="single"/>
        </w:rPr>
        <w:t xml:space="preserve">                    </w:t>
      </w:r>
      <w:r>
        <w:rPr>
          <w:color w:val="auto"/>
          <w:szCs w:val="21"/>
        </w:rPr>
        <w:t xml:space="preserve">        邮    编：</w:t>
      </w:r>
      <w:r>
        <w:rPr>
          <w:color w:val="auto"/>
          <w:szCs w:val="21"/>
          <w:u w:val="single"/>
        </w:rPr>
        <w:t xml:space="preserve">                     </w:t>
      </w:r>
    </w:p>
    <w:p>
      <w:pPr>
        <w:snapToGrid w:val="0"/>
        <w:rPr>
          <w:color w:val="auto"/>
          <w:szCs w:val="21"/>
        </w:rPr>
      </w:pPr>
      <w:r>
        <w:rPr>
          <w:color w:val="auto"/>
          <w:szCs w:val="21"/>
        </w:rPr>
        <w:t>联系电话：</w:t>
      </w:r>
      <w:r>
        <w:rPr>
          <w:color w:val="auto"/>
          <w:szCs w:val="21"/>
          <w:u w:val="single"/>
        </w:rPr>
        <w:t xml:space="preserve">                     </w:t>
      </w:r>
      <w:r>
        <w:rPr>
          <w:color w:val="auto"/>
          <w:szCs w:val="21"/>
        </w:rPr>
        <w:t xml:space="preserve">       联系电话：</w:t>
      </w:r>
      <w:r>
        <w:rPr>
          <w:color w:val="auto"/>
          <w:szCs w:val="21"/>
          <w:u w:val="single"/>
        </w:rPr>
        <w:t xml:space="preserve">                     </w:t>
      </w:r>
    </w:p>
    <w:p>
      <w:pPr>
        <w:snapToGrid w:val="0"/>
        <w:rPr>
          <w:color w:val="auto"/>
          <w:szCs w:val="21"/>
        </w:rPr>
      </w:pPr>
      <w:r>
        <w:rPr>
          <w:color w:val="auto"/>
          <w:szCs w:val="21"/>
        </w:rPr>
        <w:t>开户银行：</w:t>
      </w:r>
      <w:r>
        <w:rPr>
          <w:color w:val="auto"/>
          <w:szCs w:val="21"/>
          <w:u w:val="single"/>
        </w:rPr>
        <w:t xml:space="preserve">                     </w:t>
      </w:r>
      <w:r>
        <w:rPr>
          <w:color w:val="auto"/>
          <w:szCs w:val="21"/>
        </w:rPr>
        <w:t xml:space="preserve">       开户银行：</w:t>
      </w:r>
      <w:r>
        <w:rPr>
          <w:color w:val="auto"/>
          <w:szCs w:val="21"/>
          <w:u w:val="single"/>
        </w:rPr>
        <w:t xml:space="preserve">                     </w:t>
      </w:r>
      <w:r>
        <w:rPr>
          <w:color w:val="auto"/>
          <w:szCs w:val="21"/>
        </w:rPr>
        <w:t xml:space="preserve"> </w:t>
      </w:r>
    </w:p>
    <w:p>
      <w:pPr>
        <w:snapToGrid w:val="0"/>
        <w:rPr>
          <w:color w:val="auto"/>
          <w:szCs w:val="21"/>
        </w:rPr>
      </w:pPr>
      <w:r>
        <w:rPr>
          <w:color w:val="auto"/>
          <w:szCs w:val="21"/>
        </w:rPr>
        <w:t>帐    号：</w:t>
      </w:r>
      <w:r>
        <w:rPr>
          <w:color w:val="auto"/>
          <w:szCs w:val="21"/>
          <w:u w:val="single"/>
        </w:rPr>
        <w:t xml:space="preserve">                     </w:t>
      </w:r>
      <w:r>
        <w:rPr>
          <w:color w:val="auto"/>
          <w:szCs w:val="21"/>
        </w:rPr>
        <w:t xml:space="preserve">       帐    号：</w:t>
      </w:r>
      <w:r>
        <w:rPr>
          <w:color w:val="auto"/>
          <w:szCs w:val="21"/>
          <w:u w:val="single"/>
        </w:rPr>
        <w:t xml:space="preserve">                     </w:t>
      </w:r>
      <w:r>
        <w:rPr>
          <w:color w:val="auto"/>
          <w:szCs w:val="21"/>
        </w:rPr>
        <w:t xml:space="preserve"> </w:t>
      </w:r>
    </w:p>
    <w:p>
      <w:pPr>
        <w:snapToGrid w:val="0"/>
        <w:rPr>
          <w:color w:val="auto"/>
          <w:szCs w:val="21"/>
        </w:rPr>
      </w:pPr>
      <w:r>
        <w:rPr>
          <w:color w:val="auto"/>
          <w:szCs w:val="21"/>
        </w:rPr>
        <w:t>签订日期：     年   月   日           签订日期：     年   月   日</w:t>
      </w:r>
    </w:p>
    <w:p>
      <w:pPr>
        <w:pStyle w:val="630"/>
        <w:ind w:firstLine="422"/>
        <w:rPr>
          <w:color w:val="auto"/>
        </w:rPr>
      </w:pPr>
      <w:r>
        <w:rPr>
          <w:rFonts w:eastAsia="宋体"/>
          <w:color w:val="auto"/>
        </w:rPr>
        <w:br w:type="page"/>
      </w:r>
      <w:r>
        <w:rPr>
          <w:rFonts w:hint="eastAsia" w:ascii="黑体" w:hAnsi="黑体"/>
          <w:color w:val="auto"/>
        </w:rPr>
        <w:t>附件二：廉政合同格式</w:t>
      </w:r>
    </w:p>
    <w:p>
      <w:pPr>
        <w:snapToGrid w:val="0"/>
        <w:jc w:val="center"/>
        <w:rPr>
          <w:rFonts w:hint="eastAsia" w:ascii="黑体" w:hAnsi="黑体" w:eastAsia="黑体"/>
          <w:color w:val="auto"/>
          <w:sz w:val="28"/>
          <w:szCs w:val="28"/>
        </w:rPr>
      </w:pPr>
      <w:r>
        <w:rPr>
          <w:rFonts w:hint="eastAsia" w:ascii="黑体" w:hAnsi="黑体" w:eastAsia="黑体"/>
          <w:color w:val="auto"/>
          <w:sz w:val="28"/>
          <w:szCs w:val="28"/>
        </w:rPr>
        <w:t>廉政合同</w:t>
      </w:r>
    </w:p>
    <w:p>
      <w:pPr>
        <w:snapToGrid w:val="0"/>
        <w:ind w:firstLine="420" w:firstLineChars="200"/>
        <w:rPr>
          <w:rFonts w:ascii="Cambria" w:hAnsi="Cambria"/>
          <w:color w:val="auto"/>
          <w:szCs w:val="21"/>
        </w:rPr>
      </w:pPr>
      <w:r>
        <w:rPr>
          <w:color w:val="auto"/>
          <w:szCs w:val="21"/>
        </w:rPr>
        <w:t>根据《在交通基础设施建设中加强廉政建设的若干意见》以及有关工程建设、廉政建设的规定，为做好工程建设中的党风廉政建设，保证工程建设高效优质，保证建设资金的安全和有效使用以及投资效益，</w:t>
      </w:r>
      <w:r>
        <w:rPr>
          <w:color w:val="auto"/>
          <w:szCs w:val="21"/>
          <w:u w:val="single"/>
        </w:rPr>
        <w:t xml:space="preserve">           </w:t>
      </w:r>
      <w:r>
        <w:rPr>
          <w:color w:val="auto"/>
          <w:szCs w:val="21"/>
        </w:rPr>
        <w:t>（项目名称）的发包人</w:t>
      </w:r>
      <w:r>
        <w:rPr>
          <w:color w:val="auto"/>
          <w:szCs w:val="21"/>
          <w:u w:val="single"/>
        </w:rPr>
        <w:t xml:space="preserve">           </w:t>
      </w:r>
      <w:r>
        <w:rPr>
          <w:color w:val="auto"/>
          <w:szCs w:val="21"/>
        </w:rPr>
        <w:t>(发包人全称，以下简称“甲方”)与该工程</w:t>
      </w:r>
      <w:r>
        <w:rPr>
          <w:color w:val="auto"/>
          <w:szCs w:val="21"/>
          <w:u w:val="single"/>
        </w:rPr>
        <w:t xml:space="preserve">   </w:t>
      </w:r>
      <w:r>
        <w:rPr>
          <w:color w:val="auto"/>
          <w:szCs w:val="21"/>
        </w:rPr>
        <w:t>检测人</w:t>
      </w:r>
      <w:r>
        <w:rPr>
          <w:color w:val="auto"/>
          <w:szCs w:val="21"/>
          <w:u w:val="single"/>
        </w:rPr>
        <w:t xml:space="preserve">             </w:t>
      </w:r>
      <w:r>
        <w:rPr>
          <w:color w:val="auto"/>
          <w:szCs w:val="21"/>
        </w:rPr>
        <w:t xml:space="preserve"> (检测人全称，以下简称“乙方”)，特订立如下合同。 </w:t>
      </w:r>
    </w:p>
    <w:p>
      <w:pPr>
        <w:snapToGrid w:val="0"/>
        <w:ind w:firstLine="420" w:firstLineChars="200"/>
        <w:rPr>
          <w:color w:val="auto"/>
          <w:szCs w:val="21"/>
        </w:rPr>
      </w:pPr>
      <w:r>
        <w:rPr>
          <w:color w:val="auto"/>
          <w:szCs w:val="21"/>
        </w:rPr>
        <w:t xml:space="preserve">第一条  甲乙双方的权利和义务 </w:t>
      </w:r>
    </w:p>
    <w:p>
      <w:pPr>
        <w:snapToGrid w:val="0"/>
        <w:ind w:firstLine="420" w:firstLineChars="200"/>
        <w:rPr>
          <w:color w:val="auto"/>
          <w:szCs w:val="21"/>
        </w:rPr>
      </w:pPr>
      <w:r>
        <w:rPr>
          <w:color w:val="auto"/>
          <w:szCs w:val="21"/>
        </w:rPr>
        <w:t xml:space="preserve">(一) 严格遵守党的政策规定和国家有关法律法规及交通运输部和浙江省交通运输厅的有关规定。 </w:t>
      </w:r>
    </w:p>
    <w:p>
      <w:pPr>
        <w:snapToGrid w:val="0"/>
        <w:ind w:firstLine="420" w:firstLineChars="200"/>
        <w:rPr>
          <w:color w:val="auto"/>
          <w:szCs w:val="21"/>
        </w:rPr>
      </w:pPr>
      <w:r>
        <w:rPr>
          <w:color w:val="auto"/>
          <w:szCs w:val="21"/>
        </w:rPr>
        <w:t>(二) 严格执行_______</w:t>
      </w:r>
      <w:r>
        <w:rPr>
          <w:color w:val="auto"/>
          <w:szCs w:val="21"/>
          <w:u w:val="single"/>
        </w:rPr>
        <w:t xml:space="preserve">      </w:t>
      </w:r>
      <w:r>
        <w:rPr>
          <w:color w:val="auto"/>
          <w:szCs w:val="21"/>
        </w:rPr>
        <w:t>（项目名称）</w:t>
      </w:r>
      <w:r>
        <w:rPr>
          <w:color w:val="auto"/>
          <w:szCs w:val="21"/>
          <w:u w:val="single"/>
        </w:rPr>
        <w:t xml:space="preserve">      </w:t>
      </w:r>
      <w:r>
        <w:rPr>
          <w:color w:val="auto"/>
          <w:szCs w:val="21"/>
        </w:rPr>
        <w:t>标段试验检测合同文件，自觉按合同办事。</w:t>
      </w:r>
    </w:p>
    <w:p>
      <w:pPr>
        <w:snapToGrid w:val="0"/>
        <w:ind w:firstLine="420" w:firstLineChars="200"/>
        <w:rPr>
          <w:color w:val="auto"/>
          <w:szCs w:val="21"/>
        </w:rPr>
      </w:pPr>
      <w:r>
        <w:rPr>
          <w:color w:val="auto"/>
          <w:szCs w:val="21"/>
        </w:rPr>
        <w:t xml:space="preserve">(三) 双方的业务活动坚持公开、公正、诚信、透明的原则(法律认定的商业秘密和合同文件另有规定除外)，不得损害国家和集体利益，不得违反工程建设管理规章制度。 </w:t>
      </w:r>
    </w:p>
    <w:p>
      <w:pPr>
        <w:snapToGrid w:val="0"/>
        <w:ind w:firstLine="420" w:firstLineChars="200"/>
        <w:rPr>
          <w:color w:val="auto"/>
          <w:szCs w:val="21"/>
        </w:rPr>
      </w:pPr>
      <w:r>
        <w:rPr>
          <w:color w:val="auto"/>
          <w:szCs w:val="21"/>
        </w:rPr>
        <w:t xml:space="preserve">(四) 建立健全廉政制度，开展廉政教育，设立廉政告示牌，公布举报电话，监督并认真查处违法违纪行为。 </w:t>
      </w:r>
    </w:p>
    <w:p>
      <w:pPr>
        <w:snapToGrid w:val="0"/>
        <w:ind w:firstLine="420" w:firstLineChars="200"/>
        <w:rPr>
          <w:color w:val="auto"/>
          <w:szCs w:val="21"/>
        </w:rPr>
      </w:pPr>
      <w:r>
        <w:rPr>
          <w:color w:val="auto"/>
          <w:szCs w:val="21"/>
        </w:rPr>
        <w:t>(五) 发现对方在业务活动中有违反廉政规定的行为，有及时提醒对方纠正的权利和义务。</w:t>
      </w:r>
    </w:p>
    <w:p>
      <w:pPr>
        <w:snapToGrid w:val="0"/>
        <w:ind w:firstLine="420" w:firstLineChars="200"/>
        <w:rPr>
          <w:color w:val="auto"/>
          <w:szCs w:val="21"/>
        </w:rPr>
      </w:pPr>
      <w:r>
        <w:rPr>
          <w:color w:val="auto"/>
          <w:szCs w:val="21"/>
        </w:rPr>
        <w:t xml:space="preserve">(六) 发现对方严重违反本合同义务条款的行为，有向其上级有关部门举报、建议给予处理并要求告知处理结果的权利。 </w:t>
      </w:r>
    </w:p>
    <w:p>
      <w:pPr>
        <w:snapToGrid w:val="0"/>
        <w:ind w:firstLine="420" w:firstLineChars="200"/>
        <w:rPr>
          <w:color w:val="auto"/>
          <w:szCs w:val="21"/>
        </w:rPr>
      </w:pPr>
      <w:r>
        <w:rPr>
          <w:color w:val="auto"/>
          <w:szCs w:val="21"/>
        </w:rPr>
        <w:t xml:space="preserve">第二条  甲方的义务 </w:t>
      </w:r>
    </w:p>
    <w:p>
      <w:pPr>
        <w:snapToGrid w:val="0"/>
        <w:ind w:firstLine="420" w:firstLineChars="200"/>
        <w:rPr>
          <w:color w:val="auto"/>
          <w:szCs w:val="21"/>
        </w:rPr>
      </w:pPr>
      <w:r>
        <w:rPr>
          <w:color w:val="auto"/>
          <w:szCs w:val="21"/>
        </w:rPr>
        <w:t xml:space="preserve">(一) 甲方及其工作人员不得索要或接受乙方的礼金、有价证券和贵重物品，不得在乙方报销任何应由甲方或甲方工作人员个人支付的费用等。 </w:t>
      </w:r>
    </w:p>
    <w:p>
      <w:pPr>
        <w:snapToGrid w:val="0"/>
        <w:ind w:firstLine="420" w:firstLineChars="200"/>
        <w:rPr>
          <w:color w:val="auto"/>
          <w:szCs w:val="21"/>
        </w:rPr>
      </w:pPr>
      <w:r>
        <w:rPr>
          <w:color w:val="auto"/>
          <w:szCs w:val="21"/>
        </w:rPr>
        <w:t>(二) 甲方工作人员不得参加乙方安排的超标准宴请和娱乐活动；不得接受乙方提供的通讯工具、交通工具和高档办公用品等。</w:t>
      </w:r>
    </w:p>
    <w:p>
      <w:pPr>
        <w:snapToGrid w:val="0"/>
        <w:ind w:firstLine="420" w:firstLineChars="200"/>
        <w:rPr>
          <w:color w:val="auto"/>
          <w:szCs w:val="21"/>
        </w:rPr>
      </w:pPr>
      <w:r>
        <w:rPr>
          <w:color w:val="auto"/>
          <w:szCs w:val="21"/>
        </w:rPr>
        <w:t xml:space="preserve">(三) 甲方及其工作人员不得要求或者接受乙方为其住房装修、婚丧嫁娶活动、配偶子女及其亲属的工作安排以及出国出境、旅游等提供方便等。 </w:t>
      </w:r>
    </w:p>
    <w:p>
      <w:pPr>
        <w:snapToGrid w:val="0"/>
        <w:ind w:firstLine="420" w:firstLineChars="200"/>
        <w:rPr>
          <w:color w:val="auto"/>
          <w:szCs w:val="21"/>
        </w:rPr>
      </w:pPr>
      <w:r>
        <w:rPr>
          <w:color w:val="auto"/>
          <w:szCs w:val="21"/>
        </w:rPr>
        <w:t xml:space="preserve">(四) 不准向乙方和相关单位介绍或为配偶、子女、亲属参与同本试验检测合同有关的试验检测业务等活动。不得以任何理由要求乙方和相关单位在试验检测中使用某种产品、材料和设备。 </w:t>
      </w:r>
    </w:p>
    <w:p>
      <w:pPr>
        <w:snapToGrid w:val="0"/>
        <w:ind w:firstLine="420" w:firstLineChars="200"/>
        <w:rPr>
          <w:color w:val="auto"/>
          <w:szCs w:val="21"/>
        </w:rPr>
      </w:pPr>
      <w:r>
        <w:rPr>
          <w:color w:val="auto"/>
          <w:szCs w:val="21"/>
        </w:rPr>
        <w:t xml:space="preserve">第三条  乙方的义务 </w:t>
      </w:r>
    </w:p>
    <w:p>
      <w:pPr>
        <w:snapToGrid w:val="0"/>
        <w:ind w:firstLine="420" w:firstLineChars="200"/>
        <w:rPr>
          <w:color w:val="auto"/>
          <w:szCs w:val="21"/>
        </w:rPr>
      </w:pPr>
      <w:r>
        <w:rPr>
          <w:color w:val="auto"/>
          <w:szCs w:val="21"/>
        </w:rPr>
        <w:t xml:space="preserve">(一) 乙方不得以任何理由向甲方及其工作人员行贿或馈赠礼金、有价证券、贵重礼品。 </w:t>
      </w:r>
    </w:p>
    <w:p>
      <w:pPr>
        <w:snapToGrid w:val="0"/>
        <w:ind w:firstLine="420" w:firstLineChars="200"/>
        <w:rPr>
          <w:color w:val="auto"/>
          <w:szCs w:val="21"/>
        </w:rPr>
      </w:pPr>
      <w:r>
        <w:rPr>
          <w:color w:val="auto"/>
          <w:szCs w:val="21"/>
        </w:rPr>
        <w:t xml:space="preserve">(二) 乙方不得以任何名义为甲方及其工作人员报销应由甲方单位或个人支付的任何费用。 </w:t>
      </w:r>
    </w:p>
    <w:p>
      <w:pPr>
        <w:snapToGrid w:val="0"/>
        <w:ind w:firstLine="420" w:firstLineChars="200"/>
        <w:rPr>
          <w:color w:val="auto"/>
          <w:szCs w:val="21"/>
        </w:rPr>
      </w:pPr>
      <w:r>
        <w:rPr>
          <w:color w:val="auto"/>
          <w:szCs w:val="21"/>
        </w:rPr>
        <w:t xml:space="preserve">(三) 乙方不得以任何理由安排甲方工作人员参加超标准宴请及娱乐活动。 </w:t>
      </w:r>
    </w:p>
    <w:p>
      <w:pPr>
        <w:snapToGrid w:val="0"/>
        <w:ind w:firstLine="420" w:firstLineChars="200"/>
        <w:rPr>
          <w:color w:val="auto"/>
          <w:szCs w:val="21"/>
        </w:rPr>
      </w:pPr>
      <w:r>
        <w:rPr>
          <w:color w:val="auto"/>
          <w:szCs w:val="21"/>
        </w:rPr>
        <w:t xml:space="preserve">(四) 乙方不得为甲方单位和个人购置或提供通讯工具、交通工具和高档办公用品等。 </w:t>
      </w:r>
    </w:p>
    <w:p>
      <w:pPr>
        <w:snapToGrid w:val="0"/>
        <w:ind w:firstLine="420" w:firstLineChars="200"/>
        <w:rPr>
          <w:color w:val="auto"/>
          <w:szCs w:val="21"/>
        </w:rPr>
      </w:pPr>
      <w:r>
        <w:rPr>
          <w:color w:val="auto"/>
          <w:szCs w:val="21"/>
        </w:rPr>
        <w:t xml:space="preserve">（五）乙方及其工作人员不得索要或接受承包人的礼金、有价证券和贵重物品，不得向承包人报销任何应由乙方或乙方工作人员个人支付的费用等。 </w:t>
      </w:r>
    </w:p>
    <w:p>
      <w:pPr>
        <w:snapToGrid w:val="0"/>
        <w:ind w:firstLine="420" w:firstLineChars="200"/>
        <w:rPr>
          <w:color w:val="auto"/>
          <w:szCs w:val="21"/>
        </w:rPr>
      </w:pPr>
      <w:r>
        <w:rPr>
          <w:color w:val="auto"/>
          <w:szCs w:val="21"/>
        </w:rPr>
        <w:t>(六) 乙方工作人员不得参加承包人安排的超标准宴请和娱乐活动。</w:t>
      </w:r>
    </w:p>
    <w:p>
      <w:pPr>
        <w:snapToGrid w:val="0"/>
        <w:ind w:firstLine="420" w:firstLineChars="200"/>
        <w:rPr>
          <w:color w:val="auto"/>
          <w:szCs w:val="21"/>
        </w:rPr>
      </w:pPr>
      <w:r>
        <w:rPr>
          <w:color w:val="auto"/>
          <w:szCs w:val="21"/>
        </w:rPr>
        <w:t xml:space="preserve">第四条  违约责任 </w:t>
      </w:r>
    </w:p>
    <w:p>
      <w:pPr>
        <w:snapToGrid w:val="0"/>
        <w:ind w:firstLine="420" w:firstLineChars="200"/>
        <w:rPr>
          <w:color w:val="auto"/>
          <w:szCs w:val="21"/>
        </w:rPr>
      </w:pPr>
      <w:r>
        <w:rPr>
          <w:color w:val="auto"/>
          <w:szCs w:val="21"/>
        </w:rPr>
        <w:t xml:space="preserve">(一) 甲方及其工作人员违反本合同第一、二条，按管理权限，依据有关规定给予党纪、政纪或组织处理；涉嫌犯罪的，移交司法机关追究刑事责任；给乙方单位造成经济损失的，应予以赔偿。 </w:t>
      </w:r>
    </w:p>
    <w:p>
      <w:pPr>
        <w:snapToGrid w:val="0"/>
        <w:ind w:firstLine="420" w:firstLineChars="200"/>
        <w:rPr>
          <w:color w:val="auto"/>
          <w:szCs w:val="21"/>
        </w:rPr>
      </w:pPr>
      <w:r>
        <w:rPr>
          <w:color w:val="auto"/>
          <w:szCs w:val="21"/>
        </w:rPr>
        <w:t xml:space="preserve">(二) 乙方及其工作人员违反本合同第一、三条，按管理权限，依据有关规定给予党纪、政纪或组织处理；给甲方单位造成经济损失的，应予以赔偿；情节严重的，甲方建议交通运输主管部门给予乙方一至三年内不得进入其主管的公路水运试验检测市场的处罚。 </w:t>
      </w:r>
    </w:p>
    <w:p>
      <w:pPr>
        <w:snapToGrid w:val="0"/>
        <w:ind w:firstLine="420" w:firstLineChars="200"/>
        <w:rPr>
          <w:color w:val="auto"/>
          <w:szCs w:val="21"/>
        </w:rPr>
      </w:pPr>
      <w:r>
        <w:rPr>
          <w:color w:val="auto"/>
          <w:szCs w:val="21"/>
        </w:rPr>
        <w:t xml:space="preserve">第五条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 </w:t>
      </w:r>
    </w:p>
    <w:p>
      <w:pPr>
        <w:snapToGrid w:val="0"/>
        <w:ind w:firstLine="420" w:firstLineChars="200"/>
        <w:rPr>
          <w:color w:val="auto"/>
          <w:szCs w:val="21"/>
        </w:rPr>
      </w:pPr>
      <w:r>
        <w:rPr>
          <w:color w:val="auto"/>
          <w:szCs w:val="21"/>
        </w:rPr>
        <w:t xml:space="preserve">第六条  本合同有效期为甲乙双方签署之日起至合同失效日止。 </w:t>
      </w:r>
    </w:p>
    <w:p>
      <w:pPr>
        <w:snapToGrid w:val="0"/>
        <w:ind w:firstLine="420" w:firstLineChars="200"/>
        <w:rPr>
          <w:color w:val="auto"/>
          <w:szCs w:val="21"/>
        </w:rPr>
      </w:pPr>
      <w:r>
        <w:rPr>
          <w:color w:val="auto"/>
          <w:szCs w:val="21"/>
        </w:rPr>
        <w:t>第七条  本合同作为_______</w:t>
      </w:r>
      <w:r>
        <w:rPr>
          <w:color w:val="auto"/>
          <w:szCs w:val="21"/>
          <w:u w:val="single"/>
        </w:rPr>
        <w:t xml:space="preserve">      </w:t>
      </w:r>
      <w:r>
        <w:rPr>
          <w:color w:val="auto"/>
          <w:szCs w:val="21"/>
        </w:rPr>
        <w:t>（项目名称）</w:t>
      </w:r>
      <w:r>
        <w:rPr>
          <w:color w:val="auto"/>
          <w:szCs w:val="21"/>
          <w:u w:val="single"/>
        </w:rPr>
        <w:t xml:space="preserve">      </w:t>
      </w:r>
      <w:r>
        <w:rPr>
          <w:color w:val="auto"/>
          <w:szCs w:val="21"/>
        </w:rPr>
        <w:t>标段试验检测合同的附件，与试验检测合同具有同等的法律效力，经合同双方签署后立即生效。</w:t>
      </w:r>
    </w:p>
    <w:p>
      <w:pPr>
        <w:snapToGrid w:val="0"/>
        <w:ind w:firstLine="420" w:firstLineChars="200"/>
        <w:rPr>
          <w:color w:val="auto"/>
          <w:szCs w:val="21"/>
        </w:rPr>
      </w:pPr>
      <w:r>
        <w:rPr>
          <w:color w:val="auto"/>
          <w:szCs w:val="21"/>
        </w:rPr>
        <w:t>第八条  本合同一式四份，由甲乙双方各执一份，送交甲乙双方的监督单位各一份。</w:t>
      </w:r>
    </w:p>
    <w:p>
      <w:pPr>
        <w:snapToGrid w:val="0"/>
        <w:rPr>
          <w:color w:val="auto"/>
          <w:szCs w:val="21"/>
        </w:rPr>
      </w:pPr>
      <w:r>
        <w:rPr>
          <w:color w:val="auto"/>
          <w:szCs w:val="21"/>
        </w:rPr>
        <w:t xml:space="preserve"> </w:t>
      </w:r>
    </w:p>
    <w:p>
      <w:pPr>
        <w:snapToGrid w:val="0"/>
        <w:rPr>
          <w:color w:val="auto"/>
          <w:szCs w:val="21"/>
        </w:rPr>
      </w:pPr>
      <w:r>
        <w:rPr>
          <w:color w:val="auto"/>
          <w:szCs w:val="21"/>
        </w:rPr>
        <w:t>甲     方：</w:t>
      </w:r>
      <w:r>
        <w:rPr>
          <w:color w:val="auto"/>
          <w:szCs w:val="21"/>
          <w:u w:val="single"/>
        </w:rPr>
        <w:t>（单位全称）（盖单位章）</w:t>
      </w:r>
      <w:r>
        <w:rPr>
          <w:color w:val="auto"/>
          <w:szCs w:val="21"/>
        </w:rPr>
        <w:t xml:space="preserve">    乙    方：</w:t>
      </w:r>
      <w:r>
        <w:rPr>
          <w:color w:val="auto"/>
          <w:szCs w:val="21"/>
          <w:u w:val="single"/>
        </w:rPr>
        <w:t xml:space="preserve"> （单位全称）（盖单位章） </w:t>
      </w:r>
    </w:p>
    <w:p>
      <w:pPr>
        <w:snapToGrid w:val="0"/>
        <w:rPr>
          <w:color w:val="auto"/>
          <w:szCs w:val="21"/>
        </w:rPr>
      </w:pPr>
      <w:r>
        <w:rPr>
          <w:color w:val="auto"/>
          <w:szCs w:val="21"/>
        </w:rPr>
        <w:t>法定代表人</w:t>
      </w:r>
      <w:r>
        <w:rPr>
          <w:color w:val="auto"/>
          <w:szCs w:val="21"/>
          <w:u w:val="single"/>
        </w:rPr>
        <w:t xml:space="preserve">                        </w:t>
      </w:r>
      <w:r>
        <w:rPr>
          <w:color w:val="auto"/>
          <w:szCs w:val="21"/>
        </w:rPr>
        <w:t xml:space="preserve">     法定代表人</w:t>
      </w:r>
      <w:r>
        <w:rPr>
          <w:color w:val="auto"/>
          <w:szCs w:val="21"/>
          <w:u w:val="single"/>
        </w:rPr>
        <w:t xml:space="preserve">                          </w:t>
      </w:r>
    </w:p>
    <w:p>
      <w:pPr>
        <w:snapToGrid w:val="0"/>
        <w:rPr>
          <w:color w:val="auto"/>
          <w:szCs w:val="21"/>
        </w:rPr>
      </w:pPr>
      <w:r>
        <w:rPr>
          <w:color w:val="auto"/>
          <w:szCs w:val="21"/>
        </w:rPr>
        <w:t xml:space="preserve">        或                                   或 </w:t>
      </w:r>
    </w:p>
    <w:p>
      <w:pPr>
        <w:snapToGrid w:val="0"/>
        <w:rPr>
          <w:color w:val="auto"/>
          <w:szCs w:val="21"/>
        </w:rPr>
      </w:pPr>
      <w:r>
        <w:rPr>
          <w:color w:val="auto"/>
          <w:szCs w:val="21"/>
        </w:rPr>
        <w:t>其委托代理人</w:t>
      </w:r>
      <w:r>
        <w:rPr>
          <w:color w:val="auto"/>
          <w:szCs w:val="21"/>
          <w:u w:val="single"/>
        </w:rPr>
        <w:t xml:space="preserve">   （职务）   </w:t>
      </w:r>
      <w:r>
        <w:rPr>
          <w:color w:val="auto"/>
          <w:szCs w:val="21"/>
        </w:rPr>
        <w:t xml:space="preserve">             其委托代理人</w:t>
      </w:r>
      <w:r>
        <w:rPr>
          <w:color w:val="auto"/>
          <w:szCs w:val="21"/>
          <w:u w:val="single"/>
        </w:rPr>
        <w:t xml:space="preserve">   （职务）   </w:t>
      </w:r>
    </w:p>
    <w:p>
      <w:pPr>
        <w:snapToGrid w:val="0"/>
        <w:rPr>
          <w:color w:val="auto"/>
          <w:szCs w:val="21"/>
        </w:rPr>
      </w:pPr>
      <w:r>
        <w:rPr>
          <w:color w:val="auto"/>
          <w:szCs w:val="21"/>
        </w:rPr>
        <w:t xml:space="preserve">            </w:t>
      </w:r>
      <w:r>
        <w:rPr>
          <w:color w:val="auto"/>
          <w:szCs w:val="21"/>
          <w:u w:val="single"/>
        </w:rPr>
        <w:t xml:space="preserve">   （姓名）   </w:t>
      </w:r>
      <w:r>
        <w:rPr>
          <w:color w:val="auto"/>
          <w:szCs w:val="21"/>
        </w:rPr>
        <w:t xml:space="preserve">                         </w:t>
      </w:r>
      <w:r>
        <w:rPr>
          <w:color w:val="auto"/>
          <w:szCs w:val="21"/>
          <w:u w:val="single"/>
        </w:rPr>
        <w:t xml:space="preserve">   （姓名）   </w:t>
      </w:r>
    </w:p>
    <w:p>
      <w:pPr>
        <w:snapToGrid w:val="0"/>
        <w:rPr>
          <w:color w:val="auto"/>
          <w:szCs w:val="21"/>
        </w:rPr>
      </w:pPr>
      <w:r>
        <w:rPr>
          <w:color w:val="auto"/>
          <w:szCs w:val="21"/>
        </w:rPr>
        <w:t xml:space="preserve">            </w:t>
      </w:r>
      <w:r>
        <w:rPr>
          <w:color w:val="auto"/>
          <w:szCs w:val="21"/>
          <w:u w:val="single"/>
        </w:rPr>
        <w:t xml:space="preserve">   （签字）   </w:t>
      </w:r>
      <w:r>
        <w:rPr>
          <w:color w:val="auto"/>
          <w:szCs w:val="21"/>
        </w:rPr>
        <w:t xml:space="preserve">                         </w:t>
      </w:r>
      <w:r>
        <w:rPr>
          <w:color w:val="auto"/>
          <w:szCs w:val="21"/>
          <w:u w:val="single"/>
        </w:rPr>
        <w:t xml:space="preserve">    （签字）  </w:t>
      </w:r>
    </w:p>
    <w:p>
      <w:pPr>
        <w:snapToGrid w:val="0"/>
        <w:rPr>
          <w:color w:val="auto"/>
          <w:szCs w:val="21"/>
        </w:rPr>
      </w:pPr>
      <w:r>
        <w:rPr>
          <w:color w:val="auto"/>
          <w:szCs w:val="21"/>
        </w:rPr>
        <w:t>地址：</w:t>
      </w:r>
      <w:r>
        <w:rPr>
          <w:color w:val="auto"/>
          <w:szCs w:val="21"/>
          <w:u w:val="single"/>
        </w:rPr>
        <w:t xml:space="preserve">                            </w:t>
      </w:r>
      <w:r>
        <w:rPr>
          <w:color w:val="auto"/>
          <w:szCs w:val="21"/>
        </w:rPr>
        <w:t xml:space="preserve">     地址：</w:t>
      </w:r>
      <w:r>
        <w:rPr>
          <w:color w:val="auto"/>
          <w:szCs w:val="21"/>
          <w:u w:val="single"/>
        </w:rPr>
        <w:t xml:space="preserve">                    </w:t>
      </w:r>
    </w:p>
    <w:p>
      <w:pPr>
        <w:snapToGrid w:val="0"/>
        <w:rPr>
          <w:color w:val="auto"/>
          <w:szCs w:val="21"/>
        </w:rPr>
      </w:pPr>
      <w:r>
        <w:rPr>
          <w:color w:val="auto"/>
          <w:szCs w:val="21"/>
        </w:rPr>
        <w:t>电话：</w:t>
      </w:r>
      <w:r>
        <w:rPr>
          <w:color w:val="auto"/>
          <w:szCs w:val="21"/>
          <w:u w:val="single"/>
        </w:rPr>
        <w:t xml:space="preserve">                            </w:t>
      </w:r>
      <w:r>
        <w:rPr>
          <w:color w:val="auto"/>
          <w:szCs w:val="21"/>
        </w:rPr>
        <w:t xml:space="preserve">     电话：</w:t>
      </w:r>
      <w:r>
        <w:rPr>
          <w:color w:val="auto"/>
          <w:szCs w:val="21"/>
          <w:u w:val="single"/>
        </w:rPr>
        <w:t xml:space="preserve">                    </w:t>
      </w:r>
    </w:p>
    <w:p>
      <w:pPr>
        <w:snapToGrid w:val="0"/>
        <w:rPr>
          <w:color w:val="auto"/>
          <w:szCs w:val="21"/>
        </w:rPr>
      </w:pPr>
      <w:r>
        <w:rPr>
          <w:color w:val="auto"/>
          <w:szCs w:val="21"/>
        </w:rPr>
        <w:t>日期：</w:t>
      </w:r>
      <w:r>
        <w:rPr>
          <w:color w:val="auto"/>
          <w:szCs w:val="21"/>
          <w:u w:val="single"/>
        </w:rPr>
        <w:t xml:space="preserve">                            </w:t>
      </w:r>
      <w:r>
        <w:rPr>
          <w:color w:val="auto"/>
          <w:szCs w:val="21"/>
        </w:rPr>
        <w:t xml:space="preserve">     日期：</w:t>
      </w:r>
      <w:r>
        <w:rPr>
          <w:color w:val="auto"/>
          <w:szCs w:val="21"/>
          <w:u w:val="single"/>
        </w:rPr>
        <w:t xml:space="preserve">                    </w:t>
      </w:r>
    </w:p>
    <w:p>
      <w:pPr>
        <w:snapToGrid w:val="0"/>
        <w:rPr>
          <w:color w:val="auto"/>
          <w:szCs w:val="21"/>
        </w:rPr>
      </w:pPr>
      <w:r>
        <w:rPr>
          <w:color w:val="auto"/>
          <w:szCs w:val="21"/>
        </w:rPr>
        <w:t>甲方监督单位：</w:t>
      </w:r>
      <w:r>
        <w:rPr>
          <w:color w:val="auto"/>
          <w:szCs w:val="21"/>
          <w:u w:val="single"/>
        </w:rPr>
        <w:t>（单位全称）（盖单位章）</w:t>
      </w:r>
      <w:r>
        <w:rPr>
          <w:color w:val="auto"/>
          <w:szCs w:val="21"/>
        </w:rPr>
        <w:t xml:space="preserve">   乙方监督单位：</w:t>
      </w:r>
      <w:r>
        <w:rPr>
          <w:color w:val="auto"/>
          <w:szCs w:val="21"/>
          <w:u w:val="single"/>
        </w:rPr>
        <w:t>（单位全称）（盖单位章）</w:t>
      </w:r>
    </w:p>
    <w:p>
      <w:pPr>
        <w:pStyle w:val="630"/>
        <w:ind w:firstLine="422"/>
        <w:rPr>
          <w:color w:val="auto"/>
        </w:rPr>
      </w:pPr>
      <w:r>
        <w:rPr>
          <w:rFonts w:eastAsia="宋体"/>
          <w:color w:val="auto"/>
        </w:rPr>
        <w:br w:type="page"/>
      </w:r>
      <w:r>
        <w:rPr>
          <w:rFonts w:hint="eastAsia" w:ascii="黑体" w:hAnsi="黑体"/>
          <w:color w:val="auto"/>
        </w:rPr>
        <w:t>附件三</w:t>
      </w:r>
      <w:r>
        <w:rPr>
          <w:rFonts w:hint="eastAsia"/>
          <w:color w:val="auto"/>
        </w:rPr>
        <w:t xml:space="preserve"> </w:t>
      </w:r>
      <w:r>
        <w:rPr>
          <w:color w:val="auto"/>
        </w:rPr>
        <w:t xml:space="preserve"> </w:t>
      </w:r>
      <w:r>
        <w:rPr>
          <w:rFonts w:hint="eastAsia" w:ascii="黑体" w:hAnsi="黑体"/>
          <w:color w:val="auto"/>
        </w:rPr>
        <w:t>安全生产责任合同格式</w:t>
      </w:r>
    </w:p>
    <w:p>
      <w:pPr>
        <w:snapToGrid w:val="0"/>
        <w:jc w:val="center"/>
        <w:rPr>
          <w:rFonts w:hint="eastAsia" w:ascii="黑体" w:hAnsi="黑体" w:eastAsia="黑体"/>
          <w:color w:val="auto"/>
          <w:sz w:val="28"/>
          <w:szCs w:val="28"/>
        </w:rPr>
      </w:pPr>
      <w:r>
        <w:rPr>
          <w:rFonts w:hint="eastAsia" w:ascii="黑体" w:hAnsi="黑体" w:eastAsia="黑体"/>
          <w:color w:val="auto"/>
          <w:sz w:val="28"/>
          <w:szCs w:val="28"/>
        </w:rPr>
        <w:t>安全生产责任合同</w:t>
      </w:r>
    </w:p>
    <w:p>
      <w:pPr>
        <w:snapToGrid w:val="0"/>
        <w:ind w:firstLine="420" w:firstLineChars="200"/>
        <w:rPr>
          <w:rFonts w:ascii="Cambria" w:hAnsi="Cambria"/>
          <w:color w:val="auto"/>
          <w:szCs w:val="21"/>
        </w:rPr>
      </w:pPr>
      <w:r>
        <w:rPr>
          <w:color w:val="auto"/>
          <w:szCs w:val="21"/>
        </w:rPr>
        <w:t>为在_______</w:t>
      </w:r>
      <w:r>
        <w:rPr>
          <w:color w:val="auto"/>
          <w:szCs w:val="21"/>
          <w:u w:val="single"/>
        </w:rPr>
        <w:t xml:space="preserve">      </w:t>
      </w:r>
      <w:r>
        <w:rPr>
          <w:color w:val="auto"/>
          <w:szCs w:val="21"/>
        </w:rPr>
        <w:t>（项目名称）</w:t>
      </w:r>
      <w:r>
        <w:rPr>
          <w:color w:val="auto"/>
          <w:szCs w:val="21"/>
          <w:u w:val="single"/>
        </w:rPr>
        <w:t xml:space="preserve">      </w:t>
      </w:r>
      <w:r>
        <w:rPr>
          <w:color w:val="auto"/>
          <w:szCs w:val="21"/>
        </w:rPr>
        <w:t>标段试验检测合同的实施过程中创造安全、高效的施工环境，切实搞好本项目的安全管理工作，本项目发包</w:t>
      </w:r>
      <w:r>
        <w:rPr>
          <w:rFonts w:hint="eastAsia"/>
          <w:color w:val="auto"/>
          <w:szCs w:val="21"/>
        </w:rPr>
        <w:t>人</w:t>
      </w:r>
      <w:r>
        <w:rPr>
          <w:color w:val="auto"/>
          <w:szCs w:val="21"/>
          <w:u w:val="single"/>
        </w:rPr>
        <w:t xml:space="preserve">   （全称）     </w:t>
      </w:r>
      <w:r>
        <w:rPr>
          <w:color w:val="auto"/>
          <w:szCs w:val="21"/>
        </w:rPr>
        <w:t>（以下简称“甲方”）与检测人</w:t>
      </w:r>
      <w:r>
        <w:rPr>
          <w:color w:val="auto"/>
          <w:szCs w:val="21"/>
          <w:u w:val="single"/>
        </w:rPr>
        <w:t xml:space="preserve">    （全称）      </w:t>
      </w:r>
      <w:r>
        <w:rPr>
          <w:color w:val="auto"/>
          <w:szCs w:val="21"/>
        </w:rPr>
        <w:t>（以下简称“乙方”）特此签订安全生产合同：</w:t>
      </w:r>
    </w:p>
    <w:p>
      <w:pPr>
        <w:snapToGrid w:val="0"/>
        <w:ind w:firstLine="420" w:firstLineChars="200"/>
        <w:rPr>
          <w:bCs/>
          <w:color w:val="auto"/>
          <w:szCs w:val="21"/>
        </w:rPr>
      </w:pPr>
      <w:r>
        <w:rPr>
          <w:bCs/>
          <w:color w:val="auto"/>
          <w:szCs w:val="21"/>
        </w:rPr>
        <w:t>一、甲方职责</w:t>
      </w:r>
    </w:p>
    <w:p>
      <w:pPr>
        <w:snapToGrid w:val="0"/>
        <w:ind w:firstLine="420" w:firstLineChars="200"/>
        <w:rPr>
          <w:color w:val="auto"/>
          <w:szCs w:val="21"/>
        </w:rPr>
      </w:pPr>
      <w:r>
        <w:rPr>
          <w:color w:val="auto"/>
          <w:szCs w:val="21"/>
        </w:rPr>
        <w:t>1．严格遵守国家有关安全生产的法律法规，认真执行工程承包合同中的有关安全要求。</w:t>
      </w:r>
    </w:p>
    <w:p>
      <w:pPr>
        <w:snapToGrid w:val="0"/>
        <w:ind w:firstLine="420" w:firstLineChars="200"/>
        <w:rPr>
          <w:color w:val="auto"/>
          <w:szCs w:val="21"/>
        </w:rPr>
      </w:pPr>
      <w:r>
        <w:rPr>
          <w:color w:val="auto"/>
          <w:szCs w:val="21"/>
        </w:rPr>
        <w:t>2．按照“安全第一、预防为主”和坚持“管生产必须管安全”的原则进行安全生产管理，做到生产与安全工作同时计划、布置、检查、总结和评比。</w:t>
      </w:r>
    </w:p>
    <w:p>
      <w:pPr>
        <w:snapToGrid w:val="0"/>
        <w:ind w:firstLine="420" w:firstLineChars="200"/>
        <w:rPr>
          <w:color w:val="auto"/>
          <w:szCs w:val="21"/>
        </w:rPr>
      </w:pPr>
      <w:r>
        <w:rPr>
          <w:color w:val="auto"/>
          <w:szCs w:val="21"/>
        </w:rPr>
        <w:t>3．定期召开安全生产调度会，及时传达有关部门安全生产的精神。</w:t>
      </w:r>
    </w:p>
    <w:p>
      <w:pPr>
        <w:snapToGrid w:val="0"/>
        <w:ind w:firstLine="420" w:firstLineChars="200"/>
        <w:rPr>
          <w:color w:val="auto"/>
          <w:szCs w:val="21"/>
        </w:rPr>
      </w:pPr>
      <w:r>
        <w:rPr>
          <w:color w:val="auto"/>
          <w:szCs w:val="21"/>
        </w:rPr>
        <w:t>4．组织对乙方施工现场安全生产检查，监督乙方及时处理发现的各项安全隐患。</w:t>
      </w:r>
    </w:p>
    <w:p>
      <w:pPr>
        <w:snapToGrid w:val="0"/>
        <w:ind w:firstLine="420" w:firstLineChars="200"/>
        <w:rPr>
          <w:bCs/>
          <w:color w:val="auto"/>
          <w:szCs w:val="21"/>
        </w:rPr>
      </w:pPr>
      <w:r>
        <w:rPr>
          <w:bCs/>
          <w:color w:val="auto"/>
          <w:szCs w:val="21"/>
        </w:rPr>
        <w:t>二、乙方职责</w:t>
      </w:r>
    </w:p>
    <w:p>
      <w:pPr>
        <w:snapToGrid w:val="0"/>
        <w:ind w:firstLine="420" w:firstLineChars="200"/>
        <w:rPr>
          <w:color w:val="auto"/>
          <w:szCs w:val="21"/>
        </w:rPr>
      </w:pPr>
      <w:r>
        <w:rPr>
          <w:color w:val="auto"/>
          <w:szCs w:val="21"/>
        </w:rPr>
        <w:t>1．严格遵守国家有关安全生产的法律法规、交通运输部颁发的《公路工程施工安全技术规程》（JTG F90-2015）与《水运工程施工安全防护技术规范》（JTS 205-1-2016）有关安全生产的规定，认真执行。</w:t>
      </w:r>
    </w:p>
    <w:p>
      <w:pPr>
        <w:snapToGrid w:val="0"/>
        <w:ind w:firstLine="420" w:firstLineChars="200"/>
        <w:rPr>
          <w:color w:val="auto"/>
          <w:szCs w:val="21"/>
        </w:rPr>
      </w:pPr>
      <w:r>
        <w:rPr>
          <w:color w:val="auto"/>
          <w:szCs w:val="21"/>
        </w:rPr>
        <w:t>2．坚持“安全第一、预防为主”和“管生产必须管安全”的原则，加强安全生产宣传教育，增强全员安全生产意识，建立健全各项安全生产管理制度，配备兼职安全检查人员，有组织有领导地开展安全生产活动。</w:t>
      </w:r>
    </w:p>
    <w:p>
      <w:pPr>
        <w:snapToGrid w:val="0"/>
        <w:ind w:firstLine="420" w:firstLineChars="200"/>
        <w:rPr>
          <w:color w:val="auto"/>
          <w:szCs w:val="21"/>
        </w:rPr>
      </w:pPr>
      <w:r>
        <w:rPr>
          <w:color w:val="auto"/>
          <w:szCs w:val="21"/>
        </w:rPr>
        <w:t>3．建立健全安全生产责任制。从项目负责人到生产人员（包括临时雇请的民工）的安全生产管理系统必须做到纵向到底，一环不漏，人人有责。项目负责人是项目安全生产的第一责任人。</w:t>
      </w:r>
    </w:p>
    <w:p>
      <w:pPr>
        <w:snapToGrid w:val="0"/>
        <w:ind w:firstLine="420" w:firstLineChars="200"/>
        <w:rPr>
          <w:color w:val="auto"/>
          <w:szCs w:val="21"/>
        </w:rPr>
      </w:pPr>
      <w:r>
        <w:rPr>
          <w:color w:val="auto"/>
          <w:szCs w:val="21"/>
        </w:rPr>
        <w:t>4．乙方在任何时候都应采取各种合理的预防措施，防止其员工发生任何违法、违禁、暴力或妨碍治安的行为。</w:t>
      </w:r>
    </w:p>
    <w:p>
      <w:pPr>
        <w:snapToGrid w:val="0"/>
        <w:ind w:firstLine="420" w:firstLineChars="200"/>
        <w:rPr>
          <w:color w:val="auto"/>
          <w:szCs w:val="21"/>
        </w:rPr>
      </w:pPr>
      <w:r>
        <w:rPr>
          <w:color w:val="auto"/>
          <w:szCs w:val="21"/>
        </w:rPr>
        <w:t>5．进场使用的高空作业的设备均应定期检查，并有安全员的签字记录，保证其经常处于完好状态；不合格的机具、设备和劳动保护用品严禁使用。</w:t>
      </w:r>
    </w:p>
    <w:p>
      <w:pPr>
        <w:snapToGrid w:val="0"/>
        <w:ind w:firstLine="420" w:firstLineChars="200"/>
        <w:rPr>
          <w:color w:val="auto"/>
          <w:szCs w:val="21"/>
        </w:rPr>
      </w:pPr>
      <w:r>
        <w:rPr>
          <w:color w:val="auto"/>
          <w:szCs w:val="21"/>
        </w:rPr>
        <w:t>6．试验检测过程中采用技术、工艺、设备、材料时，必须制定相应的安全技术措施，现场必须具有相关的安全设施及警示标志。</w:t>
      </w:r>
    </w:p>
    <w:p>
      <w:pPr>
        <w:snapToGrid w:val="0"/>
        <w:ind w:firstLine="420" w:firstLineChars="200"/>
        <w:rPr>
          <w:bCs/>
          <w:color w:val="auto"/>
          <w:szCs w:val="21"/>
        </w:rPr>
      </w:pPr>
      <w:r>
        <w:rPr>
          <w:bCs/>
          <w:color w:val="auto"/>
          <w:szCs w:val="21"/>
        </w:rPr>
        <w:t>三、违约责任</w:t>
      </w:r>
    </w:p>
    <w:p>
      <w:pPr>
        <w:snapToGrid w:val="0"/>
        <w:ind w:firstLine="420" w:firstLineChars="200"/>
        <w:rPr>
          <w:color w:val="auto"/>
          <w:szCs w:val="21"/>
        </w:rPr>
      </w:pPr>
      <w:r>
        <w:rPr>
          <w:color w:val="auto"/>
          <w:szCs w:val="21"/>
        </w:rPr>
        <w:t>如因甲方或乙方违约造成安全事故，将依法追究责任。</w:t>
      </w:r>
    </w:p>
    <w:p>
      <w:pPr>
        <w:snapToGrid w:val="0"/>
        <w:ind w:firstLine="420" w:firstLineChars="200"/>
        <w:rPr>
          <w:color w:val="auto"/>
          <w:szCs w:val="21"/>
        </w:rPr>
      </w:pPr>
      <w:r>
        <w:rPr>
          <w:color w:val="auto"/>
          <w:szCs w:val="21"/>
        </w:rPr>
        <w:t>本合同正本一式二份，副本八份，合同双方各执正本一份，副本四份。由双方法定代表人或其授权的代理人签署与加盖公章后生效，工程交工验收后失效。</w:t>
      </w:r>
    </w:p>
    <w:p>
      <w:pPr>
        <w:snapToGrid w:val="0"/>
        <w:rPr>
          <w:color w:val="auto"/>
          <w:szCs w:val="21"/>
        </w:rPr>
      </w:pPr>
      <w:r>
        <w:rPr>
          <w:color w:val="auto"/>
          <w:szCs w:val="21"/>
        </w:rPr>
        <w:t xml:space="preserve"> </w:t>
      </w:r>
    </w:p>
    <w:p>
      <w:pPr>
        <w:snapToGrid w:val="0"/>
        <w:rPr>
          <w:color w:val="auto"/>
          <w:szCs w:val="21"/>
        </w:rPr>
      </w:pPr>
      <w:r>
        <w:rPr>
          <w:color w:val="auto"/>
          <w:szCs w:val="21"/>
        </w:rPr>
        <w:t>甲       方：</w:t>
      </w:r>
      <w:r>
        <w:rPr>
          <w:color w:val="auto"/>
          <w:szCs w:val="21"/>
          <w:u w:val="single"/>
        </w:rPr>
        <w:t xml:space="preserve">  （单位全称）（盖章）  </w:t>
      </w:r>
      <w:r>
        <w:rPr>
          <w:color w:val="auto"/>
          <w:szCs w:val="21"/>
        </w:rPr>
        <w:t xml:space="preserve">  乙    方：</w:t>
      </w:r>
      <w:r>
        <w:rPr>
          <w:color w:val="auto"/>
          <w:szCs w:val="21"/>
          <w:u w:val="single"/>
        </w:rPr>
        <w:t xml:space="preserve">  （单位全称）（盖章）        </w:t>
      </w:r>
    </w:p>
    <w:p>
      <w:pPr>
        <w:snapToGrid w:val="0"/>
        <w:rPr>
          <w:color w:val="auto"/>
          <w:szCs w:val="21"/>
        </w:rPr>
      </w:pPr>
      <w:r>
        <w:rPr>
          <w:color w:val="auto"/>
          <w:szCs w:val="21"/>
        </w:rPr>
        <w:t>法定代表人                            法定代表人</w:t>
      </w:r>
    </w:p>
    <w:p>
      <w:pPr>
        <w:snapToGrid w:val="0"/>
        <w:rPr>
          <w:color w:val="auto"/>
          <w:szCs w:val="21"/>
        </w:rPr>
      </w:pPr>
      <w:r>
        <w:rPr>
          <w:color w:val="auto"/>
          <w:szCs w:val="21"/>
        </w:rPr>
        <w:t>或                                    或</w:t>
      </w:r>
    </w:p>
    <w:p>
      <w:pPr>
        <w:snapToGrid w:val="0"/>
        <w:rPr>
          <w:color w:val="auto"/>
          <w:szCs w:val="21"/>
          <w:u w:val="single"/>
        </w:rPr>
      </w:pPr>
      <w:r>
        <w:rPr>
          <w:color w:val="auto"/>
          <w:szCs w:val="21"/>
        </w:rPr>
        <w:t>其授权的代理人：</w:t>
      </w:r>
      <w:r>
        <w:rPr>
          <w:color w:val="auto"/>
          <w:szCs w:val="21"/>
          <w:u w:val="single"/>
        </w:rPr>
        <w:t xml:space="preserve">     （职务）      </w:t>
      </w:r>
      <w:r>
        <w:rPr>
          <w:color w:val="auto"/>
          <w:szCs w:val="21"/>
        </w:rPr>
        <w:t xml:space="preserve">   其授权的代理人：</w:t>
      </w:r>
      <w:r>
        <w:rPr>
          <w:color w:val="auto"/>
          <w:szCs w:val="21"/>
          <w:u w:val="single"/>
        </w:rPr>
        <w:t xml:space="preserve">     （职务）          </w:t>
      </w:r>
    </w:p>
    <w:p>
      <w:pPr>
        <w:snapToGrid w:val="0"/>
        <w:rPr>
          <w:color w:val="auto"/>
          <w:szCs w:val="21"/>
        </w:rPr>
      </w:pPr>
      <w:r>
        <w:rPr>
          <w:color w:val="auto"/>
          <w:szCs w:val="21"/>
        </w:rPr>
        <w:t xml:space="preserve">           </w:t>
      </w:r>
    </w:p>
    <w:p>
      <w:pPr>
        <w:snapToGrid w:val="0"/>
        <w:ind w:firstLine="1470" w:firstLineChars="700"/>
        <w:rPr>
          <w:color w:val="auto"/>
          <w:szCs w:val="21"/>
          <w:u w:val="single"/>
        </w:rPr>
      </w:pPr>
      <w:r>
        <w:rPr>
          <w:color w:val="auto"/>
          <w:szCs w:val="21"/>
        </w:rPr>
        <w:t xml:space="preserve"> </w:t>
      </w:r>
      <w:r>
        <w:rPr>
          <w:color w:val="auto"/>
          <w:szCs w:val="21"/>
          <w:u w:val="single"/>
        </w:rPr>
        <w:t xml:space="preserve">  （姓名） （签字） </w:t>
      </w:r>
      <w:r>
        <w:rPr>
          <w:color w:val="auto"/>
          <w:szCs w:val="21"/>
        </w:rPr>
        <w:t xml:space="preserve">                     </w:t>
      </w:r>
      <w:r>
        <w:rPr>
          <w:color w:val="auto"/>
          <w:szCs w:val="21"/>
          <w:u w:val="single"/>
        </w:rPr>
        <w:t xml:space="preserve">    （姓名）（签字）  </w:t>
      </w:r>
    </w:p>
    <w:p>
      <w:pPr>
        <w:snapToGrid w:val="0"/>
        <w:rPr>
          <w:color w:val="auto"/>
          <w:szCs w:val="21"/>
          <w:u w:val="single"/>
        </w:rPr>
      </w:pPr>
      <w:r>
        <w:rPr>
          <w:color w:val="auto"/>
          <w:szCs w:val="21"/>
        </w:rPr>
        <w:t>地  址：</w:t>
      </w:r>
      <w:r>
        <w:rPr>
          <w:color w:val="auto"/>
          <w:szCs w:val="21"/>
          <w:u w:val="single"/>
        </w:rPr>
        <w:t xml:space="preserve">                         </w:t>
      </w:r>
      <w:r>
        <w:rPr>
          <w:color w:val="auto"/>
          <w:szCs w:val="21"/>
        </w:rPr>
        <w:t xml:space="preserve">    地 址：</w:t>
      </w:r>
      <w:r>
        <w:rPr>
          <w:color w:val="auto"/>
          <w:szCs w:val="21"/>
          <w:u w:val="single"/>
        </w:rPr>
        <w:t xml:space="preserve">                        </w:t>
      </w:r>
    </w:p>
    <w:p>
      <w:pPr>
        <w:snapToGrid w:val="0"/>
        <w:rPr>
          <w:color w:val="auto"/>
          <w:szCs w:val="21"/>
        </w:rPr>
      </w:pPr>
      <w:r>
        <w:rPr>
          <w:color w:val="auto"/>
          <w:szCs w:val="21"/>
        </w:rPr>
        <w:t>电  话：</w:t>
      </w:r>
      <w:r>
        <w:rPr>
          <w:color w:val="auto"/>
          <w:szCs w:val="21"/>
          <w:u w:val="single"/>
        </w:rPr>
        <w:t xml:space="preserve">                         </w:t>
      </w:r>
      <w:r>
        <w:rPr>
          <w:color w:val="auto"/>
          <w:szCs w:val="21"/>
        </w:rPr>
        <w:t xml:space="preserve">    电 话：</w:t>
      </w:r>
      <w:r>
        <w:rPr>
          <w:color w:val="auto"/>
          <w:szCs w:val="21"/>
          <w:u w:val="single"/>
        </w:rPr>
        <w:t xml:space="preserve">                        </w:t>
      </w:r>
    </w:p>
    <w:p>
      <w:pPr>
        <w:snapToGrid w:val="0"/>
        <w:rPr>
          <w:color w:val="auto"/>
          <w:szCs w:val="21"/>
        </w:rPr>
      </w:pPr>
      <w:r>
        <w:rPr>
          <w:color w:val="auto"/>
          <w:szCs w:val="21"/>
        </w:rPr>
        <w:t>日  期：</w:t>
      </w:r>
      <w:r>
        <w:rPr>
          <w:color w:val="auto"/>
          <w:szCs w:val="21"/>
          <w:u w:val="single"/>
        </w:rPr>
        <w:t xml:space="preserve">                         </w:t>
      </w:r>
      <w:r>
        <w:rPr>
          <w:color w:val="auto"/>
          <w:szCs w:val="21"/>
        </w:rPr>
        <w:t xml:space="preserve">    日 期：</w:t>
      </w:r>
      <w:r>
        <w:rPr>
          <w:color w:val="auto"/>
          <w:szCs w:val="21"/>
          <w:u w:val="single"/>
        </w:rPr>
        <w:t xml:space="preserve">                        </w:t>
      </w:r>
    </w:p>
    <w:p>
      <w:pPr>
        <w:snapToGrid w:val="0"/>
        <w:rPr>
          <w:color w:val="auto"/>
          <w:szCs w:val="21"/>
        </w:rPr>
      </w:pPr>
      <w:r>
        <w:rPr>
          <w:color w:val="auto"/>
          <w:szCs w:val="21"/>
        </w:rPr>
        <w:t xml:space="preserve"> </w:t>
      </w:r>
    </w:p>
    <w:p>
      <w:pPr>
        <w:pStyle w:val="630"/>
        <w:ind w:firstLine="422"/>
        <w:rPr>
          <w:color w:val="auto"/>
        </w:rPr>
      </w:pPr>
      <w:r>
        <w:rPr>
          <w:rFonts w:eastAsia="宋体"/>
          <w:color w:val="auto"/>
        </w:rPr>
        <w:br w:type="page"/>
      </w:r>
      <w:r>
        <w:rPr>
          <w:rFonts w:hint="eastAsia" w:ascii="黑体" w:hAnsi="黑体"/>
          <w:color w:val="auto"/>
        </w:rPr>
        <w:t>附件四：履约保函格式</w:t>
      </w:r>
    </w:p>
    <w:p>
      <w:pPr>
        <w:snapToGrid w:val="0"/>
        <w:jc w:val="center"/>
        <w:rPr>
          <w:rFonts w:hint="eastAsia" w:ascii="黑体" w:hAnsi="黑体" w:eastAsia="黑体"/>
          <w:color w:val="auto"/>
          <w:sz w:val="28"/>
          <w:szCs w:val="28"/>
        </w:rPr>
      </w:pPr>
      <w:r>
        <w:rPr>
          <w:rFonts w:hint="eastAsia" w:ascii="黑体" w:hAnsi="黑体" w:eastAsia="黑体"/>
          <w:color w:val="auto"/>
          <w:sz w:val="28"/>
          <w:szCs w:val="28"/>
        </w:rPr>
        <w:t>履约保函</w:t>
      </w:r>
    </w:p>
    <w:p>
      <w:pPr>
        <w:snapToGrid w:val="0"/>
        <w:rPr>
          <w:rFonts w:ascii="Cambria" w:hAnsi="Cambria"/>
          <w:color w:val="auto"/>
          <w:szCs w:val="21"/>
        </w:rPr>
      </w:pPr>
      <w:r>
        <w:rPr>
          <w:color w:val="auto"/>
          <w:szCs w:val="21"/>
        </w:rPr>
        <w:t>致：</w:t>
      </w:r>
      <w:r>
        <w:rPr>
          <w:color w:val="auto"/>
          <w:szCs w:val="21"/>
          <w:u w:val="single"/>
        </w:rPr>
        <w:t xml:space="preserve">     （发包人全称）        </w:t>
      </w:r>
      <w:r>
        <w:rPr>
          <w:color w:val="auto"/>
          <w:szCs w:val="21"/>
        </w:rPr>
        <w:t xml:space="preserve"> </w:t>
      </w:r>
    </w:p>
    <w:p>
      <w:pPr>
        <w:snapToGrid w:val="0"/>
        <w:ind w:firstLine="420" w:firstLineChars="200"/>
        <w:rPr>
          <w:color w:val="auto"/>
          <w:szCs w:val="21"/>
        </w:rPr>
      </w:pPr>
      <w:r>
        <w:rPr>
          <w:color w:val="auto"/>
          <w:szCs w:val="21"/>
        </w:rPr>
        <w:t>鉴于</w:t>
      </w:r>
      <w:r>
        <w:rPr>
          <w:color w:val="auto"/>
          <w:szCs w:val="21"/>
          <w:u w:val="single"/>
        </w:rPr>
        <w:t xml:space="preserve">  （检测人全称）  </w:t>
      </w:r>
      <w:r>
        <w:rPr>
          <w:color w:val="auto"/>
          <w:szCs w:val="21"/>
        </w:rPr>
        <w:t>（下称“检测人”）与</w:t>
      </w:r>
      <w:r>
        <w:rPr>
          <w:color w:val="auto"/>
          <w:szCs w:val="21"/>
          <w:u w:val="single"/>
        </w:rPr>
        <w:t xml:space="preserve">   （发包人全称）</w:t>
      </w:r>
      <w:r>
        <w:rPr>
          <w:color w:val="auto"/>
          <w:szCs w:val="21"/>
        </w:rPr>
        <w:t>（下称“发包人”）签订了_______</w:t>
      </w:r>
      <w:r>
        <w:rPr>
          <w:color w:val="auto"/>
          <w:szCs w:val="21"/>
          <w:u w:val="single"/>
        </w:rPr>
        <w:t xml:space="preserve">      </w:t>
      </w:r>
      <w:r>
        <w:rPr>
          <w:color w:val="auto"/>
          <w:szCs w:val="21"/>
        </w:rPr>
        <w:t>（项目名称）</w:t>
      </w:r>
      <w:r>
        <w:rPr>
          <w:color w:val="auto"/>
          <w:szCs w:val="21"/>
          <w:u w:val="single"/>
        </w:rPr>
        <w:t xml:space="preserve">      </w:t>
      </w:r>
      <w:r>
        <w:rPr>
          <w:color w:val="auto"/>
          <w:szCs w:val="21"/>
        </w:rPr>
        <w:t xml:space="preserve">标段试验检测合同协议书，我方愿意无条件地、不可撤销地就检测人履行与你方订立的合同，向你方提供担保。 </w:t>
      </w:r>
    </w:p>
    <w:p>
      <w:pPr>
        <w:snapToGrid w:val="0"/>
        <w:ind w:firstLine="420" w:firstLineChars="200"/>
        <w:rPr>
          <w:color w:val="auto"/>
          <w:szCs w:val="21"/>
        </w:rPr>
      </w:pPr>
      <w:r>
        <w:rPr>
          <w:color w:val="auto"/>
          <w:szCs w:val="21"/>
        </w:rPr>
        <w:t>1. 担保金额为人民币（大写）</w:t>
      </w:r>
      <w:r>
        <w:rPr>
          <w:color w:val="auto"/>
          <w:szCs w:val="21"/>
          <w:u w:val="single"/>
        </w:rPr>
        <w:t xml:space="preserve">       </w:t>
      </w:r>
      <w:r>
        <w:rPr>
          <w:color w:val="auto"/>
          <w:szCs w:val="21"/>
        </w:rPr>
        <w:t>元（￥</w:t>
      </w:r>
      <w:r>
        <w:rPr>
          <w:color w:val="auto"/>
          <w:szCs w:val="21"/>
          <w:u w:val="single"/>
        </w:rPr>
        <w:t xml:space="preserve">        </w:t>
      </w:r>
      <w:r>
        <w:rPr>
          <w:color w:val="auto"/>
          <w:szCs w:val="21"/>
        </w:rPr>
        <w:t xml:space="preserve">元）。 </w:t>
      </w:r>
    </w:p>
    <w:p>
      <w:pPr>
        <w:snapToGrid w:val="0"/>
        <w:ind w:firstLine="420" w:firstLineChars="200"/>
        <w:rPr>
          <w:color w:val="auto"/>
          <w:szCs w:val="21"/>
        </w:rPr>
      </w:pPr>
      <w:r>
        <w:rPr>
          <w:color w:val="auto"/>
          <w:szCs w:val="21"/>
        </w:rPr>
        <w:t>2. 本保函自</w:t>
      </w:r>
      <w:r>
        <w:rPr>
          <w:color w:val="auto"/>
          <w:szCs w:val="21"/>
          <w:u w:val="single"/>
        </w:rPr>
        <w:t xml:space="preserve">         </w:t>
      </w:r>
      <w:r>
        <w:rPr>
          <w:color w:val="auto"/>
          <w:szCs w:val="21"/>
        </w:rPr>
        <w:t>（生效日期）之日起生效，至</w:t>
      </w:r>
      <w:r>
        <w:rPr>
          <w:color w:val="auto"/>
          <w:szCs w:val="21"/>
          <w:u w:val="single"/>
        </w:rPr>
        <w:t xml:space="preserve">      </w:t>
      </w:r>
      <w:r>
        <w:rPr>
          <w:color w:val="auto"/>
          <w:szCs w:val="21"/>
        </w:rPr>
        <w:t>（失效日期）之日失效。</w:t>
      </w:r>
    </w:p>
    <w:p>
      <w:pPr>
        <w:snapToGrid w:val="0"/>
        <w:ind w:firstLine="420" w:firstLineChars="200"/>
        <w:rPr>
          <w:color w:val="auto"/>
          <w:szCs w:val="21"/>
        </w:rPr>
      </w:pPr>
      <w:r>
        <w:rPr>
          <w:color w:val="auto"/>
          <w:szCs w:val="21"/>
        </w:rPr>
        <w:t xml:space="preserve">3. 在本担保有效期内，如你方认为检测人违反合同约定的义务给你方造成经济损失，我方在收到你方以书面形式提出的在担保金额内的赔偿要求后，在7天内无条件支付，无须你方出具证明或陈述理由。 </w:t>
      </w:r>
    </w:p>
    <w:p>
      <w:pPr>
        <w:snapToGrid w:val="0"/>
        <w:ind w:firstLine="420" w:firstLineChars="200"/>
        <w:rPr>
          <w:color w:val="auto"/>
          <w:szCs w:val="21"/>
        </w:rPr>
      </w:pPr>
      <w:r>
        <w:rPr>
          <w:color w:val="auto"/>
          <w:szCs w:val="21"/>
        </w:rPr>
        <w:t>4. 发包人和检测人对合同条款进行任何修改或补充，我方承担本保函规定的义务不变。</w:t>
      </w:r>
    </w:p>
    <w:p>
      <w:pPr>
        <w:snapToGrid w:val="0"/>
        <w:rPr>
          <w:color w:val="auto"/>
          <w:szCs w:val="21"/>
        </w:rPr>
      </w:pPr>
      <w:r>
        <w:rPr>
          <w:color w:val="auto"/>
          <w:szCs w:val="21"/>
        </w:rPr>
        <w:t xml:space="preserve"> </w:t>
      </w:r>
    </w:p>
    <w:p>
      <w:pPr>
        <w:snapToGrid w:val="0"/>
        <w:rPr>
          <w:color w:val="auto"/>
          <w:szCs w:val="21"/>
        </w:rPr>
      </w:pPr>
      <w:r>
        <w:rPr>
          <w:color w:val="auto"/>
          <w:szCs w:val="21"/>
        </w:rPr>
        <w:t xml:space="preserve">                                   担保银行：</w:t>
      </w:r>
      <w:r>
        <w:rPr>
          <w:color w:val="auto"/>
          <w:szCs w:val="21"/>
          <w:u w:val="single"/>
        </w:rPr>
        <w:t xml:space="preserve">  （银行全称）  （盖单位章）  </w:t>
      </w:r>
      <w:r>
        <w:rPr>
          <w:color w:val="auto"/>
          <w:szCs w:val="21"/>
        </w:rPr>
        <w:t xml:space="preserve"> </w:t>
      </w:r>
    </w:p>
    <w:p>
      <w:pPr>
        <w:snapToGrid w:val="0"/>
        <w:rPr>
          <w:color w:val="auto"/>
          <w:szCs w:val="21"/>
        </w:rPr>
      </w:pPr>
      <w:r>
        <w:rPr>
          <w:color w:val="auto"/>
          <w:szCs w:val="21"/>
        </w:rPr>
        <w:t xml:space="preserve">                                   法定代表人或其委托代理人：</w:t>
      </w:r>
      <w:r>
        <w:rPr>
          <w:color w:val="auto"/>
          <w:szCs w:val="21"/>
          <w:u w:val="single"/>
        </w:rPr>
        <w:t xml:space="preserve">   （职务）   </w:t>
      </w:r>
    </w:p>
    <w:p>
      <w:pPr>
        <w:snapToGrid w:val="0"/>
        <w:rPr>
          <w:color w:val="auto"/>
          <w:szCs w:val="21"/>
          <w:u w:val="single"/>
        </w:rPr>
      </w:pPr>
      <w:r>
        <w:rPr>
          <w:color w:val="auto"/>
          <w:szCs w:val="21"/>
        </w:rPr>
        <w:t xml:space="preserve">                                                            </w:t>
      </w:r>
      <w:r>
        <w:rPr>
          <w:color w:val="auto"/>
          <w:szCs w:val="21"/>
          <w:u w:val="single"/>
        </w:rPr>
        <w:t xml:space="preserve">    （姓名）   </w:t>
      </w:r>
    </w:p>
    <w:p>
      <w:pPr>
        <w:snapToGrid w:val="0"/>
        <w:rPr>
          <w:color w:val="auto"/>
          <w:szCs w:val="21"/>
          <w:u w:val="single"/>
        </w:rPr>
      </w:pPr>
      <w:r>
        <w:rPr>
          <w:color w:val="auto"/>
          <w:szCs w:val="21"/>
        </w:rPr>
        <w:t xml:space="preserve">                                                            </w:t>
      </w:r>
      <w:r>
        <w:rPr>
          <w:color w:val="auto"/>
          <w:szCs w:val="21"/>
          <w:u w:val="single"/>
        </w:rPr>
        <w:t xml:space="preserve">    （签字）   </w:t>
      </w:r>
    </w:p>
    <w:p>
      <w:pPr>
        <w:snapToGrid w:val="0"/>
        <w:ind w:firstLine="3780" w:firstLineChars="1800"/>
        <w:rPr>
          <w:color w:val="auto"/>
          <w:szCs w:val="21"/>
        </w:rPr>
      </w:pPr>
      <w:r>
        <w:rPr>
          <w:color w:val="auto"/>
          <w:szCs w:val="21"/>
        </w:rPr>
        <w:t>地    址：</w:t>
      </w:r>
      <w:r>
        <w:rPr>
          <w:color w:val="auto"/>
          <w:szCs w:val="21"/>
          <w:u w:val="single"/>
        </w:rPr>
        <w:t xml:space="preserve">                              </w:t>
      </w:r>
    </w:p>
    <w:p>
      <w:pPr>
        <w:snapToGrid w:val="0"/>
        <w:ind w:firstLine="3780" w:firstLineChars="1800"/>
        <w:rPr>
          <w:color w:val="auto"/>
          <w:szCs w:val="21"/>
        </w:rPr>
      </w:pPr>
      <w:r>
        <w:rPr>
          <w:color w:val="auto"/>
          <w:szCs w:val="21"/>
        </w:rPr>
        <w:t>邮政编码：</w:t>
      </w:r>
      <w:r>
        <w:rPr>
          <w:color w:val="auto"/>
          <w:szCs w:val="21"/>
          <w:u w:val="single"/>
        </w:rPr>
        <w:t xml:space="preserve">                              </w:t>
      </w:r>
    </w:p>
    <w:p>
      <w:pPr>
        <w:snapToGrid w:val="0"/>
        <w:ind w:firstLine="3780" w:firstLineChars="1800"/>
        <w:rPr>
          <w:color w:val="auto"/>
          <w:szCs w:val="21"/>
        </w:rPr>
      </w:pPr>
      <w:r>
        <w:rPr>
          <w:color w:val="auto"/>
          <w:szCs w:val="21"/>
        </w:rPr>
        <w:t>电    话：</w:t>
      </w:r>
      <w:r>
        <w:rPr>
          <w:color w:val="auto"/>
          <w:szCs w:val="21"/>
          <w:u w:val="single"/>
        </w:rPr>
        <w:t xml:space="preserve">                              </w:t>
      </w:r>
    </w:p>
    <w:p>
      <w:pPr>
        <w:snapToGrid w:val="0"/>
        <w:ind w:firstLine="3780" w:firstLineChars="1800"/>
        <w:rPr>
          <w:color w:val="auto"/>
          <w:szCs w:val="21"/>
        </w:rPr>
      </w:pPr>
      <w:r>
        <w:rPr>
          <w:color w:val="auto"/>
          <w:szCs w:val="21"/>
        </w:rPr>
        <w:t>传    真：</w:t>
      </w:r>
      <w:r>
        <w:rPr>
          <w:color w:val="auto"/>
          <w:szCs w:val="21"/>
          <w:u w:val="single"/>
        </w:rPr>
        <w:t xml:space="preserve">                              </w:t>
      </w:r>
    </w:p>
    <w:p>
      <w:pPr>
        <w:snapToGrid w:val="0"/>
        <w:ind w:firstLine="4410" w:firstLineChars="2100"/>
        <w:rPr>
          <w:color w:val="auto"/>
          <w:szCs w:val="21"/>
        </w:rPr>
      </w:pP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pPr>
        <w:pStyle w:val="630"/>
        <w:ind w:firstLine="422"/>
        <w:rPr>
          <w:color w:val="auto"/>
        </w:rPr>
      </w:pPr>
      <w:r>
        <w:rPr>
          <w:rFonts w:eastAsia="宋体"/>
          <w:color w:val="auto"/>
        </w:rPr>
        <w:br w:type="page"/>
      </w:r>
      <w:r>
        <w:rPr>
          <w:rFonts w:hint="eastAsia" w:ascii="黑体" w:hAnsi="黑体"/>
          <w:color w:val="auto"/>
        </w:rPr>
        <w:t>附件五：支付担保保函格式</w:t>
      </w:r>
    </w:p>
    <w:p>
      <w:pPr>
        <w:snapToGrid w:val="0"/>
        <w:jc w:val="center"/>
        <w:rPr>
          <w:rFonts w:hint="eastAsia" w:ascii="黑体" w:hAnsi="黑体" w:eastAsia="黑体"/>
          <w:color w:val="auto"/>
          <w:sz w:val="28"/>
          <w:szCs w:val="28"/>
        </w:rPr>
      </w:pPr>
      <w:r>
        <w:rPr>
          <w:rFonts w:hint="eastAsia" w:ascii="黑体" w:hAnsi="黑体" w:eastAsia="黑体"/>
          <w:color w:val="auto"/>
          <w:sz w:val="28"/>
          <w:szCs w:val="28"/>
        </w:rPr>
        <w:t>支付担保保函</w:t>
      </w:r>
    </w:p>
    <w:p>
      <w:pPr>
        <w:snapToGrid w:val="0"/>
        <w:rPr>
          <w:rFonts w:ascii="Cambria" w:hAnsi="Cambria"/>
          <w:color w:val="auto"/>
          <w:szCs w:val="21"/>
        </w:rPr>
      </w:pPr>
      <w:r>
        <w:rPr>
          <w:rFonts w:hint="eastAsia"/>
          <w:color w:val="auto"/>
          <w:szCs w:val="21"/>
        </w:rPr>
        <w:t>致：</w:t>
      </w:r>
      <w:r>
        <w:rPr>
          <w:rFonts w:hint="eastAsia"/>
          <w:color w:val="auto"/>
          <w:szCs w:val="21"/>
          <w:u w:val="single"/>
        </w:rPr>
        <w:t>（</w:t>
      </w:r>
      <w:r>
        <w:rPr>
          <w:color w:val="auto"/>
          <w:szCs w:val="21"/>
          <w:u w:val="single"/>
        </w:rPr>
        <w:t>检测</w:t>
      </w:r>
      <w:r>
        <w:rPr>
          <w:rFonts w:hint="eastAsia"/>
          <w:color w:val="auto"/>
          <w:szCs w:val="21"/>
          <w:u w:val="single"/>
        </w:rPr>
        <w:t>人全称）</w:t>
      </w:r>
    </w:p>
    <w:p>
      <w:pPr>
        <w:snapToGrid w:val="0"/>
        <w:ind w:firstLine="420" w:firstLineChars="200"/>
        <w:rPr>
          <w:color w:val="auto"/>
          <w:szCs w:val="21"/>
        </w:rPr>
      </w:pPr>
      <w:r>
        <w:rPr>
          <w:rFonts w:hint="eastAsia"/>
          <w:color w:val="auto"/>
          <w:szCs w:val="21"/>
        </w:rPr>
        <w:t>鉴于</w:t>
      </w:r>
      <w:r>
        <w:rPr>
          <w:color w:val="auto"/>
          <w:szCs w:val="21"/>
          <w:u w:val="single"/>
        </w:rPr>
        <w:t xml:space="preserve">    </w:t>
      </w:r>
      <w:r>
        <w:rPr>
          <w:rFonts w:hint="eastAsia"/>
          <w:color w:val="auto"/>
          <w:szCs w:val="21"/>
          <w:u w:val="single"/>
        </w:rPr>
        <w:t>（发包人全称）</w:t>
      </w:r>
      <w:r>
        <w:rPr>
          <w:color w:val="auto"/>
          <w:szCs w:val="21"/>
          <w:u w:val="single"/>
        </w:rPr>
        <w:t xml:space="preserve">  </w:t>
      </w:r>
      <w:r>
        <w:rPr>
          <w:rFonts w:hint="eastAsia"/>
          <w:color w:val="auto"/>
          <w:szCs w:val="21"/>
        </w:rPr>
        <w:t>（以下称</w:t>
      </w:r>
      <w:r>
        <w:rPr>
          <w:color w:val="auto"/>
          <w:szCs w:val="21"/>
        </w:rPr>
        <w:t>“</w:t>
      </w:r>
      <w:r>
        <w:rPr>
          <w:rFonts w:hint="eastAsia"/>
          <w:color w:val="auto"/>
          <w:szCs w:val="21"/>
        </w:rPr>
        <w:t>发包人</w:t>
      </w:r>
      <w:r>
        <w:rPr>
          <w:color w:val="auto"/>
          <w:szCs w:val="21"/>
        </w:rPr>
        <w:t>”</w:t>
      </w:r>
      <w:r>
        <w:rPr>
          <w:rFonts w:hint="eastAsia"/>
          <w:color w:val="auto"/>
          <w:szCs w:val="21"/>
        </w:rPr>
        <w:t>）与</w:t>
      </w:r>
      <w:r>
        <w:rPr>
          <w:color w:val="auto"/>
          <w:szCs w:val="21"/>
          <w:u w:val="single"/>
        </w:rPr>
        <w:t xml:space="preserve">   </w:t>
      </w:r>
      <w:r>
        <w:rPr>
          <w:rFonts w:hint="eastAsia"/>
          <w:color w:val="auto"/>
          <w:szCs w:val="21"/>
          <w:u w:val="single"/>
        </w:rPr>
        <w:t>（</w:t>
      </w:r>
      <w:r>
        <w:rPr>
          <w:color w:val="auto"/>
          <w:szCs w:val="21"/>
          <w:u w:val="single"/>
        </w:rPr>
        <w:t>检测</w:t>
      </w:r>
      <w:r>
        <w:rPr>
          <w:rFonts w:hint="eastAsia"/>
          <w:color w:val="auto"/>
          <w:szCs w:val="21"/>
          <w:u w:val="single"/>
        </w:rPr>
        <w:t>人全称）</w:t>
      </w:r>
      <w:r>
        <w:rPr>
          <w:color w:val="auto"/>
          <w:szCs w:val="21"/>
          <w:u w:val="single"/>
        </w:rPr>
        <w:t xml:space="preserve">   </w:t>
      </w:r>
      <w:r>
        <w:rPr>
          <w:rFonts w:hint="eastAsia"/>
          <w:color w:val="auto"/>
          <w:szCs w:val="21"/>
        </w:rPr>
        <w:t>（以下称</w:t>
      </w:r>
      <w:r>
        <w:rPr>
          <w:color w:val="auto"/>
          <w:szCs w:val="21"/>
        </w:rPr>
        <w:t>“检测</w:t>
      </w:r>
      <w:r>
        <w:rPr>
          <w:rFonts w:hint="eastAsia"/>
          <w:color w:val="auto"/>
          <w:szCs w:val="21"/>
        </w:rPr>
        <w:t>人</w:t>
      </w:r>
      <w:r>
        <w:rPr>
          <w:color w:val="auto"/>
          <w:szCs w:val="21"/>
        </w:rPr>
        <w:t>”</w:t>
      </w:r>
      <w:r>
        <w:rPr>
          <w:rFonts w:hint="eastAsia"/>
          <w:color w:val="auto"/>
          <w:szCs w:val="21"/>
        </w:rPr>
        <w:t>）已签订</w:t>
      </w:r>
      <w:r>
        <w:rPr>
          <w:color w:val="auto"/>
          <w:szCs w:val="21"/>
        </w:rPr>
        <w:t>_______</w:t>
      </w:r>
      <w:r>
        <w:rPr>
          <w:color w:val="auto"/>
          <w:szCs w:val="21"/>
          <w:u w:val="single"/>
        </w:rPr>
        <w:t xml:space="preserve">      </w:t>
      </w:r>
      <w:r>
        <w:rPr>
          <w:color w:val="auto"/>
          <w:szCs w:val="21"/>
        </w:rPr>
        <w:t>（项目名称）</w:t>
      </w:r>
      <w:r>
        <w:rPr>
          <w:color w:val="auto"/>
          <w:szCs w:val="21"/>
          <w:u w:val="single"/>
        </w:rPr>
        <w:t xml:space="preserve">      </w:t>
      </w:r>
      <w:r>
        <w:rPr>
          <w:color w:val="auto"/>
          <w:szCs w:val="21"/>
        </w:rPr>
        <w:t>标段试验检测标段</w:t>
      </w:r>
      <w:r>
        <w:rPr>
          <w:rFonts w:hint="eastAsia"/>
          <w:color w:val="auto"/>
          <w:szCs w:val="21"/>
        </w:rPr>
        <w:t>的</w:t>
      </w:r>
      <w:r>
        <w:rPr>
          <w:color w:val="auto"/>
          <w:szCs w:val="21"/>
        </w:rPr>
        <w:t>试验检测</w:t>
      </w:r>
      <w:r>
        <w:rPr>
          <w:rFonts w:hint="eastAsia"/>
          <w:color w:val="auto"/>
          <w:szCs w:val="21"/>
        </w:rPr>
        <w:t>合同协议书，并保证按协议</w:t>
      </w:r>
      <w:r>
        <w:rPr>
          <w:color w:val="auto"/>
          <w:szCs w:val="21"/>
        </w:rPr>
        <w:t>约</w:t>
      </w:r>
      <w:r>
        <w:rPr>
          <w:rFonts w:hint="eastAsia"/>
          <w:color w:val="auto"/>
          <w:szCs w:val="21"/>
        </w:rPr>
        <w:t>定支付</w:t>
      </w:r>
      <w:r>
        <w:rPr>
          <w:color w:val="auto"/>
          <w:szCs w:val="21"/>
        </w:rPr>
        <w:t>试验检测</w:t>
      </w:r>
      <w:r>
        <w:rPr>
          <w:rFonts w:hint="eastAsia"/>
          <w:color w:val="auto"/>
          <w:szCs w:val="21"/>
        </w:rPr>
        <w:t>服务费用，我们愿出具保函为发包人提供担保，金额为人民币（大写）</w:t>
      </w:r>
      <w:r>
        <w:rPr>
          <w:color w:val="auto"/>
          <w:szCs w:val="21"/>
          <w:u w:val="single"/>
        </w:rPr>
        <w:t xml:space="preserve">            </w:t>
      </w:r>
      <w:r>
        <w:rPr>
          <w:rFonts w:hint="eastAsia"/>
          <w:color w:val="auto"/>
          <w:szCs w:val="21"/>
        </w:rPr>
        <w:t>元（</w:t>
      </w:r>
      <w:r>
        <w:rPr>
          <w:color w:val="auto"/>
          <w:szCs w:val="21"/>
        </w:rPr>
        <w:t>¥</w:t>
      </w:r>
      <w:r>
        <w:rPr>
          <w:color w:val="auto"/>
          <w:szCs w:val="21"/>
          <w:u w:val="single"/>
        </w:rPr>
        <w:t xml:space="preserve">           </w:t>
      </w:r>
      <w:r>
        <w:rPr>
          <w:rFonts w:hint="eastAsia"/>
          <w:color w:val="auto"/>
          <w:szCs w:val="21"/>
        </w:rPr>
        <w:t>）。</w:t>
      </w:r>
    </w:p>
    <w:p>
      <w:pPr>
        <w:snapToGrid w:val="0"/>
        <w:ind w:firstLine="420" w:firstLineChars="200"/>
        <w:rPr>
          <w:color w:val="auto"/>
          <w:szCs w:val="21"/>
        </w:rPr>
      </w:pPr>
      <w:r>
        <w:rPr>
          <w:rFonts w:hint="eastAsia"/>
          <w:color w:val="auto"/>
          <w:szCs w:val="21"/>
        </w:rPr>
        <w:t>本保函的义务是：我们在接到</w:t>
      </w:r>
      <w:r>
        <w:rPr>
          <w:color w:val="auto"/>
          <w:szCs w:val="21"/>
        </w:rPr>
        <w:t>检测</w:t>
      </w:r>
      <w:r>
        <w:rPr>
          <w:rFonts w:hint="eastAsia"/>
          <w:color w:val="auto"/>
          <w:szCs w:val="21"/>
        </w:rPr>
        <w:t>人提出的因发包人在履行</w:t>
      </w:r>
      <w:r>
        <w:rPr>
          <w:color w:val="auto"/>
          <w:szCs w:val="21"/>
        </w:rPr>
        <w:t>试验检测合同</w:t>
      </w:r>
      <w:r>
        <w:rPr>
          <w:rFonts w:hint="eastAsia"/>
          <w:color w:val="auto"/>
          <w:szCs w:val="21"/>
        </w:rPr>
        <w:t>过程中，未能履行或违背</w:t>
      </w:r>
      <w:r>
        <w:rPr>
          <w:color w:val="auto"/>
          <w:szCs w:val="21"/>
        </w:rPr>
        <w:t>试验检测合同约</w:t>
      </w:r>
      <w:r>
        <w:rPr>
          <w:rFonts w:hint="eastAsia"/>
          <w:color w:val="auto"/>
          <w:szCs w:val="21"/>
        </w:rPr>
        <w:t>定的支付责任和义务而要求索赔的书面通知和付款凭证后的</w:t>
      </w:r>
      <w:r>
        <w:rPr>
          <w:color w:val="auto"/>
          <w:szCs w:val="21"/>
        </w:rPr>
        <w:t>14日</w:t>
      </w:r>
      <w:r>
        <w:rPr>
          <w:rFonts w:hint="eastAsia"/>
          <w:color w:val="auto"/>
          <w:szCs w:val="21"/>
        </w:rPr>
        <w:t>内，在上述担保的限额内，向</w:t>
      </w:r>
      <w:r>
        <w:rPr>
          <w:color w:val="auto"/>
          <w:szCs w:val="21"/>
        </w:rPr>
        <w:t>检测</w:t>
      </w:r>
      <w:r>
        <w:rPr>
          <w:rFonts w:hint="eastAsia"/>
          <w:color w:val="auto"/>
          <w:szCs w:val="21"/>
        </w:rPr>
        <w:t>人支付任何数额的款项，无须</w:t>
      </w:r>
      <w:r>
        <w:rPr>
          <w:color w:val="auto"/>
          <w:szCs w:val="21"/>
        </w:rPr>
        <w:t>检测</w:t>
      </w:r>
      <w:r>
        <w:rPr>
          <w:rFonts w:hint="eastAsia"/>
          <w:color w:val="auto"/>
          <w:szCs w:val="21"/>
        </w:rPr>
        <w:t>人出具证明或陈述理由。</w:t>
      </w:r>
    </w:p>
    <w:p>
      <w:pPr>
        <w:snapToGrid w:val="0"/>
        <w:ind w:firstLine="420" w:firstLineChars="200"/>
        <w:rPr>
          <w:color w:val="auto"/>
          <w:szCs w:val="21"/>
        </w:rPr>
      </w:pPr>
      <w:r>
        <w:rPr>
          <w:rFonts w:hint="eastAsia"/>
          <w:color w:val="auto"/>
          <w:szCs w:val="21"/>
        </w:rPr>
        <w:t>在向我行提出要求前，我行将不坚持要求</w:t>
      </w:r>
      <w:r>
        <w:rPr>
          <w:color w:val="auto"/>
          <w:szCs w:val="21"/>
        </w:rPr>
        <w:t>检测</w:t>
      </w:r>
      <w:r>
        <w:rPr>
          <w:rFonts w:hint="eastAsia"/>
          <w:color w:val="auto"/>
          <w:szCs w:val="21"/>
        </w:rPr>
        <w:t>人应首先向发包人索要上述款项。我行还同意，任何对协议条款所作的修改和补充都不能免除我行按本保函所应承担的义务。</w:t>
      </w:r>
    </w:p>
    <w:p>
      <w:pPr>
        <w:snapToGrid w:val="0"/>
        <w:ind w:firstLine="420" w:firstLineChars="200"/>
        <w:rPr>
          <w:color w:val="auto"/>
          <w:szCs w:val="21"/>
        </w:rPr>
      </w:pPr>
      <w:r>
        <w:rPr>
          <w:rFonts w:hint="eastAsia"/>
          <w:color w:val="auto"/>
          <w:szCs w:val="21"/>
        </w:rPr>
        <w:t>本保函自</w:t>
      </w:r>
      <w:r>
        <w:rPr>
          <w:color w:val="auto"/>
          <w:szCs w:val="21"/>
          <w:u w:val="single"/>
        </w:rPr>
        <w:t>（</w:t>
      </w:r>
      <w:r>
        <w:rPr>
          <w:rFonts w:hint="eastAsia"/>
          <w:color w:val="auto"/>
          <w:szCs w:val="21"/>
          <w:u w:val="single"/>
        </w:rPr>
        <w:t>生效日期</w:t>
      </w:r>
      <w:r>
        <w:rPr>
          <w:color w:val="auto"/>
          <w:szCs w:val="21"/>
          <w:u w:val="single"/>
        </w:rPr>
        <w:t>）</w:t>
      </w:r>
      <w:r>
        <w:rPr>
          <w:rFonts w:hint="eastAsia"/>
          <w:color w:val="auto"/>
          <w:szCs w:val="21"/>
        </w:rPr>
        <w:t>之日起生效，至</w:t>
      </w:r>
      <w:r>
        <w:rPr>
          <w:color w:val="auto"/>
          <w:szCs w:val="21"/>
          <w:u w:val="single"/>
        </w:rPr>
        <w:t>（</w:t>
      </w:r>
      <w:r>
        <w:rPr>
          <w:rFonts w:hint="eastAsia"/>
          <w:color w:val="auto"/>
          <w:szCs w:val="21"/>
          <w:u w:val="single"/>
        </w:rPr>
        <w:t>失效日期</w:t>
      </w:r>
      <w:r>
        <w:rPr>
          <w:color w:val="auto"/>
          <w:szCs w:val="21"/>
          <w:u w:val="single"/>
        </w:rPr>
        <w:t>）</w:t>
      </w:r>
      <w:r>
        <w:rPr>
          <w:rFonts w:hint="eastAsia"/>
          <w:color w:val="auto"/>
          <w:szCs w:val="21"/>
        </w:rPr>
        <w:t>之日失效，除非你方提前终止或解除本保函。保函失效后请将本保函退回我方注销。</w:t>
      </w:r>
    </w:p>
    <w:p>
      <w:pPr>
        <w:snapToGrid w:val="0"/>
        <w:rPr>
          <w:color w:val="auto"/>
          <w:szCs w:val="21"/>
        </w:rPr>
      </w:pPr>
      <w:r>
        <w:rPr>
          <w:color w:val="auto"/>
          <w:szCs w:val="21"/>
        </w:rPr>
        <w:t xml:space="preserve"> </w:t>
      </w:r>
    </w:p>
    <w:p>
      <w:pPr>
        <w:snapToGrid w:val="0"/>
        <w:ind w:firstLine="2940" w:firstLineChars="1400"/>
        <w:rPr>
          <w:color w:val="auto"/>
          <w:szCs w:val="21"/>
        </w:rPr>
      </w:pPr>
      <w:r>
        <w:rPr>
          <w:rFonts w:hint="eastAsia"/>
          <w:color w:val="auto"/>
          <w:szCs w:val="21"/>
        </w:rPr>
        <w:t>担保银行：</w:t>
      </w:r>
      <w:r>
        <w:rPr>
          <w:color w:val="auto"/>
          <w:szCs w:val="21"/>
          <w:u w:val="single"/>
        </w:rPr>
        <w:t xml:space="preserve">      </w:t>
      </w:r>
      <w:r>
        <w:rPr>
          <w:rFonts w:hint="eastAsia"/>
          <w:color w:val="auto"/>
          <w:szCs w:val="21"/>
          <w:u w:val="single"/>
        </w:rPr>
        <w:t>（全称）（盖章）</w:t>
      </w:r>
      <w:r>
        <w:rPr>
          <w:color w:val="auto"/>
          <w:szCs w:val="21"/>
          <w:u w:val="single"/>
        </w:rPr>
        <w:t xml:space="preserve">    </w:t>
      </w:r>
    </w:p>
    <w:p>
      <w:pPr>
        <w:snapToGrid w:val="0"/>
        <w:rPr>
          <w:color w:val="auto"/>
          <w:szCs w:val="21"/>
        </w:rPr>
      </w:pPr>
      <w:r>
        <w:rPr>
          <w:color w:val="auto"/>
          <w:szCs w:val="21"/>
        </w:rPr>
        <w:t xml:space="preserve"> </w:t>
      </w:r>
    </w:p>
    <w:p>
      <w:pPr>
        <w:snapToGrid w:val="0"/>
        <w:ind w:firstLine="2940" w:firstLineChars="1400"/>
        <w:rPr>
          <w:color w:val="auto"/>
          <w:szCs w:val="21"/>
        </w:rPr>
      </w:pPr>
      <w:r>
        <w:rPr>
          <w:color w:val="auto"/>
          <w:szCs w:val="21"/>
        </w:rPr>
        <w:t>法定代表人</w:t>
      </w:r>
    </w:p>
    <w:p>
      <w:pPr>
        <w:snapToGrid w:val="0"/>
        <w:ind w:firstLine="2940" w:firstLineChars="1400"/>
        <w:rPr>
          <w:color w:val="auto"/>
          <w:szCs w:val="21"/>
          <w:u w:val="single"/>
        </w:rPr>
      </w:pPr>
      <w:r>
        <w:rPr>
          <w:color w:val="auto"/>
          <w:szCs w:val="21"/>
        </w:rPr>
        <w:t>或其授权的代理人：</w:t>
      </w:r>
      <w:r>
        <w:rPr>
          <w:color w:val="auto"/>
          <w:szCs w:val="21"/>
          <w:u w:val="single"/>
        </w:rPr>
        <w:t xml:space="preserve">       （签字）  </w:t>
      </w:r>
    </w:p>
    <w:p>
      <w:pPr>
        <w:snapToGrid w:val="0"/>
        <w:ind w:firstLine="2940" w:firstLineChars="1400"/>
        <w:rPr>
          <w:color w:val="auto"/>
          <w:szCs w:val="21"/>
        </w:rPr>
      </w:pPr>
      <w:r>
        <w:rPr>
          <w:color w:val="auto"/>
          <w:szCs w:val="21"/>
        </w:rPr>
        <w:t>日期：</w:t>
      </w: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w:t>
      </w:r>
    </w:p>
    <w:p>
      <w:pPr>
        <w:spacing w:line="360" w:lineRule="auto"/>
        <w:rPr>
          <w:rFonts w:hint="eastAsia" w:asciiTheme="minorEastAsia" w:hAnsiTheme="minorEastAsia" w:eastAsiaTheme="minorEastAsia"/>
          <w:color w:val="auto"/>
          <w:sz w:val="24"/>
        </w:rPr>
      </w:pPr>
    </w:p>
    <w:p>
      <w:pPr>
        <w:widowControl/>
        <w:adjustRightInd/>
        <w:jc w:val="left"/>
        <w:rPr>
          <w:rFonts w:hint="eastAsia"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br w:type="page"/>
      </w:r>
    </w:p>
    <w:p>
      <w:pPr>
        <w:snapToGrid w:val="0"/>
        <w:spacing w:line="360" w:lineRule="auto"/>
        <w:jc w:val="center"/>
        <w:outlineLvl w:val="0"/>
        <w:rPr>
          <w:rFonts w:hint="eastAsia"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第七部分  报价清单</w:t>
      </w:r>
    </w:p>
    <w:p>
      <w:pPr>
        <w:pStyle w:val="630"/>
        <w:spacing w:after="120"/>
        <w:ind w:firstLine="422"/>
        <w:rPr>
          <w:color w:val="auto"/>
        </w:rPr>
      </w:pPr>
      <w:r>
        <w:rPr>
          <w:color w:val="auto"/>
        </w:rPr>
        <w:t>1</w:t>
      </w:r>
      <w:r>
        <w:rPr>
          <w:rFonts w:hint="eastAsia"/>
          <w:color w:val="auto"/>
        </w:rPr>
        <w:t>.</w:t>
      </w:r>
      <w:r>
        <w:rPr>
          <w:rFonts w:ascii="黑体" w:hAnsi="黑体"/>
          <w:color w:val="auto"/>
        </w:rPr>
        <w:t>报价清单说明</w:t>
      </w:r>
    </w:p>
    <w:p>
      <w:pPr>
        <w:snapToGrid w:val="0"/>
        <w:ind w:firstLine="420" w:firstLineChars="200"/>
        <w:rPr>
          <w:color w:val="auto"/>
          <w:szCs w:val="21"/>
        </w:rPr>
      </w:pPr>
      <w:r>
        <w:rPr>
          <w:rFonts w:hint="eastAsia"/>
          <w:color w:val="auto"/>
          <w:szCs w:val="21"/>
        </w:rPr>
        <w:t>1.1本报价清单应与竞争性磋商文件中的供应商须知、合同条款等一起阅读和理解。</w:t>
      </w:r>
    </w:p>
    <w:p>
      <w:pPr>
        <w:snapToGrid w:val="0"/>
        <w:ind w:firstLine="420" w:firstLineChars="200"/>
        <w:rPr>
          <w:color w:val="auto"/>
          <w:szCs w:val="21"/>
        </w:rPr>
      </w:pPr>
      <w:r>
        <w:rPr>
          <w:rFonts w:hint="eastAsia"/>
          <w:color w:val="auto"/>
          <w:szCs w:val="21"/>
        </w:rPr>
        <w:t>1.2本报价清单中所列检测数量是估算的数量，仅作为响应报价的共同基础，不作为最终结算与支付的依据。实际支付应按实际完成的数量、合同条款规定的计量方法、报价清单的单价或总额价计算支付金额。</w:t>
      </w:r>
    </w:p>
    <w:p>
      <w:pPr>
        <w:snapToGrid w:val="0"/>
        <w:ind w:firstLine="420" w:firstLineChars="200"/>
        <w:rPr>
          <w:color w:val="auto"/>
          <w:szCs w:val="21"/>
        </w:rPr>
      </w:pPr>
      <w:r>
        <w:rPr>
          <w:rFonts w:hint="eastAsia"/>
          <w:color w:val="auto"/>
          <w:szCs w:val="21"/>
        </w:rPr>
        <w:t>1.3公路工程的报价清单按《浙江省公路工程竣（交）工验收办法》中“实体检测抽查项目和外观检查项目”的相应分项编号的，各章的工程子目的范围与计量等应与“实体检测抽查项目和外观检查项目”的相应分项的范围、内容、抽查频率结合起来理解或解释。</w:t>
      </w:r>
    </w:p>
    <w:p>
      <w:pPr>
        <w:snapToGrid w:val="0"/>
        <w:ind w:firstLine="420" w:firstLineChars="200"/>
        <w:rPr>
          <w:color w:val="auto"/>
          <w:szCs w:val="21"/>
        </w:rPr>
      </w:pPr>
      <w:r>
        <w:rPr>
          <w:rFonts w:hint="eastAsia"/>
          <w:color w:val="auto"/>
          <w:szCs w:val="21"/>
        </w:rPr>
        <w:t>1.4公路工程中报价清单的检测数量按照《浙江省公路工程竣（交）工验收办法》及工程实际情况计算。</w:t>
      </w:r>
    </w:p>
    <w:p>
      <w:pPr>
        <w:snapToGrid w:val="0"/>
        <w:ind w:firstLine="420" w:firstLineChars="200"/>
        <w:rPr>
          <w:color w:val="auto"/>
          <w:szCs w:val="21"/>
        </w:rPr>
      </w:pPr>
      <w:r>
        <w:rPr>
          <w:rFonts w:hint="eastAsia"/>
          <w:color w:val="auto"/>
          <w:szCs w:val="21"/>
        </w:rPr>
        <w:t>1.5报价清单中的检测项目单价参照浙江省物价局文件《浙江省交通建设工程质量检测和工程材料试验收费标准》（以下简称“收费标准”）等现行有效的收费标准执行；若《收费标准》中没有的项目单价，由供应商根据人工费、机械设备费、企业管理费、利润和税金等内容进行组价。</w:t>
      </w:r>
    </w:p>
    <w:p>
      <w:pPr>
        <w:snapToGrid w:val="0"/>
        <w:ind w:firstLine="420" w:firstLineChars="200"/>
        <w:rPr>
          <w:color w:val="auto"/>
          <w:szCs w:val="21"/>
        </w:rPr>
      </w:pPr>
      <w:r>
        <w:rPr>
          <w:rFonts w:hint="eastAsia"/>
          <w:color w:val="auto"/>
          <w:szCs w:val="21"/>
        </w:rPr>
        <w:t>1.6供应商的报价中应包含各种税金、管理费等所有相关费用。</w:t>
      </w:r>
    </w:p>
    <w:p>
      <w:pPr>
        <w:snapToGrid w:val="0"/>
        <w:ind w:firstLine="420" w:firstLineChars="200"/>
        <w:rPr>
          <w:color w:val="auto"/>
          <w:szCs w:val="21"/>
        </w:rPr>
      </w:pPr>
      <w:r>
        <w:rPr>
          <w:rFonts w:hint="eastAsia"/>
          <w:color w:val="auto"/>
          <w:szCs w:val="21"/>
        </w:rPr>
        <w:t>1.7报价清单中的每一子目须填入单价或价格，且只允许有一个报价。</w:t>
      </w:r>
    </w:p>
    <w:p>
      <w:pPr>
        <w:snapToGrid w:val="0"/>
        <w:ind w:firstLine="420" w:firstLineChars="200"/>
        <w:rPr>
          <w:color w:val="auto"/>
          <w:szCs w:val="21"/>
        </w:rPr>
      </w:pPr>
      <w:r>
        <w:rPr>
          <w:rFonts w:hint="eastAsia"/>
          <w:color w:val="auto"/>
          <w:szCs w:val="21"/>
        </w:rPr>
        <w:t>1.8除非合同另有规定，报价清单中有标价的单价和总额价均已包括了为实施和完成合同工程所需的劳务、材料、机械、质检（自检）、安装、缺陷修复、方案评审、交通管制、管理、保险、税费、利润等费用，以及合同明示或隐含的所有责任、义务和一般风险。</w:t>
      </w:r>
    </w:p>
    <w:p>
      <w:pPr>
        <w:snapToGrid w:val="0"/>
        <w:ind w:firstLine="420" w:firstLineChars="200"/>
        <w:rPr>
          <w:color w:val="auto"/>
          <w:szCs w:val="21"/>
        </w:rPr>
      </w:pPr>
      <w:r>
        <w:rPr>
          <w:rFonts w:hint="eastAsia"/>
          <w:color w:val="auto"/>
          <w:szCs w:val="21"/>
        </w:rPr>
        <w:t>1.9符合合同条款规定的全部费用应认为已被计入有标价的报价清单所列各子目之中，未列子目的工程内容不予计量，其费用应视为已分摊在本合同工程的有关子目工程的单价或合价之中。</w:t>
      </w:r>
    </w:p>
    <w:p>
      <w:pPr>
        <w:snapToGrid w:val="0"/>
        <w:ind w:firstLine="420" w:firstLineChars="200"/>
        <w:rPr>
          <w:color w:val="auto"/>
          <w:szCs w:val="21"/>
        </w:rPr>
      </w:pPr>
      <w:r>
        <w:rPr>
          <w:rFonts w:hint="eastAsia"/>
          <w:color w:val="auto"/>
          <w:szCs w:val="21"/>
        </w:rPr>
        <w:t>1.10报价清单中各项金额均以人民币（元）结算。</w:t>
      </w:r>
    </w:p>
    <w:p>
      <w:pPr>
        <w:snapToGrid w:val="0"/>
        <w:ind w:firstLine="420" w:firstLineChars="200"/>
        <w:rPr>
          <w:color w:val="auto"/>
          <w:szCs w:val="21"/>
        </w:rPr>
      </w:pPr>
      <w:r>
        <w:rPr>
          <w:rFonts w:hint="eastAsia"/>
          <w:color w:val="auto"/>
          <w:szCs w:val="21"/>
        </w:rPr>
        <w:t>1.11安全生产费应不低于响应总报价（除100章的费用外）的1.5%。</w:t>
      </w:r>
    </w:p>
    <w:p>
      <w:pPr>
        <w:snapToGrid w:val="0"/>
        <w:ind w:firstLine="420" w:firstLineChars="200"/>
        <w:rPr>
          <w:color w:val="auto"/>
          <w:szCs w:val="21"/>
        </w:rPr>
      </w:pPr>
      <w:r>
        <w:rPr>
          <w:rFonts w:hint="eastAsia"/>
          <w:color w:val="auto"/>
          <w:szCs w:val="21"/>
        </w:rPr>
        <w:t>1.12暂列金额的数量及拟用子目的说明：</w:t>
      </w:r>
      <w:r>
        <w:rPr>
          <w:rFonts w:hint="eastAsia"/>
          <w:color w:val="auto"/>
          <w:szCs w:val="21"/>
          <w:u w:val="single"/>
        </w:rPr>
        <w:t>工程量清单合计（除100章费用外）的3%</w:t>
      </w:r>
      <w:r>
        <w:rPr>
          <w:rFonts w:hint="eastAsia"/>
          <w:color w:val="auto"/>
          <w:szCs w:val="21"/>
        </w:rPr>
        <w:t>。</w:t>
      </w:r>
    </w:p>
    <w:p>
      <w:pPr>
        <w:pStyle w:val="630"/>
        <w:spacing w:after="120"/>
        <w:ind w:firstLine="422"/>
        <w:rPr>
          <w:color w:val="auto"/>
        </w:rPr>
      </w:pPr>
      <w:r>
        <w:rPr>
          <w:color w:val="auto"/>
        </w:rPr>
        <w:t>2.</w:t>
      </w:r>
      <w:r>
        <w:rPr>
          <w:rFonts w:ascii="黑体" w:hAnsi="黑体"/>
          <w:color w:val="auto"/>
        </w:rPr>
        <w:t>其他说明</w:t>
      </w:r>
    </w:p>
    <w:p>
      <w:pPr>
        <w:snapToGrid w:val="0"/>
        <w:ind w:firstLine="420" w:firstLineChars="200"/>
        <w:rPr>
          <w:bCs/>
          <w:color w:val="auto"/>
          <w:szCs w:val="21"/>
        </w:rPr>
      </w:pPr>
      <w:r>
        <w:rPr>
          <w:rFonts w:hint="eastAsia"/>
          <w:bCs/>
          <w:color w:val="auto"/>
          <w:szCs w:val="21"/>
        </w:rPr>
        <w:t>2.1 在发成交通知书之前，采购人对成交供应商响应文件中的明显不平衡报价，在总价保持不变的前提下，有权要求供应商作出调整。</w:t>
      </w:r>
    </w:p>
    <w:p>
      <w:pPr>
        <w:snapToGrid w:val="0"/>
        <w:ind w:firstLine="420" w:firstLineChars="200"/>
        <w:rPr>
          <w:bCs/>
          <w:color w:val="auto"/>
          <w:szCs w:val="21"/>
        </w:rPr>
      </w:pPr>
      <w:r>
        <w:rPr>
          <w:rFonts w:hint="eastAsia"/>
          <w:bCs/>
          <w:color w:val="auto"/>
          <w:szCs w:val="21"/>
        </w:rPr>
        <w:t>2.2 检测人的所有试验检测设备须满足本项目的实际要求，若实际实施过程中试验检测发生调整，检测人须无条件进行相应调整和增加。</w:t>
      </w:r>
    </w:p>
    <w:p>
      <w:pPr>
        <w:snapToGrid w:val="0"/>
        <w:ind w:firstLine="420" w:firstLineChars="200"/>
        <w:rPr>
          <w:bCs/>
          <w:color w:val="auto"/>
          <w:szCs w:val="21"/>
        </w:rPr>
      </w:pPr>
      <w:r>
        <w:rPr>
          <w:rFonts w:hint="eastAsia"/>
          <w:bCs/>
          <w:color w:val="auto"/>
          <w:szCs w:val="21"/>
        </w:rPr>
        <w:t>2.3 检测人应综合考虑本项目检测方案、方法的特殊性和不确定性，根据项目总体进度计划和阶段性计划以及发包人的要求合理安排好检测设备、人员进场，必要时应切实加大设备、人力的投入并经监理人、发包人审批认可，由此增加的费用认为已包括在响应价之中，发包人不另行支付，检测人因综合考虑各种相关因素进行报价。</w:t>
      </w:r>
    </w:p>
    <w:p>
      <w:pPr>
        <w:snapToGrid w:val="0"/>
        <w:ind w:firstLine="420" w:firstLineChars="200"/>
        <w:rPr>
          <w:bCs/>
          <w:color w:val="auto"/>
          <w:szCs w:val="21"/>
        </w:rPr>
      </w:pPr>
      <w:r>
        <w:rPr>
          <w:rFonts w:hint="eastAsia"/>
          <w:bCs/>
          <w:color w:val="auto"/>
          <w:szCs w:val="21"/>
        </w:rPr>
        <w:t>2.4 供应商的报价清单所有子目的单价不应超过《浙江省物价局关于调整交通建设工程质量检测和工程材料试验收费标准的复函》（浙价服〔2013〕264号）规定的收费标准，如出现超过收费标准的情况，采购人有权要求供应商在总价不变的前提下做出调整。</w:t>
      </w:r>
    </w:p>
    <w:p>
      <w:pPr>
        <w:snapToGrid w:val="0"/>
        <w:ind w:firstLine="420" w:firstLineChars="200"/>
        <w:rPr>
          <w:bCs/>
          <w:color w:val="auto"/>
          <w:szCs w:val="21"/>
        </w:rPr>
      </w:pPr>
      <w:r>
        <w:rPr>
          <w:rFonts w:hint="eastAsia"/>
          <w:bCs/>
          <w:color w:val="auto"/>
          <w:szCs w:val="21"/>
        </w:rPr>
        <w:t>2.5 报价清单子目名称对应的检测内容，若存在多种检测方法时，供应商应充分进行考虑，在工程实施期间发包人有权要求承包人采用最有效的方法进行检测，且单价不予调整。</w:t>
      </w:r>
    </w:p>
    <w:p>
      <w:pPr>
        <w:pStyle w:val="3"/>
        <w:numPr>
          <w:ilvl w:val="0"/>
          <w:numId w:val="0"/>
        </w:numPr>
        <w:rPr>
          <w:rFonts w:hint="eastAsia"/>
          <w:color w:val="auto"/>
        </w:rPr>
      </w:pPr>
      <w:r>
        <w:rPr>
          <w:color w:val="auto"/>
        </w:rPr>
        <w:br w:type="page"/>
      </w:r>
      <w:r>
        <w:rPr>
          <w:rFonts w:hint="eastAsia"/>
          <w:color w:val="auto"/>
        </w:rPr>
        <w:t>3</w:t>
      </w:r>
      <w:r>
        <w:rPr>
          <w:color w:val="auto"/>
        </w:rPr>
        <w:t>.</w:t>
      </w:r>
      <w:r>
        <w:rPr>
          <w:rFonts w:hint="eastAsia"/>
          <w:color w:val="auto"/>
        </w:rPr>
        <w:t>报价清单表</w:t>
      </w:r>
    </w:p>
    <w:p>
      <w:pPr>
        <w:ind w:firstLine="420" w:firstLineChars="200"/>
        <w:rPr>
          <w:color w:val="auto"/>
        </w:rPr>
      </w:pPr>
      <w:r>
        <w:rPr>
          <w:rFonts w:hint="eastAsia"/>
          <w:color w:val="auto"/>
        </w:rPr>
        <w:t>3.1 公路工程交竣工检测报价清单表</w:t>
      </w:r>
    </w:p>
    <w:p>
      <w:pPr>
        <w:snapToGrid w:val="0"/>
        <w:spacing w:line="360" w:lineRule="auto"/>
        <w:jc w:val="center"/>
        <w:rPr>
          <w:rFonts w:hint="eastAsia" w:ascii="黑体" w:hAnsi="黑体" w:eastAsia="黑体"/>
          <w:color w:val="auto"/>
          <w:sz w:val="32"/>
          <w:szCs w:val="32"/>
        </w:rPr>
      </w:pPr>
      <w:r>
        <w:rPr>
          <w:rFonts w:hint="eastAsia" w:ascii="黑体" w:hAnsi="黑体" w:eastAsia="黑体"/>
          <w:color w:val="auto"/>
          <w:sz w:val="32"/>
          <w:szCs w:val="32"/>
        </w:rPr>
        <w:t>报价清单表</w:t>
      </w:r>
    </w:p>
    <w:p>
      <w:pPr>
        <w:snapToGrid w:val="0"/>
        <w:spacing w:line="360" w:lineRule="auto"/>
        <w:ind w:firstLine="6930" w:firstLineChars="3300"/>
        <w:rPr>
          <w:color w:val="auto"/>
          <w:szCs w:val="21"/>
        </w:rPr>
      </w:pPr>
      <w:r>
        <w:rPr>
          <w:rFonts w:hint="eastAsia" w:ascii="宋体" w:hAnsi="宋体"/>
          <w:color w:val="auto"/>
        </w:rPr>
        <w:t>第</w:t>
      </w:r>
      <w:r>
        <w:rPr>
          <w:rFonts w:hint="eastAsia"/>
          <w:color w:val="auto"/>
          <w:u w:val="single"/>
        </w:rPr>
        <w:t xml:space="preserve"> </w:t>
      </w:r>
      <w:r>
        <w:rPr>
          <w:color w:val="auto"/>
          <w:u w:val="single"/>
        </w:rPr>
        <w:t xml:space="preserve">    </w:t>
      </w:r>
      <w:r>
        <w:rPr>
          <w:rFonts w:hint="eastAsia" w:ascii="宋体" w:hAnsi="宋体"/>
          <w:color w:val="auto"/>
        </w:rPr>
        <w:t>标段</w:t>
      </w:r>
    </w:p>
    <w:tbl>
      <w:tblPr>
        <w:tblStyle w:val="6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26"/>
        <w:gridCol w:w="3251"/>
        <w:gridCol w:w="849"/>
        <w:gridCol w:w="1016"/>
        <w:gridCol w:w="1017"/>
        <w:gridCol w:w="10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8276" w:type="dxa"/>
            <w:gridSpan w:val="6"/>
            <w:tcBorders>
              <w:top w:val="single" w:color="auto" w:sz="12" w:space="0"/>
              <w:left w:val="single" w:color="auto" w:sz="12" w:space="0"/>
              <w:bottom w:val="single" w:color="auto" w:sz="6" w:space="0"/>
              <w:right w:val="single" w:color="auto" w:sz="12" w:space="0"/>
            </w:tcBorders>
            <w:vAlign w:val="center"/>
          </w:tcPr>
          <w:p>
            <w:pPr>
              <w:snapToGrid w:val="0"/>
              <w:jc w:val="center"/>
              <w:rPr>
                <w:b/>
                <w:bCs/>
                <w:color w:val="auto"/>
              </w:rPr>
            </w:pPr>
            <w:r>
              <w:rPr>
                <w:rFonts w:hint="eastAsia" w:ascii="宋体" w:hAnsi="宋体"/>
                <w:b/>
                <w:bCs/>
                <w:color w:val="auto"/>
              </w:rPr>
              <w:t>第</w:t>
            </w:r>
            <w:r>
              <w:rPr>
                <w:rFonts w:hint="eastAsia"/>
                <w:b/>
                <w:bCs/>
                <w:color w:val="auto"/>
              </w:rPr>
              <w:t>1</w:t>
            </w:r>
            <w:r>
              <w:rPr>
                <w:b/>
                <w:bCs/>
                <w:color w:val="auto"/>
              </w:rPr>
              <w:t>00</w:t>
            </w:r>
            <w:r>
              <w:rPr>
                <w:rFonts w:hint="eastAsia" w:ascii="宋体" w:hAnsi="宋体"/>
                <w:b/>
                <w:bCs/>
                <w:color w:val="auto"/>
              </w:rPr>
              <w:t>章</w:t>
            </w:r>
            <w:r>
              <w:rPr>
                <w:rFonts w:hint="eastAsia"/>
                <w:b/>
                <w:bCs/>
                <w:color w:val="auto"/>
              </w:rPr>
              <w:t xml:space="preserve"> </w:t>
            </w:r>
            <w:r>
              <w:rPr>
                <w:b/>
                <w:bCs/>
                <w:color w:val="auto"/>
              </w:rPr>
              <w:t xml:space="preserve"> </w:t>
            </w:r>
            <w:r>
              <w:rPr>
                <w:rFonts w:hint="eastAsia" w:ascii="宋体" w:hAnsi="宋体"/>
                <w:b/>
                <w:bCs/>
                <w:color w:val="auto"/>
              </w:rPr>
              <w:t>总则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子目号</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子目名称</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单位</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数量</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单价</w:t>
            </w: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黑体" w:hAnsi="黑体" w:eastAsia="黑体"/>
                <w:color w:val="auto"/>
              </w:rPr>
            </w:pPr>
            <w:r>
              <w:rPr>
                <w:rFonts w:hint="eastAsia" w:ascii="黑体" w:hAnsi="黑体" w:eastAsia="黑体"/>
                <w:color w:val="auto"/>
              </w:rPr>
              <w:t>合价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101</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rStyle w:val="639"/>
                <w:rFonts w:hint="default"/>
                <w:color w:val="auto"/>
              </w:rPr>
              <w:t>安全生产费</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rStyle w:val="639"/>
                <w:rFonts w:hint="default"/>
                <w:color w:val="auto"/>
              </w:rPr>
              <w:t>总额</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rFonts w:eastAsia="等线"/>
                <w:color w:val="auto"/>
              </w:rPr>
            </w:pPr>
            <w:r>
              <w:rPr>
                <w:color w:val="auto"/>
                <w:sz w:val="20"/>
                <w:szCs w:val="20"/>
              </w:rPr>
              <w:t>103</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rStyle w:val="639"/>
                <w:rFonts w:hint="default"/>
                <w:color w:val="auto"/>
              </w:rPr>
              <w:t>现场费用</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103-1</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rStyle w:val="639"/>
                <w:rFonts w:hint="default"/>
                <w:color w:val="auto"/>
              </w:rPr>
              <w:t>办公、生活用房</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rStyle w:val="639"/>
                <w:rFonts w:hint="default"/>
                <w:color w:val="auto"/>
              </w:rPr>
              <w:t>总额</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103-2</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rStyle w:val="639"/>
                <w:rFonts w:hint="default"/>
                <w:color w:val="auto"/>
              </w:rPr>
              <w:t>交通设施</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rStyle w:val="639"/>
                <w:rFonts w:hint="default"/>
                <w:color w:val="auto"/>
              </w:rPr>
              <w:t>总额</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103-3</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rStyle w:val="639"/>
                <w:rFonts w:hint="default"/>
                <w:color w:val="auto"/>
              </w:rPr>
              <w:t>通讯设施</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rStyle w:val="639"/>
                <w:rFonts w:hint="default"/>
                <w:color w:val="auto"/>
              </w:rPr>
              <w:t>总额</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103-4</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rStyle w:val="639"/>
                <w:rFonts w:hint="default"/>
                <w:color w:val="auto"/>
              </w:rPr>
              <w:t>办公、生活设施用品</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rStyle w:val="639"/>
                <w:rFonts w:hint="default"/>
                <w:color w:val="auto"/>
              </w:rPr>
              <w:t>总额</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8276" w:type="dxa"/>
            <w:gridSpan w:val="6"/>
            <w:tcBorders>
              <w:top w:val="single" w:color="auto" w:sz="6" w:space="0"/>
              <w:left w:val="single" w:color="auto" w:sz="12" w:space="0"/>
              <w:bottom w:val="single" w:color="auto" w:sz="12" w:space="0"/>
              <w:right w:val="single" w:color="auto" w:sz="12" w:space="0"/>
            </w:tcBorders>
            <w:vAlign w:val="center"/>
          </w:tcPr>
          <w:p>
            <w:pPr>
              <w:snapToGrid w:val="0"/>
              <w:jc w:val="center"/>
              <w:rPr>
                <w:b/>
                <w:bCs/>
                <w:color w:val="auto"/>
              </w:rPr>
            </w:pPr>
            <w:r>
              <w:rPr>
                <w:rFonts w:hint="eastAsia" w:ascii="宋体" w:hAnsi="宋体"/>
                <w:b/>
                <w:bCs/>
                <w:color w:val="auto"/>
              </w:rPr>
              <w:t>第</w:t>
            </w:r>
            <w:r>
              <w:rPr>
                <w:rFonts w:hint="eastAsia"/>
                <w:b/>
                <w:bCs/>
                <w:color w:val="auto"/>
              </w:rPr>
              <w:t>1</w:t>
            </w:r>
            <w:r>
              <w:rPr>
                <w:b/>
                <w:bCs/>
                <w:color w:val="auto"/>
              </w:rPr>
              <w:t>00</w:t>
            </w:r>
            <w:r>
              <w:rPr>
                <w:rFonts w:hint="eastAsia" w:ascii="宋体" w:hAnsi="宋体"/>
                <w:b/>
                <w:bCs/>
                <w:color w:val="auto"/>
              </w:rPr>
              <w:t>章合计</w:t>
            </w:r>
            <w:r>
              <w:rPr>
                <w:rFonts w:hint="eastAsia"/>
                <w:b/>
                <w:bCs/>
                <w:color w:val="auto"/>
              </w:rPr>
              <w:t xml:space="preserve"> </w:t>
            </w:r>
            <w:r>
              <w:rPr>
                <w:b/>
                <w:bCs/>
                <w:color w:val="auto"/>
              </w:rPr>
              <w:t xml:space="preserve"> </w:t>
            </w:r>
            <w:r>
              <w:rPr>
                <w:rFonts w:hint="eastAsia" w:ascii="宋体" w:hAnsi="宋体"/>
                <w:b/>
                <w:bCs/>
                <w:color w:val="auto"/>
              </w:rPr>
              <w:t>人民币</w:t>
            </w:r>
            <w:r>
              <w:rPr>
                <w:b/>
                <w:bCs/>
                <w:color w:val="auto"/>
                <w:u w:val="single"/>
              </w:rPr>
              <w:t xml:space="preserve">          </w:t>
            </w:r>
            <w:r>
              <w:rPr>
                <w:rFonts w:hint="eastAsia" w:ascii="宋体" w:hAnsi="宋体"/>
                <w:b/>
                <w:bCs/>
                <w:color w:val="auto"/>
              </w:rPr>
              <w:t>元</w:t>
            </w:r>
          </w:p>
        </w:tc>
      </w:tr>
    </w:tbl>
    <w:p>
      <w:pPr>
        <w:widowControl/>
        <w:jc w:val="left"/>
        <w:rPr>
          <w:color w:val="auto"/>
          <w:szCs w:val="21"/>
        </w:rPr>
      </w:pPr>
      <w:r>
        <w:rPr>
          <w:color w:val="auto"/>
        </w:rPr>
        <w:br w:type="page"/>
      </w:r>
    </w:p>
    <w:p>
      <w:pPr>
        <w:snapToGrid w:val="0"/>
        <w:spacing w:line="360" w:lineRule="auto"/>
        <w:rPr>
          <w:color w:val="auto"/>
        </w:rPr>
      </w:pPr>
      <w:r>
        <w:rPr>
          <w:color w:val="auto"/>
        </w:rPr>
        <w:t xml:space="preserve"> </w:t>
      </w:r>
    </w:p>
    <w:tbl>
      <w:tblPr>
        <w:tblStyle w:val="6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26"/>
        <w:gridCol w:w="3251"/>
        <w:gridCol w:w="849"/>
        <w:gridCol w:w="1016"/>
        <w:gridCol w:w="1017"/>
        <w:gridCol w:w="10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8276" w:type="dxa"/>
            <w:gridSpan w:val="6"/>
            <w:tcBorders>
              <w:top w:val="nil"/>
              <w:left w:val="nil"/>
              <w:bottom w:val="nil"/>
              <w:right w:val="nil"/>
            </w:tcBorders>
            <w:vAlign w:val="center"/>
          </w:tcPr>
          <w:p>
            <w:pPr>
              <w:snapToGrid w:val="0"/>
              <w:jc w:val="center"/>
              <w:rPr>
                <w:b/>
                <w:bCs/>
                <w:color w:val="auto"/>
              </w:rPr>
            </w:pPr>
            <w:r>
              <w:rPr>
                <w:rFonts w:hint="eastAsia" w:ascii="黑体" w:hAnsi="黑体" w:eastAsia="黑体"/>
                <w:color w:val="auto"/>
                <w:sz w:val="32"/>
                <w:szCs w:val="32"/>
              </w:rPr>
              <w:t>报价清单表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8276" w:type="dxa"/>
            <w:gridSpan w:val="6"/>
            <w:tcBorders>
              <w:top w:val="nil"/>
              <w:left w:val="nil"/>
              <w:bottom w:val="single" w:color="auto" w:sz="12" w:space="0"/>
              <w:right w:val="nil"/>
            </w:tcBorders>
            <w:vAlign w:val="center"/>
          </w:tcPr>
          <w:p>
            <w:pPr>
              <w:snapToGrid w:val="0"/>
              <w:jc w:val="right"/>
              <w:rPr>
                <w:b/>
                <w:bCs/>
                <w:color w:val="auto"/>
              </w:rPr>
            </w:pPr>
            <w:r>
              <w:rPr>
                <w:rFonts w:hint="eastAsia" w:ascii="宋体" w:hAnsi="宋体"/>
                <w:color w:val="auto"/>
              </w:rPr>
              <w:t>第</w:t>
            </w:r>
            <w:r>
              <w:rPr>
                <w:color w:val="auto"/>
                <w:u w:val="single"/>
              </w:rPr>
              <w:t xml:space="preserve">     </w:t>
            </w:r>
            <w:r>
              <w:rPr>
                <w:rFonts w:hint="eastAsia" w:ascii="宋体" w:hAnsi="宋体"/>
                <w:color w:val="auto"/>
              </w:rPr>
              <w:t>标段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8276" w:type="dxa"/>
            <w:gridSpan w:val="6"/>
            <w:tcBorders>
              <w:top w:val="single" w:color="auto" w:sz="12" w:space="0"/>
              <w:left w:val="single" w:color="auto" w:sz="12" w:space="0"/>
              <w:bottom w:val="single" w:color="auto" w:sz="6" w:space="0"/>
              <w:right w:val="single" w:color="auto" w:sz="12" w:space="0"/>
            </w:tcBorders>
            <w:vAlign w:val="center"/>
          </w:tcPr>
          <w:p>
            <w:pPr>
              <w:snapToGrid w:val="0"/>
              <w:jc w:val="center"/>
              <w:rPr>
                <w:b/>
                <w:bCs/>
                <w:color w:val="auto"/>
              </w:rPr>
            </w:pPr>
            <w:r>
              <w:rPr>
                <w:rFonts w:hint="eastAsia" w:ascii="宋体" w:hAnsi="宋体"/>
                <w:b/>
                <w:bCs/>
                <w:color w:val="auto"/>
              </w:rPr>
              <w:t>第</w:t>
            </w:r>
            <w:r>
              <w:rPr>
                <w:rFonts w:hint="eastAsia"/>
                <w:b/>
                <w:bCs/>
                <w:color w:val="auto"/>
              </w:rPr>
              <w:t>2</w:t>
            </w:r>
            <w:r>
              <w:rPr>
                <w:b/>
                <w:bCs/>
                <w:color w:val="auto"/>
              </w:rPr>
              <w:t>00</w:t>
            </w:r>
            <w:r>
              <w:rPr>
                <w:rFonts w:hint="eastAsia" w:ascii="宋体" w:hAnsi="宋体"/>
                <w:b/>
                <w:bCs/>
                <w:color w:val="auto"/>
              </w:rPr>
              <w:t>章</w:t>
            </w:r>
            <w:r>
              <w:rPr>
                <w:rFonts w:hint="eastAsia"/>
                <w:b/>
                <w:bCs/>
                <w:color w:val="auto"/>
              </w:rPr>
              <w:t xml:space="preserve"> </w:t>
            </w:r>
            <w:r>
              <w:rPr>
                <w:b/>
                <w:bCs/>
                <w:color w:val="auto"/>
              </w:rPr>
              <w:t xml:space="preserve"> </w:t>
            </w:r>
            <w:r>
              <w:rPr>
                <w:rFonts w:hint="eastAsia" w:ascii="宋体" w:hAnsi="宋体"/>
                <w:b/>
                <w:bCs/>
                <w:color w:val="auto"/>
              </w:rPr>
              <w:t>路基工程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子目号</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子目名称</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单位</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数量</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单价</w:t>
            </w: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黑体" w:hAnsi="黑体" w:eastAsia="黑体"/>
                <w:color w:val="auto"/>
              </w:rPr>
            </w:pPr>
            <w:r>
              <w:rPr>
                <w:rFonts w:hint="eastAsia" w:ascii="黑体" w:hAnsi="黑体" w:eastAsia="黑体"/>
                <w:color w:val="auto"/>
              </w:rPr>
              <w:t>合价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201</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路基土石方</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b/>
                <w:bCs/>
                <w:color w:val="auto"/>
              </w:rPr>
            </w:pPr>
            <w:r>
              <w:rPr>
                <w:color w:val="auto"/>
                <w:sz w:val="20"/>
                <w:szCs w:val="20"/>
              </w:rPr>
              <w:t>201-1</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b/>
                <w:bCs/>
                <w:color w:val="auto"/>
              </w:rPr>
            </w:pPr>
            <w:r>
              <w:rPr>
                <w:color w:val="auto"/>
                <w:sz w:val="20"/>
                <w:szCs w:val="20"/>
              </w:rPr>
              <w:t>压实度</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b/>
                <w:bCs/>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b/>
                <w:bCs/>
                <w:color w:val="auto"/>
              </w:rPr>
            </w:pPr>
            <w:r>
              <w:rPr>
                <w:color w:val="auto"/>
                <w:sz w:val="20"/>
                <w:szCs w:val="20"/>
              </w:rPr>
              <w:t>-a</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b/>
                <w:bCs/>
                <w:color w:val="auto"/>
              </w:rPr>
            </w:pPr>
            <w:r>
              <w:rPr>
                <w:rFonts w:hint="eastAsia"/>
                <w:color w:val="auto"/>
                <w:sz w:val="20"/>
                <w:szCs w:val="20"/>
              </w:rPr>
              <w:t>灌砂法</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点</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47</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b/>
                <w:bCs/>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b/>
                <w:bCs/>
                <w:color w:val="auto"/>
              </w:rPr>
            </w:pPr>
            <w:r>
              <w:rPr>
                <w:color w:val="auto"/>
                <w:sz w:val="20"/>
                <w:szCs w:val="20"/>
              </w:rPr>
              <w:t>201-2</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b/>
                <w:bCs/>
                <w:color w:val="auto"/>
              </w:rPr>
            </w:pPr>
            <w:r>
              <w:rPr>
                <w:color w:val="auto"/>
                <w:sz w:val="20"/>
                <w:szCs w:val="20"/>
              </w:rPr>
              <w:t>弯沉（落锤式）</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点</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480</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b/>
                <w:bCs/>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b/>
                <w:bCs/>
                <w:color w:val="auto"/>
              </w:rPr>
            </w:pPr>
            <w:r>
              <w:rPr>
                <w:color w:val="auto"/>
                <w:sz w:val="20"/>
                <w:szCs w:val="20"/>
              </w:rPr>
              <w:t>201-3</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b/>
                <w:bCs/>
                <w:color w:val="auto"/>
              </w:rPr>
            </w:pPr>
            <w:r>
              <w:rPr>
                <w:color w:val="auto"/>
                <w:sz w:val="20"/>
                <w:szCs w:val="20"/>
              </w:rPr>
              <w:t>边坡</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处</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12</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b/>
                <w:bCs/>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b/>
                <w:bCs/>
                <w:color w:val="auto"/>
              </w:rPr>
            </w:pPr>
            <w:r>
              <w:rPr>
                <w:color w:val="auto"/>
                <w:sz w:val="20"/>
                <w:szCs w:val="20"/>
              </w:rPr>
              <w:t>202</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b/>
                <w:bCs/>
                <w:color w:val="auto"/>
              </w:rPr>
            </w:pPr>
            <w:r>
              <w:rPr>
                <w:rFonts w:hint="eastAsia"/>
                <w:color w:val="auto"/>
                <w:sz w:val="20"/>
                <w:szCs w:val="20"/>
              </w:rPr>
              <w:t>软基处理</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b/>
                <w:bCs/>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b/>
                <w:bCs/>
                <w:color w:val="auto"/>
              </w:rPr>
            </w:pPr>
            <w:r>
              <w:rPr>
                <w:color w:val="auto"/>
                <w:sz w:val="20"/>
                <w:szCs w:val="20"/>
              </w:rPr>
              <w:t>202-1</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b/>
                <w:bCs/>
                <w:color w:val="auto"/>
              </w:rPr>
            </w:pPr>
            <w:r>
              <w:rPr>
                <w:rFonts w:hint="eastAsia"/>
                <w:color w:val="auto"/>
                <w:sz w:val="20"/>
                <w:szCs w:val="20"/>
              </w:rPr>
              <w:t>月沉降量</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点.次</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300</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b/>
                <w:bCs/>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b/>
                <w:bCs/>
                <w:color w:val="auto"/>
              </w:rPr>
            </w:pPr>
            <w:r>
              <w:rPr>
                <w:color w:val="auto"/>
                <w:sz w:val="20"/>
                <w:szCs w:val="20"/>
              </w:rPr>
              <w:t>202-2</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b/>
                <w:bCs/>
                <w:color w:val="auto"/>
              </w:rPr>
            </w:pPr>
            <w:r>
              <w:rPr>
                <w:rFonts w:hint="eastAsia"/>
                <w:color w:val="auto"/>
                <w:sz w:val="20"/>
                <w:szCs w:val="20"/>
              </w:rPr>
              <w:t>水泥搅拌桩</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b/>
                <w:bCs/>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b/>
                <w:bCs/>
                <w:color w:val="auto"/>
              </w:rPr>
            </w:pPr>
            <w:r>
              <w:rPr>
                <w:color w:val="auto"/>
                <w:sz w:val="20"/>
                <w:szCs w:val="20"/>
              </w:rPr>
              <w:t>-a</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b/>
                <w:bCs/>
                <w:color w:val="auto"/>
              </w:rPr>
            </w:pPr>
            <w:r>
              <w:rPr>
                <w:rFonts w:hint="eastAsia"/>
                <w:color w:val="auto"/>
                <w:sz w:val="20"/>
                <w:szCs w:val="20"/>
              </w:rPr>
              <w:t>取芯（无侧限抗压强度、取芯率）</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米</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1471</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b/>
                <w:bCs/>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b/>
                <w:bCs/>
                <w:color w:val="auto"/>
              </w:rPr>
            </w:pPr>
            <w:r>
              <w:rPr>
                <w:color w:val="auto"/>
                <w:sz w:val="20"/>
                <w:szCs w:val="20"/>
              </w:rPr>
              <w:t>-b</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b/>
                <w:bCs/>
                <w:color w:val="auto"/>
              </w:rPr>
            </w:pPr>
            <w:r>
              <w:rPr>
                <w:rFonts w:hint="eastAsia"/>
                <w:color w:val="auto"/>
                <w:sz w:val="20"/>
                <w:szCs w:val="20"/>
              </w:rPr>
              <w:t>承载力（竖向增强体）</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根</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18</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b/>
                <w:bCs/>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b/>
                <w:bCs/>
                <w:color w:val="auto"/>
              </w:rPr>
            </w:pPr>
            <w:r>
              <w:rPr>
                <w:color w:val="auto"/>
                <w:sz w:val="20"/>
                <w:szCs w:val="20"/>
              </w:rPr>
              <w:t>204</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b/>
                <w:bCs/>
                <w:color w:val="auto"/>
              </w:rPr>
            </w:pPr>
            <w:r>
              <w:rPr>
                <w:rFonts w:hint="eastAsia"/>
                <w:color w:val="auto"/>
                <w:sz w:val="20"/>
                <w:szCs w:val="20"/>
              </w:rPr>
              <w:t>排水工程</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b/>
                <w:bCs/>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b/>
                <w:bCs/>
                <w:color w:val="auto"/>
              </w:rPr>
            </w:pPr>
            <w:r>
              <w:rPr>
                <w:color w:val="auto"/>
                <w:sz w:val="20"/>
                <w:szCs w:val="20"/>
              </w:rPr>
              <w:t>204-1</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b/>
                <w:bCs/>
                <w:color w:val="auto"/>
              </w:rPr>
            </w:pPr>
            <w:r>
              <w:rPr>
                <w:color w:val="auto"/>
                <w:sz w:val="20"/>
                <w:szCs w:val="20"/>
              </w:rPr>
              <w:t>断面尺寸</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处</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24</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b/>
                <w:bCs/>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b/>
                <w:bCs/>
                <w:color w:val="auto"/>
              </w:rPr>
            </w:pPr>
            <w:r>
              <w:rPr>
                <w:color w:val="auto"/>
                <w:sz w:val="20"/>
                <w:szCs w:val="20"/>
              </w:rPr>
              <w:t>204-2</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b/>
                <w:bCs/>
                <w:color w:val="auto"/>
              </w:rPr>
            </w:pPr>
            <w:r>
              <w:rPr>
                <w:rFonts w:hint="eastAsia"/>
                <w:color w:val="auto"/>
                <w:sz w:val="20"/>
                <w:szCs w:val="20"/>
              </w:rPr>
              <w:t>铺砌厚度</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处</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36</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b/>
                <w:bCs/>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b/>
                <w:bCs/>
                <w:color w:val="auto"/>
              </w:rPr>
            </w:pPr>
            <w:r>
              <w:rPr>
                <w:color w:val="auto"/>
                <w:sz w:val="20"/>
                <w:szCs w:val="20"/>
              </w:rPr>
              <w:t>206</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b/>
                <w:bCs/>
                <w:color w:val="auto"/>
              </w:rPr>
            </w:pPr>
            <w:r>
              <w:rPr>
                <w:color w:val="auto"/>
                <w:sz w:val="20"/>
                <w:szCs w:val="20"/>
              </w:rPr>
              <w:t>涵洞</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b/>
                <w:bCs/>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b/>
                <w:bCs/>
                <w:color w:val="auto"/>
              </w:rPr>
            </w:pPr>
            <w:r>
              <w:rPr>
                <w:color w:val="auto"/>
                <w:sz w:val="20"/>
                <w:szCs w:val="20"/>
              </w:rPr>
              <w:t>206-1</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b/>
                <w:bCs/>
                <w:color w:val="auto"/>
              </w:rPr>
            </w:pPr>
            <w:r>
              <w:rPr>
                <w:color w:val="auto"/>
                <w:sz w:val="20"/>
                <w:szCs w:val="20"/>
              </w:rPr>
              <w:t>砼强度</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测区</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50</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b/>
                <w:bCs/>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b/>
                <w:bCs/>
                <w:color w:val="auto"/>
              </w:rPr>
            </w:pPr>
            <w:r>
              <w:rPr>
                <w:color w:val="auto"/>
                <w:sz w:val="20"/>
                <w:szCs w:val="20"/>
              </w:rPr>
              <w:t>206-2</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b/>
                <w:bCs/>
                <w:color w:val="auto"/>
              </w:rPr>
            </w:pPr>
            <w:r>
              <w:rPr>
                <w:color w:val="auto"/>
                <w:sz w:val="20"/>
                <w:szCs w:val="20"/>
              </w:rPr>
              <w:t>结构尺寸</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处</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38</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b/>
                <w:bCs/>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b/>
                <w:bCs/>
                <w:color w:val="auto"/>
              </w:rPr>
            </w:pPr>
            <w:r>
              <w:rPr>
                <w:color w:val="auto"/>
                <w:sz w:val="20"/>
                <w:szCs w:val="20"/>
              </w:rPr>
              <w:t>206-3</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b/>
                <w:bCs/>
                <w:color w:val="auto"/>
              </w:rPr>
            </w:pPr>
            <w:r>
              <w:rPr>
                <w:rFonts w:hint="eastAsia"/>
                <w:color w:val="auto"/>
                <w:sz w:val="20"/>
                <w:szCs w:val="20"/>
              </w:rPr>
              <w:t>碳化深度</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rFonts w:hint="eastAsia"/>
                <w:color w:val="auto"/>
                <w:sz w:val="20"/>
                <w:szCs w:val="20"/>
              </w:rPr>
              <w:t>测区</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15</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b/>
                <w:bCs/>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b/>
                <w:bCs/>
                <w:color w:val="auto"/>
              </w:rPr>
            </w:pPr>
            <w:r>
              <w:rPr>
                <w:color w:val="auto"/>
                <w:sz w:val="20"/>
                <w:szCs w:val="20"/>
              </w:rPr>
              <w:t>207</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b/>
                <w:bCs/>
                <w:color w:val="auto"/>
              </w:rPr>
            </w:pPr>
            <w:r>
              <w:rPr>
                <w:color w:val="auto"/>
                <w:sz w:val="20"/>
                <w:szCs w:val="20"/>
              </w:rPr>
              <w:t>支挡工程</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b/>
                <w:bCs/>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b/>
                <w:bCs/>
                <w:color w:val="auto"/>
              </w:rPr>
            </w:pPr>
            <w:r>
              <w:rPr>
                <w:color w:val="auto"/>
                <w:sz w:val="20"/>
                <w:szCs w:val="20"/>
              </w:rPr>
              <w:t>207-1</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b/>
                <w:bCs/>
                <w:color w:val="auto"/>
              </w:rPr>
            </w:pPr>
            <w:r>
              <w:rPr>
                <w:color w:val="auto"/>
                <w:sz w:val="20"/>
                <w:szCs w:val="20"/>
              </w:rPr>
              <w:t>砼强度</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测区</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350</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b/>
                <w:bCs/>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b/>
                <w:bCs/>
                <w:color w:val="auto"/>
              </w:rPr>
            </w:pPr>
            <w:r>
              <w:rPr>
                <w:color w:val="auto"/>
                <w:sz w:val="20"/>
                <w:szCs w:val="20"/>
              </w:rPr>
              <w:t>207-2</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b/>
                <w:bCs/>
                <w:color w:val="auto"/>
              </w:rPr>
            </w:pPr>
            <w:r>
              <w:rPr>
                <w:color w:val="auto"/>
                <w:sz w:val="20"/>
                <w:szCs w:val="20"/>
              </w:rPr>
              <w:t>断面尺寸</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处</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119</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b/>
                <w:bCs/>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b/>
                <w:bCs/>
                <w:color w:val="auto"/>
              </w:rPr>
            </w:pPr>
            <w:r>
              <w:rPr>
                <w:color w:val="auto"/>
                <w:sz w:val="20"/>
                <w:szCs w:val="20"/>
              </w:rPr>
              <w:t>207-3</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b/>
                <w:bCs/>
                <w:color w:val="auto"/>
              </w:rPr>
            </w:pPr>
            <w:r>
              <w:rPr>
                <w:rFonts w:hint="eastAsia"/>
                <w:color w:val="auto"/>
                <w:sz w:val="20"/>
                <w:szCs w:val="20"/>
              </w:rPr>
              <w:t>碳化深度</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rFonts w:hint="eastAsia"/>
                <w:color w:val="auto"/>
                <w:sz w:val="20"/>
                <w:szCs w:val="20"/>
              </w:rPr>
              <w:t>测区</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105</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b/>
                <w:bCs/>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276" w:type="dxa"/>
            <w:gridSpan w:val="6"/>
            <w:tcBorders>
              <w:top w:val="single" w:color="auto" w:sz="6" w:space="0"/>
              <w:left w:val="single" w:color="auto" w:sz="12" w:space="0"/>
              <w:bottom w:val="single" w:color="auto" w:sz="12" w:space="0"/>
              <w:right w:val="single" w:color="auto" w:sz="12" w:space="0"/>
            </w:tcBorders>
            <w:vAlign w:val="center"/>
          </w:tcPr>
          <w:p>
            <w:pPr>
              <w:snapToGrid w:val="0"/>
              <w:jc w:val="center"/>
              <w:rPr>
                <w:b/>
                <w:bCs/>
                <w:color w:val="auto"/>
              </w:rPr>
            </w:pPr>
            <w:r>
              <w:rPr>
                <w:rFonts w:hint="eastAsia" w:ascii="宋体" w:hAnsi="宋体"/>
                <w:b/>
                <w:bCs/>
                <w:color w:val="auto"/>
              </w:rPr>
              <w:t>第</w:t>
            </w:r>
            <w:r>
              <w:rPr>
                <w:b/>
                <w:bCs/>
                <w:color w:val="auto"/>
              </w:rPr>
              <w:t>200</w:t>
            </w:r>
            <w:r>
              <w:rPr>
                <w:rFonts w:hint="eastAsia" w:ascii="宋体" w:hAnsi="宋体"/>
                <w:b/>
                <w:bCs/>
                <w:color w:val="auto"/>
              </w:rPr>
              <w:t>章合计</w:t>
            </w:r>
            <w:r>
              <w:rPr>
                <w:rFonts w:hint="eastAsia"/>
                <w:b/>
                <w:bCs/>
                <w:color w:val="auto"/>
              </w:rPr>
              <w:t xml:space="preserve"> </w:t>
            </w:r>
            <w:r>
              <w:rPr>
                <w:b/>
                <w:bCs/>
                <w:color w:val="auto"/>
              </w:rPr>
              <w:t xml:space="preserve"> </w:t>
            </w:r>
            <w:r>
              <w:rPr>
                <w:rFonts w:hint="eastAsia" w:ascii="宋体" w:hAnsi="宋体"/>
                <w:b/>
                <w:bCs/>
                <w:color w:val="auto"/>
              </w:rPr>
              <w:t>人民币</w:t>
            </w:r>
            <w:r>
              <w:rPr>
                <w:b/>
                <w:bCs/>
                <w:color w:val="auto"/>
                <w:u w:val="single"/>
              </w:rPr>
              <w:t xml:space="preserve">          </w:t>
            </w:r>
            <w:r>
              <w:rPr>
                <w:rFonts w:hint="eastAsia" w:ascii="宋体" w:hAnsi="宋体"/>
                <w:b/>
                <w:bCs/>
                <w:color w:val="auto"/>
              </w:rPr>
              <w:t>元</w:t>
            </w:r>
          </w:p>
        </w:tc>
      </w:tr>
    </w:tbl>
    <w:p>
      <w:pPr>
        <w:widowControl/>
        <w:jc w:val="left"/>
        <w:rPr>
          <w:color w:val="auto"/>
          <w:szCs w:val="21"/>
        </w:rPr>
      </w:pPr>
      <w:r>
        <w:rPr>
          <w:color w:val="auto"/>
        </w:rPr>
        <w:br w:type="page"/>
      </w:r>
    </w:p>
    <w:tbl>
      <w:tblPr>
        <w:tblStyle w:val="6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26"/>
        <w:gridCol w:w="3251"/>
        <w:gridCol w:w="849"/>
        <w:gridCol w:w="1016"/>
        <w:gridCol w:w="1017"/>
        <w:gridCol w:w="10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8276" w:type="dxa"/>
            <w:gridSpan w:val="6"/>
            <w:tcBorders>
              <w:top w:val="nil"/>
              <w:left w:val="nil"/>
              <w:bottom w:val="nil"/>
              <w:right w:val="nil"/>
            </w:tcBorders>
            <w:vAlign w:val="center"/>
          </w:tcPr>
          <w:p>
            <w:pPr>
              <w:snapToGrid w:val="0"/>
              <w:jc w:val="center"/>
              <w:rPr>
                <w:b/>
                <w:bCs/>
                <w:color w:val="auto"/>
              </w:rPr>
            </w:pPr>
            <w:r>
              <w:rPr>
                <w:rFonts w:hint="eastAsia" w:ascii="黑体" w:hAnsi="黑体" w:eastAsia="黑体"/>
                <w:color w:val="auto"/>
                <w:sz w:val="32"/>
                <w:szCs w:val="32"/>
              </w:rPr>
              <w:t>报价清单表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8276" w:type="dxa"/>
            <w:gridSpan w:val="6"/>
            <w:tcBorders>
              <w:top w:val="nil"/>
              <w:left w:val="nil"/>
              <w:bottom w:val="single" w:color="auto" w:sz="12" w:space="0"/>
              <w:right w:val="nil"/>
            </w:tcBorders>
            <w:vAlign w:val="center"/>
          </w:tcPr>
          <w:p>
            <w:pPr>
              <w:snapToGrid w:val="0"/>
              <w:jc w:val="right"/>
              <w:rPr>
                <w:b/>
                <w:bCs/>
                <w:color w:val="auto"/>
              </w:rPr>
            </w:pPr>
            <w:r>
              <w:rPr>
                <w:rFonts w:hint="eastAsia" w:ascii="宋体" w:hAnsi="宋体"/>
                <w:color w:val="auto"/>
              </w:rPr>
              <w:t>第</w:t>
            </w:r>
            <w:r>
              <w:rPr>
                <w:color w:val="auto"/>
                <w:u w:val="single"/>
              </w:rPr>
              <w:t xml:space="preserve">     </w:t>
            </w:r>
            <w:r>
              <w:rPr>
                <w:rFonts w:hint="eastAsia" w:ascii="宋体" w:hAnsi="宋体"/>
                <w:color w:val="auto"/>
              </w:rPr>
              <w:t>标段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8276" w:type="dxa"/>
            <w:gridSpan w:val="6"/>
            <w:tcBorders>
              <w:top w:val="single" w:color="auto" w:sz="12" w:space="0"/>
              <w:left w:val="single" w:color="auto" w:sz="12" w:space="0"/>
              <w:bottom w:val="single" w:color="auto" w:sz="6" w:space="0"/>
              <w:right w:val="single" w:color="auto" w:sz="12" w:space="0"/>
            </w:tcBorders>
            <w:vAlign w:val="center"/>
          </w:tcPr>
          <w:p>
            <w:pPr>
              <w:snapToGrid w:val="0"/>
              <w:jc w:val="center"/>
              <w:rPr>
                <w:b/>
                <w:bCs/>
                <w:color w:val="auto"/>
              </w:rPr>
            </w:pPr>
            <w:r>
              <w:rPr>
                <w:rFonts w:hint="eastAsia" w:ascii="宋体" w:hAnsi="宋体"/>
                <w:b/>
                <w:bCs/>
                <w:color w:val="auto"/>
              </w:rPr>
              <w:t>第</w:t>
            </w:r>
            <w:r>
              <w:rPr>
                <w:b/>
                <w:bCs/>
                <w:color w:val="auto"/>
              </w:rPr>
              <w:t>300</w:t>
            </w:r>
            <w:r>
              <w:rPr>
                <w:rFonts w:hint="eastAsia" w:ascii="宋体" w:hAnsi="宋体"/>
                <w:b/>
                <w:bCs/>
                <w:color w:val="auto"/>
              </w:rPr>
              <w:t>章</w:t>
            </w:r>
            <w:r>
              <w:rPr>
                <w:rFonts w:hint="eastAsia"/>
                <w:b/>
                <w:bCs/>
                <w:color w:val="auto"/>
              </w:rPr>
              <w:t xml:space="preserve"> </w:t>
            </w:r>
            <w:r>
              <w:rPr>
                <w:b/>
                <w:bCs/>
                <w:color w:val="auto"/>
              </w:rPr>
              <w:t xml:space="preserve"> </w:t>
            </w:r>
            <w:r>
              <w:rPr>
                <w:rFonts w:hint="eastAsia" w:ascii="宋体" w:hAnsi="宋体"/>
                <w:b/>
                <w:bCs/>
                <w:color w:val="auto"/>
              </w:rPr>
              <w:t>路面工程（交工）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子目号</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子目名称</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单位</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数量</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单价</w:t>
            </w: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黑体" w:hAnsi="黑体" w:eastAsia="黑体"/>
                <w:color w:val="auto"/>
              </w:rPr>
            </w:pPr>
            <w:r>
              <w:rPr>
                <w:rFonts w:hint="eastAsia" w:ascii="黑体" w:hAnsi="黑体" w:eastAsia="黑体"/>
                <w:color w:val="auto"/>
              </w:rPr>
              <w:t>合价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301</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沥青路面</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301-1</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压实度(钻芯法)</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点</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12</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301-2</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弯沉*</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-a</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rFonts w:hint="eastAsia"/>
                <w:color w:val="auto"/>
                <w:sz w:val="20"/>
                <w:szCs w:val="20"/>
              </w:rPr>
              <w:t>落锤式</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rFonts w:hint="eastAsia"/>
                <w:color w:val="auto"/>
                <w:sz w:val="20"/>
                <w:szCs w:val="20"/>
              </w:rPr>
              <w:t>点</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480</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301-4</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渗水系数</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点</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12</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301-5</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平整度*</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-a</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平整度仪法</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车道公里</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46.608</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301-6</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抗滑*</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-a</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横向力系数测试车法</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车道公里</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46.608</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-c</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构造深度</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-c-2</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激光构造深度仪法</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车道公里</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46.608</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301-7</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厚度</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-a</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路面雷达法</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车道公里</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46.608</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301-8</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横坡</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-a</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自动检测车法</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半幅公里</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23.304</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301-9</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rFonts w:hint="eastAsia"/>
                <w:color w:val="auto"/>
                <w:sz w:val="20"/>
                <w:szCs w:val="20"/>
              </w:rPr>
              <w:t>路面行驶指数（RQI）</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车道公里</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46.608</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3" w:hRule="atLeast"/>
        </w:trPr>
        <w:tc>
          <w:tcPr>
            <w:tcW w:w="8276" w:type="dxa"/>
            <w:gridSpan w:val="6"/>
            <w:tcBorders>
              <w:top w:val="single" w:color="auto" w:sz="6" w:space="0"/>
              <w:left w:val="single" w:color="auto" w:sz="12" w:space="0"/>
              <w:bottom w:val="single" w:color="auto" w:sz="12" w:space="0"/>
              <w:right w:val="single" w:color="auto" w:sz="12" w:space="0"/>
            </w:tcBorders>
            <w:vAlign w:val="center"/>
          </w:tcPr>
          <w:p>
            <w:pPr>
              <w:snapToGrid w:val="0"/>
              <w:jc w:val="center"/>
              <w:rPr>
                <w:b/>
                <w:bCs/>
                <w:color w:val="auto"/>
              </w:rPr>
            </w:pPr>
            <w:r>
              <w:rPr>
                <w:rFonts w:hint="eastAsia" w:ascii="宋体" w:hAnsi="宋体"/>
                <w:b/>
                <w:bCs/>
                <w:color w:val="auto"/>
              </w:rPr>
              <w:t>第</w:t>
            </w:r>
            <w:r>
              <w:rPr>
                <w:b/>
                <w:bCs/>
                <w:color w:val="auto"/>
              </w:rPr>
              <w:t>300</w:t>
            </w:r>
            <w:r>
              <w:rPr>
                <w:rFonts w:hint="eastAsia" w:ascii="宋体" w:hAnsi="宋体"/>
                <w:b/>
                <w:bCs/>
                <w:color w:val="auto"/>
              </w:rPr>
              <w:t>章（交工）合计</w:t>
            </w:r>
            <w:r>
              <w:rPr>
                <w:rFonts w:hint="eastAsia"/>
                <w:b/>
                <w:bCs/>
                <w:color w:val="auto"/>
              </w:rPr>
              <w:t xml:space="preserve"> </w:t>
            </w:r>
            <w:r>
              <w:rPr>
                <w:b/>
                <w:bCs/>
                <w:color w:val="auto"/>
              </w:rPr>
              <w:t xml:space="preserve"> </w:t>
            </w:r>
            <w:r>
              <w:rPr>
                <w:rFonts w:hint="eastAsia" w:ascii="宋体" w:hAnsi="宋体"/>
                <w:b/>
                <w:bCs/>
                <w:color w:val="auto"/>
              </w:rPr>
              <w:t>人民币</w:t>
            </w:r>
            <w:r>
              <w:rPr>
                <w:b/>
                <w:bCs/>
                <w:color w:val="auto"/>
                <w:u w:val="single"/>
              </w:rPr>
              <w:t xml:space="preserve">          </w:t>
            </w:r>
            <w:r>
              <w:rPr>
                <w:rFonts w:hint="eastAsia" w:ascii="宋体" w:hAnsi="宋体"/>
                <w:b/>
                <w:bCs/>
                <w:color w:val="auto"/>
              </w:rPr>
              <w:t>元</w:t>
            </w:r>
          </w:p>
        </w:tc>
      </w:tr>
    </w:tbl>
    <w:p>
      <w:pPr>
        <w:snapToGrid w:val="0"/>
        <w:spacing w:line="360" w:lineRule="auto"/>
        <w:rPr>
          <w:color w:val="auto"/>
          <w:szCs w:val="21"/>
        </w:rPr>
      </w:pPr>
      <w:r>
        <w:rPr>
          <w:color w:val="auto"/>
        </w:rPr>
        <w:t xml:space="preserve"> </w:t>
      </w:r>
    </w:p>
    <w:tbl>
      <w:tblPr>
        <w:tblStyle w:val="6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26"/>
        <w:gridCol w:w="3251"/>
        <w:gridCol w:w="849"/>
        <w:gridCol w:w="1016"/>
        <w:gridCol w:w="1017"/>
        <w:gridCol w:w="10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8276" w:type="dxa"/>
            <w:gridSpan w:val="6"/>
            <w:tcBorders>
              <w:top w:val="nil"/>
              <w:left w:val="nil"/>
              <w:bottom w:val="nil"/>
              <w:right w:val="nil"/>
            </w:tcBorders>
            <w:vAlign w:val="center"/>
          </w:tcPr>
          <w:p>
            <w:pPr>
              <w:snapToGrid w:val="0"/>
              <w:jc w:val="center"/>
              <w:rPr>
                <w:b/>
                <w:bCs/>
                <w:color w:val="auto"/>
              </w:rPr>
            </w:pPr>
            <w:r>
              <w:rPr>
                <w:rFonts w:hint="eastAsia" w:ascii="黑体" w:hAnsi="黑体" w:eastAsia="黑体"/>
                <w:color w:val="auto"/>
                <w:sz w:val="32"/>
                <w:szCs w:val="32"/>
              </w:rPr>
              <w:t>报价清单表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8276" w:type="dxa"/>
            <w:gridSpan w:val="6"/>
            <w:tcBorders>
              <w:top w:val="nil"/>
              <w:left w:val="nil"/>
              <w:bottom w:val="single" w:color="auto" w:sz="12" w:space="0"/>
              <w:right w:val="nil"/>
            </w:tcBorders>
            <w:vAlign w:val="center"/>
          </w:tcPr>
          <w:p>
            <w:pPr>
              <w:snapToGrid w:val="0"/>
              <w:jc w:val="right"/>
              <w:rPr>
                <w:b/>
                <w:bCs/>
                <w:color w:val="auto"/>
              </w:rPr>
            </w:pPr>
            <w:r>
              <w:rPr>
                <w:rFonts w:hint="eastAsia" w:ascii="宋体" w:hAnsi="宋体"/>
                <w:color w:val="auto"/>
              </w:rPr>
              <w:t>第</w:t>
            </w:r>
            <w:r>
              <w:rPr>
                <w:color w:val="auto"/>
                <w:u w:val="single"/>
              </w:rPr>
              <w:t xml:space="preserve">     </w:t>
            </w:r>
            <w:r>
              <w:rPr>
                <w:rFonts w:hint="eastAsia" w:ascii="宋体" w:hAnsi="宋体"/>
                <w:color w:val="auto"/>
              </w:rPr>
              <w:t>标段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8276" w:type="dxa"/>
            <w:gridSpan w:val="6"/>
            <w:tcBorders>
              <w:top w:val="single" w:color="auto" w:sz="12" w:space="0"/>
              <w:left w:val="single" w:color="auto" w:sz="12" w:space="0"/>
              <w:bottom w:val="single" w:color="auto" w:sz="6" w:space="0"/>
              <w:right w:val="single" w:color="auto" w:sz="12" w:space="0"/>
            </w:tcBorders>
            <w:vAlign w:val="center"/>
          </w:tcPr>
          <w:p>
            <w:pPr>
              <w:snapToGrid w:val="0"/>
              <w:jc w:val="center"/>
              <w:rPr>
                <w:b/>
                <w:bCs/>
                <w:color w:val="auto"/>
              </w:rPr>
            </w:pPr>
            <w:r>
              <w:rPr>
                <w:rFonts w:hint="eastAsia" w:ascii="宋体" w:hAnsi="宋体"/>
                <w:b/>
                <w:bCs/>
                <w:color w:val="auto"/>
              </w:rPr>
              <w:t>第</w:t>
            </w:r>
            <w:r>
              <w:rPr>
                <w:rFonts w:hint="eastAsia"/>
                <w:b/>
                <w:bCs/>
                <w:color w:val="auto"/>
              </w:rPr>
              <w:t>3</w:t>
            </w:r>
            <w:r>
              <w:rPr>
                <w:b/>
                <w:bCs/>
                <w:color w:val="auto"/>
              </w:rPr>
              <w:t>00</w:t>
            </w:r>
            <w:r>
              <w:rPr>
                <w:rFonts w:hint="eastAsia" w:ascii="宋体" w:hAnsi="宋体"/>
                <w:b/>
                <w:bCs/>
                <w:color w:val="auto"/>
              </w:rPr>
              <w:t>章</w:t>
            </w:r>
            <w:r>
              <w:rPr>
                <w:rFonts w:hint="eastAsia"/>
                <w:b/>
                <w:bCs/>
                <w:color w:val="auto"/>
              </w:rPr>
              <w:t xml:space="preserve"> </w:t>
            </w:r>
            <w:r>
              <w:rPr>
                <w:b/>
                <w:bCs/>
                <w:color w:val="auto"/>
              </w:rPr>
              <w:t xml:space="preserve"> </w:t>
            </w:r>
            <w:r>
              <w:rPr>
                <w:rFonts w:hint="eastAsia" w:ascii="宋体" w:hAnsi="宋体"/>
                <w:b/>
                <w:bCs/>
                <w:color w:val="auto"/>
              </w:rPr>
              <w:t>路面工程（竣工）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子目号</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子目名称</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单位</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数量</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单价</w:t>
            </w: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黑体" w:hAnsi="黑体" w:eastAsia="黑体"/>
                <w:color w:val="auto"/>
              </w:rPr>
            </w:pPr>
            <w:r>
              <w:rPr>
                <w:rFonts w:hint="eastAsia" w:ascii="黑体" w:hAnsi="黑体" w:eastAsia="黑体"/>
                <w:color w:val="auto"/>
              </w:rPr>
              <w:t>合价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301</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沥青路面</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301-2</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弯沉*</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-a</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rFonts w:hint="eastAsia"/>
                <w:color w:val="auto"/>
                <w:sz w:val="20"/>
                <w:szCs w:val="20"/>
              </w:rPr>
              <w:t>落锤式</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rFonts w:hint="eastAsia"/>
                <w:color w:val="auto"/>
                <w:sz w:val="20"/>
                <w:szCs w:val="20"/>
              </w:rPr>
              <w:t>点</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480</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301-3</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车辙*</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-a</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rFonts w:hint="eastAsia"/>
                <w:color w:val="auto"/>
                <w:sz w:val="20"/>
                <w:szCs w:val="20"/>
              </w:rPr>
              <w:t>超声车辙仪法</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车道公里</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26.856</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301-5</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平整度*</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-a</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平整度仪法</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车道公里</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46.608</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301-6</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抗滑*</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-a</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横向力系数测试车法</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车道公里</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46.608</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-c</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构造深度</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-c-2</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激光构造深度仪法</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车道公里</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46.608</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3" w:hRule="atLeast"/>
        </w:trPr>
        <w:tc>
          <w:tcPr>
            <w:tcW w:w="8276" w:type="dxa"/>
            <w:gridSpan w:val="6"/>
            <w:tcBorders>
              <w:top w:val="single" w:color="auto" w:sz="6" w:space="0"/>
              <w:left w:val="single" w:color="auto" w:sz="12" w:space="0"/>
              <w:bottom w:val="single" w:color="auto" w:sz="12" w:space="0"/>
              <w:right w:val="single" w:color="auto" w:sz="12" w:space="0"/>
            </w:tcBorders>
            <w:vAlign w:val="center"/>
          </w:tcPr>
          <w:p>
            <w:pPr>
              <w:snapToGrid w:val="0"/>
              <w:jc w:val="center"/>
              <w:rPr>
                <w:b/>
                <w:bCs/>
                <w:color w:val="auto"/>
              </w:rPr>
            </w:pPr>
            <w:r>
              <w:rPr>
                <w:rFonts w:hint="eastAsia" w:ascii="宋体" w:hAnsi="宋体"/>
                <w:b/>
                <w:bCs/>
                <w:color w:val="auto"/>
              </w:rPr>
              <w:t>第</w:t>
            </w:r>
            <w:r>
              <w:rPr>
                <w:b/>
                <w:bCs/>
                <w:color w:val="auto"/>
              </w:rPr>
              <w:t>300</w:t>
            </w:r>
            <w:r>
              <w:rPr>
                <w:rFonts w:hint="eastAsia" w:ascii="宋体" w:hAnsi="宋体"/>
                <w:b/>
                <w:bCs/>
                <w:color w:val="auto"/>
              </w:rPr>
              <w:t>章（竣工）合计</w:t>
            </w:r>
            <w:r>
              <w:rPr>
                <w:rFonts w:hint="eastAsia"/>
                <w:b/>
                <w:bCs/>
                <w:color w:val="auto"/>
              </w:rPr>
              <w:t xml:space="preserve"> </w:t>
            </w:r>
            <w:r>
              <w:rPr>
                <w:b/>
                <w:bCs/>
                <w:color w:val="auto"/>
              </w:rPr>
              <w:t xml:space="preserve"> </w:t>
            </w:r>
            <w:r>
              <w:rPr>
                <w:rFonts w:hint="eastAsia" w:ascii="宋体" w:hAnsi="宋体"/>
                <w:b/>
                <w:bCs/>
                <w:color w:val="auto"/>
              </w:rPr>
              <w:t>人民币</w:t>
            </w:r>
            <w:r>
              <w:rPr>
                <w:b/>
                <w:bCs/>
                <w:color w:val="auto"/>
                <w:u w:val="single"/>
              </w:rPr>
              <w:t xml:space="preserve">          </w:t>
            </w:r>
            <w:r>
              <w:rPr>
                <w:rFonts w:hint="eastAsia" w:ascii="宋体" w:hAnsi="宋体"/>
                <w:b/>
                <w:bCs/>
                <w:color w:val="auto"/>
              </w:rPr>
              <w:t>元</w:t>
            </w:r>
          </w:p>
        </w:tc>
      </w:tr>
    </w:tbl>
    <w:p>
      <w:pPr>
        <w:snapToGrid w:val="0"/>
        <w:spacing w:line="360" w:lineRule="auto"/>
        <w:rPr>
          <w:color w:val="auto"/>
          <w:szCs w:val="21"/>
        </w:rPr>
      </w:pPr>
      <w:r>
        <w:rPr>
          <w:color w:val="auto"/>
        </w:rPr>
        <w:t xml:space="preserve"> </w:t>
      </w:r>
    </w:p>
    <w:p>
      <w:pPr>
        <w:widowControl/>
        <w:jc w:val="left"/>
        <w:rPr>
          <w:color w:val="auto"/>
        </w:rPr>
      </w:pPr>
      <w:r>
        <w:rPr>
          <w:color w:val="auto"/>
        </w:rPr>
        <w:br w:type="page"/>
      </w:r>
    </w:p>
    <w:tbl>
      <w:tblPr>
        <w:tblStyle w:val="6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26"/>
        <w:gridCol w:w="3251"/>
        <w:gridCol w:w="849"/>
        <w:gridCol w:w="1016"/>
        <w:gridCol w:w="1017"/>
        <w:gridCol w:w="1017"/>
      </w:tblGrid>
      <w:tr>
        <w:tblPrEx>
          <w:tblCellMar>
            <w:top w:w="0" w:type="dxa"/>
            <w:left w:w="108" w:type="dxa"/>
            <w:bottom w:w="0" w:type="dxa"/>
            <w:right w:w="108" w:type="dxa"/>
          </w:tblCellMar>
        </w:tblPrEx>
        <w:trPr>
          <w:trHeight w:val="591" w:hRule="atLeast"/>
        </w:trPr>
        <w:tc>
          <w:tcPr>
            <w:tcW w:w="8276" w:type="dxa"/>
            <w:gridSpan w:val="6"/>
            <w:tcBorders>
              <w:top w:val="nil"/>
              <w:left w:val="nil"/>
              <w:bottom w:val="nil"/>
              <w:right w:val="nil"/>
            </w:tcBorders>
            <w:vAlign w:val="center"/>
          </w:tcPr>
          <w:p>
            <w:pPr>
              <w:snapToGrid w:val="0"/>
              <w:jc w:val="center"/>
              <w:rPr>
                <w:b/>
                <w:bCs/>
                <w:color w:val="auto"/>
              </w:rPr>
            </w:pPr>
            <w:r>
              <w:rPr>
                <w:rFonts w:hint="eastAsia" w:ascii="黑体" w:hAnsi="黑体" w:eastAsia="黑体"/>
                <w:color w:val="auto"/>
                <w:sz w:val="32"/>
                <w:szCs w:val="32"/>
              </w:rPr>
              <w:t>报价清单表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8276" w:type="dxa"/>
            <w:gridSpan w:val="6"/>
            <w:tcBorders>
              <w:top w:val="nil"/>
              <w:left w:val="nil"/>
              <w:bottom w:val="single" w:color="auto" w:sz="12" w:space="0"/>
              <w:right w:val="nil"/>
            </w:tcBorders>
            <w:vAlign w:val="center"/>
          </w:tcPr>
          <w:p>
            <w:pPr>
              <w:snapToGrid w:val="0"/>
              <w:jc w:val="right"/>
              <w:rPr>
                <w:b/>
                <w:bCs/>
                <w:color w:val="auto"/>
              </w:rPr>
            </w:pPr>
            <w:r>
              <w:rPr>
                <w:rFonts w:hint="eastAsia" w:ascii="宋体" w:hAnsi="宋体"/>
                <w:color w:val="auto"/>
              </w:rPr>
              <w:t>第</w:t>
            </w:r>
            <w:r>
              <w:rPr>
                <w:color w:val="auto"/>
                <w:u w:val="single"/>
              </w:rPr>
              <w:t xml:space="preserve">     </w:t>
            </w:r>
            <w:r>
              <w:rPr>
                <w:rFonts w:hint="eastAsia" w:ascii="宋体" w:hAnsi="宋体"/>
                <w:color w:val="auto"/>
              </w:rPr>
              <w:t>标段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8276" w:type="dxa"/>
            <w:gridSpan w:val="6"/>
            <w:tcBorders>
              <w:top w:val="single" w:color="auto" w:sz="12" w:space="0"/>
              <w:left w:val="single" w:color="auto" w:sz="12" w:space="0"/>
              <w:bottom w:val="single" w:color="auto" w:sz="6" w:space="0"/>
              <w:right w:val="single" w:color="auto" w:sz="12" w:space="0"/>
            </w:tcBorders>
            <w:vAlign w:val="center"/>
          </w:tcPr>
          <w:p>
            <w:pPr>
              <w:snapToGrid w:val="0"/>
              <w:jc w:val="center"/>
              <w:rPr>
                <w:b/>
                <w:bCs/>
                <w:color w:val="auto"/>
              </w:rPr>
            </w:pPr>
            <w:r>
              <w:rPr>
                <w:rFonts w:hint="eastAsia" w:ascii="宋体" w:hAnsi="宋体"/>
                <w:b/>
                <w:bCs/>
                <w:color w:val="auto"/>
              </w:rPr>
              <w:t>第</w:t>
            </w:r>
            <w:r>
              <w:rPr>
                <w:rFonts w:hint="eastAsia"/>
                <w:b/>
                <w:bCs/>
                <w:color w:val="auto"/>
              </w:rPr>
              <w:t>4</w:t>
            </w:r>
            <w:r>
              <w:rPr>
                <w:b/>
                <w:bCs/>
                <w:color w:val="auto"/>
              </w:rPr>
              <w:t>00</w:t>
            </w:r>
            <w:r>
              <w:rPr>
                <w:rFonts w:hint="eastAsia" w:ascii="宋体" w:hAnsi="宋体"/>
                <w:b/>
                <w:bCs/>
                <w:color w:val="auto"/>
              </w:rPr>
              <w:t>章</w:t>
            </w:r>
            <w:r>
              <w:rPr>
                <w:rFonts w:hint="eastAsia"/>
                <w:b/>
                <w:bCs/>
                <w:color w:val="auto"/>
              </w:rPr>
              <w:t xml:space="preserve"> </w:t>
            </w:r>
            <w:r>
              <w:rPr>
                <w:b/>
                <w:bCs/>
                <w:color w:val="auto"/>
              </w:rPr>
              <w:t xml:space="preserve"> </w:t>
            </w:r>
            <w:r>
              <w:rPr>
                <w:rFonts w:hint="eastAsia" w:ascii="宋体" w:hAnsi="宋体"/>
                <w:b/>
                <w:bCs/>
                <w:color w:val="auto"/>
              </w:rPr>
              <w:t>桥梁工程（不含小桥）（交工）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子目号</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子目名称</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单位</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数量</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单价</w:t>
            </w: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黑体" w:hAnsi="黑体" w:eastAsia="黑体"/>
                <w:color w:val="auto"/>
              </w:rPr>
            </w:pPr>
            <w:r>
              <w:rPr>
                <w:rFonts w:hint="eastAsia" w:ascii="黑体" w:hAnsi="黑体" w:eastAsia="黑体"/>
                <w:color w:val="auto"/>
              </w:rPr>
              <w:t>合价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401</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桥梁下部工程</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401-1</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墩台砼强度</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-a</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回弹法</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测区</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32</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401-1-1</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rFonts w:hint="eastAsia"/>
                <w:color w:val="auto"/>
                <w:sz w:val="20"/>
                <w:szCs w:val="20"/>
              </w:rPr>
              <w:t>碳化深度</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测区</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10</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401-2</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主要结构尺寸</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处</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32</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401-3</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钢筋保护层厚度</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测区</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48</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401-4</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墩台垂直度</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处</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32</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401-6</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一般桥梁基桩</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-a</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完整性</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-a-5</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声波透射法检测（3管）</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根</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6</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402</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上部结构</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402-1</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砼强度</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-a</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回弹法</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测区</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130</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401-2-1</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rFonts w:hint="eastAsia"/>
                <w:color w:val="auto"/>
                <w:sz w:val="20"/>
                <w:szCs w:val="20"/>
              </w:rPr>
              <w:t>碳化深度</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测区</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39</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rFonts w:eastAsia="等线"/>
                <w:color w:val="auto"/>
              </w:rPr>
            </w:pPr>
            <w:r>
              <w:rPr>
                <w:color w:val="auto"/>
                <w:sz w:val="20"/>
                <w:szCs w:val="20"/>
              </w:rPr>
              <w:t>402-2</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rStyle w:val="641"/>
                <w:rFonts w:hint="default"/>
                <w:color w:val="auto"/>
                <w:sz w:val="21"/>
                <w:szCs w:val="21"/>
              </w:rPr>
            </w:pPr>
            <w:r>
              <w:rPr>
                <w:color w:val="auto"/>
                <w:sz w:val="20"/>
                <w:szCs w:val="20"/>
              </w:rPr>
              <w:t>主要结构尺寸</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rStyle w:val="641"/>
                <w:rFonts w:hint="default"/>
                <w:color w:val="auto"/>
                <w:szCs w:val="21"/>
              </w:rPr>
            </w:pPr>
            <w:r>
              <w:rPr>
                <w:color w:val="auto"/>
                <w:sz w:val="20"/>
                <w:szCs w:val="20"/>
              </w:rPr>
              <w:t>处</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rFonts w:eastAsia="等线"/>
                <w:color w:val="auto"/>
              </w:rPr>
            </w:pPr>
            <w:r>
              <w:rPr>
                <w:color w:val="auto"/>
                <w:sz w:val="20"/>
                <w:szCs w:val="20"/>
              </w:rPr>
              <w:t>60</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402-3</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钢筋保护层厚度</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测区</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39</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402-4</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rFonts w:hint="eastAsia"/>
                <w:color w:val="auto"/>
                <w:sz w:val="20"/>
                <w:szCs w:val="20"/>
              </w:rPr>
              <w:t>桥梁预应力</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-a</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预应力张拉力</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束</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5</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-b</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压浆密实度</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-b-1</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预应力灌浆密实度（壁厚＜50cm）</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米/孔</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48</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403</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桥面系</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403-1</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伸缩缝与桥面高差*</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处</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10</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403-2</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桥面铺装平整度*</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-b</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每联不足100m（3m直尺）</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处</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18</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403-3</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横坡</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-b</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rFonts w:hint="eastAsia"/>
                <w:color w:val="auto"/>
                <w:sz w:val="20"/>
                <w:szCs w:val="20"/>
              </w:rPr>
              <w:t>水准仪法</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处</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18</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403-4</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桥面抗滑（构造深度）*</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-b</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铺砂法</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处</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12</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404-1</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桥梁静载</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rFonts w:eastAsia="等线"/>
                <w:color w:val="auto"/>
              </w:rPr>
            </w:pPr>
            <w:r>
              <w:rPr>
                <w:color w:val="auto"/>
                <w:sz w:val="20"/>
                <w:szCs w:val="20"/>
              </w:rPr>
              <w:t>-b</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rStyle w:val="640"/>
                <w:rFonts w:hint="default"/>
                <w:color w:val="auto"/>
                <w:sz w:val="21"/>
                <w:szCs w:val="21"/>
              </w:rPr>
            </w:pPr>
            <w:r>
              <w:rPr>
                <w:rFonts w:hint="eastAsia"/>
                <w:color w:val="auto"/>
                <w:sz w:val="20"/>
                <w:szCs w:val="20"/>
              </w:rPr>
              <w:t>大桥</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rFonts w:hint="eastAsia"/>
                <w:color w:val="auto"/>
                <w:sz w:val="20"/>
                <w:szCs w:val="20"/>
              </w:rPr>
              <w:t>跨</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-c</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rFonts w:hint="eastAsia"/>
                <w:color w:val="auto"/>
                <w:sz w:val="20"/>
                <w:szCs w:val="20"/>
              </w:rPr>
              <w:t>中桥</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rFonts w:hint="eastAsia"/>
                <w:color w:val="auto"/>
                <w:sz w:val="20"/>
                <w:szCs w:val="20"/>
              </w:rPr>
              <w:t>跨</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404-2</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rFonts w:hint="eastAsia"/>
                <w:color w:val="auto"/>
                <w:sz w:val="20"/>
                <w:szCs w:val="20"/>
              </w:rPr>
              <w:t>桥梁动载</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-b</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rFonts w:hint="eastAsia"/>
                <w:color w:val="auto"/>
                <w:sz w:val="20"/>
                <w:szCs w:val="20"/>
              </w:rPr>
              <w:t>大桥</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rFonts w:hint="eastAsia"/>
                <w:color w:val="auto"/>
                <w:sz w:val="20"/>
                <w:szCs w:val="20"/>
              </w:rPr>
              <w:t>跨</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-c</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jc w:val="left"/>
              <w:rPr>
                <w:color w:val="auto"/>
              </w:rPr>
            </w:pPr>
            <w:r>
              <w:rPr>
                <w:rFonts w:hint="eastAsia"/>
                <w:color w:val="auto"/>
                <w:sz w:val="20"/>
                <w:szCs w:val="20"/>
              </w:rPr>
              <w:t>中桥</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rFonts w:hint="eastAsia"/>
                <w:color w:val="auto"/>
                <w:sz w:val="20"/>
                <w:szCs w:val="20"/>
              </w:rPr>
              <w:t>跨</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1</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jc w:val="left"/>
              <w:rPr>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jc w:val="left"/>
              <w:rPr>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3" w:hRule="atLeast"/>
        </w:trPr>
        <w:tc>
          <w:tcPr>
            <w:tcW w:w="8276" w:type="dxa"/>
            <w:gridSpan w:val="6"/>
            <w:tcBorders>
              <w:top w:val="single" w:color="auto" w:sz="6" w:space="0"/>
              <w:left w:val="single" w:color="auto" w:sz="12" w:space="0"/>
              <w:bottom w:val="single" w:color="auto" w:sz="12" w:space="0"/>
              <w:right w:val="single" w:color="auto" w:sz="12" w:space="0"/>
            </w:tcBorders>
            <w:vAlign w:val="center"/>
          </w:tcPr>
          <w:p>
            <w:pPr>
              <w:snapToGrid w:val="0"/>
              <w:jc w:val="center"/>
              <w:rPr>
                <w:b/>
                <w:bCs/>
                <w:color w:val="auto"/>
              </w:rPr>
            </w:pPr>
            <w:r>
              <w:rPr>
                <w:rFonts w:hint="eastAsia" w:ascii="宋体" w:hAnsi="宋体"/>
                <w:b/>
                <w:bCs/>
                <w:color w:val="auto"/>
              </w:rPr>
              <w:t>第</w:t>
            </w:r>
            <w:r>
              <w:rPr>
                <w:rFonts w:hint="eastAsia"/>
                <w:b/>
                <w:bCs/>
                <w:color w:val="auto"/>
              </w:rPr>
              <w:t>4</w:t>
            </w:r>
            <w:r>
              <w:rPr>
                <w:b/>
                <w:bCs/>
                <w:color w:val="auto"/>
              </w:rPr>
              <w:t>00</w:t>
            </w:r>
            <w:r>
              <w:rPr>
                <w:rFonts w:hint="eastAsia" w:ascii="宋体" w:hAnsi="宋体"/>
                <w:b/>
                <w:bCs/>
                <w:color w:val="auto"/>
              </w:rPr>
              <w:t>章（交工）合计</w:t>
            </w:r>
            <w:r>
              <w:rPr>
                <w:rFonts w:hint="eastAsia"/>
                <w:b/>
                <w:bCs/>
                <w:color w:val="auto"/>
              </w:rPr>
              <w:t xml:space="preserve"> </w:t>
            </w:r>
            <w:r>
              <w:rPr>
                <w:b/>
                <w:bCs/>
                <w:color w:val="auto"/>
              </w:rPr>
              <w:t xml:space="preserve"> </w:t>
            </w:r>
            <w:r>
              <w:rPr>
                <w:rFonts w:hint="eastAsia" w:ascii="宋体" w:hAnsi="宋体"/>
                <w:b/>
                <w:bCs/>
                <w:color w:val="auto"/>
              </w:rPr>
              <w:t>人民币</w:t>
            </w:r>
            <w:r>
              <w:rPr>
                <w:b/>
                <w:bCs/>
                <w:color w:val="auto"/>
                <w:u w:val="single"/>
              </w:rPr>
              <w:t xml:space="preserve">          </w:t>
            </w:r>
            <w:r>
              <w:rPr>
                <w:rFonts w:hint="eastAsia" w:ascii="宋体" w:hAnsi="宋体"/>
                <w:b/>
                <w:bCs/>
                <w:color w:val="auto"/>
              </w:rPr>
              <w:t>元</w:t>
            </w:r>
          </w:p>
        </w:tc>
      </w:tr>
    </w:tbl>
    <w:p>
      <w:pPr>
        <w:snapToGrid w:val="0"/>
        <w:spacing w:line="360" w:lineRule="auto"/>
        <w:rPr>
          <w:color w:val="auto"/>
          <w:szCs w:val="21"/>
        </w:rPr>
      </w:pPr>
      <w:r>
        <w:rPr>
          <w:color w:val="auto"/>
        </w:rPr>
        <w:t xml:space="preserve"> </w:t>
      </w:r>
    </w:p>
    <w:p>
      <w:pPr>
        <w:widowControl/>
        <w:jc w:val="left"/>
        <w:rPr>
          <w:color w:val="auto"/>
        </w:rPr>
      </w:pPr>
      <w:r>
        <w:rPr>
          <w:color w:val="auto"/>
        </w:rPr>
        <w:br w:type="page"/>
      </w:r>
    </w:p>
    <w:tbl>
      <w:tblPr>
        <w:tblStyle w:val="6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26"/>
        <w:gridCol w:w="3251"/>
        <w:gridCol w:w="849"/>
        <w:gridCol w:w="1016"/>
        <w:gridCol w:w="1017"/>
        <w:gridCol w:w="10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8276" w:type="dxa"/>
            <w:gridSpan w:val="6"/>
            <w:tcBorders>
              <w:top w:val="nil"/>
              <w:left w:val="nil"/>
              <w:bottom w:val="nil"/>
              <w:right w:val="nil"/>
            </w:tcBorders>
            <w:vAlign w:val="center"/>
          </w:tcPr>
          <w:p>
            <w:pPr>
              <w:snapToGrid w:val="0"/>
              <w:jc w:val="center"/>
              <w:rPr>
                <w:b/>
                <w:bCs/>
                <w:color w:val="auto"/>
              </w:rPr>
            </w:pPr>
            <w:r>
              <w:rPr>
                <w:rFonts w:hint="eastAsia" w:ascii="黑体" w:hAnsi="黑体" w:eastAsia="黑体"/>
                <w:color w:val="auto"/>
                <w:sz w:val="32"/>
                <w:szCs w:val="32"/>
              </w:rPr>
              <w:t>报价清单表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8276" w:type="dxa"/>
            <w:gridSpan w:val="6"/>
            <w:tcBorders>
              <w:top w:val="nil"/>
              <w:left w:val="nil"/>
              <w:bottom w:val="single" w:color="auto" w:sz="12" w:space="0"/>
              <w:right w:val="nil"/>
            </w:tcBorders>
            <w:vAlign w:val="center"/>
          </w:tcPr>
          <w:p>
            <w:pPr>
              <w:snapToGrid w:val="0"/>
              <w:jc w:val="right"/>
              <w:rPr>
                <w:b/>
                <w:bCs/>
                <w:color w:val="auto"/>
              </w:rPr>
            </w:pPr>
            <w:r>
              <w:rPr>
                <w:rFonts w:hint="eastAsia" w:ascii="宋体" w:hAnsi="宋体"/>
                <w:color w:val="auto"/>
              </w:rPr>
              <w:t>第</w:t>
            </w:r>
            <w:r>
              <w:rPr>
                <w:color w:val="auto"/>
                <w:u w:val="single"/>
              </w:rPr>
              <w:t xml:space="preserve">     </w:t>
            </w:r>
            <w:r>
              <w:rPr>
                <w:rFonts w:hint="eastAsia" w:ascii="宋体" w:hAnsi="宋体"/>
                <w:color w:val="auto"/>
              </w:rPr>
              <w:t>标段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8276" w:type="dxa"/>
            <w:gridSpan w:val="6"/>
            <w:tcBorders>
              <w:top w:val="single" w:color="auto" w:sz="12" w:space="0"/>
              <w:left w:val="single" w:color="auto" w:sz="12" w:space="0"/>
              <w:bottom w:val="single" w:color="auto" w:sz="6" w:space="0"/>
              <w:right w:val="single" w:color="auto" w:sz="12" w:space="0"/>
            </w:tcBorders>
            <w:vAlign w:val="center"/>
          </w:tcPr>
          <w:p>
            <w:pPr>
              <w:snapToGrid w:val="0"/>
              <w:jc w:val="center"/>
              <w:rPr>
                <w:b/>
                <w:bCs/>
                <w:color w:val="auto"/>
              </w:rPr>
            </w:pPr>
            <w:r>
              <w:rPr>
                <w:rFonts w:hint="eastAsia" w:ascii="宋体" w:hAnsi="宋体"/>
                <w:b/>
                <w:bCs/>
                <w:color w:val="auto"/>
              </w:rPr>
              <w:t>第</w:t>
            </w:r>
            <w:r>
              <w:rPr>
                <w:rFonts w:hint="eastAsia"/>
                <w:b/>
                <w:bCs/>
                <w:color w:val="auto"/>
              </w:rPr>
              <w:t>4</w:t>
            </w:r>
            <w:r>
              <w:rPr>
                <w:b/>
                <w:bCs/>
                <w:color w:val="auto"/>
              </w:rPr>
              <w:t>00</w:t>
            </w:r>
            <w:r>
              <w:rPr>
                <w:rFonts w:hint="eastAsia" w:ascii="宋体" w:hAnsi="宋体"/>
                <w:b/>
                <w:bCs/>
                <w:color w:val="auto"/>
              </w:rPr>
              <w:t>章</w:t>
            </w:r>
            <w:r>
              <w:rPr>
                <w:rFonts w:hint="eastAsia"/>
                <w:b/>
                <w:bCs/>
                <w:color w:val="auto"/>
              </w:rPr>
              <w:t xml:space="preserve"> </w:t>
            </w:r>
            <w:r>
              <w:rPr>
                <w:b/>
                <w:bCs/>
                <w:color w:val="auto"/>
              </w:rPr>
              <w:t xml:space="preserve"> </w:t>
            </w:r>
            <w:r>
              <w:rPr>
                <w:rFonts w:hint="eastAsia" w:ascii="宋体" w:hAnsi="宋体"/>
                <w:b/>
                <w:bCs/>
                <w:color w:val="auto"/>
              </w:rPr>
              <w:t>桥梁工程（不含小桥）（竣工）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子目号</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子目名称</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单位</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数量</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单价</w:t>
            </w: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黑体" w:hAnsi="黑体" w:eastAsia="黑体"/>
                <w:color w:val="auto"/>
              </w:rPr>
            </w:pPr>
            <w:r>
              <w:rPr>
                <w:rFonts w:hint="eastAsia" w:ascii="黑体" w:hAnsi="黑体" w:eastAsia="黑体"/>
                <w:color w:val="auto"/>
              </w:rPr>
              <w:t>合价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403</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桥面系</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403-1</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伸缩缝与桥面高差*</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处</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10</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403-2</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桥面铺装平整度*</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rFonts w:eastAsia="等线"/>
                <w:color w:val="auto"/>
              </w:rPr>
            </w:pPr>
            <w:r>
              <w:rPr>
                <w:color w:val="auto"/>
                <w:sz w:val="20"/>
                <w:szCs w:val="20"/>
              </w:rPr>
              <w:t>-b</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rStyle w:val="639"/>
                <w:rFonts w:hint="default"/>
                <w:color w:val="auto"/>
                <w:sz w:val="21"/>
                <w:szCs w:val="21"/>
              </w:rPr>
            </w:pPr>
            <w:r>
              <w:rPr>
                <w:color w:val="auto"/>
                <w:sz w:val="20"/>
                <w:szCs w:val="20"/>
              </w:rPr>
              <w:t>每联不足100m（3m直尺）</w:t>
            </w:r>
          </w:p>
        </w:tc>
        <w:tc>
          <w:tcPr>
            <w:tcW w:w="849"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等线"/>
                <w:color w:val="auto"/>
                <w:sz w:val="20"/>
                <w:szCs w:val="20"/>
              </w:rPr>
            </w:pPr>
            <w:r>
              <w:rPr>
                <w:color w:val="auto"/>
                <w:sz w:val="20"/>
                <w:szCs w:val="20"/>
              </w:rPr>
              <w:t>处</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szCs w:val="21"/>
              </w:rPr>
            </w:pPr>
            <w:r>
              <w:rPr>
                <w:color w:val="auto"/>
                <w:sz w:val="20"/>
                <w:szCs w:val="20"/>
              </w:rPr>
              <w:t>18</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403-4</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桥面抗滑（构造深度）*</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-b</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铺砂法</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处</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12</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3" w:hRule="atLeast"/>
        </w:trPr>
        <w:tc>
          <w:tcPr>
            <w:tcW w:w="8276" w:type="dxa"/>
            <w:gridSpan w:val="6"/>
            <w:tcBorders>
              <w:top w:val="single" w:color="auto" w:sz="6" w:space="0"/>
              <w:left w:val="single" w:color="auto" w:sz="12" w:space="0"/>
              <w:bottom w:val="single" w:color="auto" w:sz="12" w:space="0"/>
              <w:right w:val="single" w:color="auto" w:sz="12" w:space="0"/>
            </w:tcBorders>
            <w:vAlign w:val="center"/>
          </w:tcPr>
          <w:p>
            <w:pPr>
              <w:snapToGrid w:val="0"/>
              <w:jc w:val="center"/>
              <w:rPr>
                <w:b/>
                <w:bCs/>
                <w:color w:val="auto"/>
              </w:rPr>
            </w:pPr>
            <w:r>
              <w:rPr>
                <w:rFonts w:hint="eastAsia" w:ascii="宋体" w:hAnsi="宋体"/>
                <w:b/>
                <w:bCs/>
                <w:color w:val="auto"/>
              </w:rPr>
              <w:t>第</w:t>
            </w:r>
            <w:r>
              <w:rPr>
                <w:rFonts w:hint="eastAsia"/>
                <w:b/>
                <w:bCs/>
                <w:color w:val="auto"/>
              </w:rPr>
              <w:t>4</w:t>
            </w:r>
            <w:r>
              <w:rPr>
                <w:b/>
                <w:bCs/>
                <w:color w:val="auto"/>
              </w:rPr>
              <w:t>00</w:t>
            </w:r>
            <w:r>
              <w:rPr>
                <w:rFonts w:hint="eastAsia" w:ascii="宋体" w:hAnsi="宋体"/>
                <w:b/>
                <w:bCs/>
                <w:color w:val="auto"/>
              </w:rPr>
              <w:t>章（竣工）合计</w:t>
            </w:r>
            <w:r>
              <w:rPr>
                <w:rFonts w:hint="eastAsia"/>
                <w:b/>
                <w:bCs/>
                <w:color w:val="auto"/>
              </w:rPr>
              <w:t xml:space="preserve"> </w:t>
            </w:r>
            <w:r>
              <w:rPr>
                <w:b/>
                <w:bCs/>
                <w:color w:val="auto"/>
              </w:rPr>
              <w:t xml:space="preserve"> </w:t>
            </w:r>
            <w:r>
              <w:rPr>
                <w:rFonts w:hint="eastAsia" w:ascii="宋体" w:hAnsi="宋体"/>
                <w:b/>
                <w:bCs/>
                <w:color w:val="auto"/>
              </w:rPr>
              <w:t>人民币</w:t>
            </w:r>
            <w:r>
              <w:rPr>
                <w:b/>
                <w:bCs/>
                <w:color w:val="auto"/>
                <w:u w:val="single"/>
              </w:rPr>
              <w:t xml:space="preserve">          </w:t>
            </w:r>
            <w:r>
              <w:rPr>
                <w:rFonts w:hint="eastAsia" w:ascii="宋体" w:hAnsi="宋体"/>
                <w:b/>
                <w:bCs/>
                <w:color w:val="auto"/>
              </w:rPr>
              <w:t>元</w:t>
            </w:r>
          </w:p>
        </w:tc>
      </w:tr>
    </w:tbl>
    <w:p>
      <w:pPr>
        <w:snapToGrid w:val="0"/>
        <w:spacing w:line="360" w:lineRule="auto"/>
        <w:rPr>
          <w:color w:val="auto"/>
          <w:szCs w:val="21"/>
        </w:rPr>
      </w:pPr>
      <w:r>
        <w:rPr>
          <w:color w:val="auto"/>
        </w:rPr>
        <w:t xml:space="preserve"> </w:t>
      </w:r>
    </w:p>
    <w:p>
      <w:pPr>
        <w:widowControl/>
        <w:jc w:val="left"/>
        <w:rPr>
          <w:color w:val="auto"/>
        </w:rPr>
      </w:pPr>
      <w:r>
        <w:rPr>
          <w:color w:val="auto"/>
        </w:rPr>
        <w:br w:type="page"/>
      </w:r>
    </w:p>
    <w:p>
      <w:pPr>
        <w:widowControl/>
        <w:jc w:val="left"/>
        <w:rPr>
          <w:color w:val="auto"/>
        </w:rPr>
      </w:pPr>
      <w:r>
        <w:rPr>
          <w:color w:val="auto"/>
        </w:rPr>
        <w:t xml:space="preserve"> </w:t>
      </w:r>
    </w:p>
    <w:tbl>
      <w:tblPr>
        <w:tblStyle w:val="6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26"/>
        <w:gridCol w:w="3251"/>
        <w:gridCol w:w="849"/>
        <w:gridCol w:w="1016"/>
        <w:gridCol w:w="1017"/>
        <w:gridCol w:w="10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8276" w:type="dxa"/>
            <w:gridSpan w:val="6"/>
            <w:tcBorders>
              <w:top w:val="nil"/>
              <w:left w:val="nil"/>
              <w:bottom w:val="nil"/>
              <w:right w:val="nil"/>
            </w:tcBorders>
            <w:vAlign w:val="center"/>
          </w:tcPr>
          <w:p>
            <w:pPr>
              <w:snapToGrid w:val="0"/>
              <w:jc w:val="center"/>
              <w:rPr>
                <w:b/>
                <w:bCs/>
                <w:color w:val="auto"/>
              </w:rPr>
            </w:pPr>
            <w:r>
              <w:rPr>
                <w:rFonts w:hint="eastAsia" w:ascii="黑体" w:hAnsi="黑体" w:eastAsia="黑体"/>
                <w:color w:val="auto"/>
                <w:sz w:val="32"/>
                <w:szCs w:val="32"/>
              </w:rPr>
              <w:t>报价清单表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8276" w:type="dxa"/>
            <w:gridSpan w:val="6"/>
            <w:tcBorders>
              <w:top w:val="nil"/>
              <w:left w:val="nil"/>
              <w:bottom w:val="single" w:color="auto" w:sz="12" w:space="0"/>
              <w:right w:val="nil"/>
            </w:tcBorders>
            <w:vAlign w:val="center"/>
          </w:tcPr>
          <w:p>
            <w:pPr>
              <w:snapToGrid w:val="0"/>
              <w:jc w:val="right"/>
              <w:rPr>
                <w:b/>
                <w:bCs/>
                <w:color w:val="auto"/>
              </w:rPr>
            </w:pPr>
            <w:r>
              <w:rPr>
                <w:rFonts w:hint="eastAsia" w:ascii="宋体" w:hAnsi="宋体"/>
                <w:color w:val="auto"/>
              </w:rPr>
              <w:t>第</w:t>
            </w:r>
            <w:r>
              <w:rPr>
                <w:color w:val="auto"/>
                <w:u w:val="single"/>
              </w:rPr>
              <w:t xml:space="preserve">     </w:t>
            </w:r>
            <w:r>
              <w:rPr>
                <w:rFonts w:hint="eastAsia" w:ascii="宋体" w:hAnsi="宋体"/>
                <w:color w:val="auto"/>
              </w:rPr>
              <w:t>标段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8276" w:type="dxa"/>
            <w:gridSpan w:val="6"/>
            <w:tcBorders>
              <w:top w:val="single" w:color="auto" w:sz="12" w:space="0"/>
              <w:left w:val="single" w:color="auto" w:sz="12" w:space="0"/>
              <w:bottom w:val="single" w:color="auto" w:sz="6" w:space="0"/>
              <w:right w:val="single" w:color="auto" w:sz="12" w:space="0"/>
            </w:tcBorders>
            <w:vAlign w:val="center"/>
          </w:tcPr>
          <w:p>
            <w:pPr>
              <w:snapToGrid w:val="0"/>
              <w:jc w:val="center"/>
              <w:rPr>
                <w:b/>
                <w:bCs/>
                <w:color w:val="auto"/>
              </w:rPr>
            </w:pPr>
            <w:r>
              <w:rPr>
                <w:rFonts w:hint="eastAsia" w:ascii="宋体" w:hAnsi="宋体"/>
                <w:b/>
                <w:bCs/>
                <w:color w:val="auto"/>
              </w:rPr>
              <w:t>第</w:t>
            </w:r>
            <w:r>
              <w:rPr>
                <w:rFonts w:hint="eastAsia"/>
                <w:b/>
                <w:bCs/>
                <w:color w:val="auto"/>
              </w:rPr>
              <w:t>6</w:t>
            </w:r>
            <w:r>
              <w:rPr>
                <w:b/>
                <w:bCs/>
                <w:color w:val="auto"/>
              </w:rPr>
              <w:t>00</w:t>
            </w:r>
            <w:r>
              <w:rPr>
                <w:rFonts w:hint="eastAsia" w:ascii="宋体" w:hAnsi="宋体"/>
                <w:b/>
                <w:bCs/>
                <w:color w:val="auto"/>
              </w:rPr>
              <w:t>章</w:t>
            </w:r>
            <w:r>
              <w:rPr>
                <w:rFonts w:hint="eastAsia"/>
                <w:b/>
                <w:bCs/>
                <w:color w:val="auto"/>
              </w:rPr>
              <w:t xml:space="preserve"> </w:t>
            </w:r>
            <w:r>
              <w:rPr>
                <w:b/>
                <w:bCs/>
                <w:color w:val="auto"/>
              </w:rPr>
              <w:t xml:space="preserve"> </w:t>
            </w:r>
            <w:r>
              <w:rPr>
                <w:rFonts w:hint="eastAsia" w:ascii="宋体" w:hAnsi="宋体"/>
                <w:b/>
                <w:bCs/>
                <w:color w:val="auto"/>
              </w:rPr>
              <w:t>交通安全设施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子目号</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子目名称</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单位</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数量</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单价</w:t>
            </w: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黑体" w:hAnsi="黑体" w:eastAsia="黑体"/>
                <w:color w:val="auto"/>
              </w:rPr>
            </w:pPr>
            <w:r>
              <w:rPr>
                <w:rFonts w:hint="eastAsia" w:ascii="黑体" w:hAnsi="黑体" w:eastAsia="黑体"/>
                <w:color w:val="auto"/>
              </w:rPr>
              <w:t>合价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601</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标志</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601-1</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立柱竖直度</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处</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42</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601-2</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标志板净空</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处</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47</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601-3</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标志板厚度</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处</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47</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601-4</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标志面反光膜等级及逆射光系数</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处</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47</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601-5</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标志杆件厚度</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处</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47</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602</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标线</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602-1</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反光标线逆反射系数</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处</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12</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602-2</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标线厚度</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处</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12</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603</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防护栏</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603-1</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波形梁板基底金属厚度</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处</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14</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603-2</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波形梁钢护栏立柱壁厚</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处</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14</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603-3</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jc w:val="left"/>
              <w:rPr>
                <w:color w:val="auto"/>
              </w:rPr>
            </w:pPr>
            <w:r>
              <w:rPr>
                <w:rFonts w:hint="eastAsia"/>
                <w:color w:val="auto"/>
                <w:sz w:val="20"/>
                <w:szCs w:val="20"/>
              </w:rPr>
              <w:t>波形梁钢护栏立柱埋入深度</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处</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14</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603-4</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jc w:val="left"/>
              <w:rPr>
                <w:color w:val="auto"/>
              </w:rPr>
            </w:pPr>
            <w:r>
              <w:rPr>
                <w:color w:val="auto"/>
                <w:sz w:val="20"/>
                <w:szCs w:val="20"/>
              </w:rPr>
              <w:t>波形梁钢护栏横梁中心高度</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处</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14</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3" w:hRule="atLeast"/>
        </w:trPr>
        <w:tc>
          <w:tcPr>
            <w:tcW w:w="8276" w:type="dxa"/>
            <w:gridSpan w:val="6"/>
            <w:tcBorders>
              <w:top w:val="single" w:color="auto" w:sz="6" w:space="0"/>
              <w:left w:val="single" w:color="auto" w:sz="12" w:space="0"/>
              <w:bottom w:val="single" w:color="auto" w:sz="12" w:space="0"/>
              <w:right w:val="single" w:color="auto" w:sz="12" w:space="0"/>
            </w:tcBorders>
            <w:vAlign w:val="center"/>
          </w:tcPr>
          <w:p>
            <w:pPr>
              <w:snapToGrid w:val="0"/>
              <w:jc w:val="center"/>
              <w:rPr>
                <w:b/>
                <w:bCs/>
                <w:color w:val="auto"/>
              </w:rPr>
            </w:pPr>
            <w:r>
              <w:rPr>
                <w:rFonts w:hint="eastAsia" w:ascii="宋体" w:hAnsi="宋体"/>
                <w:b/>
                <w:bCs/>
                <w:color w:val="auto"/>
              </w:rPr>
              <w:t>第</w:t>
            </w:r>
            <w:r>
              <w:rPr>
                <w:rFonts w:hint="eastAsia"/>
                <w:b/>
                <w:bCs/>
                <w:color w:val="auto"/>
              </w:rPr>
              <w:t>6</w:t>
            </w:r>
            <w:r>
              <w:rPr>
                <w:b/>
                <w:bCs/>
                <w:color w:val="auto"/>
              </w:rPr>
              <w:t>00</w:t>
            </w:r>
            <w:r>
              <w:rPr>
                <w:rFonts w:hint="eastAsia" w:ascii="宋体" w:hAnsi="宋体"/>
                <w:b/>
                <w:bCs/>
                <w:color w:val="auto"/>
              </w:rPr>
              <w:t>章合计</w:t>
            </w:r>
            <w:r>
              <w:rPr>
                <w:rFonts w:hint="eastAsia"/>
                <w:b/>
                <w:bCs/>
                <w:color w:val="auto"/>
              </w:rPr>
              <w:t xml:space="preserve"> </w:t>
            </w:r>
            <w:r>
              <w:rPr>
                <w:b/>
                <w:bCs/>
                <w:color w:val="auto"/>
              </w:rPr>
              <w:t xml:space="preserve"> </w:t>
            </w:r>
            <w:r>
              <w:rPr>
                <w:rFonts w:hint="eastAsia" w:ascii="宋体" w:hAnsi="宋体"/>
                <w:b/>
                <w:bCs/>
                <w:color w:val="auto"/>
              </w:rPr>
              <w:t>人民币</w:t>
            </w:r>
            <w:r>
              <w:rPr>
                <w:b/>
                <w:bCs/>
                <w:color w:val="auto"/>
                <w:u w:val="single"/>
              </w:rPr>
              <w:t xml:space="preserve">          </w:t>
            </w:r>
            <w:r>
              <w:rPr>
                <w:rFonts w:hint="eastAsia" w:ascii="宋体" w:hAnsi="宋体"/>
                <w:b/>
                <w:bCs/>
                <w:color w:val="auto"/>
              </w:rPr>
              <w:t>元</w:t>
            </w:r>
          </w:p>
        </w:tc>
      </w:tr>
    </w:tbl>
    <w:p>
      <w:pPr>
        <w:snapToGrid w:val="0"/>
        <w:spacing w:line="360" w:lineRule="auto"/>
        <w:rPr>
          <w:color w:val="auto"/>
          <w:szCs w:val="21"/>
        </w:rPr>
      </w:pPr>
      <w:r>
        <w:rPr>
          <w:color w:val="auto"/>
        </w:rPr>
        <w:t xml:space="preserve"> </w:t>
      </w:r>
    </w:p>
    <w:p>
      <w:pPr>
        <w:widowControl/>
        <w:jc w:val="left"/>
        <w:rPr>
          <w:color w:val="auto"/>
        </w:rPr>
      </w:pPr>
      <w:r>
        <w:rPr>
          <w:color w:val="auto"/>
        </w:rPr>
        <w:br w:type="page"/>
      </w:r>
    </w:p>
    <w:tbl>
      <w:tblPr>
        <w:tblStyle w:val="6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26"/>
        <w:gridCol w:w="3251"/>
        <w:gridCol w:w="849"/>
        <w:gridCol w:w="1016"/>
        <w:gridCol w:w="1017"/>
        <w:gridCol w:w="10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8276" w:type="dxa"/>
            <w:gridSpan w:val="6"/>
            <w:tcBorders>
              <w:top w:val="nil"/>
              <w:left w:val="nil"/>
              <w:bottom w:val="nil"/>
              <w:right w:val="nil"/>
            </w:tcBorders>
            <w:vAlign w:val="center"/>
          </w:tcPr>
          <w:p>
            <w:pPr>
              <w:snapToGrid w:val="0"/>
              <w:jc w:val="center"/>
              <w:rPr>
                <w:b/>
                <w:bCs/>
                <w:color w:val="auto"/>
              </w:rPr>
            </w:pPr>
            <w:r>
              <w:rPr>
                <w:rFonts w:hint="eastAsia" w:ascii="黑体" w:hAnsi="黑体" w:eastAsia="黑体"/>
                <w:color w:val="auto"/>
                <w:sz w:val="32"/>
                <w:szCs w:val="32"/>
              </w:rPr>
              <w:t>报价清单表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8276" w:type="dxa"/>
            <w:gridSpan w:val="6"/>
            <w:tcBorders>
              <w:top w:val="nil"/>
              <w:left w:val="nil"/>
              <w:bottom w:val="single" w:color="auto" w:sz="12" w:space="0"/>
              <w:right w:val="nil"/>
            </w:tcBorders>
            <w:vAlign w:val="center"/>
          </w:tcPr>
          <w:p>
            <w:pPr>
              <w:snapToGrid w:val="0"/>
              <w:jc w:val="right"/>
              <w:rPr>
                <w:b/>
                <w:bCs/>
                <w:color w:val="auto"/>
              </w:rPr>
            </w:pPr>
            <w:r>
              <w:rPr>
                <w:rFonts w:hint="eastAsia" w:ascii="宋体" w:hAnsi="宋体"/>
                <w:color w:val="auto"/>
              </w:rPr>
              <w:t>第</w:t>
            </w:r>
            <w:r>
              <w:rPr>
                <w:color w:val="auto"/>
                <w:u w:val="single"/>
              </w:rPr>
              <w:t xml:space="preserve">     </w:t>
            </w:r>
            <w:r>
              <w:rPr>
                <w:rFonts w:hint="eastAsia" w:ascii="宋体" w:hAnsi="宋体"/>
                <w:color w:val="auto"/>
              </w:rPr>
              <w:t>标段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8276" w:type="dxa"/>
            <w:gridSpan w:val="6"/>
            <w:tcBorders>
              <w:top w:val="single" w:color="auto" w:sz="12" w:space="0"/>
              <w:left w:val="single" w:color="auto" w:sz="12" w:space="0"/>
              <w:bottom w:val="single" w:color="auto" w:sz="6" w:space="0"/>
              <w:right w:val="single" w:color="auto" w:sz="12" w:space="0"/>
            </w:tcBorders>
            <w:vAlign w:val="center"/>
          </w:tcPr>
          <w:p>
            <w:pPr>
              <w:snapToGrid w:val="0"/>
              <w:jc w:val="center"/>
              <w:rPr>
                <w:b/>
                <w:bCs/>
                <w:color w:val="auto"/>
              </w:rPr>
            </w:pPr>
            <w:r>
              <w:rPr>
                <w:rFonts w:hint="eastAsia" w:ascii="宋体" w:hAnsi="宋体"/>
                <w:b/>
                <w:bCs/>
                <w:color w:val="auto"/>
              </w:rPr>
              <w:t>第</w:t>
            </w:r>
            <w:r>
              <w:rPr>
                <w:rFonts w:hint="eastAsia"/>
                <w:b/>
                <w:bCs/>
                <w:color w:val="auto"/>
              </w:rPr>
              <w:t>7</w:t>
            </w:r>
            <w:r>
              <w:rPr>
                <w:b/>
                <w:bCs/>
                <w:color w:val="auto"/>
              </w:rPr>
              <w:t>00</w:t>
            </w:r>
            <w:r>
              <w:rPr>
                <w:rFonts w:hint="eastAsia" w:ascii="宋体" w:hAnsi="宋体"/>
                <w:b/>
                <w:bCs/>
                <w:color w:val="auto"/>
              </w:rPr>
              <w:t>章</w:t>
            </w:r>
            <w:r>
              <w:rPr>
                <w:rFonts w:hint="eastAsia"/>
                <w:b/>
                <w:bCs/>
                <w:color w:val="auto"/>
              </w:rPr>
              <w:t xml:space="preserve"> </w:t>
            </w:r>
            <w:r>
              <w:rPr>
                <w:b/>
                <w:bCs/>
                <w:color w:val="auto"/>
              </w:rPr>
              <w:t xml:space="preserve"> </w:t>
            </w:r>
            <w:r>
              <w:rPr>
                <w:rFonts w:hint="eastAsia" w:ascii="宋体" w:hAnsi="宋体"/>
                <w:b/>
                <w:bCs/>
                <w:color w:val="auto"/>
              </w:rPr>
              <w:t>环保工程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子目号</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子目名称</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单位</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数量</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单价</w:t>
            </w: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黑体" w:hAnsi="黑体" w:eastAsia="黑体"/>
                <w:color w:val="auto"/>
              </w:rPr>
            </w:pPr>
            <w:r>
              <w:rPr>
                <w:rFonts w:hint="eastAsia" w:ascii="黑体" w:hAnsi="黑体" w:eastAsia="黑体"/>
                <w:color w:val="auto"/>
              </w:rPr>
              <w:t>合价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702</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rFonts w:hint="eastAsia"/>
                <w:color w:val="auto"/>
                <w:sz w:val="20"/>
                <w:szCs w:val="20"/>
              </w:rPr>
              <w:t>绿化（苗木规格与数量、苗木成活率、草坪覆盖率）</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-a</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路线</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Cs w:val="21"/>
              </w:rPr>
              <w:t>公里</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11.652</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23" w:hRule="atLeast"/>
        </w:trPr>
        <w:tc>
          <w:tcPr>
            <w:tcW w:w="8276" w:type="dxa"/>
            <w:gridSpan w:val="6"/>
            <w:tcBorders>
              <w:top w:val="single" w:color="auto" w:sz="6" w:space="0"/>
              <w:left w:val="single" w:color="auto" w:sz="12" w:space="0"/>
              <w:bottom w:val="single" w:color="auto" w:sz="12" w:space="0"/>
              <w:right w:val="single" w:color="auto" w:sz="12" w:space="0"/>
            </w:tcBorders>
            <w:vAlign w:val="center"/>
          </w:tcPr>
          <w:p>
            <w:pPr>
              <w:snapToGrid w:val="0"/>
              <w:jc w:val="center"/>
              <w:rPr>
                <w:b/>
                <w:bCs/>
                <w:color w:val="auto"/>
              </w:rPr>
            </w:pPr>
            <w:r>
              <w:rPr>
                <w:rFonts w:hint="eastAsia" w:ascii="宋体" w:hAnsi="宋体"/>
                <w:b/>
                <w:bCs/>
                <w:color w:val="auto"/>
              </w:rPr>
              <w:t>第</w:t>
            </w:r>
            <w:r>
              <w:rPr>
                <w:rFonts w:hint="eastAsia"/>
                <w:b/>
                <w:bCs/>
                <w:color w:val="auto"/>
              </w:rPr>
              <w:t>7</w:t>
            </w:r>
            <w:r>
              <w:rPr>
                <w:b/>
                <w:bCs/>
                <w:color w:val="auto"/>
              </w:rPr>
              <w:t>00</w:t>
            </w:r>
            <w:r>
              <w:rPr>
                <w:rFonts w:hint="eastAsia" w:ascii="宋体" w:hAnsi="宋体"/>
                <w:b/>
                <w:bCs/>
                <w:color w:val="auto"/>
              </w:rPr>
              <w:t>章合计</w:t>
            </w:r>
            <w:r>
              <w:rPr>
                <w:rFonts w:hint="eastAsia"/>
                <w:b/>
                <w:bCs/>
                <w:color w:val="auto"/>
              </w:rPr>
              <w:t xml:space="preserve"> </w:t>
            </w:r>
            <w:r>
              <w:rPr>
                <w:b/>
                <w:bCs/>
                <w:color w:val="auto"/>
              </w:rPr>
              <w:t xml:space="preserve"> </w:t>
            </w:r>
            <w:r>
              <w:rPr>
                <w:rFonts w:hint="eastAsia" w:ascii="宋体" w:hAnsi="宋体"/>
                <w:b/>
                <w:bCs/>
                <w:color w:val="auto"/>
              </w:rPr>
              <w:t>人民币</w:t>
            </w:r>
            <w:r>
              <w:rPr>
                <w:b/>
                <w:bCs/>
                <w:color w:val="auto"/>
                <w:u w:val="single"/>
              </w:rPr>
              <w:t xml:space="preserve">          </w:t>
            </w:r>
            <w:r>
              <w:rPr>
                <w:rFonts w:hint="eastAsia" w:ascii="宋体" w:hAnsi="宋体"/>
                <w:b/>
                <w:bCs/>
                <w:color w:val="auto"/>
              </w:rPr>
              <w:t>元</w:t>
            </w:r>
          </w:p>
        </w:tc>
      </w:tr>
    </w:tbl>
    <w:p>
      <w:pPr>
        <w:snapToGrid w:val="0"/>
        <w:spacing w:line="360" w:lineRule="auto"/>
        <w:rPr>
          <w:color w:val="auto"/>
          <w:szCs w:val="21"/>
        </w:rPr>
      </w:pPr>
      <w:r>
        <w:rPr>
          <w:color w:val="auto"/>
        </w:rPr>
        <w:t xml:space="preserve"> </w:t>
      </w:r>
    </w:p>
    <w:p>
      <w:pPr>
        <w:widowControl/>
        <w:jc w:val="left"/>
        <w:rPr>
          <w:color w:val="auto"/>
        </w:rPr>
      </w:pPr>
      <w:r>
        <w:rPr>
          <w:color w:val="auto"/>
        </w:rPr>
        <w:br w:type="page"/>
      </w:r>
    </w:p>
    <w:tbl>
      <w:tblPr>
        <w:tblStyle w:val="6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26"/>
        <w:gridCol w:w="3251"/>
        <w:gridCol w:w="849"/>
        <w:gridCol w:w="1016"/>
        <w:gridCol w:w="1017"/>
        <w:gridCol w:w="10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8276" w:type="dxa"/>
            <w:gridSpan w:val="6"/>
            <w:tcBorders>
              <w:top w:val="nil"/>
              <w:left w:val="nil"/>
              <w:bottom w:val="nil"/>
              <w:right w:val="nil"/>
            </w:tcBorders>
            <w:vAlign w:val="center"/>
          </w:tcPr>
          <w:p>
            <w:pPr>
              <w:snapToGrid w:val="0"/>
              <w:jc w:val="center"/>
              <w:rPr>
                <w:b/>
                <w:bCs/>
                <w:color w:val="auto"/>
              </w:rPr>
            </w:pPr>
            <w:r>
              <w:rPr>
                <w:rFonts w:hint="eastAsia" w:ascii="黑体" w:hAnsi="黑体" w:eastAsia="黑体"/>
                <w:color w:val="auto"/>
                <w:sz w:val="32"/>
                <w:szCs w:val="32"/>
              </w:rPr>
              <w:t>报价清单表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8276" w:type="dxa"/>
            <w:gridSpan w:val="6"/>
            <w:tcBorders>
              <w:top w:val="nil"/>
              <w:left w:val="nil"/>
              <w:bottom w:val="single" w:color="auto" w:sz="12" w:space="0"/>
              <w:right w:val="nil"/>
            </w:tcBorders>
            <w:vAlign w:val="center"/>
          </w:tcPr>
          <w:p>
            <w:pPr>
              <w:snapToGrid w:val="0"/>
              <w:jc w:val="right"/>
              <w:rPr>
                <w:b/>
                <w:bCs/>
                <w:color w:val="auto"/>
              </w:rPr>
            </w:pPr>
            <w:r>
              <w:rPr>
                <w:rFonts w:hint="eastAsia" w:ascii="宋体" w:hAnsi="宋体"/>
                <w:color w:val="auto"/>
              </w:rPr>
              <w:t>第</w:t>
            </w:r>
            <w:r>
              <w:rPr>
                <w:color w:val="auto"/>
                <w:u w:val="single"/>
              </w:rPr>
              <w:t xml:space="preserve">     </w:t>
            </w:r>
            <w:r>
              <w:rPr>
                <w:rFonts w:hint="eastAsia" w:ascii="宋体" w:hAnsi="宋体"/>
                <w:color w:val="auto"/>
              </w:rPr>
              <w:t>标段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8276" w:type="dxa"/>
            <w:gridSpan w:val="6"/>
            <w:tcBorders>
              <w:top w:val="single" w:color="auto" w:sz="12" w:space="0"/>
              <w:left w:val="single" w:color="auto" w:sz="12" w:space="0"/>
              <w:bottom w:val="single" w:color="auto" w:sz="6" w:space="0"/>
              <w:right w:val="single" w:color="auto" w:sz="12" w:space="0"/>
            </w:tcBorders>
            <w:vAlign w:val="center"/>
          </w:tcPr>
          <w:p>
            <w:pPr>
              <w:snapToGrid w:val="0"/>
              <w:jc w:val="center"/>
              <w:rPr>
                <w:b/>
                <w:bCs/>
                <w:color w:val="auto"/>
              </w:rPr>
            </w:pPr>
            <w:r>
              <w:rPr>
                <w:rFonts w:hint="eastAsia" w:ascii="宋体" w:hAnsi="宋体"/>
                <w:b/>
                <w:bCs/>
                <w:color w:val="auto"/>
              </w:rPr>
              <w:t>第</w:t>
            </w:r>
            <w:r>
              <w:rPr>
                <w:b/>
                <w:bCs/>
                <w:color w:val="auto"/>
              </w:rPr>
              <w:t>900</w:t>
            </w:r>
            <w:r>
              <w:rPr>
                <w:rFonts w:hint="eastAsia" w:ascii="宋体" w:hAnsi="宋体"/>
                <w:b/>
                <w:bCs/>
                <w:color w:val="auto"/>
              </w:rPr>
              <w:t>章</w:t>
            </w:r>
            <w:r>
              <w:rPr>
                <w:rFonts w:hint="eastAsia"/>
                <w:b/>
                <w:bCs/>
                <w:color w:val="auto"/>
              </w:rPr>
              <w:t xml:space="preserve"> </w:t>
            </w:r>
            <w:r>
              <w:rPr>
                <w:b/>
                <w:bCs/>
                <w:color w:val="auto"/>
              </w:rPr>
              <w:t xml:space="preserve"> </w:t>
            </w:r>
            <w:r>
              <w:rPr>
                <w:rFonts w:hint="eastAsia" w:ascii="宋体" w:hAnsi="宋体"/>
                <w:b/>
                <w:bCs/>
                <w:color w:val="auto"/>
              </w:rPr>
              <w:t>机电工程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子目号</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子目名称</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单位</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数量</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单价</w:t>
            </w: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黑体" w:hAnsi="黑体" w:eastAsia="黑体"/>
                <w:color w:val="auto"/>
              </w:rPr>
            </w:pPr>
            <w:r>
              <w:rPr>
                <w:rFonts w:hint="eastAsia" w:ascii="黑体" w:hAnsi="黑体" w:eastAsia="黑体"/>
                <w:color w:val="auto"/>
              </w:rPr>
              <w:t>合价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901</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监控设施</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901-1</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rFonts w:hint="eastAsia"/>
                <w:color w:val="auto"/>
                <w:sz w:val="20"/>
                <w:szCs w:val="20"/>
              </w:rPr>
              <w:t>外场设备自检功能</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处</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10</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901-10</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监控中心图像监视功能</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中心</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901-12</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监控中心系统监视功能</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中心</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901-13</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监控中心系统警告功能</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中心</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901-14</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监控中心统计、查询、打印报表功能</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中心</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901-15</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监控中心数据备份、存档功能</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中心</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901-19</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系统接地电阻</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处</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11</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904</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供配电设施</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904-1</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主备电源切换功能</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台</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2</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904-3</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配电设备性能</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台</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2</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904-4</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系统接地电阻</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处</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2</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905</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jc w:val="left"/>
              <w:rPr>
                <w:color w:val="auto"/>
              </w:rPr>
            </w:pPr>
            <w:r>
              <w:rPr>
                <w:color w:val="auto"/>
                <w:sz w:val="20"/>
                <w:szCs w:val="20"/>
              </w:rPr>
              <w:t>照明设施</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905-1</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照明设施控制功能</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处</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4</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rFonts w:eastAsia="等线"/>
                <w:color w:val="auto"/>
                <w:sz w:val="20"/>
                <w:szCs w:val="20"/>
              </w:rPr>
            </w:pPr>
            <w:r>
              <w:rPr>
                <w:color w:val="auto"/>
                <w:sz w:val="20"/>
                <w:szCs w:val="20"/>
              </w:rPr>
              <w:t>905-2</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等线" w:hAnsi="等线"/>
                <w:color w:val="auto"/>
                <w:sz w:val="20"/>
                <w:szCs w:val="20"/>
              </w:rPr>
            </w:pPr>
            <w:r>
              <w:rPr>
                <w:color w:val="auto"/>
                <w:sz w:val="20"/>
                <w:szCs w:val="20"/>
              </w:rPr>
              <w:t>照明设施的联动功能</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sz w:val="20"/>
                <w:szCs w:val="20"/>
              </w:rPr>
            </w:pPr>
            <w:r>
              <w:rPr>
                <w:color w:val="auto"/>
                <w:sz w:val="20"/>
                <w:szCs w:val="20"/>
              </w:rPr>
              <w:t>处</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sz w:val="20"/>
                <w:szCs w:val="20"/>
              </w:rPr>
            </w:pPr>
            <w:r>
              <w:rPr>
                <w:color w:val="auto"/>
                <w:sz w:val="20"/>
                <w:szCs w:val="20"/>
              </w:rPr>
              <w:t>4</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szCs w:val="21"/>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rFonts w:eastAsia="等线"/>
                <w:color w:val="auto"/>
                <w:sz w:val="20"/>
                <w:szCs w:val="20"/>
              </w:rPr>
            </w:pPr>
            <w:r>
              <w:rPr>
                <w:color w:val="auto"/>
                <w:sz w:val="20"/>
                <w:szCs w:val="20"/>
              </w:rPr>
              <w:t>905-3</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等线" w:hAnsi="等线"/>
                <w:color w:val="auto"/>
                <w:sz w:val="20"/>
                <w:szCs w:val="20"/>
              </w:rPr>
            </w:pPr>
            <w:r>
              <w:rPr>
                <w:color w:val="auto"/>
                <w:sz w:val="20"/>
                <w:szCs w:val="20"/>
              </w:rPr>
              <w:t>照明设施性能</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sz w:val="20"/>
                <w:szCs w:val="20"/>
              </w:rPr>
            </w:pPr>
            <w:r>
              <w:rPr>
                <w:color w:val="auto"/>
                <w:sz w:val="20"/>
                <w:szCs w:val="20"/>
              </w:rPr>
              <w:t>处</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sz w:val="20"/>
                <w:szCs w:val="20"/>
              </w:rPr>
            </w:pPr>
            <w:r>
              <w:rPr>
                <w:color w:val="auto"/>
                <w:sz w:val="20"/>
                <w:szCs w:val="20"/>
              </w:rPr>
              <w:t>47</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szCs w:val="21"/>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rFonts w:eastAsia="等线"/>
                <w:color w:val="auto"/>
                <w:sz w:val="20"/>
                <w:szCs w:val="20"/>
              </w:rPr>
            </w:pPr>
            <w:r>
              <w:rPr>
                <w:color w:val="auto"/>
                <w:sz w:val="20"/>
                <w:szCs w:val="20"/>
              </w:rPr>
              <w:t>905-4</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等线" w:hAnsi="等线"/>
                <w:color w:val="auto"/>
                <w:sz w:val="20"/>
                <w:szCs w:val="20"/>
              </w:rPr>
            </w:pPr>
            <w:r>
              <w:rPr>
                <w:color w:val="auto"/>
                <w:sz w:val="20"/>
                <w:szCs w:val="20"/>
              </w:rPr>
              <w:t>系统接地电阻</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sz w:val="20"/>
                <w:szCs w:val="20"/>
              </w:rPr>
            </w:pPr>
            <w:r>
              <w:rPr>
                <w:color w:val="auto"/>
                <w:sz w:val="20"/>
                <w:szCs w:val="20"/>
              </w:rPr>
              <w:t>处</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sz w:val="20"/>
                <w:szCs w:val="20"/>
              </w:rPr>
            </w:pPr>
            <w:r>
              <w:rPr>
                <w:color w:val="auto"/>
                <w:sz w:val="20"/>
                <w:szCs w:val="20"/>
              </w:rPr>
              <w:t>51</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szCs w:val="21"/>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8276" w:type="dxa"/>
            <w:gridSpan w:val="6"/>
            <w:tcBorders>
              <w:top w:val="single" w:color="auto" w:sz="6" w:space="0"/>
              <w:left w:val="single" w:color="auto" w:sz="12" w:space="0"/>
              <w:bottom w:val="single" w:color="auto" w:sz="12" w:space="0"/>
              <w:right w:val="single" w:color="auto" w:sz="12" w:space="0"/>
            </w:tcBorders>
            <w:vAlign w:val="center"/>
          </w:tcPr>
          <w:p>
            <w:pPr>
              <w:snapToGrid w:val="0"/>
              <w:jc w:val="center"/>
              <w:rPr>
                <w:color w:val="auto"/>
              </w:rPr>
            </w:pPr>
            <w:r>
              <w:rPr>
                <w:rFonts w:hint="eastAsia" w:ascii="宋体" w:hAnsi="宋体"/>
                <w:b/>
                <w:bCs/>
                <w:color w:val="auto"/>
              </w:rPr>
              <w:t>第</w:t>
            </w:r>
            <w:r>
              <w:rPr>
                <w:b/>
                <w:bCs/>
                <w:color w:val="auto"/>
              </w:rPr>
              <w:t>900</w:t>
            </w:r>
            <w:r>
              <w:rPr>
                <w:rFonts w:hint="eastAsia" w:ascii="宋体" w:hAnsi="宋体"/>
                <w:b/>
                <w:bCs/>
                <w:color w:val="auto"/>
              </w:rPr>
              <w:t>章合计</w:t>
            </w:r>
            <w:r>
              <w:rPr>
                <w:rFonts w:hint="eastAsia"/>
                <w:b/>
                <w:bCs/>
                <w:color w:val="auto"/>
              </w:rPr>
              <w:t xml:space="preserve"> </w:t>
            </w:r>
            <w:r>
              <w:rPr>
                <w:b/>
                <w:bCs/>
                <w:color w:val="auto"/>
              </w:rPr>
              <w:t xml:space="preserve"> </w:t>
            </w:r>
            <w:r>
              <w:rPr>
                <w:rFonts w:hint="eastAsia" w:ascii="宋体" w:hAnsi="宋体"/>
                <w:b/>
                <w:bCs/>
                <w:color w:val="auto"/>
              </w:rPr>
              <w:t>人民币</w:t>
            </w:r>
            <w:r>
              <w:rPr>
                <w:b/>
                <w:bCs/>
                <w:color w:val="auto"/>
                <w:u w:val="single"/>
              </w:rPr>
              <w:t xml:space="preserve">          </w:t>
            </w:r>
            <w:r>
              <w:rPr>
                <w:rFonts w:hint="eastAsia" w:ascii="宋体" w:hAnsi="宋体"/>
                <w:b/>
                <w:bCs/>
                <w:color w:val="auto"/>
              </w:rPr>
              <w:t>元</w:t>
            </w:r>
          </w:p>
        </w:tc>
      </w:tr>
    </w:tbl>
    <w:p>
      <w:pPr>
        <w:rPr>
          <w:rFonts w:hint="eastAsia" w:ascii="等线" w:hAnsi="等线" w:eastAsia="等线"/>
          <w:color w:val="auto"/>
          <w:szCs w:val="21"/>
        </w:rPr>
      </w:pPr>
      <w:r>
        <w:rPr>
          <w:rFonts w:hint="eastAsia"/>
          <w:color w:val="auto"/>
        </w:rPr>
        <w:t xml:space="preserve"> </w:t>
      </w:r>
    </w:p>
    <w:tbl>
      <w:tblPr>
        <w:tblStyle w:val="6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26"/>
        <w:gridCol w:w="3251"/>
        <w:gridCol w:w="849"/>
        <w:gridCol w:w="1016"/>
        <w:gridCol w:w="1017"/>
        <w:gridCol w:w="10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8276" w:type="dxa"/>
            <w:gridSpan w:val="6"/>
            <w:tcBorders>
              <w:top w:val="nil"/>
              <w:left w:val="nil"/>
              <w:bottom w:val="nil"/>
              <w:right w:val="nil"/>
            </w:tcBorders>
            <w:vAlign w:val="center"/>
          </w:tcPr>
          <w:p>
            <w:pPr>
              <w:snapToGrid w:val="0"/>
              <w:jc w:val="center"/>
              <w:rPr>
                <w:b/>
                <w:bCs/>
                <w:color w:val="auto"/>
              </w:rPr>
            </w:pPr>
            <w:r>
              <w:rPr>
                <w:color w:val="auto"/>
              </w:rPr>
              <w:br w:type="page"/>
            </w:r>
            <w:r>
              <w:rPr>
                <w:color w:val="auto"/>
              </w:rPr>
              <w:br w:type="page"/>
            </w:r>
            <w:r>
              <w:rPr>
                <w:rFonts w:hint="eastAsia" w:ascii="黑体" w:hAnsi="黑体" w:eastAsia="黑体"/>
                <w:color w:val="auto"/>
                <w:sz w:val="32"/>
                <w:szCs w:val="32"/>
              </w:rPr>
              <w:t>报价清单表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8276" w:type="dxa"/>
            <w:gridSpan w:val="6"/>
            <w:tcBorders>
              <w:top w:val="nil"/>
              <w:left w:val="nil"/>
              <w:bottom w:val="single" w:color="auto" w:sz="12" w:space="0"/>
              <w:right w:val="nil"/>
            </w:tcBorders>
            <w:vAlign w:val="center"/>
          </w:tcPr>
          <w:p>
            <w:pPr>
              <w:snapToGrid w:val="0"/>
              <w:jc w:val="right"/>
              <w:rPr>
                <w:b/>
                <w:bCs/>
                <w:color w:val="auto"/>
              </w:rPr>
            </w:pPr>
            <w:r>
              <w:rPr>
                <w:rFonts w:hint="eastAsia" w:ascii="宋体" w:hAnsi="宋体"/>
                <w:color w:val="auto"/>
              </w:rPr>
              <w:t>第</w:t>
            </w:r>
            <w:r>
              <w:rPr>
                <w:color w:val="auto"/>
                <w:u w:val="single"/>
              </w:rPr>
              <w:t xml:space="preserve">     </w:t>
            </w:r>
            <w:r>
              <w:rPr>
                <w:rFonts w:hint="eastAsia" w:ascii="宋体" w:hAnsi="宋体"/>
                <w:color w:val="auto"/>
              </w:rPr>
              <w:t>标段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8276" w:type="dxa"/>
            <w:gridSpan w:val="6"/>
            <w:tcBorders>
              <w:top w:val="single" w:color="auto" w:sz="12" w:space="0"/>
              <w:left w:val="single" w:color="auto" w:sz="12" w:space="0"/>
              <w:bottom w:val="single" w:color="auto" w:sz="6" w:space="0"/>
              <w:right w:val="single" w:color="auto" w:sz="12" w:space="0"/>
            </w:tcBorders>
            <w:vAlign w:val="center"/>
          </w:tcPr>
          <w:p>
            <w:pPr>
              <w:snapToGrid w:val="0"/>
              <w:jc w:val="center"/>
              <w:rPr>
                <w:b/>
                <w:bCs/>
                <w:color w:val="auto"/>
              </w:rPr>
            </w:pPr>
            <w:r>
              <w:rPr>
                <w:rFonts w:hint="eastAsia" w:ascii="宋体" w:hAnsi="宋体"/>
                <w:b/>
                <w:bCs/>
                <w:color w:val="auto"/>
              </w:rPr>
              <w:t>第</w:t>
            </w:r>
            <w:r>
              <w:rPr>
                <w:rFonts w:hint="eastAsia"/>
                <w:b/>
                <w:bCs/>
                <w:color w:val="auto"/>
              </w:rPr>
              <w:t>1</w:t>
            </w:r>
            <w:r>
              <w:rPr>
                <w:b/>
                <w:bCs/>
                <w:color w:val="auto"/>
              </w:rPr>
              <w:t>000</w:t>
            </w:r>
            <w:r>
              <w:rPr>
                <w:rFonts w:hint="eastAsia" w:ascii="宋体" w:hAnsi="宋体"/>
                <w:b/>
                <w:bCs/>
                <w:color w:val="auto"/>
              </w:rPr>
              <w:t>章</w:t>
            </w:r>
            <w:r>
              <w:rPr>
                <w:rFonts w:hint="eastAsia"/>
                <w:b/>
                <w:bCs/>
                <w:color w:val="auto"/>
              </w:rPr>
              <w:t xml:space="preserve"> </w:t>
            </w:r>
            <w:r>
              <w:rPr>
                <w:b/>
                <w:bCs/>
                <w:color w:val="auto"/>
              </w:rPr>
              <w:t xml:space="preserve"> </w:t>
            </w:r>
            <w:r>
              <w:rPr>
                <w:rFonts w:hint="eastAsia" w:ascii="宋体" w:hAnsi="宋体"/>
                <w:b/>
                <w:bCs/>
                <w:color w:val="auto"/>
              </w:rPr>
              <w:t>外观质量检查（交工）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子目号</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子目名称</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单位</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数量</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单价</w:t>
            </w: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黑体" w:hAnsi="黑体" w:eastAsia="黑体"/>
                <w:color w:val="auto"/>
              </w:rPr>
            </w:pPr>
            <w:r>
              <w:rPr>
                <w:rFonts w:hint="eastAsia" w:ascii="黑体" w:hAnsi="黑体" w:eastAsia="黑体"/>
                <w:color w:val="auto"/>
              </w:rPr>
              <w:t>合价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1001</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路基工程（路基土石方、排水工程、圆管涵、支挡工程）</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公里</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11.652</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1002</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rFonts w:hint="eastAsia"/>
                <w:color w:val="auto"/>
                <w:sz w:val="20"/>
                <w:szCs w:val="20"/>
              </w:rPr>
              <w:t>小桥</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座</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6</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1003</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通道、盖板涵</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座</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8</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1004</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路面工程面层（含交安设施）</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color w:val="auto"/>
                <w:sz w:val="20"/>
                <w:szCs w:val="20"/>
              </w:rPr>
              <w:t>公里</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11.652</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1005</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rFonts w:hint="eastAsia"/>
                <w:color w:val="auto"/>
                <w:sz w:val="20"/>
                <w:szCs w:val="20"/>
              </w:rPr>
              <w:t>桥梁工程（下部工程、上部工程及桥面系）三车道以下，不含小桥</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rFonts w:hint="eastAsia"/>
                <w:color w:val="auto"/>
                <w:sz w:val="20"/>
                <w:szCs w:val="20"/>
              </w:rPr>
              <w:t>单幅延米</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393.16</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1009</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color w:val="auto"/>
                <w:sz w:val="20"/>
                <w:szCs w:val="20"/>
              </w:rPr>
              <w:t>桥梁检测车台班</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rFonts w:hint="eastAsia"/>
                <w:color w:val="auto"/>
                <w:sz w:val="20"/>
                <w:szCs w:val="20"/>
              </w:rPr>
              <w:t>台班</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4</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1011</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rFonts w:hint="eastAsia"/>
                <w:color w:val="auto"/>
                <w:sz w:val="20"/>
                <w:szCs w:val="20"/>
              </w:rPr>
              <w:t>环保工程</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rFonts w:hint="eastAsia"/>
                <w:color w:val="auto"/>
                <w:sz w:val="20"/>
                <w:szCs w:val="20"/>
              </w:rPr>
              <w:t>公里</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11.652</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1013</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r>
              <w:rPr>
                <w:rFonts w:hint="eastAsia"/>
                <w:color w:val="auto"/>
                <w:sz w:val="20"/>
                <w:szCs w:val="20"/>
              </w:rPr>
              <w:t>机电工程</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rFonts w:hint="eastAsia"/>
                <w:color w:val="auto"/>
                <w:sz w:val="20"/>
                <w:szCs w:val="20"/>
              </w:rPr>
              <w:t>项目</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3" w:hRule="atLeast"/>
        </w:trPr>
        <w:tc>
          <w:tcPr>
            <w:tcW w:w="8276" w:type="dxa"/>
            <w:gridSpan w:val="6"/>
            <w:tcBorders>
              <w:top w:val="single" w:color="auto" w:sz="6" w:space="0"/>
              <w:left w:val="single" w:color="auto" w:sz="12" w:space="0"/>
              <w:bottom w:val="single" w:color="auto" w:sz="12" w:space="0"/>
              <w:right w:val="single" w:color="auto" w:sz="12" w:space="0"/>
            </w:tcBorders>
            <w:vAlign w:val="center"/>
          </w:tcPr>
          <w:p>
            <w:pPr>
              <w:snapToGrid w:val="0"/>
              <w:jc w:val="center"/>
              <w:rPr>
                <w:b/>
                <w:bCs/>
                <w:color w:val="auto"/>
              </w:rPr>
            </w:pPr>
            <w:r>
              <w:rPr>
                <w:rFonts w:hint="eastAsia" w:ascii="宋体" w:hAnsi="宋体"/>
                <w:b/>
                <w:bCs/>
                <w:color w:val="auto"/>
              </w:rPr>
              <w:t>第</w:t>
            </w:r>
            <w:r>
              <w:rPr>
                <w:rFonts w:hint="eastAsia"/>
                <w:b/>
                <w:bCs/>
                <w:color w:val="auto"/>
              </w:rPr>
              <w:t>1</w:t>
            </w:r>
            <w:r>
              <w:rPr>
                <w:b/>
                <w:bCs/>
                <w:color w:val="auto"/>
              </w:rPr>
              <w:t>000</w:t>
            </w:r>
            <w:r>
              <w:rPr>
                <w:rFonts w:hint="eastAsia" w:ascii="宋体" w:hAnsi="宋体"/>
                <w:b/>
                <w:bCs/>
                <w:color w:val="auto"/>
              </w:rPr>
              <w:t>章（交工）合计</w:t>
            </w:r>
            <w:r>
              <w:rPr>
                <w:rFonts w:hint="eastAsia"/>
                <w:b/>
                <w:bCs/>
                <w:color w:val="auto"/>
              </w:rPr>
              <w:t xml:space="preserve"> </w:t>
            </w:r>
            <w:r>
              <w:rPr>
                <w:b/>
                <w:bCs/>
                <w:color w:val="auto"/>
              </w:rPr>
              <w:t xml:space="preserve"> </w:t>
            </w:r>
            <w:r>
              <w:rPr>
                <w:rFonts w:hint="eastAsia" w:ascii="宋体" w:hAnsi="宋体"/>
                <w:b/>
                <w:bCs/>
                <w:color w:val="auto"/>
              </w:rPr>
              <w:t>人民币</w:t>
            </w:r>
            <w:r>
              <w:rPr>
                <w:b/>
                <w:bCs/>
                <w:color w:val="auto"/>
                <w:u w:val="single"/>
              </w:rPr>
              <w:t xml:space="preserve">          </w:t>
            </w:r>
            <w:r>
              <w:rPr>
                <w:rFonts w:hint="eastAsia" w:ascii="宋体" w:hAnsi="宋体"/>
                <w:b/>
                <w:bCs/>
                <w:color w:val="auto"/>
              </w:rPr>
              <w:t>元</w:t>
            </w:r>
          </w:p>
        </w:tc>
      </w:tr>
    </w:tbl>
    <w:p>
      <w:pPr>
        <w:rPr>
          <w:color w:val="auto"/>
        </w:rPr>
      </w:pPr>
      <w:r>
        <w:rPr>
          <w:color w:val="auto"/>
        </w:rPr>
        <w:br w:type="page"/>
      </w:r>
    </w:p>
    <w:tbl>
      <w:tblPr>
        <w:tblStyle w:val="6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26"/>
        <w:gridCol w:w="3251"/>
        <w:gridCol w:w="849"/>
        <w:gridCol w:w="1016"/>
        <w:gridCol w:w="1017"/>
        <w:gridCol w:w="10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91" w:hRule="atLeast"/>
        </w:trPr>
        <w:tc>
          <w:tcPr>
            <w:tcW w:w="8276" w:type="dxa"/>
            <w:gridSpan w:val="6"/>
            <w:tcBorders>
              <w:top w:val="nil"/>
              <w:left w:val="nil"/>
              <w:bottom w:val="nil"/>
              <w:right w:val="nil"/>
            </w:tcBorders>
            <w:vAlign w:val="center"/>
          </w:tcPr>
          <w:p>
            <w:pPr>
              <w:snapToGrid w:val="0"/>
              <w:jc w:val="center"/>
              <w:rPr>
                <w:b/>
                <w:bCs/>
                <w:color w:val="auto"/>
              </w:rPr>
            </w:pPr>
            <w:r>
              <w:rPr>
                <w:color w:val="auto"/>
              </w:rPr>
              <w:t xml:space="preserve"> </w:t>
            </w:r>
            <w:r>
              <w:rPr>
                <w:rFonts w:hint="eastAsia" w:ascii="黑体" w:hAnsi="黑体" w:eastAsia="黑体"/>
                <w:color w:val="auto"/>
                <w:sz w:val="32"/>
                <w:szCs w:val="32"/>
              </w:rPr>
              <w:t>报价清单表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8276" w:type="dxa"/>
            <w:gridSpan w:val="6"/>
            <w:tcBorders>
              <w:top w:val="nil"/>
              <w:left w:val="nil"/>
              <w:bottom w:val="single" w:color="auto" w:sz="12" w:space="0"/>
              <w:right w:val="nil"/>
            </w:tcBorders>
            <w:vAlign w:val="center"/>
          </w:tcPr>
          <w:p>
            <w:pPr>
              <w:snapToGrid w:val="0"/>
              <w:jc w:val="right"/>
              <w:rPr>
                <w:b/>
                <w:bCs/>
                <w:color w:val="auto"/>
              </w:rPr>
            </w:pPr>
            <w:r>
              <w:rPr>
                <w:rFonts w:hint="eastAsia" w:ascii="宋体" w:hAnsi="宋体"/>
                <w:color w:val="auto"/>
              </w:rPr>
              <w:t>第</w:t>
            </w:r>
            <w:r>
              <w:rPr>
                <w:color w:val="auto"/>
                <w:u w:val="single"/>
              </w:rPr>
              <w:t xml:space="preserve">     </w:t>
            </w:r>
            <w:r>
              <w:rPr>
                <w:rFonts w:hint="eastAsia" w:ascii="宋体" w:hAnsi="宋体"/>
                <w:color w:val="auto"/>
              </w:rPr>
              <w:t>标段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8276" w:type="dxa"/>
            <w:gridSpan w:val="6"/>
            <w:tcBorders>
              <w:top w:val="single" w:color="auto" w:sz="12" w:space="0"/>
              <w:left w:val="single" w:color="auto" w:sz="12" w:space="0"/>
              <w:bottom w:val="single" w:color="auto" w:sz="6" w:space="0"/>
              <w:right w:val="single" w:color="auto" w:sz="12" w:space="0"/>
            </w:tcBorders>
            <w:vAlign w:val="center"/>
          </w:tcPr>
          <w:p>
            <w:pPr>
              <w:snapToGrid w:val="0"/>
              <w:jc w:val="center"/>
              <w:rPr>
                <w:b/>
                <w:bCs/>
                <w:color w:val="auto"/>
              </w:rPr>
            </w:pPr>
            <w:r>
              <w:rPr>
                <w:rFonts w:hint="eastAsia" w:ascii="宋体" w:hAnsi="宋体"/>
                <w:b/>
                <w:bCs/>
                <w:color w:val="auto"/>
              </w:rPr>
              <w:t>第</w:t>
            </w:r>
            <w:r>
              <w:rPr>
                <w:rFonts w:hint="eastAsia"/>
                <w:b/>
                <w:bCs/>
                <w:color w:val="auto"/>
              </w:rPr>
              <w:t>1</w:t>
            </w:r>
            <w:r>
              <w:rPr>
                <w:b/>
                <w:bCs/>
                <w:color w:val="auto"/>
              </w:rPr>
              <w:t>000</w:t>
            </w:r>
            <w:r>
              <w:rPr>
                <w:rFonts w:hint="eastAsia" w:ascii="宋体" w:hAnsi="宋体"/>
                <w:b/>
                <w:bCs/>
                <w:color w:val="auto"/>
              </w:rPr>
              <w:t>章</w:t>
            </w:r>
            <w:r>
              <w:rPr>
                <w:rFonts w:hint="eastAsia"/>
                <w:b/>
                <w:bCs/>
                <w:color w:val="auto"/>
              </w:rPr>
              <w:t xml:space="preserve"> </w:t>
            </w:r>
            <w:r>
              <w:rPr>
                <w:b/>
                <w:bCs/>
                <w:color w:val="auto"/>
              </w:rPr>
              <w:t xml:space="preserve"> </w:t>
            </w:r>
            <w:r>
              <w:rPr>
                <w:rFonts w:hint="eastAsia" w:ascii="宋体" w:hAnsi="宋体"/>
                <w:b/>
                <w:bCs/>
                <w:color w:val="auto"/>
              </w:rPr>
              <w:t>外观质量检查（竣工）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子目号</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子目名称</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单位</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数量</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单价</w:t>
            </w: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黑体" w:hAnsi="黑体" w:eastAsia="黑体"/>
                <w:color w:val="auto"/>
              </w:rPr>
            </w:pPr>
            <w:r>
              <w:rPr>
                <w:rFonts w:hint="eastAsia" w:ascii="黑体" w:hAnsi="黑体" w:eastAsia="黑体"/>
                <w:color w:val="auto"/>
              </w:rPr>
              <w:t>合价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1001</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rFonts w:hint="eastAsia" w:ascii="宋体" w:hAnsi="宋体"/>
                <w:color w:val="auto"/>
              </w:rPr>
            </w:pPr>
            <w:r>
              <w:rPr>
                <w:color w:val="auto"/>
                <w:sz w:val="20"/>
                <w:szCs w:val="20"/>
              </w:rPr>
              <w:t>路基工程（路基土石方、排水工程、圆管涵、支挡工程）</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宋体" w:hAnsi="宋体"/>
                <w:color w:val="auto"/>
              </w:rPr>
            </w:pPr>
            <w:r>
              <w:rPr>
                <w:color w:val="auto"/>
                <w:sz w:val="20"/>
                <w:szCs w:val="20"/>
              </w:rPr>
              <w:t>公里</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11.652</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1002</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rFonts w:hint="eastAsia" w:ascii="宋体" w:hAnsi="宋体"/>
                <w:color w:val="auto"/>
              </w:rPr>
            </w:pPr>
            <w:r>
              <w:rPr>
                <w:rFonts w:hint="eastAsia"/>
                <w:color w:val="auto"/>
                <w:sz w:val="20"/>
                <w:szCs w:val="20"/>
              </w:rPr>
              <w:t>小桥</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宋体" w:hAnsi="宋体"/>
                <w:color w:val="auto"/>
              </w:rPr>
            </w:pPr>
            <w:r>
              <w:rPr>
                <w:color w:val="auto"/>
                <w:sz w:val="20"/>
                <w:szCs w:val="20"/>
              </w:rPr>
              <w:t>座</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6</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1003</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rFonts w:hint="eastAsia" w:ascii="宋体" w:hAnsi="宋体"/>
                <w:color w:val="auto"/>
              </w:rPr>
            </w:pPr>
            <w:r>
              <w:rPr>
                <w:color w:val="auto"/>
                <w:sz w:val="20"/>
                <w:szCs w:val="20"/>
              </w:rPr>
              <w:t>通道、盖板涵</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宋体" w:hAnsi="宋体"/>
                <w:color w:val="auto"/>
              </w:rPr>
            </w:pPr>
            <w:r>
              <w:rPr>
                <w:color w:val="auto"/>
                <w:sz w:val="20"/>
                <w:szCs w:val="20"/>
              </w:rPr>
              <w:t>座</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8</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1004</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rFonts w:hint="eastAsia" w:ascii="宋体" w:hAnsi="宋体"/>
                <w:color w:val="auto"/>
              </w:rPr>
            </w:pPr>
            <w:r>
              <w:rPr>
                <w:color w:val="auto"/>
                <w:sz w:val="20"/>
                <w:szCs w:val="20"/>
              </w:rPr>
              <w:t>路面工程面层（含交安设施）</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宋体" w:hAnsi="宋体"/>
                <w:color w:val="auto"/>
              </w:rPr>
            </w:pPr>
            <w:r>
              <w:rPr>
                <w:color w:val="auto"/>
                <w:sz w:val="20"/>
                <w:szCs w:val="20"/>
              </w:rPr>
              <w:t>公里</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11.652</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1005</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rFonts w:hint="eastAsia" w:ascii="宋体" w:hAnsi="宋体"/>
                <w:color w:val="auto"/>
              </w:rPr>
            </w:pPr>
            <w:r>
              <w:rPr>
                <w:color w:val="auto"/>
                <w:sz w:val="20"/>
                <w:szCs w:val="20"/>
              </w:rPr>
              <w:t>桥梁工程（下部工程、上部工程及桥面系）三车道以下，不含小桥</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宋体" w:hAnsi="宋体"/>
                <w:color w:val="auto"/>
              </w:rPr>
            </w:pPr>
            <w:r>
              <w:rPr>
                <w:rFonts w:hint="eastAsia"/>
                <w:color w:val="auto"/>
                <w:sz w:val="20"/>
                <w:szCs w:val="20"/>
              </w:rPr>
              <w:t>单幅延米</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393.16</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1009</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rFonts w:hint="eastAsia" w:ascii="宋体" w:hAnsi="宋体"/>
                <w:color w:val="auto"/>
              </w:rPr>
            </w:pPr>
            <w:r>
              <w:rPr>
                <w:color w:val="auto"/>
                <w:sz w:val="20"/>
                <w:szCs w:val="20"/>
              </w:rPr>
              <w:t>桥梁检测车台班</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宋体" w:hAnsi="宋体"/>
                <w:color w:val="auto"/>
              </w:rPr>
            </w:pPr>
            <w:r>
              <w:rPr>
                <w:rFonts w:hint="eastAsia"/>
                <w:color w:val="auto"/>
                <w:sz w:val="20"/>
                <w:szCs w:val="20"/>
              </w:rPr>
              <w:t>台班</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4</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1011</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rFonts w:hint="eastAsia" w:ascii="宋体" w:hAnsi="宋体"/>
                <w:color w:val="auto"/>
              </w:rPr>
            </w:pPr>
            <w:r>
              <w:rPr>
                <w:rFonts w:hint="eastAsia"/>
                <w:color w:val="auto"/>
                <w:sz w:val="20"/>
                <w:szCs w:val="20"/>
              </w:rPr>
              <w:t>环保工程</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宋体" w:hAnsi="宋体"/>
                <w:color w:val="auto"/>
              </w:rPr>
            </w:pPr>
            <w:r>
              <w:rPr>
                <w:rFonts w:hint="eastAsia"/>
                <w:color w:val="auto"/>
                <w:sz w:val="20"/>
                <w:szCs w:val="20"/>
              </w:rPr>
              <w:t>公里</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11.652</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color w:val="auto"/>
                <w:sz w:val="20"/>
                <w:szCs w:val="20"/>
              </w:rPr>
              <w:t>1013</w:t>
            </w: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rFonts w:hint="eastAsia" w:ascii="宋体" w:hAnsi="宋体"/>
                <w:color w:val="auto"/>
              </w:rPr>
            </w:pPr>
            <w:r>
              <w:rPr>
                <w:rFonts w:hint="eastAsia"/>
                <w:color w:val="auto"/>
                <w:sz w:val="20"/>
                <w:szCs w:val="20"/>
              </w:rPr>
              <w:t>机电工程</w:t>
            </w: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宋体" w:hAnsi="宋体"/>
                <w:color w:val="auto"/>
              </w:rPr>
            </w:pPr>
            <w:r>
              <w:rPr>
                <w:rFonts w:hint="eastAsia"/>
                <w:color w:val="auto"/>
                <w:sz w:val="20"/>
                <w:szCs w:val="20"/>
              </w:rPr>
              <w:t>项目</w:t>
            </w: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r>
              <w:rPr>
                <w:color w:val="auto"/>
                <w:sz w:val="20"/>
                <w:szCs w:val="20"/>
              </w:rPr>
              <w:t>1</w:t>
            </w: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rFonts w:hint="eastAsia" w:ascii="宋体" w:hAnsi="宋体"/>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宋体" w:hAnsi="宋体"/>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ind w:left="105" w:leftChars="50"/>
              <w:jc w:val="left"/>
              <w:rPr>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b/>
                <w:bCs/>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26"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p>
        </w:tc>
        <w:tc>
          <w:tcPr>
            <w:tcW w:w="3251"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849"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6"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p>
        </w:tc>
        <w:tc>
          <w:tcPr>
            <w:tcW w:w="1017"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3" w:hRule="atLeast"/>
        </w:trPr>
        <w:tc>
          <w:tcPr>
            <w:tcW w:w="8276" w:type="dxa"/>
            <w:gridSpan w:val="6"/>
            <w:tcBorders>
              <w:top w:val="single" w:color="auto" w:sz="6" w:space="0"/>
              <w:left w:val="single" w:color="auto" w:sz="12" w:space="0"/>
              <w:bottom w:val="single" w:color="auto" w:sz="12" w:space="0"/>
              <w:right w:val="single" w:color="auto" w:sz="12" w:space="0"/>
            </w:tcBorders>
            <w:vAlign w:val="center"/>
          </w:tcPr>
          <w:p>
            <w:pPr>
              <w:snapToGrid w:val="0"/>
              <w:jc w:val="center"/>
              <w:rPr>
                <w:b/>
                <w:bCs/>
                <w:color w:val="auto"/>
              </w:rPr>
            </w:pPr>
            <w:r>
              <w:rPr>
                <w:rFonts w:hint="eastAsia" w:ascii="宋体" w:hAnsi="宋体"/>
                <w:b/>
                <w:bCs/>
                <w:color w:val="auto"/>
              </w:rPr>
              <w:t>第</w:t>
            </w:r>
            <w:r>
              <w:rPr>
                <w:rFonts w:hint="eastAsia"/>
                <w:b/>
                <w:bCs/>
                <w:color w:val="auto"/>
              </w:rPr>
              <w:t>1</w:t>
            </w:r>
            <w:r>
              <w:rPr>
                <w:b/>
                <w:bCs/>
                <w:color w:val="auto"/>
              </w:rPr>
              <w:t>000</w:t>
            </w:r>
            <w:r>
              <w:rPr>
                <w:rFonts w:hint="eastAsia" w:ascii="宋体" w:hAnsi="宋体"/>
                <w:b/>
                <w:bCs/>
                <w:color w:val="auto"/>
              </w:rPr>
              <w:t>章（竣工）合计</w:t>
            </w:r>
            <w:r>
              <w:rPr>
                <w:rFonts w:hint="eastAsia"/>
                <w:b/>
                <w:bCs/>
                <w:color w:val="auto"/>
              </w:rPr>
              <w:t xml:space="preserve"> </w:t>
            </w:r>
            <w:r>
              <w:rPr>
                <w:b/>
                <w:bCs/>
                <w:color w:val="auto"/>
              </w:rPr>
              <w:t xml:space="preserve"> </w:t>
            </w:r>
            <w:r>
              <w:rPr>
                <w:rFonts w:hint="eastAsia" w:ascii="宋体" w:hAnsi="宋体"/>
                <w:b/>
                <w:bCs/>
                <w:color w:val="auto"/>
              </w:rPr>
              <w:t>人民币</w:t>
            </w:r>
            <w:r>
              <w:rPr>
                <w:b/>
                <w:bCs/>
                <w:color w:val="auto"/>
                <w:u w:val="single"/>
              </w:rPr>
              <w:t xml:space="preserve">          </w:t>
            </w:r>
            <w:r>
              <w:rPr>
                <w:rFonts w:hint="eastAsia" w:ascii="宋体" w:hAnsi="宋体"/>
                <w:b/>
                <w:bCs/>
                <w:color w:val="auto"/>
              </w:rPr>
              <w:t>元</w:t>
            </w:r>
          </w:p>
        </w:tc>
      </w:tr>
    </w:tbl>
    <w:p>
      <w:pPr>
        <w:snapToGrid w:val="0"/>
        <w:spacing w:line="360" w:lineRule="auto"/>
        <w:rPr>
          <w:color w:val="auto"/>
          <w:szCs w:val="21"/>
        </w:rPr>
      </w:pPr>
      <w:r>
        <w:rPr>
          <w:color w:val="auto"/>
        </w:rPr>
        <w:t xml:space="preserve"> </w:t>
      </w:r>
    </w:p>
    <w:p>
      <w:pPr>
        <w:widowControl/>
        <w:jc w:val="left"/>
        <w:rPr>
          <w:color w:val="auto"/>
        </w:rPr>
      </w:pPr>
      <w:r>
        <w:rPr>
          <w:color w:val="auto"/>
        </w:rPr>
        <w:br w:type="page"/>
      </w:r>
    </w:p>
    <w:p>
      <w:pPr>
        <w:snapToGrid w:val="0"/>
        <w:spacing w:line="360" w:lineRule="auto"/>
        <w:rPr>
          <w:color w:val="auto"/>
        </w:rPr>
      </w:pPr>
      <w:r>
        <w:rPr>
          <w:color w:val="auto"/>
        </w:rPr>
        <w:t xml:space="preserve"> </w:t>
      </w:r>
      <w:r>
        <w:rPr>
          <w:rFonts w:hint="eastAsia"/>
          <w:color w:val="auto"/>
        </w:rPr>
        <w:t>3</w:t>
      </w:r>
      <w:r>
        <w:rPr>
          <w:color w:val="auto"/>
        </w:rPr>
        <w:t xml:space="preserve">.2 </w:t>
      </w:r>
      <w:r>
        <w:rPr>
          <w:rFonts w:hint="eastAsia" w:ascii="宋体" w:hAnsi="宋体"/>
          <w:color w:val="auto"/>
        </w:rPr>
        <w:t>公路工程交竣工检测报价清单汇总表</w:t>
      </w:r>
    </w:p>
    <w:p>
      <w:pPr>
        <w:snapToGrid w:val="0"/>
        <w:spacing w:line="360" w:lineRule="auto"/>
        <w:jc w:val="right"/>
        <w:rPr>
          <w:color w:val="auto"/>
        </w:rPr>
      </w:pPr>
      <w:r>
        <w:rPr>
          <w:rFonts w:hint="eastAsia" w:ascii="宋体" w:hAnsi="宋体"/>
          <w:color w:val="auto"/>
          <w:u w:val="single"/>
        </w:rPr>
        <w:t>（项目名称）</w:t>
      </w:r>
      <w:r>
        <w:rPr>
          <w:rFonts w:hint="eastAsia" w:ascii="宋体" w:hAnsi="宋体"/>
          <w:color w:val="auto"/>
        </w:rPr>
        <w:t>第</w:t>
      </w:r>
      <w:r>
        <w:rPr>
          <w:rFonts w:hint="eastAsia"/>
          <w:color w:val="auto"/>
          <w:u w:val="single"/>
        </w:rPr>
        <w:t xml:space="preserve"> </w:t>
      </w:r>
      <w:r>
        <w:rPr>
          <w:color w:val="auto"/>
          <w:u w:val="single"/>
        </w:rPr>
        <w:t xml:space="preserve">  </w:t>
      </w:r>
      <w:r>
        <w:rPr>
          <w:rFonts w:hint="eastAsia" w:ascii="宋体" w:hAnsi="宋体"/>
          <w:color w:val="auto"/>
        </w:rPr>
        <w:t>标段</w:t>
      </w:r>
    </w:p>
    <w:tbl>
      <w:tblPr>
        <w:tblStyle w:val="6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68"/>
        <w:gridCol w:w="1274"/>
        <w:gridCol w:w="1815"/>
        <w:gridCol w:w="1850"/>
        <w:gridCol w:w="20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9" w:hRule="atLeast"/>
        </w:trPr>
        <w:tc>
          <w:tcPr>
            <w:tcW w:w="1268" w:type="dxa"/>
            <w:tcBorders>
              <w:top w:val="single" w:color="auto" w:sz="12" w:space="0"/>
              <w:left w:val="single" w:color="auto" w:sz="12"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序号</w:t>
            </w:r>
          </w:p>
        </w:tc>
        <w:tc>
          <w:tcPr>
            <w:tcW w:w="1274" w:type="dxa"/>
            <w:tcBorders>
              <w:top w:val="single" w:color="auto" w:sz="12"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章次</w:t>
            </w:r>
          </w:p>
        </w:tc>
        <w:tc>
          <w:tcPr>
            <w:tcW w:w="3665" w:type="dxa"/>
            <w:gridSpan w:val="2"/>
            <w:tcBorders>
              <w:top w:val="single" w:color="auto" w:sz="12"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color w:val="auto"/>
              </w:rPr>
            </w:pPr>
            <w:r>
              <w:rPr>
                <w:rFonts w:hint="eastAsia" w:ascii="黑体" w:hAnsi="黑体" w:eastAsia="黑体"/>
                <w:color w:val="auto"/>
              </w:rPr>
              <w:t>科目名称</w:t>
            </w:r>
          </w:p>
        </w:tc>
        <w:tc>
          <w:tcPr>
            <w:tcW w:w="2069" w:type="dxa"/>
            <w:tcBorders>
              <w:top w:val="single" w:color="auto" w:sz="12" w:space="0"/>
              <w:left w:val="single" w:color="auto" w:sz="6" w:space="0"/>
              <w:bottom w:val="single" w:color="auto" w:sz="6" w:space="0"/>
              <w:right w:val="single" w:color="auto" w:sz="12" w:space="0"/>
            </w:tcBorders>
            <w:vAlign w:val="center"/>
          </w:tcPr>
          <w:p>
            <w:pPr>
              <w:snapToGrid w:val="0"/>
              <w:jc w:val="center"/>
              <w:rPr>
                <w:rFonts w:hint="eastAsia" w:ascii="黑体" w:hAnsi="黑体" w:eastAsia="黑体"/>
                <w:color w:val="auto"/>
              </w:rPr>
            </w:pPr>
            <w:r>
              <w:rPr>
                <w:rFonts w:hint="eastAsia" w:ascii="黑体" w:hAnsi="黑体" w:eastAsia="黑体"/>
                <w:color w:val="auto"/>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9" w:hRule="atLeast"/>
        </w:trPr>
        <w:tc>
          <w:tcPr>
            <w:tcW w:w="1268"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rFonts w:hint="eastAsia"/>
                <w:color w:val="auto"/>
              </w:rPr>
              <w:t>1</w:t>
            </w:r>
          </w:p>
        </w:tc>
        <w:tc>
          <w:tcPr>
            <w:tcW w:w="1274"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rFonts w:hint="eastAsia"/>
                <w:color w:val="auto"/>
              </w:rPr>
              <w:t>1</w:t>
            </w:r>
            <w:r>
              <w:rPr>
                <w:color w:val="auto"/>
              </w:rPr>
              <w:t>00</w:t>
            </w:r>
          </w:p>
        </w:tc>
        <w:tc>
          <w:tcPr>
            <w:tcW w:w="3665"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rFonts w:hint="eastAsia" w:ascii="宋体" w:hAnsi="宋体"/>
                <w:color w:val="auto"/>
              </w:rPr>
              <w:t>总则</w:t>
            </w:r>
          </w:p>
        </w:tc>
        <w:tc>
          <w:tcPr>
            <w:tcW w:w="2069"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9" w:hRule="atLeast"/>
        </w:trPr>
        <w:tc>
          <w:tcPr>
            <w:tcW w:w="1268"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rFonts w:hint="eastAsia"/>
                <w:color w:val="auto"/>
              </w:rPr>
              <w:t>2</w:t>
            </w:r>
          </w:p>
        </w:tc>
        <w:tc>
          <w:tcPr>
            <w:tcW w:w="1274"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rFonts w:hint="eastAsia"/>
                <w:color w:val="auto"/>
              </w:rPr>
              <w:t>2</w:t>
            </w:r>
            <w:r>
              <w:rPr>
                <w:color w:val="auto"/>
              </w:rPr>
              <w:t>00</w:t>
            </w:r>
          </w:p>
        </w:tc>
        <w:tc>
          <w:tcPr>
            <w:tcW w:w="3665"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rFonts w:hint="eastAsia" w:ascii="宋体" w:hAnsi="宋体"/>
                <w:color w:val="auto"/>
              </w:rPr>
              <w:t>路基工程</w:t>
            </w:r>
          </w:p>
        </w:tc>
        <w:tc>
          <w:tcPr>
            <w:tcW w:w="2069"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9" w:hRule="atLeast"/>
        </w:trPr>
        <w:tc>
          <w:tcPr>
            <w:tcW w:w="1268" w:type="dxa"/>
            <w:vMerge w:val="restart"/>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rFonts w:hint="eastAsia"/>
                <w:color w:val="auto"/>
              </w:rPr>
              <w:t>3</w:t>
            </w:r>
          </w:p>
        </w:tc>
        <w:tc>
          <w:tcPr>
            <w:tcW w:w="1274" w:type="dxa"/>
            <w:vMerge w:val="restart"/>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rFonts w:hint="eastAsia"/>
                <w:color w:val="auto"/>
              </w:rPr>
              <w:t>3</w:t>
            </w:r>
            <w:r>
              <w:rPr>
                <w:color w:val="auto"/>
              </w:rPr>
              <w:t>00</w:t>
            </w:r>
          </w:p>
        </w:tc>
        <w:tc>
          <w:tcPr>
            <w:tcW w:w="1815" w:type="dxa"/>
            <w:vMerge w:val="restart"/>
            <w:tcBorders>
              <w:top w:val="single" w:color="auto" w:sz="6" w:space="0"/>
              <w:left w:val="single" w:color="auto" w:sz="6" w:space="0"/>
              <w:bottom w:val="single" w:color="auto" w:sz="6" w:space="0"/>
              <w:right w:val="single" w:color="auto" w:sz="8" w:space="0"/>
            </w:tcBorders>
            <w:vAlign w:val="center"/>
          </w:tcPr>
          <w:p>
            <w:pPr>
              <w:snapToGrid w:val="0"/>
              <w:jc w:val="center"/>
              <w:rPr>
                <w:color w:val="auto"/>
              </w:rPr>
            </w:pPr>
            <w:r>
              <w:rPr>
                <w:rFonts w:hint="eastAsia" w:ascii="宋体" w:hAnsi="宋体"/>
                <w:color w:val="auto"/>
              </w:rPr>
              <w:t>路面工程</w:t>
            </w:r>
          </w:p>
        </w:tc>
        <w:tc>
          <w:tcPr>
            <w:tcW w:w="1850" w:type="dxa"/>
            <w:tcBorders>
              <w:top w:val="single" w:color="auto" w:sz="6" w:space="0"/>
              <w:left w:val="nil"/>
              <w:bottom w:val="single" w:color="auto" w:sz="6" w:space="0"/>
              <w:right w:val="single" w:color="auto" w:sz="6" w:space="0"/>
            </w:tcBorders>
            <w:vAlign w:val="center"/>
          </w:tcPr>
          <w:p>
            <w:pPr>
              <w:snapToGrid w:val="0"/>
              <w:jc w:val="center"/>
              <w:rPr>
                <w:color w:val="auto"/>
              </w:rPr>
            </w:pPr>
            <w:r>
              <w:rPr>
                <w:rFonts w:hint="eastAsia" w:ascii="宋体" w:hAnsi="宋体"/>
                <w:color w:val="auto"/>
              </w:rPr>
              <w:t>交工验收</w:t>
            </w:r>
          </w:p>
        </w:tc>
        <w:tc>
          <w:tcPr>
            <w:tcW w:w="2069"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9" w:hRule="atLeast"/>
        </w:trPr>
        <w:tc>
          <w:tcPr>
            <w:tcW w:w="0" w:type="auto"/>
            <w:vMerge w:val="continue"/>
            <w:tcBorders>
              <w:top w:val="single" w:color="auto" w:sz="6" w:space="0"/>
              <w:left w:val="single" w:color="auto" w:sz="12" w:space="0"/>
              <w:bottom w:val="single" w:color="auto" w:sz="6" w:space="0"/>
              <w:right w:val="single" w:color="auto" w:sz="6" w:space="0"/>
            </w:tcBorders>
            <w:vAlign w:val="center"/>
          </w:tcPr>
          <w:p>
            <w:pPr>
              <w:widowControl/>
              <w:jc w:val="left"/>
              <w:rPr>
                <w:color w:val="auto"/>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auto"/>
                <w:szCs w:val="21"/>
              </w:rPr>
            </w:pPr>
          </w:p>
        </w:tc>
        <w:tc>
          <w:tcPr>
            <w:tcW w:w="0" w:type="auto"/>
            <w:vMerge w:val="continue"/>
            <w:tcBorders>
              <w:top w:val="single" w:color="auto" w:sz="6" w:space="0"/>
              <w:left w:val="single" w:color="auto" w:sz="6" w:space="0"/>
              <w:bottom w:val="single" w:color="auto" w:sz="6" w:space="0"/>
              <w:right w:val="single" w:color="auto" w:sz="8" w:space="0"/>
            </w:tcBorders>
            <w:vAlign w:val="center"/>
          </w:tcPr>
          <w:p>
            <w:pPr>
              <w:widowControl/>
              <w:jc w:val="left"/>
              <w:rPr>
                <w:color w:val="auto"/>
                <w:szCs w:val="21"/>
              </w:rPr>
            </w:pPr>
          </w:p>
        </w:tc>
        <w:tc>
          <w:tcPr>
            <w:tcW w:w="1850" w:type="dxa"/>
            <w:tcBorders>
              <w:top w:val="single" w:color="auto" w:sz="6" w:space="0"/>
              <w:left w:val="nil"/>
              <w:bottom w:val="single" w:color="auto" w:sz="6" w:space="0"/>
              <w:right w:val="single" w:color="auto" w:sz="6" w:space="0"/>
            </w:tcBorders>
            <w:vAlign w:val="center"/>
          </w:tcPr>
          <w:p>
            <w:pPr>
              <w:snapToGrid w:val="0"/>
              <w:jc w:val="center"/>
              <w:rPr>
                <w:color w:val="auto"/>
              </w:rPr>
            </w:pPr>
            <w:r>
              <w:rPr>
                <w:rFonts w:hint="eastAsia" w:ascii="宋体" w:hAnsi="宋体"/>
                <w:color w:val="auto"/>
              </w:rPr>
              <w:t>竣工验收</w:t>
            </w:r>
          </w:p>
        </w:tc>
        <w:tc>
          <w:tcPr>
            <w:tcW w:w="2069"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9" w:hRule="atLeast"/>
        </w:trPr>
        <w:tc>
          <w:tcPr>
            <w:tcW w:w="1268" w:type="dxa"/>
            <w:vMerge w:val="restart"/>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rFonts w:hint="eastAsia"/>
                <w:color w:val="auto"/>
              </w:rPr>
              <w:t>4</w:t>
            </w:r>
          </w:p>
        </w:tc>
        <w:tc>
          <w:tcPr>
            <w:tcW w:w="1274" w:type="dxa"/>
            <w:vMerge w:val="restart"/>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rFonts w:hint="eastAsia"/>
                <w:color w:val="auto"/>
              </w:rPr>
              <w:t>4</w:t>
            </w:r>
            <w:r>
              <w:rPr>
                <w:color w:val="auto"/>
              </w:rPr>
              <w:t>00</w:t>
            </w:r>
          </w:p>
        </w:tc>
        <w:tc>
          <w:tcPr>
            <w:tcW w:w="1815" w:type="dxa"/>
            <w:vMerge w:val="restart"/>
            <w:tcBorders>
              <w:top w:val="single" w:color="auto" w:sz="6" w:space="0"/>
              <w:left w:val="single" w:color="auto" w:sz="6" w:space="0"/>
              <w:bottom w:val="single" w:color="auto" w:sz="6" w:space="0"/>
              <w:right w:val="single" w:color="auto" w:sz="8" w:space="0"/>
            </w:tcBorders>
            <w:vAlign w:val="center"/>
          </w:tcPr>
          <w:p>
            <w:pPr>
              <w:snapToGrid w:val="0"/>
              <w:jc w:val="center"/>
              <w:rPr>
                <w:color w:val="auto"/>
              </w:rPr>
            </w:pPr>
            <w:r>
              <w:rPr>
                <w:rFonts w:hint="eastAsia" w:ascii="宋体" w:hAnsi="宋体"/>
                <w:color w:val="auto"/>
              </w:rPr>
              <w:t>桥梁工程</w:t>
            </w:r>
          </w:p>
        </w:tc>
        <w:tc>
          <w:tcPr>
            <w:tcW w:w="1850" w:type="dxa"/>
            <w:tcBorders>
              <w:top w:val="single" w:color="auto" w:sz="6" w:space="0"/>
              <w:left w:val="nil"/>
              <w:bottom w:val="single" w:color="auto" w:sz="6" w:space="0"/>
              <w:right w:val="single" w:color="auto" w:sz="6" w:space="0"/>
            </w:tcBorders>
            <w:vAlign w:val="center"/>
          </w:tcPr>
          <w:p>
            <w:pPr>
              <w:snapToGrid w:val="0"/>
              <w:jc w:val="center"/>
              <w:rPr>
                <w:color w:val="auto"/>
              </w:rPr>
            </w:pPr>
            <w:r>
              <w:rPr>
                <w:rFonts w:hint="eastAsia" w:ascii="宋体" w:hAnsi="宋体"/>
                <w:color w:val="auto"/>
              </w:rPr>
              <w:t>交工验收</w:t>
            </w:r>
          </w:p>
        </w:tc>
        <w:tc>
          <w:tcPr>
            <w:tcW w:w="2069"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9" w:hRule="atLeast"/>
        </w:trPr>
        <w:tc>
          <w:tcPr>
            <w:tcW w:w="0" w:type="auto"/>
            <w:vMerge w:val="continue"/>
            <w:tcBorders>
              <w:top w:val="single" w:color="auto" w:sz="6" w:space="0"/>
              <w:left w:val="single" w:color="auto" w:sz="12" w:space="0"/>
              <w:bottom w:val="single" w:color="auto" w:sz="6" w:space="0"/>
              <w:right w:val="single" w:color="auto" w:sz="6" w:space="0"/>
            </w:tcBorders>
            <w:vAlign w:val="center"/>
          </w:tcPr>
          <w:p>
            <w:pPr>
              <w:widowControl/>
              <w:jc w:val="left"/>
              <w:rPr>
                <w:color w:val="auto"/>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auto"/>
                <w:szCs w:val="21"/>
              </w:rPr>
            </w:pPr>
          </w:p>
        </w:tc>
        <w:tc>
          <w:tcPr>
            <w:tcW w:w="0" w:type="auto"/>
            <w:vMerge w:val="continue"/>
            <w:tcBorders>
              <w:top w:val="single" w:color="auto" w:sz="6" w:space="0"/>
              <w:left w:val="single" w:color="auto" w:sz="6" w:space="0"/>
              <w:bottom w:val="single" w:color="auto" w:sz="6" w:space="0"/>
              <w:right w:val="single" w:color="auto" w:sz="8" w:space="0"/>
            </w:tcBorders>
            <w:vAlign w:val="center"/>
          </w:tcPr>
          <w:p>
            <w:pPr>
              <w:widowControl/>
              <w:jc w:val="left"/>
              <w:rPr>
                <w:color w:val="auto"/>
                <w:szCs w:val="21"/>
              </w:rPr>
            </w:pPr>
          </w:p>
        </w:tc>
        <w:tc>
          <w:tcPr>
            <w:tcW w:w="1850" w:type="dxa"/>
            <w:tcBorders>
              <w:top w:val="single" w:color="auto" w:sz="6" w:space="0"/>
              <w:left w:val="nil"/>
              <w:bottom w:val="single" w:color="auto" w:sz="6" w:space="0"/>
              <w:right w:val="single" w:color="auto" w:sz="6" w:space="0"/>
            </w:tcBorders>
            <w:vAlign w:val="center"/>
          </w:tcPr>
          <w:p>
            <w:pPr>
              <w:snapToGrid w:val="0"/>
              <w:jc w:val="center"/>
              <w:rPr>
                <w:color w:val="auto"/>
              </w:rPr>
            </w:pPr>
            <w:r>
              <w:rPr>
                <w:rFonts w:hint="eastAsia" w:ascii="宋体" w:hAnsi="宋体"/>
                <w:color w:val="auto"/>
              </w:rPr>
              <w:t>竣工验收</w:t>
            </w:r>
          </w:p>
        </w:tc>
        <w:tc>
          <w:tcPr>
            <w:tcW w:w="2069"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9" w:hRule="atLeast"/>
        </w:trPr>
        <w:tc>
          <w:tcPr>
            <w:tcW w:w="1268"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rFonts w:hint="eastAsia"/>
                <w:color w:val="auto"/>
              </w:rPr>
              <w:t>5</w:t>
            </w:r>
          </w:p>
        </w:tc>
        <w:tc>
          <w:tcPr>
            <w:tcW w:w="1274"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rFonts w:hint="eastAsia"/>
                <w:color w:val="auto"/>
              </w:rPr>
              <w:t>6</w:t>
            </w:r>
            <w:r>
              <w:rPr>
                <w:color w:val="auto"/>
              </w:rPr>
              <w:t>00</w:t>
            </w:r>
          </w:p>
        </w:tc>
        <w:tc>
          <w:tcPr>
            <w:tcW w:w="3665"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rFonts w:hint="eastAsia" w:ascii="宋体" w:hAnsi="宋体"/>
                <w:color w:val="auto"/>
              </w:rPr>
              <w:t>交通安全设施</w:t>
            </w:r>
          </w:p>
        </w:tc>
        <w:tc>
          <w:tcPr>
            <w:tcW w:w="2069"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9" w:hRule="atLeast"/>
        </w:trPr>
        <w:tc>
          <w:tcPr>
            <w:tcW w:w="1268"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rFonts w:hint="eastAsia"/>
                <w:color w:val="auto"/>
              </w:rPr>
              <w:t>6</w:t>
            </w:r>
          </w:p>
        </w:tc>
        <w:tc>
          <w:tcPr>
            <w:tcW w:w="1274"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rFonts w:hint="eastAsia"/>
                <w:color w:val="auto"/>
              </w:rPr>
              <w:t>7</w:t>
            </w:r>
            <w:r>
              <w:rPr>
                <w:color w:val="auto"/>
              </w:rPr>
              <w:t>00</w:t>
            </w:r>
          </w:p>
        </w:tc>
        <w:tc>
          <w:tcPr>
            <w:tcW w:w="3665"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rFonts w:hint="eastAsia" w:ascii="宋体" w:hAnsi="宋体"/>
                <w:color w:val="auto"/>
              </w:rPr>
              <w:t>环保工程</w:t>
            </w:r>
          </w:p>
        </w:tc>
        <w:tc>
          <w:tcPr>
            <w:tcW w:w="2069"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9" w:hRule="atLeast"/>
        </w:trPr>
        <w:tc>
          <w:tcPr>
            <w:tcW w:w="1268"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rFonts w:hint="eastAsia"/>
                <w:color w:val="auto"/>
              </w:rPr>
              <w:t>7</w:t>
            </w:r>
          </w:p>
        </w:tc>
        <w:tc>
          <w:tcPr>
            <w:tcW w:w="1274" w:type="dxa"/>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rFonts w:hint="eastAsia"/>
                <w:color w:val="auto"/>
              </w:rPr>
              <w:t>9</w:t>
            </w:r>
            <w:r>
              <w:rPr>
                <w:color w:val="auto"/>
              </w:rPr>
              <w:t>00</w:t>
            </w:r>
          </w:p>
        </w:tc>
        <w:tc>
          <w:tcPr>
            <w:tcW w:w="3665"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rFonts w:hint="eastAsia" w:ascii="宋体" w:hAnsi="宋体"/>
                <w:color w:val="auto"/>
              </w:rPr>
              <w:t>机电工程</w:t>
            </w:r>
          </w:p>
        </w:tc>
        <w:tc>
          <w:tcPr>
            <w:tcW w:w="2069"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9" w:hRule="atLeast"/>
        </w:trPr>
        <w:tc>
          <w:tcPr>
            <w:tcW w:w="1268" w:type="dxa"/>
            <w:vMerge w:val="restart"/>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rFonts w:hint="eastAsia"/>
                <w:color w:val="auto"/>
              </w:rPr>
              <w:t>8</w:t>
            </w:r>
          </w:p>
        </w:tc>
        <w:tc>
          <w:tcPr>
            <w:tcW w:w="1274" w:type="dxa"/>
            <w:vMerge w:val="restart"/>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rFonts w:hint="eastAsia"/>
                <w:color w:val="auto"/>
              </w:rPr>
              <w:t>1</w:t>
            </w:r>
            <w:r>
              <w:rPr>
                <w:color w:val="auto"/>
              </w:rPr>
              <w:t>000</w:t>
            </w:r>
          </w:p>
        </w:tc>
        <w:tc>
          <w:tcPr>
            <w:tcW w:w="1815" w:type="dxa"/>
            <w:vMerge w:val="restart"/>
            <w:tcBorders>
              <w:top w:val="single" w:color="auto" w:sz="6" w:space="0"/>
              <w:left w:val="single" w:color="auto" w:sz="6" w:space="0"/>
              <w:bottom w:val="single" w:color="auto" w:sz="6" w:space="0"/>
              <w:right w:val="single" w:color="auto" w:sz="8" w:space="0"/>
            </w:tcBorders>
            <w:vAlign w:val="center"/>
          </w:tcPr>
          <w:p>
            <w:pPr>
              <w:snapToGrid w:val="0"/>
              <w:jc w:val="center"/>
              <w:rPr>
                <w:color w:val="auto"/>
              </w:rPr>
            </w:pPr>
            <w:r>
              <w:rPr>
                <w:rFonts w:hint="eastAsia" w:ascii="宋体" w:hAnsi="宋体"/>
                <w:color w:val="auto"/>
              </w:rPr>
              <w:t>外观质量检查</w:t>
            </w:r>
          </w:p>
        </w:tc>
        <w:tc>
          <w:tcPr>
            <w:tcW w:w="1850" w:type="dxa"/>
            <w:tcBorders>
              <w:top w:val="single" w:color="auto" w:sz="6" w:space="0"/>
              <w:left w:val="nil"/>
              <w:bottom w:val="single" w:color="auto" w:sz="6" w:space="0"/>
              <w:right w:val="single" w:color="auto" w:sz="6" w:space="0"/>
            </w:tcBorders>
            <w:vAlign w:val="center"/>
          </w:tcPr>
          <w:p>
            <w:pPr>
              <w:snapToGrid w:val="0"/>
              <w:jc w:val="center"/>
              <w:rPr>
                <w:color w:val="auto"/>
              </w:rPr>
            </w:pPr>
            <w:r>
              <w:rPr>
                <w:rFonts w:hint="eastAsia" w:ascii="宋体" w:hAnsi="宋体"/>
                <w:color w:val="auto"/>
              </w:rPr>
              <w:t>交工验收</w:t>
            </w:r>
          </w:p>
        </w:tc>
        <w:tc>
          <w:tcPr>
            <w:tcW w:w="2069"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9" w:hRule="atLeast"/>
        </w:trPr>
        <w:tc>
          <w:tcPr>
            <w:tcW w:w="0" w:type="auto"/>
            <w:vMerge w:val="continue"/>
            <w:tcBorders>
              <w:top w:val="single" w:color="auto" w:sz="6" w:space="0"/>
              <w:left w:val="single" w:color="auto" w:sz="12" w:space="0"/>
              <w:bottom w:val="single" w:color="auto" w:sz="6" w:space="0"/>
              <w:right w:val="single" w:color="auto" w:sz="6" w:space="0"/>
            </w:tcBorders>
            <w:vAlign w:val="center"/>
          </w:tcPr>
          <w:p>
            <w:pPr>
              <w:widowControl/>
              <w:jc w:val="left"/>
              <w:rPr>
                <w:color w:val="auto"/>
                <w:szCs w:val="21"/>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color w:val="auto"/>
                <w:szCs w:val="21"/>
              </w:rPr>
            </w:pPr>
          </w:p>
        </w:tc>
        <w:tc>
          <w:tcPr>
            <w:tcW w:w="0" w:type="auto"/>
            <w:vMerge w:val="continue"/>
            <w:tcBorders>
              <w:top w:val="single" w:color="auto" w:sz="6" w:space="0"/>
              <w:left w:val="single" w:color="auto" w:sz="6" w:space="0"/>
              <w:bottom w:val="single" w:color="auto" w:sz="6" w:space="0"/>
              <w:right w:val="single" w:color="auto" w:sz="8" w:space="0"/>
            </w:tcBorders>
            <w:vAlign w:val="center"/>
          </w:tcPr>
          <w:p>
            <w:pPr>
              <w:widowControl/>
              <w:jc w:val="left"/>
              <w:rPr>
                <w:color w:val="auto"/>
                <w:szCs w:val="21"/>
              </w:rPr>
            </w:pPr>
          </w:p>
        </w:tc>
        <w:tc>
          <w:tcPr>
            <w:tcW w:w="1850" w:type="dxa"/>
            <w:tcBorders>
              <w:top w:val="single" w:color="auto" w:sz="6" w:space="0"/>
              <w:left w:val="nil"/>
              <w:bottom w:val="single" w:color="auto" w:sz="6" w:space="0"/>
              <w:right w:val="single" w:color="auto" w:sz="6" w:space="0"/>
            </w:tcBorders>
            <w:vAlign w:val="center"/>
          </w:tcPr>
          <w:p>
            <w:pPr>
              <w:snapToGrid w:val="0"/>
              <w:jc w:val="center"/>
              <w:rPr>
                <w:color w:val="auto"/>
              </w:rPr>
            </w:pPr>
            <w:r>
              <w:rPr>
                <w:rFonts w:hint="eastAsia" w:ascii="宋体" w:hAnsi="宋体"/>
                <w:color w:val="auto"/>
              </w:rPr>
              <w:t>竣工验收</w:t>
            </w:r>
          </w:p>
        </w:tc>
        <w:tc>
          <w:tcPr>
            <w:tcW w:w="2069"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9" w:hRule="atLeast"/>
        </w:trPr>
        <w:tc>
          <w:tcPr>
            <w:tcW w:w="1268"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rFonts w:hint="eastAsia"/>
                <w:color w:val="auto"/>
              </w:rPr>
              <w:t>9</w:t>
            </w:r>
          </w:p>
        </w:tc>
        <w:tc>
          <w:tcPr>
            <w:tcW w:w="4939"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rFonts w:hint="eastAsia" w:ascii="宋体" w:hAnsi="宋体"/>
                <w:color w:val="auto"/>
              </w:rPr>
              <w:t>第</w:t>
            </w:r>
            <w:r>
              <w:rPr>
                <w:rFonts w:hint="eastAsia"/>
                <w:color w:val="auto"/>
              </w:rPr>
              <w:t>1</w:t>
            </w:r>
            <w:r>
              <w:rPr>
                <w:color w:val="auto"/>
              </w:rPr>
              <w:t>00</w:t>
            </w:r>
            <w:r>
              <w:rPr>
                <w:rFonts w:hint="eastAsia" w:ascii="宋体" w:hAnsi="宋体"/>
                <w:color w:val="auto"/>
              </w:rPr>
              <w:t>章～第</w:t>
            </w:r>
            <w:r>
              <w:rPr>
                <w:rFonts w:hint="eastAsia"/>
                <w:color w:val="auto"/>
              </w:rPr>
              <w:t>1</w:t>
            </w:r>
            <w:r>
              <w:rPr>
                <w:color w:val="auto"/>
              </w:rPr>
              <w:t>000</w:t>
            </w:r>
            <w:r>
              <w:rPr>
                <w:rFonts w:hint="eastAsia" w:ascii="宋体" w:hAnsi="宋体"/>
                <w:color w:val="auto"/>
              </w:rPr>
              <w:t>章清单合计</w:t>
            </w:r>
          </w:p>
        </w:tc>
        <w:tc>
          <w:tcPr>
            <w:tcW w:w="2069"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9" w:hRule="atLeast"/>
        </w:trPr>
        <w:tc>
          <w:tcPr>
            <w:tcW w:w="1268" w:type="dxa"/>
            <w:tcBorders>
              <w:top w:val="single" w:color="auto" w:sz="6" w:space="0"/>
              <w:left w:val="single" w:color="auto" w:sz="12" w:space="0"/>
              <w:bottom w:val="single" w:color="auto" w:sz="6" w:space="0"/>
              <w:right w:val="single" w:color="auto" w:sz="6" w:space="0"/>
            </w:tcBorders>
            <w:vAlign w:val="center"/>
          </w:tcPr>
          <w:p>
            <w:pPr>
              <w:snapToGrid w:val="0"/>
              <w:jc w:val="center"/>
              <w:rPr>
                <w:color w:val="auto"/>
              </w:rPr>
            </w:pPr>
            <w:r>
              <w:rPr>
                <w:rFonts w:hint="eastAsia"/>
                <w:color w:val="auto"/>
              </w:rPr>
              <w:t>10</w:t>
            </w:r>
          </w:p>
        </w:tc>
        <w:tc>
          <w:tcPr>
            <w:tcW w:w="4939"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color w:val="auto"/>
              </w:rPr>
            </w:pPr>
            <w:r>
              <w:rPr>
                <w:rFonts w:hint="eastAsia" w:ascii="宋体" w:hAnsi="宋体"/>
                <w:color w:val="auto"/>
              </w:rPr>
              <w:t>暂列金额（</w:t>
            </w:r>
            <w:r>
              <w:rPr>
                <w:rFonts w:hint="eastAsia"/>
                <w:color w:val="auto"/>
              </w:rPr>
              <w:t>10</w:t>
            </w:r>
            <w:r>
              <w:rPr>
                <w:rFonts w:hint="eastAsia" w:ascii="宋体" w:hAnsi="宋体"/>
                <w:color w:val="auto"/>
              </w:rPr>
              <w:t>）</w:t>
            </w:r>
            <w:r>
              <w:rPr>
                <w:rFonts w:hint="eastAsia"/>
                <w:color w:val="auto"/>
              </w:rPr>
              <w:t>=</w:t>
            </w:r>
            <w:r>
              <w:rPr>
                <w:color w:val="auto"/>
              </w:rPr>
              <w:t>[</w:t>
            </w:r>
            <w:r>
              <w:rPr>
                <w:rFonts w:hint="eastAsia" w:ascii="宋体" w:hAnsi="宋体"/>
                <w:color w:val="auto"/>
              </w:rPr>
              <w:t>（</w:t>
            </w:r>
            <w:r>
              <w:rPr>
                <w:rFonts w:hint="eastAsia"/>
                <w:color w:val="auto"/>
              </w:rPr>
              <w:t>9</w:t>
            </w:r>
            <w:r>
              <w:rPr>
                <w:rFonts w:hint="eastAsia" w:ascii="宋体" w:hAnsi="宋体"/>
                <w:color w:val="auto"/>
              </w:rPr>
              <w:t>）</w:t>
            </w:r>
            <w:r>
              <w:rPr>
                <w:rFonts w:hint="eastAsia"/>
                <w:color w:val="auto"/>
              </w:rPr>
              <w:t>-</w:t>
            </w:r>
            <w:r>
              <w:rPr>
                <w:rFonts w:hint="eastAsia" w:ascii="宋体" w:hAnsi="宋体"/>
                <w:color w:val="auto"/>
              </w:rPr>
              <w:t>（</w:t>
            </w:r>
            <w:r>
              <w:rPr>
                <w:rFonts w:hint="eastAsia"/>
                <w:color w:val="auto"/>
              </w:rPr>
              <w:t>1</w:t>
            </w:r>
            <w:r>
              <w:rPr>
                <w:rFonts w:hint="eastAsia" w:ascii="宋体" w:hAnsi="宋体"/>
                <w:color w:val="auto"/>
              </w:rPr>
              <w:t>）</w:t>
            </w:r>
            <w:r>
              <w:rPr>
                <w:rFonts w:hint="eastAsia"/>
                <w:color w:val="auto"/>
              </w:rPr>
              <w:t xml:space="preserve">] </w:t>
            </w:r>
            <w:r>
              <w:rPr>
                <w:rFonts w:hint="eastAsia" w:ascii="宋体" w:hAnsi="宋体"/>
                <w:color w:val="auto"/>
              </w:rPr>
              <w:t>×</w:t>
            </w:r>
            <w:r>
              <w:rPr>
                <w:rFonts w:hint="eastAsia"/>
                <w:color w:val="auto"/>
              </w:rPr>
              <w:t>3</w:t>
            </w:r>
            <w:r>
              <w:rPr>
                <w:color w:val="auto"/>
              </w:rPr>
              <w:t>%</w:t>
            </w:r>
          </w:p>
        </w:tc>
        <w:tc>
          <w:tcPr>
            <w:tcW w:w="2069" w:type="dxa"/>
            <w:tcBorders>
              <w:top w:val="single" w:color="auto" w:sz="6" w:space="0"/>
              <w:left w:val="single" w:color="auto" w:sz="6" w:space="0"/>
              <w:bottom w:val="single" w:color="auto" w:sz="6" w:space="0"/>
              <w:right w:val="single" w:color="auto" w:sz="12" w:space="0"/>
            </w:tcBorders>
            <w:vAlign w:val="center"/>
          </w:tcPr>
          <w:p>
            <w:pPr>
              <w:snapToGrid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5" w:hRule="atLeast"/>
        </w:trPr>
        <w:tc>
          <w:tcPr>
            <w:tcW w:w="1268" w:type="dxa"/>
            <w:tcBorders>
              <w:top w:val="single" w:color="auto" w:sz="6" w:space="0"/>
              <w:left w:val="single" w:color="auto" w:sz="12" w:space="0"/>
              <w:bottom w:val="single" w:color="auto" w:sz="12" w:space="0"/>
              <w:right w:val="single" w:color="auto" w:sz="6" w:space="0"/>
            </w:tcBorders>
            <w:vAlign w:val="center"/>
          </w:tcPr>
          <w:p>
            <w:pPr>
              <w:snapToGrid w:val="0"/>
              <w:jc w:val="center"/>
              <w:rPr>
                <w:color w:val="auto"/>
              </w:rPr>
            </w:pPr>
            <w:r>
              <w:rPr>
                <w:rFonts w:hint="eastAsia"/>
                <w:color w:val="auto"/>
              </w:rPr>
              <w:t>11</w:t>
            </w:r>
          </w:p>
        </w:tc>
        <w:tc>
          <w:tcPr>
            <w:tcW w:w="4939" w:type="dxa"/>
            <w:gridSpan w:val="3"/>
            <w:tcBorders>
              <w:top w:val="single" w:color="auto" w:sz="6" w:space="0"/>
              <w:left w:val="single" w:color="auto" w:sz="6" w:space="0"/>
              <w:bottom w:val="single" w:color="auto" w:sz="12" w:space="0"/>
              <w:right w:val="single" w:color="auto" w:sz="6" w:space="0"/>
            </w:tcBorders>
            <w:vAlign w:val="center"/>
          </w:tcPr>
          <w:p>
            <w:pPr>
              <w:snapToGrid w:val="0"/>
              <w:jc w:val="center"/>
              <w:rPr>
                <w:color w:val="auto"/>
              </w:rPr>
            </w:pPr>
            <w:r>
              <w:rPr>
                <w:rFonts w:hint="eastAsia" w:ascii="宋体" w:hAnsi="宋体"/>
                <w:color w:val="auto"/>
              </w:rPr>
              <w:t>响应报价（</w:t>
            </w:r>
            <w:r>
              <w:rPr>
                <w:rFonts w:hint="eastAsia"/>
                <w:color w:val="auto"/>
              </w:rPr>
              <w:t>11</w:t>
            </w:r>
            <w:r>
              <w:rPr>
                <w:rFonts w:hint="eastAsia" w:ascii="宋体" w:hAnsi="宋体"/>
                <w:color w:val="auto"/>
              </w:rPr>
              <w:t>）</w:t>
            </w:r>
            <w:r>
              <w:rPr>
                <w:rFonts w:hint="eastAsia"/>
                <w:color w:val="auto"/>
              </w:rPr>
              <w:t>=</w:t>
            </w:r>
            <w:r>
              <w:rPr>
                <w:rFonts w:hint="eastAsia" w:ascii="宋体" w:hAnsi="宋体"/>
                <w:color w:val="auto"/>
              </w:rPr>
              <w:t>（</w:t>
            </w:r>
            <w:r>
              <w:rPr>
                <w:rFonts w:hint="eastAsia"/>
                <w:color w:val="auto"/>
              </w:rPr>
              <w:t>9</w:t>
            </w:r>
            <w:r>
              <w:rPr>
                <w:rFonts w:hint="eastAsia" w:ascii="宋体" w:hAnsi="宋体"/>
                <w:color w:val="auto"/>
              </w:rPr>
              <w:t>）</w:t>
            </w:r>
            <w:r>
              <w:rPr>
                <w:rFonts w:hint="eastAsia"/>
                <w:color w:val="auto"/>
              </w:rPr>
              <w:t>+</w:t>
            </w:r>
            <w:r>
              <w:rPr>
                <w:rFonts w:hint="eastAsia" w:ascii="宋体" w:hAnsi="宋体"/>
                <w:color w:val="auto"/>
              </w:rPr>
              <w:t>（</w:t>
            </w:r>
            <w:r>
              <w:rPr>
                <w:rFonts w:hint="eastAsia"/>
                <w:color w:val="auto"/>
              </w:rPr>
              <w:t>10</w:t>
            </w:r>
            <w:r>
              <w:rPr>
                <w:rFonts w:hint="eastAsia" w:ascii="宋体" w:hAnsi="宋体"/>
                <w:color w:val="auto"/>
              </w:rPr>
              <w:t>）</w:t>
            </w:r>
          </w:p>
        </w:tc>
        <w:tc>
          <w:tcPr>
            <w:tcW w:w="2069" w:type="dxa"/>
            <w:tcBorders>
              <w:top w:val="single" w:color="auto" w:sz="6" w:space="0"/>
              <w:left w:val="single" w:color="auto" w:sz="6" w:space="0"/>
              <w:bottom w:val="single" w:color="auto" w:sz="12" w:space="0"/>
              <w:right w:val="single" w:color="auto" w:sz="12" w:space="0"/>
            </w:tcBorders>
            <w:vAlign w:val="center"/>
          </w:tcPr>
          <w:p>
            <w:pPr>
              <w:snapToGrid w:val="0"/>
              <w:jc w:val="center"/>
              <w:rPr>
                <w:color w:val="auto"/>
              </w:rPr>
            </w:pPr>
          </w:p>
        </w:tc>
      </w:tr>
    </w:tbl>
    <w:p>
      <w:pPr>
        <w:snapToGrid w:val="0"/>
        <w:spacing w:line="360" w:lineRule="auto"/>
        <w:rPr>
          <w:color w:val="auto"/>
          <w:szCs w:val="21"/>
        </w:rPr>
      </w:pPr>
      <w:r>
        <w:rPr>
          <w:color w:val="auto"/>
        </w:rPr>
        <w:t xml:space="preserve"> </w:t>
      </w:r>
    </w:p>
    <w:p>
      <w:pPr>
        <w:widowControl/>
        <w:jc w:val="left"/>
        <w:rPr>
          <w:color w:val="auto"/>
        </w:rPr>
        <w:sectPr>
          <w:pgSz w:w="12240" w:h="15840"/>
          <w:pgMar w:top="1440" w:right="1800" w:bottom="1440" w:left="1800" w:header="720" w:footer="720" w:gutter="0"/>
          <w:cols w:space="720" w:num="1"/>
        </w:sectPr>
      </w:pPr>
      <w:r>
        <w:rPr>
          <w:color w:val="auto"/>
        </w:rPr>
        <w:br w:type="page"/>
      </w:r>
    </w:p>
    <w:p>
      <w:pPr>
        <w:snapToGrid w:val="0"/>
        <w:rPr>
          <w:bCs/>
          <w:color w:val="auto"/>
          <w:szCs w:val="21"/>
        </w:rPr>
      </w:pPr>
    </w:p>
    <w:p>
      <w:pPr>
        <w:spacing w:line="360" w:lineRule="auto"/>
        <w:ind w:firstLine="562" w:firstLineChars="200"/>
        <w:jc w:val="center"/>
        <w:rPr>
          <w:rFonts w:hint="eastAsia" w:asciiTheme="minorEastAsia" w:hAnsiTheme="minorEastAsia" w:eastAsiaTheme="minorEastAsia"/>
          <w:b/>
          <w:color w:val="auto"/>
          <w:sz w:val="28"/>
          <w:szCs w:val="28"/>
        </w:rPr>
      </w:pPr>
    </w:p>
    <w:p>
      <w:pPr>
        <w:snapToGrid w:val="0"/>
        <w:spacing w:line="360" w:lineRule="auto"/>
        <w:jc w:val="center"/>
        <w:outlineLvl w:val="0"/>
        <w:rPr>
          <w:rFonts w:hint="eastAsia"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第八部分</w:t>
      </w:r>
      <w:bookmarkEnd w:id="66"/>
      <w:r>
        <w:rPr>
          <w:rFonts w:hint="eastAsia" w:cs="仿宋_GB2312" w:asciiTheme="minorEastAsia" w:hAnsiTheme="minorEastAsia" w:eastAsiaTheme="minorEastAsia"/>
          <w:b/>
          <w:color w:val="auto"/>
          <w:sz w:val="36"/>
          <w:szCs w:val="20"/>
        </w:rPr>
        <w:t xml:space="preserve">  </w:t>
      </w:r>
      <w:bookmarkEnd w:id="67"/>
      <w:r>
        <w:rPr>
          <w:rFonts w:hint="eastAsia" w:cs="仿宋_GB2312" w:asciiTheme="minorEastAsia" w:hAnsiTheme="minorEastAsia" w:eastAsiaTheme="minorEastAsia"/>
          <w:b/>
          <w:color w:val="auto"/>
          <w:sz w:val="36"/>
          <w:szCs w:val="20"/>
        </w:rPr>
        <w:t>应提交的有关格式范例</w:t>
      </w:r>
    </w:p>
    <w:p>
      <w:pPr>
        <w:pStyle w:val="58"/>
        <w:ind w:firstLine="210"/>
        <w:rPr>
          <w:rFonts w:hint="eastAsia" w:hAnsi="宋体"/>
          <w:color w:val="auto"/>
        </w:rPr>
      </w:pPr>
    </w:p>
    <w:p>
      <w:pPr>
        <w:spacing w:line="360" w:lineRule="auto"/>
        <w:ind w:firstLine="480" w:firstLineChars="20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供应商按照以下格式编制响应文件。本章未提供的表格格式，格式自拟。</w:t>
      </w:r>
    </w:p>
    <w:p>
      <w:pPr>
        <w:tabs>
          <w:tab w:val="left" w:pos="540"/>
        </w:tabs>
        <w:snapToGrid w:val="0"/>
        <w:spacing w:line="320" w:lineRule="exact"/>
        <w:ind w:firstLine="562" w:firstLineChars="200"/>
        <w:jc w:val="left"/>
        <w:rPr>
          <w:rFonts w:hint="eastAsia" w:ascii="宋体" w:hAnsi="宋体" w:cs="宋体"/>
          <w:b/>
          <w:color w:val="auto"/>
          <w:sz w:val="28"/>
          <w:szCs w:val="28"/>
        </w:rPr>
      </w:pPr>
    </w:p>
    <w:p>
      <w:pPr>
        <w:tabs>
          <w:tab w:val="left" w:pos="540"/>
        </w:tabs>
        <w:snapToGrid w:val="0"/>
        <w:spacing w:line="320" w:lineRule="exact"/>
        <w:ind w:firstLine="562" w:firstLineChars="200"/>
        <w:jc w:val="left"/>
        <w:rPr>
          <w:rFonts w:hint="eastAsia" w:ascii="宋体" w:hAnsi="宋体" w:cs="宋体"/>
          <w:b/>
          <w:color w:val="auto"/>
          <w:sz w:val="28"/>
          <w:szCs w:val="28"/>
        </w:rPr>
      </w:pPr>
      <w:r>
        <w:rPr>
          <w:rFonts w:hint="eastAsia" w:ascii="宋体" w:hAnsi="宋体" w:cs="宋体"/>
          <w:b/>
          <w:color w:val="auto"/>
          <w:sz w:val="28"/>
          <w:szCs w:val="28"/>
        </w:rPr>
        <w:t>1.</w:t>
      </w:r>
      <w:r>
        <w:rPr>
          <w:rFonts w:hint="eastAsia" w:ascii="宋体" w:hAnsi="宋体" w:cs="宋体"/>
          <w:b/>
          <w:bCs/>
          <w:color w:val="auto"/>
          <w:sz w:val="28"/>
          <w:szCs w:val="28"/>
        </w:rPr>
        <w:t>封面格式：</w:t>
      </w:r>
    </w:p>
    <w:p>
      <w:pPr>
        <w:snapToGrid w:val="0"/>
        <w:spacing w:line="320" w:lineRule="exact"/>
        <w:ind w:firstLine="562" w:firstLineChars="200"/>
        <w:jc w:val="center"/>
        <w:rPr>
          <w:rFonts w:hint="eastAsia" w:ascii="宋体" w:hAnsi="宋体" w:cs="宋体"/>
          <w:b/>
          <w:color w:val="auto"/>
          <w:sz w:val="28"/>
          <w:szCs w:val="28"/>
          <w:lang w:val="zh-CN"/>
        </w:rPr>
      </w:pPr>
    </w:p>
    <w:p>
      <w:pPr>
        <w:jc w:val="center"/>
        <w:rPr>
          <w:b/>
          <w:bCs/>
          <w:color w:val="auto"/>
          <w:sz w:val="36"/>
          <w:szCs w:val="36"/>
        </w:rPr>
      </w:pPr>
      <w:r>
        <w:rPr>
          <w:rFonts w:hint="eastAsia"/>
          <w:b/>
          <w:bCs/>
          <w:color w:val="auto"/>
          <w:sz w:val="36"/>
          <w:szCs w:val="36"/>
          <w:lang w:val="zh-CN"/>
        </w:rPr>
        <w:t>商务技术</w:t>
      </w:r>
      <w:r>
        <w:rPr>
          <w:rFonts w:hint="eastAsia"/>
          <w:b/>
          <w:bCs/>
          <w:color w:val="auto"/>
          <w:sz w:val="36"/>
          <w:szCs w:val="36"/>
        </w:rPr>
        <w:t>/报价</w:t>
      </w:r>
      <w:r>
        <w:rPr>
          <w:rFonts w:hint="eastAsia"/>
          <w:b/>
          <w:bCs/>
          <w:color w:val="auto"/>
          <w:sz w:val="36"/>
          <w:szCs w:val="36"/>
          <w:lang w:val="zh-CN"/>
        </w:rPr>
        <w:t>文件</w:t>
      </w:r>
    </w:p>
    <w:p>
      <w:pPr>
        <w:snapToGrid w:val="0"/>
        <w:spacing w:line="360" w:lineRule="auto"/>
        <w:ind w:firstLine="1400" w:firstLineChars="500"/>
        <w:rPr>
          <w:rFonts w:hint="eastAsia" w:ascii="宋体" w:hAnsi="宋体" w:cs="宋体"/>
          <w:bCs/>
          <w:color w:val="auto"/>
          <w:sz w:val="28"/>
          <w:szCs w:val="28"/>
        </w:rPr>
      </w:pPr>
    </w:p>
    <w:p>
      <w:pPr>
        <w:snapToGrid w:val="0"/>
        <w:spacing w:line="360" w:lineRule="auto"/>
        <w:ind w:firstLine="1400" w:firstLineChars="500"/>
        <w:rPr>
          <w:rFonts w:hint="eastAsia" w:ascii="宋体" w:hAnsi="宋体" w:cs="宋体"/>
          <w:bCs/>
          <w:color w:val="auto"/>
          <w:sz w:val="28"/>
          <w:szCs w:val="28"/>
        </w:rPr>
      </w:pPr>
      <w:r>
        <w:rPr>
          <w:rFonts w:hint="eastAsia" w:ascii="宋体" w:hAnsi="宋体" w:cs="宋体"/>
          <w:bCs/>
          <w:color w:val="auto"/>
          <w:sz w:val="28"/>
          <w:szCs w:val="28"/>
        </w:rPr>
        <w:t>项目名称：</w:t>
      </w:r>
    </w:p>
    <w:p>
      <w:pPr>
        <w:snapToGrid w:val="0"/>
        <w:spacing w:line="360" w:lineRule="auto"/>
        <w:ind w:firstLine="1400" w:firstLineChars="500"/>
        <w:rPr>
          <w:rFonts w:hint="eastAsia" w:ascii="宋体" w:hAnsi="宋体" w:cs="宋体"/>
          <w:bCs/>
          <w:color w:val="auto"/>
          <w:sz w:val="28"/>
          <w:szCs w:val="28"/>
        </w:rPr>
      </w:pPr>
      <w:r>
        <w:rPr>
          <w:rFonts w:hint="eastAsia" w:ascii="宋体" w:hAnsi="宋体" w:cs="宋体"/>
          <w:bCs/>
          <w:color w:val="auto"/>
          <w:sz w:val="28"/>
          <w:szCs w:val="28"/>
        </w:rPr>
        <w:t>项目编号：</w:t>
      </w:r>
    </w:p>
    <w:p>
      <w:pPr>
        <w:snapToGrid w:val="0"/>
        <w:spacing w:line="360" w:lineRule="auto"/>
        <w:ind w:firstLine="1400" w:firstLineChars="500"/>
        <w:rPr>
          <w:rFonts w:hint="eastAsia" w:ascii="宋体" w:hAnsi="宋体" w:cs="宋体"/>
          <w:bCs/>
          <w:color w:val="auto"/>
          <w:sz w:val="28"/>
          <w:szCs w:val="28"/>
        </w:rPr>
      </w:pPr>
      <w:r>
        <w:rPr>
          <w:rFonts w:hint="eastAsia" w:ascii="宋体" w:hAnsi="宋体" w:cs="宋体"/>
          <w:bCs/>
          <w:color w:val="auto"/>
          <w:sz w:val="28"/>
          <w:szCs w:val="28"/>
        </w:rPr>
        <w:t>供应商名称：</w:t>
      </w:r>
    </w:p>
    <w:p>
      <w:pPr>
        <w:snapToGrid w:val="0"/>
        <w:spacing w:line="360" w:lineRule="auto"/>
        <w:ind w:firstLine="1400" w:firstLineChars="500"/>
        <w:rPr>
          <w:rFonts w:hint="eastAsia" w:ascii="宋体" w:hAnsi="宋体" w:cs="宋体"/>
          <w:bCs/>
          <w:color w:val="auto"/>
          <w:sz w:val="28"/>
          <w:szCs w:val="28"/>
        </w:rPr>
      </w:pPr>
      <w:r>
        <w:rPr>
          <w:rFonts w:hint="eastAsia" w:ascii="宋体" w:hAnsi="宋体" w:cs="宋体"/>
          <w:bCs/>
          <w:color w:val="auto"/>
          <w:sz w:val="28"/>
          <w:szCs w:val="28"/>
        </w:rPr>
        <w:t>供应商地址：</w:t>
      </w:r>
    </w:p>
    <w:p>
      <w:pPr>
        <w:snapToGrid w:val="0"/>
        <w:spacing w:line="360" w:lineRule="auto"/>
        <w:ind w:firstLine="1400" w:firstLineChars="500"/>
        <w:rPr>
          <w:rFonts w:hint="eastAsia" w:ascii="宋体" w:hAnsi="宋体" w:cs="宋体"/>
          <w:bCs/>
          <w:color w:val="auto"/>
          <w:sz w:val="28"/>
          <w:szCs w:val="28"/>
        </w:rPr>
      </w:pPr>
      <w:r>
        <w:rPr>
          <w:rFonts w:hint="eastAsia" w:ascii="宋体" w:hAnsi="宋体" w:cs="宋体"/>
          <w:bCs/>
          <w:color w:val="auto"/>
          <w:sz w:val="28"/>
          <w:szCs w:val="28"/>
        </w:rPr>
        <w:t>日期：   年   月   日</w:t>
      </w:r>
    </w:p>
    <w:p>
      <w:pPr>
        <w:spacing w:line="360" w:lineRule="auto"/>
        <w:ind w:firstLine="480" w:firstLineChars="200"/>
        <w:rPr>
          <w:rFonts w:hint="eastAsia" w:cs="仿宋_GB2312" w:asciiTheme="minorEastAsia" w:hAnsiTheme="minorEastAsia" w:eastAsiaTheme="minorEastAsia"/>
          <w:color w:val="auto"/>
          <w:sz w:val="24"/>
        </w:rPr>
      </w:pPr>
    </w:p>
    <w:p>
      <w:pPr>
        <w:spacing w:line="360" w:lineRule="auto"/>
        <w:ind w:firstLine="480" w:firstLineChars="200"/>
        <w:rPr>
          <w:rFonts w:hint="eastAsia" w:cs="仿宋_GB2312" w:asciiTheme="minorEastAsia" w:hAnsiTheme="minorEastAsia" w:eastAsiaTheme="minorEastAsia"/>
          <w:color w:val="auto"/>
          <w:sz w:val="24"/>
        </w:rPr>
      </w:pPr>
    </w:p>
    <w:p>
      <w:pPr>
        <w:rPr>
          <w:rFonts w:hint="eastAsia"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br w:type="page"/>
      </w:r>
    </w:p>
    <w:p>
      <w:pPr>
        <w:spacing w:line="360" w:lineRule="auto"/>
        <w:jc w:val="center"/>
        <w:rPr>
          <w:rFonts w:hint="eastAsia"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pPr>
        <w:pStyle w:val="183"/>
        <w:spacing w:line="360" w:lineRule="auto"/>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（1）响应函………………………………………………………………………（页码）</w:t>
      </w:r>
    </w:p>
    <w:p>
      <w:pPr>
        <w:pStyle w:val="183"/>
        <w:spacing w:line="360" w:lineRule="auto"/>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（2）资格文件…………………………………………………………………（页码）</w:t>
      </w:r>
    </w:p>
    <w:p>
      <w:pPr>
        <w:pStyle w:val="183"/>
        <w:spacing w:line="360" w:lineRule="auto"/>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（3）法人授权书</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pPr>
        <w:snapToGrid w:val="0"/>
        <w:spacing w:line="360" w:lineRule="auto"/>
        <w:ind w:left="479" w:leftChars="228"/>
        <w:rPr>
          <w:rFonts w:hint="eastAsia" w:cs="宋体" w:asciiTheme="minorEastAsia" w:hAnsiTheme="minorEastAsia" w:eastAsiaTheme="minorEastAsia"/>
          <w:color w:val="auto"/>
        </w:rPr>
      </w:pPr>
      <w:r>
        <w:rPr>
          <w:rFonts w:hint="eastAsia" w:cs="宋体" w:asciiTheme="minorEastAsia" w:hAnsiTheme="minorEastAsia" w:eastAsiaTheme="minorEastAsia"/>
          <w:color w:val="auto"/>
          <w:sz w:val="24"/>
        </w:rPr>
        <w:t>（4）分包意向协议</w:t>
      </w:r>
      <w:r>
        <w:rPr>
          <w:rFonts w:hint="eastAsia" w:cs="宋体" w:asciiTheme="minorEastAsia" w:hAnsiTheme="minorEastAsia" w:eastAsiaTheme="minorEastAsia"/>
          <w:color w:val="auto"/>
        </w:rPr>
        <w:t>…………………………………………………………………………（页码）</w:t>
      </w:r>
    </w:p>
    <w:p>
      <w:pPr>
        <w:pStyle w:val="183"/>
        <w:spacing w:line="360" w:lineRule="auto"/>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（5）所有资信文件（复印件）…………………………………………………（页码）</w:t>
      </w:r>
    </w:p>
    <w:p>
      <w:pPr>
        <w:pStyle w:val="183"/>
        <w:spacing w:line="360" w:lineRule="auto"/>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（6）</w:t>
      </w:r>
      <w:r>
        <w:rPr>
          <w:rFonts w:hint="eastAsia" w:cs="仿宋_GB2312" w:asciiTheme="minorEastAsia" w:hAnsiTheme="minorEastAsia" w:eastAsiaTheme="minorEastAsia"/>
          <w:color w:val="auto"/>
          <w:lang w:val="zh-CN"/>
        </w:rPr>
        <w:t>关于对磋商文件中有关条款的拒绝声明……………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pPr>
        <w:pStyle w:val="183"/>
        <w:spacing w:line="360" w:lineRule="auto"/>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（7）认为需要的其他商务文件或说明…………………………………………（页码）</w:t>
      </w:r>
    </w:p>
    <w:p>
      <w:pPr>
        <w:spacing w:line="360" w:lineRule="auto"/>
        <w:ind w:firstLine="480" w:firstLineChars="200"/>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（8）试验检测仪器设备投入承诺书</w:t>
      </w:r>
      <w:r>
        <w:rPr>
          <w:rFonts w:hint="eastAsia" w:cs="仿宋_GB2312" w:asciiTheme="minorEastAsia" w:hAnsiTheme="minorEastAsia" w:eastAsiaTheme="minorEastAsia"/>
          <w:color w:val="auto"/>
        </w:rPr>
        <w:t>…………………………………………………（页码）</w:t>
      </w:r>
    </w:p>
    <w:p>
      <w:pPr>
        <w:spacing w:line="360" w:lineRule="auto"/>
        <w:ind w:firstLine="480" w:firstLineChars="200"/>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（9）技术解决方案…………………………………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pPr>
        <w:spacing w:line="360" w:lineRule="auto"/>
        <w:ind w:firstLine="480"/>
        <w:jc w:val="center"/>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（10）</w:t>
      </w:r>
      <w:r>
        <w:rPr>
          <w:rFonts w:hint="eastAsia" w:cs="仿宋_GB2312" w:asciiTheme="minorEastAsia" w:hAnsiTheme="minorEastAsia" w:eastAsiaTheme="minorEastAsia"/>
          <w:color w:val="auto"/>
          <w:kern w:val="0"/>
          <w:sz w:val="24"/>
          <w:lang w:val="zh-CN"/>
        </w:rPr>
        <w:t>认为需要的其他技术文件或说明…………………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pPr>
        <w:tabs>
          <w:tab w:val="left" w:pos="0"/>
        </w:tabs>
        <w:autoSpaceDE w:val="0"/>
        <w:autoSpaceDN w:val="0"/>
        <w:spacing w:line="360" w:lineRule="auto"/>
        <w:ind w:firstLine="480" w:firstLineChars="200"/>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（11）</w:t>
      </w:r>
      <w:r>
        <w:rPr>
          <w:rFonts w:hint="eastAsia" w:cs="仿宋_GB2312" w:asciiTheme="minorEastAsia" w:hAnsiTheme="minorEastAsia" w:eastAsiaTheme="minorEastAsia"/>
          <w:color w:val="auto"/>
          <w:kern w:val="0"/>
          <w:sz w:val="24"/>
          <w:lang w:val="zh-CN"/>
        </w:rPr>
        <w:t>政府采购供应商廉洁自律承诺书………………………………………</w:t>
      </w:r>
      <w:r>
        <w:rPr>
          <w:rFonts w:hint="eastAsia" w:cs="仿宋_GB2312" w:asciiTheme="minorEastAsia" w:hAnsiTheme="minorEastAsia" w:eastAsiaTheme="minorEastAsia"/>
          <w:color w:val="auto"/>
          <w:kern w:val="0"/>
          <w:sz w:val="24"/>
        </w:rPr>
        <w:t>（页码）</w:t>
      </w:r>
    </w:p>
    <w:p>
      <w:pPr>
        <w:spacing w:line="360" w:lineRule="auto"/>
        <w:rPr>
          <w:rFonts w:hint="eastAsia"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pPr>
        <w:pStyle w:val="630"/>
        <w:ind w:firstLine="723"/>
        <w:jc w:val="center"/>
        <w:rPr>
          <w:rFonts w:hint="eastAsia" w:ascii="黑体" w:hAnsi="黑体"/>
          <w:color w:val="auto"/>
          <w:sz w:val="30"/>
          <w:szCs w:val="30"/>
        </w:rPr>
      </w:pPr>
      <w:r>
        <w:rPr>
          <w:rFonts w:hint="eastAsia" w:cs="仿宋_GB2312" w:asciiTheme="minorEastAsia" w:hAnsiTheme="minorEastAsia" w:eastAsiaTheme="minorEastAsia"/>
          <w:color w:val="auto"/>
          <w:sz w:val="36"/>
          <w:szCs w:val="36"/>
        </w:rPr>
        <w:br w:type="page"/>
      </w:r>
      <w:r>
        <w:rPr>
          <w:rFonts w:hint="eastAsia" w:ascii="黑体" w:hAnsi="黑体"/>
          <w:color w:val="auto"/>
          <w:sz w:val="30"/>
          <w:szCs w:val="30"/>
        </w:rPr>
        <w:t>一、响应函</w:t>
      </w:r>
    </w:p>
    <w:p>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(供应商全称)授权</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(全权代表姓名)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(职务、职称)为全权代表，参加贵方组织的（项目名称）【项目编号：（采购编号）】的有关活动，并对此项目进行响应。为此：</w:t>
      </w:r>
    </w:p>
    <w:p>
      <w:pPr>
        <w:pStyle w:val="104"/>
        <w:numPr>
          <w:ilvl w:val="0"/>
          <w:numId w:val="12"/>
        </w:numPr>
        <w:snapToGrid w:val="0"/>
        <w:ind w:firstLineChars="0"/>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（不少于90天），</w:t>
      </w:r>
      <w:r>
        <w:rPr>
          <w:rFonts w:hint="eastAsia" w:cs="仿宋_GB2312" w:asciiTheme="minorEastAsia" w:hAnsiTheme="minorEastAsia" w:eastAsiaTheme="minorEastAsia"/>
          <w:color w:val="auto"/>
        </w:rPr>
        <w:t>本响应文件在响应有效期满之前均具有约束力。</w:t>
      </w:r>
    </w:p>
    <w:p>
      <w:pPr>
        <w:numPr>
          <w:ilvl w:val="0"/>
          <w:numId w:val="12"/>
        </w:numPr>
        <w:adjustRightInd/>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pPr>
        <w:numPr>
          <w:ilvl w:val="0"/>
          <w:numId w:val="12"/>
        </w:numPr>
        <w:adjustRightInd/>
        <w:spacing w:line="360" w:lineRule="auto"/>
        <w:rPr>
          <w:rFonts w:hint="eastAsia"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我方承诺除响应文件列出的偏离外，我方响应磋商文件的全部要求。</w:t>
      </w:r>
    </w:p>
    <w:p>
      <w:pPr>
        <w:numPr>
          <w:ilvl w:val="0"/>
          <w:numId w:val="12"/>
        </w:numPr>
        <w:adjustRightInd/>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pPr>
        <w:numPr>
          <w:ilvl w:val="0"/>
          <w:numId w:val="12"/>
        </w:numPr>
        <w:adjustRightInd/>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pPr>
        <w:numPr>
          <w:ilvl w:val="0"/>
          <w:numId w:val="12"/>
        </w:numPr>
        <w:adjustRightInd/>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10、我方已详细阅读全部磋商文件，包括磋商文件“更正（延期）公告”（如果有）、参考资料及有关附件，确认无误。</w:t>
      </w:r>
    </w:p>
    <w:p>
      <w:pPr>
        <w:numPr>
          <w:ilvl w:val="0"/>
          <w:numId w:val="12"/>
        </w:numPr>
        <w:adjustRightInd/>
        <w:spacing w:line="360" w:lineRule="auto"/>
        <w:rPr>
          <w:rFonts w:hint="eastAsia"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pPr>
        <w:snapToGrid w:val="0"/>
        <w:spacing w:line="360" w:lineRule="auto"/>
        <w:ind w:left="210" w:leftChars="100"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4.1在收到成交通知书后，在成交通知书规定的期限内与你方签订合同； </w:t>
      </w:r>
    </w:p>
    <w:p>
      <w:pPr>
        <w:snapToGrid w:val="0"/>
        <w:spacing w:line="360" w:lineRule="auto"/>
        <w:ind w:left="210" w:leftChars="100"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4.2在签订合同时不向你方提出附加条件； </w:t>
      </w:r>
    </w:p>
    <w:p>
      <w:pPr>
        <w:snapToGrid w:val="0"/>
        <w:spacing w:line="360" w:lineRule="auto"/>
        <w:ind w:left="210" w:leftChars="100"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4.3按照磋商文件要求提交履约保证金； </w:t>
      </w:r>
    </w:p>
    <w:p>
      <w:pPr>
        <w:snapToGrid w:val="0"/>
        <w:spacing w:line="360" w:lineRule="auto"/>
        <w:ind w:left="210" w:leftChars="100"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4.4在合同约定的期限内完成合同规定的全部义务。 </w:t>
      </w:r>
    </w:p>
    <w:p>
      <w:pPr>
        <w:numPr>
          <w:ilvl w:val="0"/>
          <w:numId w:val="12"/>
        </w:numPr>
        <w:adjustRightInd/>
        <w:spacing w:line="360" w:lineRule="auto"/>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其他补充说明:                                        。</w:t>
      </w:r>
    </w:p>
    <w:p>
      <w:pPr>
        <w:autoSpaceDE w:val="0"/>
        <w:autoSpaceDN w:val="0"/>
        <w:spacing w:line="360" w:lineRule="auto"/>
        <w:ind w:firstLine="3960" w:firstLineChars="1650"/>
        <w:rPr>
          <w:rFonts w:hint="eastAsia" w:cs="仿宋_GB2312" w:asciiTheme="minorEastAsia" w:hAnsiTheme="minorEastAsia" w:eastAsiaTheme="minorEastAsia"/>
          <w:color w:val="auto"/>
          <w:kern w:val="0"/>
          <w:sz w:val="24"/>
          <w:lang w:val="zh-CN"/>
        </w:rPr>
      </w:pPr>
    </w:p>
    <w:p>
      <w:pPr>
        <w:spacing w:line="360" w:lineRule="auto"/>
        <w:ind w:firstLine="3600" w:firstLineChars="150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供应商名称（电子签名）：                          </w:t>
      </w:r>
    </w:p>
    <w:p>
      <w:pPr>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日期：  年   月   日</w:t>
      </w:r>
    </w:p>
    <w:p>
      <w:pPr>
        <w:spacing w:line="360" w:lineRule="auto"/>
        <w:ind w:right="42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pPr>
        <w:autoSpaceDE w:val="0"/>
        <w:autoSpaceDN w:val="0"/>
        <w:spacing w:line="360" w:lineRule="auto"/>
        <w:rPr>
          <w:rFonts w:hint="eastAsia" w:cs="仿宋_GB2312" w:asciiTheme="minorEastAsia" w:hAnsiTheme="minorEastAsia" w:eastAsiaTheme="minorEastAsia"/>
          <w:color w:val="auto"/>
          <w:kern w:val="0"/>
          <w:sz w:val="24"/>
        </w:rPr>
      </w:pPr>
    </w:p>
    <w:p>
      <w:pPr>
        <w:pStyle w:val="114"/>
        <w:keepNext w:val="0"/>
        <w:pageBreakBefore w:val="0"/>
        <w:tabs>
          <w:tab w:val="clear" w:pos="720"/>
        </w:tabs>
        <w:jc w:val="both"/>
        <w:outlineLvl w:val="9"/>
        <w:rPr>
          <w:rFonts w:hint="eastAsia" w:cs="仿宋_GB2312" w:asciiTheme="minorEastAsia" w:hAnsiTheme="minorEastAsia" w:eastAsiaTheme="minorEastAsia"/>
          <w:color w:val="auto"/>
          <w:sz w:val="24"/>
          <w:szCs w:val="24"/>
        </w:rPr>
      </w:pPr>
    </w:p>
    <w:p>
      <w:pPr>
        <w:spacing w:line="360" w:lineRule="auto"/>
        <w:rPr>
          <w:rFonts w:hint="eastAsia" w:cs="仿宋_GB2312" w:asciiTheme="minorEastAsia" w:hAnsiTheme="minorEastAsia" w:eastAsiaTheme="minorEastAsia"/>
          <w:color w:val="auto"/>
          <w:sz w:val="24"/>
        </w:rPr>
      </w:pPr>
    </w:p>
    <w:p>
      <w:pPr>
        <w:spacing w:line="360" w:lineRule="auto"/>
        <w:rPr>
          <w:rFonts w:hint="eastAsia" w:cs="仿宋_GB2312" w:asciiTheme="minorEastAsia" w:hAnsiTheme="minorEastAsia" w:eastAsiaTheme="minorEastAsia"/>
          <w:color w:val="auto"/>
          <w:sz w:val="18"/>
          <w:szCs w:val="18"/>
        </w:rPr>
      </w:pPr>
    </w:p>
    <w:p>
      <w:pPr>
        <w:spacing w:line="360" w:lineRule="auto"/>
        <w:rPr>
          <w:rFonts w:hint="eastAsia" w:cs="仿宋_GB2312" w:asciiTheme="minorEastAsia" w:hAnsiTheme="minorEastAsia" w:eastAsiaTheme="minorEastAsia"/>
          <w:color w:val="auto"/>
          <w:sz w:val="18"/>
          <w:szCs w:val="18"/>
        </w:rPr>
      </w:pPr>
    </w:p>
    <w:p>
      <w:pPr>
        <w:widowControl/>
        <w:adjustRightInd/>
        <w:jc w:val="left"/>
        <w:rPr>
          <w:rFonts w:hint="eastAsia" w:cs="仿宋_GB2312" w:asciiTheme="minorEastAsia" w:hAnsiTheme="minorEastAsia" w:eastAsiaTheme="minorEastAsia"/>
          <w:b/>
          <w:color w:val="auto"/>
          <w:kern w:val="0"/>
          <w:sz w:val="32"/>
          <w:szCs w:val="32"/>
        </w:rPr>
      </w:pPr>
      <w:r>
        <w:rPr>
          <w:rFonts w:cs="仿宋_GB2312" w:asciiTheme="minorEastAsia" w:hAnsiTheme="minorEastAsia" w:eastAsiaTheme="minorEastAsia"/>
          <w:b/>
          <w:color w:val="auto"/>
          <w:kern w:val="0"/>
          <w:sz w:val="32"/>
          <w:szCs w:val="32"/>
        </w:rPr>
        <w:br w:type="page"/>
      </w:r>
    </w:p>
    <w:p>
      <w:pPr>
        <w:pStyle w:val="630"/>
        <w:ind w:firstLine="602"/>
        <w:jc w:val="center"/>
        <w:rPr>
          <w:rFonts w:hint="eastAsia" w:asciiTheme="minorEastAsia" w:hAnsiTheme="minorEastAsia" w:eastAsiaTheme="minorEastAsia"/>
          <w:color w:val="auto"/>
          <w:sz w:val="30"/>
          <w:szCs w:val="30"/>
        </w:rPr>
      </w:pPr>
      <w:r>
        <w:rPr>
          <w:rFonts w:hint="eastAsia" w:asciiTheme="minorEastAsia" w:hAnsiTheme="minorEastAsia" w:eastAsiaTheme="minorEastAsia"/>
          <w:color w:val="auto"/>
          <w:sz w:val="30"/>
          <w:szCs w:val="30"/>
        </w:rPr>
        <w:t>二、资格文件</w:t>
      </w:r>
    </w:p>
    <w:p>
      <w:pPr>
        <w:pStyle w:val="630"/>
        <w:ind w:firstLine="602"/>
        <w:jc w:val="center"/>
        <w:rPr>
          <w:rFonts w:hint="eastAsia" w:asciiTheme="minorEastAsia" w:hAnsiTheme="minorEastAsia" w:eastAsiaTheme="minorEastAsia"/>
          <w:color w:val="auto"/>
          <w:sz w:val="30"/>
          <w:szCs w:val="30"/>
        </w:rPr>
      </w:pPr>
      <w:r>
        <w:rPr>
          <w:rFonts w:hint="eastAsia" w:asciiTheme="minorEastAsia" w:hAnsiTheme="minorEastAsia" w:eastAsiaTheme="minorEastAsia"/>
          <w:color w:val="auto"/>
          <w:sz w:val="30"/>
          <w:szCs w:val="30"/>
        </w:rPr>
        <w:t>A、符合参加政府采购活动应当具备的一般条件的承诺函</w:t>
      </w:r>
    </w:p>
    <w:p>
      <w:pPr>
        <w:snapToGrid w:val="0"/>
        <w:spacing w:line="360" w:lineRule="auto"/>
        <w:rPr>
          <w:rFonts w:hint="eastAsia" w:cs="宋体"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r>
        <w:rPr>
          <w:rFonts w:hint="eastAsia" w:cs="宋体" w:asciiTheme="minorEastAsia" w:hAnsiTheme="minorEastAsia" w:eastAsiaTheme="minorEastAsia"/>
          <w:color w:val="auto"/>
          <w:sz w:val="24"/>
        </w:rPr>
        <w:t>：</w:t>
      </w:r>
    </w:p>
    <w:p>
      <w:pPr>
        <w:snapToGrid w:val="0"/>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我方参与</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w:t>
      </w:r>
      <w:r>
        <w:rPr>
          <w:rFonts w:hint="eastAsia" w:cs="宋体" w:asciiTheme="minorEastAsia" w:hAnsiTheme="minorEastAsia" w:eastAsiaTheme="minorEastAsia"/>
          <w:color w:val="auto"/>
          <w:sz w:val="24"/>
        </w:rPr>
        <w:t>政府采购活动，郑重承诺：</w:t>
      </w:r>
    </w:p>
    <w:p>
      <w:pPr>
        <w:snapToGrid w:val="0"/>
        <w:spacing w:line="360" w:lineRule="auto"/>
        <w:ind w:firstLine="360" w:firstLineChars="15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（一）具备《中华人民共和国政府采购法》第二十二条第一款规定的条件：</w:t>
      </w:r>
    </w:p>
    <w:p>
      <w:pPr>
        <w:snapToGrid w:val="0"/>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1、具有独立承担民事责任的能力；</w:t>
      </w:r>
    </w:p>
    <w:p>
      <w:pPr>
        <w:snapToGrid w:val="0"/>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2、具有良好的商业信誉和健全的财务会计制度； </w:t>
      </w:r>
    </w:p>
    <w:p>
      <w:pPr>
        <w:snapToGrid w:val="0"/>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3、具有履行合同所必需的设备和专业技术能力；</w:t>
      </w:r>
    </w:p>
    <w:p>
      <w:pPr>
        <w:snapToGrid w:val="0"/>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4、有依法缴纳税收和社会保障资金的良好记录；</w:t>
      </w:r>
    </w:p>
    <w:p>
      <w:pPr>
        <w:snapToGrid w:val="0"/>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5、参加政府采购活动前三年内，在经营活动中没有重大违法记录；</w:t>
      </w:r>
    </w:p>
    <w:p>
      <w:pPr>
        <w:snapToGrid w:val="0"/>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6、具有法律、行政法规规定的其他条件。</w:t>
      </w:r>
    </w:p>
    <w:p>
      <w:pPr>
        <w:snapToGrid w:val="0"/>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（三）不存在以下情况：</w:t>
      </w:r>
    </w:p>
    <w:p>
      <w:pPr>
        <w:snapToGrid w:val="0"/>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供应商名称(电子签名)：</w:t>
      </w:r>
    </w:p>
    <w:p>
      <w:pPr>
        <w:snapToGrid w:val="0"/>
        <w:spacing w:line="360" w:lineRule="auto"/>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 xml:space="preserve">                        </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日期</w:t>
      </w:r>
      <w:r>
        <w:rPr>
          <w:rFonts w:hint="eastAsia" w:cs="宋体" w:asciiTheme="minorEastAsia" w:hAnsiTheme="minorEastAsia" w:eastAsiaTheme="minorEastAsia"/>
          <w:color w:val="auto"/>
          <w:kern w:val="0"/>
          <w:sz w:val="24"/>
        </w:rPr>
        <w:t xml:space="preserve">：  年  </w:t>
      </w:r>
      <w:r>
        <w:rPr>
          <w:rFonts w:hint="eastAsia" w:cs="宋体" w:asciiTheme="minorEastAsia" w:hAnsiTheme="minorEastAsia" w:eastAsiaTheme="minorEastAsia"/>
          <w:color w:val="auto"/>
          <w:kern w:val="0"/>
          <w:sz w:val="24"/>
          <w:lang w:val="zh-CN"/>
        </w:rPr>
        <w:t>月</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w:t>
      </w:r>
    </w:p>
    <w:p>
      <w:pPr>
        <w:snapToGrid w:val="0"/>
        <w:spacing w:line="360" w:lineRule="auto"/>
        <w:ind w:right="480"/>
        <w:jc w:val="center"/>
        <w:rPr>
          <w:rFonts w:hint="eastAsia" w:cs="仿宋_GB2312" w:asciiTheme="minorEastAsia" w:hAnsiTheme="minorEastAsia" w:eastAsiaTheme="minorEastAsia"/>
          <w:b/>
          <w:color w:val="auto"/>
          <w:kern w:val="0"/>
          <w:sz w:val="32"/>
          <w:szCs w:val="32"/>
        </w:rPr>
      </w:pPr>
    </w:p>
    <w:p>
      <w:pPr>
        <w:widowControl/>
        <w:adjustRightInd/>
        <w:jc w:val="left"/>
        <w:rPr>
          <w:rFonts w:hint="eastAsia"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pPr>
        <w:pStyle w:val="630"/>
        <w:ind w:firstLine="602"/>
        <w:jc w:val="center"/>
        <w:rPr>
          <w:rFonts w:hint="eastAsia" w:asciiTheme="minorEastAsia" w:hAnsiTheme="minorEastAsia" w:eastAsiaTheme="minorEastAsia"/>
          <w:color w:val="auto"/>
          <w:sz w:val="30"/>
          <w:szCs w:val="30"/>
        </w:rPr>
      </w:pPr>
      <w:r>
        <w:rPr>
          <w:rFonts w:hint="eastAsia" w:asciiTheme="minorEastAsia" w:hAnsiTheme="minorEastAsia" w:eastAsiaTheme="minorEastAsia"/>
          <w:color w:val="auto"/>
          <w:sz w:val="30"/>
          <w:szCs w:val="30"/>
        </w:rPr>
        <w:t>B、落实政府采购政策需满足的资格要求</w:t>
      </w:r>
    </w:p>
    <w:p>
      <w:pPr>
        <w:spacing w:line="360" w:lineRule="auto"/>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w:t>
      </w:r>
      <w:r>
        <w:rPr>
          <w:rFonts w:hint="eastAsia" w:cs="宋体" w:asciiTheme="minorEastAsia" w:hAnsiTheme="minorEastAsia" w:eastAsiaTheme="minorEastAsia"/>
          <w:b/>
          <w:bCs/>
          <w:color w:val="auto"/>
          <w:sz w:val="24"/>
        </w:rPr>
        <w:t>磋商文件第一部分竞争性磋商邀请公告中</w:t>
      </w:r>
      <w:r>
        <w:rPr>
          <w:rFonts w:hint="eastAsia" w:cs="宋体" w:asciiTheme="minorEastAsia" w:hAnsiTheme="minorEastAsia" w:eastAsiaTheme="minorEastAsia"/>
          <w:color w:val="auto"/>
          <w:sz w:val="24"/>
        </w:rPr>
        <w:t>落实政府采购政策需满足的资格要求选择提供相应的材料；未要求的，无需提供）</w:t>
      </w:r>
    </w:p>
    <w:p>
      <w:pPr>
        <w:snapToGrid w:val="0"/>
        <w:spacing w:before="50" w:after="50" w:line="360" w:lineRule="auto"/>
        <w:ind w:firstLine="472" w:firstLineChars="196"/>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a</w:t>
      </w:r>
      <w:r>
        <w:rPr>
          <w:rFonts w:hint="eastAsia" w:cs="宋体" w:asciiTheme="minorEastAsia" w:hAnsiTheme="minorEastAsia" w:eastAsiaTheme="minorEastAsia"/>
          <w:color w:val="auto"/>
          <w:sz w:val="24"/>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 xml:space="preserve">）。 </w:t>
      </w:r>
    </w:p>
    <w:p>
      <w:pPr>
        <w:widowControl/>
        <w:spacing w:line="360" w:lineRule="auto"/>
        <w:ind w:firstLine="480"/>
        <w:jc w:val="left"/>
        <w:rPr>
          <w:rFonts w:hint="eastAsia" w:cs="宋体" w:asciiTheme="minorEastAsia" w:hAnsiTheme="minorEastAsia" w:eastAsiaTheme="minorEastAsia"/>
          <w:color w:val="auto"/>
          <w:sz w:val="24"/>
        </w:rPr>
      </w:pPr>
    </w:p>
    <w:p>
      <w:pPr>
        <w:spacing w:line="360" w:lineRule="auto"/>
        <w:jc w:val="center"/>
        <w:rPr>
          <w:rFonts w:hint="eastAsia" w:cs="仿宋_GB2312" w:asciiTheme="minorEastAsia" w:hAnsiTheme="minorEastAsia" w:eastAsiaTheme="minorEastAsia"/>
          <w:b/>
          <w:color w:val="auto"/>
          <w:sz w:val="32"/>
          <w:szCs w:val="32"/>
        </w:rPr>
      </w:pPr>
    </w:p>
    <w:p>
      <w:pPr>
        <w:spacing w:line="360" w:lineRule="auto"/>
        <w:jc w:val="center"/>
        <w:rPr>
          <w:rFonts w:hint="eastAsia" w:cs="仿宋_GB2312" w:asciiTheme="minorEastAsia" w:hAnsiTheme="minorEastAsia" w:eastAsiaTheme="minorEastAsia"/>
          <w:b/>
          <w:color w:val="auto"/>
          <w:sz w:val="32"/>
          <w:szCs w:val="32"/>
        </w:rPr>
      </w:pPr>
    </w:p>
    <w:p>
      <w:pPr>
        <w:widowControl/>
        <w:adjustRightInd/>
        <w:jc w:val="left"/>
        <w:rPr>
          <w:rFonts w:hint="eastAsia" w:asciiTheme="minorEastAsia" w:hAnsiTheme="minorEastAsia" w:eastAsiaTheme="minorEastAsia"/>
          <w:b/>
          <w:color w:val="auto"/>
          <w:sz w:val="30"/>
          <w:szCs w:val="30"/>
        </w:rPr>
      </w:pPr>
      <w:r>
        <w:rPr>
          <w:rFonts w:hint="eastAsia" w:asciiTheme="minorEastAsia" w:hAnsiTheme="minorEastAsia" w:eastAsiaTheme="minorEastAsia"/>
          <w:color w:val="auto"/>
          <w:sz w:val="30"/>
          <w:szCs w:val="30"/>
        </w:rPr>
        <w:br w:type="page"/>
      </w:r>
    </w:p>
    <w:p>
      <w:pPr>
        <w:pStyle w:val="630"/>
        <w:ind w:firstLine="602"/>
        <w:jc w:val="center"/>
        <w:rPr>
          <w:rFonts w:hint="eastAsia" w:asciiTheme="minorEastAsia" w:hAnsiTheme="minorEastAsia" w:eastAsiaTheme="minorEastAsia"/>
          <w:color w:val="auto"/>
          <w:sz w:val="30"/>
          <w:szCs w:val="30"/>
        </w:rPr>
      </w:pPr>
      <w:r>
        <w:rPr>
          <w:rFonts w:hint="eastAsia" w:asciiTheme="minorEastAsia" w:hAnsiTheme="minorEastAsia" w:eastAsiaTheme="minorEastAsia"/>
          <w:color w:val="auto"/>
          <w:sz w:val="30"/>
          <w:szCs w:val="30"/>
        </w:rPr>
        <w:t>C、符合特定资格条件要求的资质文件（复制件）</w:t>
      </w:r>
    </w:p>
    <w:p>
      <w:pPr>
        <w:widowControl/>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（由供应商根据“磋商文件第一部分”中“合格的供应商应具备的特定资格要求”编制；）</w:t>
      </w:r>
    </w:p>
    <w:p>
      <w:pPr>
        <w:spacing w:line="360" w:lineRule="auto"/>
        <w:jc w:val="center"/>
        <w:rPr>
          <w:rFonts w:hint="eastAsia"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①资质部分</w:t>
      </w:r>
    </w:p>
    <w:p>
      <w:pPr>
        <w:spacing w:line="360" w:lineRule="auto"/>
        <w:jc w:val="center"/>
        <w:rPr>
          <w:rFonts w:hint="eastAsia"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供应商基本情况表</w:t>
      </w:r>
    </w:p>
    <w:tbl>
      <w:tblPr>
        <w:tblStyle w:val="60"/>
        <w:tblW w:w="5000" w:type="pct"/>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812"/>
        <w:gridCol w:w="1070"/>
        <w:gridCol w:w="1250"/>
        <w:gridCol w:w="714"/>
        <w:gridCol w:w="535"/>
        <w:gridCol w:w="1248"/>
        <w:gridCol w:w="179"/>
        <w:gridCol w:w="714"/>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trPr>
        <w:tc>
          <w:tcPr>
            <w:tcW w:w="993" w:type="pct"/>
            <w:tcBorders>
              <w:top w:val="single" w:color="auto" w:sz="12" w:space="0"/>
              <w:left w:val="single" w:color="auto" w:sz="12" w:space="0"/>
              <w:bottom w:val="single" w:color="auto" w:sz="6" w:space="0"/>
              <w:right w:val="single" w:color="auto" w:sz="6" w:space="0"/>
            </w:tcBorders>
            <w:vAlign w:val="center"/>
          </w:tcPr>
          <w:p>
            <w:pPr>
              <w:spacing w:line="240" w:lineRule="exact"/>
              <w:jc w:val="center"/>
              <w:rPr>
                <w:color w:val="auto"/>
              </w:rPr>
            </w:pPr>
            <w:r>
              <w:rPr>
                <w:rFonts w:hint="eastAsia" w:ascii="宋体" w:hAnsi="宋体"/>
                <w:color w:val="auto"/>
              </w:rPr>
              <w:t>供应商</w:t>
            </w:r>
            <w:r>
              <w:rPr>
                <w:rFonts w:ascii="宋体" w:hAnsi="宋体"/>
                <w:color w:val="auto"/>
              </w:rPr>
              <w:t>名称</w:t>
            </w:r>
          </w:p>
        </w:tc>
        <w:tc>
          <w:tcPr>
            <w:tcW w:w="4007" w:type="pct"/>
            <w:gridSpan w:val="8"/>
            <w:tcBorders>
              <w:top w:val="single" w:color="auto" w:sz="12" w:space="0"/>
              <w:left w:val="nil"/>
              <w:bottom w:val="single" w:color="auto" w:sz="6" w:space="0"/>
              <w:right w:val="single" w:color="auto" w:sz="12" w:space="0"/>
            </w:tcBorders>
            <w:vAlign w:val="center"/>
          </w:tcPr>
          <w:p>
            <w:pPr>
              <w:spacing w:line="24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trPr>
        <w:tc>
          <w:tcPr>
            <w:tcW w:w="993" w:type="pct"/>
            <w:tcBorders>
              <w:top w:val="single" w:color="auto" w:sz="6" w:space="0"/>
              <w:left w:val="single" w:color="auto" w:sz="12" w:space="0"/>
              <w:bottom w:val="single" w:color="auto" w:sz="6" w:space="0"/>
              <w:right w:val="single" w:color="auto" w:sz="6" w:space="0"/>
            </w:tcBorders>
            <w:vAlign w:val="center"/>
          </w:tcPr>
          <w:p>
            <w:pPr>
              <w:spacing w:line="240" w:lineRule="exact"/>
              <w:jc w:val="center"/>
              <w:rPr>
                <w:color w:val="auto"/>
              </w:rPr>
            </w:pPr>
            <w:r>
              <w:rPr>
                <w:rFonts w:ascii="宋体" w:hAnsi="宋体"/>
                <w:color w:val="auto"/>
              </w:rPr>
              <w:t>注册地址</w:t>
            </w:r>
          </w:p>
        </w:tc>
        <w:tc>
          <w:tcPr>
            <w:tcW w:w="1955" w:type="pct"/>
            <w:gridSpan w:val="4"/>
            <w:tcBorders>
              <w:top w:val="single" w:color="auto" w:sz="6" w:space="0"/>
              <w:left w:val="nil"/>
              <w:bottom w:val="single" w:color="auto" w:sz="6" w:space="0"/>
              <w:right w:val="single" w:color="auto" w:sz="6" w:space="0"/>
            </w:tcBorders>
            <w:vAlign w:val="center"/>
          </w:tcPr>
          <w:p>
            <w:pPr>
              <w:spacing w:line="240" w:lineRule="exact"/>
              <w:jc w:val="center"/>
              <w:rPr>
                <w:color w:val="auto"/>
              </w:rPr>
            </w:pPr>
          </w:p>
        </w:tc>
        <w:tc>
          <w:tcPr>
            <w:tcW w:w="684" w:type="pct"/>
            <w:tcBorders>
              <w:top w:val="single" w:color="auto" w:sz="6" w:space="0"/>
              <w:left w:val="nil"/>
              <w:bottom w:val="single" w:color="auto" w:sz="6" w:space="0"/>
              <w:right w:val="single" w:color="auto" w:sz="6" w:space="0"/>
            </w:tcBorders>
            <w:vAlign w:val="center"/>
          </w:tcPr>
          <w:p>
            <w:pPr>
              <w:spacing w:line="240" w:lineRule="exact"/>
              <w:jc w:val="center"/>
              <w:rPr>
                <w:color w:val="auto"/>
              </w:rPr>
            </w:pPr>
            <w:r>
              <w:rPr>
                <w:rFonts w:ascii="宋体" w:hAnsi="宋体"/>
                <w:color w:val="auto"/>
              </w:rPr>
              <w:t>邮政编码</w:t>
            </w:r>
          </w:p>
        </w:tc>
        <w:tc>
          <w:tcPr>
            <w:tcW w:w="1368" w:type="pct"/>
            <w:gridSpan w:val="3"/>
            <w:tcBorders>
              <w:top w:val="single" w:color="auto" w:sz="6" w:space="0"/>
              <w:left w:val="nil"/>
              <w:bottom w:val="single" w:color="auto" w:sz="6" w:space="0"/>
              <w:right w:val="single" w:color="auto" w:sz="12" w:space="0"/>
            </w:tcBorders>
            <w:vAlign w:val="center"/>
          </w:tcPr>
          <w:p>
            <w:pPr>
              <w:spacing w:line="24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trPr>
        <w:tc>
          <w:tcPr>
            <w:tcW w:w="993" w:type="pct"/>
            <w:vMerge w:val="restart"/>
            <w:tcBorders>
              <w:top w:val="nil"/>
              <w:left w:val="single" w:color="auto" w:sz="12" w:space="0"/>
              <w:bottom w:val="single" w:color="auto" w:sz="6" w:space="0"/>
              <w:right w:val="single" w:color="auto" w:sz="6" w:space="0"/>
            </w:tcBorders>
            <w:vAlign w:val="center"/>
          </w:tcPr>
          <w:p>
            <w:pPr>
              <w:spacing w:line="240" w:lineRule="exact"/>
              <w:jc w:val="center"/>
              <w:rPr>
                <w:color w:val="auto"/>
              </w:rPr>
            </w:pPr>
            <w:r>
              <w:rPr>
                <w:rFonts w:ascii="宋体" w:hAnsi="宋体"/>
                <w:color w:val="auto"/>
              </w:rPr>
              <w:t>联系方式</w:t>
            </w:r>
          </w:p>
        </w:tc>
        <w:tc>
          <w:tcPr>
            <w:tcW w:w="586" w:type="pct"/>
            <w:tcBorders>
              <w:top w:val="single" w:color="auto" w:sz="6" w:space="0"/>
              <w:left w:val="nil"/>
              <w:bottom w:val="single" w:color="auto" w:sz="6" w:space="0"/>
              <w:right w:val="single" w:color="auto" w:sz="6" w:space="0"/>
            </w:tcBorders>
            <w:vAlign w:val="center"/>
          </w:tcPr>
          <w:p>
            <w:pPr>
              <w:spacing w:line="240" w:lineRule="exact"/>
              <w:jc w:val="center"/>
              <w:rPr>
                <w:color w:val="auto"/>
              </w:rPr>
            </w:pPr>
            <w:r>
              <w:rPr>
                <w:rFonts w:ascii="宋体" w:hAnsi="宋体"/>
                <w:color w:val="auto"/>
              </w:rPr>
              <w:t>联系人</w:t>
            </w:r>
          </w:p>
        </w:tc>
        <w:tc>
          <w:tcPr>
            <w:tcW w:w="1369" w:type="pct"/>
            <w:gridSpan w:val="3"/>
            <w:tcBorders>
              <w:top w:val="single" w:color="auto" w:sz="6" w:space="0"/>
              <w:left w:val="nil"/>
              <w:bottom w:val="single" w:color="auto" w:sz="6" w:space="0"/>
              <w:right w:val="single" w:color="auto" w:sz="6" w:space="0"/>
            </w:tcBorders>
            <w:vAlign w:val="center"/>
          </w:tcPr>
          <w:p>
            <w:pPr>
              <w:spacing w:line="240" w:lineRule="exact"/>
              <w:jc w:val="center"/>
              <w:rPr>
                <w:color w:val="auto"/>
              </w:rPr>
            </w:pPr>
          </w:p>
        </w:tc>
        <w:tc>
          <w:tcPr>
            <w:tcW w:w="684" w:type="pct"/>
            <w:tcBorders>
              <w:top w:val="single" w:color="auto" w:sz="6" w:space="0"/>
              <w:left w:val="nil"/>
              <w:bottom w:val="single" w:color="auto" w:sz="6" w:space="0"/>
              <w:right w:val="single" w:color="auto" w:sz="6" w:space="0"/>
            </w:tcBorders>
            <w:vAlign w:val="center"/>
          </w:tcPr>
          <w:p>
            <w:pPr>
              <w:spacing w:line="240" w:lineRule="exact"/>
              <w:jc w:val="center"/>
              <w:rPr>
                <w:color w:val="auto"/>
              </w:rPr>
            </w:pPr>
            <w:r>
              <w:rPr>
                <w:rFonts w:ascii="宋体" w:hAnsi="宋体"/>
                <w:color w:val="auto"/>
              </w:rPr>
              <w:t>电</w:t>
            </w:r>
            <w:r>
              <w:rPr>
                <w:color w:val="auto"/>
              </w:rPr>
              <w:t xml:space="preserve">  </w:t>
            </w:r>
            <w:r>
              <w:rPr>
                <w:rFonts w:ascii="宋体" w:hAnsi="宋体"/>
                <w:color w:val="auto"/>
              </w:rPr>
              <w:t>话</w:t>
            </w:r>
          </w:p>
        </w:tc>
        <w:tc>
          <w:tcPr>
            <w:tcW w:w="1368" w:type="pct"/>
            <w:gridSpan w:val="3"/>
            <w:tcBorders>
              <w:top w:val="single" w:color="auto" w:sz="6" w:space="0"/>
              <w:left w:val="nil"/>
              <w:bottom w:val="single" w:color="auto" w:sz="6" w:space="0"/>
              <w:right w:val="single" w:color="auto" w:sz="12" w:space="0"/>
            </w:tcBorders>
            <w:vAlign w:val="center"/>
          </w:tcPr>
          <w:p>
            <w:pPr>
              <w:spacing w:line="24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trPr>
        <w:tc>
          <w:tcPr>
            <w:tcW w:w="0" w:type="auto"/>
            <w:vMerge w:val="continue"/>
            <w:tcBorders>
              <w:top w:val="nil"/>
              <w:left w:val="single" w:color="auto" w:sz="12" w:space="0"/>
              <w:bottom w:val="single" w:color="auto" w:sz="6" w:space="0"/>
              <w:right w:val="single" w:color="auto" w:sz="6" w:space="0"/>
            </w:tcBorders>
            <w:vAlign w:val="center"/>
          </w:tcPr>
          <w:p>
            <w:pPr>
              <w:widowControl/>
              <w:jc w:val="left"/>
              <w:rPr>
                <w:color w:val="auto"/>
                <w:szCs w:val="21"/>
              </w:rPr>
            </w:pPr>
          </w:p>
        </w:tc>
        <w:tc>
          <w:tcPr>
            <w:tcW w:w="586" w:type="pct"/>
            <w:tcBorders>
              <w:top w:val="single" w:color="auto" w:sz="6" w:space="0"/>
              <w:left w:val="nil"/>
              <w:bottom w:val="single" w:color="auto" w:sz="6" w:space="0"/>
              <w:right w:val="single" w:color="auto" w:sz="6" w:space="0"/>
            </w:tcBorders>
            <w:vAlign w:val="center"/>
          </w:tcPr>
          <w:p>
            <w:pPr>
              <w:spacing w:line="240" w:lineRule="exact"/>
              <w:jc w:val="center"/>
              <w:rPr>
                <w:color w:val="auto"/>
              </w:rPr>
            </w:pPr>
            <w:r>
              <w:rPr>
                <w:rFonts w:ascii="宋体" w:hAnsi="宋体"/>
                <w:color w:val="auto"/>
              </w:rPr>
              <w:t>传真</w:t>
            </w:r>
          </w:p>
        </w:tc>
        <w:tc>
          <w:tcPr>
            <w:tcW w:w="1369" w:type="pct"/>
            <w:gridSpan w:val="3"/>
            <w:tcBorders>
              <w:top w:val="single" w:color="auto" w:sz="6" w:space="0"/>
              <w:left w:val="nil"/>
              <w:bottom w:val="single" w:color="auto" w:sz="6" w:space="0"/>
              <w:right w:val="single" w:color="auto" w:sz="6" w:space="0"/>
            </w:tcBorders>
            <w:vAlign w:val="center"/>
          </w:tcPr>
          <w:p>
            <w:pPr>
              <w:spacing w:line="240" w:lineRule="exact"/>
              <w:jc w:val="center"/>
              <w:rPr>
                <w:color w:val="auto"/>
              </w:rPr>
            </w:pPr>
          </w:p>
        </w:tc>
        <w:tc>
          <w:tcPr>
            <w:tcW w:w="684" w:type="pct"/>
            <w:tcBorders>
              <w:top w:val="single" w:color="auto" w:sz="6" w:space="0"/>
              <w:left w:val="nil"/>
              <w:bottom w:val="single" w:color="auto" w:sz="6" w:space="0"/>
              <w:right w:val="single" w:color="auto" w:sz="6" w:space="0"/>
            </w:tcBorders>
            <w:vAlign w:val="center"/>
          </w:tcPr>
          <w:p>
            <w:pPr>
              <w:spacing w:line="240" w:lineRule="exact"/>
              <w:jc w:val="center"/>
              <w:rPr>
                <w:color w:val="auto"/>
              </w:rPr>
            </w:pPr>
            <w:r>
              <w:rPr>
                <w:rFonts w:ascii="宋体" w:hAnsi="宋体"/>
                <w:color w:val="auto"/>
              </w:rPr>
              <w:t>电子邮件</w:t>
            </w:r>
          </w:p>
        </w:tc>
        <w:tc>
          <w:tcPr>
            <w:tcW w:w="1368" w:type="pct"/>
            <w:gridSpan w:val="3"/>
            <w:tcBorders>
              <w:top w:val="single" w:color="auto" w:sz="6" w:space="0"/>
              <w:left w:val="nil"/>
              <w:bottom w:val="single" w:color="auto" w:sz="6" w:space="0"/>
              <w:right w:val="single" w:color="auto" w:sz="12" w:space="0"/>
            </w:tcBorders>
            <w:vAlign w:val="center"/>
          </w:tcPr>
          <w:p>
            <w:pPr>
              <w:spacing w:line="24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trPr>
        <w:tc>
          <w:tcPr>
            <w:tcW w:w="993" w:type="pct"/>
            <w:tcBorders>
              <w:top w:val="single" w:color="auto" w:sz="6" w:space="0"/>
              <w:left w:val="single" w:color="auto" w:sz="12" w:space="0"/>
              <w:bottom w:val="single" w:color="auto" w:sz="6" w:space="0"/>
              <w:right w:val="single" w:color="auto" w:sz="6" w:space="0"/>
            </w:tcBorders>
            <w:vAlign w:val="center"/>
          </w:tcPr>
          <w:p>
            <w:pPr>
              <w:spacing w:line="240" w:lineRule="exact"/>
              <w:jc w:val="center"/>
              <w:rPr>
                <w:color w:val="auto"/>
              </w:rPr>
            </w:pPr>
            <w:r>
              <w:rPr>
                <w:rFonts w:ascii="宋体" w:hAnsi="宋体"/>
                <w:color w:val="auto"/>
              </w:rPr>
              <w:t>法定代表人</w:t>
            </w:r>
          </w:p>
        </w:tc>
        <w:tc>
          <w:tcPr>
            <w:tcW w:w="586" w:type="pct"/>
            <w:tcBorders>
              <w:top w:val="single" w:color="auto" w:sz="6" w:space="0"/>
              <w:left w:val="nil"/>
              <w:bottom w:val="single" w:color="auto" w:sz="6" w:space="0"/>
              <w:right w:val="single" w:color="auto" w:sz="6" w:space="0"/>
            </w:tcBorders>
            <w:vAlign w:val="center"/>
          </w:tcPr>
          <w:p>
            <w:pPr>
              <w:spacing w:line="240" w:lineRule="exact"/>
              <w:jc w:val="center"/>
              <w:rPr>
                <w:color w:val="auto"/>
              </w:rPr>
            </w:pPr>
            <w:r>
              <w:rPr>
                <w:rFonts w:ascii="宋体" w:hAnsi="宋体"/>
                <w:color w:val="auto"/>
              </w:rPr>
              <w:t>姓名</w:t>
            </w:r>
          </w:p>
        </w:tc>
        <w:tc>
          <w:tcPr>
            <w:tcW w:w="685" w:type="pct"/>
            <w:tcBorders>
              <w:top w:val="single" w:color="auto" w:sz="6" w:space="0"/>
              <w:left w:val="nil"/>
              <w:bottom w:val="single" w:color="auto" w:sz="6" w:space="0"/>
              <w:right w:val="single" w:color="auto" w:sz="6" w:space="0"/>
            </w:tcBorders>
            <w:vAlign w:val="center"/>
          </w:tcPr>
          <w:p>
            <w:pPr>
              <w:spacing w:line="240" w:lineRule="exact"/>
              <w:jc w:val="center"/>
              <w:rPr>
                <w:color w:val="auto"/>
              </w:rPr>
            </w:pPr>
          </w:p>
        </w:tc>
        <w:tc>
          <w:tcPr>
            <w:tcW w:w="684" w:type="pct"/>
            <w:gridSpan w:val="2"/>
            <w:tcBorders>
              <w:top w:val="single" w:color="auto" w:sz="6" w:space="0"/>
              <w:left w:val="nil"/>
              <w:bottom w:val="single" w:color="auto" w:sz="6" w:space="0"/>
              <w:right w:val="single" w:color="auto" w:sz="6" w:space="0"/>
            </w:tcBorders>
            <w:vAlign w:val="center"/>
          </w:tcPr>
          <w:p>
            <w:pPr>
              <w:spacing w:line="240" w:lineRule="exact"/>
              <w:jc w:val="center"/>
              <w:rPr>
                <w:color w:val="auto"/>
              </w:rPr>
            </w:pPr>
            <w:r>
              <w:rPr>
                <w:rFonts w:ascii="宋体" w:hAnsi="宋体"/>
                <w:color w:val="auto"/>
              </w:rPr>
              <w:t>技术职称</w:t>
            </w:r>
          </w:p>
        </w:tc>
        <w:tc>
          <w:tcPr>
            <w:tcW w:w="782" w:type="pct"/>
            <w:gridSpan w:val="2"/>
            <w:tcBorders>
              <w:top w:val="single" w:color="auto" w:sz="6" w:space="0"/>
              <w:left w:val="nil"/>
              <w:bottom w:val="single" w:color="auto" w:sz="6" w:space="0"/>
              <w:right w:val="single" w:color="auto" w:sz="6" w:space="0"/>
            </w:tcBorders>
            <w:vAlign w:val="center"/>
          </w:tcPr>
          <w:p>
            <w:pPr>
              <w:spacing w:line="240" w:lineRule="exact"/>
              <w:jc w:val="center"/>
              <w:rPr>
                <w:color w:val="auto"/>
              </w:rPr>
            </w:pPr>
          </w:p>
        </w:tc>
        <w:tc>
          <w:tcPr>
            <w:tcW w:w="391" w:type="pct"/>
            <w:tcBorders>
              <w:top w:val="single" w:color="auto" w:sz="6" w:space="0"/>
              <w:left w:val="nil"/>
              <w:bottom w:val="single" w:color="auto" w:sz="6" w:space="0"/>
              <w:right w:val="single" w:color="auto" w:sz="6" w:space="0"/>
            </w:tcBorders>
            <w:vAlign w:val="center"/>
          </w:tcPr>
          <w:p>
            <w:pPr>
              <w:spacing w:line="240" w:lineRule="exact"/>
              <w:jc w:val="center"/>
              <w:rPr>
                <w:color w:val="auto"/>
              </w:rPr>
            </w:pPr>
            <w:r>
              <w:rPr>
                <w:rFonts w:ascii="宋体" w:hAnsi="宋体"/>
                <w:color w:val="auto"/>
              </w:rPr>
              <w:t>电话</w:t>
            </w:r>
          </w:p>
        </w:tc>
        <w:tc>
          <w:tcPr>
            <w:tcW w:w="879" w:type="pct"/>
            <w:tcBorders>
              <w:top w:val="single" w:color="auto" w:sz="6" w:space="0"/>
              <w:left w:val="nil"/>
              <w:bottom w:val="single" w:color="auto" w:sz="6" w:space="0"/>
              <w:right w:val="single" w:color="auto" w:sz="12" w:space="0"/>
            </w:tcBorders>
            <w:vAlign w:val="center"/>
          </w:tcPr>
          <w:p>
            <w:pPr>
              <w:spacing w:line="24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trPr>
        <w:tc>
          <w:tcPr>
            <w:tcW w:w="993" w:type="pct"/>
            <w:tcBorders>
              <w:top w:val="single" w:color="auto" w:sz="6" w:space="0"/>
              <w:left w:val="single" w:color="auto" w:sz="12" w:space="0"/>
              <w:bottom w:val="single" w:color="auto" w:sz="6" w:space="0"/>
              <w:right w:val="single" w:color="auto" w:sz="6" w:space="0"/>
            </w:tcBorders>
            <w:vAlign w:val="center"/>
          </w:tcPr>
          <w:p>
            <w:pPr>
              <w:spacing w:line="240" w:lineRule="exact"/>
              <w:jc w:val="center"/>
              <w:rPr>
                <w:color w:val="auto"/>
              </w:rPr>
            </w:pPr>
            <w:r>
              <w:rPr>
                <w:rFonts w:ascii="宋体" w:hAnsi="宋体"/>
                <w:color w:val="auto"/>
              </w:rPr>
              <w:t>技术负责人</w:t>
            </w:r>
          </w:p>
        </w:tc>
        <w:tc>
          <w:tcPr>
            <w:tcW w:w="586" w:type="pct"/>
            <w:tcBorders>
              <w:top w:val="single" w:color="auto" w:sz="6" w:space="0"/>
              <w:left w:val="nil"/>
              <w:bottom w:val="single" w:color="auto" w:sz="6" w:space="0"/>
              <w:right w:val="single" w:color="auto" w:sz="6" w:space="0"/>
            </w:tcBorders>
            <w:vAlign w:val="center"/>
          </w:tcPr>
          <w:p>
            <w:pPr>
              <w:spacing w:line="240" w:lineRule="exact"/>
              <w:jc w:val="center"/>
              <w:rPr>
                <w:color w:val="auto"/>
              </w:rPr>
            </w:pPr>
            <w:r>
              <w:rPr>
                <w:rFonts w:ascii="宋体" w:hAnsi="宋体"/>
                <w:color w:val="auto"/>
              </w:rPr>
              <w:t>姓名</w:t>
            </w:r>
          </w:p>
        </w:tc>
        <w:tc>
          <w:tcPr>
            <w:tcW w:w="685" w:type="pct"/>
            <w:tcBorders>
              <w:top w:val="single" w:color="auto" w:sz="6" w:space="0"/>
              <w:left w:val="nil"/>
              <w:bottom w:val="single" w:color="auto" w:sz="6" w:space="0"/>
              <w:right w:val="single" w:color="auto" w:sz="6" w:space="0"/>
            </w:tcBorders>
            <w:vAlign w:val="center"/>
          </w:tcPr>
          <w:p>
            <w:pPr>
              <w:spacing w:line="240" w:lineRule="exact"/>
              <w:jc w:val="center"/>
              <w:rPr>
                <w:color w:val="auto"/>
              </w:rPr>
            </w:pPr>
          </w:p>
        </w:tc>
        <w:tc>
          <w:tcPr>
            <w:tcW w:w="684" w:type="pct"/>
            <w:gridSpan w:val="2"/>
            <w:tcBorders>
              <w:top w:val="single" w:color="auto" w:sz="6" w:space="0"/>
              <w:left w:val="nil"/>
              <w:bottom w:val="single" w:color="auto" w:sz="6" w:space="0"/>
              <w:right w:val="single" w:color="auto" w:sz="6" w:space="0"/>
            </w:tcBorders>
            <w:vAlign w:val="center"/>
          </w:tcPr>
          <w:p>
            <w:pPr>
              <w:spacing w:line="240" w:lineRule="exact"/>
              <w:jc w:val="center"/>
              <w:rPr>
                <w:color w:val="auto"/>
              </w:rPr>
            </w:pPr>
            <w:r>
              <w:rPr>
                <w:rFonts w:ascii="宋体" w:hAnsi="宋体"/>
                <w:color w:val="auto"/>
              </w:rPr>
              <w:t>技术职称</w:t>
            </w:r>
          </w:p>
        </w:tc>
        <w:tc>
          <w:tcPr>
            <w:tcW w:w="782" w:type="pct"/>
            <w:gridSpan w:val="2"/>
            <w:tcBorders>
              <w:top w:val="single" w:color="auto" w:sz="6" w:space="0"/>
              <w:left w:val="nil"/>
              <w:bottom w:val="single" w:color="auto" w:sz="6" w:space="0"/>
              <w:right w:val="single" w:color="auto" w:sz="6" w:space="0"/>
            </w:tcBorders>
            <w:vAlign w:val="center"/>
          </w:tcPr>
          <w:p>
            <w:pPr>
              <w:spacing w:line="240" w:lineRule="exact"/>
              <w:jc w:val="center"/>
              <w:rPr>
                <w:color w:val="auto"/>
              </w:rPr>
            </w:pPr>
          </w:p>
        </w:tc>
        <w:tc>
          <w:tcPr>
            <w:tcW w:w="391" w:type="pct"/>
            <w:tcBorders>
              <w:top w:val="single" w:color="auto" w:sz="6" w:space="0"/>
              <w:left w:val="nil"/>
              <w:bottom w:val="single" w:color="auto" w:sz="6" w:space="0"/>
              <w:right w:val="single" w:color="auto" w:sz="6" w:space="0"/>
            </w:tcBorders>
            <w:vAlign w:val="center"/>
          </w:tcPr>
          <w:p>
            <w:pPr>
              <w:spacing w:line="240" w:lineRule="exact"/>
              <w:jc w:val="center"/>
              <w:rPr>
                <w:color w:val="auto"/>
              </w:rPr>
            </w:pPr>
            <w:r>
              <w:rPr>
                <w:rFonts w:ascii="宋体" w:hAnsi="宋体"/>
                <w:color w:val="auto"/>
              </w:rPr>
              <w:t>电话</w:t>
            </w:r>
          </w:p>
        </w:tc>
        <w:tc>
          <w:tcPr>
            <w:tcW w:w="879" w:type="pct"/>
            <w:tcBorders>
              <w:top w:val="single" w:color="auto" w:sz="6" w:space="0"/>
              <w:left w:val="nil"/>
              <w:bottom w:val="single" w:color="auto" w:sz="6" w:space="0"/>
              <w:right w:val="single" w:color="auto" w:sz="12" w:space="0"/>
            </w:tcBorders>
            <w:vAlign w:val="center"/>
          </w:tcPr>
          <w:p>
            <w:pPr>
              <w:spacing w:line="24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trPr>
        <w:tc>
          <w:tcPr>
            <w:tcW w:w="993" w:type="pct"/>
            <w:tcBorders>
              <w:top w:val="single" w:color="auto" w:sz="6" w:space="0"/>
              <w:left w:val="single" w:color="auto" w:sz="12" w:space="0"/>
              <w:bottom w:val="single" w:color="auto" w:sz="6" w:space="0"/>
              <w:right w:val="single" w:color="auto" w:sz="6" w:space="0"/>
            </w:tcBorders>
            <w:vAlign w:val="center"/>
          </w:tcPr>
          <w:p>
            <w:pPr>
              <w:spacing w:line="240" w:lineRule="exact"/>
              <w:jc w:val="center"/>
              <w:rPr>
                <w:color w:val="auto"/>
              </w:rPr>
            </w:pPr>
            <w:r>
              <w:rPr>
                <w:rFonts w:ascii="宋体" w:hAnsi="宋体"/>
                <w:color w:val="auto"/>
              </w:rPr>
              <w:t>成立时间</w:t>
            </w:r>
          </w:p>
        </w:tc>
        <w:tc>
          <w:tcPr>
            <w:tcW w:w="1271" w:type="pct"/>
            <w:gridSpan w:val="2"/>
            <w:tcBorders>
              <w:top w:val="single" w:color="auto" w:sz="6" w:space="0"/>
              <w:left w:val="nil"/>
              <w:bottom w:val="single" w:color="auto" w:sz="6" w:space="0"/>
              <w:right w:val="single" w:color="auto" w:sz="6" w:space="0"/>
            </w:tcBorders>
            <w:vAlign w:val="center"/>
          </w:tcPr>
          <w:p>
            <w:pPr>
              <w:spacing w:line="240" w:lineRule="exact"/>
              <w:jc w:val="center"/>
              <w:rPr>
                <w:color w:val="auto"/>
              </w:rPr>
            </w:pPr>
          </w:p>
        </w:tc>
        <w:tc>
          <w:tcPr>
            <w:tcW w:w="2736" w:type="pct"/>
            <w:gridSpan w:val="6"/>
            <w:tcBorders>
              <w:top w:val="single" w:color="auto" w:sz="6" w:space="0"/>
              <w:left w:val="nil"/>
              <w:bottom w:val="single" w:color="auto" w:sz="6" w:space="0"/>
              <w:right w:val="single" w:color="auto" w:sz="12" w:space="0"/>
            </w:tcBorders>
            <w:vAlign w:val="center"/>
          </w:tcPr>
          <w:p>
            <w:pPr>
              <w:spacing w:line="240" w:lineRule="exact"/>
              <w:jc w:val="center"/>
              <w:rPr>
                <w:color w:val="auto"/>
              </w:rPr>
            </w:pPr>
            <w:r>
              <w:rPr>
                <w:rFonts w:ascii="宋体" w:hAnsi="宋体"/>
                <w:color w:val="auto"/>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trPr>
        <w:tc>
          <w:tcPr>
            <w:tcW w:w="993" w:type="pct"/>
            <w:tcBorders>
              <w:top w:val="single" w:color="auto" w:sz="6" w:space="0"/>
              <w:left w:val="single" w:color="auto" w:sz="12" w:space="0"/>
              <w:bottom w:val="single" w:color="auto" w:sz="6" w:space="0"/>
              <w:right w:val="single" w:color="auto" w:sz="6" w:space="0"/>
            </w:tcBorders>
            <w:vAlign w:val="center"/>
          </w:tcPr>
          <w:p>
            <w:pPr>
              <w:spacing w:line="240" w:lineRule="exact"/>
              <w:jc w:val="center"/>
              <w:rPr>
                <w:color w:val="auto"/>
              </w:rPr>
            </w:pPr>
            <w:r>
              <w:rPr>
                <w:rFonts w:ascii="宋体" w:hAnsi="宋体"/>
                <w:color w:val="auto"/>
              </w:rPr>
              <w:t>试验检测等级</w:t>
            </w:r>
          </w:p>
        </w:tc>
        <w:tc>
          <w:tcPr>
            <w:tcW w:w="1271" w:type="pct"/>
            <w:gridSpan w:val="2"/>
            <w:tcBorders>
              <w:top w:val="single" w:color="auto" w:sz="6" w:space="0"/>
              <w:left w:val="nil"/>
              <w:bottom w:val="single" w:color="auto" w:sz="6" w:space="0"/>
              <w:right w:val="single" w:color="auto" w:sz="6" w:space="0"/>
            </w:tcBorders>
            <w:vAlign w:val="center"/>
          </w:tcPr>
          <w:p>
            <w:pPr>
              <w:spacing w:line="240" w:lineRule="exact"/>
              <w:jc w:val="center"/>
              <w:rPr>
                <w:color w:val="auto"/>
              </w:rPr>
            </w:pPr>
          </w:p>
        </w:tc>
        <w:tc>
          <w:tcPr>
            <w:tcW w:w="391" w:type="pct"/>
            <w:vMerge w:val="restart"/>
            <w:tcBorders>
              <w:top w:val="nil"/>
              <w:left w:val="nil"/>
              <w:bottom w:val="single" w:color="auto" w:sz="6" w:space="0"/>
              <w:right w:val="single" w:color="auto" w:sz="6" w:space="0"/>
            </w:tcBorders>
            <w:vAlign w:val="center"/>
          </w:tcPr>
          <w:p>
            <w:pPr>
              <w:spacing w:line="240" w:lineRule="exact"/>
              <w:jc w:val="center"/>
              <w:rPr>
                <w:color w:val="auto"/>
              </w:rPr>
            </w:pPr>
            <w:r>
              <w:rPr>
                <w:rFonts w:ascii="宋体" w:hAnsi="宋体"/>
                <w:color w:val="auto"/>
              </w:rPr>
              <w:t>其中</w:t>
            </w:r>
          </w:p>
        </w:tc>
        <w:tc>
          <w:tcPr>
            <w:tcW w:w="1075" w:type="pct"/>
            <w:gridSpan w:val="3"/>
            <w:tcBorders>
              <w:top w:val="single" w:color="auto" w:sz="6" w:space="0"/>
              <w:left w:val="nil"/>
              <w:bottom w:val="single" w:color="auto" w:sz="6" w:space="0"/>
              <w:right w:val="single" w:color="auto" w:sz="6" w:space="0"/>
            </w:tcBorders>
            <w:vAlign w:val="center"/>
          </w:tcPr>
          <w:p>
            <w:pPr>
              <w:spacing w:line="240" w:lineRule="exact"/>
              <w:jc w:val="center"/>
              <w:rPr>
                <w:color w:val="auto"/>
              </w:rPr>
            </w:pPr>
            <w:r>
              <w:rPr>
                <w:rFonts w:ascii="宋体" w:hAnsi="宋体"/>
                <w:color w:val="auto"/>
              </w:rPr>
              <w:t>高级职称</w:t>
            </w:r>
          </w:p>
        </w:tc>
        <w:tc>
          <w:tcPr>
            <w:tcW w:w="1270" w:type="pct"/>
            <w:gridSpan w:val="2"/>
            <w:tcBorders>
              <w:top w:val="single" w:color="auto" w:sz="6" w:space="0"/>
              <w:left w:val="nil"/>
              <w:bottom w:val="single" w:color="auto" w:sz="6" w:space="0"/>
              <w:right w:val="single" w:color="auto" w:sz="12" w:space="0"/>
            </w:tcBorders>
            <w:vAlign w:val="center"/>
          </w:tcPr>
          <w:p>
            <w:pPr>
              <w:spacing w:line="24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trPr>
        <w:tc>
          <w:tcPr>
            <w:tcW w:w="993" w:type="pct"/>
            <w:tcBorders>
              <w:top w:val="single" w:color="auto" w:sz="6" w:space="0"/>
              <w:left w:val="single" w:color="auto" w:sz="12" w:space="0"/>
              <w:bottom w:val="single" w:color="auto" w:sz="6" w:space="0"/>
              <w:right w:val="single" w:color="auto" w:sz="6" w:space="0"/>
            </w:tcBorders>
            <w:vAlign w:val="center"/>
          </w:tcPr>
          <w:p>
            <w:pPr>
              <w:spacing w:line="240" w:lineRule="exact"/>
              <w:jc w:val="center"/>
              <w:rPr>
                <w:color w:val="auto"/>
              </w:rPr>
            </w:pPr>
            <w:r>
              <w:rPr>
                <w:rFonts w:ascii="宋体" w:hAnsi="宋体"/>
                <w:color w:val="auto"/>
              </w:rPr>
              <w:t>资质认定证书号</w:t>
            </w:r>
          </w:p>
        </w:tc>
        <w:tc>
          <w:tcPr>
            <w:tcW w:w="1271" w:type="pct"/>
            <w:gridSpan w:val="2"/>
            <w:tcBorders>
              <w:top w:val="single" w:color="auto" w:sz="6" w:space="0"/>
              <w:left w:val="nil"/>
              <w:bottom w:val="single" w:color="auto" w:sz="6" w:space="0"/>
              <w:right w:val="single" w:color="auto" w:sz="6" w:space="0"/>
            </w:tcBorders>
            <w:vAlign w:val="center"/>
          </w:tcPr>
          <w:p>
            <w:pPr>
              <w:spacing w:line="240" w:lineRule="exact"/>
              <w:jc w:val="center"/>
              <w:rPr>
                <w:color w:val="auto"/>
              </w:rPr>
            </w:pPr>
          </w:p>
        </w:tc>
        <w:tc>
          <w:tcPr>
            <w:tcW w:w="0" w:type="auto"/>
            <w:vMerge w:val="continue"/>
            <w:tcBorders>
              <w:top w:val="nil"/>
              <w:left w:val="nil"/>
              <w:bottom w:val="single" w:color="auto" w:sz="6" w:space="0"/>
              <w:right w:val="single" w:color="auto" w:sz="6" w:space="0"/>
            </w:tcBorders>
            <w:vAlign w:val="center"/>
          </w:tcPr>
          <w:p>
            <w:pPr>
              <w:widowControl/>
              <w:jc w:val="left"/>
              <w:rPr>
                <w:color w:val="auto"/>
                <w:szCs w:val="21"/>
              </w:rPr>
            </w:pPr>
          </w:p>
        </w:tc>
        <w:tc>
          <w:tcPr>
            <w:tcW w:w="1075" w:type="pct"/>
            <w:gridSpan w:val="3"/>
            <w:tcBorders>
              <w:top w:val="single" w:color="auto" w:sz="6" w:space="0"/>
              <w:left w:val="nil"/>
              <w:bottom w:val="single" w:color="auto" w:sz="6" w:space="0"/>
              <w:right w:val="single" w:color="auto" w:sz="6" w:space="0"/>
            </w:tcBorders>
            <w:vAlign w:val="center"/>
          </w:tcPr>
          <w:p>
            <w:pPr>
              <w:spacing w:line="240" w:lineRule="exact"/>
              <w:jc w:val="center"/>
              <w:rPr>
                <w:color w:val="auto"/>
              </w:rPr>
            </w:pPr>
            <w:r>
              <w:rPr>
                <w:rFonts w:ascii="宋体" w:hAnsi="宋体"/>
                <w:color w:val="auto"/>
              </w:rPr>
              <w:t>中级职称</w:t>
            </w:r>
          </w:p>
        </w:tc>
        <w:tc>
          <w:tcPr>
            <w:tcW w:w="1270" w:type="pct"/>
            <w:gridSpan w:val="2"/>
            <w:tcBorders>
              <w:top w:val="single" w:color="auto" w:sz="6" w:space="0"/>
              <w:left w:val="nil"/>
              <w:bottom w:val="single" w:color="auto" w:sz="6" w:space="0"/>
              <w:right w:val="single" w:color="auto" w:sz="12" w:space="0"/>
            </w:tcBorders>
            <w:vAlign w:val="center"/>
          </w:tcPr>
          <w:p>
            <w:pPr>
              <w:spacing w:line="24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trPr>
        <w:tc>
          <w:tcPr>
            <w:tcW w:w="993" w:type="pct"/>
            <w:tcBorders>
              <w:top w:val="single" w:color="auto" w:sz="6" w:space="0"/>
              <w:left w:val="single" w:color="auto" w:sz="12" w:space="0"/>
              <w:bottom w:val="single" w:color="auto" w:sz="4" w:space="0"/>
              <w:right w:val="single" w:color="auto" w:sz="6" w:space="0"/>
            </w:tcBorders>
            <w:vAlign w:val="center"/>
          </w:tcPr>
          <w:p>
            <w:pPr>
              <w:spacing w:line="240" w:lineRule="exact"/>
              <w:jc w:val="center"/>
              <w:rPr>
                <w:color w:val="auto"/>
              </w:rPr>
            </w:pPr>
            <w:r>
              <w:rPr>
                <w:rFonts w:ascii="宋体" w:hAnsi="宋体"/>
                <w:color w:val="auto"/>
              </w:rPr>
              <w:t>营业执照（法人证书）号</w:t>
            </w:r>
          </w:p>
        </w:tc>
        <w:tc>
          <w:tcPr>
            <w:tcW w:w="1271" w:type="pct"/>
            <w:gridSpan w:val="2"/>
            <w:tcBorders>
              <w:top w:val="single" w:color="auto" w:sz="6" w:space="0"/>
              <w:left w:val="nil"/>
              <w:bottom w:val="single" w:color="auto" w:sz="4" w:space="0"/>
              <w:right w:val="single" w:color="auto" w:sz="6" w:space="0"/>
            </w:tcBorders>
            <w:vAlign w:val="center"/>
          </w:tcPr>
          <w:p>
            <w:pPr>
              <w:spacing w:line="240" w:lineRule="exact"/>
              <w:jc w:val="center"/>
              <w:rPr>
                <w:color w:val="auto"/>
              </w:rPr>
            </w:pPr>
          </w:p>
        </w:tc>
        <w:tc>
          <w:tcPr>
            <w:tcW w:w="0" w:type="auto"/>
            <w:vMerge w:val="continue"/>
            <w:tcBorders>
              <w:top w:val="nil"/>
              <w:left w:val="nil"/>
              <w:bottom w:val="single" w:color="auto" w:sz="6" w:space="0"/>
              <w:right w:val="single" w:color="auto" w:sz="6" w:space="0"/>
            </w:tcBorders>
            <w:vAlign w:val="center"/>
          </w:tcPr>
          <w:p>
            <w:pPr>
              <w:widowControl/>
              <w:jc w:val="left"/>
              <w:rPr>
                <w:color w:val="auto"/>
                <w:szCs w:val="21"/>
              </w:rPr>
            </w:pPr>
          </w:p>
        </w:tc>
        <w:tc>
          <w:tcPr>
            <w:tcW w:w="1075" w:type="pct"/>
            <w:gridSpan w:val="3"/>
            <w:tcBorders>
              <w:top w:val="single" w:color="auto" w:sz="6" w:space="0"/>
              <w:left w:val="nil"/>
              <w:bottom w:val="single" w:color="auto" w:sz="4" w:space="0"/>
              <w:right w:val="single" w:color="auto" w:sz="6" w:space="0"/>
            </w:tcBorders>
            <w:vAlign w:val="center"/>
          </w:tcPr>
          <w:p>
            <w:pPr>
              <w:spacing w:line="240" w:lineRule="exact"/>
              <w:jc w:val="center"/>
              <w:rPr>
                <w:color w:val="auto"/>
              </w:rPr>
            </w:pPr>
            <w:r>
              <w:rPr>
                <w:rFonts w:ascii="宋体" w:hAnsi="宋体"/>
                <w:color w:val="auto"/>
              </w:rPr>
              <w:t>各类注册人员</w:t>
            </w:r>
          </w:p>
        </w:tc>
        <w:tc>
          <w:tcPr>
            <w:tcW w:w="1270" w:type="pct"/>
            <w:gridSpan w:val="2"/>
            <w:tcBorders>
              <w:top w:val="single" w:color="auto" w:sz="6" w:space="0"/>
              <w:left w:val="nil"/>
              <w:bottom w:val="single" w:color="auto" w:sz="6" w:space="0"/>
              <w:right w:val="single" w:color="auto" w:sz="12" w:space="0"/>
            </w:tcBorders>
            <w:vAlign w:val="center"/>
          </w:tcPr>
          <w:p>
            <w:pPr>
              <w:spacing w:line="24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trPr>
        <w:tc>
          <w:tcPr>
            <w:tcW w:w="993" w:type="pct"/>
            <w:tcBorders>
              <w:top w:val="single" w:color="auto" w:sz="6" w:space="0"/>
              <w:left w:val="single" w:color="auto" w:sz="12" w:space="0"/>
              <w:bottom w:val="single" w:color="auto" w:sz="6" w:space="0"/>
              <w:right w:val="single" w:color="auto" w:sz="6" w:space="0"/>
            </w:tcBorders>
            <w:vAlign w:val="center"/>
          </w:tcPr>
          <w:p>
            <w:pPr>
              <w:spacing w:line="240" w:lineRule="exact"/>
              <w:jc w:val="center"/>
              <w:rPr>
                <w:color w:val="auto"/>
              </w:rPr>
            </w:pPr>
            <w:r>
              <w:rPr>
                <w:rFonts w:ascii="宋体" w:hAnsi="宋体"/>
                <w:color w:val="auto"/>
              </w:rPr>
              <w:t>注册资金</w:t>
            </w:r>
          </w:p>
        </w:tc>
        <w:tc>
          <w:tcPr>
            <w:tcW w:w="4007" w:type="pct"/>
            <w:gridSpan w:val="8"/>
            <w:tcBorders>
              <w:top w:val="single" w:color="auto" w:sz="6" w:space="0"/>
              <w:left w:val="nil"/>
              <w:bottom w:val="single" w:color="auto" w:sz="6" w:space="0"/>
              <w:right w:val="single" w:color="auto" w:sz="12" w:space="0"/>
            </w:tcBorders>
            <w:vAlign w:val="center"/>
          </w:tcPr>
          <w:p>
            <w:pPr>
              <w:spacing w:line="24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78" w:hRule="atLeast"/>
        </w:trPr>
        <w:tc>
          <w:tcPr>
            <w:tcW w:w="993" w:type="pct"/>
            <w:tcBorders>
              <w:top w:val="single" w:color="auto" w:sz="6" w:space="0"/>
              <w:left w:val="single" w:color="auto" w:sz="12" w:space="0"/>
              <w:bottom w:val="single" w:color="auto" w:sz="6" w:space="0"/>
              <w:right w:val="single" w:color="auto" w:sz="6" w:space="0"/>
            </w:tcBorders>
            <w:vAlign w:val="center"/>
          </w:tcPr>
          <w:p>
            <w:pPr>
              <w:spacing w:line="240" w:lineRule="exact"/>
              <w:jc w:val="center"/>
              <w:rPr>
                <w:color w:val="auto"/>
              </w:rPr>
            </w:pPr>
            <w:r>
              <w:rPr>
                <w:rFonts w:ascii="宋体" w:hAnsi="宋体"/>
                <w:color w:val="auto"/>
              </w:rPr>
              <w:t>经营范围</w:t>
            </w:r>
          </w:p>
        </w:tc>
        <w:tc>
          <w:tcPr>
            <w:tcW w:w="4007" w:type="pct"/>
            <w:gridSpan w:val="8"/>
            <w:tcBorders>
              <w:top w:val="single" w:color="auto" w:sz="6" w:space="0"/>
              <w:left w:val="nil"/>
              <w:bottom w:val="single" w:color="auto" w:sz="6" w:space="0"/>
              <w:right w:val="single" w:color="auto" w:sz="12" w:space="0"/>
            </w:tcBorders>
            <w:vAlign w:val="center"/>
          </w:tcPr>
          <w:p>
            <w:pPr>
              <w:spacing w:line="24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14" w:hRule="atLeast"/>
        </w:trPr>
        <w:tc>
          <w:tcPr>
            <w:tcW w:w="993" w:type="pct"/>
            <w:tcBorders>
              <w:top w:val="single" w:color="auto" w:sz="6" w:space="0"/>
              <w:left w:val="single" w:color="auto" w:sz="12" w:space="0"/>
              <w:bottom w:val="single" w:color="auto" w:sz="12" w:space="0"/>
              <w:right w:val="single" w:color="auto" w:sz="6" w:space="0"/>
            </w:tcBorders>
            <w:vAlign w:val="center"/>
          </w:tcPr>
          <w:p>
            <w:pPr>
              <w:spacing w:line="240" w:lineRule="exact"/>
              <w:jc w:val="center"/>
              <w:rPr>
                <w:color w:val="auto"/>
              </w:rPr>
            </w:pPr>
            <w:r>
              <w:rPr>
                <w:rFonts w:ascii="宋体" w:hAnsi="宋体"/>
                <w:color w:val="auto"/>
              </w:rPr>
              <w:t>备注</w:t>
            </w:r>
          </w:p>
        </w:tc>
        <w:tc>
          <w:tcPr>
            <w:tcW w:w="4007" w:type="pct"/>
            <w:gridSpan w:val="8"/>
            <w:tcBorders>
              <w:top w:val="single" w:color="auto" w:sz="6" w:space="0"/>
              <w:left w:val="nil"/>
              <w:bottom w:val="single" w:color="auto" w:sz="12" w:space="0"/>
              <w:right w:val="single" w:color="auto" w:sz="12" w:space="0"/>
            </w:tcBorders>
            <w:vAlign w:val="center"/>
          </w:tcPr>
          <w:p>
            <w:pPr>
              <w:spacing w:line="240" w:lineRule="exact"/>
              <w:rPr>
                <w:color w:val="auto"/>
              </w:rPr>
            </w:pPr>
          </w:p>
        </w:tc>
      </w:tr>
    </w:tbl>
    <w:p>
      <w:pPr>
        <w:snapToGrid w:val="0"/>
        <w:spacing w:line="360" w:lineRule="auto"/>
        <w:rPr>
          <w:color w:val="auto"/>
          <w:szCs w:val="21"/>
        </w:rPr>
      </w:pPr>
      <w:r>
        <w:rPr>
          <w:rFonts w:hint="eastAsia" w:ascii="宋体" w:hAnsi="宋体"/>
          <w:color w:val="auto"/>
        </w:rPr>
        <w:t>注：在本表后应附企业法人营业执照或事业单位法人证书副本的复印件、试验检测等级证书副本的复制件、供应商公路水运工程试验检测信息管理系统公开信息截图、资质认定证书复制件。</w:t>
      </w:r>
    </w:p>
    <w:p>
      <w:pPr>
        <w:widowControl/>
        <w:jc w:val="left"/>
        <w:rPr>
          <w:color w:val="auto"/>
        </w:rPr>
      </w:pPr>
      <w:r>
        <w:rPr>
          <w:color w:val="auto"/>
        </w:rPr>
        <w:br w:type="page"/>
      </w:r>
    </w:p>
    <w:p>
      <w:pPr>
        <w:spacing w:line="360" w:lineRule="auto"/>
        <w:jc w:val="center"/>
        <w:rPr>
          <w:rFonts w:hint="eastAsia"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color w:val="auto"/>
          <w:kern w:val="0"/>
          <w:sz w:val="32"/>
          <w:szCs w:val="32"/>
          <w:lang w:val="zh-CN"/>
        </w:rPr>
        <w:t>②主要业绩证明</w:t>
      </w:r>
    </w:p>
    <w:p>
      <w:pPr>
        <w:autoSpaceDE w:val="0"/>
        <w:autoSpaceDN w:val="0"/>
        <w:spacing w:line="360" w:lineRule="auto"/>
        <w:ind w:firstLine="120"/>
        <w:rPr>
          <w:rFonts w:hint="eastAsia"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:相关项目建设业绩一览表</w:t>
      </w:r>
    </w:p>
    <w:tbl>
      <w:tblPr>
        <w:tblStyle w:val="60"/>
        <w:tblW w:w="9204" w:type="dxa"/>
        <w:jc w:val="center"/>
        <w:tblLayout w:type="fixed"/>
        <w:tblCellMar>
          <w:top w:w="0" w:type="dxa"/>
          <w:left w:w="108" w:type="dxa"/>
          <w:bottom w:w="0" w:type="dxa"/>
          <w:right w:w="108" w:type="dxa"/>
        </w:tblCellMar>
      </w:tblPr>
      <w:tblGrid>
        <w:gridCol w:w="2227"/>
        <w:gridCol w:w="6977"/>
      </w:tblGrid>
      <w:tr>
        <w:trPr>
          <w:trHeight w:val="552" w:hRule="atLeast"/>
          <w:jc w:val="center"/>
        </w:trPr>
        <w:tc>
          <w:tcPr>
            <w:tcW w:w="2227" w:type="dxa"/>
            <w:tcBorders>
              <w:top w:val="single" w:color="000000" w:sz="12" w:space="0"/>
              <w:left w:val="single" w:color="000000" w:sz="12" w:space="0"/>
              <w:bottom w:val="single" w:color="000000" w:sz="6" w:space="0"/>
              <w:right w:val="single" w:color="000000" w:sz="4" w:space="0"/>
            </w:tcBorders>
            <w:vAlign w:val="center"/>
          </w:tcPr>
          <w:p>
            <w:pPr>
              <w:pStyle w:val="98"/>
              <w:spacing w:after="120"/>
              <w:jc w:val="center"/>
              <w:rPr>
                <w:rFonts w:ascii="Times New Roman" w:cs="Times New Roman"/>
                <w:color w:val="auto"/>
                <w:sz w:val="21"/>
                <w:szCs w:val="21"/>
              </w:rPr>
            </w:pPr>
            <w:r>
              <w:rPr>
                <w:rFonts w:ascii="Times New Roman" w:cs="Times New Roman"/>
                <w:color w:val="auto"/>
                <w:sz w:val="21"/>
                <w:szCs w:val="21"/>
              </w:rPr>
              <w:t>项目名称</w:t>
            </w:r>
          </w:p>
        </w:tc>
        <w:tc>
          <w:tcPr>
            <w:tcW w:w="6977" w:type="dxa"/>
            <w:tcBorders>
              <w:top w:val="single" w:color="000000" w:sz="12" w:space="0"/>
              <w:left w:val="nil"/>
              <w:bottom w:val="single" w:color="000000" w:sz="6" w:space="0"/>
              <w:right w:val="single" w:color="000000" w:sz="12" w:space="0"/>
            </w:tcBorders>
          </w:tcPr>
          <w:p>
            <w:pPr>
              <w:pStyle w:val="98"/>
              <w:spacing w:after="120"/>
              <w:rPr>
                <w:rFonts w:ascii="Times New Roman" w:cs="Times New Roman"/>
                <w:color w:val="auto"/>
              </w:rPr>
            </w:pPr>
          </w:p>
        </w:tc>
      </w:tr>
      <w:tr>
        <w:tblPrEx>
          <w:tblCellMar>
            <w:top w:w="0" w:type="dxa"/>
            <w:left w:w="108" w:type="dxa"/>
            <w:bottom w:w="0" w:type="dxa"/>
            <w:right w:w="108" w:type="dxa"/>
          </w:tblCellMar>
        </w:tblPrEx>
        <w:trPr>
          <w:trHeight w:val="552" w:hRule="atLeast"/>
          <w:jc w:val="center"/>
        </w:trPr>
        <w:tc>
          <w:tcPr>
            <w:tcW w:w="2227" w:type="dxa"/>
            <w:tcBorders>
              <w:top w:val="single" w:color="000000" w:sz="6" w:space="0"/>
              <w:left w:val="single" w:color="000000" w:sz="12" w:space="0"/>
              <w:bottom w:val="single" w:color="000000" w:sz="6" w:space="0"/>
              <w:right w:val="single" w:color="000000" w:sz="4" w:space="0"/>
            </w:tcBorders>
            <w:vAlign w:val="center"/>
          </w:tcPr>
          <w:p>
            <w:pPr>
              <w:pStyle w:val="98"/>
              <w:spacing w:after="120"/>
              <w:jc w:val="center"/>
              <w:rPr>
                <w:rFonts w:ascii="Times New Roman" w:cs="Times New Roman"/>
                <w:color w:val="auto"/>
                <w:sz w:val="21"/>
                <w:szCs w:val="21"/>
              </w:rPr>
            </w:pPr>
            <w:r>
              <w:rPr>
                <w:rFonts w:ascii="Times New Roman" w:cs="Times New Roman"/>
                <w:color w:val="auto"/>
                <w:sz w:val="21"/>
                <w:szCs w:val="21"/>
              </w:rPr>
              <w:t>项目所在地</w:t>
            </w:r>
          </w:p>
        </w:tc>
        <w:tc>
          <w:tcPr>
            <w:tcW w:w="6977" w:type="dxa"/>
            <w:tcBorders>
              <w:top w:val="single" w:color="000000" w:sz="6" w:space="0"/>
              <w:left w:val="nil"/>
              <w:bottom w:val="single" w:color="000000" w:sz="6" w:space="0"/>
              <w:right w:val="single" w:color="000000" w:sz="12" w:space="0"/>
            </w:tcBorders>
          </w:tcPr>
          <w:p>
            <w:pPr>
              <w:pStyle w:val="98"/>
              <w:spacing w:after="120"/>
              <w:rPr>
                <w:rFonts w:ascii="Times New Roman" w:cs="Times New Roman"/>
                <w:color w:val="auto"/>
              </w:rPr>
            </w:pPr>
          </w:p>
        </w:tc>
      </w:tr>
      <w:tr>
        <w:tblPrEx>
          <w:tblCellMar>
            <w:top w:w="0" w:type="dxa"/>
            <w:left w:w="108" w:type="dxa"/>
            <w:bottom w:w="0" w:type="dxa"/>
            <w:right w:w="108" w:type="dxa"/>
          </w:tblCellMar>
        </w:tblPrEx>
        <w:trPr>
          <w:trHeight w:val="547" w:hRule="atLeast"/>
          <w:jc w:val="center"/>
        </w:trPr>
        <w:tc>
          <w:tcPr>
            <w:tcW w:w="2227" w:type="dxa"/>
            <w:tcBorders>
              <w:top w:val="single" w:color="000000" w:sz="6" w:space="0"/>
              <w:left w:val="single" w:color="000000" w:sz="12" w:space="0"/>
              <w:bottom w:val="single" w:color="000000" w:sz="6" w:space="0"/>
              <w:right w:val="single" w:color="000000" w:sz="4" w:space="0"/>
            </w:tcBorders>
            <w:vAlign w:val="center"/>
          </w:tcPr>
          <w:p>
            <w:pPr>
              <w:pStyle w:val="98"/>
              <w:spacing w:after="120"/>
              <w:jc w:val="center"/>
              <w:rPr>
                <w:rFonts w:ascii="Times New Roman" w:cs="Times New Roman"/>
                <w:color w:val="auto"/>
                <w:sz w:val="21"/>
                <w:szCs w:val="21"/>
              </w:rPr>
            </w:pPr>
            <w:r>
              <w:rPr>
                <w:rFonts w:ascii="Times New Roman" w:cs="Times New Roman"/>
                <w:color w:val="auto"/>
                <w:sz w:val="21"/>
                <w:szCs w:val="21"/>
              </w:rPr>
              <w:t>发包人名称</w:t>
            </w:r>
          </w:p>
        </w:tc>
        <w:tc>
          <w:tcPr>
            <w:tcW w:w="6977" w:type="dxa"/>
            <w:tcBorders>
              <w:top w:val="single" w:color="000000" w:sz="6" w:space="0"/>
              <w:left w:val="nil"/>
              <w:bottom w:val="single" w:color="000000" w:sz="6" w:space="0"/>
              <w:right w:val="single" w:color="000000" w:sz="12" w:space="0"/>
            </w:tcBorders>
          </w:tcPr>
          <w:p>
            <w:pPr>
              <w:pStyle w:val="98"/>
              <w:spacing w:after="120"/>
              <w:rPr>
                <w:rFonts w:ascii="Times New Roman" w:cs="Times New Roman"/>
                <w:color w:val="auto"/>
              </w:rPr>
            </w:pPr>
          </w:p>
        </w:tc>
      </w:tr>
      <w:tr>
        <w:tblPrEx>
          <w:tblCellMar>
            <w:top w:w="0" w:type="dxa"/>
            <w:left w:w="108" w:type="dxa"/>
            <w:bottom w:w="0" w:type="dxa"/>
            <w:right w:w="108" w:type="dxa"/>
          </w:tblCellMar>
        </w:tblPrEx>
        <w:trPr>
          <w:trHeight w:val="552" w:hRule="atLeast"/>
          <w:jc w:val="center"/>
        </w:trPr>
        <w:tc>
          <w:tcPr>
            <w:tcW w:w="2227" w:type="dxa"/>
            <w:tcBorders>
              <w:top w:val="single" w:color="000000" w:sz="6" w:space="0"/>
              <w:left w:val="single" w:color="000000" w:sz="12" w:space="0"/>
              <w:bottom w:val="single" w:color="000000" w:sz="6" w:space="0"/>
              <w:right w:val="single" w:color="000000" w:sz="4" w:space="0"/>
            </w:tcBorders>
            <w:vAlign w:val="center"/>
          </w:tcPr>
          <w:p>
            <w:pPr>
              <w:pStyle w:val="98"/>
              <w:spacing w:after="120"/>
              <w:jc w:val="center"/>
              <w:rPr>
                <w:rFonts w:ascii="Times New Roman" w:cs="Times New Roman"/>
                <w:color w:val="auto"/>
                <w:sz w:val="21"/>
                <w:szCs w:val="21"/>
              </w:rPr>
            </w:pPr>
            <w:r>
              <w:rPr>
                <w:rFonts w:ascii="Times New Roman" w:cs="Times New Roman"/>
                <w:color w:val="auto"/>
                <w:sz w:val="21"/>
                <w:szCs w:val="21"/>
              </w:rPr>
              <w:t>发包人地址</w:t>
            </w:r>
          </w:p>
        </w:tc>
        <w:tc>
          <w:tcPr>
            <w:tcW w:w="6977" w:type="dxa"/>
            <w:tcBorders>
              <w:top w:val="single" w:color="000000" w:sz="6" w:space="0"/>
              <w:left w:val="nil"/>
              <w:bottom w:val="single" w:color="000000" w:sz="6" w:space="0"/>
              <w:right w:val="single" w:color="000000" w:sz="12" w:space="0"/>
            </w:tcBorders>
          </w:tcPr>
          <w:p>
            <w:pPr>
              <w:pStyle w:val="98"/>
              <w:spacing w:after="120"/>
              <w:rPr>
                <w:rFonts w:ascii="Times New Roman" w:cs="Times New Roman"/>
                <w:color w:val="auto"/>
              </w:rPr>
            </w:pPr>
          </w:p>
        </w:tc>
      </w:tr>
      <w:tr>
        <w:trPr>
          <w:trHeight w:val="552" w:hRule="atLeast"/>
          <w:jc w:val="center"/>
        </w:trPr>
        <w:tc>
          <w:tcPr>
            <w:tcW w:w="2227" w:type="dxa"/>
            <w:tcBorders>
              <w:top w:val="single" w:color="000000" w:sz="6" w:space="0"/>
              <w:left w:val="single" w:color="000000" w:sz="12" w:space="0"/>
              <w:bottom w:val="single" w:color="000000" w:sz="6" w:space="0"/>
              <w:right w:val="single" w:color="000000" w:sz="4" w:space="0"/>
            </w:tcBorders>
            <w:vAlign w:val="center"/>
          </w:tcPr>
          <w:p>
            <w:pPr>
              <w:pStyle w:val="98"/>
              <w:spacing w:after="120"/>
              <w:jc w:val="center"/>
              <w:rPr>
                <w:rFonts w:ascii="Times New Roman" w:cs="Times New Roman"/>
                <w:color w:val="auto"/>
                <w:sz w:val="21"/>
                <w:szCs w:val="21"/>
              </w:rPr>
            </w:pPr>
            <w:r>
              <w:rPr>
                <w:rFonts w:ascii="Times New Roman" w:cs="Times New Roman"/>
                <w:color w:val="auto"/>
                <w:sz w:val="21"/>
                <w:szCs w:val="21"/>
              </w:rPr>
              <w:t>发包人电话</w:t>
            </w:r>
          </w:p>
        </w:tc>
        <w:tc>
          <w:tcPr>
            <w:tcW w:w="6977" w:type="dxa"/>
            <w:tcBorders>
              <w:top w:val="single" w:color="000000" w:sz="6" w:space="0"/>
              <w:left w:val="nil"/>
              <w:bottom w:val="single" w:color="000000" w:sz="6" w:space="0"/>
              <w:right w:val="single" w:color="000000" w:sz="12" w:space="0"/>
            </w:tcBorders>
          </w:tcPr>
          <w:p>
            <w:pPr>
              <w:pStyle w:val="98"/>
              <w:spacing w:after="120"/>
              <w:rPr>
                <w:rFonts w:ascii="Times New Roman" w:cs="Times New Roman"/>
                <w:color w:val="auto"/>
              </w:rPr>
            </w:pPr>
          </w:p>
        </w:tc>
      </w:tr>
      <w:tr>
        <w:tblPrEx>
          <w:tblCellMar>
            <w:top w:w="0" w:type="dxa"/>
            <w:left w:w="108" w:type="dxa"/>
            <w:bottom w:w="0" w:type="dxa"/>
            <w:right w:w="108" w:type="dxa"/>
          </w:tblCellMar>
        </w:tblPrEx>
        <w:trPr>
          <w:trHeight w:val="475" w:hRule="atLeast"/>
          <w:jc w:val="center"/>
        </w:trPr>
        <w:tc>
          <w:tcPr>
            <w:tcW w:w="2227" w:type="dxa"/>
            <w:tcBorders>
              <w:top w:val="single" w:color="000000" w:sz="6" w:space="0"/>
              <w:left w:val="single" w:color="000000" w:sz="12" w:space="0"/>
              <w:bottom w:val="single" w:color="000000" w:sz="6" w:space="0"/>
              <w:right w:val="single" w:color="000000" w:sz="4" w:space="0"/>
            </w:tcBorders>
            <w:vAlign w:val="center"/>
          </w:tcPr>
          <w:p>
            <w:pPr>
              <w:pStyle w:val="98"/>
              <w:spacing w:after="120"/>
              <w:jc w:val="center"/>
              <w:rPr>
                <w:rFonts w:ascii="Times New Roman" w:cs="Times New Roman"/>
                <w:color w:val="auto"/>
                <w:sz w:val="21"/>
                <w:szCs w:val="21"/>
              </w:rPr>
            </w:pPr>
            <w:r>
              <w:rPr>
                <w:rFonts w:ascii="Times New Roman" w:cs="Times New Roman"/>
                <w:color w:val="auto"/>
                <w:sz w:val="21"/>
                <w:szCs w:val="21"/>
              </w:rPr>
              <w:t>项目等级</w:t>
            </w:r>
          </w:p>
        </w:tc>
        <w:tc>
          <w:tcPr>
            <w:tcW w:w="6977" w:type="dxa"/>
            <w:tcBorders>
              <w:top w:val="single" w:color="000000" w:sz="6" w:space="0"/>
              <w:left w:val="nil"/>
              <w:bottom w:val="single" w:color="000000" w:sz="6" w:space="0"/>
              <w:right w:val="single" w:color="000000" w:sz="12" w:space="0"/>
            </w:tcBorders>
          </w:tcPr>
          <w:p>
            <w:pPr>
              <w:pStyle w:val="98"/>
              <w:spacing w:after="120"/>
              <w:rPr>
                <w:rFonts w:ascii="Times New Roman" w:cs="Times New Roman"/>
                <w:color w:val="auto"/>
              </w:rPr>
            </w:pPr>
          </w:p>
        </w:tc>
      </w:tr>
      <w:tr>
        <w:trPr>
          <w:trHeight w:val="547" w:hRule="atLeast"/>
          <w:jc w:val="center"/>
        </w:trPr>
        <w:tc>
          <w:tcPr>
            <w:tcW w:w="2227" w:type="dxa"/>
            <w:tcBorders>
              <w:top w:val="single" w:color="000000" w:sz="6" w:space="0"/>
              <w:left w:val="single" w:color="000000" w:sz="12" w:space="0"/>
              <w:bottom w:val="single" w:color="000000" w:sz="6" w:space="0"/>
              <w:right w:val="single" w:color="000000" w:sz="4" w:space="0"/>
            </w:tcBorders>
            <w:vAlign w:val="center"/>
          </w:tcPr>
          <w:p>
            <w:pPr>
              <w:pStyle w:val="98"/>
              <w:spacing w:after="120"/>
              <w:jc w:val="center"/>
              <w:rPr>
                <w:rFonts w:ascii="Times New Roman" w:cs="Times New Roman"/>
                <w:color w:val="auto"/>
                <w:sz w:val="21"/>
                <w:szCs w:val="21"/>
              </w:rPr>
            </w:pPr>
            <w:r>
              <w:rPr>
                <w:rFonts w:ascii="Times New Roman" w:cs="Times New Roman"/>
                <w:color w:val="auto"/>
                <w:sz w:val="21"/>
                <w:szCs w:val="21"/>
              </w:rPr>
              <w:t>项目总投资</w:t>
            </w:r>
          </w:p>
        </w:tc>
        <w:tc>
          <w:tcPr>
            <w:tcW w:w="6977" w:type="dxa"/>
            <w:tcBorders>
              <w:top w:val="single" w:color="000000" w:sz="6" w:space="0"/>
              <w:left w:val="nil"/>
              <w:bottom w:val="single" w:color="000000" w:sz="6" w:space="0"/>
              <w:right w:val="single" w:color="000000" w:sz="12" w:space="0"/>
            </w:tcBorders>
          </w:tcPr>
          <w:p>
            <w:pPr>
              <w:pStyle w:val="98"/>
              <w:spacing w:after="120"/>
              <w:rPr>
                <w:rFonts w:ascii="Times New Roman" w:cs="Times New Roman"/>
                <w:color w:val="auto"/>
              </w:rPr>
            </w:pPr>
          </w:p>
        </w:tc>
      </w:tr>
      <w:tr>
        <w:tblPrEx>
          <w:tblCellMar>
            <w:top w:w="0" w:type="dxa"/>
            <w:left w:w="108" w:type="dxa"/>
            <w:bottom w:w="0" w:type="dxa"/>
            <w:right w:w="108" w:type="dxa"/>
          </w:tblCellMar>
        </w:tblPrEx>
        <w:trPr>
          <w:trHeight w:val="552" w:hRule="atLeast"/>
          <w:jc w:val="center"/>
        </w:trPr>
        <w:tc>
          <w:tcPr>
            <w:tcW w:w="2227" w:type="dxa"/>
            <w:tcBorders>
              <w:top w:val="single" w:color="000000" w:sz="6" w:space="0"/>
              <w:left w:val="single" w:color="000000" w:sz="12" w:space="0"/>
              <w:bottom w:val="single" w:color="000000" w:sz="6" w:space="0"/>
              <w:right w:val="single" w:color="000000" w:sz="4" w:space="0"/>
            </w:tcBorders>
            <w:vAlign w:val="center"/>
          </w:tcPr>
          <w:p>
            <w:pPr>
              <w:pStyle w:val="98"/>
              <w:spacing w:after="120"/>
              <w:jc w:val="center"/>
              <w:rPr>
                <w:rFonts w:ascii="Times New Roman" w:cs="Times New Roman"/>
                <w:color w:val="auto"/>
                <w:sz w:val="21"/>
                <w:szCs w:val="21"/>
              </w:rPr>
            </w:pPr>
            <w:r>
              <w:rPr>
                <w:rFonts w:ascii="Times New Roman" w:cs="Times New Roman"/>
                <w:color w:val="auto"/>
                <w:sz w:val="21"/>
                <w:szCs w:val="21"/>
              </w:rPr>
              <w:t>合同价格</w:t>
            </w:r>
          </w:p>
        </w:tc>
        <w:tc>
          <w:tcPr>
            <w:tcW w:w="6977" w:type="dxa"/>
            <w:tcBorders>
              <w:top w:val="single" w:color="000000" w:sz="6" w:space="0"/>
              <w:left w:val="nil"/>
              <w:bottom w:val="single" w:color="000000" w:sz="6" w:space="0"/>
              <w:right w:val="single" w:color="000000" w:sz="12" w:space="0"/>
            </w:tcBorders>
          </w:tcPr>
          <w:p>
            <w:pPr>
              <w:pStyle w:val="98"/>
              <w:spacing w:after="120"/>
              <w:rPr>
                <w:rFonts w:ascii="Times New Roman" w:cs="Times New Roman"/>
                <w:color w:val="auto"/>
              </w:rPr>
            </w:pPr>
          </w:p>
        </w:tc>
      </w:tr>
      <w:tr>
        <w:tblPrEx>
          <w:tblCellMar>
            <w:top w:w="0" w:type="dxa"/>
            <w:left w:w="108" w:type="dxa"/>
            <w:bottom w:w="0" w:type="dxa"/>
            <w:right w:w="108" w:type="dxa"/>
          </w:tblCellMar>
        </w:tblPrEx>
        <w:trPr>
          <w:trHeight w:val="547" w:hRule="atLeast"/>
          <w:jc w:val="center"/>
        </w:trPr>
        <w:tc>
          <w:tcPr>
            <w:tcW w:w="2227" w:type="dxa"/>
            <w:tcBorders>
              <w:top w:val="single" w:color="000000" w:sz="6" w:space="0"/>
              <w:left w:val="single" w:color="000000" w:sz="12" w:space="0"/>
              <w:bottom w:val="single" w:color="000000" w:sz="6" w:space="0"/>
              <w:right w:val="single" w:color="000000" w:sz="4" w:space="0"/>
            </w:tcBorders>
            <w:vAlign w:val="center"/>
          </w:tcPr>
          <w:p>
            <w:pPr>
              <w:pStyle w:val="98"/>
              <w:spacing w:after="120"/>
              <w:jc w:val="center"/>
              <w:rPr>
                <w:rFonts w:ascii="Times New Roman" w:cs="Times New Roman"/>
                <w:color w:val="auto"/>
                <w:sz w:val="21"/>
                <w:szCs w:val="21"/>
              </w:rPr>
            </w:pPr>
            <w:r>
              <w:rPr>
                <w:rFonts w:ascii="Times New Roman" w:cs="Times New Roman"/>
                <w:color w:val="auto"/>
                <w:sz w:val="21"/>
                <w:szCs w:val="21"/>
              </w:rPr>
              <w:t>承担的工作</w:t>
            </w:r>
          </w:p>
        </w:tc>
        <w:tc>
          <w:tcPr>
            <w:tcW w:w="6977" w:type="dxa"/>
            <w:tcBorders>
              <w:top w:val="single" w:color="000000" w:sz="6" w:space="0"/>
              <w:left w:val="nil"/>
              <w:bottom w:val="single" w:color="000000" w:sz="6" w:space="0"/>
              <w:right w:val="single" w:color="000000" w:sz="12" w:space="0"/>
            </w:tcBorders>
          </w:tcPr>
          <w:p>
            <w:pPr>
              <w:pStyle w:val="98"/>
              <w:spacing w:after="120"/>
              <w:rPr>
                <w:rFonts w:ascii="Times New Roman" w:cs="Times New Roman"/>
                <w:color w:val="auto"/>
              </w:rPr>
            </w:pPr>
          </w:p>
        </w:tc>
      </w:tr>
      <w:tr>
        <w:tblPrEx>
          <w:tblCellMar>
            <w:top w:w="0" w:type="dxa"/>
            <w:left w:w="108" w:type="dxa"/>
            <w:bottom w:w="0" w:type="dxa"/>
            <w:right w:w="108" w:type="dxa"/>
          </w:tblCellMar>
        </w:tblPrEx>
        <w:trPr>
          <w:trHeight w:val="552" w:hRule="atLeast"/>
          <w:jc w:val="center"/>
        </w:trPr>
        <w:tc>
          <w:tcPr>
            <w:tcW w:w="2227" w:type="dxa"/>
            <w:tcBorders>
              <w:top w:val="single" w:color="000000" w:sz="6" w:space="0"/>
              <w:left w:val="single" w:color="000000" w:sz="12" w:space="0"/>
              <w:bottom w:val="single" w:color="000000" w:sz="6" w:space="0"/>
              <w:right w:val="single" w:color="000000" w:sz="4" w:space="0"/>
            </w:tcBorders>
            <w:vAlign w:val="center"/>
          </w:tcPr>
          <w:p>
            <w:pPr>
              <w:pStyle w:val="98"/>
              <w:spacing w:after="120"/>
              <w:jc w:val="center"/>
              <w:rPr>
                <w:rFonts w:ascii="Times New Roman" w:cs="Times New Roman"/>
                <w:color w:val="auto"/>
                <w:sz w:val="21"/>
                <w:szCs w:val="21"/>
              </w:rPr>
            </w:pPr>
            <w:r>
              <w:rPr>
                <w:rFonts w:ascii="Times New Roman" w:cs="Times New Roman"/>
                <w:color w:val="auto"/>
                <w:sz w:val="21"/>
                <w:szCs w:val="21"/>
              </w:rPr>
              <w:t>服务期</w:t>
            </w:r>
          </w:p>
        </w:tc>
        <w:tc>
          <w:tcPr>
            <w:tcW w:w="6977" w:type="dxa"/>
            <w:tcBorders>
              <w:top w:val="single" w:color="000000" w:sz="6" w:space="0"/>
              <w:left w:val="nil"/>
              <w:bottom w:val="single" w:color="000000" w:sz="6" w:space="0"/>
              <w:right w:val="single" w:color="000000" w:sz="12" w:space="0"/>
            </w:tcBorders>
          </w:tcPr>
          <w:p>
            <w:pPr>
              <w:pStyle w:val="98"/>
              <w:spacing w:after="120"/>
              <w:rPr>
                <w:rFonts w:ascii="Times New Roman" w:cs="Times New Roman"/>
                <w:color w:val="auto"/>
              </w:rPr>
            </w:pPr>
          </w:p>
        </w:tc>
      </w:tr>
      <w:tr>
        <w:trPr>
          <w:trHeight w:val="552" w:hRule="atLeast"/>
          <w:jc w:val="center"/>
        </w:trPr>
        <w:tc>
          <w:tcPr>
            <w:tcW w:w="2227" w:type="dxa"/>
            <w:tcBorders>
              <w:top w:val="single" w:color="000000" w:sz="6" w:space="0"/>
              <w:left w:val="single" w:color="000000" w:sz="12" w:space="0"/>
              <w:bottom w:val="single" w:color="000000" w:sz="6" w:space="0"/>
              <w:right w:val="single" w:color="000000" w:sz="4" w:space="0"/>
            </w:tcBorders>
            <w:vAlign w:val="center"/>
          </w:tcPr>
          <w:p>
            <w:pPr>
              <w:pStyle w:val="98"/>
              <w:spacing w:after="120"/>
              <w:jc w:val="center"/>
              <w:rPr>
                <w:rFonts w:ascii="Times New Roman" w:cs="Times New Roman"/>
                <w:color w:val="auto"/>
                <w:sz w:val="21"/>
                <w:szCs w:val="21"/>
              </w:rPr>
            </w:pPr>
            <w:r>
              <w:rPr>
                <w:rFonts w:ascii="Times New Roman" w:cs="Times New Roman"/>
                <w:color w:val="auto"/>
                <w:sz w:val="21"/>
                <w:szCs w:val="21"/>
              </w:rPr>
              <w:t>项目负责人</w:t>
            </w:r>
          </w:p>
        </w:tc>
        <w:tc>
          <w:tcPr>
            <w:tcW w:w="6977" w:type="dxa"/>
            <w:tcBorders>
              <w:top w:val="single" w:color="000000" w:sz="6" w:space="0"/>
              <w:left w:val="nil"/>
              <w:bottom w:val="single" w:color="000000" w:sz="6" w:space="0"/>
              <w:right w:val="single" w:color="000000" w:sz="12" w:space="0"/>
            </w:tcBorders>
          </w:tcPr>
          <w:p>
            <w:pPr>
              <w:pStyle w:val="98"/>
              <w:spacing w:after="120"/>
              <w:rPr>
                <w:rFonts w:ascii="Times New Roman" w:cs="Times New Roman"/>
                <w:color w:val="auto"/>
              </w:rPr>
            </w:pPr>
          </w:p>
        </w:tc>
      </w:tr>
      <w:tr>
        <w:tblPrEx>
          <w:tblCellMar>
            <w:top w:w="0" w:type="dxa"/>
            <w:left w:w="108" w:type="dxa"/>
            <w:bottom w:w="0" w:type="dxa"/>
            <w:right w:w="108" w:type="dxa"/>
          </w:tblCellMar>
        </w:tblPrEx>
        <w:trPr>
          <w:trHeight w:val="547" w:hRule="atLeast"/>
          <w:jc w:val="center"/>
        </w:trPr>
        <w:tc>
          <w:tcPr>
            <w:tcW w:w="2227" w:type="dxa"/>
            <w:tcBorders>
              <w:top w:val="single" w:color="000000" w:sz="6" w:space="0"/>
              <w:left w:val="single" w:color="000000" w:sz="12" w:space="0"/>
              <w:bottom w:val="single" w:color="000000" w:sz="6" w:space="0"/>
              <w:right w:val="single" w:color="000000" w:sz="4" w:space="0"/>
            </w:tcBorders>
            <w:vAlign w:val="center"/>
          </w:tcPr>
          <w:p>
            <w:pPr>
              <w:pStyle w:val="98"/>
              <w:spacing w:after="120"/>
              <w:jc w:val="center"/>
              <w:rPr>
                <w:rFonts w:ascii="Times New Roman" w:cs="Times New Roman"/>
                <w:color w:val="auto"/>
                <w:sz w:val="21"/>
                <w:szCs w:val="21"/>
              </w:rPr>
            </w:pPr>
            <w:r>
              <w:rPr>
                <w:rFonts w:ascii="Times New Roman" w:cs="Times New Roman"/>
                <w:color w:val="auto"/>
                <w:sz w:val="21"/>
                <w:szCs w:val="21"/>
              </w:rPr>
              <w:t>项目完成情况</w:t>
            </w:r>
          </w:p>
        </w:tc>
        <w:tc>
          <w:tcPr>
            <w:tcW w:w="6977" w:type="dxa"/>
            <w:tcBorders>
              <w:top w:val="single" w:color="000000" w:sz="6" w:space="0"/>
              <w:left w:val="nil"/>
              <w:bottom w:val="single" w:color="000000" w:sz="6" w:space="0"/>
              <w:right w:val="single" w:color="000000" w:sz="12" w:space="0"/>
            </w:tcBorders>
          </w:tcPr>
          <w:p>
            <w:pPr>
              <w:pStyle w:val="98"/>
              <w:spacing w:after="120"/>
              <w:rPr>
                <w:rFonts w:ascii="Times New Roman" w:cs="Times New Roman"/>
                <w:color w:val="auto"/>
              </w:rPr>
            </w:pPr>
          </w:p>
        </w:tc>
      </w:tr>
      <w:tr>
        <w:trPr>
          <w:trHeight w:val="1157" w:hRule="atLeast"/>
          <w:jc w:val="center"/>
        </w:trPr>
        <w:tc>
          <w:tcPr>
            <w:tcW w:w="2227" w:type="dxa"/>
            <w:tcBorders>
              <w:top w:val="single" w:color="000000" w:sz="6" w:space="0"/>
              <w:left w:val="single" w:color="000000" w:sz="12" w:space="0"/>
              <w:bottom w:val="single" w:color="000000" w:sz="6" w:space="0"/>
              <w:right w:val="single" w:color="000000" w:sz="4" w:space="0"/>
            </w:tcBorders>
            <w:vAlign w:val="center"/>
          </w:tcPr>
          <w:p>
            <w:pPr>
              <w:pStyle w:val="98"/>
              <w:spacing w:after="120"/>
              <w:jc w:val="center"/>
              <w:rPr>
                <w:rFonts w:ascii="Times New Roman" w:cs="Times New Roman"/>
                <w:color w:val="auto"/>
                <w:sz w:val="21"/>
                <w:szCs w:val="21"/>
              </w:rPr>
            </w:pPr>
            <w:r>
              <w:rPr>
                <w:rFonts w:ascii="Times New Roman" w:cs="Times New Roman"/>
                <w:color w:val="auto"/>
                <w:sz w:val="21"/>
                <w:szCs w:val="21"/>
              </w:rPr>
              <w:t>项目描述</w:t>
            </w:r>
          </w:p>
        </w:tc>
        <w:tc>
          <w:tcPr>
            <w:tcW w:w="6977" w:type="dxa"/>
            <w:tcBorders>
              <w:top w:val="single" w:color="000000" w:sz="6" w:space="0"/>
              <w:left w:val="nil"/>
              <w:bottom w:val="single" w:color="000000" w:sz="6" w:space="0"/>
              <w:right w:val="single" w:color="000000" w:sz="12" w:space="0"/>
            </w:tcBorders>
          </w:tcPr>
          <w:p>
            <w:pPr>
              <w:pStyle w:val="98"/>
              <w:spacing w:after="120"/>
              <w:rPr>
                <w:rFonts w:ascii="Times New Roman" w:cs="Times New Roman"/>
                <w:color w:val="auto"/>
              </w:rPr>
            </w:pPr>
          </w:p>
        </w:tc>
      </w:tr>
      <w:tr>
        <w:trPr>
          <w:trHeight w:val="1649" w:hRule="atLeast"/>
          <w:jc w:val="center"/>
        </w:trPr>
        <w:tc>
          <w:tcPr>
            <w:tcW w:w="2227" w:type="dxa"/>
            <w:tcBorders>
              <w:top w:val="single" w:color="000000" w:sz="6" w:space="0"/>
              <w:left w:val="single" w:color="000000" w:sz="12" w:space="0"/>
              <w:bottom w:val="single" w:color="000000" w:sz="12" w:space="0"/>
              <w:right w:val="single" w:color="000000" w:sz="4" w:space="0"/>
            </w:tcBorders>
            <w:vAlign w:val="center"/>
          </w:tcPr>
          <w:p>
            <w:pPr>
              <w:pStyle w:val="98"/>
              <w:spacing w:after="120"/>
              <w:jc w:val="center"/>
              <w:rPr>
                <w:rFonts w:ascii="Times New Roman" w:cs="Times New Roman"/>
                <w:color w:val="auto"/>
                <w:sz w:val="21"/>
                <w:szCs w:val="21"/>
              </w:rPr>
            </w:pPr>
            <w:r>
              <w:rPr>
                <w:rFonts w:ascii="Times New Roman" w:cs="Times New Roman"/>
                <w:color w:val="auto"/>
                <w:sz w:val="21"/>
                <w:szCs w:val="21"/>
              </w:rPr>
              <w:t>备注</w:t>
            </w:r>
          </w:p>
        </w:tc>
        <w:tc>
          <w:tcPr>
            <w:tcW w:w="6977" w:type="dxa"/>
            <w:tcBorders>
              <w:top w:val="single" w:color="000000" w:sz="6" w:space="0"/>
              <w:left w:val="nil"/>
              <w:bottom w:val="single" w:color="000000" w:sz="12" w:space="0"/>
              <w:right w:val="single" w:color="000000" w:sz="12" w:space="0"/>
            </w:tcBorders>
          </w:tcPr>
          <w:p>
            <w:pPr>
              <w:pStyle w:val="98"/>
              <w:spacing w:after="120"/>
              <w:rPr>
                <w:rFonts w:ascii="Times New Roman" w:cs="Times New Roman"/>
                <w:color w:val="auto"/>
              </w:rPr>
            </w:pPr>
          </w:p>
        </w:tc>
      </w:tr>
    </w:tbl>
    <w:p>
      <w:pPr>
        <w:snapToGrid w:val="0"/>
        <w:spacing w:before="120" w:beforeLines="50"/>
        <w:rPr>
          <w:color w:val="auto"/>
          <w:szCs w:val="21"/>
        </w:rPr>
      </w:pPr>
      <w:r>
        <w:rPr>
          <w:color w:val="auto"/>
          <w:szCs w:val="21"/>
        </w:rPr>
        <w:t>注：1.每张表格只填写一个项目，并标明序号。</w:t>
      </w:r>
    </w:p>
    <w:p>
      <w:pPr>
        <w:snapToGrid w:val="0"/>
        <w:ind w:firstLine="420" w:firstLineChars="200"/>
        <w:rPr>
          <w:color w:val="auto"/>
          <w:szCs w:val="21"/>
        </w:rPr>
      </w:pPr>
      <w:r>
        <w:rPr>
          <w:color w:val="auto"/>
          <w:szCs w:val="21"/>
        </w:rPr>
        <w:t>2.本表填报的项目情况应满足竞争性</w:t>
      </w:r>
      <w:r>
        <w:rPr>
          <w:rFonts w:hint="eastAsia"/>
          <w:color w:val="auto"/>
          <w:szCs w:val="21"/>
        </w:rPr>
        <w:t>磋商文件</w:t>
      </w:r>
      <w:r>
        <w:rPr>
          <w:color w:val="auto"/>
          <w:szCs w:val="21"/>
        </w:rPr>
        <w:t>的要求。</w:t>
      </w:r>
    </w:p>
    <w:p>
      <w:pPr>
        <w:pStyle w:val="632"/>
        <w:spacing w:after="120"/>
        <w:rPr>
          <w:color w:val="auto"/>
          <w:sz w:val="21"/>
          <w:szCs w:val="21"/>
        </w:rPr>
      </w:pPr>
      <w:r>
        <w:rPr>
          <w:rFonts w:hint="eastAsia"/>
          <w:color w:val="auto"/>
          <w:sz w:val="21"/>
          <w:szCs w:val="21"/>
        </w:rPr>
        <w:t>3.</w:t>
      </w:r>
      <w:r>
        <w:rPr>
          <w:rFonts w:hint="eastAsia"/>
          <w:b/>
          <w:bCs/>
          <w:color w:val="auto"/>
          <w:sz w:val="21"/>
          <w:szCs w:val="21"/>
        </w:rPr>
        <w:t>证明材料：</w:t>
      </w:r>
      <w:r>
        <w:rPr>
          <w:rFonts w:hint="eastAsia"/>
          <w:color w:val="auto"/>
          <w:sz w:val="21"/>
          <w:szCs w:val="21"/>
        </w:rPr>
        <w:t>①业绩证明应附合同协议书或委托书、交工验收证书或备案书，两者缺一不可。如合同协议书或委托书、交工验收证书或备案书均无法反映工程规模、技术标准、主要检测内容的，应提供发包人（或交通运输部门）出具的证明材料，否则业绩不予认可。如合同协议书或委托协议书中同时包含交工和竣工质量检测的，在响应截止前仅完成了交工质量检测的，该业绩也予以认可，仅完成竣工试验检测任务的业绩不予认可。</w:t>
      </w:r>
    </w:p>
    <w:p>
      <w:pPr>
        <w:rPr>
          <w:color w:val="auto"/>
          <w:sz w:val="24"/>
        </w:rPr>
      </w:pPr>
      <w:r>
        <w:rPr>
          <w:rFonts w:ascii="Cambria Math" w:hAnsi="Cambria Math" w:cs="Cambria Math"/>
          <w:color w:val="auto"/>
          <w:szCs w:val="21"/>
        </w:rPr>
        <w:t>②</w:t>
      </w:r>
      <w:r>
        <w:rPr>
          <w:color w:val="auto"/>
          <w:szCs w:val="21"/>
        </w:rPr>
        <w:t>上述资料中的单位名称与供应商名称必须一致（单位名称发生合法变更的除外，但需提供合法变更的有效文件），否则业绩不予认可。</w:t>
      </w:r>
    </w:p>
    <w:p>
      <w:pPr>
        <w:widowControl/>
        <w:adjustRightInd/>
        <w:jc w:val="center"/>
        <w:rPr>
          <w:rFonts w:hint="eastAsia"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24"/>
        </w:rPr>
        <w:br w:type="page"/>
      </w:r>
      <w:r>
        <w:rPr>
          <w:rFonts w:hint="eastAsia" w:cs="仿宋_GB2312" w:asciiTheme="minorEastAsia" w:hAnsiTheme="minorEastAsia" w:eastAsiaTheme="minorEastAsia"/>
          <w:color w:val="auto"/>
          <w:sz w:val="24"/>
        </w:rPr>
        <w:t>③</w:t>
      </w:r>
      <w:r>
        <w:rPr>
          <w:rFonts w:hint="eastAsia" w:cs="仿宋_GB2312" w:asciiTheme="minorEastAsia" w:hAnsiTheme="minorEastAsia" w:eastAsiaTheme="minorEastAsia"/>
          <w:b/>
          <w:bCs/>
          <w:color w:val="auto"/>
          <w:sz w:val="32"/>
          <w:szCs w:val="32"/>
        </w:rPr>
        <w:t>项目小组人员名单</w:t>
      </w:r>
    </w:p>
    <w:p>
      <w:pPr>
        <w:spacing w:line="360" w:lineRule="auto"/>
        <w:jc w:val="center"/>
        <w:rPr>
          <w:rFonts w:hint="eastAsia"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sz w:val="24"/>
        </w:rPr>
        <w:t>（由供应商根据采购需求及磋商文件要求编制）</w:t>
      </w:r>
    </w:p>
    <w:tbl>
      <w:tblPr>
        <w:tblStyle w:val="6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3646"/>
        <w:gridCol w:w="2740"/>
        <w:gridCol w:w="27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7" w:hRule="atLeast"/>
          <w:jc w:val="center"/>
        </w:trPr>
        <w:tc>
          <w:tcPr>
            <w:tcW w:w="1998" w:type="pct"/>
            <w:tcBorders>
              <w:top w:val="single" w:color="auto" w:sz="12" w:space="0"/>
              <w:left w:val="single" w:color="auto" w:sz="12" w:space="0"/>
              <w:bottom w:val="single" w:color="auto" w:sz="6" w:space="0"/>
              <w:right w:val="single" w:color="auto" w:sz="6" w:space="0"/>
            </w:tcBorders>
            <w:vAlign w:val="center"/>
          </w:tcPr>
          <w:p>
            <w:pPr>
              <w:jc w:val="center"/>
              <w:rPr>
                <w:b/>
                <w:bCs/>
                <w:color w:val="auto"/>
                <w:szCs w:val="21"/>
              </w:rPr>
            </w:pPr>
            <w:r>
              <w:rPr>
                <w:b/>
                <w:bCs/>
                <w:color w:val="auto"/>
                <w:szCs w:val="21"/>
              </w:rPr>
              <w:t>拟委任职务</w:t>
            </w:r>
          </w:p>
        </w:tc>
        <w:tc>
          <w:tcPr>
            <w:tcW w:w="1501" w:type="pct"/>
            <w:tcBorders>
              <w:top w:val="single" w:color="auto" w:sz="12" w:space="0"/>
              <w:left w:val="single" w:color="auto" w:sz="6" w:space="0"/>
              <w:bottom w:val="single" w:color="auto" w:sz="6" w:space="0"/>
              <w:right w:val="single" w:color="auto" w:sz="4" w:space="0"/>
            </w:tcBorders>
            <w:vAlign w:val="center"/>
          </w:tcPr>
          <w:p>
            <w:pPr>
              <w:jc w:val="center"/>
              <w:rPr>
                <w:b/>
                <w:bCs/>
                <w:color w:val="auto"/>
                <w:szCs w:val="21"/>
              </w:rPr>
            </w:pPr>
            <w:r>
              <w:rPr>
                <w:b/>
                <w:bCs/>
                <w:color w:val="auto"/>
                <w:szCs w:val="21"/>
              </w:rPr>
              <w:t>项目负责人</w:t>
            </w:r>
          </w:p>
        </w:tc>
        <w:tc>
          <w:tcPr>
            <w:tcW w:w="1501" w:type="pct"/>
            <w:tcBorders>
              <w:top w:val="single" w:color="auto" w:sz="12" w:space="0"/>
              <w:left w:val="nil"/>
              <w:bottom w:val="single" w:color="auto" w:sz="6" w:space="0"/>
              <w:right w:val="single" w:color="auto" w:sz="12" w:space="0"/>
            </w:tcBorders>
            <w:vAlign w:val="center"/>
          </w:tcPr>
          <w:p>
            <w:pPr>
              <w:jc w:val="center"/>
              <w:rPr>
                <w:b/>
                <w:bCs/>
                <w:color w:val="auto"/>
                <w:szCs w:val="21"/>
              </w:rPr>
            </w:pPr>
            <w:r>
              <w:rPr>
                <w:b/>
                <w:bCs/>
                <w:color w:val="auto"/>
                <w:szCs w:val="21"/>
              </w:rPr>
              <w:t>技术负责人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3" w:hRule="atLeast"/>
          <w:jc w:val="center"/>
        </w:trPr>
        <w:tc>
          <w:tcPr>
            <w:tcW w:w="1998" w:type="pct"/>
            <w:tcBorders>
              <w:top w:val="single" w:color="auto" w:sz="6" w:space="0"/>
              <w:left w:val="single" w:color="auto" w:sz="12" w:space="0"/>
              <w:bottom w:val="single" w:color="auto" w:sz="6" w:space="0"/>
              <w:right w:val="single" w:color="auto" w:sz="6" w:space="0"/>
            </w:tcBorders>
            <w:vAlign w:val="center"/>
          </w:tcPr>
          <w:p>
            <w:pPr>
              <w:jc w:val="center"/>
              <w:rPr>
                <w:color w:val="auto"/>
                <w:szCs w:val="21"/>
              </w:rPr>
            </w:pPr>
            <w:r>
              <w:rPr>
                <w:color w:val="auto"/>
                <w:szCs w:val="21"/>
              </w:rPr>
              <w:t>姓名/年龄</w:t>
            </w:r>
          </w:p>
        </w:tc>
        <w:tc>
          <w:tcPr>
            <w:tcW w:w="1501" w:type="pct"/>
            <w:tcBorders>
              <w:top w:val="single" w:color="auto" w:sz="6" w:space="0"/>
              <w:left w:val="single" w:color="auto" w:sz="6" w:space="0"/>
              <w:bottom w:val="single" w:color="auto" w:sz="6" w:space="0"/>
              <w:right w:val="single" w:color="auto" w:sz="4" w:space="0"/>
            </w:tcBorders>
            <w:vAlign w:val="center"/>
          </w:tcPr>
          <w:p>
            <w:pPr>
              <w:jc w:val="center"/>
              <w:rPr>
                <w:color w:val="auto"/>
                <w:sz w:val="24"/>
              </w:rPr>
            </w:pPr>
          </w:p>
        </w:tc>
        <w:tc>
          <w:tcPr>
            <w:tcW w:w="1501" w:type="pct"/>
            <w:tcBorders>
              <w:top w:val="single" w:color="auto" w:sz="6" w:space="0"/>
              <w:left w:val="nil"/>
              <w:bottom w:val="single" w:color="auto" w:sz="6" w:space="0"/>
              <w:right w:val="single" w:color="auto" w:sz="12" w:space="0"/>
            </w:tcBorders>
            <w:vAlign w:val="center"/>
          </w:tcPr>
          <w:p>
            <w:pPr>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1998" w:type="pct"/>
            <w:tcBorders>
              <w:top w:val="single" w:color="auto" w:sz="6" w:space="0"/>
              <w:left w:val="single" w:color="auto" w:sz="12" w:space="0"/>
              <w:bottom w:val="single" w:color="auto" w:sz="6" w:space="0"/>
              <w:right w:val="single" w:color="auto" w:sz="6" w:space="0"/>
            </w:tcBorders>
            <w:vAlign w:val="center"/>
          </w:tcPr>
          <w:p>
            <w:pPr>
              <w:jc w:val="center"/>
              <w:rPr>
                <w:color w:val="auto"/>
                <w:szCs w:val="21"/>
              </w:rPr>
            </w:pPr>
            <w:r>
              <w:rPr>
                <w:color w:val="auto"/>
                <w:szCs w:val="21"/>
              </w:rPr>
              <w:t>职务/职称</w:t>
            </w:r>
          </w:p>
        </w:tc>
        <w:tc>
          <w:tcPr>
            <w:tcW w:w="1501" w:type="pct"/>
            <w:tcBorders>
              <w:top w:val="single" w:color="auto" w:sz="6" w:space="0"/>
              <w:left w:val="single" w:color="auto" w:sz="6" w:space="0"/>
              <w:bottom w:val="single" w:color="auto" w:sz="6" w:space="0"/>
              <w:right w:val="single" w:color="auto" w:sz="4" w:space="0"/>
            </w:tcBorders>
            <w:vAlign w:val="center"/>
          </w:tcPr>
          <w:p>
            <w:pPr>
              <w:jc w:val="center"/>
              <w:rPr>
                <w:color w:val="auto"/>
                <w:sz w:val="24"/>
              </w:rPr>
            </w:pPr>
          </w:p>
        </w:tc>
        <w:tc>
          <w:tcPr>
            <w:tcW w:w="1501" w:type="pct"/>
            <w:tcBorders>
              <w:top w:val="single" w:color="auto" w:sz="6" w:space="0"/>
              <w:left w:val="nil"/>
              <w:bottom w:val="single" w:color="auto" w:sz="6" w:space="0"/>
              <w:right w:val="single" w:color="auto" w:sz="12" w:space="0"/>
            </w:tcBorders>
            <w:vAlign w:val="center"/>
          </w:tcPr>
          <w:p>
            <w:pPr>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78" w:hRule="atLeast"/>
          <w:jc w:val="center"/>
        </w:trPr>
        <w:tc>
          <w:tcPr>
            <w:tcW w:w="1998" w:type="pct"/>
            <w:tcBorders>
              <w:top w:val="single" w:color="auto" w:sz="6" w:space="0"/>
              <w:left w:val="single" w:color="auto" w:sz="12" w:space="0"/>
              <w:bottom w:val="single" w:color="auto" w:sz="6" w:space="0"/>
              <w:right w:val="single" w:color="auto" w:sz="6" w:space="0"/>
            </w:tcBorders>
            <w:vAlign w:val="center"/>
          </w:tcPr>
          <w:p>
            <w:pPr>
              <w:jc w:val="center"/>
              <w:rPr>
                <w:color w:val="auto"/>
                <w:szCs w:val="21"/>
              </w:rPr>
            </w:pPr>
            <w:r>
              <w:rPr>
                <w:color w:val="auto"/>
                <w:szCs w:val="21"/>
              </w:rPr>
              <w:t>学历</w:t>
            </w:r>
          </w:p>
          <w:p>
            <w:pPr>
              <w:jc w:val="center"/>
              <w:rPr>
                <w:color w:val="auto"/>
                <w:szCs w:val="21"/>
              </w:rPr>
            </w:pPr>
            <w:r>
              <w:rPr>
                <w:color w:val="auto"/>
                <w:szCs w:val="21"/>
              </w:rPr>
              <w:t>（毕业时间、校名、专业）</w:t>
            </w:r>
          </w:p>
        </w:tc>
        <w:tc>
          <w:tcPr>
            <w:tcW w:w="1501" w:type="pct"/>
            <w:tcBorders>
              <w:top w:val="single" w:color="auto" w:sz="6" w:space="0"/>
              <w:left w:val="single" w:color="auto" w:sz="6" w:space="0"/>
              <w:bottom w:val="single" w:color="auto" w:sz="6" w:space="0"/>
              <w:right w:val="single" w:color="auto" w:sz="4" w:space="0"/>
            </w:tcBorders>
            <w:vAlign w:val="center"/>
          </w:tcPr>
          <w:p>
            <w:pPr>
              <w:jc w:val="center"/>
              <w:rPr>
                <w:color w:val="auto"/>
                <w:sz w:val="24"/>
              </w:rPr>
            </w:pPr>
          </w:p>
        </w:tc>
        <w:tc>
          <w:tcPr>
            <w:tcW w:w="1501" w:type="pct"/>
            <w:tcBorders>
              <w:top w:val="single" w:color="auto" w:sz="6" w:space="0"/>
              <w:left w:val="nil"/>
              <w:bottom w:val="single" w:color="auto" w:sz="6" w:space="0"/>
              <w:right w:val="single" w:color="auto" w:sz="12" w:space="0"/>
            </w:tcBorders>
            <w:vAlign w:val="center"/>
          </w:tcPr>
          <w:p>
            <w:pPr>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15" w:hRule="atLeast"/>
          <w:jc w:val="center"/>
        </w:trPr>
        <w:tc>
          <w:tcPr>
            <w:tcW w:w="1998" w:type="pct"/>
            <w:tcBorders>
              <w:top w:val="single" w:color="auto" w:sz="6" w:space="0"/>
              <w:left w:val="single" w:color="auto" w:sz="12" w:space="0"/>
              <w:bottom w:val="single" w:color="auto" w:sz="6" w:space="0"/>
              <w:right w:val="single" w:color="auto" w:sz="6" w:space="0"/>
            </w:tcBorders>
            <w:vAlign w:val="center"/>
          </w:tcPr>
          <w:p>
            <w:pPr>
              <w:jc w:val="center"/>
              <w:rPr>
                <w:color w:val="auto"/>
                <w:szCs w:val="21"/>
              </w:rPr>
            </w:pPr>
            <w:r>
              <w:rPr>
                <w:color w:val="auto"/>
                <w:szCs w:val="21"/>
              </w:rPr>
              <w:t>经历</w:t>
            </w:r>
          </w:p>
          <w:p>
            <w:pPr>
              <w:jc w:val="center"/>
              <w:rPr>
                <w:color w:val="auto"/>
                <w:szCs w:val="21"/>
              </w:rPr>
            </w:pPr>
            <w:r>
              <w:rPr>
                <w:color w:val="auto"/>
                <w:szCs w:val="21"/>
              </w:rPr>
              <w:t>（何时在哪些项目中任何职务）</w:t>
            </w:r>
          </w:p>
        </w:tc>
        <w:tc>
          <w:tcPr>
            <w:tcW w:w="1501" w:type="pct"/>
            <w:tcBorders>
              <w:top w:val="single" w:color="auto" w:sz="6" w:space="0"/>
              <w:left w:val="single" w:color="auto" w:sz="6" w:space="0"/>
              <w:bottom w:val="single" w:color="auto" w:sz="6" w:space="0"/>
              <w:right w:val="single" w:color="auto" w:sz="4" w:space="0"/>
            </w:tcBorders>
            <w:vAlign w:val="center"/>
          </w:tcPr>
          <w:p>
            <w:pPr>
              <w:jc w:val="center"/>
              <w:rPr>
                <w:color w:val="auto"/>
                <w:sz w:val="24"/>
              </w:rPr>
            </w:pPr>
          </w:p>
        </w:tc>
        <w:tc>
          <w:tcPr>
            <w:tcW w:w="1501" w:type="pct"/>
            <w:tcBorders>
              <w:top w:val="single" w:color="auto" w:sz="6" w:space="0"/>
              <w:left w:val="nil"/>
              <w:bottom w:val="single" w:color="auto" w:sz="6" w:space="0"/>
              <w:right w:val="single" w:color="auto" w:sz="12" w:space="0"/>
            </w:tcBorders>
            <w:vAlign w:val="center"/>
          </w:tcPr>
          <w:p>
            <w:pPr>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84" w:hRule="atLeast"/>
          <w:jc w:val="center"/>
        </w:trPr>
        <w:tc>
          <w:tcPr>
            <w:tcW w:w="1998" w:type="pct"/>
            <w:tcBorders>
              <w:top w:val="single" w:color="auto" w:sz="6" w:space="0"/>
              <w:left w:val="single" w:color="auto" w:sz="12" w:space="0"/>
              <w:bottom w:val="single" w:color="auto" w:sz="12" w:space="0"/>
              <w:right w:val="single" w:color="auto" w:sz="6" w:space="0"/>
            </w:tcBorders>
            <w:vAlign w:val="center"/>
          </w:tcPr>
          <w:p>
            <w:pPr>
              <w:jc w:val="center"/>
              <w:rPr>
                <w:color w:val="auto"/>
                <w:szCs w:val="21"/>
              </w:rPr>
            </w:pPr>
            <w:r>
              <w:rPr>
                <w:color w:val="auto"/>
                <w:szCs w:val="21"/>
              </w:rPr>
              <w:t>备注</w:t>
            </w:r>
          </w:p>
          <w:p>
            <w:pPr>
              <w:jc w:val="center"/>
              <w:rPr>
                <w:color w:val="auto"/>
                <w:szCs w:val="21"/>
              </w:rPr>
            </w:pPr>
            <w:r>
              <w:rPr>
                <w:color w:val="auto"/>
                <w:szCs w:val="21"/>
              </w:rPr>
              <w:t>（在何其他特长，受过哪些奖励）</w:t>
            </w:r>
          </w:p>
        </w:tc>
        <w:tc>
          <w:tcPr>
            <w:tcW w:w="1501" w:type="pct"/>
            <w:tcBorders>
              <w:top w:val="single" w:color="auto" w:sz="6" w:space="0"/>
              <w:left w:val="single" w:color="auto" w:sz="6" w:space="0"/>
              <w:bottom w:val="single" w:color="auto" w:sz="12" w:space="0"/>
              <w:right w:val="single" w:color="auto" w:sz="4" w:space="0"/>
            </w:tcBorders>
            <w:vAlign w:val="center"/>
          </w:tcPr>
          <w:p>
            <w:pPr>
              <w:jc w:val="center"/>
              <w:rPr>
                <w:color w:val="auto"/>
                <w:sz w:val="24"/>
              </w:rPr>
            </w:pPr>
          </w:p>
        </w:tc>
        <w:tc>
          <w:tcPr>
            <w:tcW w:w="1501" w:type="pct"/>
            <w:tcBorders>
              <w:top w:val="single" w:color="auto" w:sz="6" w:space="0"/>
              <w:left w:val="nil"/>
              <w:bottom w:val="single" w:color="auto" w:sz="12" w:space="0"/>
              <w:right w:val="single" w:color="auto" w:sz="12" w:space="0"/>
            </w:tcBorders>
            <w:vAlign w:val="center"/>
          </w:tcPr>
          <w:p>
            <w:pPr>
              <w:jc w:val="center"/>
              <w:rPr>
                <w:color w:val="auto"/>
              </w:rPr>
            </w:pPr>
          </w:p>
        </w:tc>
      </w:tr>
    </w:tbl>
    <w:p>
      <w:pPr>
        <w:rPr>
          <w:color w:val="auto"/>
          <w:szCs w:val="21"/>
        </w:rPr>
      </w:pPr>
      <w:r>
        <w:rPr>
          <w:color w:val="auto"/>
          <w:szCs w:val="21"/>
        </w:rPr>
        <w:t>注：1、本表填报的人员应满足竞争性谈判公告的要求。</w:t>
      </w:r>
    </w:p>
    <w:p>
      <w:pPr>
        <w:pStyle w:val="632"/>
        <w:spacing w:after="120"/>
        <w:rPr>
          <w:rFonts w:ascii="Times New Roman"/>
          <w:color w:val="auto"/>
          <w:sz w:val="21"/>
          <w:szCs w:val="21"/>
        </w:rPr>
      </w:pPr>
      <w:r>
        <w:rPr>
          <w:rFonts w:hint="eastAsia" w:ascii="Times New Roman"/>
          <w:color w:val="auto"/>
          <w:sz w:val="21"/>
          <w:szCs w:val="21"/>
        </w:rPr>
        <w:t>2、证明材料应附：a.拟委任的主要人员的身份证、职称资格证书以及所要求的其他相关证书（如试验检测人员证书等）的复印件、在公路水运工程质量检测管理信息系统公开的信息（如信用评价结果、人员信息等）打印件、浙江省交通运输厅最新公布的项目负责人信用评价网上截图打印件（如有）等。如对主要人员有业绩要求的，应出具相应业绩证明材料：中标通知书或合同协议书或委托书。如中标通知书或合同协议书或委托书无法体现人员姓名和任职的，应提供发包人（或交通运输部门）出具的证明材料，否则业绩不予认可。</w:t>
      </w:r>
    </w:p>
    <w:p>
      <w:pPr>
        <w:wordWrap w:val="0"/>
        <w:spacing w:line="500" w:lineRule="exact"/>
        <w:ind w:left="540" w:right="968" w:rightChars="461" w:hanging="360"/>
        <w:jc w:val="right"/>
        <w:rPr>
          <w:rFonts w:ascii="宋体"/>
          <w:color w:val="auto"/>
          <w:szCs w:val="21"/>
        </w:rPr>
      </w:pPr>
      <w:r>
        <w:rPr>
          <w:color w:val="auto"/>
          <w:szCs w:val="21"/>
        </w:rPr>
        <w:t>供应商名称：</w:t>
      </w:r>
      <w:r>
        <w:rPr>
          <w:color w:val="auto"/>
          <w:szCs w:val="21"/>
          <w:u w:val="single"/>
        </w:rPr>
        <w:t xml:space="preserve">                  </w:t>
      </w:r>
      <w:r>
        <w:rPr>
          <w:color w:val="auto"/>
          <w:szCs w:val="21"/>
        </w:rPr>
        <w:t>（公章）</w:t>
      </w:r>
    </w:p>
    <w:p>
      <w:pPr>
        <w:spacing w:line="500" w:lineRule="exact"/>
        <w:ind w:left="540" w:leftChars="257" w:right="968" w:rightChars="461" w:firstLine="3570" w:firstLineChars="1700"/>
        <w:rPr>
          <w:color w:val="auto"/>
          <w:szCs w:val="21"/>
        </w:rPr>
      </w:pPr>
      <w:r>
        <w:rPr>
          <w:color w:val="auto"/>
          <w:szCs w:val="21"/>
        </w:rPr>
        <w:t>法定代表人或其授权代表签字：</w:t>
      </w:r>
      <w:r>
        <w:rPr>
          <w:color w:val="auto"/>
          <w:szCs w:val="21"/>
          <w:u w:val="single"/>
        </w:rPr>
        <w:t xml:space="preserve">         </w:t>
      </w:r>
      <w:r>
        <w:rPr>
          <w:color w:val="auto"/>
          <w:szCs w:val="21"/>
        </w:rPr>
        <w:t xml:space="preserve">                           </w:t>
      </w:r>
    </w:p>
    <w:p>
      <w:pPr>
        <w:spacing w:line="500" w:lineRule="exact"/>
        <w:ind w:left="540" w:right="968" w:rightChars="461" w:hanging="360"/>
        <w:jc w:val="center"/>
        <w:rPr>
          <w:color w:val="auto"/>
          <w:szCs w:val="21"/>
        </w:rPr>
      </w:pPr>
      <w:r>
        <w:rPr>
          <w:color w:val="auto"/>
          <w:szCs w:val="21"/>
        </w:rPr>
        <w:t xml:space="preserve">                                 日   期：</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 xml:space="preserve">日 </w:t>
      </w:r>
    </w:p>
    <w:p>
      <w:pPr>
        <w:rPr>
          <w:color w:val="auto"/>
          <w:szCs w:val="21"/>
        </w:rPr>
      </w:pPr>
      <w:r>
        <w:rPr>
          <w:color w:val="auto"/>
          <w:szCs w:val="21"/>
        </w:rPr>
        <w:br w:type="page"/>
      </w:r>
    </w:p>
    <w:p>
      <w:pPr>
        <w:pStyle w:val="158"/>
        <w:spacing w:before="156" w:after="156"/>
        <w:ind w:firstLine="600"/>
        <w:jc w:val="center"/>
        <w:rPr>
          <w:rFonts w:hint="eastAsia" w:cs="仿宋_GB2312" w:asciiTheme="minorEastAsia" w:hAnsiTheme="minorEastAsia" w:eastAsiaTheme="minorEastAsia"/>
          <w:color w:val="auto"/>
          <w:kern w:val="2"/>
          <w:szCs w:val="24"/>
        </w:rPr>
      </w:pPr>
      <w:bookmarkStart w:id="68" w:name="_Toc158028007"/>
      <w:r>
        <w:rPr>
          <w:rFonts w:hint="eastAsia" w:cs="仿宋_GB2312" w:asciiTheme="minorEastAsia" w:hAnsiTheme="minorEastAsia" w:eastAsiaTheme="minorEastAsia"/>
          <w:color w:val="auto"/>
          <w:kern w:val="2"/>
          <w:szCs w:val="24"/>
        </w:rPr>
        <w:t>④</w:t>
      </w:r>
      <w:r>
        <w:rPr>
          <w:rFonts w:hint="eastAsia" w:cs="仿宋_GB2312" w:asciiTheme="minorEastAsia" w:hAnsiTheme="minorEastAsia" w:eastAsiaTheme="minorEastAsia"/>
          <w:b/>
          <w:bCs/>
          <w:color w:val="auto"/>
          <w:kern w:val="2"/>
          <w:sz w:val="32"/>
          <w:szCs w:val="32"/>
        </w:rPr>
        <w:t>试验检测仪器设备投入承诺书</w:t>
      </w:r>
      <w:bookmarkEnd w:id="68"/>
    </w:p>
    <w:p>
      <w:pPr>
        <w:snapToGrid w:val="0"/>
        <w:spacing w:line="360" w:lineRule="auto"/>
        <w:rPr>
          <w:color w:val="auto"/>
        </w:rPr>
      </w:pPr>
    </w:p>
    <w:p>
      <w:pPr>
        <w:snapToGrid w:val="0"/>
        <w:spacing w:line="360" w:lineRule="auto"/>
        <w:rPr>
          <w:color w:val="auto"/>
        </w:rPr>
      </w:pPr>
      <w:r>
        <w:rPr>
          <w:rFonts w:hint="eastAsia"/>
          <w:color w:val="auto"/>
        </w:rPr>
        <w:t>致：</w:t>
      </w:r>
      <w:r>
        <w:rPr>
          <w:rFonts w:hint="eastAsia"/>
          <w:color w:val="auto"/>
          <w:u w:val="single"/>
        </w:rPr>
        <w:t xml:space="preserve">     （采购人全称）      </w:t>
      </w:r>
    </w:p>
    <w:p>
      <w:pPr>
        <w:snapToGrid w:val="0"/>
        <w:spacing w:line="360" w:lineRule="auto"/>
        <w:ind w:firstLine="420" w:firstLineChars="200"/>
        <w:rPr>
          <w:bCs/>
          <w:color w:val="auto"/>
        </w:rPr>
      </w:pPr>
      <w:r>
        <w:rPr>
          <w:rFonts w:hint="eastAsia"/>
          <w:color w:val="auto"/>
        </w:rPr>
        <w:t>我谨代表</w:t>
      </w:r>
      <w:r>
        <w:rPr>
          <w:rFonts w:hint="eastAsia"/>
          <w:color w:val="auto"/>
          <w:u w:val="single"/>
        </w:rPr>
        <w:t xml:space="preserve">        （供应商全称）       </w:t>
      </w:r>
      <w:r>
        <w:rPr>
          <w:rFonts w:hint="eastAsia"/>
          <w:color w:val="auto"/>
        </w:rPr>
        <w:t>郑重承诺：若我单位成为</w:t>
      </w:r>
      <w:r>
        <w:rPr>
          <w:rFonts w:hint="eastAsia"/>
          <w:color w:val="auto"/>
          <w:u w:val="single"/>
        </w:rPr>
        <w:t xml:space="preserve">              </w:t>
      </w:r>
      <w:r>
        <w:rPr>
          <w:rFonts w:hint="eastAsia"/>
          <w:color w:val="auto"/>
        </w:rPr>
        <w:t>（项目名称）竣（交）工质量评定检测第</w:t>
      </w:r>
      <w:r>
        <w:rPr>
          <w:rFonts w:hint="eastAsia"/>
          <w:color w:val="auto"/>
          <w:u w:val="single"/>
        </w:rPr>
        <w:t xml:space="preserve">     </w:t>
      </w:r>
      <w:r>
        <w:rPr>
          <w:rFonts w:hint="eastAsia"/>
          <w:color w:val="auto"/>
        </w:rPr>
        <w:t>检测标段的成交供应商，将保证配备满足磋商文件规定的试验检测仪器设备到场，为本工程检测工作服务。</w:t>
      </w:r>
      <w:r>
        <w:rPr>
          <w:rFonts w:hint="eastAsia"/>
          <w:bCs/>
          <w:color w:val="auto"/>
        </w:rPr>
        <w:t>并在此承诺</w:t>
      </w:r>
      <w:r>
        <w:rPr>
          <w:bCs/>
          <w:color w:val="auto"/>
        </w:rPr>
        <w:t>根据项目总体进度计划和阶段性计划以及</w:t>
      </w:r>
      <w:r>
        <w:rPr>
          <w:rFonts w:hint="eastAsia"/>
          <w:bCs/>
          <w:color w:val="auto"/>
        </w:rPr>
        <w:t>采购人</w:t>
      </w:r>
      <w:r>
        <w:rPr>
          <w:bCs/>
          <w:color w:val="auto"/>
        </w:rPr>
        <w:t>的要求安排好</w:t>
      </w:r>
      <w:r>
        <w:rPr>
          <w:rFonts w:hint="eastAsia"/>
          <w:bCs/>
          <w:color w:val="auto"/>
        </w:rPr>
        <w:t>试验</w:t>
      </w:r>
      <w:r>
        <w:rPr>
          <w:bCs/>
          <w:color w:val="auto"/>
        </w:rPr>
        <w:t>检测</w:t>
      </w:r>
      <w:r>
        <w:rPr>
          <w:rFonts w:hint="eastAsia"/>
          <w:bCs/>
          <w:color w:val="auto"/>
        </w:rPr>
        <w:t>仪器</w:t>
      </w:r>
      <w:r>
        <w:rPr>
          <w:bCs/>
          <w:color w:val="auto"/>
        </w:rPr>
        <w:t>设备进场，必要时应切实加大设备的投入并经监理人、</w:t>
      </w:r>
      <w:r>
        <w:rPr>
          <w:rFonts w:hint="eastAsia"/>
          <w:bCs/>
          <w:color w:val="auto"/>
        </w:rPr>
        <w:t>采购人</w:t>
      </w:r>
      <w:r>
        <w:rPr>
          <w:bCs/>
          <w:color w:val="auto"/>
        </w:rPr>
        <w:t>审批认可。</w:t>
      </w:r>
    </w:p>
    <w:p>
      <w:pPr>
        <w:snapToGrid w:val="0"/>
        <w:spacing w:line="360" w:lineRule="auto"/>
        <w:ind w:firstLine="420" w:firstLineChars="200"/>
        <w:rPr>
          <w:color w:val="auto"/>
        </w:rPr>
      </w:pPr>
      <w:r>
        <w:rPr>
          <w:rFonts w:hint="eastAsia"/>
          <w:color w:val="auto"/>
        </w:rPr>
        <w:t>特此承诺。</w:t>
      </w:r>
    </w:p>
    <w:p>
      <w:pPr>
        <w:snapToGrid w:val="0"/>
        <w:spacing w:line="360" w:lineRule="auto"/>
        <w:rPr>
          <w:color w:val="auto"/>
        </w:rPr>
      </w:pPr>
    </w:p>
    <w:p>
      <w:pPr>
        <w:snapToGrid w:val="0"/>
        <w:spacing w:line="360" w:lineRule="auto"/>
        <w:rPr>
          <w:color w:val="auto"/>
        </w:rPr>
      </w:pPr>
    </w:p>
    <w:p>
      <w:pPr>
        <w:snapToGrid w:val="0"/>
        <w:spacing w:line="360" w:lineRule="auto"/>
        <w:rPr>
          <w:color w:val="auto"/>
        </w:rPr>
      </w:pPr>
    </w:p>
    <w:p>
      <w:pPr>
        <w:snapToGrid w:val="0"/>
        <w:spacing w:line="360" w:lineRule="auto"/>
        <w:rPr>
          <w:color w:val="auto"/>
        </w:rPr>
      </w:pPr>
    </w:p>
    <w:p>
      <w:pPr>
        <w:snapToGrid w:val="0"/>
        <w:spacing w:line="360" w:lineRule="auto"/>
        <w:ind w:firstLine="4200" w:firstLineChars="2000"/>
        <w:rPr>
          <w:color w:val="auto"/>
        </w:rPr>
      </w:pPr>
      <w:r>
        <w:rPr>
          <w:rFonts w:hint="eastAsia"/>
          <w:color w:val="auto"/>
        </w:rPr>
        <w:t>供应商：</w:t>
      </w:r>
      <w:r>
        <w:rPr>
          <w:rFonts w:hint="eastAsia"/>
          <w:color w:val="auto"/>
          <w:u w:val="single"/>
        </w:rPr>
        <w:t xml:space="preserve">          </w:t>
      </w:r>
      <w:r>
        <w:rPr>
          <w:rFonts w:hint="eastAsia"/>
          <w:color w:val="auto"/>
        </w:rPr>
        <w:t>（全称并盖公章）</w:t>
      </w:r>
    </w:p>
    <w:p>
      <w:pPr>
        <w:snapToGrid w:val="0"/>
        <w:spacing w:line="360" w:lineRule="auto"/>
        <w:ind w:firstLine="4200" w:firstLineChars="2000"/>
        <w:rPr>
          <w:color w:val="auto"/>
        </w:rPr>
      </w:pPr>
      <w:r>
        <w:rPr>
          <w:rFonts w:hint="eastAsia"/>
          <w:color w:val="auto"/>
        </w:rPr>
        <w:t>法定代表人或其委托代理人：</w:t>
      </w:r>
      <w:r>
        <w:rPr>
          <w:rFonts w:hint="eastAsia"/>
          <w:color w:val="auto"/>
          <w:u w:val="single"/>
        </w:rPr>
        <w:t xml:space="preserve">        </w:t>
      </w:r>
      <w:r>
        <w:rPr>
          <w:rFonts w:hint="eastAsia"/>
          <w:color w:val="auto"/>
        </w:rPr>
        <w:t>（签字）</w:t>
      </w:r>
    </w:p>
    <w:p>
      <w:pPr>
        <w:snapToGrid w:val="0"/>
        <w:spacing w:line="360" w:lineRule="auto"/>
        <w:ind w:firstLine="4200" w:firstLineChars="2000"/>
        <w:rPr>
          <w:color w:val="auto"/>
        </w:rPr>
      </w:pPr>
      <w:r>
        <w:rPr>
          <w:rFonts w:hint="eastAsia"/>
          <w:color w:val="auto"/>
        </w:rPr>
        <w:t>日     期：</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snapToGrid w:val="0"/>
        <w:spacing w:line="360" w:lineRule="auto"/>
        <w:rPr>
          <w:color w:val="auto"/>
        </w:rPr>
      </w:pPr>
    </w:p>
    <w:p>
      <w:pPr>
        <w:spacing w:line="500" w:lineRule="exact"/>
        <w:ind w:left="540" w:right="968" w:rightChars="461" w:hanging="360"/>
        <w:jc w:val="center"/>
        <w:rPr>
          <w:color w:val="auto"/>
          <w:szCs w:val="21"/>
        </w:rPr>
      </w:pPr>
    </w:p>
    <w:p>
      <w:pPr>
        <w:spacing w:line="360" w:lineRule="auto"/>
        <w:rPr>
          <w:rFonts w:hint="eastAsia" w:cs="仿宋_GB2312" w:asciiTheme="minorEastAsia" w:hAnsiTheme="minorEastAsia" w:eastAsiaTheme="minorEastAsia"/>
          <w:b/>
          <w:color w:val="auto"/>
          <w:sz w:val="24"/>
        </w:rPr>
      </w:pPr>
    </w:p>
    <w:p>
      <w:pPr>
        <w:snapToGrid w:val="0"/>
        <w:spacing w:line="360" w:lineRule="auto"/>
        <w:ind w:right="480"/>
        <w:jc w:val="center"/>
        <w:rPr>
          <w:rFonts w:hint="eastAsia"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24"/>
        </w:rPr>
        <w:t>⑤</w:t>
      </w:r>
      <w:r>
        <w:rPr>
          <w:rFonts w:hint="eastAsia" w:cs="仿宋_GB2312" w:asciiTheme="minorEastAsia" w:hAnsiTheme="minorEastAsia" w:eastAsiaTheme="minorEastAsia"/>
          <w:b/>
          <w:bCs/>
          <w:color w:val="auto"/>
          <w:sz w:val="32"/>
          <w:szCs w:val="32"/>
        </w:rPr>
        <w:t>不存在磋商公告中“二、申请人的资格要求3本项目的特定资格要求⑦、⑧”的情形承诺书</w:t>
      </w:r>
    </w:p>
    <w:p>
      <w:pPr>
        <w:snapToGrid w:val="0"/>
        <w:spacing w:line="360" w:lineRule="auto"/>
        <w:ind w:right="480"/>
        <w:jc w:val="center"/>
        <w:rPr>
          <w:rFonts w:hint="eastAsia" w:cs="仿宋_GB2312" w:asciiTheme="minorEastAsia" w:hAnsiTheme="minorEastAsia" w:eastAsiaTheme="minorEastAsia"/>
          <w:b/>
          <w:bCs/>
          <w:color w:val="auto"/>
          <w:sz w:val="32"/>
          <w:szCs w:val="32"/>
        </w:rPr>
      </w:pPr>
    </w:p>
    <w:p>
      <w:pPr>
        <w:snapToGrid w:val="0"/>
        <w:spacing w:line="360" w:lineRule="auto"/>
        <w:ind w:firstLine="420" w:firstLineChars="200"/>
        <w:jc w:val="center"/>
        <w:rPr>
          <w:bCs/>
          <w:color w:val="auto"/>
        </w:rPr>
        <w:sectPr>
          <w:footerReference r:id="rId6" w:type="first"/>
          <w:headerReference r:id="rId3" w:type="default"/>
          <w:footerReference r:id="rId4" w:type="default"/>
          <w:footerReference r:id="rId5" w:type="even"/>
          <w:pgSz w:w="11906" w:h="16838"/>
          <w:pgMar w:top="1247" w:right="1418" w:bottom="1276" w:left="1418" w:header="851" w:footer="992" w:gutter="0"/>
          <w:cols w:space="720" w:num="1"/>
          <w:titlePg/>
          <w:docGrid w:linePitch="312" w:charSpace="0"/>
        </w:sectPr>
      </w:pPr>
      <w:r>
        <w:rPr>
          <w:rFonts w:hint="eastAsia"/>
          <w:bCs/>
          <w:color w:val="auto"/>
        </w:rPr>
        <w:t>供应商格式自拟</w:t>
      </w:r>
    </w:p>
    <w:p>
      <w:pPr>
        <w:pStyle w:val="630"/>
        <w:ind w:firstLine="602"/>
        <w:jc w:val="center"/>
        <w:rPr>
          <w:rFonts w:hint="eastAsia" w:asciiTheme="minorEastAsia" w:hAnsiTheme="minorEastAsia" w:eastAsiaTheme="minorEastAsia"/>
          <w:color w:val="auto"/>
          <w:sz w:val="30"/>
          <w:szCs w:val="30"/>
        </w:rPr>
      </w:pPr>
      <w:r>
        <w:rPr>
          <w:rFonts w:hint="eastAsia" w:asciiTheme="minorEastAsia" w:hAnsiTheme="minorEastAsia" w:eastAsiaTheme="minorEastAsia"/>
          <w:color w:val="auto"/>
          <w:sz w:val="30"/>
          <w:szCs w:val="30"/>
        </w:rPr>
        <w:t>三、法定代表人身份证明或法定代表人的授权委托书</w:t>
      </w:r>
    </w:p>
    <w:p>
      <w:pPr>
        <w:snapToGrid w:val="0"/>
        <w:spacing w:line="360" w:lineRule="auto"/>
        <w:jc w:val="center"/>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（一）法定代表人身份证明</w:t>
      </w:r>
    </w:p>
    <w:p>
      <w:pPr>
        <w:snapToGrid w:val="0"/>
        <w:spacing w:line="360" w:lineRule="auto"/>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供应商名称：</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w:t>
      </w:r>
    </w:p>
    <w:p>
      <w:pPr>
        <w:snapToGrid w:val="0"/>
        <w:spacing w:line="360" w:lineRule="auto"/>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单位性质：</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w:t>
      </w:r>
    </w:p>
    <w:p>
      <w:pPr>
        <w:snapToGrid w:val="0"/>
        <w:spacing w:line="360" w:lineRule="auto"/>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地    址：</w:t>
      </w:r>
      <w:r>
        <w:rPr>
          <w:rFonts w:hint="eastAsia" w:cs="仿宋_GB2312" w:asciiTheme="minorEastAsia" w:hAnsiTheme="minorEastAsia" w:eastAsiaTheme="minorEastAsia"/>
          <w:color w:val="auto"/>
          <w:kern w:val="0"/>
          <w:sz w:val="24"/>
          <w:u w:val="single"/>
          <w:lang w:val="zh-CN"/>
        </w:rPr>
        <w:t xml:space="preserve">                               </w:t>
      </w:r>
    </w:p>
    <w:p>
      <w:pPr>
        <w:snapToGrid w:val="0"/>
        <w:spacing w:line="360" w:lineRule="auto"/>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成立时间：</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年</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日</w:t>
      </w:r>
    </w:p>
    <w:p>
      <w:pPr>
        <w:snapToGrid w:val="0"/>
        <w:spacing w:line="360" w:lineRule="auto"/>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性别：</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年龄：</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职务：</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系 </w:t>
      </w:r>
      <w:r>
        <w:rPr>
          <w:rFonts w:hint="eastAsia" w:cs="仿宋_GB2312" w:asciiTheme="minorEastAsia" w:hAnsiTheme="minorEastAsia" w:eastAsiaTheme="minorEastAsia"/>
          <w:color w:val="auto"/>
          <w:kern w:val="0"/>
          <w:sz w:val="24"/>
          <w:u w:val="single"/>
          <w:lang w:val="zh-CN"/>
        </w:rPr>
        <w:t xml:space="preserve"> （供应商名称）</w:t>
      </w:r>
      <w:r>
        <w:rPr>
          <w:rFonts w:hint="eastAsia" w:cs="仿宋_GB2312" w:asciiTheme="minorEastAsia" w:hAnsiTheme="minorEastAsia" w:eastAsiaTheme="minorEastAsia"/>
          <w:color w:val="auto"/>
          <w:kern w:val="0"/>
          <w:sz w:val="24"/>
          <w:lang w:val="zh-CN"/>
        </w:rPr>
        <w:t>的法定代表人。</w:t>
      </w:r>
    </w:p>
    <w:p>
      <w:pPr>
        <w:snapToGrid w:val="0"/>
        <w:spacing w:line="360" w:lineRule="auto"/>
        <w:rPr>
          <w:rFonts w:hint="eastAsia" w:cs="仿宋_GB2312" w:asciiTheme="minorEastAsia" w:hAnsiTheme="minorEastAsia" w:eastAsiaTheme="minorEastAsia"/>
          <w:color w:val="auto"/>
          <w:kern w:val="0"/>
          <w:sz w:val="24"/>
          <w:lang w:val="zh-CN"/>
        </w:rPr>
      </w:pPr>
      <w:r>
        <w:rPr>
          <w:rFonts w:cs="仿宋_GB2312" w:asciiTheme="minorEastAsia" w:hAnsiTheme="minorEastAsia" w:eastAsiaTheme="minorEastAsia"/>
          <w:color w:val="auto"/>
          <w:kern w:val="0"/>
          <w:sz w:val="24"/>
          <w:lang w:val="zh-CN"/>
        </w:rPr>
        <mc:AlternateContent>
          <mc:Choice Requires="wps">
            <w:drawing>
              <wp:anchor distT="45720" distB="45720" distL="114300" distR="114300" simplePos="0" relativeHeight="251684864" behindDoc="0" locked="0" layoutInCell="1" allowOverlap="1">
                <wp:simplePos x="0" y="0"/>
                <wp:positionH relativeFrom="column">
                  <wp:posOffset>117475</wp:posOffset>
                </wp:positionH>
                <wp:positionV relativeFrom="paragraph">
                  <wp:posOffset>480060</wp:posOffset>
                </wp:positionV>
                <wp:extent cx="5775960" cy="2312670"/>
                <wp:effectExtent l="0" t="0" r="15240" b="1143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5960" cy="2312670"/>
                        </a:xfrm>
                        <a:prstGeom prst="rect">
                          <a:avLst/>
                        </a:prstGeom>
                        <a:solidFill>
                          <a:srgbClr val="FFFFFF"/>
                        </a:solidFill>
                        <a:ln w="9525">
                          <a:solidFill>
                            <a:srgbClr val="000000"/>
                          </a:solidFill>
                          <a:miter lim="800000"/>
                        </a:ln>
                      </wps:spPr>
                      <wps:txbx>
                        <w:txbxContent>
                          <w:p>
                            <w:pPr>
                              <w:snapToGrid w:val="0"/>
                              <w:spacing w:line="360" w:lineRule="auto"/>
                            </w:pPr>
                            <w:r>
                              <w:rPr>
                                <w:rFonts w:hint="eastAsia" w:ascii="宋体" w:hAnsi="宋体"/>
                              </w:rPr>
                              <w:t>法定代表人身份证复制件</w:t>
                            </w:r>
                          </w:p>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9.25pt;margin-top:37.8pt;height:182.1pt;width:454.8pt;mso-wrap-distance-bottom:3.6pt;mso-wrap-distance-left:9pt;mso-wrap-distance-right:9pt;mso-wrap-distance-top:3.6pt;z-index:251684864;mso-width-relative:page;mso-height-relative:page;" fillcolor="#FFFFFF" filled="t" stroked="t" coordsize="21600,21600" o:gfxdata="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&#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DZHr7ZAAAACQEAAA8AAAAAAAAAAQAgAAAAIgAAAGRy&#10;cy9kb3ducmV2LnhtbFBLAQIUABQAAAAIAIdO4kApYd64PQIAAH4EAAAOAAAAAAAAAAEAIAAAACgB&#10;AABkcnMvZTJvRG9jLnhtbFBLBQYAAAAABgAGAFkBAADXBQAAAAA=&#10;">
                <v:fill on="t" focussize="0,0"/>
                <v:stroke color="#000000" miterlimit="8" joinstyle="miter"/>
                <v:imagedata o:title=""/>
                <o:lock v:ext="edit" aspectratio="f"/>
                <v:textbox>
                  <w:txbxContent>
                    <w:p>
                      <w:pPr>
                        <w:snapToGrid w:val="0"/>
                        <w:spacing w:line="360" w:lineRule="auto"/>
                      </w:pPr>
                      <w:r>
                        <w:rPr>
                          <w:rFonts w:hint="eastAsia" w:ascii="宋体" w:hAnsi="宋体"/>
                        </w:rPr>
                        <w:t>法定代表人身份证复制件</w:t>
                      </w:r>
                    </w:p>
                    <w:p/>
                  </w:txbxContent>
                </v:textbox>
                <w10:wrap type="square"/>
              </v:shape>
            </w:pict>
          </mc:Fallback>
        </mc:AlternateContent>
      </w:r>
      <w:r>
        <w:rPr>
          <w:rFonts w:hint="eastAsia" w:cs="仿宋_GB2312" w:asciiTheme="minorEastAsia" w:hAnsiTheme="minorEastAsia" w:eastAsiaTheme="minorEastAsia"/>
          <w:color w:val="auto"/>
          <w:kern w:val="0"/>
          <w:sz w:val="24"/>
          <w:lang w:val="zh-CN"/>
        </w:rPr>
        <w:t xml:space="preserve">特此证明。 </w:t>
      </w:r>
    </w:p>
    <w:p>
      <w:pPr>
        <w:snapToGrid w:val="0"/>
        <w:spacing w:line="360" w:lineRule="auto"/>
        <w:rPr>
          <w:color w:val="auto"/>
          <w:szCs w:val="21"/>
        </w:rPr>
      </w:pPr>
      <w:r>
        <w:rPr>
          <w:rFonts w:hint="eastAsia" w:cs="仿宋_GB2312" w:asciiTheme="minorEastAsia" w:hAnsiTheme="minorEastAsia" w:eastAsiaTheme="minorEastAsia"/>
          <w:color w:val="auto"/>
          <w:kern w:val="0"/>
          <w:sz w:val="24"/>
          <w:lang w:val="zh-CN"/>
        </w:rPr>
        <w:t xml:space="preserve">   </w:t>
      </w:r>
      <w:r>
        <w:rPr>
          <w:color w:val="auto"/>
        </w:rPr>
        <w:t xml:space="preserve">            </w:t>
      </w:r>
    </w:p>
    <w:p>
      <w:pPr>
        <w:snapToGrid w:val="0"/>
        <w:spacing w:line="360" w:lineRule="auto"/>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w:t>
      </w:r>
    </w:p>
    <w:p>
      <w:pPr>
        <w:snapToGrid w:val="0"/>
        <w:spacing w:line="360" w:lineRule="auto"/>
        <w:jc w:val="right"/>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供应商名称(电子签名)：</w:t>
      </w:r>
    </w:p>
    <w:p>
      <w:pPr>
        <w:snapToGrid w:val="0"/>
        <w:spacing w:line="360" w:lineRule="auto"/>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pPr>
        <w:snapToGrid w:val="0"/>
        <w:spacing w:line="360" w:lineRule="auto"/>
        <w:rPr>
          <w:rFonts w:hint="eastAsia" w:cs="仿宋_GB2312" w:asciiTheme="minorEastAsia" w:hAnsiTheme="minorEastAsia" w:eastAsiaTheme="minorEastAsia"/>
          <w:color w:val="auto"/>
          <w:kern w:val="0"/>
          <w:sz w:val="24"/>
          <w:lang w:val="zh-CN"/>
        </w:rPr>
      </w:pPr>
    </w:p>
    <w:p>
      <w:pPr>
        <w:widowControl/>
        <w:adjustRightInd/>
        <w:jc w:val="left"/>
        <w:rPr>
          <w:rFonts w:hint="eastAsia"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pPr>
        <w:snapToGrid w:val="0"/>
        <w:spacing w:line="360" w:lineRule="auto"/>
        <w:jc w:val="center"/>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（二）授权委托书</w:t>
      </w:r>
    </w:p>
    <w:p>
      <w:pPr>
        <w:snapToGrid w:val="0"/>
        <w:spacing w:line="360" w:lineRule="auto"/>
        <w:rPr>
          <w:color w:val="auto"/>
        </w:rPr>
      </w:pPr>
      <w:r>
        <w:rPr>
          <w:color w:val="auto"/>
        </w:rPr>
        <w:t xml:space="preserve"> </w:t>
      </w:r>
    </w:p>
    <w:p>
      <w:pPr>
        <w:snapToGrid w:val="0"/>
        <w:spacing w:line="360" w:lineRule="auto"/>
        <w:ind w:firstLine="480" w:firstLineChars="200"/>
        <w:rPr>
          <w:color w:val="auto"/>
          <w:sz w:val="24"/>
        </w:rPr>
      </w:pPr>
      <w:r>
        <w:rPr>
          <w:rFonts w:ascii="宋体" w:hAnsi="宋体"/>
          <w:color w:val="auto"/>
          <w:sz w:val="24"/>
        </w:rPr>
        <w:t>本人</w:t>
      </w:r>
      <w:r>
        <w:rPr>
          <w:color w:val="auto"/>
          <w:sz w:val="24"/>
          <w:u w:val="single"/>
        </w:rPr>
        <w:t xml:space="preserve">       </w:t>
      </w:r>
      <w:r>
        <w:rPr>
          <w:rFonts w:ascii="宋体" w:hAnsi="宋体"/>
          <w:color w:val="auto"/>
          <w:sz w:val="24"/>
        </w:rPr>
        <w:t>（姓名）系</w:t>
      </w:r>
      <w:r>
        <w:rPr>
          <w:color w:val="auto"/>
          <w:sz w:val="24"/>
          <w:u w:val="single"/>
        </w:rPr>
        <w:t xml:space="preserve">        </w:t>
      </w:r>
      <w:r>
        <w:rPr>
          <w:rFonts w:ascii="宋体" w:hAnsi="宋体"/>
          <w:color w:val="auto"/>
          <w:sz w:val="24"/>
        </w:rPr>
        <w:t>（</w:t>
      </w:r>
      <w:r>
        <w:rPr>
          <w:rFonts w:hint="eastAsia" w:ascii="宋体" w:hAnsi="宋体"/>
          <w:color w:val="auto"/>
          <w:sz w:val="24"/>
        </w:rPr>
        <w:t>供应商</w:t>
      </w:r>
      <w:r>
        <w:rPr>
          <w:rFonts w:ascii="宋体" w:hAnsi="宋体"/>
          <w:color w:val="auto"/>
          <w:sz w:val="24"/>
        </w:rPr>
        <w:t>名称）的法定代表人，现委托</w:t>
      </w:r>
      <w:r>
        <w:rPr>
          <w:color w:val="auto"/>
          <w:sz w:val="24"/>
          <w:u w:val="single"/>
        </w:rPr>
        <w:t xml:space="preserve">        </w:t>
      </w:r>
      <w:r>
        <w:rPr>
          <w:rFonts w:ascii="宋体" w:hAnsi="宋体"/>
          <w:color w:val="auto"/>
          <w:sz w:val="24"/>
        </w:rPr>
        <w:t>（姓名）为我方代理人。代理人根据授权，以我方名义签署、澄清</w:t>
      </w:r>
      <w:r>
        <w:rPr>
          <w:rFonts w:hint="eastAsia" w:ascii="宋体" w:hAnsi="宋体"/>
          <w:color w:val="auto"/>
          <w:sz w:val="24"/>
        </w:rPr>
        <w:t>、说明、补正</w:t>
      </w:r>
      <w:r>
        <w:rPr>
          <w:rFonts w:ascii="宋体" w:hAnsi="宋体"/>
          <w:color w:val="auto"/>
          <w:sz w:val="24"/>
        </w:rPr>
        <w:t>、递交、撤回、修改</w:t>
      </w:r>
      <w:r>
        <w:rPr>
          <w:rFonts w:hint="eastAsia"/>
          <w:color w:val="auto"/>
          <w:sz w:val="24"/>
          <w:u w:val="single"/>
        </w:rPr>
        <w:t xml:space="preserve">      </w:t>
      </w:r>
      <w:r>
        <w:rPr>
          <w:rFonts w:hint="eastAsia" w:ascii="宋体" w:hAnsi="宋体"/>
          <w:color w:val="auto"/>
          <w:sz w:val="24"/>
        </w:rPr>
        <w:t>（项目名称）响应</w:t>
      </w:r>
      <w:r>
        <w:rPr>
          <w:rFonts w:ascii="宋体" w:hAnsi="宋体"/>
          <w:color w:val="auto"/>
          <w:sz w:val="24"/>
        </w:rPr>
        <w:t>文件</w:t>
      </w:r>
      <w:r>
        <w:rPr>
          <w:rFonts w:hint="eastAsia" w:ascii="宋体" w:hAnsi="宋体"/>
          <w:color w:val="auto"/>
          <w:sz w:val="24"/>
        </w:rPr>
        <w:t>，</w:t>
      </w:r>
      <w:r>
        <w:rPr>
          <w:rFonts w:ascii="宋体" w:hAnsi="宋体"/>
          <w:color w:val="auto"/>
          <w:sz w:val="24"/>
        </w:rPr>
        <w:t>签订合同和处理有关事宜，其法律后果由我方承担。</w:t>
      </w:r>
    </w:p>
    <w:p>
      <w:pPr>
        <w:snapToGrid w:val="0"/>
        <w:spacing w:line="360" w:lineRule="auto"/>
        <w:ind w:firstLine="480" w:firstLineChars="200"/>
        <w:rPr>
          <w:color w:val="auto"/>
          <w:sz w:val="24"/>
        </w:rPr>
      </w:pPr>
      <w:r>
        <w:rPr>
          <w:rFonts w:ascii="宋体" w:hAnsi="宋体"/>
          <w:color w:val="auto"/>
          <w:sz w:val="24"/>
        </w:rPr>
        <w:t>委托期限：</w:t>
      </w:r>
      <w:r>
        <w:rPr>
          <w:color w:val="auto"/>
          <w:sz w:val="24"/>
          <w:u w:val="single"/>
        </w:rPr>
        <w:t xml:space="preserve">             </w:t>
      </w:r>
      <w:r>
        <w:rPr>
          <w:rFonts w:hint="eastAsia" w:ascii="宋体" w:hAnsi="宋体"/>
          <w:color w:val="auto"/>
          <w:sz w:val="24"/>
        </w:rPr>
        <w:t>。</w:t>
      </w:r>
    </w:p>
    <w:p>
      <w:pPr>
        <w:snapToGrid w:val="0"/>
        <w:spacing w:line="360" w:lineRule="auto"/>
        <w:ind w:firstLine="480" w:firstLineChars="200"/>
        <w:rPr>
          <w:rFonts w:hint="eastAsia" w:ascii="宋体" w:hAnsi="宋体"/>
          <w:color w:val="auto"/>
          <w:sz w:val="24"/>
        </w:rPr>
      </w:pPr>
      <w:r>
        <w:rPr>
          <w:rFonts w:ascii="宋体" w:hAnsi="宋体"/>
          <w:color w:val="auto"/>
          <w:sz w:val="24"/>
        </w:rPr>
        <w:t>代理人无转委托权。</w:t>
      </w:r>
    </w:p>
    <w:p>
      <w:pPr>
        <w:snapToGrid w:val="0"/>
        <w:spacing w:line="360" w:lineRule="auto"/>
        <w:ind w:firstLine="3840" w:firstLineChars="1600"/>
        <w:rPr>
          <w:color w:val="auto"/>
          <w:sz w:val="24"/>
        </w:rPr>
      </w:pPr>
      <w:r>
        <w:rPr>
          <w:rFonts w:hint="eastAsia" w:ascii="宋体" w:hAnsi="宋体"/>
          <w:color w:val="auto"/>
          <w:sz w:val="24"/>
        </w:rPr>
        <w:t>供应商</w:t>
      </w:r>
      <w:r>
        <w:rPr>
          <w:rFonts w:ascii="宋体" w:hAnsi="宋体"/>
          <w:color w:val="auto"/>
          <w:sz w:val="24"/>
        </w:rPr>
        <w:t>：</w:t>
      </w:r>
      <w:r>
        <w:rPr>
          <w:color w:val="auto"/>
          <w:sz w:val="24"/>
          <w:u w:val="single"/>
        </w:rPr>
        <w:t xml:space="preserve">                    </w:t>
      </w:r>
      <w:r>
        <w:rPr>
          <w:rFonts w:ascii="宋体" w:hAnsi="宋体"/>
          <w:color w:val="auto"/>
          <w:sz w:val="24"/>
        </w:rPr>
        <w:t>（盖单位</w:t>
      </w:r>
      <w:r>
        <w:rPr>
          <w:rFonts w:hint="eastAsia" w:ascii="宋体" w:hAnsi="宋体"/>
          <w:color w:val="auto"/>
          <w:sz w:val="24"/>
        </w:rPr>
        <w:t>单子</w:t>
      </w:r>
      <w:r>
        <w:rPr>
          <w:rFonts w:ascii="宋体" w:hAnsi="宋体"/>
          <w:color w:val="auto"/>
          <w:sz w:val="24"/>
        </w:rPr>
        <w:t>公章）</w:t>
      </w:r>
    </w:p>
    <w:p>
      <w:pPr>
        <w:snapToGrid w:val="0"/>
        <w:spacing w:line="360" w:lineRule="auto"/>
        <w:ind w:firstLine="3840" w:firstLineChars="1600"/>
        <w:rPr>
          <w:color w:val="auto"/>
          <w:sz w:val="24"/>
        </w:rPr>
      </w:pPr>
      <w:r>
        <w:rPr>
          <w:rFonts w:ascii="宋体" w:hAnsi="宋体"/>
          <w:color w:val="auto"/>
          <w:sz w:val="24"/>
        </w:rPr>
        <w:t>法定代表人：</w:t>
      </w:r>
      <w:r>
        <w:rPr>
          <w:color w:val="auto"/>
          <w:sz w:val="24"/>
          <w:u w:val="single"/>
        </w:rPr>
        <w:t xml:space="preserve">            </w:t>
      </w:r>
      <w:r>
        <w:rPr>
          <w:rFonts w:ascii="宋体" w:hAnsi="宋体"/>
          <w:color w:val="auto"/>
          <w:sz w:val="24"/>
        </w:rPr>
        <w:t>（</w:t>
      </w:r>
      <w:r>
        <w:rPr>
          <w:rFonts w:hint="eastAsia" w:ascii="宋体" w:hAnsi="宋体"/>
          <w:color w:val="auto"/>
          <w:sz w:val="24"/>
        </w:rPr>
        <w:t>盖法定</w:t>
      </w:r>
      <w:r>
        <w:rPr>
          <w:rFonts w:ascii="宋体" w:hAnsi="宋体"/>
          <w:color w:val="auto"/>
          <w:sz w:val="24"/>
        </w:rPr>
        <w:t>代表人电子章）</w:t>
      </w:r>
    </w:p>
    <w:p>
      <w:pPr>
        <w:snapToGrid w:val="0"/>
        <w:spacing w:line="360" w:lineRule="auto"/>
        <w:ind w:firstLine="3840" w:firstLineChars="1600"/>
        <w:rPr>
          <w:color w:val="auto"/>
          <w:sz w:val="24"/>
        </w:rPr>
      </w:pPr>
      <w:r>
        <w:rPr>
          <w:rFonts w:ascii="宋体" w:hAnsi="宋体"/>
          <w:color w:val="auto"/>
          <w:sz w:val="24"/>
        </w:rPr>
        <w:t>身份证号码：</w:t>
      </w:r>
      <w:r>
        <w:rPr>
          <w:color w:val="auto"/>
          <w:sz w:val="24"/>
          <w:u w:val="single"/>
        </w:rPr>
        <w:t xml:space="preserve">                                </w:t>
      </w:r>
    </w:p>
    <w:p>
      <w:pPr>
        <w:snapToGrid w:val="0"/>
        <w:spacing w:line="360" w:lineRule="auto"/>
        <w:ind w:firstLine="3840" w:firstLineChars="1600"/>
        <w:rPr>
          <w:color w:val="auto"/>
          <w:sz w:val="24"/>
        </w:rPr>
      </w:pPr>
      <w:r>
        <w:rPr>
          <w:rFonts w:hint="eastAsia" w:ascii="宋体" w:hAnsi="宋体"/>
          <w:color w:val="auto"/>
          <w:sz w:val="24"/>
        </w:rPr>
        <w:t>授权代理人</w:t>
      </w:r>
      <w:r>
        <w:rPr>
          <w:rFonts w:ascii="宋体" w:hAnsi="宋体"/>
          <w:color w:val="auto"/>
          <w:sz w:val="24"/>
        </w:rPr>
        <w:t>：</w:t>
      </w:r>
      <w:r>
        <w:rPr>
          <w:color w:val="auto"/>
          <w:sz w:val="24"/>
          <w:u w:val="single"/>
        </w:rPr>
        <w:t xml:space="preserve">                   </w:t>
      </w:r>
      <w:r>
        <w:rPr>
          <w:rFonts w:hint="eastAsia" w:ascii="宋体" w:hAnsi="宋体"/>
          <w:color w:val="auto"/>
          <w:sz w:val="24"/>
        </w:rPr>
        <w:t>（填写姓名）</w:t>
      </w:r>
    </w:p>
    <w:p>
      <w:pPr>
        <w:snapToGrid w:val="0"/>
        <w:spacing w:line="360" w:lineRule="auto"/>
        <w:ind w:firstLine="3840" w:firstLineChars="1600"/>
        <w:rPr>
          <w:color w:val="auto"/>
          <w:sz w:val="24"/>
          <w:u w:val="single"/>
        </w:rPr>
      </w:pPr>
      <w:r>
        <w:rPr>
          <w:rFonts w:ascii="宋体" w:hAnsi="宋体"/>
          <w:color w:val="auto"/>
          <w:sz w:val="24"/>
        </w:rPr>
        <w:t>身份证号码：</w:t>
      </w:r>
      <w:r>
        <w:rPr>
          <w:color w:val="auto"/>
          <w:sz w:val="24"/>
          <w:u w:val="single"/>
        </w:rPr>
        <w:t xml:space="preserve">                                </w:t>
      </w:r>
    </w:p>
    <w:p>
      <w:pPr>
        <w:snapToGrid w:val="0"/>
        <w:spacing w:line="360" w:lineRule="auto"/>
        <w:ind w:firstLine="3840" w:firstLineChars="1600"/>
        <w:rPr>
          <w:color w:val="auto"/>
          <w:sz w:val="24"/>
        </w:rPr>
      </w:pPr>
      <w:r>
        <w:rPr>
          <w:rFonts w:hint="eastAsia" w:ascii="宋体" w:hAnsi="宋体"/>
          <w:color w:val="auto"/>
          <w:sz w:val="24"/>
        </w:rPr>
        <w:t>手机</w:t>
      </w:r>
      <w:r>
        <w:rPr>
          <w:rFonts w:ascii="宋体" w:hAnsi="宋体"/>
          <w:color w:val="auto"/>
          <w:sz w:val="24"/>
        </w:rPr>
        <w:t>号码：</w:t>
      </w:r>
      <w:r>
        <w:rPr>
          <w:color w:val="auto"/>
          <w:sz w:val="24"/>
          <w:u w:val="single"/>
        </w:rPr>
        <w:t xml:space="preserve">                                  </w:t>
      </w:r>
    </w:p>
    <w:p>
      <w:pPr>
        <w:snapToGrid w:val="0"/>
        <w:spacing w:line="360" w:lineRule="auto"/>
        <w:ind w:firstLine="4560" w:firstLineChars="1900"/>
        <w:rPr>
          <w:color w:val="auto"/>
          <w:sz w:val="24"/>
        </w:rPr>
      </w:pPr>
      <w:r>
        <w:rPr>
          <w:color w:val="auto"/>
          <w:sz w:val="24"/>
          <w:u w:val="single"/>
        </w:rPr>
        <w:t xml:space="preserve">       </w:t>
      </w:r>
      <w:r>
        <w:rPr>
          <w:rFonts w:ascii="宋体" w:hAnsi="宋体"/>
          <w:color w:val="auto"/>
          <w:sz w:val="24"/>
        </w:rPr>
        <w:t>年</w:t>
      </w:r>
      <w:r>
        <w:rPr>
          <w:color w:val="auto"/>
          <w:sz w:val="24"/>
          <w:u w:val="single"/>
        </w:rPr>
        <w:t xml:space="preserve">       </w:t>
      </w:r>
      <w:r>
        <w:rPr>
          <w:rFonts w:ascii="宋体" w:hAnsi="宋体"/>
          <w:color w:val="auto"/>
          <w:sz w:val="24"/>
        </w:rPr>
        <w:t>月</w:t>
      </w:r>
      <w:r>
        <w:rPr>
          <w:color w:val="auto"/>
          <w:sz w:val="24"/>
          <w:u w:val="single"/>
        </w:rPr>
        <w:t xml:space="preserve">       </w:t>
      </w:r>
      <w:r>
        <w:rPr>
          <w:rFonts w:ascii="宋体" w:hAnsi="宋体"/>
          <w:color w:val="auto"/>
          <w:sz w:val="24"/>
        </w:rPr>
        <w:t>日</w:t>
      </w:r>
    </w:p>
    <w:p>
      <w:pPr>
        <w:pStyle w:val="618"/>
        <w:spacing w:line="360" w:lineRule="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 xml:space="preserve">    </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35"/>
              <w:adjustRightInd w:val="0"/>
              <w:snapToGrid w:val="0"/>
              <w:spacing w:after="120"/>
              <w:ind w:firstLine="210"/>
              <w:jc w:val="center"/>
              <w:rPr>
                <w:rFonts w:ascii="宋体"/>
                <w:color w:val="auto"/>
              </w:rPr>
            </w:pPr>
            <w:r>
              <w:rPr>
                <w:rFonts w:hint="eastAsia" w:ascii="宋体" w:hAnsi="宋体"/>
                <w:color w:val="auto"/>
              </w:rPr>
              <w:t>委托代理人身份证复制件</w:t>
            </w:r>
          </w:p>
        </w:tc>
      </w:tr>
    </w:tbl>
    <w:p>
      <w:pPr>
        <w:snapToGrid w:val="0"/>
        <w:spacing w:line="360" w:lineRule="auto"/>
        <w:ind w:firstLine="576"/>
        <w:jc w:val="right"/>
        <w:rPr>
          <w:rFonts w:hint="eastAsia" w:cs="仿宋_GB2312" w:asciiTheme="minorEastAsia" w:hAnsiTheme="minorEastAsia" w:eastAsiaTheme="minorEastAsia"/>
          <w:color w:val="auto"/>
          <w:kern w:val="0"/>
          <w:sz w:val="24"/>
          <w:lang w:val="zh-CN"/>
        </w:rPr>
      </w:pPr>
    </w:p>
    <w:p>
      <w:pPr>
        <w:snapToGrid w:val="0"/>
        <w:spacing w:line="360" w:lineRule="auto"/>
        <w:ind w:firstLine="576"/>
        <w:jc w:val="center"/>
        <w:rPr>
          <w:rFonts w:hint="eastAsia"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color w:val="auto"/>
          <w:kern w:val="0"/>
          <w:sz w:val="24"/>
          <w:lang w:val="zh-CN"/>
        </w:rPr>
        <w:t xml:space="preserve">                </w:t>
      </w:r>
      <w:r>
        <w:rPr>
          <w:rFonts w:cs="仿宋_GB2312" w:asciiTheme="minorEastAsia" w:hAnsiTheme="minorEastAsia" w:eastAsiaTheme="minorEastAsia"/>
          <w:b/>
          <w:color w:val="auto"/>
          <w:kern w:val="0"/>
          <w:sz w:val="32"/>
          <w:szCs w:val="32"/>
          <w:lang w:val="zh-CN"/>
        </w:rPr>
        <w:br w:type="page"/>
      </w:r>
    </w:p>
    <w:p>
      <w:pPr>
        <w:pStyle w:val="630"/>
        <w:ind w:firstLine="602"/>
        <w:jc w:val="center"/>
        <w:rPr>
          <w:rFonts w:hint="eastAsia" w:asciiTheme="minorEastAsia" w:hAnsiTheme="minorEastAsia" w:eastAsiaTheme="minorEastAsia"/>
          <w:color w:val="auto"/>
          <w:sz w:val="30"/>
          <w:szCs w:val="30"/>
        </w:rPr>
      </w:pPr>
      <w:r>
        <w:rPr>
          <w:rFonts w:hint="eastAsia" w:asciiTheme="minorEastAsia" w:hAnsiTheme="minorEastAsia" w:eastAsiaTheme="minorEastAsia"/>
          <w:color w:val="auto"/>
          <w:sz w:val="30"/>
          <w:szCs w:val="30"/>
        </w:rPr>
        <w:t>四、分包承诺书（如果有）</w:t>
      </w:r>
    </w:p>
    <w:p>
      <w:pPr>
        <w:widowControl/>
        <w:spacing w:line="360" w:lineRule="auto"/>
        <w:ind w:firstLine="120" w:firstLineChars="5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cs="宋体" w:asciiTheme="minorEastAsia" w:hAnsiTheme="minorEastAsia" w:eastAsiaTheme="minorEastAsia"/>
          <w:b/>
          <w:color w:val="auto"/>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rPr>
        <w:t>）</w:t>
      </w:r>
    </w:p>
    <w:p>
      <w:pPr>
        <w:snapToGrid w:val="0"/>
        <w:spacing w:line="360" w:lineRule="auto"/>
        <w:ind w:firstLine="480" w:firstLineChars="200"/>
        <w:rPr>
          <w:color w:val="auto"/>
          <w:sz w:val="24"/>
        </w:rPr>
      </w:pPr>
      <w:r>
        <w:rPr>
          <w:rFonts w:hint="eastAsia" w:ascii="宋体" w:hAnsi="宋体"/>
          <w:color w:val="auto"/>
          <w:sz w:val="24"/>
        </w:rPr>
        <w:t>致：</w:t>
      </w:r>
      <w:r>
        <w:rPr>
          <w:rFonts w:hint="eastAsia"/>
          <w:color w:val="auto"/>
          <w:sz w:val="24"/>
          <w:u w:val="single"/>
        </w:rPr>
        <w:t xml:space="preserve">     </w:t>
      </w:r>
      <w:r>
        <w:rPr>
          <w:rFonts w:hint="eastAsia" w:ascii="宋体" w:hAnsi="宋体"/>
          <w:color w:val="auto"/>
          <w:sz w:val="24"/>
          <w:u w:val="single"/>
        </w:rPr>
        <w:t>（采购人全称）</w:t>
      </w:r>
      <w:r>
        <w:rPr>
          <w:rFonts w:hint="eastAsia"/>
          <w:color w:val="auto"/>
          <w:sz w:val="24"/>
          <w:u w:val="single"/>
        </w:rPr>
        <w:t xml:space="preserve">      </w:t>
      </w:r>
    </w:p>
    <w:p>
      <w:pPr>
        <w:snapToGrid w:val="0"/>
        <w:spacing w:line="360" w:lineRule="auto"/>
        <w:ind w:firstLine="480" w:firstLineChars="200"/>
        <w:rPr>
          <w:color w:val="auto"/>
          <w:sz w:val="24"/>
        </w:rPr>
      </w:pPr>
      <w:r>
        <w:rPr>
          <w:rFonts w:hint="eastAsia" w:ascii="宋体" w:hAnsi="宋体"/>
          <w:color w:val="auto"/>
          <w:sz w:val="24"/>
        </w:rPr>
        <w:t>我谨代表</w:t>
      </w:r>
      <w:r>
        <w:rPr>
          <w:rFonts w:hint="eastAsia"/>
          <w:color w:val="auto"/>
          <w:sz w:val="24"/>
          <w:u w:val="single"/>
        </w:rPr>
        <w:t xml:space="preserve">        </w:t>
      </w:r>
      <w:r>
        <w:rPr>
          <w:rFonts w:hint="eastAsia" w:ascii="宋体" w:hAnsi="宋体"/>
          <w:color w:val="auto"/>
          <w:sz w:val="24"/>
          <w:u w:val="single"/>
        </w:rPr>
        <w:t>（供应商全称）</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rFonts w:hint="eastAsia" w:ascii="宋体" w:hAnsi="宋体"/>
          <w:color w:val="auto"/>
          <w:sz w:val="24"/>
        </w:rPr>
        <w:t>郑重承诺：若我单位成为</w:t>
      </w:r>
      <w:r>
        <w:rPr>
          <w:rFonts w:hint="eastAsia"/>
          <w:color w:val="auto"/>
          <w:sz w:val="24"/>
          <w:u w:val="single"/>
        </w:rPr>
        <w:t xml:space="preserve"> </w:t>
      </w:r>
      <w:r>
        <w:rPr>
          <w:color w:val="auto"/>
          <w:sz w:val="24"/>
          <w:u w:val="single"/>
        </w:rPr>
        <w:t xml:space="preserve">    </w:t>
      </w:r>
      <w:r>
        <w:rPr>
          <w:rFonts w:hint="eastAsia" w:ascii="宋体" w:hAnsi="宋体"/>
          <w:color w:val="auto"/>
          <w:sz w:val="24"/>
          <w:u w:val="single"/>
        </w:rPr>
        <w:t>（项目名称）</w:t>
      </w:r>
      <w:r>
        <w:rPr>
          <w:rFonts w:hint="eastAsia"/>
          <w:color w:val="auto"/>
          <w:sz w:val="24"/>
          <w:u w:val="single"/>
        </w:rPr>
        <w:t xml:space="preserve"> </w:t>
      </w:r>
      <w:r>
        <w:rPr>
          <w:color w:val="auto"/>
          <w:sz w:val="24"/>
          <w:u w:val="single"/>
        </w:rPr>
        <w:t xml:space="preserve">  </w:t>
      </w:r>
      <w:r>
        <w:rPr>
          <w:rFonts w:hint="eastAsia" w:ascii="宋体" w:hAnsi="宋体"/>
          <w:color w:val="auto"/>
          <w:sz w:val="24"/>
        </w:rPr>
        <w:t>的成交供应商，分包单位的相应试验检测等级证书及参数满足招标文件的要求且分包工作量不超过工作总量的</w:t>
      </w:r>
      <w:r>
        <w:rPr>
          <w:rFonts w:hint="eastAsia"/>
          <w:color w:val="auto"/>
          <w:sz w:val="24"/>
        </w:rPr>
        <w:t>30%</w:t>
      </w:r>
      <w:r>
        <w:rPr>
          <w:rFonts w:hint="eastAsia" w:ascii="宋体" w:hAnsi="宋体"/>
          <w:color w:val="auto"/>
          <w:sz w:val="24"/>
        </w:rPr>
        <w:t>，且分包单位为中小型企业，并经监理人、发包人审批备案，为本工程检测工作服务。</w:t>
      </w:r>
    </w:p>
    <w:p>
      <w:pPr>
        <w:snapToGrid w:val="0"/>
        <w:spacing w:line="360" w:lineRule="auto"/>
        <w:ind w:firstLine="480" w:firstLineChars="200"/>
        <w:rPr>
          <w:color w:val="auto"/>
          <w:sz w:val="24"/>
        </w:rPr>
      </w:pPr>
      <w:r>
        <w:rPr>
          <w:rFonts w:hint="eastAsia" w:ascii="宋体" w:hAnsi="宋体"/>
          <w:color w:val="auto"/>
          <w:sz w:val="24"/>
        </w:rPr>
        <w:t>特此承诺。</w:t>
      </w:r>
    </w:p>
    <w:p>
      <w:pPr>
        <w:snapToGrid w:val="0"/>
        <w:spacing w:line="360" w:lineRule="auto"/>
        <w:ind w:firstLine="480" w:firstLineChars="200"/>
        <w:rPr>
          <w:color w:val="auto"/>
        </w:rPr>
      </w:pPr>
      <w:r>
        <w:rPr>
          <w:color w:val="auto"/>
          <w:sz w:val="24"/>
        </w:rPr>
        <w:t xml:space="preserve"> </w:t>
      </w:r>
    </w:p>
    <w:p>
      <w:pPr>
        <w:snapToGrid w:val="0"/>
        <w:spacing w:line="360" w:lineRule="auto"/>
        <w:rPr>
          <w:color w:val="auto"/>
        </w:rPr>
      </w:pPr>
      <w:r>
        <w:rPr>
          <w:color w:val="auto"/>
        </w:rPr>
        <w:t xml:space="preserve"> </w:t>
      </w:r>
    </w:p>
    <w:p>
      <w:pPr>
        <w:snapToGrid w:val="0"/>
        <w:spacing w:line="360" w:lineRule="auto"/>
        <w:rPr>
          <w:color w:val="auto"/>
          <w:sz w:val="24"/>
        </w:rPr>
      </w:pPr>
      <w:r>
        <w:rPr>
          <w:rFonts w:hint="eastAsia" w:ascii="宋体" w:hAnsi="宋体"/>
          <w:color w:val="auto"/>
          <w:sz w:val="24"/>
        </w:rPr>
        <w:t>注：如无分包人，则供应商无需提供。</w:t>
      </w:r>
    </w:p>
    <w:p>
      <w:pPr>
        <w:snapToGrid w:val="0"/>
        <w:spacing w:line="360" w:lineRule="auto"/>
        <w:ind w:left="5758" w:leftChars="342" w:hanging="5040" w:hangingChars="2100"/>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供应商名称(电子签名)：</w:t>
      </w:r>
    </w:p>
    <w:p>
      <w:pPr>
        <w:snapToGrid w:val="0"/>
        <w:spacing w:line="360" w:lineRule="auto"/>
        <w:jc w:val="right"/>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分包供应商名称(电子签名/公章)：</w:t>
      </w:r>
    </w:p>
    <w:p>
      <w:pPr>
        <w:snapToGrid w:val="0"/>
        <w:spacing w:line="360" w:lineRule="auto"/>
        <w:ind w:firstLine="5760" w:firstLineChars="2400"/>
        <w:rPr>
          <w:rFonts w:hint="eastAsia"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pPr>
        <w:spacing w:line="360" w:lineRule="auto"/>
        <w:jc w:val="center"/>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pPr>
        <w:widowControl/>
        <w:adjustRightInd/>
        <w:jc w:val="left"/>
        <w:rPr>
          <w:rFonts w:hint="eastAsia"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pPr>
        <w:pStyle w:val="630"/>
        <w:ind w:firstLine="602"/>
        <w:jc w:val="center"/>
        <w:rPr>
          <w:rFonts w:hint="eastAsia" w:asciiTheme="minorEastAsia" w:hAnsiTheme="minorEastAsia" w:eastAsiaTheme="minorEastAsia"/>
          <w:color w:val="auto"/>
          <w:sz w:val="30"/>
          <w:szCs w:val="30"/>
        </w:rPr>
      </w:pPr>
      <w:r>
        <w:rPr>
          <w:rFonts w:hint="eastAsia" w:asciiTheme="minorEastAsia" w:hAnsiTheme="minorEastAsia" w:eastAsiaTheme="minorEastAsia"/>
          <w:color w:val="auto"/>
          <w:sz w:val="30"/>
          <w:szCs w:val="30"/>
        </w:rPr>
        <w:t>五、所有资信文件（复印件）</w:t>
      </w:r>
    </w:p>
    <w:p>
      <w:pPr>
        <w:spacing w:line="360" w:lineRule="auto"/>
        <w:jc w:val="center"/>
        <w:rPr>
          <w:rFonts w:hint="eastAsia"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sz w:val="24"/>
        </w:rPr>
        <w:t>（由供应商根据采购需求及磋商文件要求编制）</w:t>
      </w:r>
    </w:p>
    <w:p>
      <w:pPr>
        <w:spacing w:line="360" w:lineRule="auto"/>
        <w:jc w:val="center"/>
        <w:rPr>
          <w:rFonts w:hint="eastAsia" w:cs="仿宋_GB2312" w:asciiTheme="minorEastAsia" w:hAnsiTheme="minorEastAsia" w:eastAsiaTheme="minorEastAsia"/>
          <w:b/>
          <w:color w:val="auto"/>
          <w:sz w:val="30"/>
          <w:szCs w:val="30"/>
        </w:rPr>
      </w:pPr>
    </w:p>
    <w:p>
      <w:pPr>
        <w:snapToGrid w:val="0"/>
        <w:spacing w:line="360" w:lineRule="auto"/>
        <w:ind w:firstLine="5160" w:firstLineChars="2150"/>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pPr>
        <w:snapToGrid w:val="0"/>
        <w:spacing w:line="360" w:lineRule="auto"/>
        <w:ind w:firstLine="5160" w:firstLineChars="2150"/>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 xml:space="preserve">：   年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日</w:t>
      </w:r>
    </w:p>
    <w:p>
      <w:pPr>
        <w:spacing w:line="360" w:lineRule="auto"/>
        <w:jc w:val="center"/>
        <w:rPr>
          <w:rFonts w:hint="eastAsia" w:cs="仿宋_GB2312" w:asciiTheme="minorEastAsia" w:hAnsiTheme="minorEastAsia" w:eastAsiaTheme="minorEastAsia"/>
          <w:b/>
          <w:color w:val="auto"/>
          <w:kern w:val="0"/>
          <w:sz w:val="32"/>
          <w:szCs w:val="32"/>
        </w:rPr>
      </w:pPr>
    </w:p>
    <w:p>
      <w:pPr>
        <w:spacing w:line="360" w:lineRule="auto"/>
        <w:jc w:val="center"/>
        <w:rPr>
          <w:rFonts w:hint="eastAsia" w:cs="仿宋_GB2312" w:asciiTheme="minorEastAsia" w:hAnsiTheme="minorEastAsia" w:eastAsiaTheme="minorEastAsia"/>
          <w:b/>
          <w:bCs/>
          <w:color w:val="auto"/>
          <w:sz w:val="32"/>
          <w:szCs w:val="32"/>
        </w:rPr>
      </w:pPr>
    </w:p>
    <w:p>
      <w:pPr>
        <w:widowControl/>
        <w:adjustRightInd/>
        <w:jc w:val="left"/>
        <w:rPr>
          <w:rFonts w:hint="eastAsia" w:asciiTheme="minorEastAsia" w:hAnsiTheme="minorEastAsia" w:eastAsiaTheme="minorEastAsia"/>
          <w:b/>
          <w:color w:val="auto"/>
          <w:sz w:val="30"/>
          <w:szCs w:val="30"/>
        </w:rPr>
      </w:pPr>
      <w:r>
        <w:rPr>
          <w:rFonts w:hint="eastAsia" w:asciiTheme="minorEastAsia" w:hAnsiTheme="minorEastAsia" w:eastAsiaTheme="minorEastAsia"/>
          <w:color w:val="auto"/>
          <w:sz w:val="30"/>
          <w:szCs w:val="30"/>
        </w:rPr>
        <w:br w:type="page"/>
      </w:r>
    </w:p>
    <w:p>
      <w:pPr>
        <w:pStyle w:val="630"/>
        <w:ind w:firstLine="602"/>
        <w:jc w:val="center"/>
        <w:rPr>
          <w:rFonts w:hint="eastAsia" w:asciiTheme="minorEastAsia" w:hAnsiTheme="minorEastAsia" w:eastAsiaTheme="minorEastAsia"/>
          <w:color w:val="auto"/>
          <w:sz w:val="30"/>
          <w:szCs w:val="30"/>
        </w:rPr>
      </w:pPr>
      <w:r>
        <w:rPr>
          <w:rFonts w:hint="eastAsia" w:asciiTheme="minorEastAsia" w:hAnsiTheme="minorEastAsia" w:eastAsiaTheme="minorEastAsia"/>
          <w:color w:val="auto"/>
          <w:sz w:val="30"/>
          <w:szCs w:val="30"/>
        </w:rPr>
        <w:t>六、关于对磋商文件中有关条款的拒绝声明</w:t>
      </w:r>
    </w:p>
    <w:p>
      <w:pPr>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rPr>
          <w:rFonts w:hint="eastAsia" w:cs="仿宋_GB2312" w:asciiTheme="minorEastAsia" w:hAnsiTheme="minorEastAsia" w:eastAsiaTheme="minorEastAsia"/>
          <w:color w:val="auto"/>
          <w:sz w:val="24"/>
        </w:rPr>
      </w:pPr>
    </w:p>
    <w:p>
      <w:pPr>
        <w:autoSpaceDE w:val="0"/>
        <w:autoSpaceDN w:val="0"/>
        <w:spacing w:line="360" w:lineRule="auto"/>
        <w:ind w:firstLine="4560" w:firstLineChars="1900"/>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hint="eastAsia"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hint="eastAsia" w:cs="仿宋_GB2312" w:asciiTheme="minorEastAsia" w:hAnsiTheme="minorEastAsia" w:eastAsiaTheme="minorEastAsia"/>
          <w:b/>
          <w:bCs/>
          <w:color w:val="auto"/>
          <w:sz w:val="32"/>
          <w:szCs w:val="32"/>
        </w:rPr>
      </w:pPr>
    </w:p>
    <w:p>
      <w:pPr>
        <w:spacing w:line="360" w:lineRule="auto"/>
        <w:jc w:val="center"/>
        <w:rPr>
          <w:rFonts w:hint="eastAsia" w:cs="仿宋_GB2312" w:asciiTheme="minorEastAsia" w:hAnsiTheme="minorEastAsia" w:eastAsiaTheme="minorEastAsia"/>
          <w:b/>
          <w:bCs/>
          <w:color w:val="auto"/>
          <w:sz w:val="32"/>
          <w:szCs w:val="32"/>
        </w:rPr>
      </w:pPr>
    </w:p>
    <w:p>
      <w:pPr>
        <w:spacing w:line="360" w:lineRule="auto"/>
        <w:jc w:val="center"/>
        <w:rPr>
          <w:rFonts w:hint="eastAsia" w:cs="仿宋_GB2312" w:asciiTheme="minorEastAsia" w:hAnsiTheme="minorEastAsia" w:eastAsiaTheme="minorEastAsia"/>
          <w:b/>
          <w:bCs/>
          <w:color w:val="auto"/>
          <w:sz w:val="32"/>
          <w:szCs w:val="32"/>
        </w:rPr>
      </w:pPr>
    </w:p>
    <w:p>
      <w:pPr>
        <w:spacing w:line="360" w:lineRule="auto"/>
        <w:jc w:val="center"/>
        <w:rPr>
          <w:rFonts w:hint="eastAsia" w:cs="仿宋_GB2312" w:asciiTheme="minorEastAsia" w:hAnsiTheme="minorEastAsia" w:eastAsiaTheme="minorEastAsia"/>
          <w:b/>
          <w:bCs/>
          <w:color w:val="auto"/>
          <w:sz w:val="32"/>
          <w:szCs w:val="32"/>
        </w:rPr>
      </w:pPr>
    </w:p>
    <w:p>
      <w:pPr>
        <w:widowControl/>
        <w:adjustRightInd/>
        <w:jc w:val="left"/>
        <w:rPr>
          <w:rFonts w:hint="eastAsia" w:asciiTheme="minorEastAsia" w:hAnsiTheme="minorEastAsia" w:eastAsiaTheme="minorEastAsia"/>
          <w:b/>
          <w:color w:val="auto"/>
          <w:sz w:val="30"/>
          <w:szCs w:val="30"/>
        </w:rPr>
      </w:pPr>
      <w:r>
        <w:rPr>
          <w:rFonts w:hint="eastAsia" w:asciiTheme="minorEastAsia" w:hAnsiTheme="minorEastAsia" w:eastAsiaTheme="minorEastAsia"/>
          <w:color w:val="auto"/>
          <w:sz w:val="30"/>
          <w:szCs w:val="30"/>
        </w:rPr>
        <w:br w:type="page"/>
      </w:r>
    </w:p>
    <w:p>
      <w:pPr>
        <w:pStyle w:val="630"/>
        <w:ind w:firstLine="602"/>
        <w:jc w:val="center"/>
        <w:rPr>
          <w:rFonts w:hint="eastAsia" w:asciiTheme="minorEastAsia" w:hAnsiTheme="minorEastAsia" w:eastAsiaTheme="minorEastAsia"/>
          <w:color w:val="auto"/>
          <w:sz w:val="30"/>
          <w:szCs w:val="30"/>
        </w:rPr>
      </w:pPr>
      <w:r>
        <w:rPr>
          <w:rFonts w:hint="eastAsia" w:asciiTheme="minorEastAsia" w:hAnsiTheme="minorEastAsia" w:eastAsiaTheme="minorEastAsia"/>
          <w:color w:val="auto"/>
          <w:sz w:val="30"/>
          <w:szCs w:val="30"/>
        </w:rPr>
        <w:t>七、认为需要的其他商务文件或说明</w:t>
      </w:r>
    </w:p>
    <w:p>
      <w:pPr>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jc w:val="center"/>
        <w:rPr>
          <w:rFonts w:hint="eastAsia" w:cs="仿宋_GB2312" w:asciiTheme="minorEastAsia" w:hAnsiTheme="minorEastAsia" w:eastAsiaTheme="minorEastAsia"/>
          <w:color w:val="auto"/>
          <w:sz w:val="24"/>
        </w:rPr>
      </w:pPr>
    </w:p>
    <w:p>
      <w:pPr>
        <w:spacing w:line="360" w:lineRule="auto"/>
        <w:rPr>
          <w:rFonts w:hint="eastAsia" w:cs="仿宋_GB2312" w:asciiTheme="minorEastAsia" w:hAnsiTheme="minorEastAsia" w:eastAsiaTheme="minorEastAsia"/>
          <w:color w:val="auto"/>
          <w:sz w:val="24"/>
        </w:rPr>
      </w:pPr>
    </w:p>
    <w:p>
      <w:pPr>
        <w:autoSpaceDE w:val="0"/>
        <w:autoSpaceDN w:val="0"/>
        <w:spacing w:line="360" w:lineRule="auto"/>
        <w:ind w:firstLine="4560" w:firstLineChars="1900"/>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hint="eastAsia"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hint="eastAsia" w:cs="仿宋_GB2312" w:asciiTheme="minorEastAsia" w:hAnsiTheme="minorEastAsia" w:eastAsiaTheme="minorEastAsia"/>
          <w:b/>
          <w:bCs/>
          <w:color w:val="auto"/>
          <w:sz w:val="32"/>
          <w:szCs w:val="32"/>
        </w:rPr>
      </w:pPr>
    </w:p>
    <w:p>
      <w:pPr>
        <w:spacing w:line="360" w:lineRule="auto"/>
        <w:rPr>
          <w:rFonts w:hint="eastAsia" w:cs="仿宋_GB2312" w:asciiTheme="minorEastAsia" w:hAnsiTheme="minorEastAsia" w:eastAsiaTheme="minorEastAsia"/>
          <w:b/>
          <w:bCs/>
          <w:color w:val="auto"/>
          <w:kern w:val="0"/>
          <w:sz w:val="24"/>
        </w:rPr>
      </w:pPr>
    </w:p>
    <w:p>
      <w:pPr>
        <w:widowControl/>
        <w:adjustRightInd/>
        <w:jc w:val="left"/>
        <w:rPr>
          <w:rFonts w:hint="eastAsia"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rPr>
        <w:br w:type="page"/>
      </w:r>
    </w:p>
    <w:p>
      <w:pPr>
        <w:pStyle w:val="630"/>
        <w:ind w:firstLine="602"/>
        <w:jc w:val="center"/>
        <w:rPr>
          <w:rFonts w:hint="eastAsia" w:asciiTheme="minorEastAsia" w:hAnsiTheme="minorEastAsia" w:eastAsiaTheme="minorEastAsia"/>
          <w:color w:val="auto"/>
          <w:sz w:val="30"/>
          <w:szCs w:val="30"/>
        </w:rPr>
      </w:pPr>
      <w:r>
        <w:rPr>
          <w:rFonts w:hint="eastAsia" w:asciiTheme="minorEastAsia" w:hAnsiTheme="minorEastAsia" w:eastAsiaTheme="minorEastAsia"/>
          <w:color w:val="auto"/>
          <w:sz w:val="30"/>
          <w:szCs w:val="30"/>
        </w:rPr>
        <w:t>八、拟投入检测驻地设施设备及检测工程师、检测员承诺书</w:t>
      </w:r>
    </w:p>
    <w:p>
      <w:pPr>
        <w:spacing w:line="360" w:lineRule="auto"/>
        <w:rPr>
          <w:color w:val="auto"/>
          <w:sz w:val="24"/>
        </w:rPr>
      </w:pPr>
      <w:r>
        <w:rPr>
          <w:rFonts w:hint="eastAsia" w:ascii="宋体" w:hAnsi="宋体"/>
          <w:color w:val="auto"/>
          <w:sz w:val="24"/>
        </w:rPr>
        <w:t>致：</w:t>
      </w:r>
      <w:r>
        <w:rPr>
          <w:rFonts w:hint="eastAsia"/>
          <w:color w:val="auto"/>
          <w:sz w:val="24"/>
          <w:u w:val="single"/>
        </w:rPr>
        <w:t xml:space="preserve">     </w:t>
      </w:r>
      <w:r>
        <w:rPr>
          <w:rFonts w:hint="eastAsia" w:ascii="宋体" w:hAnsi="宋体"/>
          <w:color w:val="auto"/>
          <w:sz w:val="24"/>
          <w:u w:val="single"/>
        </w:rPr>
        <w:t>（采购人全称）</w:t>
      </w:r>
      <w:r>
        <w:rPr>
          <w:rFonts w:hint="eastAsia"/>
          <w:color w:val="auto"/>
          <w:sz w:val="24"/>
          <w:u w:val="single"/>
        </w:rPr>
        <w:t xml:space="preserve">      </w:t>
      </w:r>
    </w:p>
    <w:p>
      <w:pPr>
        <w:snapToGrid w:val="0"/>
        <w:spacing w:line="360" w:lineRule="auto"/>
        <w:ind w:firstLine="480" w:firstLineChars="200"/>
        <w:rPr>
          <w:color w:val="auto"/>
          <w:sz w:val="24"/>
        </w:rPr>
      </w:pPr>
      <w:r>
        <w:rPr>
          <w:rFonts w:hint="eastAsia" w:ascii="宋体" w:hAnsi="宋体"/>
          <w:color w:val="auto"/>
          <w:sz w:val="24"/>
        </w:rPr>
        <w:t>我谨代表</w:t>
      </w:r>
      <w:r>
        <w:rPr>
          <w:rFonts w:hint="eastAsia"/>
          <w:color w:val="auto"/>
          <w:sz w:val="24"/>
          <w:u w:val="single"/>
        </w:rPr>
        <w:t xml:space="preserve">        </w:t>
      </w:r>
      <w:r>
        <w:rPr>
          <w:rFonts w:hint="eastAsia" w:ascii="宋体" w:hAnsi="宋体"/>
          <w:color w:val="auto"/>
          <w:sz w:val="24"/>
          <w:u w:val="single"/>
        </w:rPr>
        <w:t>（供应商全称）</w:t>
      </w:r>
      <w:r>
        <w:rPr>
          <w:rFonts w:hint="eastAsia"/>
          <w:color w:val="auto"/>
          <w:sz w:val="24"/>
          <w:u w:val="single"/>
        </w:rPr>
        <w:t xml:space="preserve">       </w:t>
      </w:r>
      <w:r>
        <w:rPr>
          <w:rFonts w:hint="eastAsia" w:ascii="宋体" w:hAnsi="宋体"/>
          <w:color w:val="auto"/>
          <w:sz w:val="24"/>
        </w:rPr>
        <w:t>郑重承诺：若我单位成为</w:t>
      </w:r>
      <w:r>
        <w:rPr>
          <w:rFonts w:hint="eastAsia" w:ascii="宋体" w:hAnsi="宋体"/>
          <w:color w:val="auto"/>
          <w:sz w:val="24"/>
          <w:u w:val="single"/>
        </w:rPr>
        <w:t>（项目名称）</w:t>
      </w:r>
      <w:r>
        <w:rPr>
          <w:rFonts w:hint="eastAsia" w:ascii="宋体" w:hAnsi="宋体"/>
          <w:color w:val="auto"/>
          <w:sz w:val="24"/>
        </w:rPr>
        <w:t>的成交供应商，将保证配备、派遣满足磋商文件规定的检测驻地设施设备及检测工程师和检测员到场，即检测驻地设施设备及检测人员的人数、技术职称、检测资格、工作经历和年龄等所有各项条件均满足招标文件合同专用条款的规定要求，为本工程检测工作服务。</w:t>
      </w:r>
    </w:p>
    <w:p>
      <w:pPr>
        <w:snapToGrid w:val="0"/>
        <w:spacing w:line="360" w:lineRule="auto"/>
        <w:ind w:firstLine="480" w:firstLineChars="200"/>
        <w:rPr>
          <w:color w:val="auto"/>
          <w:sz w:val="24"/>
        </w:rPr>
      </w:pPr>
      <w:r>
        <w:rPr>
          <w:rFonts w:hint="eastAsia" w:ascii="宋体" w:hAnsi="宋体"/>
          <w:color w:val="auto"/>
          <w:sz w:val="24"/>
        </w:rPr>
        <w:t>特此承诺。</w:t>
      </w:r>
    </w:p>
    <w:p>
      <w:pPr>
        <w:rPr>
          <w:color w:val="auto"/>
        </w:rPr>
      </w:pPr>
    </w:p>
    <w:p>
      <w:pPr>
        <w:widowControl/>
        <w:adjustRightInd/>
        <w:jc w:val="left"/>
        <w:rPr>
          <w:rFonts w:hint="eastAsia"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br w:type="page"/>
      </w:r>
    </w:p>
    <w:p>
      <w:pPr>
        <w:pStyle w:val="630"/>
        <w:ind w:firstLine="602"/>
        <w:jc w:val="center"/>
        <w:rPr>
          <w:rFonts w:hint="eastAsia" w:asciiTheme="minorEastAsia" w:hAnsiTheme="minorEastAsia" w:eastAsiaTheme="minorEastAsia"/>
          <w:color w:val="auto"/>
          <w:sz w:val="30"/>
          <w:szCs w:val="30"/>
        </w:rPr>
      </w:pPr>
      <w:r>
        <w:rPr>
          <w:rFonts w:hint="eastAsia" w:asciiTheme="minorEastAsia" w:hAnsiTheme="minorEastAsia" w:eastAsiaTheme="minorEastAsia"/>
          <w:color w:val="auto"/>
          <w:sz w:val="30"/>
          <w:szCs w:val="30"/>
        </w:rPr>
        <w:t>九、技术文件</w:t>
      </w:r>
    </w:p>
    <w:p>
      <w:pPr>
        <w:pStyle w:val="158"/>
        <w:spacing w:before="120" w:after="120"/>
        <w:jc w:val="center"/>
        <w:rPr>
          <w:rFonts w:hint="eastAsia"/>
          <w:color w:val="auto"/>
          <w:kern w:val="2"/>
          <w:sz w:val="30"/>
          <w:szCs w:val="30"/>
        </w:rPr>
      </w:pPr>
      <w:r>
        <w:rPr>
          <w:rFonts w:hint="eastAsia" w:ascii="黑体" w:hAnsi="黑体"/>
          <w:color w:val="auto"/>
        </w:rPr>
        <w:t>试验检测实施方案</w:t>
      </w:r>
    </w:p>
    <w:p>
      <w:pPr>
        <w:snapToGrid w:val="0"/>
        <w:spacing w:line="360" w:lineRule="auto"/>
        <w:rPr>
          <w:color w:val="auto"/>
        </w:rPr>
      </w:pPr>
      <w:r>
        <w:rPr>
          <w:color w:val="auto"/>
        </w:rPr>
        <w:t xml:space="preserve"> </w:t>
      </w:r>
    </w:p>
    <w:p>
      <w:pPr>
        <w:snapToGrid w:val="0"/>
        <w:spacing w:line="360" w:lineRule="auto"/>
        <w:rPr>
          <w:color w:val="auto"/>
        </w:rPr>
      </w:pPr>
      <w:r>
        <w:rPr>
          <w:rFonts w:hint="eastAsia" w:ascii="宋体" w:hAnsi="宋体"/>
          <w:color w:val="auto"/>
        </w:rPr>
        <w:t>供应商编写的试验检测实施方案应包括但不局限于下列内容（字数不限）：</w:t>
      </w:r>
    </w:p>
    <w:p>
      <w:pPr>
        <w:numPr>
          <w:ilvl w:val="0"/>
          <w:numId w:val="13"/>
        </w:numPr>
        <w:snapToGrid w:val="0"/>
        <w:spacing w:line="360" w:lineRule="auto"/>
        <w:ind w:firstLine="420" w:firstLineChars="200"/>
        <w:rPr>
          <w:color w:val="auto"/>
        </w:rPr>
      </w:pPr>
      <w:r>
        <w:rPr>
          <w:rFonts w:hint="eastAsia" w:ascii="宋体" w:hAnsi="宋体"/>
          <w:color w:val="auto"/>
        </w:rPr>
        <w:t>试验检测的目的、检测内容、方法；</w:t>
      </w:r>
    </w:p>
    <w:p>
      <w:pPr>
        <w:numPr>
          <w:ilvl w:val="0"/>
          <w:numId w:val="13"/>
        </w:numPr>
        <w:snapToGrid w:val="0"/>
        <w:spacing w:line="360" w:lineRule="auto"/>
        <w:ind w:firstLine="420" w:firstLineChars="200"/>
        <w:rPr>
          <w:color w:val="auto"/>
        </w:rPr>
      </w:pPr>
      <w:r>
        <w:rPr>
          <w:rFonts w:hint="eastAsia" w:ascii="宋体" w:hAnsi="宋体"/>
          <w:color w:val="auto"/>
        </w:rPr>
        <w:t>本项目管理、试验检测的重点、难点分析；</w:t>
      </w:r>
    </w:p>
    <w:p>
      <w:pPr>
        <w:numPr>
          <w:ilvl w:val="0"/>
          <w:numId w:val="13"/>
        </w:numPr>
        <w:snapToGrid w:val="0"/>
        <w:spacing w:line="360" w:lineRule="auto"/>
        <w:ind w:firstLine="420" w:firstLineChars="200"/>
        <w:rPr>
          <w:color w:val="auto"/>
        </w:rPr>
      </w:pPr>
      <w:r>
        <w:rPr>
          <w:rFonts w:hint="eastAsia" w:ascii="宋体" w:hAnsi="宋体"/>
          <w:color w:val="auto"/>
        </w:rPr>
        <w:t>质量保证措施及服务方案；</w:t>
      </w:r>
    </w:p>
    <w:p>
      <w:pPr>
        <w:snapToGrid w:val="0"/>
        <w:spacing w:line="360" w:lineRule="auto"/>
        <w:ind w:firstLine="420" w:firstLineChars="200"/>
        <w:rPr>
          <w:color w:val="auto"/>
        </w:rPr>
      </w:pPr>
      <w:r>
        <w:rPr>
          <w:rFonts w:hint="eastAsia"/>
          <w:color w:val="auto"/>
        </w:rPr>
        <w:t>4</w:t>
      </w:r>
      <w:r>
        <w:rPr>
          <w:rFonts w:hint="eastAsia" w:ascii="宋体" w:hAnsi="宋体"/>
          <w:color w:val="auto"/>
        </w:rPr>
        <w:t>、信息化建设方案；</w:t>
      </w:r>
    </w:p>
    <w:p>
      <w:pPr>
        <w:snapToGrid w:val="0"/>
        <w:spacing w:line="360" w:lineRule="auto"/>
        <w:ind w:firstLine="420" w:firstLineChars="200"/>
        <w:rPr>
          <w:color w:val="auto"/>
        </w:rPr>
      </w:pPr>
      <w:r>
        <w:rPr>
          <w:rFonts w:hint="eastAsia"/>
          <w:color w:val="auto"/>
        </w:rPr>
        <w:t>5</w:t>
      </w:r>
      <w:r>
        <w:rPr>
          <w:rFonts w:hint="eastAsia" w:ascii="宋体" w:hAnsi="宋体"/>
          <w:color w:val="auto"/>
        </w:rPr>
        <w:t>、安全保证措施及廉政保证措施。</w:t>
      </w:r>
    </w:p>
    <w:p>
      <w:pPr>
        <w:autoSpaceDE w:val="0"/>
        <w:autoSpaceDN w:val="0"/>
        <w:spacing w:line="360" w:lineRule="auto"/>
        <w:rPr>
          <w:rFonts w:hint="eastAsia" w:cs="仿宋_GB2312" w:asciiTheme="minorEastAsia" w:hAnsiTheme="minorEastAsia" w:eastAsiaTheme="minorEastAsia"/>
          <w:color w:val="auto"/>
          <w:kern w:val="0"/>
          <w:sz w:val="24"/>
        </w:rPr>
      </w:pPr>
    </w:p>
    <w:p>
      <w:pPr>
        <w:widowControl/>
        <w:adjustRightInd/>
        <w:jc w:val="left"/>
        <w:rPr>
          <w:rFonts w:hint="eastAsia" w:cs="仿宋_GB2312" w:asciiTheme="minorEastAsia" w:hAnsiTheme="minorEastAsia" w:eastAsiaTheme="minorEastAsia"/>
          <w:b/>
          <w:bCs/>
          <w:color w:val="auto"/>
          <w:sz w:val="32"/>
          <w:szCs w:val="32"/>
        </w:rPr>
      </w:pPr>
    </w:p>
    <w:p>
      <w:pPr>
        <w:widowControl/>
        <w:adjustRightInd/>
        <w:jc w:val="left"/>
        <w:rPr>
          <w:rFonts w:hint="eastAsia" w:asciiTheme="minorEastAsia" w:hAnsiTheme="minorEastAsia" w:eastAsiaTheme="minorEastAsia"/>
          <w:b/>
          <w:color w:val="auto"/>
          <w:sz w:val="30"/>
          <w:szCs w:val="30"/>
        </w:rPr>
      </w:pPr>
      <w:r>
        <w:rPr>
          <w:rFonts w:hint="eastAsia" w:asciiTheme="minorEastAsia" w:hAnsiTheme="minorEastAsia" w:eastAsiaTheme="minorEastAsia"/>
          <w:color w:val="auto"/>
          <w:sz w:val="30"/>
          <w:szCs w:val="30"/>
        </w:rPr>
        <w:br w:type="page"/>
      </w:r>
    </w:p>
    <w:p>
      <w:pPr>
        <w:pStyle w:val="630"/>
        <w:ind w:firstLine="602"/>
        <w:jc w:val="center"/>
        <w:rPr>
          <w:rFonts w:hint="eastAsia" w:asciiTheme="minorEastAsia" w:hAnsiTheme="minorEastAsia" w:eastAsiaTheme="minorEastAsia"/>
          <w:color w:val="auto"/>
          <w:sz w:val="30"/>
          <w:szCs w:val="30"/>
        </w:rPr>
      </w:pPr>
      <w:r>
        <w:rPr>
          <w:rFonts w:hint="eastAsia" w:asciiTheme="minorEastAsia" w:hAnsiTheme="minorEastAsia" w:eastAsiaTheme="minorEastAsia"/>
          <w:color w:val="auto"/>
          <w:sz w:val="30"/>
          <w:szCs w:val="30"/>
        </w:rPr>
        <w:t>十、认为需求的其他技术文件或说明</w:t>
      </w:r>
    </w:p>
    <w:p>
      <w:pPr>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rPr>
          <w:rFonts w:hint="eastAsia" w:cs="仿宋_GB2312" w:asciiTheme="minorEastAsia" w:hAnsiTheme="minorEastAsia" w:eastAsiaTheme="minorEastAsia"/>
          <w:color w:val="auto"/>
          <w:sz w:val="24"/>
        </w:rPr>
      </w:pPr>
    </w:p>
    <w:p>
      <w:pPr>
        <w:autoSpaceDE w:val="0"/>
        <w:autoSpaceDN w:val="0"/>
        <w:spacing w:line="360" w:lineRule="auto"/>
        <w:ind w:firstLine="4560" w:firstLineChars="1900"/>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hint="eastAsia"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hint="eastAsia" w:cs="仿宋_GB2312" w:asciiTheme="minorEastAsia" w:hAnsiTheme="minorEastAsia" w:eastAsiaTheme="minorEastAsia"/>
          <w:b/>
          <w:bCs/>
          <w:color w:val="auto"/>
          <w:sz w:val="32"/>
          <w:szCs w:val="32"/>
        </w:rPr>
      </w:pPr>
    </w:p>
    <w:p>
      <w:pPr>
        <w:tabs>
          <w:tab w:val="left" w:pos="0"/>
        </w:tabs>
        <w:autoSpaceDE w:val="0"/>
        <w:autoSpaceDN w:val="0"/>
        <w:spacing w:line="360" w:lineRule="auto"/>
        <w:ind w:firstLine="2409" w:firstLineChars="800"/>
        <w:rPr>
          <w:rFonts w:hint="eastAsia" w:cs="仿宋_GB2312" w:asciiTheme="minorEastAsia" w:hAnsiTheme="minorEastAsia" w:eastAsiaTheme="minorEastAsia"/>
          <w:b/>
          <w:bCs/>
          <w:color w:val="auto"/>
          <w:sz w:val="30"/>
          <w:szCs w:val="30"/>
        </w:rPr>
      </w:pPr>
    </w:p>
    <w:p>
      <w:pPr>
        <w:tabs>
          <w:tab w:val="left" w:pos="0"/>
        </w:tabs>
        <w:autoSpaceDE w:val="0"/>
        <w:autoSpaceDN w:val="0"/>
        <w:spacing w:line="360" w:lineRule="auto"/>
        <w:jc w:val="center"/>
        <w:rPr>
          <w:rFonts w:hint="eastAsia" w:cs="仿宋_GB2312" w:asciiTheme="minorEastAsia" w:hAnsiTheme="minorEastAsia" w:eastAsiaTheme="minorEastAsia"/>
          <w:b/>
          <w:bCs/>
          <w:color w:val="auto"/>
          <w:sz w:val="30"/>
          <w:szCs w:val="30"/>
        </w:rPr>
      </w:pPr>
    </w:p>
    <w:p>
      <w:pPr>
        <w:widowControl/>
        <w:adjustRightInd/>
        <w:jc w:val="left"/>
        <w:rPr>
          <w:rFonts w:hint="eastAsia" w:cs="仿宋_GB2312" w:asciiTheme="minorEastAsia" w:hAnsiTheme="minorEastAsia" w:eastAsiaTheme="minorEastAsia"/>
          <w:b/>
          <w:bCs/>
          <w:color w:val="auto"/>
          <w:sz w:val="30"/>
          <w:szCs w:val="30"/>
        </w:rPr>
      </w:pPr>
      <w:r>
        <w:rPr>
          <w:rFonts w:cs="仿宋_GB2312" w:asciiTheme="minorEastAsia" w:hAnsiTheme="minorEastAsia" w:eastAsiaTheme="minorEastAsia"/>
          <w:b/>
          <w:bCs/>
          <w:color w:val="auto"/>
          <w:sz w:val="30"/>
          <w:szCs w:val="30"/>
        </w:rPr>
        <w:br w:type="page"/>
      </w:r>
    </w:p>
    <w:p>
      <w:pPr>
        <w:tabs>
          <w:tab w:val="left" w:pos="0"/>
        </w:tabs>
        <w:autoSpaceDE w:val="0"/>
        <w:autoSpaceDN w:val="0"/>
        <w:spacing w:line="360" w:lineRule="auto"/>
        <w:jc w:val="center"/>
        <w:rPr>
          <w:rFonts w:hint="eastAsia"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t>十一、</w:t>
      </w:r>
      <w:r>
        <w:rPr>
          <w:rFonts w:hint="eastAsia" w:cs="宋体" w:asciiTheme="minorEastAsia" w:hAnsiTheme="minorEastAsia" w:eastAsiaTheme="minorEastAsia"/>
          <w:b/>
          <w:color w:val="auto"/>
          <w:kern w:val="0"/>
          <w:sz w:val="32"/>
          <w:szCs w:val="32"/>
          <w:lang w:val="zh-CN"/>
        </w:rPr>
        <w:t>政府采购供应商廉洁自律承诺书</w:t>
      </w:r>
    </w:p>
    <w:p>
      <w:pPr>
        <w:autoSpaceDE w:val="0"/>
        <w:autoSpaceDN w:val="0"/>
        <w:spacing w:line="360" w:lineRule="auto"/>
        <w:jc w:val="left"/>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kern w:val="0"/>
          <w:sz w:val="24"/>
          <w:lang w:val="zh-CN"/>
        </w:rPr>
        <w:t xml:space="preserve">：    </w:t>
      </w:r>
    </w:p>
    <w:p>
      <w:pPr>
        <w:autoSpaceDE w:val="0"/>
        <w:autoSpaceDN w:val="0"/>
        <w:spacing w:line="360" w:lineRule="auto"/>
        <w:ind w:left="2" w:leftChars="1" w:firstLine="480" w:firstLineChars="200"/>
        <w:jc w:val="left"/>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我单位响应你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四、不为项目有关人员及部门出国（境）、旅游等提供方便；</w:t>
      </w:r>
    </w:p>
    <w:p>
      <w:pPr>
        <w:autoSpaceDE w:val="0"/>
        <w:autoSpaceDN w:val="0"/>
        <w:spacing w:line="360" w:lineRule="auto"/>
        <w:ind w:left="481" w:leftChars="229"/>
        <w:jc w:val="left"/>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五、不为项目有关人员个人装修住房、婚丧嫁娶、配偶子女工作安排等提供</w:t>
      </w:r>
    </w:p>
    <w:p>
      <w:pPr>
        <w:autoSpaceDE w:val="0"/>
        <w:autoSpaceDN w:val="0"/>
        <w:spacing w:line="360" w:lineRule="auto"/>
        <w:jc w:val="left"/>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好处；</w:t>
      </w:r>
    </w:p>
    <w:p>
      <w:pPr>
        <w:autoSpaceDE w:val="0"/>
        <w:autoSpaceDN w:val="0"/>
        <w:spacing w:line="360" w:lineRule="auto"/>
        <w:ind w:left="2" w:leftChars="1" w:firstLine="480" w:firstLineChars="200"/>
        <w:jc w:val="left"/>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如违反上述承诺，你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cs="仿宋_GB2312" w:asciiTheme="minorEastAsia" w:hAnsiTheme="minorEastAsia" w:eastAsiaTheme="minorEastAsia"/>
          <w:color w:val="auto"/>
          <w:kern w:val="0"/>
          <w:sz w:val="24"/>
          <w:lang w:val="zh-CN"/>
        </w:rPr>
      </w:pPr>
    </w:p>
    <w:p>
      <w:pPr>
        <w:autoSpaceDE w:val="0"/>
        <w:autoSpaceDN w:val="0"/>
        <w:spacing w:line="360" w:lineRule="auto"/>
        <w:ind w:left="2"/>
        <w:jc w:val="left"/>
        <w:rPr>
          <w:rFonts w:hint="eastAsia" w:cs="仿宋_GB2312" w:asciiTheme="minorEastAsia" w:hAnsiTheme="minorEastAsia" w:eastAsiaTheme="minorEastAsia"/>
          <w:color w:val="auto"/>
          <w:kern w:val="0"/>
          <w:sz w:val="24"/>
          <w:lang w:val="zh-CN"/>
        </w:rPr>
      </w:pPr>
    </w:p>
    <w:p>
      <w:pPr>
        <w:autoSpaceDE w:val="0"/>
        <w:autoSpaceDN w:val="0"/>
        <w:spacing w:line="360" w:lineRule="auto"/>
        <w:ind w:left="2"/>
        <w:jc w:val="left"/>
        <w:rPr>
          <w:rFonts w:hint="eastAsia" w:cs="仿宋_GB2312" w:asciiTheme="minorEastAsia" w:hAnsiTheme="minorEastAsia" w:eastAsiaTheme="minorEastAsia"/>
          <w:color w:val="auto"/>
          <w:kern w:val="0"/>
          <w:sz w:val="24"/>
          <w:lang w:val="zh-CN"/>
        </w:rPr>
      </w:pPr>
    </w:p>
    <w:p>
      <w:pPr>
        <w:autoSpaceDE w:val="0"/>
        <w:autoSpaceDN w:val="0"/>
        <w:spacing w:line="360" w:lineRule="auto"/>
        <w:ind w:left="2" w:leftChars="1" w:right="1120" w:firstLine="4560" w:firstLineChars="1900"/>
        <w:jc w:val="left"/>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kern w:val="0"/>
          <w:sz w:val="24"/>
          <w:lang w:val="zh-CN"/>
        </w:rPr>
        <w:t>名称（</w:t>
      </w:r>
      <w:r>
        <w:rPr>
          <w:rFonts w:hint="eastAsia" w:cs="仿宋_GB2312" w:asciiTheme="minorEastAsia" w:hAnsiTheme="minorEastAsia" w:eastAsiaTheme="minorEastAsia"/>
          <w:color w:val="auto"/>
          <w:sz w:val="24"/>
        </w:rPr>
        <w:t>电子签名</w:t>
      </w:r>
      <w:r>
        <w:rPr>
          <w:rFonts w:hint="eastAsia" w:cs="仿宋_GB2312" w:asciiTheme="minorEastAsia" w:hAnsiTheme="minorEastAsia" w:eastAsiaTheme="minorEastAsia"/>
          <w:color w:val="auto"/>
          <w:kern w:val="0"/>
          <w:sz w:val="24"/>
          <w:lang w:val="zh-CN"/>
        </w:rPr>
        <w:t xml:space="preserve">）：                </w:t>
      </w:r>
    </w:p>
    <w:p>
      <w:pPr>
        <w:spacing w:line="360" w:lineRule="auto"/>
        <w:ind w:left="4620" w:leftChars="2200"/>
        <w:rPr>
          <w:rFonts w:hint="eastAsia"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pPr>
        <w:spacing w:line="360" w:lineRule="auto"/>
        <w:jc w:val="center"/>
        <w:rPr>
          <w:rFonts w:hint="eastAsia" w:cs="仿宋_GB2312" w:asciiTheme="minorEastAsia" w:hAnsiTheme="minorEastAsia" w:eastAsiaTheme="minorEastAsia"/>
          <w:b/>
          <w:color w:val="auto"/>
          <w:sz w:val="36"/>
          <w:szCs w:val="36"/>
        </w:rPr>
      </w:pPr>
    </w:p>
    <w:p>
      <w:pPr>
        <w:widowControl/>
        <w:adjustRightInd/>
        <w:jc w:val="left"/>
        <w:rPr>
          <w:rFonts w:hint="eastAsia"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pPr>
        <w:pStyle w:val="114"/>
        <w:keepNext w:val="0"/>
        <w:pageBreakBefore w:val="0"/>
        <w:tabs>
          <w:tab w:val="clear" w:pos="720"/>
        </w:tabs>
        <w:ind w:firstLine="640"/>
        <w:outlineLvl w:val="9"/>
        <w:rPr>
          <w:rFonts w:hint="eastAsia" w:cs="仿宋_GB2312" w:asciiTheme="minorEastAsia" w:hAnsiTheme="minorEastAsia" w:eastAsiaTheme="minorEastAsia"/>
          <w:color w:val="auto"/>
          <w:kern w:val="2"/>
          <w:sz w:val="32"/>
          <w:szCs w:val="32"/>
        </w:rPr>
        <w:sectPr>
          <w:headerReference r:id="rId8" w:type="first"/>
          <w:footerReference r:id="rId11" w:type="first"/>
          <w:headerReference r:id="rId7" w:type="default"/>
          <w:footerReference r:id="rId9" w:type="default"/>
          <w:footerReference r:id="rId10" w:type="even"/>
          <w:pgSz w:w="11906" w:h="16838"/>
          <w:pgMar w:top="779" w:right="1418" w:bottom="468" w:left="1418" w:header="851" w:footer="992" w:gutter="0"/>
          <w:cols w:space="720" w:num="1"/>
          <w:titlePg/>
          <w:docGrid w:linePitch="312" w:charSpace="0"/>
        </w:sectPr>
      </w:pPr>
    </w:p>
    <w:p>
      <w:pPr>
        <w:snapToGrid w:val="0"/>
        <w:spacing w:line="360" w:lineRule="auto"/>
        <w:jc w:val="center"/>
        <w:outlineLvl w:val="0"/>
        <w:rPr>
          <w:rFonts w:hint="eastAsia"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第九部分 报价格式</w:t>
      </w:r>
    </w:p>
    <w:p>
      <w:pPr>
        <w:rPr>
          <w:b/>
          <w:bCs/>
          <w:color w:val="auto"/>
          <w:spacing w:val="11"/>
          <w:sz w:val="24"/>
        </w:rPr>
      </w:pPr>
    </w:p>
    <w:p>
      <w:pPr>
        <w:spacing w:line="360" w:lineRule="auto"/>
        <w:jc w:val="center"/>
        <w:rPr>
          <w:rFonts w:hint="eastAsia" w:ascii="宋体" w:hAnsi="宋体" w:cs="宋体"/>
          <w:b/>
          <w:color w:val="auto"/>
          <w:sz w:val="24"/>
        </w:rPr>
      </w:pPr>
      <w:r>
        <w:rPr>
          <w:rFonts w:hint="eastAsia"/>
          <w:b/>
          <w:bCs/>
          <w:color w:val="auto"/>
          <w:spacing w:val="11"/>
          <w:sz w:val="24"/>
        </w:rPr>
        <w:t>一、</w:t>
      </w:r>
      <w:r>
        <w:rPr>
          <w:b/>
          <w:bCs/>
          <w:color w:val="auto"/>
          <w:spacing w:val="11"/>
          <w:sz w:val="24"/>
        </w:rPr>
        <w:t>磋商报价一览表（首次报价）</w:t>
      </w:r>
    </w:p>
    <w:tbl>
      <w:tblPr>
        <w:tblStyle w:val="60"/>
        <w:tblW w:w="4913" w:type="pct"/>
        <w:tblInd w:w="0" w:type="dxa"/>
        <w:tblLayout w:type="autofit"/>
        <w:tblCellMar>
          <w:top w:w="0" w:type="dxa"/>
          <w:left w:w="108" w:type="dxa"/>
          <w:bottom w:w="0" w:type="dxa"/>
          <w:right w:w="108" w:type="dxa"/>
        </w:tblCellMar>
      </w:tblPr>
      <w:tblGrid>
        <w:gridCol w:w="685"/>
        <w:gridCol w:w="2283"/>
        <w:gridCol w:w="1116"/>
        <w:gridCol w:w="1056"/>
        <w:gridCol w:w="1406"/>
        <w:gridCol w:w="1628"/>
        <w:gridCol w:w="950"/>
      </w:tblGrid>
      <w:tr>
        <w:tblPrEx>
          <w:tblCellMar>
            <w:top w:w="0" w:type="dxa"/>
            <w:left w:w="108" w:type="dxa"/>
            <w:bottom w:w="0" w:type="dxa"/>
            <w:right w:w="108" w:type="dxa"/>
          </w:tblCellMar>
        </w:tblPrEx>
        <w:trPr>
          <w:trHeight w:val="666" w:hRule="atLeast"/>
        </w:trPr>
        <w:tc>
          <w:tcPr>
            <w:tcW w:w="375" w:type="pct"/>
            <w:tcBorders>
              <w:top w:val="single" w:color="auto" w:sz="12" w:space="0"/>
              <w:left w:val="single" w:color="auto" w:sz="12" w:space="0"/>
              <w:bottom w:val="single" w:color="000000" w:sz="4" w:space="0"/>
              <w:right w:val="single" w:color="000000" w:sz="4" w:space="0"/>
            </w:tcBorders>
            <w:vAlign w:val="center"/>
          </w:tcPr>
          <w:p>
            <w:pPr>
              <w:widowControl/>
              <w:spacing w:line="400" w:lineRule="exact"/>
              <w:jc w:val="center"/>
              <w:rPr>
                <w:rFonts w:hint="eastAsia" w:ascii="宋体" w:hAnsi="宋体" w:cs="宋体"/>
                <w:color w:val="auto"/>
                <w:szCs w:val="21"/>
              </w:rPr>
            </w:pPr>
            <w:r>
              <w:rPr>
                <w:color w:val="auto"/>
              </w:rPr>
              <w:t>序号</w:t>
            </w:r>
          </w:p>
        </w:tc>
        <w:tc>
          <w:tcPr>
            <w:tcW w:w="1250" w:type="pct"/>
            <w:tcBorders>
              <w:top w:val="single" w:color="auto" w:sz="12" w:space="0"/>
              <w:left w:val="nil"/>
              <w:bottom w:val="single" w:color="000000" w:sz="4" w:space="0"/>
              <w:right w:val="single" w:color="000000" w:sz="4" w:space="0"/>
            </w:tcBorders>
            <w:vAlign w:val="center"/>
          </w:tcPr>
          <w:p>
            <w:pPr>
              <w:widowControl/>
              <w:spacing w:line="400" w:lineRule="exact"/>
              <w:jc w:val="center"/>
              <w:rPr>
                <w:rFonts w:hint="eastAsia" w:ascii="宋体" w:hAnsi="宋体" w:cs="宋体"/>
                <w:color w:val="auto"/>
              </w:rPr>
            </w:pPr>
            <w:r>
              <w:rPr>
                <w:color w:val="auto"/>
              </w:rPr>
              <w:t>项目名称</w:t>
            </w:r>
          </w:p>
        </w:tc>
        <w:tc>
          <w:tcPr>
            <w:tcW w:w="611" w:type="pct"/>
            <w:tcBorders>
              <w:top w:val="single" w:color="auto" w:sz="12" w:space="0"/>
              <w:left w:val="nil"/>
              <w:bottom w:val="single" w:color="000000" w:sz="4" w:space="0"/>
              <w:right w:val="single" w:color="000000" w:sz="4" w:space="0"/>
            </w:tcBorders>
            <w:vAlign w:val="center"/>
          </w:tcPr>
          <w:p>
            <w:pPr>
              <w:widowControl/>
              <w:spacing w:line="400" w:lineRule="exact"/>
              <w:jc w:val="center"/>
              <w:rPr>
                <w:rFonts w:hint="eastAsia" w:ascii="宋体" w:hAnsi="宋体" w:cs="宋体"/>
                <w:color w:val="auto"/>
              </w:rPr>
            </w:pPr>
            <w:r>
              <w:rPr>
                <w:color w:val="auto"/>
              </w:rPr>
              <w:t>单位</w:t>
            </w:r>
          </w:p>
        </w:tc>
        <w:tc>
          <w:tcPr>
            <w:tcW w:w="578" w:type="pct"/>
            <w:tcBorders>
              <w:top w:val="single" w:color="auto" w:sz="12" w:space="0"/>
              <w:left w:val="nil"/>
              <w:bottom w:val="single" w:color="000000" w:sz="4" w:space="0"/>
              <w:right w:val="single" w:color="000000" w:sz="4" w:space="0"/>
            </w:tcBorders>
            <w:vAlign w:val="center"/>
          </w:tcPr>
          <w:p>
            <w:pPr>
              <w:widowControl/>
              <w:spacing w:line="400" w:lineRule="exact"/>
              <w:jc w:val="center"/>
              <w:rPr>
                <w:rFonts w:hint="eastAsia" w:ascii="宋体" w:hAnsi="宋体" w:cs="宋体"/>
                <w:color w:val="auto"/>
              </w:rPr>
            </w:pPr>
            <w:r>
              <w:rPr>
                <w:color w:val="auto"/>
              </w:rPr>
              <w:t>数量</w:t>
            </w:r>
          </w:p>
        </w:tc>
        <w:tc>
          <w:tcPr>
            <w:tcW w:w="770" w:type="pct"/>
            <w:tcBorders>
              <w:top w:val="single" w:color="auto" w:sz="12" w:space="0"/>
              <w:left w:val="nil"/>
              <w:bottom w:val="single" w:color="000000" w:sz="4" w:space="0"/>
              <w:right w:val="single" w:color="000000" w:sz="4" w:space="0"/>
            </w:tcBorders>
            <w:vAlign w:val="center"/>
          </w:tcPr>
          <w:p>
            <w:pPr>
              <w:widowControl/>
              <w:spacing w:line="400" w:lineRule="exact"/>
              <w:jc w:val="center"/>
              <w:rPr>
                <w:rFonts w:hint="eastAsia" w:ascii="宋体" w:hAnsi="宋体" w:cs="宋体"/>
                <w:color w:val="auto"/>
              </w:rPr>
            </w:pPr>
            <w:r>
              <w:rPr>
                <w:color w:val="auto"/>
              </w:rPr>
              <w:t>磋商报价（元）</w:t>
            </w:r>
          </w:p>
        </w:tc>
        <w:tc>
          <w:tcPr>
            <w:tcW w:w="891" w:type="pct"/>
            <w:tcBorders>
              <w:top w:val="single" w:color="auto" w:sz="12" w:space="0"/>
              <w:left w:val="nil"/>
              <w:bottom w:val="single" w:color="000000" w:sz="4" w:space="0"/>
              <w:right w:val="single" w:color="000000" w:sz="4" w:space="0"/>
            </w:tcBorders>
            <w:vAlign w:val="center"/>
          </w:tcPr>
          <w:p>
            <w:pPr>
              <w:widowControl/>
              <w:spacing w:line="400" w:lineRule="exact"/>
              <w:jc w:val="center"/>
              <w:rPr>
                <w:rFonts w:hint="eastAsia" w:ascii="宋体" w:hAnsi="宋体" w:cs="宋体"/>
                <w:color w:val="auto"/>
              </w:rPr>
            </w:pPr>
            <w:r>
              <w:rPr>
                <w:color w:val="auto"/>
              </w:rPr>
              <w:t>项目负责人</w:t>
            </w:r>
          </w:p>
        </w:tc>
        <w:tc>
          <w:tcPr>
            <w:tcW w:w="520" w:type="pct"/>
            <w:tcBorders>
              <w:top w:val="single" w:color="auto" w:sz="12" w:space="0"/>
              <w:left w:val="nil"/>
              <w:bottom w:val="single" w:color="000000" w:sz="4" w:space="0"/>
              <w:right w:val="single" w:color="auto" w:sz="12" w:space="0"/>
            </w:tcBorders>
            <w:vAlign w:val="center"/>
          </w:tcPr>
          <w:p>
            <w:pPr>
              <w:widowControl/>
              <w:spacing w:line="400" w:lineRule="exact"/>
              <w:jc w:val="center"/>
              <w:rPr>
                <w:rFonts w:hint="eastAsia" w:ascii="宋体" w:hAnsi="宋体" w:cs="宋体"/>
                <w:color w:val="auto"/>
              </w:rPr>
            </w:pPr>
            <w:r>
              <w:rPr>
                <w:color w:val="auto"/>
              </w:rPr>
              <w:t>备注</w:t>
            </w:r>
          </w:p>
        </w:tc>
      </w:tr>
      <w:tr>
        <w:tblPrEx>
          <w:tblCellMar>
            <w:top w:w="0" w:type="dxa"/>
            <w:left w:w="108" w:type="dxa"/>
            <w:bottom w:w="0" w:type="dxa"/>
            <w:right w:w="108" w:type="dxa"/>
          </w:tblCellMar>
        </w:tblPrEx>
        <w:trPr>
          <w:cantSplit/>
          <w:trHeight w:val="1400" w:hRule="atLeast"/>
        </w:trPr>
        <w:tc>
          <w:tcPr>
            <w:tcW w:w="375" w:type="pct"/>
            <w:tcBorders>
              <w:top w:val="nil"/>
              <w:left w:val="single" w:color="auto" w:sz="12" w:space="0"/>
              <w:bottom w:val="single" w:color="auto" w:sz="12" w:space="0"/>
              <w:right w:val="single" w:color="000000" w:sz="4" w:space="0"/>
            </w:tcBorders>
            <w:vAlign w:val="center"/>
          </w:tcPr>
          <w:p>
            <w:pPr>
              <w:widowControl/>
              <w:spacing w:line="380" w:lineRule="exact"/>
              <w:ind w:left="60" w:right="60"/>
              <w:jc w:val="center"/>
              <w:rPr>
                <w:rFonts w:hint="eastAsia" w:ascii="宋体" w:hAnsi="宋体" w:cs="宋体"/>
                <w:color w:val="auto"/>
              </w:rPr>
            </w:pPr>
            <w:r>
              <w:rPr>
                <w:rFonts w:ascii="宋体" w:hAnsi="宋体" w:cs="宋体"/>
                <w:color w:val="auto"/>
              </w:rPr>
              <w:t>1</w:t>
            </w:r>
          </w:p>
        </w:tc>
        <w:tc>
          <w:tcPr>
            <w:tcW w:w="1250" w:type="pct"/>
            <w:tcBorders>
              <w:top w:val="nil"/>
              <w:left w:val="nil"/>
              <w:bottom w:val="single" w:color="auto" w:sz="12" w:space="0"/>
              <w:right w:val="single" w:color="000000" w:sz="4" w:space="0"/>
            </w:tcBorders>
            <w:vAlign w:val="center"/>
          </w:tcPr>
          <w:p>
            <w:pPr>
              <w:spacing w:line="380" w:lineRule="exact"/>
              <w:jc w:val="center"/>
              <w:rPr>
                <w:rFonts w:hint="eastAsia" w:ascii="宋体" w:hAnsi="宋体" w:cs="宋体"/>
                <w:color w:val="auto"/>
              </w:rPr>
            </w:pPr>
            <w:r>
              <w:rPr>
                <w:rFonts w:hint="eastAsia"/>
                <w:color w:val="auto"/>
              </w:rPr>
              <w:t>S216长兴至安吉公路长兴县泗安至和平段工程（318国道至302省道段）竣（交）工质量评定检测</w:t>
            </w:r>
            <w:r>
              <w:rPr>
                <w:rFonts w:hint="eastAsia" w:ascii="宋体" w:hAnsi="宋体" w:cs="宋体"/>
                <w:color w:val="auto"/>
              </w:rPr>
              <w:t xml:space="preserve">           </w:t>
            </w:r>
          </w:p>
        </w:tc>
        <w:tc>
          <w:tcPr>
            <w:tcW w:w="611" w:type="pct"/>
            <w:tcBorders>
              <w:top w:val="nil"/>
              <w:left w:val="nil"/>
              <w:bottom w:val="single" w:color="auto" w:sz="12" w:space="0"/>
              <w:right w:val="single" w:color="000000" w:sz="4" w:space="0"/>
            </w:tcBorders>
            <w:vAlign w:val="center"/>
          </w:tcPr>
          <w:p>
            <w:pPr>
              <w:spacing w:line="380" w:lineRule="exact"/>
              <w:ind w:left="67" w:right="67"/>
              <w:jc w:val="center"/>
              <w:rPr>
                <w:rFonts w:hint="eastAsia" w:ascii="宋体" w:hAnsi="宋体" w:cs="宋体"/>
                <w:color w:val="auto"/>
              </w:rPr>
            </w:pPr>
            <w:r>
              <w:rPr>
                <w:color w:val="auto"/>
              </w:rPr>
              <w:t>项</w:t>
            </w:r>
          </w:p>
        </w:tc>
        <w:tc>
          <w:tcPr>
            <w:tcW w:w="578" w:type="pct"/>
            <w:tcBorders>
              <w:top w:val="nil"/>
              <w:left w:val="nil"/>
              <w:bottom w:val="single" w:color="auto" w:sz="12" w:space="0"/>
              <w:right w:val="single" w:color="000000" w:sz="4" w:space="0"/>
            </w:tcBorders>
            <w:vAlign w:val="center"/>
          </w:tcPr>
          <w:p>
            <w:pPr>
              <w:spacing w:line="380" w:lineRule="exact"/>
              <w:ind w:right="67"/>
              <w:jc w:val="center"/>
              <w:rPr>
                <w:rFonts w:hint="eastAsia" w:ascii="宋体" w:hAnsi="宋体" w:cs="宋体"/>
                <w:color w:val="auto"/>
              </w:rPr>
            </w:pPr>
            <w:r>
              <w:rPr>
                <w:rFonts w:ascii="宋体" w:hAnsi="宋体" w:cs="宋体"/>
                <w:color w:val="auto"/>
              </w:rPr>
              <w:t>1</w:t>
            </w:r>
          </w:p>
        </w:tc>
        <w:tc>
          <w:tcPr>
            <w:tcW w:w="770" w:type="pct"/>
            <w:tcBorders>
              <w:top w:val="nil"/>
              <w:left w:val="nil"/>
              <w:bottom w:val="single" w:color="auto" w:sz="12" w:space="0"/>
              <w:right w:val="single" w:color="000000" w:sz="4" w:space="0"/>
            </w:tcBorders>
            <w:vAlign w:val="center"/>
          </w:tcPr>
          <w:p>
            <w:pPr>
              <w:spacing w:line="380" w:lineRule="exact"/>
              <w:ind w:right="67"/>
              <w:jc w:val="center"/>
              <w:rPr>
                <w:rFonts w:hint="eastAsia" w:ascii="宋体" w:hAnsi="宋体" w:cs="宋体"/>
                <w:color w:val="auto"/>
              </w:rPr>
            </w:pPr>
          </w:p>
        </w:tc>
        <w:tc>
          <w:tcPr>
            <w:tcW w:w="891" w:type="pct"/>
            <w:tcBorders>
              <w:top w:val="nil"/>
              <w:left w:val="nil"/>
              <w:bottom w:val="single" w:color="auto" w:sz="12" w:space="0"/>
              <w:right w:val="single" w:color="000000" w:sz="4" w:space="0"/>
            </w:tcBorders>
            <w:vAlign w:val="center"/>
          </w:tcPr>
          <w:p>
            <w:pPr>
              <w:spacing w:line="380" w:lineRule="exact"/>
              <w:ind w:right="67"/>
              <w:jc w:val="center"/>
              <w:rPr>
                <w:rFonts w:hint="eastAsia" w:ascii="宋体" w:hAnsi="宋体" w:cs="宋体"/>
                <w:color w:val="auto"/>
              </w:rPr>
            </w:pPr>
          </w:p>
        </w:tc>
        <w:tc>
          <w:tcPr>
            <w:tcW w:w="520" w:type="pct"/>
            <w:tcBorders>
              <w:top w:val="nil"/>
              <w:left w:val="nil"/>
              <w:bottom w:val="single" w:color="auto" w:sz="12" w:space="0"/>
              <w:right w:val="single" w:color="auto" w:sz="12" w:space="0"/>
            </w:tcBorders>
            <w:vAlign w:val="center"/>
          </w:tcPr>
          <w:p>
            <w:pPr>
              <w:spacing w:line="380" w:lineRule="exact"/>
              <w:ind w:right="67"/>
              <w:jc w:val="center"/>
              <w:rPr>
                <w:rFonts w:hint="eastAsia" w:ascii="宋体" w:hAnsi="宋体" w:cs="宋体"/>
                <w:color w:val="auto"/>
              </w:rPr>
            </w:pPr>
          </w:p>
        </w:tc>
      </w:tr>
    </w:tbl>
    <w:p>
      <w:pPr>
        <w:pStyle w:val="31"/>
        <w:spacing w:after="120" w:line="400" w:lineRule="exact"/>
        <w:rPr>
          <w:rFonts w:hint="eastAsia" w:hAnsi="宋体" w:cs="宋体"/>
          <w:bCs/>
          <w:color w:val="auto"/>
          <w:szCs w:val="21"/>
        </w:rPr>
      </w:pPr>
      <w:r>
        <w:rPr>
          <w:rFonts w:hAnsi="宋体"/>
          <w:color w:val="auto"/>
          <w:spacing w:val="11"/>
        </w:rPr>
        <w:t xml:space="preserve"> </w:t>
      </w:r>
      <w:r>
        <w:rPr>
          <w:rFonts w:ascii="Tahoma" w:hAnsi="Tahoma" w:cs="Tahoma"/>
          <w:b/>
          <w:color w:val="auto"/>
        </w:rPr>
        <w:t>注：</w:t>
      </w:r>
      <w:r>
        <w:rPr>
          <w:rFonts w:ascii="Tahoma" w:hAnsi="Tahoma" w:cs="Tahoma"/>
          <w:bCs/>
          <w:color w:val="auto"/>
        </w:rPr>
        <w:t>▲</w:t>
      </w:r>
      <w:r>
        <w:rPr>
          <w:rFonts w:hAnsi="宋体"/>
          <w:bCs/>
          <w:color w:val="auto"/>
        </w:rPr>
        <w:t>1</w:t>
      </w:r>
      <w:r>
        <w:rPr>
          <w:rFonts w:ascii="Tahoma" w:hAnsi="Tahoma" w:cs="Tahoma"/>
          <w:bCs/>
          <w:color w:val="auto"/>
        </w:rPr>
        <w:t>、</w:t>
      </w:r>
      <w:r>
        <w:rPr>
          <w:rFonts w:hint="eastAsia" w:ascii="Tahoma" w:hAnsi="Tahoma" w:cs="Tahoma"/>
          <w:bCs/>
          <w:color w:val="auto"/>
        </w:rPr>
        <w:t>本报价包括完成本招标项目规定的所有工作内容，并接受招标文件第五部分“评审办法及评审标准”“报价修正原则”。同时，我方承诺：本报价最终接受“通用合同条款”和“专用合同条款”中第5.4款、第6.2款的约束和调整。</w:t>
      </w:r>
    </w:p>
    <w:p>
      <w:pPr>
        <w:pStyle w:val="31"/>
        <w:spacing w:after="120" w:line="400" w:lineRule="exact"/>
        <w:rPr>
          <w:rFonts w:hint="eastAsia" w:hAnsi="宋体"/>
          <w:bCs/>
          <w:color w:val="auto"/>
        </w:rPr>
      </w:pPr>
      <w:r>
        <w:rPr>
          <w:rFonts w:ascii="Tahoma" w:hAnsi="Tahoma" w:cs="Tahoma"/>
          <w:bCs/>
          <w:color w:val="auto"/>
        </w:rPr>
        <w:t>▲</w:t>
      </w:r>
      <w:r>
        <w:rPr>
          <w:rFonts w:hint="eastAsia" w:hAnsi="宋体"/>
          <w:bCs/>
          <w:color w:val="auto"/>
        </w:rPr>
        <w:t>2</w:t>
      </w:r>
      <w:r>
        <w:rPr>
          <w:rFonts w:ascii="Tahoma" w:hAnsi="Tahoma" w:cs="Tahoma"/>
          <w:bCs/>
          <w:color w:val="auto"/>
        </w:rPr>
        <w:t>、不提供此表格的将视为没有实质性响应磋商文件。</w:t>
      </w:r>
    </w:p>
    <w:p>
      <w:pPr>
        <w:snapToGrid w:val="0"/>
        <w:spacing w:line="400" w:lineRule="exact"/>
        <w:rPr>
          <w:rFonts w:hint="eastAsia" w:ascii="宋体" w:hAnsi="宋体" w:cs="宋体"/>
          <w:color w:val="auto"/>
          <w:spacing w:val="11"/>
        </w:rPr>
      </w:pPr>
      <w:r>
        <w:rPr>
          <w:rFonts w:ascii="宋体" w:hAnsi="宋体" w:cs="宋体"/>
          <w:color w:val="auto"/>
          <w:spacing w:val="11"/>
        </w:rPr>
        <w:t xml:space="preserve"> </w:t>
      </w:r>
    </w:p>
    <w:p>
      <w:pPr>
        <w:snapToGrid w:val="0"/>
        <w:spacing w:line="180" w:lineRule="exact"/>
        <w:rPr>
          <w:rFonts w:hint="eastAsia" w:ascii="宋体" w:hAnsi="宋体" w:cs="宋体"/>
          <w:color w:val="auto"/>
          <w:spacing w:val="11"/>
        </w:rPr>
      </w:pPr>
      <w:r>
        <w:rPr>
          <w:rFonts w:ascii="宋体" w:hAnsi="宋体" w:cs="宋体"/>
          <w:color w:val="auto"/>
          <w:spacing w:val="11"/>
        </w:rPr>
        <w:t xml:space="preserve"> </w:t>
      </w:r>
    </w:p>
    <w:p>
      <w:pPr>
        <w:snapToGrid w:val="0"/>
        <w:spacing w:before="120" w:beforeLines="50"/>
        <w:rPr>
          <w:rFonts w:hint="eastAsia" w:ascii="宋体" w:hAnsi="宋体" w:cs="宋体"/>
          <w:color w:val="auto"/>
          <w:spacing w:val="11"/>
          <w:u w:val="single"/>
        </w:rPr>
      </w:pPr>
      <w:r>
        <w:rPr>
          <w:color w:val="auto"/>
          <w:spacing w:val="11"/>
        </w:rPr>
        <w:t>法定代表人或授权代表（签字或盖章）：</w:t>
      </w:r>
      <w:r>
        <w:rPr>
          <w:rFonts w:ascii="宋体" w:hAnsi="宋体" w:cs="宋体"/>
          <w:color w:val="auto"/>
          <w:spacing w:val="11"/>
          <w:u w:val="single"/>
        </w:rPr>
        <w:t xml:space="preserve">             </w:t>
      </w:r>
    </w:p>
    <w:p>
      <w:pPr>
        <w:snapToGrid w:val="0"/>
        <w:spacing w:before="120" w:beforeLines="50"/>
        <w:rPr>
          <w:rFonts w:hint="eastAsia" w:ascii="宋体" w:hAnsi="宋体" w:cs="宋体"/>
          <w:color w:val="auto"/>
          <w:spacing w:val="11"/>
        </w:rPr>
      </w:pPr>
      <w:r>
        <w:rPr>
          <w:color w:val="auto"/>
          <w:spacing w:val="11"/>
        </w:rPr>
        <w:t>供应商公章：</w:t>
      </w:r>
      <w:r>
        <w:rPr>
          <w:rFonts w:ascii="宋体" w:hAnsi="宋体" w:cs="宋体"/>
          <w:color w:val="auto"/>
          <w:spacing w:val="11"/>
          <w:u w:val="single"/>
        </w:rPr>
        <w:t xml:space="preserve">               </w:t>
      </w:r>
      <w:r>
        <w:rPr>
          <w:rFonts w:ascii="宋体" w:hAnsi="宋体" w:cs="宋体"/>
          <w:color w:val="auto"/>
          <w:spacing w:val="11"/>
        </w:rPr>
        <w:t xml:space="preserve">                      </w:t>
      </w:r>
    </w:p>
    <w:p>
      <w:pPr>
        <w:snapToGrid w:val="0"/>
        <w:spacing w:before="120" w:beforeLines="50" w:after="50"/>
        <w:ind w:firstLine="6032" w:firstLineChars="2600"/>
        <w:rPr>
          <w:rFonts w:hint="eastAsia" w:ascii="宋体" w:hAnsi="宋体" w:cs="宋体"/>
          <w:color w:val="auto"/>
          <w:spacing w:val="11"/>
        </w:rPr>
      </w:pPr>
      <w:r>
        <w:rPr>
          <w:color w:val="auto"/>
          <w:spacing w:val="11"/>
        </w:rPr>
        <w:t>年</w:t>
      </w:r>
      <w:r>
        <w:rPr>
          <w:rFonts w:ascii="宋体" w:hAnsi="宋体" w:cs="宋体"/>
          <w:color w:val="auto"/>
          <w:spacing w:val="11"/>
        </w:rPr>
        <w:t xml:space="preserve">    </w:t>
      </w:r>
      <w:r>
        <w:rPr>
          <w:color w:val="auto"/>
          <w:spacing w:val="11"/>
        </w:rPr>
        <w:t>月</w:t>
      </w:r>
      <w:r>
        <w:rPr>
          <w:rFonts w:ascii="宋体" w:hAnsi="宋体" w:cs="宋体"/>
          <w:color w:val="auto"/>
          <w:spacing w:val="11"/>
        </w:rPr>
        <w:t xml:space="preserve">    </w:t>
      </w:r>
      <w:r>
        <w:rPr>
          <w:color w:val="auto"/>
          <w:spacing w:val="11"/>
        </w:rPr>
        <w:t>日</w:t>
      </w:r>
    </w:p>
    <w:p>
      <w:pPr>
        <w:rPr>
          <w:rFonts w:ascii="Tahoma" w:hAnsi="Tahoma" w:cs="Tahoma"/>
          <w:color w:val="auto"/>
        </w:rPr>
      </w:pPr>
    </w:p>
    <w:p>
      <w:pPr>
        <w:spacing w:line="360" w:lineRule="auto"/>
        <w:ind w:firstLine="3418" w:firstLineChars="1300"/>
        <w:rPr>
          <w:b/>
          <w:bCs/>
          <w:color w:val="auto"/>
          <w:spacing w:val="11"/>
          <w:sz w:val="24"/>
        </w:rPr>
      </w:pPr>
      <w:r>
        <w:rPr>
          <w:rFonts w:hint="eastAsia"/>
          <w:b/>
          <w:bCs/>
          <w:color w:val="auto"/>
          <w:spacing w:val="11"/>
          <w:sz w:val="24"/>
        </w:rPr>
        <w:t>二、</w:t>
      </w:r>
      <w:r>
        <w:rPr>
          <w:b/>
          <w:bCs/>
          <w:color w:val="auto"/>
          <w:spacing w:val="11"/>
          <w:sz w:val="24"/>
        </w:rPr>
        <w:t>工程量清单报价表</w:t>
      </w:r>
    </w:p>
    <w:p>
      <w:pPr>
        <w:pStyle w:val="23"/>
        <w:spacing w:line="340" w:lineRule="exact"/>
        <w:ind w:firstLine="0" w:firstLineChars="0"/>
        <w:jc w:val="center"/>
        <w:rPr>
          <w:rFonts w:hint="eastAsia" w:cs="宋体"/>
          <w:b/>
          <w:color w:val="auto"/>
          <w:spacing w:val="11"/>
          <w:sz w:val="21"/>
          <w:szCs w:val="21"/>
          <w:u w:val="single"/>
        </w:rPr>
      </w:pPr>
      <w:r>
        <w:rPr>
          <w:rFonts w:hint="eastAsia"/>
          <w:b/>
          <w:color w:val="auto"/>
          <w:spacing w:val="11"/>
          <w:sz w:val="21"/>
          <w:szCs w:val="21"/>
          <w:u w:val="single"/>
        </w:rPr>
        <w:t>（按照本项目工程量清单格式报价，具体详见第七部分）</w:t>
      </w:r>
    </w:p>
    <w:p>
      <w:pPr>
        <w:widowControl/>
        <w:adjustRightInd/>
        <w:jc w:val="left"/>
        <w:rPr>
          <w:rFonts w:hint="eastAsia"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br w:type="page"/>
      </w:r>
    </w:p>
    <w:p>
      <w:pPr>
        <w:spacing w:line="360" w:lineRule="auto"/>
        <w:ind w:firstLine="3418" w:firstLineChars="1300"/>
        <w:rPr>
          <w:rFonts w:hint="eastAsia" w:ascii="宋体" w:hAnsi="宋体" w:cs="宋体"/>
          <w:b/>
          <w:bCs/>
          <w:color w:val="auto"/>
          <w:spacing w:val="11"/>
          <w:sz w:val="24"/>
        </w:rPr>
      </w:pPr>
      <w:r>
        <w:rPr>
          <w:rFonts w:hint="eastAsia"/>
          <w:b/>
          <w:bCs/>
          <w:color w:val="auto"/>
          <w:spacing w:val="11"/>
          <w:sz w:val="24"/>
        </w:rPr>
        <w:t>三、</w:t>
      </w:r>
      <w:r>
        <w:rPr>
          <w:b/>
          <w:bCs/>
          <w:color w:val="auto"/>
          <w:spacing w:val="11"/>
          <w:sz w:val="24"/>
        </w:rPr>
        <w:t>磋商报价一览表（最终报价）</w:t>
      </w:r>
    </w:p>
    <w:tbl>
      <w:tblPr>
        <w:tblStyle w:val="60"/>
        <w:tblW w:w="4995" w:type="pct"/>
        <w:tblInd w:w="0" w:type="dxa"/>
        <w:tblLayout w:type="autofit"/>
        <w:tblCellMar>
          <w:top w:w="0" w:type="dxa"/>
          <w:left w:w="108" w:type="dxa"/>
          <w:bottom w:w="0" w:type="dxa"/>
          <w:right w:w="108" w:type="dxa"/>
        </w:tblCellMar>
      </w:tblPr>
      <w:tblGrid>
        <w:gridCol w:w="677"/>
        <w:gridCol w:w="2274"/>
        <w:gridCol w:w="1092"/>
        <w:gridCol w:w="1047"/>
        <w:gridCol w:w="1502"/>
        <w:gridCol w:w="1578"/>
        <w:gridCol w:w="1107"/>
      </w:tblGrid>
      <w:tr>
        <w:tblPrEx>
          <w:tblCellMar>
            <w:top w:w="0" w:type="dxa"/>
            <w:left w:w="108" w:type="dxa"/>
            <w:bottom w:w="0" w:type="dxa"/>
            <w:right w:w="108" w:type="dxa"/>
          </w:tblCellMar>
        </w:tblPrEx>
        <w:trPr>
          <w:trHeight w:val="666" w:hRule="atLeast"/>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color w:val="auto"/>
                <w:szCs w:val="21"/>
              </w:rPr>
            </w:pPr>
            <w:r>
              <w:rPr>
                <w:color w:val="auto"/>
              </w:rPr>
              <w:t>序号</w:t>
            </w:r>
          </w:p>
        </w:tc>
        <w:tc>
          <w:tcPr>
            <w:tcW w:w="1225" w:type="pct"/>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宋体" w:hAnsi="宋体" w:cs="宋体"/>
                <w:color w:val="auto"/>
              </w:rPr>
            </w:pPr>
            <w:r>
              <w:rPr>
                <w:color w:val="auto"/>
              </w:rPr>
              <w:t>项目名称</w:t>
            </w:r>
          </w:p>
        </w:tc>
        <w:tc>
          <w:tcPr>
            <w:tcW w:w="588" w:type="pct"/>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宋体" w:hAnsi="宋体" w:cs="宋体"/>
                <w:color w:val="auto"/>
              </w:rPr>
            </w:pPr>
            <w:r>
              <w:rPr>
                <w:color w:val="auto"/>
              </w:rPr>
              <w:t>单位</w:t>
            </w:r>
          </w:p>
        </w:tc>
        <w:tc>
          <w:tcPr>
            <w:tcW w:w="564" w:type="pct"/>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宋体" w:hAnsi="宋体" w:cs="宋体"/>
                <w:color w:val="auto"/>
              </w:rPr>
            </w:pPr>
            <w:r>
              <w:rPr>
                <w:color w:val="auto"/>
              </w:rPr>
              <w:t>数量</w:t>
            </w:r>
          </w:p>
        </w:tc>
        <w:tc>
          <w:tcPr>
            <w:tcW w:w="809" w:type="pct"/>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宋体" w:hAnsi="宋体" w:cs="宋体"/>
                <w:color w:val="auto"/>
              </w:rPr>
            </w:pPr>
            <w:r>
              <w:rPr>
                <w:color w:val="auto"/>
              </w:rPr>
              <w:t>磋商报价（元）</w:t>
            </w:r>
          </w:p>
        </w:tc>
        <w:tc>
          <w:tcPr>
            <w:tcW w:w="850" w:type="pct"/>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宋体" w:hAnsi="宋体" w:cs="宋体"/>
                <w:color w:val="auto"/>
              </w:rPr>
            </w:pPr>
            <w:r>
              <w:rPr>
                <w:color w:val="auto"/>
              </w:rPr>
              <w:t>项目负责人</w:t>
            </w:r>
          </w:p>
        </w:tc>
        <w:tc>
          <w:tcPr>
            <w:tcW w:w="596" w:type="pct"/>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宋体" w:hAnsi="宋体" w:cs="宋体"/>
                <w:color w:val="auto"/>
              </w:rPr>
            </w:pPr>
            <w:r>
              <w:rPr>
                <w:color w:val="auto"/>
              </w:rPr>
              <w:t>备注</w:t>
            </w:r>
          </w:p>
        </w:tc>
      </w:tr>
      <w:tr>
        <w:tblPrEx>
          <w:tblCellMar>
            <w:top w:w="0" w:type="dxa"/>
            <w:left w:w="108" w:type="dxa"/>
            <w:bottom w:w="0" w:type="dxa"/>
            <w:right w:w="108" w:type="dxa"/>
          </w:tblCellMar>
        </w:tblPrEx>
        <w:trPr>
          <w:cantSplit/>
          <w:trHeight w:val="1400" w:hRule="atLeast"/>
        </w:trPr>
        <w:tc>
          <w:tcPr>
            <w:tcW w:w="365" w:type="pct"/>
            <w:tcBorders>
              <w:top w:val="nil"/>
              <w:left w:val="single" w:color="000000" w:sz="4" w:space="0"/>
              <w:bottom w:val="single" w:color="auto" w:sz="4" w:space="0"/>
              <w:right w:val="single" w:color="000000" w:sz="4" w:space="0"/>
            </w:tcBorders>
            <w:vAlign w:val="center"/>
          </w:tcPr>
          <w:p>
            <w:pPr>
              <w:widowControl/>
              <w:spacing w:line="380" w:lineRule="exact"/>
              <w:ind w:left="60" w:right="60"/>
              <w:jc w:val="center"/>
              <w:rPr>
                <w:rFonts w:hint="eastAsia" w:ascii="宋体" w:hAnsi="宋体" w:cs="宋体"/>
                <w:color w:val="auto"/>
              </w:rPr>
            </w:pPr>
            <w:r>
              <w:rPr>
                <w:rFonts w:ascii="宋体" w:hAnsi="宋体" w:cs="宋体"/>
                <w:color w:val="auto"/>
              </w:rPr>
              <w:t>1</w:t>
            </w:r>
          </w:p>
        </w:tc>
        <w:tc>
          <w:tcPr>
            <w:tcW w:w="1225" w:type="pct"/>
            <w:tcBorders>
              <w:top w:val="nil"/>
              <w:left w:val="nil"/>
              <w:bottom w:val="single" w:color="auto" w:sz="4" w:space="0"/>
              <w:right w:val="single" w:color="000000" w:sz="4" w:space="0"/>
            </w:tcBorders>
            <w:vAlign w:val="center"/>
          </w:tcPr>
          <w:p>
            <w:pPr>
              <w:spacing w:line="380" w:lineRule="exact"/>
              <w:jc w:val="center"/>
              <w:rPr>
                <w:rFonts w:hint="eastAsia" w:ascii="宋体" w:hAnsi="宋体" w:cs="宋体"/>
                <w:color w:val="auto"/>
              </w:rPr>
            </w:pPr>
            <w:r>
              <w:rPr>
                <w:rFonts w:hint="eastAsia"/>
                <w:color w:val="auto"/>
              </w:rPr>
              <w:t>S216长兴至安吉公路长兴县泗安至和平段工程（318国道至302省道段）竣（交）工质量评定检测</w:t>
            </w:r>
            <w:r>
              <w:rPr>
                <w:rFonts w:hint="eastAsia" w:ascii="宋体" w:hAnsi="宋体" w:cs="宋体"/>
                <w:color w:val="auto"/>
              </w:rPr>
              <w:t xml:space="preserve">            </w:t>
            </w:r>
          </w:p>
        </w:tc>
        <w:tc>
          <w:tcPr>
            <w:tcW w:w="588" w:type="pct"/>
            <w:tcBorders>
              <w:top w:val="nil"/>
              <w:left w:val="nil"/>
              <w:bottom w:val="single" w:color="auto" w:sz="4" w:space="0"/>
              <w:right w:val="single" w:color="000000" w:sz="4" w:space="0"/>
            </w:tcBorders>
            <w:vAlign w:val="center"/>
          </w:tcPr>
          <w:p>
            <w:pPr>
              <w:spacing w:line="380" w:lineRule="exact"/>
              <w:ind w:left="67" w:right="67"/>
              <w:jc w:val="center"/>
              <w:rPr>
                <w:rFonts w:hint="eastAsia" w:ascii="宋体" w:hAnsi="宋体" w:cs="宋体"/>
                <w:color w:val="auto"/>
              </w:rPr>
            </w:pPr>
            <w:r>
              <w:rPr>
                <w:color w:val="auto"/>
              </w:rPr>
              <w:t>项</w:t>
            </w:r>
          </w:p>
        </w:tc>
        <w:tc>
          <w:tcPr>
            <w:tcW w:w="564" w:type="pct"/>
            <w:tcBorders>
              <w:top w:val="nil"/>
              <w:left w:val="nil"/>
              <w:bottom w:val="single" w:color="auto" w:sz="4" w:space="0"/>
              <w:right w:val="single" w:color="000000" w:sz="4" w:space="0"/>
            </w:tcBorders>
            <w:vAlign w:val="center"/>
          </w:tcPr>
          <w:p>
            <w:pPr>
              <w:spacing w:line="380" w:lineRule="exact"/>
              <w:ind w:right="67"/>
              <w:jc w:val="center"/>
              <w:rPr>
                <w:rFonts w:hint="eastAsia" w:ascii="宋体" w:hAnsi="宋体" w:cs="宋体"/>
                <w:color w:val="auto"/>
              </w:rPr>
            </w:pPr>
            <w:r>
              <w:rPr>
                <w:rFonts w:ascii="宋体" w:hAnsi="宋体" w:cs="宋体"/>
                <w:color w:val="auto"/>
              </w:rPr>
              <w:t>1</w:t>
            </w:r>
          </w:p>
        </w:tc>
        <w:tc>
          <w:tcPr>
            <w:tcW w:w="809" w:type="pct"/>
            <w:tcBorders>
              <w:top w:val="nil"/>
              <w:left w:val="nil"/>
              <w:bottom w:val="single" w:color="auto" w:sz="4" w:space="0"/>
              <w:right w:val="single" w:color="000000" w:sz="4" w:space="0"/>
            </w:tcBorders>
            <w:vAlign w:val="center"/>
          </w:tcPr>
          <w:p>
            <w:pPr>
              <w:spacing w:line="380" w:lineRule="exact"/>
              <w:ind w:right="67"/>
              <w:jc w:val="center"/>
              <w:rPr>
                <w:rFonts w:hint="eastAsia" w:ascii="宋体" w:hAnsi="宋体" w:cs="宋体"/>
                <w:color w:val="auto"/>
              </w:rPr>
            </w:pPr>
          </w:p>
        </w:tc>
        <w:tc>
          <w:tcPr>
            <w:tcW w:w="850" w:type="pct"/>
            <w:tcBorders>
              <w:top w:val="nil"/>
              <w:left w:val="nil"/>
              <w:bottom w:val="single" w:color="auto" w:sz="4" w:space="0"/>
              <w:right w:val="single" w:color="000000" w:sz="4" w:space="0"/>
            </w:tcBorders>
            <w:vAlign w:val="center"/>
          </w:tcPr>
          <w:p>
            <w:pPr>
              <w:spacing w:line="380" w:lineRule="exact"/>
              <w:ind w:right="67"/>
              <w:jc w:val="center"/>
              <w:rPr>
                <w:rFonts w:hint="eastAsia" w:ascii="宋体" w:hAnsi="宋体" w:cs="宋体"/>
                <w:color w:val="auto"/>
              </w:rPr>
            </w:pPr>
          </w:p>
        </w:tc>
        <w:tc>
          <w:tcPr>
            <w:tcW w:w="596" w:type="pct"/>
            <w:tcBorders>
              <w:top w:val="nil"/>
              <w:left w:val="nil"/>
              <w:bottom w:val="single" w:color="auto" w:sz="4" w:space="0"/>
              <w:right w:val="single" w:color="000000" w:sz="4" w:space="0"/>
            </w:tcBorders>
            <w:vAlign w:val="center"/>
          </w:tcPr>
          <w:p>
            <w:pPr>
              <w:spacing w:line="380" w:lineRule="exact"/>
              <w:ind w:right="67"/>
              <w:jc w:val="center"/>
              <w:rPr>
                <w:rFonts w:hint="eastAsia" w:ascii="宋体" w:hAnsi="宋体" w:cs="宋体"/>
                <w:color w:val="auto"/>
              </w:rPr>
            </w:pPr>
          </w:p>
        </w:tc>
      </w:tr>
    </w:tbl>
    <w:p>
      <w:pPr>
        <w:autoSpaceDE w:val="0"/>
        <w:autoSpaceDN w:val="0"/>
        <w:spacing w:line="360" w:lineRule="exact"/>
        <w:jc w:val="left"/>
        <w:rPr>
          <w:rFonts w:hint="eastAsia" w:ascii="宋体" w:hAnsi="宋体" w:cs="宋体"/>
          <w:color w:val="auto"/>
          <w:szCs w:val="21"/>
        </w:rPr>
      </w:pPr>
      <w:r>
        <w:rPr>
          <w:color w:val="auto"/>
        </w:rPr>
        <w:t>注：</w:t>
      </w:r>
      <w:r>
        <w:rPr>
          <w:rFonts w:ascii="宋体" w:hAnsi="宋体" w:cs="宋体"/>
          <w:color w:val="auto"/>
        </w:rPr>
        <w:t>1.</w:t>
      </w:r>
      <w:r>
        <w:rPr>
          <w:color w:val="auto"/>
        </w:rPr>
        <w:t>此表在政采云在线最终报价异常时提供，磋商响应文件中无需提供。</w:t>
      </w:r>
    </w:p>
    <w:p>
      <w:pPr>
        <w:autoSpaceDE w:val="0"/>
        <w:autoSpaceDN w:val="0"/>
        <w:spacing w:line="360" w:lineRule="exact"/>
        <w:jc w:val="left"/>
        <w:rPr>
          <w:rFonts w:hint="eastAsia" w:ascii="宋体" w:hAnsi="宋体" w:cs="宋体"/>
          <w:color w:val="auto"/>
        </w:rPr>
      </w:pPr>
      <w:r>
        <w:rPr>
          <w:rFonts w:ascii="宋体" w:hAnsi="宋体" w:cs="宋体"/>
          <w:color w:val="auto"/>
        </w:rPr>
        <w:t>2.</w:t>
      </w:r>
      <w:r>
        <w:rPr>
          <w:color w:val="auto"/>
        </w:rPr>
        <w:t>因本项目采用竞争性磋商方式采购，成交价是在初次磋商报价的基础上整体下浮，单价按最终报价与初次报价同比例下浮。</w:t>
      </w:r>
    </w:p>
    <w:p>
      <w:pPr>
        <w:snapToGrid w:val="0"/>
        <w:spacing w:line="180" w:lineRule="exact"/>
        <w:rPr>
          <w:rFonts w:hint="eastAsia" w:ascii="宋体" w:hAnsi="宋体" w:cs="宋体"/>
          <w:color w:val="auto"/>
          <w:spacing w:val="11"/>
        </w:rPr>
      </w:pPr>
      <w:r>
        <w:rPr>
          <w:rFonts w:ascii="宋体" w:hAnsi="宋体" w:cs="宋体"/>
          <w:color w:val="auto"/>
          <w:spacing w:val="11"/>
        </w:rPr>
        <w:t xml:space="preserve"> </w:t>
      </w:r>
    </w:p>
    <w:p>
      <w:pPr>
        <w:snapToGrid w:val="0"/>
        <w:spacing w:before="120" w:beforeLines="50"/>
        <w:rPr>
          <w:rFonts w:hint="eastAsia" w:ascii="宋体" w:hAnsi="宋体" w:cs="宋体"/>
          <w:color w:val="auto"/>
          <w:spacing w:val="11"/>
          <w:u w:val="single"/>
        </w:rPr>
      </w:pPr>
      <w:r>
        <w:rPr>
          <w:color w:val="auto"/>
          <w:spacing w:val="11"/>
        </w:rPr>
        <w:t>法定代表人或授权代表（签字或盖章）：</w:t>
      </w:r>
      <w:r>
        <w:rPr>
          <w:rFonts w:ascii="宋体" w:hAnsi="宋体" w:cs="宋体"/>
          <w:color w:val="auto"/>
          <w:spacing w:val="11"/>
          <w:u w:val="single"/>
        </w:rPr>
        <w:t xml:space="preserve">             </w:t>
      </w:r>
    </w:p>
    <w:p>
      <w:pPr>
        <w:snapToGrid w:val="0"/>
        <w:spacing w:before="120" w:beforeLines="50"/>
        <w:rPr>
          <w:rFonts w:hint="eastAsia" w:ascii="宋体" w:hAnsi="宋体" w:cs="宋体"/>
          <w:color w:val="auto"/>
          <w:spacing w:val="11"/>
          <w:sz w:val="24"/>
        </w:rPr>
      </w:pPr>
      <w:r>
        <w:rPr>
          <w:color w:val="auto"/>
          <w:spacing w:val="11"/>
        </w:rPr>
        <w:t>供应商公章：</w:t>
      </w:r>
      <w:r>
        <w:rPr>
          <w:rFonts w:ascii="宋体" w:hAnsi="宋体" w:cs="宋体"/>
          <w:color w:val="auto"/>
          <w:spacing w:val="11"/>
          <w:u w:val="single"/>
        </w:rPr>
        <w:t xml:space="preserve">               </w:t>
      </w:r>
      <w:r>
        <w:rPr>
          <w:rFonts w:ascii="宋体" w:hAnsi="宋体" w:cs="宋体"/>
          <w:color w:val="auto"/>
          <w:spacing w:val="11"/>
        </w:rPr>
        <w:t xml:space="preserve">                      </w:t>
      </w:r>
    </w:p>
    <w:p>
      <w:pPr>
        <w:snapToGrid w:val="0"/>
        <w:spacing w:before="120" w:beforeLines="50" w:after="50"/>
        <w:ind w:firstLine="6032" w:firstLineChars="2600"/>
        <w:rPr>
          <w:rFonts w:hint="eastAsia" w:ascii="宋体" w:hAnsi="宋体" w:cs="宋体"/>
          <w:color w:val="auto"/>
          <w:spacing w:val="11"/>
          <w:szCs w:val="21"/>
        </w:rPr>
      </w:pPr>
      <w:r>
        <w:rPr>
          <w:color w:val="auto"/>
          <w:spacing w:val="11"/>
        </w:rPr>
        <w:t>年</w:t>
      </w:r>
      <w:r>
        <w:rPr>
          <w:rFonts w:ascii="宋体" w:hAnsi="宋体" w:cs="宋体"/>
          <w:color w:val="auto"/>
          <w:spacing w:val="11"/>
        </w:rPr>
        <w:t xml:space="preserve">    </w:t>
      </w:r>
      <w:r>
        <w:rPr>
          <w:color w:val="auto"/>
          <w:spacing w:val="11"/>
        </w:rPr>
        <w:t>月</w:t>
      </w:r>
      <w:r>
        <w:rPr>
          <w:rFonts w:ascii="宋体" w:hAnsi="宋体" w:cs="宋体"/>
          <w:color w:val="auto"/>
          <w:spacing w:val="11"/>
        </w:rPr>
        <w:t xml:space="preserve">    </w:t>
      </w:r>
      <w:r>
        <w:rPr>
          <w:color w:val="auto"/>
          <w:spacing w:val="11"/>
        </w:rPr>
        <w:t>日</w:t>
      </w:r>
    </w:p>
    <w:p>
      <w:pPr>
        <w:widowControl/>
        <w:adjustRightInd/>
        <w:jc w:val="left"/>
        <w:rPr>
          <w:rFonts w:hint="eastAsia"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br w:type="page"/>
      </w:r>
    </w:p>
    <w:p>
      <w:pPr>
        <w:widowControl/>
        <w:adjustRightInd/>
        <w:jc w:val="center"/>
        <w:rPr>
          <w:rFonts w:hint="eastAsia"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中小企业声明函</w:t>
      </w:r>
      <w:bookmarkStart w:id="69" w:name="_Toc465665161"/>
    </w:p>
    <w:p>
      <w:pPr>
        <w:widowControl/>
        <w:spacing w:line="360" w:lineRule="auto"/>
        <w:ind w:firstLine="120" w:firstLineChars="50"/>
        <w:jc w:val="left"/>
        <w:rPr>
          <w:rFonts w:hint="eastAsia" w:cs="宋体" w:asciiTheme="minorEastAsia" w:hAnsiTheme="minorEastAsia" w:eastAsiaTheme="minorEastAsia"/>
          <w:b/>
          <w:color w:val="auto"/>
          <w:sz w:val="24"/>
        </w:rPr>
      </w:pPr>
    </w:p>
    <w:p>
      <w:pPr>
        <w:spacing w:line="360" w:lineRule="auto"/>
        <w:ind w:firstLine="360" w:firstLineChars="15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本公司郑重声明，根据《政府采购促进中小企业发展管理办法》（财库﹝2020﹞46 号）的规定，本公司参加 </w:t>
      </w:r>
      <w:r>
        <w:rPr>
          <w:rFonts w:hint="eastAsia" w:cs="宋体" w:asciiTheme="minorEastAsia" w:hAnsiTheme="minorEastAsia" w:eastAsiaTheme="minorEastAsia"/>
          <w:color w:val="auto"/>
          <w:sz w:val="24"/>
          <w:u w:val="single"/>
        </w:rPr>
        <w:t xml:space="preserve">（采购人）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（项目</w:t>
      </w:r>
      <w:r>
        <w:rPr>
          <w:rFonts w:hint="eastAsia" w:cs="宋体" w:asciiTheme="minorEastAsia" w:hAnsiTheme="minorEastAsia" w:eastAsiaTheme="minorEastAsia"/>
          <w:color w:val="auto"/>
          <w:sz w:val="24"/>
          <w:u w:val="single"/>
        </w:rPr>
        <w:t xml:space="preserve">名称） </w:t>
      </w:r>
      <w:r>
        <w:rPr>
          <w:rFonts w:hint="eastAsia" w:cs="宋体" w:asciiTheme="minorEastAsia" w:hAnsiTheme="minorEastAsia" w:eastAsiaTheme="minorEastAsia"/>
          <w:color w:val="auto"/>
          <w:sz w:val="24"/>
        </w:rPr>
        <w:t>采购活动，服务全部由符合政策要求的中小企业承接。相关企业的具体情况如下：</w:t>
      </w:r>
    </w:p>
    <w:p>
      <w:pPr>
        <w:spacing w:line="360" w:lineRule="auto"/>
        <w:ind w:firstLine="480" w:firstLineChars="20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pPr>
        <w:spacing w:line="360" w:lineRule="auto"/>
        <w:ind w:firstLine="480" w:firstLineChars="20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pPr>
        <w:spacing w:line="360" w:lineRule="auto"/>
        <w:ind w:firstLine="480" w:firstLineChars="20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pPr>
        <w:spacing w:line="360" w:lineRule="auto"/>
        <w:ind w:firstLine="480" w:firstLineChars="20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pPr>
        <w:spacing w:line="360" w:lineRule="auto"/>
        <w:ind w:right="176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pPr>
        <w:spacing w:line="360" w:lineRule="auto"/>
        <w:ind w:right="1120" w:firstLine="4680" w:firstLineChars="195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pPr>
        <w:spacing w:line="360" w:lineRule="auto"/>
        <w:ind w:firstLine="310" w:firstLineChars="147"/>
        <w:jc w:val="left"/>
        <w:rPr>
          <w:rFonts w:hint="eastAsia"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从业人员、营业收入、资产总额填报上一年度数据，无上一年度数据的新成立企业可不填报。</w:t>
      </w:r>
    </w:p>
    <w:p>
      <w:pPr>
        <w:spacing w:line="360" w:lineRule="auto"/>
        <w:ind w:right="420"/>
        <w:rPr>
          <w:rFonts w:hint="eastAsia" w:cs="宋体" w:asciiTheme="minorEastAsia" w:hAnsiTheme="minorEastAsia" w:eastAsiaTheme="minorEastAsia"/>
          <w:color w:val="auto"/>
          <w:sz w:val="24"/>
        </w:rPr>
      </w:pPr>
    </w:p>
    <w:p>
      <w:pPr>
        <w:spacing w:line="360" w:lineRule="auto"/>
        <w:ind w:right="42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注：</w:t>
      </w:r>
    </w:p>
    <w:p>
      <w:pPr>
        <w:spacing w:line="360" w:lineRule="auto"/>
        <w:ind w:right="420"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hint="eastAsia" w:cs="仿宋_GB2312" w:asciiTheme="minorEastAsia" w:hAnsiTheme="minorEastAsia" w:eastAsiaTheme="minorEastAsia"/>
          <w:b/>
          <w:color w:val="auto"/>
          <w:sz w:val="24"/>
        </w:rPr>
      </w:pPr>
    </w:p>
    <w:p>
      <w:pPr>
        <w:spacing w:line="360" w:lineRule="auto"/>
        <w:ind w:firstLine="482" w:firstLineChars="200"/>
        <w:rPr>
          <w:rFonts w:hint="eastAsia" w:cs="仿宋_GB2312" w:asciiTheme="minorEastAsia" w:hAnsiTheme="minorEastAsia" w:eastAsiaTheme="minorEastAsia"/>
          <w:b/>
          <w:color w:val="auto"/>
          <w:sz w:val="24"/>
        </w:rPr>
      </w:pPr>
    </w:p>
    <w:p>
      <w:pPr>
        <w:widowControl/>
        <w:adjustRightInd/>
        <w:jc w:val="center"/>
        <w:rPr>
          <w:rFonts w:hint="eastAsia" w:cs="仿宋_GB2312" w:asciiTheme="minorEastAsia" w:hAnsiTheme="minorEastAsia" w:eastAsiaTheme="minorEastAsia"/>
          <w:color w:val="auto"/>
          <w:sz w:val="24"/>
        </w:rPr>
      </w:pPr>
    </w:p>
    <w:p>
      <w:pPr>
        <w:widowControl/>
        <w:adjustRightInd/>
        <w:jc w:val="left"/>
        <w:rPr>
          <w:rFonts w:hint="eastAsia" w:cs="宋体" w:asciiTheme="minorEastAsia" w:hAnsiTheme="minorEastAsia" w:eastAsiaTheme="minorEastAsia"/>
          <w:b/>
          <w:color w:val="auto"/>
          <w:sz w:val="32"/>
          <w:szCs w:val="32"/>
        </w:rPr>
      </w:pPr>
      <w:r>
        <w:rPr>
          <w:rFonts w:cs="宋体" w:asciiTheme="minorEastAsia" w:hAnsiTheme="minorEastAsia" w:eastAsiaTheme="minorEastAsia"/>
          <w:b/>
          <w:color w:val="auto"/>
          <w:sz w:val="32"/>
          <w:szCs w:val="32"/>
        </w:rPr>
        <w:br w:type="page"/>
      </w:r>
    </w:p>
    <w:p>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附件</w:t>
      </w:r>
      <w:bookmarkEnd w:id="69"/>
    </w:p>
    <w:p>
      <w:pPr>
        <w:spacing w:line="360" w:lineRule="auto"/>
        <w:jc w:val="left"/>
        <w:rPr>
          <w:rFonts w:hint="eastAsia"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pPr>
        <w:spacing w:line="360" w:lineRule="auto"/>
        <w:jc w:val="center"/>
        <w:rPr>
          <w:rFonts w:hint="eastAsia"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pPr>
        <w:snapToGrid w:val="0"/>
        <w:spacing w:before="240" w:beforeLines="100" w:line="360" w:lineRule="auto"/>
        <w:rPr>
          <w:rFonts w:hint="eastAsia"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pPr>
        <w:snapToGrid w:val="0"/>
        <w:spacing w:line="360" w:lineRule="auto"/>
        <w:rPr>
          <w:rFonts w:hint="eastAsia"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pPr>
        <w:snapToGrid w:val="0"/>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pPr>
        <w:snapToGrid w:val="0"/>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pPr>
        <w:snapToGrid w:val="0"/>
        <w:spacing w:line="360" w:lineRule="auto"/>
        <w:rPr>
          <w:rFonts w:hint="eastAsia"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pPr>
        <w:snapToGrid w:val="0"/>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snapToGrid w:val="0"/>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pPr>
        <w:snapToGrid w:val="0"/>
        <w:spacing w:line="360" w:lineRule="auto"/>
        <w:rPr>
          <w:rFonts w:hint="eastAsia"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pPr>
        <w:snapToGrid w:val="0"/>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pPr>
        <w:snapToGrid w:val="0"/>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pPr>
        <w:snapToGrid w:val="0"/>
        <w:spacing w:line="360" w:lineRule="auto"/>
        <w:rPr>
          <w:rFonts w:hint="eastAsia"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pPr>
        <w:snapToGrid w:val="0"/>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pPr>
        <w:snapToGrid w:val="0"/>
        <w:spacing w:line="360" w:lineRule="auto"/>
        <w:rPr>
          <w:rFonts w:hint="eastAsia"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pPr>
        <w:snapToGrid w:val="0"/>
        <w:spacing w:line="360" w:lineRule="auto"/>
        <w:rPr>
          <w:rFonts w:hint="eastAsia"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pPr>
        <w:snapToGrid w:val="0"/>
        <w:spacing w:line="360" w:lineRule="auto"/>
        <w:rPr>
          <w:rFonts w:hint="eastAsia"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pPr>
        <w:snapToGrid w:val="0"/>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pPr>
        <w:snapToGrid w:val="0"/>
        <w:spacing w:line="360" w:lineRule="auto"/>
        <w:rPr>
          <w:rFonts w:hint="eastAsia"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pPr>
        <w:snapToGrid w:val="0"/>
        <w:spacing w:line="360" w:lineRule="auto"/>
        <w:rPr>
          <w:rFonts w:hint="eastAsia"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pPr>
        <w:snapToGrid w:val="0"/>
        <w:spacing w:line="360" w:lineRule="auto"/>
        <w:rPr>
          <w:rFonts w:hint="eastAsia"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pPr>
        <w:snapToGrid w:val="0"/>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pPr>
        <w:snapToGrid w:val="0"/>
        <w:spacing w:line="360" w:lineRule="auto"/>
        <w:rPr>
          <w:rFonts w:hint="eastAsia"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pPr>
        <w:snapToGrid w:val="0"/>
        <w:spacing w:line="360" w:lineRule="auto"/>
        <w:rPr>
          <w:rFonts w:hint="eastAsia"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pPr>
        <w:spacing w:line="360" w:lineRule="auto"/>
        <w:rPr>
          <w:rFonts w:hint="eastAsia" w:cs="仿宋_GB2312" w:asciiTheme="minorEastAsia" w:hAnsiTheme="minorEastAsia" w:eastAsiaTheme="minorEastAsia"/>
          <w:color w:val="auto"/>
          <w:sz w:val="24"/>
        </w:rPr>
      </w:pPr>
    </w:p>
    <w:p>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pPr>
        <w:spacing w:line="360" w:lineRule="auto"/>
        <w:rPr>
          <w:rFonts w:hint="eastAsia"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pPr>
        <w:widowControl/>
        <w:spacing w:line="360" w:lineRule="auto"/>
        <w:ind w:firstLine="480" w:firstLineChars="200"/>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pPr>
        <w:widowControl/>
        <w:spacing w:line="360" w:lineRule="auto"/>
        <w:ind w:firstLine="480" w:firstLineChars="200"/>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pPr>
        <w:widowControl/>
        <w:spacing w:line="360" w:lineRule="auto"/>
        <w:ind w:firstLine="480" w:firstLineChars="200"/>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pPr>
        <w:widowControl/>
        <w:spacing w:line="360" w:lineRule="auto"/>
        <w:ind w:firstLine="480" w:firstLineChars="200"/>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pPr>
        <w:widowControl/>
        <w:spacing w:line="360" w:lineRule="auto"/>
        <w:ind w:firstLine="480" w:firstLineChars="200"/>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cs="仿宋_GB2312" w:asciiTheme="minorEastAsia" w:hAnsiTheme="minorEastAsia" w:eastAsiaTheme="minorEastAsia"/>
          <w:color w:val="auto"/>
          <w:sz w:val="30"/>
          <w:szCs w:val="30"/>
        </w:rPr>
      </w:pPr>
    </w:p>
    <w:p>
      <w:pPr>
        <w:spacing w:line="360" w:lineRule="auto"/>
        <w:jc w:val="left"/>
        <w:rPr>
          <w:rFonts w:hint="eastAsia"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pPr>
        <w:spacing w:line="360" w:lineRule="auto"/>
        <w:jc w:val="center"/>
        <w:rPr>
          <w:rFonts w:hint="eastAsia" w:cs="仿宋_GB2312" w:asciiTheme="minorEastAsia" w:hAnsiTheme="minorEastAsia" w:eastAsiaTheme="minorEastAsia"/>
          <w:b/>
          <w:color w:val="auto"/>
          <w:sz w:val="24"/>
        </w:rPr>
      </w:pPr>
    </w:p>
    <w:p>
      <w:pPr>
        <w:spacing w:line="360" w:lineRule="auto"/>
        <w:jc w:val="center"/>
        <w:rPr>
          <w:rFonts w:hint="eastAsia"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pPr>
        <w:spacing w:line="360" w:lineRule="auto"/>
        <w:rPr>
          <w:rFonts w:hint="eastAsia"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pPr>
        <w:spacing w:line="360" w:lineRule="auto"/>
        <w:rPr>
          <w:rFonts w:hint="eastAsia"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tabs>
          <w:tab w:val="left" w:pos="6510"/>
        </w:tabs>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tabs>
          <w:tab w:val="left" w:pos="6510"/>
        </w:tabs>
        <w:spacing w:line="360" w:lineRule="auto"/>
        <w:rPr>
          <w:rFonts w:hint="eastAsia"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pPr>
        <w:spacing w:line="360" w:lineRule="auto"/>
        <w:rPr>
          <w:rFonts w:hint="eastAsia"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pPr>
        <w:spacing w:line="360" w:lineRule="auto"/>
        <w:rPr>
          <w:rFonts w:hint="eastAsia"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pPr>
        <w:spacing w:line="360" w:lineRule="auto"/>
        <w:rPr>
          <w:rFonts w:hint="eastAsia"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hint="eastAsia"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hint="eastAsia"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pPr>
        <w:spacing w:line="360" w:lineRule="auto"/>
        <w:rPr>
          <w:rFonts w:hint="eastAsia"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pPr>
        <w:spacing w:line="360" w:lineRule="auto"/>
        <w:rPr>
          <w:rFonts w:hint="eastAsia"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hint="eastAsia"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hint="eastAsia"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pPr>
        <w:spacing w:line="360" w:lineRule="auto"/>
        <w:rPr>
          <w:rFonts w:hint="eastAsia"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pPr>
        <w:spacing w:line="360" w:lineRule="auto"/>
        <w:rPr>
          <w:rFonts w:hint="eastAsia"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hint="eastAsia"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pPr>
        <w:spacing w:line="360" w:lineRule="auto"/>
        <w:rPr>
          <w:rFonts w:hint="eastAsia"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pPr>
        <w:spacing w:line="360" w:lineRule="auto"/>
        <w:rPr>
          <w:rFonts w:hint="eastAsia"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pPr>
        <w:spacing w:line="360" w:lineRule="auto"/>
        <w:ind w:firstLine="480" w:firstLineChars="200"/>
        <w:rPr>
          <w:rFonts w:hint="eastAsia"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pPr>
        <w:spacing w:line="360" w:lineRule="auto"/>
        <w:rPr>
          <w:rFonts w:hint="eastAsia"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spacing w:line="360" w:lineRule="auto"/>
        <w:ind w:firstLine="360" w:firstLineChars="15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pPr>
        <w:spacing w:line="360" w:lineRule="auto"/>
        <w:rPr>
          <w:rFonts w:hint="eastAsia"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pPr>
        <w:spacing w:line="360" w:lineRule="auto"/>
        <w:rPr>
          <w:rFonts w:hint="eastAsia"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pPr>
        <w:spacing w:line="360" w:lineRule="auto"/>
        <w:rPr>
          <w:rFonts w:hint="eastAsia"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pPr>
        <w:spacing w:line="360" w:lineRule="auto"/>
        <w:rPr>
          <w:rFonts w:hint="eastAsia"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pPr>
        <w:spacing w:line="360" w:lineRule="auto"/>
        <w:rPr>
          <w:rFonts w:hint="eastAsia"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spacing w:line="360" w:lineRule="auto"/>
        <w:rPr>
          <w:rFonts w:hint="eastAsia"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pPr>
        <w:spacing w:line="360" w:lineRule="auto"/>
        <w:rPr>
          <w:rFonts w:hint="eastAsia" w:cs="仿宋_GB2312" w:asciiTheme="minorEastAsia" w:hAnsiTheme="minorEastAsia" w:eastAsiaTheme="minorEastAsia"/>
          <w:b/>
          <w:color w:val="auto"/>
          <w:sz w:val="24"/>
        </w:rPr>
      </w:pPr>
    </w:p>
    <w:p>
      <w:pPr>
        <w:spacing w:line="360" w:lineRule="auto"/>
        <w:rPr>
          <w:rFonts w:hint="eastAsia" w:cs="仿宋_GB2312" w:asciiTheme="minorEastAsia" w:hAnsiTheme="minorEastAsia" w:eastAsiaTheme="minorEastAsia"/>
          <w:b/>
          <w:color w:val="auto"/>
          <w:sz w:val="24"/>
        </w:rPr>
      </w:pPr>
    </w:p>
    <w:p>
      <w:pPr>
        <w:spacing w:line="360" w:lineRule="auto"/>
        <w:rPr>
          <w:rFonts w:hint="eastAsia"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pPr>
        <w:widowControl/>
        <w:spacing w:line="360" w:lineRule="auto"/>
        <w:ind w:firstLine="480" w:firstLineChars="200"/>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pPr>
        <w:widowControl/>
        <w:spacing w:line="360" w:lineRule="auto"/>
        <w:ind w:firstLine="480" w:firstLineChars="200"/>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pPr>
        <w:widowControl/>
        <w:spacing w:line="360" w:lineRule="auto"/>
        <w:ind w:firstLine="480" w:firstLineChars="200"/>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pPr>
        <w:widowControl/>
        <w:spacing w:line="360" w:lineRule="auto"/>
        <w:ind w:firstLine="480" w:firstLineChars="200"/>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pPr>
        <w:widowControl/>
        <w:spacing w:line="360" w:lineRule="auto"/>
        <w:ind w:firstLine="480" w:firstLineChars="200"/>
        <w:jc w:val="left"/>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pPr>
        <w:rPr>
          <w:rFonts w:hint="eastAsia" w:cs="仿宋_GB2312" w:asciiTheme="minorEastAsia" w:hAnsiTheme="minorEastAsia" w:eastAsiaTheme="minorEastAsia"/>
          <w:b/>
          <w:color w:val="auto"/>
          <w:sz w:val="24"/>
        </w:rPr>
      </w:pPr>
    </w:p>
    <w:p>
      <w:pPr>
        <w:widowControl/>
        <w:adjustRightInd/>
        <w:jc w:val="left"/>
        <w:rPr>
          <w:rFonts w:hint="eastAsia"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pPr>
        <w:spacing w:line="360" w:lineRule="auto"/>
        <w:jc w:val="left"/>
        <w:rPr>
          <w:rFonts w:hint="eastAsia"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pPr>
        <w:spacing w:line="360" w:lineRule="auto"/>
        <w:rPr>
          <w:rFonts w:hint="eastAsia" w:asciiTheme="minorEastAsia" w:hAnsiTheme="minorEastAsia" w:eastAsiaTheme="minorEastAsia"/>
          <w:b/>
          <w:color w:val="auto"/>
          <w:spacing w:val="6"/>
          <w:sz w:val="32"/>
          <w:szCs w:val="32"/>
        </w:rPr>
      </w:pPr>
    </w:p>
    <w:p>
      <w:pPr>
        <w:spacing w:line="360" w:lineRule="auto"/>
        <w:jc w:val="center"/>
        <w:rPr>
          <w:rFonts w:hint="eastAsia"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pPr>
        <w:spacing w:line="360" w:lineRule="auto"/>
        <w:rPr>
          <w:rFonts w:hint="eastAsia" w:asciiTheme="minorEastAsia" w:hAnsiTheme="minorEastAsia" w:eastAsiaTheme="minorEastAsia"/>
          <w:b/>
          <w:color w:val="auto"/>
          <w:spacing w:val="6"/>
          <w:sz w:val="30"/>
          <w:szCs w:val="30"/>
        </w:rPr>
      </w:pPr>
    </w:p>
    <w:p>
      <w:pPr>
        <w:spacing w:line="360" w:lineRule="auto"/>
        <w:ind w:firstLine="480" w:firstLineChars="20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u w:val="single"/>
        </w:rPr>
        <w:t xml:space="preserve">   （采购人）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（项目名称）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pPr>
        <w:spacing w:line="360" w:lineRule="auto"/>
        <w:ind w:firstLine="480" w:firstLineChars="200"/>
        <w:rPr>
          <w:rFonts w:hint="eastAsia" w:cs="仿宋_GB2312" w:asciiTheme="minorEastAsia" w:hAnsiTheme="minorEastAsia" w:eastAsiaTheme="minorEastAsia"/>
          <w:color w:val="auto"/>
          <w:sz w:val="24"/>
        </w:rPr>
      </w:pPr>
    </w:p>
    <w:p>
      <w:pPr>
        <w:spacing w:line="360" w:lineRule="auto"/>
        <w:ind w:firstLine="480" w:firstLineChars="200"/>
        <w:rPr>
          <w:rFonts w:hint="eastAsia" w:cs="仿宋_GB2312" w:asciiTheme="minorEastAsia" w:hAnsiTheme="minorEastAsia" w:eastAsiaTheme="minorEastAsia"/>
          <w:color w:val="auto"/>
          <w:sz w:val="24"/>
        </w:rPr>
      </w:pPr>
    </w:p>
    <w:p>
      <w:pPr>
        <w:tabs>
          <w:tab w:val="left" w:pos="4860"/>
        </w:tabs>
        <w:spacing w:line="360" w:lineRule="auto"/>
        <w:ind w:right="1560" w:firstLine="480" w:firstLineChars="200"/>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单位名称（</w:t>
      </w:r>
      <w:r>
        <w:rPr>
          <w:rFonts w:hint="eastAsia" w:cs="仿宋_GB2312" w:asciiTheme="minorEastAsia" w:hAnsiTheme="minorEastAsia" w:eastAsiaTheme="minorEastAsia"/>
          <w:color w:val="auto"/>
          <w:kern w:val="0"/>
          <w:sz w:val="24"/>
        </w:rPr>
        <w:t>电子签名</w:t>
      </w:r>
      <w:r>
        <w:rPr>
          <w:rFonts w:hint="eastAsia" w:cs="仿宋_GB2312" w:asciiTheme="minorEastAsia" w:hAnsiTheme="minorEastAsia" w:eastAsiaTheme="minorEastAsia"/>
          <w:color w:val="auto"/>
          <w:sz w:val="24"/>
        </w:rPr>
        <w:t>）：</w:t>
      </w:r>
    </w:p>
    <w:p>
      <w:pPr>
        <w:tabs>
          <w:tab w:val="left" w:pos="4860"/>
        </w:tabs>
        <w:spacing w:line="360" w:lineRule="auto"/>
        <w:ind w:right="1560" w:firstLine="480" w:firstLineChars="200"/>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pPr>
        <w:spacing w:line="360" w:lineRule="auto"/>
        <w:ind w:firstLine="480" w:firstLineChars="200"/>
        <w:rPr>
          <w:rFonts w:hint="eastAsia" w:cs="仿宋_GB2312" w:asciiTheme="minorEastAsia" w:hAnsiTheme="minorEastAsia" w:eastAsiaTheme="minorEastAsia"/>
          <w:color w:val="auto"/>
          <w:sz w:val="24"/>
        </w:rPr>
      </w:pPr>
    </w:p>
    <w:p>
      <w:pPr>
        <w:widowControl/>
        <w:adjustRightInd/>
        <w:jc w:val="left"/>
        <w:rPr>
          <w:rFonts w:hint="eastAsia"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pPr>
        <w:autoSpaceDE w:val="0"/>
        <w:autoSpaceDN w:val="0"/>
        <w:jc w:val="left"/>
        <w:rPr>
          <w:rFonts w:hint="eastAsia"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pPr>
        <w:spacing w:line="360" w:lineRule="auto"/>
        <w:jc w:val="left"/>
        <w:rPr>
          <w:rFonts w:hint="eastAsia" w:cs="仿宋_GB2312" w:asciiTheme="minorEastAsia" w:hAnsiTheme="minorEastAsia" w:eastAsiaTheme="minorEastAsia"/>
          <w:b/>
          <w:color w:val="auto"/>
          <w:sz w:val="24"/>
        </w:rPr>
      </w:pPr>
    </w:p>
    <w:p>
      <w:pPr>
        <w:autoSpaceDE w:val="0"/>
        <w:autoSpaceDN w:val="0"/>
        <w:jc w:val="center"/>
        <w:rPr>
          <w:rFonts w:hint="eastAsia"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pPr>
        <w:autoSpaceDE w:val="0"/>
        <w:autoSpaceDN w:val="0"/>
        <w:jc w:val="center"/>
        <w:rPr>
          <w:rFonts w:hint="eastAsia" w:asciiTheme="minorEastAsia" w:hAnsiTheme="minorEastAsia" w:eastAsiaTheme="minorEastAsia"/>
          <w:b/>
          <w:bCs/>
          <w:color w:val="auto"/>
          <w:sz w:val="32"/>
          <w:szCs w:val="32"/>
        </w:rPr>
      </w:pPr>
    </w:p>
    <w:p>
      <w:pPr>
        <w:spacing w:line="360" w:lineRule="auto"/>
        <w:rPr>
          <w:rFonts w:hint="eastAsia"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pPr>
        <w:spacing w:line="360" w:lineRule="auto"/>
        <w:ind w:firstLine="480" w:firstLineChars="200"/>
        <w:rPr>
          <w:rFonts w:hint="eastAsia"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贵方组织的（项目名称）【项目编号：（采购编号）】</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pPr>
        <w:spacing w:line="360" w:lineRule="auto"/>
        <w:ind w:firstLine="494"/>
        <w:rPr>
          <w:rFonts w:hint="eastAsia" w:cs="宋体" w:asciiTheme="minorEastAsia" w:hAnsiTheme="minorEastAsia" w:eastAsiaTheme="minorEastAsia"/>
          <w:color w:val="auto"/>
          <w:sz w:val="24"/>
        </w:rPr>
      </w:pPr>
    </w:p>
    <w:p>
      <w:pPr>
        <w:spacing w:line="360" w:lineRule="auto"/>
        <w:ind w:firstLine="494"/>
        <w:rPr>
          <w:rFonts w:hint="eastAsia" w:cs="宋体" w:asciiTheme="minorEastAsia" w:hAnsiTheme="minorEastAsia" w:eastAsiaTheme="minorEastAsia"/>
          <w:color w:val="auto"/>
          <w:sz w:val="24"/>
        </w:rPr>
      </w:pPr>
    </w:p>
    <w:p>
      <w:pPr>
        <w:spacing w:line="360" w:lineRule="auto"/>
        <w:ind w:firstLine="494"/>
        <w:rPr>
          <w:rFonts w:hint="eastAsia" w:cs="宋体" w:asciiTheme="minorEastAsia" w:hAnsiTheme="minorEastAsia" w:eastAsiaTheme="minorEastAsia"/>
          <w:color w:val="auto"/>
          <w:sz w:val="24"/>
        </w:rPr>
      </w:pPr>
    </w:p>
    <w:p>
      <w:pPr>
        <w:spacing w:line="360" w:lineRule="auto"/>
        <w:ind w:firstLine="494"/>
        <w:rPr>
          <w:rFonts w:hint="eastAsia" w:cs="宋体" w:asciiTheme="minorEastAsia" w:hAnsiTheme="minorEastAsia" w:eastAsiaTheme="minorEastAsia"/>
          <w:color w:val="auto"/>
          <w:sz w:val="24"/>
        </w:rPr>
      </w:pPr>
    </w:p>
    <w:p>
      <w:pPr>
        <w:spacing w:line="360" w:lineRule="auto"/>
        <w:ind w:right="482" w:firstLine="4080" w:firstLineChars="17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pPr>
        <w:spacing w:line="360" w:lineRule="auto"/>
        <w:ind w:right="482" w:firstLine="4080" w:firstLineChars="17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pPr>
        <w:rPr>
          <w:rFonts w:hint="eastAsia"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pPr>
        <w:spacing w:line="360" w:lineRule="auto"/>
        <w:rPr>
          <w:rFonts w:hint="eastAsia"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81792"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468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pPr>
        <w:widowControl/>
        <w:spacing w:line="360" w:lineRule="auto"/>
        <w:ind w:firstLine="480" w:firstLineChars="200"/>
        <w:jc w:val="left"/>
        <w:rPr>
          <w:rFonts w:hint="eastAsia" w:cs="宋体" w:asciiTheme="minorEastAsia" w:hAnsiTheme="minorEastAsia" w:eastAsiaTheme="minorEastAsia"/>
          <w:color w:val="auto"/>
          <w:kern w:val="0"/>
          <w:sz w:val="24"/>
        </w:rPr>
      </w:pPr>
    </w:p>
    <w:p>
      <w:pPr>
        <w:snapToGrid w:val="0"/>
        <w:spacing w:line="360" w:lineRule="auto"/>
        <w:jc w:val="center"/>
        <w:rPr>
          <w:rFonts w:hint="eastAsia" w:cs="仿宋_GB2312" w:asciiTheme="minorEastAsia" w:hAnsiTheme="minorEastAsia" w:eastAsiaTheme="minorEastAsia"/>
          <w:b/>
          <w:color w:val="auto"/>
          <w:sz w:val="24"/>
        </w:rPr>
      </w:pPr>
    </w:p>
    <w:p>
      <w:pPr>
        <w:widowControl/>
        <w:adjustRightInd/>
        <w:jc w:val="left"/>
        <w:rPr>
          <w:rFonts w:hint="eastAsia" w:cs="仿宋_GB2312" w:asciiTheme="minorEastAsia" w:hAnsiTheme="minorEastAsia" w:eastAsiaTheme="minorEastAsia"/>
          <w:b/>
          <w:color w:val="auto"/>
          <w:sz w:val="24"/>
        </w:rPr>
      </w:pPr>
      <w:r>
        <w:rPr>
          <w:rFonts w:cs="仿宋_GB2312" w:asciiTheme="minorEastAsia" w:hAnsiTheme="minorEastAsia" w:eastAsiaTheme="minorEastAsia"/>
          <w:b/>
          <w:color w:val="auto"/>
          <w:sz w:val="24"/>
        </w:rPr>
        <w:br w:type="page"/>
      </w:r>
    </w:p>
    <w:p>
      <w:pPr>
        <w:autoSpaceDE w:val="0"/>
        <w:autoSpaceDN w:val="0"/>
        <w:jc w:val="left"/>
        <w:rPr>
          <w:rFonts w:hint="eastAsia"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附件5：</w:t>
      </w:r>
    </w:p>
    <w:p>
      <w:pPr>
        <w:spacing w:line="360" w:lineRule="auto"/>
        <w:jc w:val="center"/>
        <w:rPr>
          <w:rFonts w:hint="eastAsia" w:cs="宋体" w:asciiTheme="minorEastAsia" w:hAnsiTheme="minorEastAsia" w:eastAsiaTheme="minorEastAsia"/>
          <w:b/>
          <w:color w:val="auto"/>
          <w:sz w:val="32"/>
          <w:szCs w:val="32"/>
        </w:rPr>
      </w:pPr>
    </w:p>
    <w:p>
      <w:pPr>
        <w:adjustRightInd/>
        <w:spacing w:line="360" w:lineRule="auto"/>
        <w:jc w:val="center"/>
        <w:outlineLvl w:val="0"/>
        <w:rPr>
          <w:rFonts w:hint="eastAsia"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中小企业声明函（服务）</w:t>
      </w:r>
    </w:p>
    <w:p>
      <w:pPr>
        <w:spacing w:line="360" w:lineRule="auto"/>
        <w:jc w:val="center"/>
        <w:rPr>
          <w:rFonts w:hint="eastAsia" w:cs="宋体" w:asciiTheme="minorEastAsia" w:hAnsiTheme="minorEastAsia" w:eastAsiaTheme="minorEastAsia"/>
          <w:b/>
          <w:color w:val="auto"/>
          <w:sz w:val="32"/>
          <w:szCs w:val="32"/>
        </w:rPr>
      </w:pPr>
    </w:p>
    <w:p>
      <w:pPr>
        <w:spacing w:line="360" w:lineRule="auto"/>
        <w:ind w:firstLine="360" w:firstLineChars="15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rPr>
        <w:t xml:space="preserve">（采购人）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（项目</w:t>
      </w:r>
      <w:r>
        <w:rPr>
          <w:rFonts w:hint="eastAsia" w:cs="宋体" w:asciiTheme="minorEastAsia" w:hAnsiTheme="minorEastAsia" w:eastAsiaTheme="minorEastAsia"/>
          <w:color w:val="auto"/>
          <w:sz w:val="24"/>
          <w:u w:val="single"/>
        </w:rPr>
        <w:t xml:space="preserve">名称） </w:t>
      </w:r>
      <w:r>
        <w:rPr>
          <w:rFonts w:hint="eastAsia" w:cs="宋体" w:asciiTheme="minorEastAsia" w:hAnsiTheme="minorEastAsia" w:eastAsiaTheme="minorEastAsia"/>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pPr>
        <w:spacing w:line="360" w:lineRule="auto"/>
        <w:ind w:firstLine="480" w:firstLineChars="20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pPr>
        <w:spacing w:line="360" w:lineRule="auto"/>
        <w:ind w:firstLine="480" w:firstLineChars="20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pPr>
        <w:spacing w:line="360" w:lineRule="auto"/>
        <w:ind w:firstLine="480" w:firstLineChars="20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pPr>
        <w:spacing w:line="360" w:lineRule="auto"/>
        <w:ind w:right="176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pPr>
        <w:spacing w:line="360" w:lineRule="auto"/>
        <w:ind w:right="1120" w:firstLine="4680" w:firstLineChars="195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pPr>
        <w:spacing w:line="360" w:lineRule="auto"/>
        <w:ind w:firstLine="310" w:firstLineChars="147"/>
        <w:jc w:val="left"/>
        <w:rPr>
          <w:rFonts w:hint="eastAsia"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从业人员、营业收入、资产总额填报上一年度数据，无上一年度数据的新成立企业可不填报。</w:t>
      </w:r>
    </w:p>
    <w:p>
      <w:pPr>
        <w:spacing w:line="360" w:lineRule="auto"/>
        <w:ind w:right="420"/>
        <w:rPr>
          <w:rFonts w:hint="eastAsia" w:cs="宋体" w:asciiTheme="minorEastAsia" w:hAnsiTheme="minorEastAsia" w:eastAsiaTheme="minorEastAsia"/>
          <w:color w:val="auto"/>
          <w:sz w:val="24"/>
        </w:rPr>
      </w:pPr>
    </w:p>
    <w:p>
      <w:pPr>
        <w:spacing w:line="360" w:lineRule="auto"/>
        <w:ind w:right="42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注：</w:t>
      </w:r>
    </w:p>
    <w:p>
      <w:pPr>
        <w:spacing w:line="360" w:lineRule="auto"/>
        <w:ind w:right="420"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hint="eastAsia" w:cs="仿宋_GB2312" w:asciiTheme="minorEastAsia" w:hAnsiTheme="minorEastAsia" w:eastAsiaTheme="minorEastAsia"/>
          <w:b/>
          <w:color w:val="auto"/>
          <w:sz w:val="24"/>
        </w:rPr>
      </w:pPr>
    </w:p>
    <w:p>
      <w:pPr>
        <w:spacing w:line="360" w:lineRule="auto"/>
        <w:ind w:firstLine="482" w:firstLineChars="200"/>
        <w:rPr>
          <w:rFonts w:hint="eastAsia" w:cs="仿宋_GB2312" w:asciiTheme="minorEastAsia" w:hAnsiTheme="minorEastAsia" w:eastAsiaTheme="minorEastAsia"/>
          <w:b/>
          <w:color w:val="auto"/>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Cambria Math">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70" w:name="_Toc91899912"/>
    <w:bookmarkStart w:id="71" w:name="_Toc36110187"/>
    <w:bookmarkStart w:id="72" w:name="_Toc131845147"/>
    <w:bookmarkStart w:id="73" w:name="_Toc164085800"/>
    <w:r>
      <w:rPr>
        <w:rFonts w:hint="eastAsia" w:ascii="仿宋_GB2312" w:eastAsia="仿宋_GB2312"/>
        <w:kern w:val="0"/>
        <w:szCs w:val="21"/>
      </w:rPr>
      <w:t xml:space="preserve"> 页</w:t>
    </w:r>
    <w:bookmarkEnd w:id="70"/>
    <w:bookmarkEnd w:id="71"/>
    <w:bookmarkEnd w:id="72"/>
    <w:bookmarkEnd w:id="7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firstLine="180" w:firstLineChars="100"/>
      <w:rPr>
        <w:rFonts w:eastAsia="仿宋_GB2312"/>
        <w:b w:val="0"/>
        <w:i/>
        <w:sz w:val="18"/>
        <w:u w:val="single"/>
      </w:rPr>
    </w:pPr>
    <w:r>
      <w:rPr>
        <w:rFonts w:hint="eastAsia" w:eastAsia="仿宋_GB2312"/>
        <w:b w:val="0"/>
        <w:i/>
        <w:sz w:val="18"/>
        <w:u w:val="single"/>
      </w:rPr>
      <w:t xml:space="preserve"> S216长兴至安吉公路长兴县泗安至和平段工程（318国道至302省道段）竣（交）工质量评定检测竞争性磋商文件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firstLine="180" w:firstLineChars="100"/>
      <w:rPr>
        <w:rFonts w:eastAsia="仿宋_GB2312"/>
      </w:rPr>
    </w:pPr>
    <w:r>
      <w:rPr>
        <w:rFonts w:hint="eastAsia" w:eastAsia="仿宋_GB2312"/>
        <w:b w:val="0"/>
        <w:i/>
        <w:sz w:val="18"/>
        <w:u w:val="single"/>
      </w:rPr>
      <w:t>S216长兴至安吉公路长兴县泗安至和平段工程（318国道至302省道段）竣（交）工质量评定检测竞争性磋商文件</w:t>
    </w:r>
    <w:r>
      <w:rPr>
        <w:rFonts w:hint="eastAsia"/>
        <w:b w:val="0"/>
        <w:sz w:val="18"/>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firstLine="180" w:firstLineChars="100"/>
    </w:pPr>
    <w:r>
      <w:rPr>
        <w:rFonts w:hint="eastAsia" w:eastAsia="仿宋_GB2312"/>
        <w:b w:val="0"/>
        <w:i/>
        <w:sz w:val="18"/>
        <w:u w:val="single"/>
      </w:rPr>
      <w:t>S216长兴至安吉公路长兴县泗安至和平段工程（318国道至302省道段）竣（交）工质量评定检测竞争性磋商文件</w:t>
    </w:r>
    <w:r>
      <w:rPr>
        <w:rFonts w:hint="eastAsia"/>
        <w:b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755C6"/>
    <w:multiLevelType w:val="singleLevel"/>
    <w:tmpl w:val="AB4755C6"/>
    <w:lvl w:ilvl="0" w:tentative="0">
      <w:start w:val="4"/>
      <w:numFmt w:val="decimal"/>
      <w:suff w:val="nothing"/>
      <w:lvlText w:val="（%1）"/>
      <w:lvlJc w:val="left"/>
    </w:lvl>
  </w:abstractNum>
  <w:abstractNum w:abstractNumId="1">
    <w:nsid w:val="BA8C6E97"/>
    <w:multiLevelType w:val="singleLevel"/>
    <w:tmpl w:val="BA8C6E97"/>
    <w:lvl w:ilvl="0" w:tentative="0">
      <w:start w:val="6"/>
      <w:numFmt w:val="decimal"/>
      <w:suff w:val="space"/>
      <w:lvlText w:val="%1."/>
      <w:lvlJc w:val="left"/>
    </w:lvl>
  </w:abstractNum>
  <w:abstractNum w:abstractNumId="2">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8DDABB"/>
    <w:multiLevelType w:val="singleLevel"/>
    <w:tmpl w:val="008DDABB"/>
    <w:lvl w:ilvl="0" w:tentative="0">
      <w:start w:val="3"/>
      <w:numFmt w:val="decimal"/>
      <w:lvlText w:val="%1."/>
      <w:lvlJc w:val="left"/>
      <w:pPr>
        <w:tabs>
          <w:tab w:val="left" w:pos="312"/>
        </w:tabs>
      </w:pPr>
    </w:lvl>
  </w:abstractNum>
  <w:abstractNum w:abstractNumId="6">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7">
    <w:nsid w:val="2BF221F5"/>
    <w:multiLevelType w:val="multilevel"/>
    <w:tmpl w:val="2BF221F5"/>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9">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0">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2">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4"/>
  </w:num>
  <w:num w:numId="3">
    <w:abstractNumId w:val="2"/>
  </w:num>
  <w:num w:numId="4">
    <w:abstractNumId w:val="3"/>
  </w:num>
  <w:num w:numId="5">
    <w:abstractNumId w:val="10"/>
  </w:num>
  <w:num w:numId="6">
    <w:abstractNumId w:val="12"/>
  </w:num>
  <w:num w:numId="7">
    <w:abstractNumId w:val="5"/>
  </w:num>
  <w:num w:numId="8">
    <w:abstractNumId w:val="8"/>
  </w:num>
  <w:num w:numId="9">
    <w:abstractNumId w:val="11"/>
  </w:num>
  <w:num w:numId="10">
    <w:abstractNumId w:val="1"/>
  </w:num>
  <w:num w:numId="11">
    <w:abstractNumId w:val="0"/>
  </w:num>
  <w:num w:numId="12">
    <w:abstractNumId w:val="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YTUyOTZlZjg2MzQ5NDRmMTM2ZWQ1ODcwYjE5OTM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A87"/>
    <w:rsid w:val="00044F48"/>
    <w:rsid w:val="0004651A"/>
    <w:rsid w:val="00050412"/>
    <w:rsid w:val="00050656"/>
    <w:rsid w:val="00051B54"/>
    <w:rsid w:val="0005486D"/>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49"/>
    <w:rsid w:val="000665C4"/>
    <w:rsid w:val="00067821"/>
    <w:rsid w:val="0006785E"/>
    <w:rsid w:val="00067E1A"/>
    <w:rsid w:val="00070825"/>
    <w:rsid w:val="000710FC"/>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AE2"/>
    <w:rsid w:val="00091B4E"/>
    <w:rsid w:val="00091D89"/>
    <w:rsid w:val="00092FE9"/>
    <w:rsid w:val="00094342"/>
    <w:rsid w:val="000960BA"/>
    <w:rsid w:val="0009662A"/>
    <w:rsid w:val="000A1A52"/>
    <w:rsid w:val="000A1F98"/>
    <w:rsid w:val="000A23CE"/>
    <w:rsid w:val="000A361C"/>
    <w:rsid w:val="000A49BB"/>
    <w:rsid w:val="000A4C67"/>
    <w:rsid w:val="000A5674"/>
    <w:rsid w:val="000A5A46"/>
    <w:rsid w:val="000B0E04"/>
    <w:rsid w:val="000B4492"/>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4A2A"/>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ACF"/>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1A"/>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57B5C"/>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6AE"/>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B7B8E"/>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4ED"/>
    <w:rsid w:val="001E59FB"/>
    <w:rsid w:val="001E787E"/>
    <w:rsid w:val="001E7BBD"/>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78A"/>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66A7"/>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2146"/>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2C85"/>
    <w:rsid w:val="00303959"/>
    <w:rsid w:val="00303AB6"/>
    <w:rsid w:val="00303E42"/>
    <w:rsid w:val="00304455"/>
    <w:rsid w:val="00304640"/>
    <w:rsid w:val="00304AC1"/>
    <w:rsid w:val="00305454"/>
    <w:rsid w:val="003066C6"/>
    <w:rsid w:val="00307DC7"/>
    <w:rsid w:val="003102E8"/>
    <w:rsid w:val="00310957"/>
    <w:rsid w:val="00310C12"/>
    <w:rsid w:val="00310EDB"/>
    <w:rsid w:val="00312260"/>
    <w:rsid w:val="00312378"/>
    <w:rsid w:val="00312BF8"/>
    <w:rsid w:val="00312DFC"/>
    <w:rsid w:val="0031318C"/>
    <w:rsid w:val="00313422"/>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4500"/>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949"/>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537F"/>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0F89"/>
    <w:rsid w:val="004D12E8"/>
    <w:rsid w:val="004D16A3"/>
    <w:rsid w:val="004D1E41"/>
    <w:rsid w:val="004D6F29"/>
    <w:rsid w:val="004D79DD"/>
    <w:rsid w:val="004D7F9C"/>
    <w:rsid w:val="004D7FF2"/>
    <w:rsid w:val="004E1D6F"/>
    <w:rsid w:val="004E1F19"/>
    <w:rsid w:val="004E2294"/>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1FAB"/>
    <w:rsid w:val="005131A2"/>
    <w:rsid w:val="0051440E"/>
    <w:rsid w:val="00514F0B"/>
    <w:rsid w:val="005160EA"/>
    <w:rsid w:val="005173F3"/>
    <w:rsid w:val="00517AC8"/>
    <w:rsid w:val="00517C3E"/>
    <w:rsid w:val="005212F4"/>
    <w:rsid w:val="00521305"/>
    <w:rsid w:val="0052178F"/>
    <w:rsid w:val="00521908"/>
    <w:rsid w:val="00523606"/>
    <w:rsid w:val="00523A7A"/>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3E39"/>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15F"/>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729"/>
    <w:rsid w:val="00574E7B"/>
    <w:rsid w:val="005754A4"/>
    <w:rsid w:val="00576B5C"/>
    <w:rsid w:val="00577260"/>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4888"/>
    <w:rsid w:val="005955EB"/>
    <w:rsid w:val="0059683E"/>
    <w:rsid w:val="00596B2D"/>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A7FB2"/>
    <w:rsid w:val="005B102C"/>
    <w:rsid w:val="005B1776"/>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38B"/>
    <w:rsid w:val="00600525"/>
    <w:rsid w:val="00600FF9"/>
    <w:rsid w:val="006011E3"/>
    <w:rsid w:val="0060150C"/>
    <w:rsid w:val="00601F66"/>
    <w:rsid w:val="00601F8F"/>
    <w:rsid w:val="00603373"/>
    <w:rsid w:val="006036D0"/>
    <w:rsid w:val="006042CD"/>
    <w:rsid w:val="0060506E"/>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1BF"/>
    <w:rsid w:val="00652CF5"/>
    <w:rsid w:val="0065343E"/>
    <w:rsid w:val="00653C7C"/>
    <w:rsid w:val="006540B1"/>
    <w:rsid w:val="006558CD"/>
    <w:rsid w:val="00656CD4"/>
    <w:rsid w:val="00656D49"/>
    <w:rsid w:val="00656E4D"/>
    <w:rsid w:val="006576BA"/>
    <w:rsid w:val="00662401"/>
    <w:rsid w:val="00662D3D"/>
    <w:rsid w:val="00662F1F"/>
    <w:rsid w:val="006632F9"/>
    <w:rsid w:val="00664DB5"/>
    <w:rsid w:val="006666C8"/>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616D"/>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50A"/>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927"/>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272A"/>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4E51"/>
    <w:rsid w:val="007675DD"/>
    <w:rsid w:val="00767D64"/>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00C"/>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15C"/>
    <w:rsid w:val="007D67E1"/>
    <w:rsid w:val="007D6FB9"/>
    <w:rsid w:val="007D73E2"/>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0E3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C67"/>
    <w:rsid w:val="00931D10"/>
    <w:rsid w:val="0093386D"/>
    <w:rsid w:val="00935194"/>
    <w:rsid w:val="0094015D"/>
    <w:rsid w:val="009441DB"/>
    <w:rsid w:val="0094424D"/>
    <w:rsid w:val="0094568E"/>
    <w:rsid w:val="0094633F"/>
    <w:rsid w:val="009468C5"/>
    <w:rsid w:val="00947BA5"/>
    <w:rsid w:val="009504B5"/>
    <w:rsid w:val="00950805"/>
    <w:rsid w:val="00950EA8"/>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AB"/>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61B"/>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3828"/>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D2F"/>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5DD"/>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3F83"/>
    <w:rsid w:val="00AD5F0A"/>
    <w:rsid w:val="00AD6741"/>
    <w:rsid w:val="00AD6B4F"/>
    <w:rsid w:val="00AD7CFA"/>
    <w:rsid w:val="00AE11C1"/>
    <w:rsid w:val="00AE1629"/>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04A"/>
    <w:rsid w:val="00B05A66"/>
    <w:rsid w:val="00B05EFD"/>
    <w:rsid w:val="00B066FE"/>
    <w:rsid w:val="00B06912"/>
    <w:rsid w:val="00B1084D"/>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8FF"/>
    <w:rsid w:val="00B26C57"/>
    <w:rsid w:val="00B274E3"/>
    <w:rsid w:val="00B27B92"/>
    <w:rsid w:val="00B30563"/>
    <w:rsid w:val="00B30A76"/>
    <w:rsid w:val="00B31F11"/>
    <w:rsid w:val="00B3412E"/>
    <w:rsid w:val="00B346EA"/>
    <w:rsid w:val="00B356B8"/>
    <w:rsid w:val="00B35C9C"/>
    <w:rsid w:val="00B37B8E"/>
    <w:rsid w:val="00B40222"/>
    <w:rsid w:val="00B404C3"/>
    <w:rsid w:val="00B40BA6"/>
    <w:rsid w:val="00B40F72"/>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39B2"/>
    <w:rsid w:val="00B740F6"/>
    <w:rsid w:val="00B74615"/>
    <w:rsid w:val="00B75035"/>
    <w:rsid w:val="00B755B6"/>
    <w:rsid w:val="00B7577B"/>
    <w:rsid w:val="00B76B55"/>
    <w:rsid w:val="00B770E9"/>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1D3F"/>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18C0"/>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070"/>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3F19"/>
    <w:rsid w:val="00D25676"/>
    <w:rsid w:val="00D25F78"/>
    <w:rsid w:val="00D27129"/>
    <w:rsid w:val="00D2738C"/>
    <w:rsid w:val="00D279E7"/>
    <w:rsid w:val="00D3046D"/>
    <w:rsid w:val="00D31B07"/>
    <w:rsid w:val="00D31DA8"/>
    <w:rsid w:val="00D32FA0"/>
    <w:rsid w:val="00D33112"/>
    <w:rsid w:val="00D331CB"/>
    <w:rsid w:val="00D3426E"/>
    <w:rsid w:val="00D35871"/>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9BB"/>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1DBD"/>
    <w:rsid w:val="00E222FA"/>
    <w:rsid w:val="00E24A62"/>
    <w:rsid w:val="00E24F52"/>
    <w:rsid w:val="00E279B2"/>
    <w:rsid w:val="00E30BD5"/>
    <w:rsid w:val="00E31143"/>
    <w:rsid w:val="00E31812"/>
    <w:rsid w:val="00E327D6"/>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473F"/>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2F4"/>
    <w:rsid w:val="00F00630"/>
    <w:rsid w:val="00F00922"/>
    <w:rsid w:val="00F011FF"/>
    <w:rsid w:val="00F01BE6"/>
    <w:rsid w:val="00F0217A"/>
    <w:rsid w:val="00F0251B"/>
    <w:rsid w:val="00F038BF"/>
    <w:rsid w:val="00F03E4C"/>
    <w:rsid w:val="00F0665D"/>
    <w:rsid w:val="00F06D42"/>
    <w:rsid w:val="00F07134"/>
    <w:rsid w:val="00F07378"/>
    <w:rsid w:val="00F10B81"/>
    <w:rsid w:val="00F11353"/>
    <w:rsid w:val="00F129F4"/>
    <w:rsid w:val="00F13C8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0A9D"/>
    <w:rsid w:val="00F318A1"/>
    <w:rsid w:val="00F3265C"/>
    <w:rsid w:val="00F343EE"/>
    <w:rsid w:val="00F3547E"/>
    <w:rsid w:val="00F35494"/>
    <w:rsid w:val="00F3619D"/>
    <w:rsid w:val="00F3722A"/>
    <w:rsid w:val="00F37366"/>
    <w:rsid w:val="00F40AF0"/>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0C45"/>
    <w:rsid w:val="00F81623"/>
    <w:rsid w:val="00F81D25"/>
    <w:rsid w:val="00F83045"/>
    <w:rsid w:val="00F83615"/>
    <w:rsid w:val="00F85329"/>
    <w:rsid w:val="00F878CD"/>
    <w:rsid w:val="00F8794A"/>
    <w:rsid w:val="00F87AAD"/>
    <w:rsid w:val="00F90938"/>
    <w:rsid w:val="00F90C1F"/>
    <w:rsid w:val="00F93231"/>
    <w:rsid w:val="00F950B5"/>
    <w:rsid w:val="00F953D5"/>
    <w:rsid w:val="00F96E6E"/>
    <w:rsid w:val="00F97A34"/>
    <w:rsid w:val="00F97EA1"/>
    <w:rsid w:val="00FA05C8"/>
    <w:rsid w:val="00FA0678"/>
    <w:rsid w:val="00FA107F"/>
    <w:rsid w:val="00FA23F7"/>
    <w:rsid w:val="00FA27EB"/>
    <w:rsid w:val="00FA3FB3"/>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4E19"/>
    <w:rsid w:val="00FC665F"/>
    <w:rsid w:val="00FC6D59"/>
    <w:rsid w:val="00FC78F5"/>
    <w:rsid w:val="00FD10B3"/>
    <w:rsid w:val="00FD11C3"/>
    <w:rsid w:val="00FD127B"/>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327"/>
    <w:rsid w:val="00FF1AD3"/>
    <w:rsid w:val="00FF46C9"/>
    <w:rsid w:val="00FF49F4"/>
    <w:rsid w:val="00FF651D"/>
    <w:rsid w:val="00FF68CA"/>
    <w:rsid w:val="010651D9"/>
    <w:rsid w:val="02DA0C0E"/>
    <w:rsid w:val="03DD35E4"/>
    <w:rsid w:val="065A6178"/>
    <w:rsid w:val="075562B7"/>
    <w:rsid w:val="077E42C0"/>
    <w:rsid w:val="07F6164B"/>
    <w:rsid w:val="087A1B7A"/>
    <w:rsid w:val="096B2097"/>
    <w:rsid w:val="0A5B7E63"/>
    <w:rsid w:val="0C87121B"/>
    <w:rsid w:val="0DEB213D"/>
    <w:rsid w:val="0DF702FE"/>
    <w:rsid w:val="0E3F698B"/>
    <w:rsid w:val="0F21508F"/>
    <w:rsid w:val="0F816ACD"/>
    <w:rsid w:val="0FB94501"/>
    <w:rsid w:val="10B047CF"/>
    <w:rsid w:val="10FC16EA"/>
    <w:rsid w:val="118963A1"/>
    <w:rsid w:val="127723A9"/>
    <w:rsid w:val="13072A44"/>
    <w:rsid w:val="145044FA"/>
    <w:rsid w:val="14FE31FA"/>
    <w:rsid w:val="186742B0"/>
    <w:rsid w:val="19F02322"/>
    <w:rsid w:val="1A5D6C7D"/>
    <w:rsid w:val="1B2A271F"/>
    <w:rsid w:val="1B890139"/>
    <w:rsid w:val="1D266CE1"/>
    <w:rsid w:val="1D3963AF"/>
    <w:rsid w:val="1E714A66"/>
    <w:rsid w:val="1FE868A9"/>
    <w:rsid w:val="211E26D6"/>
    <w:rsid w:val="21283D08"/>
    <w:rsid w:val="21942D21"/>
    <w:rsid w:val="257639B5"/>
    <w:rsid w:val="25B440B3"/>
    <w:rsid w:val="25CA6379"/>
    <w:rsid w:val="2AA1365A"/>
    <w:rsid w:val="2DD15014"/>
    <w:rsid w:val="2FCD3890"/>
    <w:rsid w:val="2FD25781"/>
    <w:rsid w:val="319C6071"/>
    <w:rsid w:val="32DB72BE"/>
    <w:rsid w:val="342E63AB"/>
    <w:rsid w:val="345D260B"/>
    <w:rsid w:val="365302AE"/>
    <w:rsid w:val="37F142D2"/>
    <w:rsid w:val="39A13F14"/>
    <w:rsid w:val="3A9C4393"/>
    <w:rsid w:val="3C5F759A"/>
    <w:rsid w:val="3D4809D0"/>
    <w:rsid w:val="3D5C78D4"/>
    <w:rsid w:val="3FFF72A6"/>
    <w:rsid w:val="42E1381E"/>
    <w:rsid w:val="43FB717C"/>
    <w:rsid w:val="451E447A"/>
    <w:rsid w:val="45345B76"/>
    <w:rsid w:val="47307808"/>
    <w:rsid w:val="47EC65B7"/>
    <w:rsid w:val="486F747C"/>
    <w:rsid w:val="4B8169C4"/>
    <w:rsid w:val="4C2804A3"/>
    <w:rsid w:val="4D861CF6"/>
    <w:rsid w:val="51A0432A"/>
    <w:rsid w:val="527140E5"/>
    <w:rsid w:val="5292508F"/>
    <w:rsid w:val="52A96B6F"/>
    <w:rsid w:val="550764A4"/>
    <w:rsid w:val="551926E0"/>
    <w:rsid w:val="561279B9"/>
    <w:rsid w:val="56515F3B"/>
    <w:rsid w:val="572B71CA"/>
    <w:rsid w:val="58AE4F0C"/>
    <w:rsid w:val="5A2A7C7B"/>
    <w:rsid w:val="5C80234E"/>
    <w:rsid w:val="5DF71BE4"/>
    <w:rsid w:val="5E261785"/>
    <w:rsid w:val="5F122F4C"/>
    <w:rsid w:val="5FCC5339"/>
    <w:rsid w:val="5FE70807"/>
    <w:rsid w:val="60E53485"/>
    <w:rsid w:val="61054A27"/>
    <w:rsid w:val="611D2366"/>
    <w:rsid w:val="61830726"/>
    <w:rsid w:val="62885958"/>
    <w:rsid w:val="6320185F"/>
    <w:rsid w:val="638047FE"/>
    <w:rsid w:val="64CE2EAA"/>
    <w:rsid w:val="662E75B1"/>
    <w:rsid w:val="66342C2E"/>
    <w:rsid w:val="663E784C"/>
    <w:rsid w:val="6735355A"/>
    <w:rsid w:val="685867EC"/>
    <w:rsid w:val="6E8E12EF"/>
    <w:rsid w:val="71D43752"/>
    <w:rsid w:val="73DD6243"/>
    <w:rsid w:val="749C4185"/>
    <w:rsid w:val="75DA2C18"/>
    <w:rsid w:val="775319EF"/>
    <w:rsid w:val="790F1C77"/>
    <w:rsid w:val="7A67303B"/>
    <w:rsid w:val="7A7137C0"/>
    <w:rsid w:val="7AAB1D04"/>
    <w:rsid w:val="7ABA4368"/>
    <w:rsid w:val="7B257FFD"/>
    <w:rsid w:val="7C2B1DA5"/>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63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link w:val="636"/>
    <w:autoRedefine/>
    <w:qFormat/>
    <w:uiPriority w:val="9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unhideWhenUsed/>
    <w:uiPriority w:val="1"/>
  </w:style>
  <w:style w:type="table" w:default="1" w:styleId="60">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611"/>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2"/>
    <w:autoRedefine/>
    <w:qFormat/>
    <w:uiPriority w:val="99"/>
    <w:pPr>
      <w:jc w:val="left"/>
    </w:pPr>
  </w:style>
  <w:style w:type="paragraph" w:styleId="20">
    <w:name w:val="Salutation"/>
    <w:basedOn w:val="1"/>
    <w:next w:val="1"/>
    <w:link w:val="480"/>
    <w:autoRedefine/>
    <w:qFormat/>
    <w:uiPriority w:val="0"/>
    <w:rPr>
      <w:rFonts w:ascii="仿宋_GB2312" w:eastAsia="仿宋_GB2312"/>
      <w:sz w:val="28"/>
      <w:szCs w:val="20"/>
    </w:rPr>
  </w:style>
  <w:style w:type="paragraph" w:styleId="21">
    <w:name w:val="Body Text 3"/>
    <w:basedOn w:val="1"/>
    <w:link w:val="579"/>
    <w:autoRedefine/>
    <w:qFormat/>
    <w:uiPriority w:val="0"/>
    <w:pPr>
      <w:jc w:val="center"/>
    </w:pPr>
    <w:rPr>
      <w:szCs w:val="20"/>
    </w:rPr>
  </w:style>
  <w:style w:type="paragraph" w:styleId="22">
    <w:name w:val="Body Text"/>
    <w:basedOn w:val="1"/>
    <w:next w:val="1"/>
    <w:link w:val="510"/>
    <w:autoRedefine/>
    <w:qFormat/>
    <w:uiPriority w:val="99"/>
    <w:pPr>
      <w:autoSpaceDE w:val="0"/>
      <w:autoSpaceDN w:val="0"/>
      <w:spacing w:line="360" w:lineRule="auto"/>
    </w:pPr>
    <w:rPr>
      <w:rFonts w:ascii="宋体"/>
      <w:sz w:val="24"/>
      <w:szCs w:val="21"/>
      <w:lang w:val="zh-CN"/>
    </w:rPr>
  </w:style>
  <w:style w:type="paragraph" w:styleId="23">
    <w:name w:val="Body Text Indent"/>
    <w:basedOn w:val="1"/>
    <w:link w:val="473"/>
    <w:autoRedefine/>
    <w:qFormat/>
    <w:uiPriority w:val="0"/>
    <w:pPr>
      <w:spacing w:line="480" w:lineRule="exact"/>
      <w:ind w:firstLine="480" w:firstLineChars="200"/>
    </w:pPr>
    <w:rPr>
      <w:rFonts w:ascii="宋体" w:hAnsi="宋体"/>
      <w:sz w:val="24"/>
    </w:rPr>
  </w:style>
  <w:style w:type="paragraph" w:styleId="24">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autoRedefine/>
    <w:qFormat/>
    <w:uiPriority w:val="0"/>
    <w:pPr>
      <w:adjustRightInd/>
      <w:spacing w:line="360" w:lineRule="auto"/>
      <w:ind w:left="100" w:leftChars="200" w:hanging="200" w:hangingChars="200"/>
    </w:pPr>
    <w:rPr>
      <w:rFonts w:eastAsia="微软雅黑"/>
    </w:rPr>
  </w:style>
  <w:style w:type="paragraph" w:styleId="26">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autoRedefine/>
    <w:qFormat/>
    <w:uiPriority w:val="0"/>
    <w:pPr>
      <w:widowControl/>
      <w:adjustRightInd/>
      <w:ind w:firstLine="200" w:firstLineChars="200"/>
      <w:jc w:val="left"/>
    </w:pPr>
    <w:rPr>
      <w:rFonts w:ascii="宋体" w:hAnsi="宋体"/>
      <w:i/>
      <w:iCs/>
      <w:kern w:val="0"/>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7"/>
    <w:autoRedefine/>
    <w:qFormat/>
    <w:uiPriority w:val="99"/>
    <w:rPr>
      <w:rFonts w:ascii="宋体" w:hAnsi="Courier New"/>
      <w:szCs w:val="20"/>
    </w:rPr>
  </w:style>
  <w:style w:type="paragraph" w:styleId="32">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autoRedefine/>
    <w:qFormat/>
    <w:uiPriority w:val="0"/>
    <w:pPr>
      <w:ind w:left="2940" w:leftChars="1400"/>
    </w:pPr>
  </w:style>
  <w:style w:type="paragraph" w:styleId="34">
    <w:name w:val="Date"/>
    <w:basedOn w:val="1"/>
    <w:next w:val="1"/>
    <w:link w:val="596"/>
    <w:autoRedefine/>
    <w:qFormat/>
    <w:uiPriority w:val="0"/>
    <w:pPr>
      <w:ind w:left="100" w:leftChars="2500"/>
    </w:pPr>
    <w:rPr>
      <w:rFonts w:ascii="宋体"/>
      <w:sz w:val="24"/>
      <w:szCs w:val="21"/>
      <w:lang w:val="zh-CN"/>
    </w:rPr>
  </w:style>
  <w:style w:type="paragraph" w:styleId="35">
    <w:name w:val="Body Text Indent 2"/>
    <w:basedOn w:val="1"/>
    <w:link w:val="501"/>
    <w:autoRedefine/>
    <w:qFormat/>
    <w:uiPriority w:val="0"/>
    <w:pPr>
      <w:spacing w:line="360" w:lineRule="auto"/>
      <w:ind w:firstLine="601"/>
      <w:textAlignment w:val="baseline"/>
    </w:pPr>
    <w:rPr>
      <w:rFonts w:ascii="宋体"/>
      <w:kern w:val="0"/>
      <w:sz w:val="28"/>
      <w:szCs w:val="20"/>
    </w:rPr>
  </w:style>
  <w:style w:type="paragraph" w:styleId="36">
    <w:name w:val="Balloon Text"/>
    <w:basedOn w:val="1"/>
    <w:link w:val="613"/>
    <w:autoRedefine/>
    <w:semiHidden/>
    <w:qFormat/>
    <w:uiPriority w:val="0"/>
    <w:rPr>
      <w:sz w:val="18"/>
      <w:szCs w:val="18"/>
    </w:rPr>
  </w:style>
  <w:style w:type="paragraph" w:styleId="37">
    <w:name w:val="footer"/>
    <w:basedOn w:val="1"/>
    <w:autoRedefine/>
    <w:qFormat/>
    <w:uiPriority w:val="0"/>
    <w:pPr>
      <w:tabs>
        <w:tab w:val="center" w:pos="4153"/>
        <w:tab w:val="right" w:pos="8306"/>
      </w:tabs>
      <w:snapToGrid w:val="0"/>
      <w:jc w:val="left"/>
    </w:pPr>
    <w:rPr>
      <w:sz w:val="18"/>
      <w:szCs w:val="18"/>
    </w:rPr>
  </w:style>
  <w:style w:type="paragraph" w:styleId="38">
    <w:name w:val="header"/>
    <w:basedOn w:val="1"/>
    <w:link w:val="637"/>
    <w:autoRedefine/>
    <w:qFormat/>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autoRedefine/>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autoRedefine/>
    <w:qFormat/>
    <w:uiPriority w:val="0"/>
  </w:style>
  <w:style w:type="paragraph" w:styleId="41">
    <w:name w:val="toc 4"/>
    <w:basedOn w:val="1"/>
    <w:next w:val="1"/>
    <w:autoRedefine/>
    <w:qFormat/>
    <w:uiPriority w:val="0"/>
    <w:pPr>
      <w:ind w:left="1260" w:leftChars="600"/>
    </w:pPr>
  </w:style>
  <w:style w:type="paragraph" w:styleId="42">
    <w:name w:val="index heading"/>
    <w:basedOn w:val="1"/>
    <w:next w:val="43"/>
    <w:autoRedefine/>
    <w:qFormat/>
    <w:uiPriority w:val="0"/>
    <w:pPr>
      <w:adjustRightInd/>
      <w:ind w:firstLine="200" w:firstLineChars="200"/>
    </w:pPr>
  </w:style>
  <w:style w:type="paragraph" w:styleId="43">
    <w:name w:val="index 1"/>
    <w:basedOn w:val="1"/>
    <w:next w:val="1"/>
    <w:autoRedefine/>
    <w:qFormat/>
    <w:uiPriority w:val="0"/>
    <w:pPr>
      <w:adjustRightInd/>
      <w:spacing w:line="360" w:lineRule="auto"/>
      <w:ind w:firstLine="200" w:firstLineChars="200"/>
      <w:jc w:val="center"/>
    </w:pPr>
    <w:rPr>
      <w:sz w:val="24"/>
      <w:szCs w:val="20"/>
    </w:rPr>
  </w:style>
  <w:style w:type="paragraph" w:styleId="44">
    <w:name w:val="Subtitle"/>
    <w:link w:val="486"/>
    <w:autoRedefine/>
    <w:qFormat/>
    <w:uiPriority w:val="99"/>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autoRedefine/>
    <w:qFormat/>
    <w:uiPriority w:val="0"/>
    <w:pPr>
      <w:tabs>
        <w:tab w:val="left" w:pos="902"/>
      </w:tabs>
      <w:adjustRightInd/>
      <w:spacing w:line="400" w:lineRule="exact"/>
      <w:ind w:left="902" w:hanging="420"/>
    </w:pPr>
    <w:rPr>
      <w:sz w:val="24"/>
      <w:szCs w:val="20"/>
    </w:rPr>
  </w:style>
  <w:style w:type="paragraph" w:styleId="46">
    <w:name w:val="List"/>
    <w:basedOn w:val="1"/>
    <w:autoRedefine/>
    <w:qFormat/>
    <w:uiPriority w:val="0"/>
    <w:pPr>
      <w:ind w:left="200" w:hanging="200" w:hangingChars="200"/>
    </w:pPr>
  </w:style>
  <w:style w:type="paragraph" w:styleId="47">
    <w:name w:val="footnote text"/>
    <w:basedOn w:val="15"/>
    <w:link w:val="471"/>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autoRedefine/>
    <w:qFormat/>
    <w:uiPriority w:val="0"/>
    <w:pPr>
      <w:ind w:left="2100" w:leftChars="1000"/>
    </w:pPr>
  </w:style>
  <w:style w:type="paragraph" w:styleId="49">
    <w:name w:val="List 5"/>
    <w:basedOn w:val="1"/>
    <w:autoRedefine/>
    <w:qFormat/>
    <w:uiPriority w:val="0"/>
    <w:pPr>
      <w:adjustRightInd/>
      <w:ind w:left="100" w:leftChars="800" w:hanging="200" w:hangingChars="200"/>
    </w:pPr>
  </w:style>
  <w:style w:type="paragraph" w:styleId="50">
    <w:name w:val="Body Text Indent 3"/>
    <w:basedOn w:val="1"/>
    <w:link w:val="586"/>
    <w:autoRedefine/>
    <w:qFormat/>
    <w:uiPriority w:val="0"/>
    <w:pPr>
      <w:spacing w:line="360" w:lineRule="auto"/>
      <w:ind w:firstLine="420"/>
    </w:pPr>
    <w:rPr>
      <w:sz w:val="24"/>
      <w:szCs w:val="20"/>
    </w:rPr>
  </w:style>
  <w:style w:type="paragraph" w:styleId="51">
    <w:name w:val="toc 2"/>
    <w:basedOn w:val="1"/>
    <w:next w:val="1"/>
    <w:autoRedefine/>
    <w:qFormat/>
    <w:uiPriority w:val="0"/>
    <w:pPr>
      <w:ind w:left="420" w:leftChars="200"/>
    </w:pPr>
  </w:style>
  <w:style w:type="paragraph" w:styleId="52">
    <w:name w:val="toc 9"/>
    <w:basedOn w:val="1"/>
    <w:next w:val="1"/>
    <w:autoRedefine/>
    <w:qFormat/>
    <w:uiPriority w:val="0"/>
    <w:pPr>
      <w:ind w:left="3360" w:leftChars="1600"/>
    </w:pPr>
  </w:style>
  <w:style w:type="paragraph" w:styleId="53">
    <w:name w:val="Body Text 2"/>
    <w:basedOn w:val="1"/>
    <w:autoRedefine/>
    <w:qFormat/>
    <w:uiPriority w:val="0"/>
    <w:pPr>
      <w:spacing w:after="120" w:line="480" w:lineRule="auto"/>
    </w:pPr>
  </w:style>
  <w:style w:type="paragraph" w:styleId="54">
    <w:name w:val="HTML Preformatted"/>
    <w:basedOn w:val="1"/>
    <w:link w:val="5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6">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autoRedefine/>
    <w:semiHidden/>
    <w:qFormat/>
    <w:uiPriority w:val="0"/>
    <w:rPr>
      <w:b/>
      <w:bCs/>
    </w:rPr>
  </w:style>
  <w:style w:type="paragraph" w:styleId="58">
    <w:name w:val="Body Text First Indent"/>
    <w:basedOn w:val="22"/>
    <w:next w:val="1"/>
    <w:link w:val="543"/>
    <w:autoRedefine/>
    <w:qFormat/>
    <w:uiPriority w:val="0"/>
    <w:pPr>
      <w:ind w:firstLine="420"/>
    </w:pPr>
    <w:rPr>
      <w:szCs w:val="20"/>
    </w:rPr>
  </w:style>
  <w:style w:type="paragraph" w:styleId="59">
    <w:name w:val="Body Text First Indent 2"/>
    <w:basedOn w:val="23"/>
    <w:link w:val="500"/>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autoRedefine/>
    <w:qFormat/>
    <w:uiPriority w:val="0"/>
    <w:pPr>
      <w:tabs>
        <w:tab w:val="left" w:pos="2790"/>
        <w:tab w:val="left" w:pos="4230"/>
      </w:tabs>
      <w:spacing w:before="312" w:beforeLines="100"/>
      <w:jc w:val="left"/>
    </w:pPr>
  </w:style>
  <w:style w:type="paragraph" w:customStyle="1" w:styleId="7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autoRedefine/>
    <w:qFormat/>
    <w:uiPriority w:val="0"/>
    <w:pPr>
      <w:adjustRightInd/>
      <w:spacing w:line="288" w:lineRule="auto"/>
      <w:ind w:firstLine="425" w:firstLineChars="200"/>
    </w:pPr>
  </w:style>
  <w:style w:type="paragraph" w:customStyle="1" w:styleId="76">
    <w:name w:val="Char1 Char Char Char"/>
    <w:basedOn w:val="1"/>
    <w:autoRedefine/>
    <w:qFormat/>
    <w:uiPriority w:val="0"/>
    <w:rPr>
      <w:rFonts w:ascii="Tahoma" w:hAnsi="Tahoma"/>
      <w:sz w:val="24"/>
      <w:szCs w:val="20"/>
    </w:rPr>
  </w:style>
  <w:style w:type="paragraph" w:customStyle="1" w:styleId="7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autoRedefine/>
    <w:qFormat/>
    <w:uiPriority w:val="0"/>
    <w:pPr>
      <w:spacing w:after="156" w:afterLines="50"/>
      <w:jc w:val="left"/>
      <w:outlineLvl w:val="3"/>
    </w:pPr>
    <w:rPr>
      <w:sz w:val="24"/>
      <w:szCs w:val="24"/>
    </w:rPr>
  </w:style>
  <w:style w:type="paragraph" w:customStyle="1" w:styleId="8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autoRedefine/>
    <w:qFormat/>
    <w:uiPriority w:val="0"/>
    <w:pPr>
      <w:numPr>
        <w:ilvl w:val="1"/>
        <w:numId w:val="4"/>
      </w:numPr>
      <w:adjustRightInd/>
    </w:pPr>
  </w:style>
  <w:style w:type="paragraph" w:customStyle="1" w:styleId="84">
    <w:name w:val="Char3"/>
    <w:basedOn w:val="1"/>
    <w:autoRedefine/>
    <w:qFormat/>
    <w:uiPriority w:val="0"/>
    <w:pPr>
      <w:adjustRightInd/>
    </w:pPr>
    <w:rPr>
      <w:rFonts w:ascii="仿宋_GB2312" w:eastAsia="仿宋_GB2312"/>
      <w:b/>
      <w:sz w:val="32"/>
      <w:szCs w:val="32"/>
    </w:rPr>
  </w:style>
  <w:style w:type="paragraph" w:customStyle="1" w:styleId="85">
    <w:name w:val="Char Char1 Char Char Char Char Char Char"/>
    <w:basedOn w:val="1"/>
    <w:autoRedefine/>
    <w:qFormat/>
    <w:uiPriority w:val="0"/>
    <w:rPr>
      <w:rFonts w:ascii="仿宋_GB2312" w:eastAsia="仿宋_GB2312"/>
      <w:b/>
      <w:sz w:val="32"/>
      <w:szCs w:val="20"/>
    </w:rPr>
  </w:style>
  <w:style w:type="paragraph" w:customStyle="1" w:styleId="86">
    <w:name w:val="文本正文 Char"/>
    <w:basedOn w:val="1"/>
    <w:autoRedefine/>
    <w:qFormat/>
    <w:uiPriority w:val="0"/>
    <w:pPr>
      <w:spacing w:line="360" w:lineRule="auto"/>
      <w:ind w:firstLine="200" w:firstLineChars="200"/>
    </w:pPr>
    <w:rPr>
      <w:kern w:val="0"/>
      <w:sz w:val="24"/>
      <w:szCs w:val="20"/>
    </w:rPr>
  </w:style>
  <w:style w:type="paragraph" w:customStyle="1" w:styleId="8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6">
    <w:name w:val="Char1"/>
    <w:basedOn w:val="1"/>
    <w:autoRedefine/>
    <w:qFormat/>
    <w:uiPriority w:val="0"/>
    <w:rPr>
      <w:rFonts w:ascii="仿宋_GB2312" w:eastAsia="仿宋_GB2312"/>
      <w:b/>
      <w:sz w:val="32"/>
      <w:szCs w:val="32"/>
    </w:rPr>
  </w:style>
  <w:style w:type="paragraph" w:customStyle="1" w:styleId="97">
    <w:name w:val="CM14"/>
    <w:basedOn w:val="98"/>
    <w:next w:val="98"/>
    <w:autoRedefine/>
    <w:qFormat/>
    <w:uiPriority w:val="0"/>
    <w:pPr>
      <w:spacing w:after="68"/>
    </w:pPr>
    <w:rPr>
      <w:rFonts w:ascii="FHLHE E+ Futura Bk" w:eastAsia="FHLHE E+ Futura Bk" w:cs="Times New Roman"/>
      <w:color w:val="auto"/>
    </w:rPr>
  </w:style>
  <w:style w:type="paragraph" w:customStyle="1" w:styleId="98">
    <w:name w:val="Default"/>
    <w:link w:val="62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autoRedefine/>
    <w:qFormat/>
    <w:uiPriority w:val="0"/>
    <w:rPr>
      <w:rFonts w:ascii="仿宋_GB2312" w:eastAsia="仿宋_GB2312"/>
      <w:b/>
      <w:sz w:val="32"/>
      <w:szCs w:val="32"/>
    </w:rPr>
  </w:style>
  <w:style w:type="paragraph" w:customStyle="1" w:styleId="1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autoRedefine/>
    <w:qFormat/>
    <w:uiPriority w:val="0"/>
    <w:rPr>
      <w:rFonts w:ascii="Tahoma" w:hAnsi="Tahoma"/>
      <w:sz w:val="24"/>
      <w:szCs w:val="20"/>
    </w:rPr>
  </w:style>
  <w:style w:type="paragraph" w:customStyle="1" w:styleId="1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2">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autoRedefine/>
    <w:qFormat/>
    <w:uiPriority w:val="0"/>
    <w:pPr>
      <w:spacing w:line="360" w:lineRule="auto"/>
      <w:ind w:firstLine="480" w:firstLineChars="200"/>
    </w:pPr>
    <w:rPr>
      <w:rFonts w:hAnsi="宋体"/>
      <w:sz w:val="24"/>
      <w:szCs w:val="20"/>
    </w:rPr>
  </w:style>
  <w:style w:type="paragraph" w:customStyle="1" w:styleId="119">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autoRedefine/>
    <w:qFormat/>
    <w:uiPriority w:val="0"/>
    <w:pPr>
      <w:adjustRightInd/>
      <w:spacing w:line="400" w:lineRule="exact"/>
      <w:ind w:firstLine="200" w:firstLineChars="200"/>
    </w:pPr>
    <w:rPr>
      <w:rFonts w:ascii="Arial" w:hAnsi="Arial"/>
    </w:rPr>
  </w:style>
  <w:style w:type="paragraph" w:customStyle="1" w:styleId="12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autoRedefine/>
    <w:qFormat/>
    <w:uiPriority w:val="0"/>
    <w:rPr>
      <w:rFonts w:ascii="Tahoma" w:hAnsi="Tahoma"/>
      <w:sz w:val="24"/>
      <w:szCs w:val="20"/>
    </w:rPr>
  </w:style>
  <w:style w:type="paragraph" w:customStyle="1" w:styleId="124">
    <w:name w:val="Char1 Char Char Char2"/>
    <w:basedOn w:val="1"/>
    <w:autoRedefine/>
    <w:qFormat/>
    <w:uiPriority w:val="0"/>
    <w:pPr>
      <w:adjustRightInd/>
      <w:ind w:firstLine="200" w:firstLineChars="200"/>
    </w:pPr>
    <w:rPr>
      <w:rFonts w:ascii="Tahoma" w:hAnsi="Tahoma"/>
      <w:sz w:val="24"/>
      <w:szCs w:val="20"/>
    </w:rPr>
  </w:style>
  <w:style w:type="paragraph" w:customStyle="1" w:styleId="12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autoRedefine/>
    <w:qFormat/>
    <w:uiPriority w:val="0"/>
    <w:pPr>
      <w:adjustRightInd/>
      <w:spacing w:line="360" w:lineRule="auto"/>
      <w:ind w:firstLine="480"/>
    </w:pPr>
    <w:rPr>
      <w:sz w:val="24"/>
    </w:rPr>
  </w:style>
  <w:style w:type="paragraph" w:customStyle="1" w:styleId="1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autoRedefine/>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autoRedefine/>
    <w:qFormat/>
    <w:uiPriority w:val="0"/>
    <w:pPr>
      <w:adjustRightInd/>
      <w:spacing w:line="300" w:lineRule="auto"/>
      <w:jc w:val="center"/>
    </w:pPr>
  </w:style>
  <w:style w:type="paragraph" w:customStyle="1" w:styleId="133">
    <w:name w:val="Char Char Char1 Char"/>
    <w:basedOn w:val="1"/>
    <w:autoRedefine/>
    <w:qFormat/>
    <w:uiPriority w:val="0"/>
    <w:rPr>
      <w:szCs w:val="20"/>
    </w:rPr>
  </w:style>
  <w:style w:type="paragraph" w:customStyle="1" w:styleId="13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6">
    <w:name w:val="章标题"/>
    <w:next w:val="1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1">
    <w:name w:val="表文字"/>
    <w:autoRedefine/>
    <w:qFormat/>
    <w:uiPriority w:val="0"/>
    <w:rPr>
      <w:rFonts w:ascii="宋体" w:hAnsi="Times New Roman" w:eastAsia="宋体" w:cs="Times New Roman"/>
      <w:kern w:val="2"/>
      <w:lang w:val="en-US" w:eastAsia="zh-CN" w:bidi="ar-SA"/>
    </w:rPr>
  </w:style>
  <w:style w:type="paragraph" w:customStyle="1" w:styleId="14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autoRedefine/>
    <w:qFormat/>
    <w:uiPriority w:val="0"/>
    <w:pPr>
      <w:widowControl/>
      <w:tabs>
        <w:tab w:val="left" w:pos="840"/>
      </w:tabs>
      <w:ind w:left="840" w:hanging="420"/>
      <w:jc w:val="left"/>
    </w:pPr>
    <w:rPr>
      <w:kern w:val="0"/>
      <w:sz w:val="18"/>
    </w:rPr>
  </w:style>
  <w:style w:type="paragraph" w:customStyle="1" w:styleId="14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autoRedefine/>
    <w:qFormat/>
    <w:uiPriority w:val="0"/>
    <w:pPr>
      <w:adjustRightInd/>
    </w:pPr>
    <w:rPr>
      <w:rFonts w:ascii="Tahoma" w:hAnsi="Tahoma"/>
      <w:sz w:val="24"/>
      <w:szCs w:val="20"/>
    </w:rPr>
  </w:style>
  <w:style w:type="paragraph" w:customStyle="1" w:styleId="15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autoRedefine/>
    <w:qFormat/>
    <w:uiPriority w:val="0"/>
    <w:rPr>
      <w:rFonts w:ascii="仿宋_GB2312" w:eastAsia="仿宋_GB2312"/>
      <w:b/>
      <w:sz w:val="32"/>
      <w:szCs w:val="20"/>
    </w:rPr>
  </w:style>
  <w:style w:type="paragraph" w:customStyle="1" w:styleId="15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autoRedefine/>
    <w:qFormat/>
    <w:uiPriority w:val="0"/>
    <w:pPr>
      <w:suppressAutoHyphens/>
      <w:adjustRightInd/>
      <w:ind w:firstLine="420"/>
    </w:pPr>
    <w:rPr>
      <w:kern w:val="1"/>
      <w:szCs w:val="20"/>
    </w:rPr>
  </w:style>
  <w:style w:type="paragraph" w:customStyle="1" w:styleId="1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autoRedefine/>
    <w:qFormat/>
    <w:uiPriority w:val="0"/>
    <w:pPr>
      <w:spacing w:line="360" w:lineRule="auto"/>
    </w:pPr>
    <w:rPr>
      <w:szCs w:val="20"/>
    </w:rPr>
  </w:style>
  <w:style w:type="paragraph" w:customStyle="1" w:styleId="160">
    <w:name w:val="Char Char11 Char Char Char"/>
    <w:basedOn w:val="1"/>
    <w:autoRedefine/>
    <w:qFormat/>
    <w:uiPriority w:val="0"/>
    <w:pPr>
      <w:spacing w:line="360" w:lineRule="auto"/>
    </w:pPr>
    <w:rPr>
      <w:szCs w:val="20"/>
    </w:rPr>
  </w:style>
  <w:style w:type="paragraph" w:customStyle="1" w:styleId="16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autoRedefine/>
    <w:qFormat/>
    <w:uiPriority w:val="0"/>
    <w:pPr>
      <w:adjustRightInd/>
      <w:ind w:firstLine="200" w:firstLineChars="200"/>
      <w:jc w:val="right"/>
    </w:pPr>
  </w:style>
  <w:style w:type="paragraph" w:customStyle="1" w:styleId="16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autoRedefine/>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autoRedefine/>
    <w:qFormat/>
    <w:uiPriority w:val="0"/>
    <w:pPr>
      <w:tabs>
        <w:tab w:val="left" w:pos="2356"/>
      </w:tabs>
    </w:pPr>
  </w:style>
  <w:style w:type="paragraph" w:customStyle="1" w:styleId="169">
    <w:name w:val="样式 标题 4h4H4Fab-4T5Ref Heading 1rh1Heading sqlsect 1.2.3...."/>
    <w:basedOn w:val="5"/>
    <w:link w:val="557"/>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autoRedefine/>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autoRedefine/>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autoRedefine/>
    <w:qFormat/>
    <w:uiPriority w:val="0"/>
    <w:pPr>
      <w:numPr>
        <w:ilvl w:val="3"/>
        <w:numId w:val="4"/>
      </w:numPr>
      <w:tabs>
        <w:tab w:val="left" w:pos="1680"/>
      </w:tabs>
      <w:ind w:left="0"/>
      <w:outlineLvl w:val="3"/>
    </w:pPr>
  </w:style>
  <w:style w:type="paragraph" w:customStyle="1" w:styleId="173">
    <w:name w:val="一级条标题"/>
    <w:basedOn w:val="136"/>
    <w:next w:val="137"/>
    <w:autoRedefine/>
    <w:qFormat/>
    <w:uiPriority w:val="0"/>
    <w:pPr>
      <w:tabs>
        <w:tab w:val="left" w:pos="1680"/>
        <w:tab w:val="clear" w:pos="1260"/>
      </w:tabs>
      <w:spacing w:before="0" w:beforeLines="0" w:after="0" w:afterLines="0"/>
      <w:ind w:left="1680"/>
      <w:outlineLvl w:val="2"/>
    </w:pPr>
  </w:style>
  <w:style w:type="paragraph" w:customStyle="1" w:styleId="1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autoRedefine/>
    <w:qFormat/>
    <w:uiPriority w:val="0"/>
    <w:pPr>
      <w:spacing w:line="360" w:lineRule="auto"/>
      <w:ind w:firstLine="480" w:firstLineChars="200"/>
    </w:pPr>
    <w:rPr>
      <w:rFonts w:ascii="Arial" w:hAnsi="Arial"/>
      <w:sz w:val="24"/>
      <w:szCs w:val="21"/>
    </w:rPr>
  </w:style>
  <w:style w:type="paragraph" w:customStyle="1" w:styleId="176">
    <w:name w:val="表格"/>
    <w:basedOn w:val="1"/>
    <w:autoRedefine/>
    <w:qFormat/>
    <w:uiPriority w:val="0"/>
    <w:pPr>
      <w:snapToGrid w:val="0"/>
      <w:ind w:firstLine="42" w:firstLineChars="21"/>
    </w:pPr>
    <w:rPr>
      <w:rFonts w:ascii="宋体" w:hAnsi="宋体"/>
      <w:kern w:val="0"/>
      <w:sz w:val="20"/>
      <w:szCs w:val="20"/>
    </w:rPr>
  </w:style>
  <w:style w:type="paragraph" w:customStyle="1" w:styleId="17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autoRedefine/>
    <w:qFormat/>
    <w:uiPriority w:val="0"/>
    <w:rPr>
      <w:rFonts w:ascii="仿宋_GB2312" w:eastAsia="仿宋_GB2312"/>
      <w:b/>
      <w:sz w:val="32"/>
      <w:szCs w:val="32"/>
    </w:rPr>
  </w:style>
  <w:style w:type="paragraph" w:customStyle="1" w:styleId="1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autoRedefine/>
    <w:qFormat/>
    <w:uiPriority w:val="0"/>
    <w:rPr>
      <w:rFonts w:ascii="仿宋_GB2312" w:eastAsia="仿宋_GB2312"/>
      <w:b/>
      <w:sz w:val="32"/>
      <w:szCs w:val="32"/>
    </w:rPr>
  </w:style>
  <w:style w:type="paragraph" w:customStyle="1" w:styleId="18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autoRedefine/>
    <w:qFormat/>
    <w:uiPriority w:val="0"/>
    <w:pPr>
      <w:widowControl/>
      <w:adjustRightInd/>
      <w:spacing w:after="160" w:line="240" w:lineRule="exact"/>
      <w:jc w:val="left"/>
    </w:pPr>
  </w:style>
  <w:style w:type="paragraph" w:customStyle="1" w:styleId="192">
    <w:name w:val="Char2 Char Char1"/>
    <w:basedOn w:val="1"/>
    <w:autoRedefine/>
    <w:qFormat/>
    <w:uiPriority w:val="0"/>
    <w:pPr>
      <w:adjustRightInd/>
    </w:pPr>
    <w:rPr>
      <w:rFonts w:ascii="Tahoma" w:hAnsi="Tahoma"/>
      <w:sz w:val="24"/>
      <w:szCs w:val="20"/>
    </w:rPr>
  </w:style>
  <w:style w:type="paragraph" w:customStyle="1" w:styleId="193">
    <w:name w:val="默认段落字体 Para Char Char Char Char Char Char Char"/>
    <w:basedOn w:val="1"/>
    <w:autoRedefine/>
    <w:qFormat/>
    <w:uiPriority w:val="0"/>
    <w:rPr>
      <w:rFonts w:eastAsia="仿宋_GB2312"/>
      <w:sz w:val="28"/>
      <w:szCs w:val="20"/>
    </w:rPr>
  </w:style>
  <w:style w:type="paragraph" w:customStyle="1" w:styleId="19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5">
    <w:name w:val="正文21"/>
    <w:basedOn w:val="1"/>
    <w:autoRedefine/>
    <w:qFormat/>
    <w:uiPriority w:val="0"/>
    <w:pPr>
      <w:adjustRightInd/>
      <w:spacing w:before="156" w:line="360" w:lineRule="auto"/>
      <w:ind w:firstLine="510" w:firstLineChars="200"/>
    </w:pPr>
    <w:rPr>
      <w:sz w:val="24"/>
      <w:szCs w:val="20"/>
    </w:rPr>
  </w:style>
  <w:style w:type="paragraph" w:customStyle="1" w:styleId="196">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autoRedefine/>
    <w:qFormat/>
    <w:uiPriority w:val="0"/>
    <w:pPr>
      <w:adjustRightInd/>
      <w:spacing w:before="156" w:beforeLines="50" w:line="360" w:lineRule="auto"/>
    </w:pPr>
    <w:rPr>
      <w:b/>
      <w:sz w:val="24"/>
    </w:rPr>
  </w:style>
  <w:style w:type="paragraph" w:customStyle="1" w:styleId="199">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autoRedefine/>
    <w:qFormat/>
    <w:uiPriority w:val="0"/>
    <w:pPr>
      <w:spacing w:line="360" w:lineRule="auto"/>
    </w:pPr>
    <w:rPr>
      <w:szCs w:val="20"/>
    </w:rPr>
  </w:style>
  <w:style w:type="paragraph" w:customStyle="1" w:styleId="20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1"/>
    <w:autoRedefine/>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autoRedefine/>
    <w:qFormat/>
    <w:uiPriority w:val="0"/>
    <w:pPr>
      <w:spacing w:line="360" w:lineRule="auto"/>
    </w:pPr>
    <w:rPr>
      <w:szCs w:val="20"/>
    </w:rPr>
  </w:style>
  <w:style w:type="paragraph" w:customStyle="1" w:styleId="207">
    <w:name w:val="Char Char1 Char Char Char1"/>
    <w:basedOn w:val="1"/>
    <w:autoRedefine/>
    <w:qFormat/>
    <w:uiPriority w:val="0"/>
    <w:rPr>
      <w:rFonts w:ascii="仿宋_GB2312" w:eastAsia="仿宋_GB2312"/>
      <w:b/>
      <w:sz w:val="32"/>
      <w:szCs w:val="32"/>
    </w:rPr>
  </w:style>
  <w:style w:type="paragraph" w:customStyle="1" w:styleId="208">
    <w:name w:val="样式 标题 4PIM 4H4h4bulletblbbH41H42H43H44H45H46H47H48...1"/>
    <w:basedOn w:val="5"/>
    <w:autoRedefine/>
    <w:qFormat/>
    <w:uiPriority w:val="0"/>
    <w:pPr>
      <w:widowControl/>
      <w:jc w:val="left"/>
    </w:pPr>
    <w:rPr>
      <w:rFonts w:cs="宋体"/>
      <w:sz w:val="24"/>
      <w:szCs w:val="20"/>
    </w:rPr>
  </w:style>
  <w:style w:type="paragraph" w:customStyle="1" w:styleId="20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autoRedefine/>
    <w:qFormat/>
    <w:uiPriority w:val="0"/>
    <w:rPr>
      <w:b/>
    </w:rPr>
  </w:style>
  <w:style w:type="paragraph" w:customStyle="1" w:styleId="211">
    <w:name w:val="表格内文"/>
    <w:basedOn w:val="1"/>
    <w:autoRedefine/>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autoRedefine/>
    <w:qFormat/>
    <w:uiPriority w:val="0"/>
    <w:rPr>
      <w:rFonts w:ascii="仿宋_GB2312" w:eastAsia="仿宋_GB2312"/>
      <w:b/>
      <w:sz w:val="32"/>
      <w:szCs w:val="32"/>
    </w:rPr>
  </w:style>
  <w:style w:type="paragraph" w:customStyle="1" w:styleId="21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autoRedefine/>
    <w:qFormat/>
    <w:uiPriority w:val="0"/>
    <w:pPr>
      <w:adjustRightInd/>
      <w:ind w:firstLine="420" w:firstLineChars="200"/>
    </w:pPr>
    <w:rPr>
      <w:rFonts w:ascii="宋体" w:hAnsi="宋体"/>
      <w:sz w:val="24"/>
    </w:rPr>
  </w:style>
  <w:style w:type="paragraph" w:customStyle="1" w:styleId="21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autoRedefine/>
    <w:qFormat/>
    <w:uiPriority w:val="0"/>
    <w:pPr>
      <w:widowControl/>
      <w:spacing w:before="60" w:after="60"/>
      <w:jc w:val="left"/>
    </w:pPr>
    <w:rPr>
      <w:kern w:val="0"/>
      <w:sz w:val="24"/>
    </w:rPr>
  </w:style>
  <w:style w:type="paragraph" w:customStyle="1" w:styleId="22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autoRedefine/>
    <w:qFormat/>
    <w:uiPriority w:val="0"/>
    <w:rPr>
      <w:rFonts w:ascii="仿宋_GB2312" w:eastAsia="仿宋_GB2312"/>
      <w:b/>
      <w:sz w:val="32"/>
      <w:szCs w:val="32"/>
    </w:rPr>
  </w:style>
  <w:style w:type="paragraph" w:customStyle="1" w:styleId="226">
    <w:name w:val="MM Title"/>
    <w:basedOn w:val="56"/>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3"/>
    <w:autoRedefine/>
    <w:qFormat/>
    <w:uiPriority w:val="0"/>
    <w:pPr>
      <w:snapToGrid w:val="0"/>
      <w:spacing w:line="360" w:lineRule="auto"/>
    </w:pPr>
    <w:rPr>
      <w:rFonts w:ascii="宋体"/>
      <w:b/>
      <w:sz w:val="24"/>
      <w:szCs w:val="20"/>
    </w:rPr>
  </w:style>
  <w:style w:type="paragraph" w:customStyle="1" w:styleId="228">
    <w:name w:val="模板普通正文"/>
    <w:basedOn w:val="2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autoRedefine/>
    <w:qFormat/>
    <w:uiPriority w:val="0"/>
    <w:rPr>
      <w:rFonts w:ascii="仿宋_GB2312" w:eastAsia="仿宋_GB2312"/>
      <w:b/>
      <w:sz w:val="32"/>
      <w:szCs w:val="32"/>
    </w:rPr>
  </w:style>
  <w:style w:type="paragraph" w:customStyle="1" w:styleId="233">
    <w:name w:val="冯广丽"/>
    <w:basedOn w:val="1"/>
    <w:link w:val="470"/>
    <w:autoRedefine/>
    <w:qFormat/>
    <w:uiPriority w:val="0"/>
    <w:pPr>
      <w:adjustRightInd/>
      <w:spacing w:line="360" w:lineRule="auto"/>
      <w:ind w:firstLine="480" w:firstLineChars="200"/>
    </w:pPr>
    <w:rPr>
      <w:rFonts w:ascii="宋体" w:hAnsi="宋体"/>
      <w:sz w:val="24"/>
      <w:szCs w:val="22"/>
    </w:rPr>
  </w:style>
  <w:style w:type="paragraph" w:customStyle="1" w:styleId="23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autoRedefine/>
    <w:qFormat/>
    <w:uiPriority w:val="0"/>
    <w:pPr>
      <w:adjustRightInd/>
      <w:ind w:firstLine="200" w:firstLineChars="200"/>
    </w:pPr>
    <w:rPr>
      <w:rFonts w:ascii="Tahoma" w:hAnsi="Tahoma"/>
      <w:sz w:val="24"/>
      <w:szCs w:val="20"/>
    </w:rPr>
  </w:style>
  <w:style w:type="paragraph" w:customStyle="1" w:styleId="236">
    <w:name w:val="Char Char11 Char Char Char1"/>
    <w:basedOn w:val="1"/>
    <w:autoRedefine/>
    <w:qFormat/>
    <w:uiPriority w:val="0"/>
    <w:pPr>
      <w:spacing w:line="360" w:lineRule="auto"/>
    </w:pPr>
    <w:rPr>
      <w:szCs w:val="20"/>
    </w:rPr>
  </w:style>
  <w:style w:type="paragraph" w:customStyle="1" w:styleId="23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8">
    <w:name w:val="_Style 236"/>
    <w:autoRedefine/>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5"/>
    <w:autoRedefine/>
    <w:qFormat/>
    <w:uiPriority w:val="0"/>
    <w:pPr>
      <w:spacing w:after="120" w:line="480" w:lineRule="auto"/>
      <w:ind w:left="420" w:leftChars="200"/>
    </w:pPr>
    <w:rPr>
      <w:sz w:val="24"/>
      <w:szCs w:val="20"/>
    </w:rPr>
  </w:style>
  <w:style w:type="paragraph" w:customStyle="1" w:styleId="24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autoRedefine/>
    <w:qFormat/>
    <w:uiPriority w:val="0"/>
    <w:pPr>
      <w:adjustRightInd/>
    </w:pPr>
    <w:rPr>
      <w:rFonts w:ascii="Tahoma" w:hAnsi="Tahoma"/>
      <w:sz w:val="24"/>
    </w:rPr>
  </w:style>
  <w:style w:type="paragraph" w:customStyle="1" w:styleId="24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autoRedefine/>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0"/>
    <w:autoRedefine/>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autoRedefine/>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autoRedefine/>
    <w:qFormat/>
    <w:uiPriority w:val="0"/>
    <w:rPr>
      <w:rFonts w:ascii="宋体" w:eastAsia="宋体" w:cs="Times New Roman"/>
      <w:color w:val="auto"/>
    </w:rPr>
  </w:style>
  <w:style w:type="paragraph" w:customStyle="1" w:styleId="2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57">
    <w:name w:val="Char5"/>
    <w:basedOn w:val="1"/>
    <w:autoRedefine/>
    <w:qFormat/>
    <w:uiPriority w:val="0"/>
    <w:rPr>
      <w:rFonts w:ascii="仿宋_GB2312" w:eastAsia="仿宋_GB2312"/>
      <w:b/>
      <w:sz w:val="32"/>
      <w:szCs w:val="32"/>
    </w:rPr>
  </w:style>
  <w:style w:type="paragraph" w:customStyle="1" w:styleId="25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5"/>
    <w:autoRedefine/>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autoRedefine/>
    <w:qFormat/>
    <w:uiPriority w:val="0"/>
    <w:rPr>
      <w:rFonts w:ascii="仿宋_GB2312" w:eastAsia="仿宋_GB2312"/>
      <w:b/>
      <w:sz w:val="32"/>
      <w:szCs w:val="20"/>
    </w:rPr>
  </w:style>
  <w:style w:type="paragraph" w:customStyle="1" w:styleId="266">
    <w:name w:val="Char Char Char Char Char Char Char Char Char Char Char Char1 Char"/>
    <w:basedOn w:val="1"/>
    <w:autoRedefine/>
    <w:qFormat/>
    <w:uiPriority w:val="0"/>
    <w:rPr>
      <w:rFonts w:ascii="Tahoma" w:hAnsi="Tahoma" w:cs="仿宋_GB2312"/>
      <w:sz w:val="24"/>
      <w:szCs w:val="20"/>
    </w:rPr>
  </w:style>
  <w:style w:type="paragraph" w:customStyle="1" w:styleId="267">
    <w:name w:val="表格项目符号 2"/>
    <w:basedOn w:val="27"/>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69">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2">
    <w:name w:val="Char1 Char Char Char3"/>
    <w:basedOn w:val="1"/>
    <w:autoRedefine/>
    <w:qFormat/>
    <w:uiPriority w:val="0"/>
    <w:pPr>
      <w:adjustRightInd/>
      <w:ind w:firstLine="200" w:firstLineChars="200"/>
    </w:pPr>
    <w:rPr>
      <w:rFonts w:ascii="Tahoma" w:hAnsi="Tahoma"/>
      <w:sz w:val="24"/>
      <w:szCs w:val="20"/>
    </w:rPr>
  </w:style>
  <w:style w:type="paragraph" w:customStyle="1" w:styleId="273">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autoRedefine/>
    <w:qFormat/>
    <w:uiPriority w:val="0"/>
    <w:rPr>
      <w:rFonts w:ascii="Tahoma" w:hAnsi="Tahoma" w:cs="仿宋_GB2312"/>
      <w:sz w:val="24"/>
      <w:szCs w:val="20"/>
    </w:rPr>
  </w:style>
  <w:style w:type="paragraph" w:customStyle="1" w:styleId="275">
    <w:name w:val="Char Char1 Char1"/>
    <w:basedOn w:val="1"/>
    <w:autoRedefine/>
    <w:qFormat/>
    <w:uiPriority w:val="0"/>
    <w:rPr>
      <w:rFonts w:ascii="仿宋_GB2312" w:eastAsia="仿宋_GB2312"/>
      <w:b/>
      <w:sz w:val="32"/>
      <w:szCs w:val="32"/>
    </w:rPr>
  </w:style>
  <w:style w:type="paragraph" w:customStyle="1" w:styleId="276">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autoRedefine/>
    <w:qFormat/>
    <w:uiPriority w:val="0"/>
    <w:pPr>
      <w:widowControl/>
      <w:spacing w:after="160" w:line="240" w:lineRule="exact"/>
      <w:jc w:val="left"/>
    </w:pPr>
    <w:rPr>
      <w:rFonts w:eastAsia="仿宋_GB2312"/>
      <w:sz w:val="28"/>
    </w:rPr>
  </w:style>
  <w:style w:type="paragraph" w:customStyle="1" w:styleId="280">
    <w:name w:val="单元格居中"/>
    <w:basedOn w:val="1"/>
    <w:autoRedefine/>
    <w:qFormat/>
    <w:uiPriority w:val="0"/>
    <w:pPr>
      <w:adjustRightInd/>
      <w:spacing w:line="360" w:lineRule="auto"/>
      <w:jc w:val="center"/>
    </w:pPr>
    <w:rPr>
      <w:sz w:val="24"/>
    </w:rPr>
  </w:style>
  <w:style w:type="paragraph" w:customStyle="1" w:styleId="281">
    <w:name w:val="正文缩进1"/>
    <w:basedOn w:val="1"/>
    <w:next w:val="2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4">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autoRedefine/>
    <w:qFormat/>
    <w:uiPriority w:val="0"/>
    <w:pPr>
      <w:adjustRightInd/>
    </w:pPr>
  </w:style>
  <w:style w:type="paragraph" w:customStyle="1" w:styleId="287">
    <w:name w:val="文档正文"/>
    <w:basedOn w:val="1"/>
    <w:autoRedefine/>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autoRedefine/>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autoRedefine/>
    <w:qFormat/>
    <w:uiPriority w:val="0"/>
    <w:rPr>
      <w:rFonts w:ascii="仿宋_GB2312" w:eastAsia="仿宋_GB2312"/>
      <w:b/>
      <w:sz w:val="32"/>
      <w:szCs w:val="32"/>
    </w:rPr>
  </w:style>
  <w:style w:type="paragraph" w:customStyle="1" w:styleId="292">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autoRedefine/>
    <w:qFormat/>
    <w:uiPriority w:val="0"/>
    <w:pPr>
      <w:spacing w:line="240" w:lineRule="atLeast"/>
      <w:ind w:left="420" w:firstLine="420"/>
    </w:pPr>
    <w:rPr>
      <w:sz w:val="24"/>
    </w:rPr>
  </w:style>
  <w:style w:type="paragraph" w:styleId="29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autoRedefine/>
    <w:qFormat/>
    <w:uiPriority w:val="0"/>
    <w:pPr>
      <w:adjustRightInd/>
      <w:ind w:firstLine="200" w:firstLineChars="200"/>
    </w:pPr>
    <w:rPr>
      <w:rFonts w:ascii="Tahoma" w:hAnsi="Tahoma"/>
      <w:sz w:val="24"/>
      <w:szCs w:val="20"/>
    </w:rPr>
  </w:style>
  <w:style w:type="paragraph" w:customStyle="1" w:styleId="297">
    <w:name w:val="Char Char Char Char Char Char Char1"/>
    <w:basedOn w:val="1"/>
    <w:autoRedefine/>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4"/>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autoRedefine/>
    <w:qFormat/>
    <w:uiPriority w:val="0"/>
    <w:rPr>
      <w:rFonts w:ascii="Tahoma" w:hAnsi="Tahoma"/>
      <w:sz w:val="24"/>
      <w:szCs w:val="20"/>
    </w:rPr>
  </w:style>
  <w:style w:type="paragraph" w:customStyle="1" w:styleId="388">
    <w:name w:val="p0"/>
    <w:basedOn w:val="1"/>
    <w:autoRedefine/>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2"/>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autoRedefine/>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字符"/>
    <w:link w:val="39"/>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字符"/>
    <w:link w:val="9"/>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字符"/>
    <w:link w:val="47"/>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字符"/>
    <w:link w:val="23"/>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字符"/>
    <w:link w:val="8"/>
    <w:qFormat/>
    <w:uiPriority w:val="0"/>
    <w:rPr>
      <w:b/>
      <w:bCs/>
      <w:kern w:val="2"/>
      <w:sz w:val="24"/>
      <w:szCs w:val="24"/>
    </w:rPr>
  </w:style>
  <w:style w:type="character" w:customStyle="1" w:styleId="480">
    <w:name w:val="称呼 字符"/>
    <w:link w:val="20"/>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字符"/>
    <w:link w:val="44"/>
    <w:qFormat/>
    <w:uiPriority w:val="99"/>
    <w:rPr>
      <w:rFonts w:ascii="Arial" w:hAnsi="Arial" w:eastAsia="隶书"/>
      <w:b/>
      <w:bCs/>
      <w:kern w:val="28"/>
      <w:sz w:val="44"/>
      <w:szCs w:val="32"/>
      <w:lang w:val="en-US" w:eastAsia="zh-CN" w:bidi="ar-SA"/>
    </w:rPr>
  </w:style>
  <w:style w:type="character" w:customStyle="1" w:styleId="487">
    <w:name w:val="纯文本 字符"/>
    <w:link w:val="31"/>
    <w:qFormat/>
    <w:uiPriority w:val="99"/>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文本首行缩进 2 字符"/>
    <w:link w:val="59"/>
    <w:qFormat/>
    <w:uiPriority w:val="0"/>
    <w:rPr>
      <w:rFonts w:ascii="宋体" w:hAnsi="宋体"/>
      <w:kern w:val="2"/>
      <w:sz w:val="21"/>
      <w:szCs w:val="24"/>
    </w:rPr>
  </w:style>
  <w:style w:type="character" w:customStyle="1" w:styleId="501">
    <w:name w:val="正文文本缩进 2 字符"/>
    <w:link w:val="35"/>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字符"/>
    <w:link w:val="22"/>
    <w:qFormat/>
    <w:uiPriority w:val="99"/>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字符"/>
    <w:link w:val="10"/>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autoRedefine/>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字符"/>
    <w:link w:val="54"/>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文本首行缩进 字符"/>
    <w:link w:val="58"/>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字符"/>
    <w:link w:val="2"/>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字符"/>
    <w:link w:val="28"/>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字符"/>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字符"/>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字符"/>
    <w:link w:val="50"/>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autoRedefine/>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字符"/>
    <w:link w:val="34"/>
    <w:qFormat/>
    <w:uiPriority w:val="0"/>
    <w:rPr>
      <w:rFonts w:ascii="宋体"/>
      <w:kern w:val="2"/>
      <w:sz w:val="24"/>
      <w:szCs w:val="21"/>
      <w:lang w:val="zh-CN"/>
    </w:rPr>
  </w:style>
  <w:style w:type="character" w:customStyle="1" w:styleId="597">
    <w:name w:val="标题 4 字符"/>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字符"/>
    <w:link w:val="7"/>
    <w:qFormat/>
    <w:uiPriority w:val="0"/>
    <w:rPr>
      <w:rFonts w:ascii="Arial" w:hAnsi="Arial" w:eastAsia="黑体"/>
      <w:b/>
      <w:bCs/>
      <w:kern w:val="2"/>
      <w:sz w:val="24"/>
      <w:szCs w:val="24"/>
    </w:rPr>
  </w:style>
  <w:style w:type="character" w:customStyle="1" w:styleId="611">
    <w:name w:val="正文缩进 字符"/>
    <w:link w:val="15"/>
    <w:qFormat/>
    <w:uiPriority w:val="0"/>
    <w:rPr>
      <w:rFonts w:ascii="宋体" w:eastAsia="宋体"/>
      <w:snapToGrid w:val="0"/>
      <w:color w:val="000000"/>
      <w:kern w:val="28"/>
      <w:sz w:val="28"/>
      <w:lang w:val="en-US" w:eastAsia="zh-CN" w:bidi="ar-SA"/>
    </w:rPr>
  </w:style>
  <w:style w:type="character" w:customStyle="1" w:styleId="612">
    <w:name w:val="批注文字 字符"/>
    <w:link w:val="19"/>
    <w:qFormat/>
    <w:uiPriority w:val="99"/>
    <w:rPr>
      <w:kern w:val="2"/>
      <w:sz w:val="21"/>
      <w:szCs w:val="24"/>
    </w:rPr>
  </w:style>
  <w:style w:type="character" w:customStyle="1" w:styleId="613">
    <w:name w:val="批注框文本 字符"/>
    <w:link w:val="36"/>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标题4"/>
    <w:basedOn w:val="31"/>
    <w:uiPriority w:val="0"/>
    <w:pPr>
      <w:adjustRightInd/>
      <w:spacing w:line="360" w:lineRule="auto"/>
      <w:ind w:firstLine="200" w:firstLineChars="200"/>
      <w:outlineLvl w:val="2"/>
    </w:pPr>
    <w:rPr>
      <w:rFonts w:ascii="Times New Roman" w:hAnsi="Times New Roman" w:eastAsia="黑体"/>
      <w:b/>
      <w:color w:val="000000"/>
      <w:szCs w:val="21"/>
    </w:rPr>
  </w:style>
  <w:style w:type="character" w:customStyle="1" w:styleId="631">
    <w:name w:val="标题 2 字符"/>
    <w:basedOn w:val="62"/>
    <w:link w:val="3"/>
    <w:uiPriority w:val="9"/>
    <w:rPr>
      <w:rFonts w:ascii="仿宋_GB2312" w:hAnsi="仿宋" w:eastAsia="仿宋_GB2312"/>
      <w:b/>
      <w:bCs/>
      <w:kern w:val="2"/>
      <w:sz w:val="32"/>
      <w:szCs w:val="32"/>
      <w:lang w:val="zh-CN"/>
    </w:rPr>
  </w:style>
  <w:style w:type="paragraph" w:customStyle="1" w:styleId="632">
    <w:name w:val="正文首行缩进2"/>
    <w:basedOn w:val="22"/>
    <w:uiPriority w:val="0"/>
    <w:pPr>
      <w:ind w:firstLine="420"/>
    </w:pPr>
    <w:rPr>
      <w:szCs w:val="24"/>
      <w:lang w:val="en-US"/>
    </w:rPr>
  </w:style>
  <w:style w:type="paragraph" w:customStyle="1" w:styleId="633">
    <w:name w:val="msonormal"/>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634">
    <w:name w:val="标题3"/>
    <w:basedOn w:val="31"/>
    <w:uiPriority w:val="0"/>
    <w:pPr>
      <w:adjustRightInd/>
      <w:spacing w:line="360" w:lineRule="auto"/>
      <w:jc w:val="left"/>
      <w:outlineLvl w:val="2"/>
    </w:pPr>
    <w:rPr>
      <w:rFonts w:ascii="Times New Roman" w:hAnsi="Times New Roman" w:eastAsia="黑体"/>
      <w:color w:val="000000"/>
      <w:sz w:val="28"/>
      <w:szCs w:val="28"/>
    </w:rPr>
  </w:style>
  <w:style w:type="paragraph" w:customStyle="1" w:styleId="635">
    <w:name w:val="正文_3"/>
    <w:basedOn w:val="1"/>
    <w:uiPriority w:val="0"/>
    <w:pPr>
      <w:adjustRightInd/>
    </w:pPr>
    <w:rPr>
      <w:rFonts w:ascii="Calibri" w:hAnsi="Calibri"/>
      <w:szCs w:val="21"/>
    </w:rPr>
  </w:style>
  <w:style w:type="character" w:customStyle="1" w:styleId="636">
    <w:name w:val="标题 3 字符"/>
    <w:basedOn w:val="62"/>
    <w:link w:val="4"/>
    <w:uiPriority w:val="99"/>
    <w:rPr>
      <w:b/>
      <w:bCs/>
      <w:kern w:val="2"/>
      <w:sz w:val="32"/>
      <w:szCs w:val="32"/>
    </w:rPr>
  </w:style>
  <w:style w:type="character" w:customStyle="1" w:styleId="637">
    <w:name w:val="页眉 字符"/>
    <w:basedOn w:val="62"/>
    <w:link w:val="38"/>
    <w:uiPriority w:val="99"/>
    <w:rPr>
      <w:kern w:val="2"/>
      <w:sz w:val="18"/>
      <w:szCs w:val="18"/>
    </w:rPr>
  </w:style>
  <w:style w:type="character" w:customStyle="1" w:styleId="638">
    <w:name w:val="10"/>
    <w:basedOn w:val="62"/>
    <w:uiPriority w:val="0"/>
    <w:rPr>
      <w:rFonts w:hint="eastAsia" w:ascii="等线" w:hAnsi="等线" w:eastAsia="等线"/>
    </w:rPr>
  </w:style>
  <w:style w:type="character" w:customStyle="1" w:styleId="639">
    <w:name w:val="15"/>
    <w:basedOn w:val="62"/>
    <w:uiPriority w:val="0"/>
    <w:rPr>
      <w:rFonts w:hint="eastAsia" w:ascii="宋体" w:hAnsi="宋体" w:eastAsia="宋体"/>
      <w:color w:val="000000"/>
      <w:sz w:val="20"/>
      <w:szCs w:val="20"/>
    </w:rPr>
  </w:style>
  <w:style w:type="character" w:customStyle="1" w:styleId="640">
    <w:name w:val="16"/>
    <w:basedOn w:val="62"/>
    <w:uiPriority w:val="0"/>
    <w:rPr>
      <w:rFonts w:hint="eastAsia" w:ascii="宋体" w:hAnsi="宋体" w:eastAsia="宋体"/>
      <w:color w:val="000000"/>
      <w:sz w:val="20"/>
      <w:szCs w:val="20"/>
    </w:rPr>
  </w:style>
  <w:style w:type="character" w:customStyle="1" w:styleId="641">
    <w:name w:val="17"/>
    <w:basedOn w:val="62"/>
    <w:uiPriority w:val="0"/>
    <w:rPr>
      <w:rFonts w:hint="eastAsia" w:ascii="宋体" w:hAnsi="宋体" w:eastAsia="宋体"/>
      <w:color w:val="000000"/>
      <w:sz w:val="20"/>
      <w:szCs w:val="20"/>
    </w:rPr>
  </w:style>
  <w:style w:type="character" w:customStyle="1" w:styleId="642">
    <w:name w:val="18"/>
    <w:basedOn w:val="62"/>
    <w:uiPriority w:val="0"/>
    <w:rPr>
      <w:rFonts w:hint="default" w:ascii="Times New Roman" w:hAnsi="Times New Roman" w:cs="Times New Roman"/>
      <w:color w:val="000000"/>
      <w:sz w:val="20"/>
      <w:szCs w:val="20"/>
    </w:rPr>
  </w:style>
  <w:style w:type="character" w:customStyle="1" w:styleId="643">
    <w:name w:val="19"/>
    <w:basedOn w:val="62"/>
    <w:uiPriority w:val="0"/>
    <w:rPr>
      <w:rFonts w:hint="eastAsia" w:ascii="等线" w:hAnsi="等线" w:eastAsia="等线"/>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Pages>
  <Words>35516</Words>
  <Characters>37648</Characters>
  <Lines>2689</Lines>
  <Paragraphs>2709</Paragraphs>
  <TotalTime>0</TotalTime>
  <ScaleCrop>false</ScaleCrop>
  <LinksUpToDate>false</LinksUpToDate>
  <CharactersWithSpaces>70455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NTKO</cp:lastModifiedBy>
  <cp:lastPrinted>2024-09-27T02:39:00Z</cp:lastPrinted>
  <dcterms:modified xsi:type="dcterms:W3CDTF">2024-09-27T08:25:56Z</dcterms:modified>
  <dc:title>杭州市市民卡扩大发卡工程</dc:title>
  <cp:revision>489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D1AD6BE9DD8C4E74B1422D179BEB696F</vt:lpwstr>
  </property>
</Properties>
</file>