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E3455">
      <w:pPr>
        <w:spacing w:line="360" w:lineRule="auto"/>
        <w:jc w:val="center"/>
        <w:rPr>
          <w:rFonts w:ascii="宋体" w:hAnsi="宋体" w:cs="宋体"/>
          <w:b/>
          <w:color w:val="auto"/>
          <w:sz w:val="24"/>
          <w:highlight w:val="none"/>
        </w:rPr>
      </w:pPr>
    </w:p>
    <w:p w14:paraId="2FB3130A">
      <w:pPr>
        <w:adjustRightInd/>
        <w:spacing w:line="360" w:lineRule="auto"/>
        <w:jc w:val="center"/>
        <w:rPr>
          <w:rFonts w:ascii="宋体" w:hAnsi="宋体" w:cs="宋体"/>
          <w:b/>
          <w:color w:val="auto"/>
          <w:sz w:val="48"/>
          <w:szCs w:val="48"/>
          <w:highlight w:val="none"/>
        </w:rPr>
      </w:pPr>
    </w:p>
    <w:p w14:paraId="5B1715D5">
      <w:pPr>
        <w:adjustRightInd/>
        <w:spacing w:line="360" w:lineRule="auto"/>
        <w:ind w:firstLine="480" w:firstLineChars="100"/>
        <w:jc w:val="center"/>
        <w:rPr>
          <w:rFonts w:hint="eastAsia" w:ascii="宋体" w:hAnsi="宋体" w:cs="宋体"/>
          <w:color w:val="auto"/>
          <w:sz w:val="48"/>
          <w:szCs w:val="48"/>
          <w:highlight w:val="none"/>
        </w:rPr>
      </w:pPr>
      <w:r>
        <w:rPr>
          <w:rFonts w:hint="eastAsia" w:ascii="宋体" w:hAnsi="宋体" w:cs="宋体"/>
          <w:color w:val="auto"/>
          <w:sz w:val="48"/>
          <w:szCs w:val="48"/>
          <w:highlight w:val="none"/>
          <w:lang w:eastAsia="zh-CN"/>
        </w:rPr>
        <w:t>观澜中学图书馆扩建改造工程</w:t>
      </w:r>
    </w:p>
    <w:p w14:paraId="26D414E6">
      <w:pPr>
        <w:adjustRightInd/>
        <w:spacing w:line="360" w:lineRule="auto"/>
        <w:ind w:firstLine="480" w:firstLineChars="100"/>
        <w:jc w:val="center"/>
        <w:rPr>
          <w:rFonts w:ascii="宋体" w:hAnsi="宋体" w:cs="宋体"/>
          <w:color w:val="auto"/>
          <w:sz w:val="48"/>
          <w:szCs w:val="48"/>
          <w:highlight w:val="none"/>
        </w:rPr>
      </w:pPr>
      <w:r>
        <w:rPr>
          <w:rFonts w:hint="eastAsia" w:ascii="宋体" w:hAnsi="宋体" w:cs="宋体"/>
          <w:color w:val="auto"/>
          <w:sz w:val="48"/>
          <w:szCs w:val="48"/>
          <w:highlight w:val="none"/>
        </w:rPr>
        <w:t>（政府采购工程）</w:t>
      </w:r>
    </w:p>
    <w:p w14:paraId="554FD9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14:paraId="0B9C319C">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 xml:space="preserve"> QTCG-CS-2024-043</w:t>
      </w:r>
    </w:p>
    <w:p w14:paraId="23F16EA7">
      <w:pPr>
        <w:adjustRightInd/>
        <w:spacing w:line="360" w:lineRule="auto"/>
        <w:rPr>
          <w:rFonts w:ascii="宋体" w:hAnsi="宋体" w:cs="宋体"/>
          <w:color w:val="auto"/>
          <w:sz w:val="28"/>
          <w:szCs w:val="20"/>
          <w:highlight w:val="none"/>
        </w:rPr>
      </w:pPr>
    </w:p>
    <w:p w14:paraId="66072267">
      <w:pPr>
        <w:spacing w:line="360" w:lineRule="auto"/>
        <w:jc w:val="center"/>
        <w:rPr>
          <w:rFonts w:hint="eastAsia" w:ascii="宋体" w:hAnsi="宋体" w:cs="宋体"/>
          <w:b/>
          <w:color w:val="auto"/>
          <w:sz w:val="44"/>
          <w:szCs w:val="44"/>
          <w:highlight w:val="none"/>
        </w:rPr>
      </w:pPr>
    </w:p>
    <w:p w14:paraId="356941BB">
      <w:pPr>
        <w:spacing w:line="360" w:lineRule="auto"/>
        <w:jc w:val="center"/>
        <w:rPr>
          <w:rFonts w:hint="eastAsia" w:ascii="宋体" w:hAnsi="宋体" w:cs="宋体"/>
          <w:b/>
          <w:color w:val="auto"/>
          <w:sz w:val="44"/>
          <w:szCs w:val="44"/>
          <w:highlight w:val="none"/>
        </w:rPr>
      </w:pPr>
    </w:p>
    <w:p w14:paraId="0B7F0FB7">
      <w:pPr>
        <w:spacing w:line="360" w:lineRule="auto"/>
        <w:jc w:val="center"/>
        <w:rPr>
          <w:rFonts w:ascii="宋体" w:hAnsi="宋体" w:cs="宋体"/>
          <w:b/>
          <w:color w:val="auto"/>
          <w:sz w:val="44"/>
          <w:szCs w:val="44"/>
          <w:highlight w:val="none"/>
        </w:rPr>
      </w:pPr>
    </w:p>
    <w:p w14:paraId="72B69023">
      <w:pPr>
        <w:spacing w:line="360" w:lineRule="auto"/>
        <w:jc w:val="center"/>
        <w:rPr>
          <w:rFonts w:ascii="宋体" w:hAnsi="宋体" w:cs="宋体"/>
          <w:b/>
          <w:color w:val="auto"/>
          <w:sz w:val="44"/>
          <w:szCs w:val="44"/>
          <w:highlight w:val="none"/>
        </w:rPr>
      </w:pPr>
    </w:p>
    <w:p w14:paraId="79AA475E">
      <w:pPr>
        <w:spacing w:line="360" w:lineRule="auto"/>
        <w:jc w:val="center"/>
        <w:rPr>
          <w:rFonts w:ascii="宋体" w:hAnsi="宋体" w:cs="宋体"/>
          <w:color w:val="auto"/>
          <w:sz w:val="24"/>
          <w:highlight w:val="none"/>
        </w:rPr>
      </w:pPr>
    </w:p>
    <w:p w14:paraId="0FD7BBEF">
      <w:pPr>
        <w:spacing w:line="360" w:lineRule="auto"/>
        <w:rPr>
          <w:rFonts w:ascii="宋体" w:hAnsi="宋体" w:cs="宋体"/>
          <w:color w:val="auto"/>
          <w:sz w:val="32"/>
          <w:szCs w:val="32"/>
          <w:highlight w:val="none"/>
        </w:rPr>
      </w:pPr>
    </w:p>
    <w:p w14:paraId="62221D54">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杭州市钱塘区观澜中学</w:t>
      </w:r>
    </w:p>
    <w:p w14:paraId="1142C106">
      <w:pPr>
        <w:snapToGrid w:val="0"/>
        <w:spacing w:line="360" w:lineRule="auto"/>
        <w:jc w:val="center"/>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eastAsia="zh-CN"/>
        </w:rPr>
        <w:t>浙江省房地产管理咨询有限公司</w:t>
      </w:r>
    </w:p>
    <w:p w14:paraId="19342F4B">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十一</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eastAsia="zh-CN"/>
        </w:rPr>
        <w:t>十四</w:t>
      </w:r>
      <w:bookmarkStart w:id="1200" w:name="_GoBack"/>
      <w:bookmarkEnd w:id="1200"/>
      <w:r>
        <w:rPr>
          <w:rFonts w:hint="eastAsia" w:ascii="宋体" w:hAnsi="宋体" w:cs="宋体"/>
          <w:bCs/>
          <w:color w:val="auto"/>
          <w:sz w:val="32"/>
          <w:szCs w:val="32"/>
          <w:highlight w:val="none"/>
        </w:rPr>
        <w:t>日</w:t>
      </w:r>
    </w:p>
    <w:p w14:paraId="376D9B6E">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BC76ECC">
      <w:pPr>
        <w:spacing w:line="360" w:lineRule="auto"/>
        <w:jc w:val="center"/>
        <w:rPr>
          <w:rFonts w:ascii="宋体" w:hAnsi="宋体" w:cs="宋体"/>
          <w:color w:val="auto"/>
          <w:sz w:val="24"/>
          <w:highlight w:val="none"/>
        </w:rPr>
      </w:pPr>
    </w:p>
    <w:p w14:paraId="06A4E9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10BDECE">
      <w:pPr>
        <w:spacing w:line="360" w:lineRule="auto"/>
        <w:rPr>
          <w:rFonts w:ascii="宋体" w:hAnsi="宋体" w:cs="宋体"/>
          <w:color w:val="auto"/>
          <w:sz w:val="32"/>
          <w:szCs w:val="32"/>
          <w:highlight w:val="none"/>
        </w:rPr>
      </w:pPr>
    </w:p>
    <w:p w14:paraId="03B674D7">
      <w:pPr>
        <w:spacing w:line="360" w:lineRule="auto"/>
        <w:rPr>
          <w:rFonts w:ascii="宋体" w:hAnsi="宋体" w:cs="宋体"/>
          <w:color w:val="auto"/>
          <w:sz w:val="32"/>
          <w:szCs w:val="32"/>
          <w:highlight w:val="none"/>
        </w:rPr>
      </w:pPr>
    </w:p>
    <w:p w14:paraId="22E7888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14:paraId="6E940D1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4003E5E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372D90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1405614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9D7D04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A8C3C7F">
      <w:pPr>
        <w:spacing w:line="360" w:lineRule="auto"/>
        <w:ind w:firstLine="1280" w:firstLineChars="400"/>
        <w:rPr>
          <w:rFonts w:ascii="宋体" w:hAnsi="宋体" w:cs="宋体"/>
          <w:color w:val="auto"/>
          <w:sz w:val="32"/>
          <w:szCs w:val="32"/>
          <w:highlight w:val="none"/>
        </w:rPr>
      </w:pPr>
    </w:p>
    <w:p w14:paraId="212A9599">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849C515">
      <w:pPr>
        <w:spacing w:line="360" w:lineRule="auto"/>
        <w:ind w:firstLine="549" w:firstLineChars="229"/>
        <w:rPr>
          <w:rFonts w:ascii="宋体" w:hAnsi="宋体" w:cs="宋体"/>
          <w:color w:val="auto"/>
          <w:sz w:val="24"/>
          <w:highlight w:val="none"/>
        </w:rPr>
      </w:pPr>
    </w:p>
    <w:p w14:paraId="0DA3E59C">
      <w:pPr>
        <w:spacing w:line="360" w:lineRule="auto"/>
        <w:ind w:firstLine="549" w:firstLineChars="229"/>
        <w:rPr>
          <w:rFonts w:ascii="宋体" w:hAnsi="宋体" w:cs="宋体"/>
          <w:color w:val="auto"/>
          <w:sz w:val="24"/>
          <w:highlight w:val="none"/>
        </w:rPr>
      </w:pPr>
    </w:p>
    <w:p w14:paraId="6922B43C">
      <w:pPr>
        <w:spacing w:line="360" w:lineRule="auto"/>
        <w:ind w:firstLine="549" w:firstLineChars="229"/>
        <w:rPr>
          <w:rFonts w:ascii="宋体" w:hAnsi="宋体" w:cs="宋体"/>
          <w:color w:val="auto"/>
          <w:sz w:val="24"/>
          <w:highlight w:val="none"/>
        </w:rPr>
      </w:pPr>
    </w:p>
    <w:p w14:paraId="3B4BB079">
      <w:pPr>
        <w:spacing w:line="360" w:lineRule="auto"/>
        <w:ind w:firstLine="549" w:firstLineChars="229"/>
        <w:rPr>
          <w:rFonts w:ascii="宋体" w:hAnsi="宋体" w:cs="宋体"/>
          <w:color w:val="auto"/>
          <w:sz w:val="24"/>
          <w:highlight w:val="none"/>
        </w:rPr>
      </w:pPr>
    </w:p>
    <w:p w14:paraId="4CC9D5EE">
      <w:pPr>
        <w:spacing w:line="360" w:lineRule="auto"/>
        <w:ind w:firstLine="549" w:firstLineChars="229"/>
        <w:rPr>
          <w:rFonts w:ascii="宋体" w:hAnsi="宋体" w:cs="宋体"/>
          <w:color w:val="auto"/>
          <w:sz w:val="24"/>
          <w:highlight w:val="none"/>
        </w:rPr>
      </w:pPr>
    </w:p>
    <w:p w14:paraId="2236107C">
      <w:pPr>
        <w:spacing w:line="360" w:lineRule="auto"/>
        <w:ind w:firstLine="549" w:firstLineChars="229"/>
        <w:rPr>
          <w:rFonts w:ascii="宋体" w:hAnsi="宋体" w:cs="宋体"/>
          <w:color w:val="auto"/>
          <w:sz w:val="24"/>
          <w:highlight w:val="none"/>
        </w:rPr>
      </w:pPr>
    </w:p>
    <w:p w14:paraId="6BA7D33C">
      <w:pPr>
        <w:spacing w:line="360" w:lineRule="auto"/>
        <w:ind w:firstLine="549" w:firstLineChars="229"/>
        <w:rPr>
          <w:rFonts w:ascii="宋体" w:hAnsi="宋体" w:cs="宋体"/>
          <w:color w:val="auto"/>
          <w:sz w:val="24"/>
          <w:highlight w:val="none"/>
        </w:rPr>
      </w:pPr>
    </w:p>
    <w:p w14:paraId="23D64CA2">
      <w:pPr>
        <w:spacing w:line="360" w:lineRule="auto"/>
        <w:ind w:firstLine="549" w:firstLineChars="229"/>
        <w:rPr>
          <w:rFonts w:ascii="宋体" w:hAnsi="宋体" w:cs="宋体"/>
          <w:color w:val="auto"/>
          <w:sz w:val="24"/>
          <w:highlight w:val="none"/>
        </w:rPr>
      </w:pPr>
    </w:p>
    <w:p w14:paraId="5AE64D0D">
      <w:pPr>
        <w:spacing w:line="360" w:lineRule="auto"/>
        <w:ind w:firstLine="549" w:firstLineChars="229"/>
        <w:rPr>
          <w:rFonts w:ascii="宋体" w:hAnsi="宋体" w:cs="宋体"/>
          <w:color w:val="auto"/>
          <w:sz w:val="24"/>
          <w:highlight w:val="none"/>
        </w:rPr>
      </w:pPr>
    </w:p>
    <w:p w14:paraId="4470A3AC">
      <w:pPr>
        <w:spacing w:line="360" w:lineRule="auto"/>
        <w:ind w:firstLine="549" w:firstLineChars="229"/>
        <w:rPr>
          <w:rFonts w:ascii="宋体" w:hAnsi="宋体" w:cs="宋体"/>
          <w:color w:val="auto"/>
          <w:sz w:val="24"/>
          <w:highlight w:val="none"/>
        </w:rPr>
      </w:pPr>
    </w:p>
    <w:p w14:paraId="481018EB">
      <w:pPr>
        <w:spacing w:line="360" w:lineRule="auto"/>
        <w:ind w:firstLine="549" w:firstLineChars="229"/>
        <w:rPr>
          <w:rFonts w:ascii="宋体" w:hAnsi="宋体" w:cs="宋体"/>
          <w:color w:val="auto"/>
          <w:sz w:val="24"/>
          <w:highlight w:val="none"/>
        </w:rPr>
      </w:pPr>
    </w:p>
    <w:p w14:paraId="70589CF8">
      <w:pPr>
        <w:spacing w:line="360" w:lineRule="auto"/>
        <w:ind w:firstLine="549" w:firstLineChars="229"/>
        <w:rPr>
          <w:rFonts w:ascii="宋体" w:hAnsi="宋体" w:cs="宋体"/>
          <w:color w:val="auto"/>
          <w:sz w:val="24"/>
          <w:highlight w:val="none"/>
        </w:rPr>
      </w:pPr>
    </w:p>
    <w:p w14:paraId="603A0FEC">
      <w:pPr>
        <w:spacing w:line="360" w:lineRule="auto"/>
        <w:rPr>
          <w:rFonts w:ascii="宋体" w:hAnsi="宋体" w:cs="宋体"/>
          <w:color w:val="auto"/>
          <w:sz w:val="24"/>
          <w:highlight w:val="none"/>
        </w:rPr>
      </w:pPr>
    </w:p>
    <w:p w14:paraId="2F0A1107">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p>
    <w:p w14:paraId="1DFE0D8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4A5C45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观澜中学图书馆扩建改造工程</w:t>
      </w:r>
      <w:r>
        <w:rPr>
          <w:rFonts w:hint="eastAsia" w:ascii="宋体" w:hAnsi="宋体" w:cs="宋体"/>
          <w:color w:val="auto"/>
          <w:sz w:val="24"/>
          <w:highlight w:val="none"/>
        </w:rPr>
        <w:t>采购项目的潜在供应商应在政采云平台（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14:paraId="2392456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EBA5E56">
      <w:pPr>
        <w:snapToGrid w:val="0"/>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QTCG-CS-2024-043</w:t>
      </w:r>
      <w:r>
        <w:rPr>
          <w:rFonts w:hint="eastAsia" w:ascii="宋体" w:hAnsi="宋体" w:cs="宋体"/>
          <w:color w:val="auto"/>
          <w:sz w:val="24"/>
          <w:highlight w:val="none"/>
          <w:lang w:val="en-US" w:eastAsia="zh-CN"/>
        </w:rPr>
        <w:t xml:space="preserve">  </w:t>
      </w:r>
    </w:p>
    <w:p w14:paraId="6750DF54">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观澜中学图书馆扩建改造工程</w:t>
      </w:r>
    </w:p>
    <w:p w14:paraId="302E108A">
      <w:pPr>
        <w:snapToGrid w:val="0"/>
        <w:spacing w:line="360" w:lineRule="auto"/>
        <w:ind w:firstLine="482" w:firstLineChars="200"/>
        <w:rPr>
          <w:rFonts w:hint="default" w:ascii="仿宋" w:hAnsi="仿宋" w:eastAsia="仿宋" w:cs="仿宋"/>
          <w:b/>
          <w:bCs/>
          <w:i w:val="0"/>
          <w:iCs w:val="0"/>
          <w:color w:val="auto"/>
          <w:kern w:val="2"/>
          <w:sz w:val="24"/>
          <w:szCs w:val="24"/>
          <w:highlight w:val="none"/>
          <w:u w:val="none"/>
          <w:lang w:val="en-US" w:eastAsia="zh-CN" w:bidi="ar"/>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1340067</w:t>
      </w:r>
      <w:r>
        <w:rPr>
          <w:rFonts w:hint="eastAsia" w:ascii="宋体" w:hAnsi="宋体" w:cs="宋体"/>
          <w:b/>
          <w:color w:val="auto"/>
          <w:sz w:val="24"/>
          <w:highlight w:val="none"/>
          <w:lang w:eastAsia="zh-CN"/>
        </w:rPr>
        <w:t>（本项目</w:t>
      </w:r>
      <w:r>
        <w:rPr>
          <w:rFonts w:hint="eastAsia" w:ascii="宋体" w:hAnsi="宋体" w:cs="宋体"/>
          <w:b/>
          <w:color w:val="auto"/>
          <w:sz w:val="24"/>
          <w:highlight w:val="none"/>
          <w:lang w:val="en-US" w:eastAsia="zh-CN"/>
        </w:rPr>
        <w:t>预算审核</w:t>
      </w:r>
      <w:r>
        <w:rPr>
          <w:rFonts w:hint="eastAsia" w:ascii="宋体" w:hAnsi="宋体" w:cs="宋体"/>
          <w:b/>
          <w:color w:val="auto"/>
          <w:sz w:val="24"/>
          <w:highlight w:val="none"/>
          <w:lang w:eastAsia="zh-CN"/>
        </w:rPr>
        <w:t>价为</w:t>
      </w:r>
      <w:r>
        <w:rPr>
          <w:rFonts w:hint="eastAsia" w:ascii="宋体" w:hAnsi="宋体" w:cs="宋体"/>
          <w:b/>
          <w:color w:val="auto"/>
          <w:sz w:val="24"/>
          <w:highlight w:val="none"/>
          <w:lang w:val="en-US" w:eastAsia="zh-CN"/>
        </w:rPr>
        <w:t>1340067元</w:t>
      </w:r>
      <w:r>
        <w:rPr>
          <w:rFonts w:hint="eastAsia" w:ascii="宋体" w:hAnsi="宋体" w:cs="宋体"/>
          <w:b/>
          <w:color w:val="auto"/>
          <w:sz w:val="24"/>
          <w:highlight w:val="none"/>
          <w:lang w:eastAsia="zh-CN"/>
        </w:rPr>
        <w:t>）</w:t>
      </w:r>
    </w:p>
    <w:p w14:paraId="023A5CBD">
      <w:pPr>
        <w:snapToGrid w:val="0"/>
        <w:spacing w:line="360" w:lineRule="auto"/>
        <w:ind w:firstLine="482" w:firstLineChars="200"/>
        <w:rPr>
          <w:rFonts w:hint="default" w:ascii="宋体" w:hAnsi="宋体" w:cs="宋体"/>
          <w:color w:val="auto"/>
          <w:sz w:val="24"/>
          <w:highlight w:val="none"/>
          <w:lang w:val="en-US"/>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 xml:space="preserve">1179258.96   </w:t>
      </w:r>
    </w:p>
    <w:p w14:paraId="26749AD4">
      <w:pPr>
        <w:pStyle w:val="18"/>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bCs w:val="0"/>
          <w:snapToGrid/>
          <w:color w:val="auto"/>
          <w:kern w:val="2"/>
          <w:sz w:val="24"/>
          <w:szCs w:val="24"/>
          <w:highlight w:val="none"/>
          <w:lang w:eastAsia="zh-CN"/>
        </w:rPr>
        <w:t>观澜中学图书馆扩建改造工程（政府采购工程）</w:t>
      </w:r>
      <w:r>
        <w:rPr>
          <w:rFonts w:hint="eastAsia" w:hAnsi="宋体" w:cs="宋体"/>
          <w:bCs/>
          <w:snapToGrid/>
          <w:color w:val="auto"/>
          <w:kern w:val="2"/>
          <w:sz w:val="24"/>
          <w:szCs w:val="24"/>
          <w:highlight w:val="none"/>
        </w:rPr>
        <w:t>主要内容：</w:t>
      </w:r>
      <w:r>
        <w:rPr>
          <w:rFonts w:hint="eastAsia" w:hAnsi="宋体" w:cs="宋体"/>
          <w:color w:val="auto"/>
          <w:sz w:val="24"/>
          <w:highlight w:val="none"/>
          <w:lang w:eastAsia="zh-CN"/>
        </w:rPr>
        <w:t>观澜中学图书馆扩建改造工程</w:t>
      </w:r>
      <w:r>
        <w:rPr>
          <w:rFonts w:hint="eastAsia" w:hAnsi="宋体" w:cs="宋体"/>
          <w:bCs/>
          <w:snapToGrid/>
          <w:color w:val="auto"/>
          <w:kern w:val="2"/>
          <w:sz w:val="24"/>
          <w:szCs w:val="24"/>
          <w:highlight w:val="none"/>
        </w:rPr>
        <w:t>的竞争性磋商文件、工程量清单及施工图范围内的所有内容。详见采购文件第三部分采购需求。</w:t>
      </w:r>
    </w:p>
    <w:p w14:paraId="2EBA4CD1">
      <w:pPr>
        <w:pStyle w:val="132"/>
        <w:snapToGrid w:val="0"/>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color w:val="auto"/>
          <w:sz w:val="24"/>
          <w:szCs w:val="24"/>
          <w:highlight w:val="none"/>
          <w:lang w:val="en-US" w:eastAsia="zh-CN"/>
        </w:rPr>
        <w:t>60日历天（满足整体工程进度需要）</w:t>
      </w:r>
      <w:r>
        <w:rPr>
          <w:rFonts w:hint="eastAsia" w:hAnsi="宋体" w:cs="宋体"/>
          <w:bCs/>
          <w:snapToGrid/>
          <w:color w:val="auto"/>
          <w:kern w:val="2"/>
          <w:sz w:val="24"/>
          <w:szCs w:val="24"/>
          <w:highlight w:val="none"/>
        </w:rPr>
        <w:t>。</w:t>
      </w:r>
    </w:p>
    <w:p w14:paraId="44DC73BC">
      <w:pPr>
        <w:pStyle w:val="18"/>
        <w:spacing w:line="360" w:lineRule="auto"/>
        <w:ind w:firstLine="482" w:firstLineChars="200"/>
        <w:rPr>
          <w:rFonts w:hAnsi="宋体" w:cs="宋体"/>
          <w:color w:val="auto"/>
          <w:kern w:val="0"/>
          <w:sz w:val="24"/>
          <w:highlight w:val="none"/>
        </w:rPr>
      </w:pPr>
      <w:r>
        <w:rPr>
          <w:rFonts w:hint="eastAsia" w:hAnsi="宋体" w:cs="宋体"/>
          <w:b/>
          <w:color w:val="auto"/>
          <w:sz w:val="24"/>
          <w:highlight w:val="none"/>
        </w:rPr>
        <w:t>本项目接受联合体：</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，不接受联合体理由：</w:t>
      </w:r>
      <w:r>
        <w:rPr>
          <w:rFonts w:hint="eastAsia" w:hAnsi="宋体" w:cs="宋体"/>
          <w:color w:val="auto"/>
          <w:kern w:val="0"/>
          <w:sz w:val="24"/>
          <w:highlight w:val="none"/>
          <w:lang w:val="en-US" w:eastAsia="zh-CN"/>
        </w:rPr>
        <w:t xml:space="preserve">  </w:t>
      </w:r>
      <w:r>
        <w:rPr>
          <w:rFonts w:hint="eastAsia" w:hAnsi="宋体" w:cs="宋体"/>
          <w:color w:val="auto"/>
          <w:kern w:val="0"/>
          <w:sz w:val="24"/>
          <w:highlight w:val="none"/>
        </w:rPr>
        <w:t>。</w:t>
      </w:r>
    </w:p>
    <w:p w14:paraId="57749E05">
      <w:pPr>
        <w:pStyle w:val="132"/>
        <w:snapToGrid w:val="0"/>
        <w:spacing w:before="0"/>
        <w:ind w:firstLine="482"/>
        <w:outlineLvl w:val="2"/>
        <w:rPr>
          <w:rFonts w:ascii="宋体" w:hAnsi="宋体" w:cs="宋体"/>
          <w:b/>
          <w:color w:val="auto"/>
          <w:highlight w:val="none"/>
        </w:rPr>
      </w:pPr>
      <w:r>
        <w:rPr>
          <w:rFonts w:hint="eastAsia" w:ascii="宋体" w:hAnsi="宋体" w:cs="宋体"/>
          <w:b/>
          <w:color w:val="auto"/>
          <w:highlight w:val="none"/>
        </w:rPr>
        <w:t>注：不得限制大中型企业与小微企业组成联合体参与。</w:t>
      </w:r>
    </w:p>
    <w:p w14:paraId="6E85B87E">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57DC9D0E">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BAB110D">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以联合体形式参与的，提供联合协议(供应商不以联合体形式参与的，则不需要提供) ；</w:t>
      </w:r>
    </w:p>
    <w:p w14:paraId="079A2D9C">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8EC21D3">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14:paraId="615BEAF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3FAC3DF">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工程全部由符合政策要求的中小企业承建，提供中小企业声明函；</w:t>
      </w:r>
    </w:p>
    <w:p w14:paraId="1F8AA340">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工程全部由符合政策要求的小微企业承建，提供中小企业声明函；</w:t>
      </w:r>
    </w:p>
    <w:p w14:paraId="5E91D64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如果供应商本身提供所有标的均由中小企业承建，视同符合了资格条件，无需再与其他中小企业组成联合体参加政府采购活动，无需提供联合协议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35BECDAE">
      <w:pPr>
        <w:tabs>
          <w:tab w:val="left" w:pos="840"/>
        </w:tabs>
        <w:snapToGrid w:val="0"/>
        <w:spacing w:line="360" w:lineRule="auto"/>
        <w:ind w:firstLine="480" w:firstLineChars="200"/>
        <w:rPr>
          <w:rFonts w:hint="eastAsia" w:ascii="宋体" w:hAnsi="宋体" w:eastAsia="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如果供应商本身提供所有标的均由中小企业承建，视同符合</w:t>
      </w:r>
      <w:r>
        <w:rPr>
          <w:rFonts w:hint="eastAsia" w:ascii="宋体" w:hAnsi="宋体" w:eastAsia="宋体" w:cs="宋体"/>
          <w:color w:val="auto"/>
          <w:sz w:val="24"/>
          <w:highlight w:val="none"/>
        </w:rPr>
        <w:t>了资格条件，无需再向中小企业分包，无需提供分包意向协议；</w:t>
      </w:r>
    </w:p>
    <w:p w14:paraId="7EA62164">
      <w:pPr>
        <w:numPr>
          <w:ilvl w:val="0"/>
          <w:numId w:val="0"/>
        </w:numPr>
        <w:tabs>
          <w:tab w:val="left" w:pos="840"/>
        </w:tabs>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rPr>
        <w:t>本项目的特定资格要求：</w:t>
      </w:r>
    </w:p>
    <w:p w14:paraId="3A79ED64">
      <w:pPr>
        <w:numPr>
          <w:ilvl w:val="0"/>
          <w:numId w:val="1"/>
        </w:numPr>
        <w:tabs>
          <w:tab w:val="left" w:pos="84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具备</w:t>
      </w:r>
      <w:r>
        <w:rPr>
          <w:rFonts w:hint="eastAsia" w:ascii="宋体" w:hAnsi="宋体" w:eastAsia="宋体" w:cs="宋体"/>
          <w:color w:val="auto"/>
          <w:sz w:val="24"/>
          <w:highlight w:val="none"/>
        </w:rPr>
        <w:t>建筑工程施工总承包企业 (新)三级及以上资质，并具有安全生产许可证的独立法人；</w:t>
      </w:r>
    </w:p>
    <w:p w14:paraId="4724DE96">
      <w:pPr>
        <w:numPr>
          <w:ilvl w:val="0"/>
          <w:numId w:val="1"/>
        </w:numPr>
        <w:tabs>
          <w:tab w:val="left" w:pos="84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项目负责人为建筑工程专业贰级及以上注册建造师，同时具有“三类人员”B类证书</w:t>
      </w:r>
      <w:r>
        <w:rPr>
          <w:rFonts w:hint="eastAsia" w:ascii="宋体" w:hAnsi="宋体" w:cs="宋体"/>
          <w:color w:val="auto"/>
          <w:sz w:val="24"/>
          <w:highlight w:val="none"/>
          <w:lang w:eastAsia="zh-CN"/>
        </w:rPr>
        <w:t>；</w:t>
      </w:r>
    </w:p>
    <w:p w14:paraId="12CE6F79">
      <w:pPr>
        <w:numPr>
          <w:ilvl w:val="0"/>
          <w:numId w:val="1"/>
        </w:numPr>
        <w:tabs>
          <w:tab w:val="left" w:pos="84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投标截止日存在在其他任何在建合同工程上担任项目负责人的，不得以拟派项目负责人的身份参加本次投标。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r>
        <w:rPr>
          <w:rFonts w:hint="eastAsia" w:ascii="宋体" w:hAnsi="宋体" w:eastAsia="宋体" w:cs="宋体"/>
          <w:color w:val="auto"/>
          <w:sz w:val="24"/>
          <w:highlight w:val="none"/>
          <w:lang w:eastAsia="zh-CN"/>
        </w:rPr>
        <w:t>。</w:t>
      </w:r>
    </w:p>
    <w:p w14:paraId="579880A8">
      <w:pPr>
        <w:tabs>
          <w:tab w:val="left" w:pos="840"/>
        </w:tabs>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5.单位负责人为同一人或者存在直接控股、管理</w:t>
      </w:r>
      <w:r>
        <w:rPr>
          <w:rFonts w:hint="eastAsia" w:ascii="宋体" w:hAnsi="宋体" w:cs="宋体"/>
          <w:color w:val="auto"/>
          <w:sz w:val="24"/>
          <w:highlight w:val="none"/>
        </w:rPr>
        <w:t>关系的不同供应商，不得参加同一合同项下的政府采购活动；为采购项目提供整体设计、规范编制或者项目管理、监理、检测等服务后不得再参加该采购项目的其他采购活动。</w:t>
      </w:r>
    </w:p>
    <w:p w14:paraId="242E661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743E7A1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95199D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197048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E70AD4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B351CA3">
      <w:pPr>
        <w:spacing w:line="360" w:lineRule="auto"/>
        <w:rPr>
          <w:rFonts w:ascii="宋体" w:hAnsi="宋体" w:cs="宋体"/>
          <w:b/>
          <w:color w:val="auto"/>
          <w:sz w:val="24"/>
          <w:highlight w:val="none"/>
        </w:rPr>
      </w:pPr>
      <w:r>
        <w:rPr>
          <w:rFonts w:hint="eastAsia" w:ascii="宋体" w:hAnsi="宋体" w:cs="宋体"/>
          <w:b/>
          <w:color w:val="auto"/>
          <w:sz w:val="24"/>
          <w:highlight w:val="none"/>
        </w:rPr>
        <w:t>四、响应文件提交（上传）</w:t>
      </w:r>
    </w:p>
    <w:p w14:paraId="66EFF7C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005B75A1">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7E7CF57">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14:paraId="7220B2A6">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p>
    <w:p w14:paraId="5EDC79F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14:paraId="6958A1A3">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14:paraId="04BF07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48CEF6AA">
      <w:pP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14:paraId="04BE9FA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2DC326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BAACC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7BEE2B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w:t>
      </w:r>
    </w:p>
    <w:p w14:paraId="3547103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（1）需要落实的政府采购政策：包括节约资源、保护环境、支持创新、促进中小企业发展等。详见采购文件的第二部分总则。</w:t>
      </w:r>
    </w:p>
    <w:p w14:paraId="39E16B0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w:t>
      </w:r>
    </w:p>
    <w:p w14:paraId="0EF2CCC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（3）采购文件公告期限与竞争性磋商公告的公告期限一致。</w:t>
      </w:r>
    </w:p>
    <w:p w14:paraId="1620A669">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499C19A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5CDBC8C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杭州市钱塘区观澜中学</w:t>
      </w:r>
      <w:r>
        <w:rPr>
          <w:rFonts w:hint="eastAsia" w:ascii="宋体" w:hAnsi="宋体" w:cs="宋体"/>
          <w:color w:val="auto"/>
          <w:sz w:val="24"/>
          <w:highlight w:val="none"/>
        </w:rPr>
        <w:t xml:space="preserve"> </w:t>
      </w:r>
    </w:p>
    <w:p w14:paraId="5C1213D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szCs w:val="24"/>
          <w:highlight w:val="none"/>
          <w:lang w:val="zh-TW" w:eastAsia="zh-CN"/>
        </w:rPr>
        <w:t>杭州市钱塘区秋潮路培正弄18号</w:t>
      </w:r>
      <w:r>
        <w:rPr>
          <w:rFonts w:hint="eastAsia" w:ascii="宋体" w:hAnsi="宋体" w:cs="宋体"/>
          <w:color w:val="auto"/>
          <w:sz w:val="24"/>
          <w:highlight w:val="none"/>
        </w:rPr>
        <w:t xml:space="preserve">     </w:t>
      </w:r>
    </w:p>
    <w:p w14:paraId="065CF6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w:t>
      </w:r>
    </w:p>
    <w:p w14:paraId="7EB501F5">
      <w:pPr>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 李志斌</w:t>
      </w:r>
    </w:p>
    <w:p w14:paraId="7800F4E6">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 xml:space="preserve">： </w:t>
      </w:r>
      <w:r>
        <w:rPr>
          <w:rStyle w:val="70"/>
          <w:rFonts w:hint="eastAsia" w:ascii="宋体" w:hAnsi="宋体" w:eastAsia="宋体" w:cs="宋体"/>
          <w:b w:val="0"/>
          <w:bCs/>
          <w:i w:val="0"/>
          <w:caps w:val="0"/>
          <w:color w:val="auto"/>
          <w:spacing w:val="0"/>
          <w:sz w:val="24"/>
          <w:szCs w:val="24"/>
          <w:highlight w:val="none"/>
          <w:shd w:val="clear" w:color="auto" w:fill="FFFFFF"/>
        </w:rPr>
        <w:t>18768191645</w:t>
      </w:r>
    </w:p>
    <w:p w14:paraId="3015FC84">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质疑</w:t>
      </w:r>
      <w:r>
        <w:rPr>
          <w:rFonts w:hint="eastAsia" w:ascii="宋体" w:hAnsi="宋体" w:cs="宋体"/>
          <w:color w:val="auto"/>
          <w:sz w:val="24"/>
          <w:highlight w:val="none"/>
        </w:rPr>
        <w:t>联系人：邢子伦</w:t>
      </w:r>
      <w:r>
        <w:rPr>
          <w:rFonts w:hint="eastAsia" w:ascii="宋体" w:hAnsi="宋体" w:cs="宋体"/>
          <w:color w:val="auto"/>
          <w:sz w:val="24"/>
          <w:highlight w:val="none"/>
          <w:lang w:val="en-US" w:eastAsia="zh-CN"/>
        </w:rPr>
        <w:t xml:space="preserve">  </w:t>
      </w:r>
    </w:p>
    <w:p w14:paraId="74D613DF">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质疑联系方式：13957146901</w:t>
      </w:r>
      <w:r>
        <w:rPr>
          <w:rFonts w:hint="eastAsia" w:ascii="宋体" w:hAnsi="宋体" w:cs="宋体"/>
          <w:color w:val="auto"/>
          <w:sz w:val="24"/>
          <w:highlight w:val="none"/>
          <w:lang w:val="en-US" w:eastAsia="zh-CN"/>
        </w:rPr>
        <w:t xml:space="preserve">  </w:t>
      </w:r>
    </w:p>
    <w:p w14:paraId="0FACF24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5E58E0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浙江省房地产管理咨询有限公司</w:t>
      </w:r>
    </w:p>
    <w:p w14:paraId="1E50827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地    址：杭州市拱墅区绍兴路538号三立时代广场1206室 </w:t>
      </w:r>
    </w:p>
    <w:p w14:paraId="7AB7DE7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传    真：0571-88477702          </w:t>
      </w:r>
    </w:p>
    <w:p w14:paraId="3AF585C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项目联系人（询问）：伍红仙         </w:t>
      </w:r>
    </w:p>
    <w:p w14:paraId="3E2483F0">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项目联系方式（询问）：13357106093/18868089351</w:t>
      </w:r>
    </w:p>
    <w:p w14:paraId="1187E76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质疑联系人：刘宝林             </w:t>
      </w:r>
    </w:p>
    <w:p w14:paraId="15B0BEC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质疑联系方式：0571-88023816 </w:t>
      </w:r>
    </w:p>
    <w:p w14:paraId="090DAE9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4A09C816">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称：杭州市财政局政府采购监管处、浙江省政府采购行政裁决服务中心（杭州）</w:t>
      </w:r>
    </w:p>
    <w:p w14:paraId="4CD5B06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（快递仅限ems或顺丰）</w:t>
      </w:r>
    </w:p>
    <w:p w14:paraId="0220630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  传    真：/</w:t>
      </w:r>
    </w:p>
    <w:p w14:paraId="19B2D80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1A7918F5">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监督投诉电话：0571-8</w:t>
      </w:r>
      <w:r>
        <w:rPr>
          <w:rFonts w:hint="eastAsia" w:ascii="宋体" w:hAnsi="宋体" w:cs="宋体"/>
          <w:color w:val="auto"/>
          <w:sz w:val="24"/>
          <w:highlight w:val="none"/>
          <w:lang w:val="en-US" w:eastAsia="zh-CN"/>
        </w:rPr>
        <w:t>7227671,0571-87800218</w:t>
      </w:r>
    </w:p>
    <w:p w14:paraId="5EADB4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14:paraId="2D05FF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70FA5B9B">
      <w:pPr>
        <w:snapToGrid w:val="0"/>
        <w:spacing w:line="360" w:lineRule="auto"/>
        <w:ind w:firstLine="480" w:firstLineChars="200"/>
        <w:rPr>
          <w:rFonts w:ascii="宋体" w:hAnsi="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color w:val="auto"/>
          <w:sz w:val="24"/>
          <w:highlight w:val="none"/>
        </w:rPr>
        <w:t>CA问题联系电话（人工）：汇信CA 400-888-4636；天谷CA 400-087-8198。</w:t>
      </w:r>
    </w:p>
    <w:p w14:paraId="05EB8361">
      <w:pPr>
        <w:pStyle w:val="35"/>
        <w:spacing w:line="360" w:lineRule="auto"/>
        <w:jc w:val="center"/>
        <w:rPr>
          <w:rFonts w:hAnsi="宋体" w:cs="宋体"/>
          <w:b/>
          <w:snapToGrid/>
          <w:color w:val="auto"/>
          <w:sz w:val="36"/>
          <w:szCs w:val="20"/>
          <w:highlight w:val="none"/>
        </w:rPr>
      </w:pPr>
      <w:r>
        <w:rPr>
          <w:rFonts w:hint="eastAsia" w:hAnsi="宋体" w:cs="宋体"/>
          <w:b/>
          <w:snapToGrid/>
          <w:color w:val="auto"/>
          <w:sz w:val="36"/>
          <w:szCs w:val="20"/>
          <w:highlight w:val="none"/>
        </w:rPr>
        <w:t>第二部分</w:t>
      </w:r>
      <w:bookmarkEnd w:id="8"/>
      <w:r>
        <w:rPr>
          <w:rFonts w:hint="eastAsia" w:hAnsi="宋体" w:cs="宋体"/>
          <w:b/>
          <w:snapToGrid/>
          <w:color w:val="auto"/>
          <w:sz w:val="36"/>
          <w:szCs w:val="20"/>
          <w:highlight w:val="none"/>
        </w:rPr>
        <w:t xml:space="preserve"> 供应商须知</w:t>
      </w:r>
      <w:bookmarkEnd w:id="9"/>
    </w:p>
    <w:p w14:paraId="37AF7F92">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50FE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5638089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14:paraId="0CDB2FF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27" w:type="dxa"/>
            <w:vAlign w:val="center"/>
          </w:tcPr>
          <w:p w14:paraId="01275AF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BD09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2042F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14:paraId="5F2EAF2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927" w:type="dxa"/>
            <w:vAlign w:val="center"/>
          </w:tcPr>
          <w:p w14:paraId="0F738220">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4BD1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07882FE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Merge w:val="restart"/>
            <w:vAlign w:val="center"/>
          </w:tcPr>
          <w:p w14:paraId="399623C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27" w:type="dxa"/>
            <w:vAlign w:val="center"/>
          </w:tcPr>
          <w:p w14:paraId="1F366235">
            <w:pPr>
              <w:pStyle w:val="6"/>
              <w:rPr>
                <w:rFonts w:ascii="宋体" w:hAnsi="宋体" w:eastAsia="宋体" w:cs="宋体"/>
                <w:color w:val="auto"/>
                <w:highlight w:val="none"/>
                <w:lang w:val="en-US"/>
              </w:rPr>
            </w:pPr>
            <w:r>
              <w:rPr>
                <w:rFonts w:hint="eastAsia" w:ascii="宋体" w:hAnsi="宋体" w:cs="宋体"/>
                <w:color w:val="auto"/>
                <w:kern w:val="0"/>
                <w:sz w:val="24"/>
                <w:highlight w:val="none"/>
              </w:rPr>
              <w:t>（</w:t>
            </w:r>
            <w:r>
              <w:rPr>
                <w:rFonts w:hint="eastAsia" w:ascii="宋体" w:hAnsi="宋体" w:eastAsia="宋体" w:cs="宋体"/>
                <w:color w:val="auto"/>
                <w:kern w:val="0"/>
                <w:sz w:val="24"/>
                <w:highlight w:val="none"/>
              </w:rPr>
              <w:t>1）标的：</w:t>
            </w:r>
            <w:r>
              <w:rPr>
                <w:rFonts w:hint="eastAsia" w:ascii="宋体" w:hAnsi="宋体" w:eastAsia="宋体" w:cs="宋体"/>
                <w:color w:val="auto"/>
                <w:kern w:val="0"/>
                <w:sz w:val="24"/>
                <w:highlight w:val="none"/>
                <w:u w:val="single"/>
                <w:lang w:eastAsia="zh-CN"/>
              </w:rPr>
              <w:t>观澜中学图书馆扩建改造工程</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建筑业</w:t>
            </w:r>
            <w:r>
              <w:rPr>
                <w:rFonts w:hint="eastAsia" w:ascii="宋体" w:hAnsi="宋体" w:eastAsia="宋体" w:cs="宋体"/>
                <w:color w:val="auto"/>
                <w:kern w:val="0"/>
                <w:sz w:val="24"/>
                <w:highlight w:val="none"/>
              </w:rPr>
              <w:t>行业；</w:t>
            </w:r>
          </w:p>
        </w:tc>
      </w:tr>
      <w:tr w14:paraId="2D218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00C66678">
            <w:pPr>
              <w:snapToGrid w:val="0"/>
              <w:spacing w:line="360" w:lineRule="auto"/>
              <w:jc w:val="center"/>
              <w:rPr>
                <w:rFonts w:hint="eastAsia" w:ascii="宋体" w:hAnsi="宋体" w:cs="宋体"/>
                <w:color w:val="auto"/>
                <w:sz w:val="24"/>
                <w:highlight w:val="none"/>
              </w:rPr>
            </w:pPr>
          </w:p>
        </w:tc>
        <w:tc>
          <w:tcPr>
            <w:tcW w:w="2093" w:type="dxa"/>
            <w:vMerge w:val="continue"/>
            <w:vAlign w:val="center"/>
          </w:tcPr>
          <w:p w14:paraId="6C5A0DC6">
            <w:pPr>
              <w:snapToGrid w:val="0"/>
              <w:spacing w:line="360" w:lineRule="auto"/>
              <w:jc w:val="center"/>
              <w:rPr>
                <w:rFonts w:hint="eastAsia" w:ascii="宋体" w:hAnsi="宋体" w:cs="宋体"/>
                <w:b/>
                <w:color w:val="auto"/>
                <w:sz w:val="24"/>
                <w:highlight w:val="none"/>
              </w:rPr>
            </w:pPr>
          </w:p>
        </w:tc>
        <w:tc>
          <w:tcPr>
            <w:tcW w:w="6927" w:type="dxa"/>
            <w:vAlign w:val="center"/>
          </w:tcPr>
          <w:p w14:paraId="28688D84">
            <w:pPr>
              <w:pStyle w:val="6"/>
              <w:ind w:left="0" w:leftChars="0" w:firstLine="482"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6F81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2E2AEBCA">
            <w:pPr>
              <w:snapToGrid w:val="0"/>
              <w:spacing w:line="360" w:lineRule="auto"/>
              <w:jc w:val="center"/>
              <w:rPr>
                <w:rFonts w:hint="eastAsia" w:ascii="宋体" w:hAnsi="宋体" w:cs="宋体"/>
                <w:color w:val="auto"/>
                <w:sz w:val="24"/>
                <w:highlight w:val="none"/>
              </w:rPr>
            </w:pPr>
          </w:p>
        </w:tc>
        <w:tc>
          <w:tcPr>
            <w:tcW w:w="2093" w:type="dxa"/>
            <w:vMerge w:val="continue"/>
            <w:vAlign w:val="center"/>
          </w:tcPr>
          <w:p w14:paraId="0E920D23">
            <w:pPr>
              <w:snapToGrid w:val="0"/>
              <w:spacing w:line="360" w:lineRule="auto"/>
              <w:jc w:val="center"/>
              <w:rPr>
                <w:rFonts w:hint="eastAsia" w:ascii="宋体" w:hAnsi="宋体" w:cs="宋体"/>
                <w:b/>
                <w:color w:val="auto"/>
                <w:sz w:val="24"/>
                <w:highlight w:val="none"/>
              </w:rPr>
            </w:pPr>
          </w:p>
        </w:tc>
        <w:tc>
          <w:tcPr>
            <w:tcW w:w="6927" w:type="dxa"/>
            <w:vAlign w:val="center"/>
          </w:tcPr>
          <w:p w14:paraId="516FEECE">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（1）投标人填写中小企业声明函时，标的为</w:t>
            </w:r>
            <w:r>
              <w:rPr>
                <w:rFonts w:hint="eastAsia" w:ascii="宋体" w:hAnsi="宋体" w:cs="宋体"/>
                <w:b/>
                <w:bCs/>
                <w:color w:val="auto"/>
                <w:kern w:val="0"/>
                <w:sz w:val="24"/>
                <w:highlight w:val="none"/>
                <w:u w:val="single"/>
                <w:lang w:eastAsia="zh-CN"/>
              </w:rPr>
              <w:t>观澜中学图书馆扩建改造工程</w:t>
            </w:r>
            <w:r>
              <w:rPr>
                <w:rFonts w:hint="eastAsia" w:ascii="宋体" w:hAnsi="宋体" w:eastAsia="宋体" w:cs="宋体"/>
                <w:color w:val="auto"/>
                <w:kern w:val="0"/>
                <w:sz w:val="24"/>
                <w:highlight w:val="none"/>
              </w:rPr>
              <w:t>，所属行业为</w:t>
            </w:r>
            <w:r>
              <w:rPr>
                <w:rFonts w:hint="eastAsia" w:ascii="宋体" w:hAnsi="宋体" w:eastAsia="宋体" w:cs="宋体"/>
                <w:b/>
                <w:bCs/>
                <w:color w:val="auto"/>
                <w:kern w:val="0"/>
                <w:sz w:val="24"/>
                <w:highlight w:val="none"/>
                <w:u w:val="single"/>
              </w:rPr>
              <w:t>建筑业</w:t>
            </w:r>
            <w:r>
              <w:rPr>
                <w:rFonts w:hint="eastAsia" w:ascii="宋体" w:hAnsi="宋体" w:eastAsia="宋体" w:cs="宋体"/>
                <w:color w:val="auto"/>
                <w:kern w:val="0"/>
                <w:sz w:val="24"/>
                <w:highlight w:val="none"/>
              </w:rPr>
              <w:t xml:space="preserve"> ；</w:t>
            </w:r>
          </w:p>
          <w:p w14:paraId="35485224">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（2）从业人员、营业收入、资产总额填报上一年度数据，无上一年度数据的新成立企业可不填报；</w:t>
            </w:r>
          </w:p>
          <w:p w14:paraId="514D5479">
            <w:pPr>
              <w:pStyle w:val="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（3）中型企业、小型企业、微型企业等3种企业类型，结合以上数据，依据《中小企业划型标准规定》（工信部联企业〔2011〕300号）确定的</w:t>
            </w:r>
            <w:r>
              <w:rPr>
                <w:rFonts w:hint="eastAsia" w:ascii="宋体" w:hAnsi="宋体" w:eastAsia="宋体" w:cs="宋体"/>
                <w:b/>
                <w:bCs/>
                <w:color w:val="auto"/>
                <w:kern w:val="0"/>
                <w:sz w:val="24"/>
                <w:highlight w:val="none"/>
                <w:u w:val="single"/>
              </w:rPr>
              <w:t>建筑业</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填写时应明确是</w:t>
            </w:r>
            <w:r>
              <w:rPr>
                <w:rFonts w:hint="eastAsia" w:ascii="宋体" w:hAnsi="宋体" w:eastAsia="宋体" w:cs="宋体"/>
                <w:b/>
                <w:bCs/>
                <w:color w:val="auto"/>
                <w:kern w:val="0"/>
                <w:sz w:val="24"/>
                <w:highlight w:val="none"/>
                <w:u w:val="single"/>
                <w:lang w:val="en-US" w:eastAsia="zh-CN"/>
              </w:rPr>
              <w:t>中型或</w:t>
            </w:r>
            <w:r>
              <w:rPr>
                <w:rFonts w:hint="eastAsia" w:ascii="宋体" w:hAnsi="宋体" w:eastAsia="宋体" w:cs="宋体"/>
                <w:b/>
                <w:bCs/>
                <w:color w:val="auto"/>
                <w:kern w:val="0"/>
                <w:sz w:val="24"/>
                <w:highlight w:val="none"/>
                <w:u w:val="single"/>
              </w:rPr>
              <w:t>小型或微型</w:t>
            </w:r>
            <w:r>
              <w:rPr>
                <w:rFonts w:hint="eastAsia" w:ascii="宋体" w:hAnsi="宋体" w:eastAsia="宋体" w:cs="宋体"/>
                <w:color w:val="auto"/>
                <w:kern w:val="0"/>
                <w:sz w:val="24"/>
                <w:highlight w:val="none"/>
              </w:rPr>
              <w:t>。</w:t>
            </w:r>
          </w:p>
        </w:tc>
      </w:tr>
      <w:tr w14:paraId="3EF0C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CB3F81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14:paraId="0FDDDD7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27" w:type="dxa"/>
            <w:vAlign w:val="center"/>
          </w:tcPr>
          <w:p w14:paraId="46A85738">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E763ADB">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B992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7CCB91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14:paraId="2A1CDD2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927" w:type="dxa"/>
            <w:vAlign w:val="center"/>
          </w:tcPr>
          <w:p w14:paraId="77BBD54D">
            <w:pPr>
              <w:spacing w:line="360" w:lineRule="auto"/>
              <w:rPr>
                <w:rFonts w:hint="eastAsia" w:ascii="宋体" w:hAnsi="宋体" w:eastAsia="宋体" w:cs="宋体"/>
                <w:color w:val="auto"/>
                <w:sz w:val="24"/>
                <w:highlight w:val="none"/>
              </w:rPr>
            </w:pPr>
            <w:sdt>
              <w:sdtPr>
                <w:rPr>
                  <w:rFonts w:hint="eastAsia" w:ascii="仿宋_GB2312" w:hAnsi="仿宋" w:eastAsia="仿宋_GB2312" w:cs="Arial"/>
                  <w:color w:val="auto"/>
                  <w:kern w:val="0"/>
                  <w:sz w:val="24"/>
                  <w:highlight w:val="none"/>
                </w:rPr>
                <w:id w:val="14745610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ascii="宋体" w:hAnsi="宋体" w:eastAsia="宋体" w:cs="宋体"/>
                  <w:color w:val="auto"/>
                  <w:kern w:val="0"/>
                  <w:sz w:val="24"/>
                  <w:highlight w:val="none"/>
                </w:rPr>
                <w:id w:val="147454359"/>
                <w:showingPlcHdr/>
              </w:sdtPr>
              <w:sdtEndPr>
                <w:rPr>
                  <w:rFonts w:hint="eastAsia" w:ascii="宋体" w:hAnsi="宋体" w:eastAsia="宋体" w:cs="宋体"/>
                  <w:color w:val="auto"/>
                  <w:kern w:val="0"/>
                  <w:sz w:val="24"/>
                  <w:highlight w:val="none"/>
                </w:rPr>
              </w:sdtEndP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cs="宋体"/>
                <w:color w:val="auto"/>
                <w:sz w:val="24"/>
                <w:highlight w:val="none"/>
                <w:u w:val="single"/>
                <w:lang w:val="en-US" w:eastAsia="zh-CN"/>
              </w:rPr>
              <w:t xml:space="preserve"> 施工劳务 </w:t>
            </w:r>
            <w:r>
              <w:rPr>
                <w:rFonts w:hint="eastAsia" w:ascii="宋体" w:hAnsi="宋体" w:eastAsia="宋体" w:cs="宋体"/>
                <w:color w:val="auto"/>
                <w:sz w:val="24"/>
                <w:highlight w:val="none"/>
              </w:rPr>
              <w:t>工作分包。</w:t>
            </w:r>
          </w:p>
          <w:p w14:paraId="6DDF226A">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7383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ascii="宋体" w:hAnsi="宋体" w:eastAsia="宋体" w:cs="宋体"/>
                      <w:color w:val="auto"/>
                      <w:kern w:val="0"/>
                      <w:sz w:val="24"/>
                      <w:highlight w:val="none"/>
                    </w:rPr>
                    <w:id w:val="147458228"/>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同意</w:t>
            </w:r>
            <w:r>
              <w:rPr>
                <w:rFonts w:hint="eastAsia" w:ascii="宋体" w:hAnsi="宋体" w:eastAsia="宋体" w:cs="宋体"/>
                <w:color w:val="auto"/>
                <w:sz w:val="24"/>
                <w:highlight w:val="none"/>
                <w:lang w:val="en-US" w:eastAsia="zh-CN"/>
              </w:rPr>
              <w:t>中型企业向小微企业、小微企业向小微企业合理分包</w:t>
            </w:r>
            <w:r>
              <w:rPr>
                <w:rFonts w:hint="eastAsia" w:ascii="宋体" w:hAnsi="宋体" w:eastAsia="宋体" w:cs="宋体"/>
                <w:color w:val="auto"/>
                <w:sz w:val="24"/>
                <w:highlight w:val="none"/>
              </w:rPr>
              <w:t>。</w:t>
            </w:r>
          </w:p>
          <w:p w14:paraId="0D4BB5A6">
            <w:pPr>
              <w:spacing w:line="360" w:lineRule="auto"/>
              <w:rPr>
                <w:rFonts w:ascii="宋体" w:hAnsi="宋体" w:cs="宋体"/>
                <w:color w:val="auto"/>
                <w:sz w:val="24"/>
                <w:highlight w:val="none"/>
              </w:rPr>
            </w:pPr>
            <w:sdt>
              <w:sdtPr>
                <w:rPr>
                  <w:rFonts w:hint="eastAsia" w:ascii="宋体" w:hAnsi="宋体" w:eastAsia="宋体" w:cs="宋体"/>
                  <w:color w:val="auto"/>
                  <w:kern w:val="0"/>
                  <w:sz w:val="24"/>
                  <w:highlight w:val="none"/>
                </w:rPr>
                <w:id w:val="-1276331357"/>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6410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sdt>
                  <w:sdtPr>
                    <w:rPr>
                      <w:rFonts w:hint="eastAsia" w:ascii="宋体" w:hAnsi="宋体" w:eastAsia="宋体" w:cs="宋体"/>
                      <w:color w:val="auto"/>
                      <w:kern w:val="0"/>
                      <w:sz w:val="24"/>
                      <w:highlight w:val="none"/>
                    </w:rPr>
                    <w:id w:val="147454209"/>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C</w:t>
            </w:r>
            <w:r>
              <w:rPr>
                <w:rFonts w:hint="eastAsia" w:ascii="宋体" w:hAnsi="宋体" w:eastAsia="宋体" w:cs="宋体"/>
                <w:color w:val="auto"/>
                <w:sz w:val="24"/>
                <w:highlight w:val="none"/>
              </w:rPr>
              <w:t>不同意分包。</w:t>
            </w:r>
          </w:p>
        </w:tc>
      </w:tr>
      <w:tr w14:paraId="1079F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54B557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14:paraId="4B041B1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927" w:type="dxa"/>
            <w:vAlign w:val="center"/>
          </w:tcPr>
          <w:p w14:paraId="5DA459F1">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7090F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19DB63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14:paraId="0387D2B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927" w:type="dxa"/>
            <w:vAlign w:val="center"/>
          </w:tcPr>
          <w:p w14:paraId="344C4A2F">
            <w:pPr>
              <w:spacing w:line="360" w:lineRule="auto"/>
              <w:rPr>
                <w:rFonts w:ascii="宋体" w:hAnsi="宋体" w:cs="宋体"/>
                <w:b/>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tc>
      </w:tr>
      <w:tr w14:paraId="1B56C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F1647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14:paraId="33E14E59">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27" w:type="dxa"/>
            <w:vAlign w:val="center"/>
          </w:tcPr>
          <w:p w14:paraId="2903D3F0">
            <w:pPr>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7FED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1D59CE1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14:paraId="523513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927" w:type="dxa"/>
            <w:vAlign w:val="center"/>
          </w:tcPr>
          <w:p w14:paraId="43218D8B">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310CA2D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14:paraId="438DA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69021FA1">
            <w:pPr>
              <w:snapToGrid w:val="0"/>
              <w:spacing w:line="360" w:lineRule="auto"/>
              <w:jc w:val="center"/>
              <w:rPr>
                <w:rFonts w:ascii="宋体" w:hAnsi="宋体" w:cs="宋体"/>
                <w:color w:val="auto"/>
                <w:sz w:val="24"/>
                <w:highlight w:val="none"/>
              </w:rPr>
            </w:pPr>
          </w:p>
        </w:tc>
        <w:tc>
          <w:tcPr>
            <w:tcW w:w="2093" w:type="dxa"/>
            <w:vMerge w:val="continue"/>
            <w:vAlign w:val="center"/>
          </w:tcPr>
          <w:p w14:paraId="08474655">
            <w:pPr>
              <w:snapToGrid w:val="0"/>
              <w:spacing w:line="360" w:lineRule="auto"/>
              <w:jc w:val="center"/>
              <w:rPr>
                <w:rFonts w:ascii="宋体" w:hAnsi="宋体" w:cs="宋体"/>
                <w:b/>
                <w:color w:val="auto"/>
                <w:sz w:val="24"/>
                <w:highlight w:val="none"/>
              </w:rPr>
            </w:pPr>
          </w:p>
        </w:tc>
        <w:tc>
          <w:tcPr>
            <w:tcW w:w="6927" w:type="dxa"/>
            <w:vAlign w:val="center"/>
          </w:tcPr>
          <w:p w14:paraId="195BA83A">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14:paraId="2C1AB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EB6022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14:paraId="2CC20B4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27" w:type="dxa"/>
            <w:vAlign w:val="center"/>
          </w:tcPr>
          <w:p w14:paraId="09A57085">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21A8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C79F01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14:paraId="55C68A5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927" w:type="dxa"/>
            <w:vAlign w:val="center"/>
          </w:tcPr>
          <w:p w14:paraId="494E0A2A">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14:paraId="1E426CA9">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779CAEFB">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14:paraId="51D471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最后报价超过采购文件中规定的预算金额或者最高限价的;</w:t>
            </w:r>
          </w:p>
          <w:p w14:paraId="29B0E34B">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284027E5">
            <w:pPr>
              <w:spacing w:line="360" w:lineRule="auto"/>
              <w:ind w:firstLine="241" w:firstLineChars="100"/>
              <w:rPr>
                <w:rFonts w:hint="eastAsia" w:ascii="宋体" w:hAnsi="宋体" w:eastAsia="宋体" w:cs="宋体"/>
                <w:b/>
                <w:color w:val="auto"/>
                <w:kern w:val="0"/>
                <w:sz w:val="24"/>
                <w:highlight w:val="none"/>
              </w:rPr>
            </w:pPr>
            <w:r>
              <w:rPr>
                <w:rFonts w:hint="eastAsia" w:ascii="宋体" w:hAnsi="宋体" w:cs="宋体"/>
                <w:b/>
                <w:color w:val="auto"/>
                <w:kern w:val="0"/>
                <w:sz w:val="24"/>
                <w:highlight w:val="none"/>
              </w:rPr>
              <w:t>供</w:t>
            </w:r>
            <w:r>
              <w:rPr>
                <w:rFonts w:hint="eastAsia" w:ascii="宋体" w:hAnsi="宋体" w:eastAsia="宋体" w:cs="宋体"/>
                <w:b/>
                <w:color w:val="auto"/>
                <w:kern w:val="0"/>
                <w:sz w:val="24"/>
                <w:highlight w:val="none"/>
              </w:rPr>
              <w:t>应商对根据修正原则修正后的报价不确认的。</w:t>
            </w:r>
          </w:p>
          <w:p w14:paraId="0E763D03">
            <w:pPr>
              <w:spacing w:line="360" w:lineRule="auto"/>
              <w:ind w:firstLine="241" w:firstLineChars="100"/>
              <w:rPr>
                <w:color w:val="auto"/>
                <w:highlight w:val="none"/>
              </w:rPr>
            </w:pPr>
            <w:r>
              <w:rPr>
                <w:rFonts w:hint="eastAsia" w:ascii="宋体" w:hAnsi="宋体" w:eastAsia="宋体" w:cs="宋体"/>
                <w:b/>
                <w:color w:val="auto"/>
                <w:kern w:val="0"/>
                <w:sz w:val="24"/>
                <w:highlight w:val="none"/>
                <w:lang w:val="en-US" w:eastAsia="zh-CN"/>
              </w:rPr>
              <w:t>供应商报价低于项目预算50%的，应当在报价文件中详细阐述不影响产品质量或者诚信履约的具体原因</w:t>
            </w:r>
            <w:r>
              <w:rPr>
                <w:rFonts w:hint="eastAsia" w:ascii="宋体" w:hAnsi="宋体" w:eastAsia="宋体" w:cs="宋体"/>
                <w:b/>
                <w:color w:val="auto"/>
                <w:kern w:val="0"/>
                <w:sz w:val="24"/>
                <w:highlight w:val="none"/>
                <w:lang w:eastAsia="zh-CN"/>
              </w:rPr>
              <w:t>。</w:t>
            </w:r>
          </w:p>
        </w:tc>
      </w:tr>
      <w:tr w14:paraId="25B6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7F6FADA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93" w:type="dxa"/>
            <w:vMerge w:val="restart"/>
            <w:vAlign w:val="center"/>
          </w:tcPr>
          <w:p w14:paraId="3C62641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27" w:type="dxa"/>
            <w:vAlign w:val="center"/>
          </w:tcPr>
          <w:p w14:paraId="2D7B32CB">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14:paraId="249D0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7B82C749">
            <w:pPr>
              <w:spacing w:line="360" w:lineRule="auto"/>
              <w:ind w:firstLine="420" w:firstLineChars="200"/>
              <w:jc w:val="center"/>
              <w:rPr>
                <w:rFonts w:ascii="宋体" w:hAnsi="宋体" w:cs="宋体"/>
                <w:color w:val="auto"/>
                <w:highlight w:val="none"/>
              </w:rPr>
            </w:pPr>
          </w:p>
        </w:tc>
        <w:tc>
          <w:tcPr>
            <w:tcW w:w="2093" w:type="dxa"/>
            <w:vMerge w:val="continue"/>
            <w:vAlign w:val="center"/>
          </w:tcPr>
          <w:p w14:paraId="49BBEC12">
            <w:pPr>
              <w:snapToGrid w:val="0"/>
              <w:spacing w:line="360" w:lineRule="auto"/>
              <w:jc w:val="center"/>
              <w:rPr>
                <w:rFonts w:ascii="宋体" w:hAnsi="宋体" w:cs="宋体"/>
                <w:color w:val="auto"/>
                <w:highlight w:val="none"/>
              </w:rPr>
            </w:pPr>
          </w:p>
        </w:tc>
        <w:tc>
          <w:tcPr>
            <w:tcW w:w="6927" w:type="dxa"/>
            <w:vAlign w:val="center"/>
          </w:tcPr>
          <w:p w14:paraId="605045FC">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CD1E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082BEF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14:paraId="004FB95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927" w:type="dxa"/>
            <w:vAlign w:val="center"/>
          </w:tcPr>
          <w:p w14:paraId="4691E8D8">
            <w:pPr>
              <w:pStyle w:val="35"/>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备份响应文件送达地点：</w:t>
            </w:r>
            <w:r>
              <w:rPr>
                <w:rFonts w:hint="eastAsia" w:hAnsi="宋体" w:cs="宋体"/>
                <w:color w:val="auto"/>
                <w:sz w:val="24"/>
                <w:highlight w:val="none"/>
                <w:u w:val="single"/>
              </w:rPr>
              <w:t xml:space="preserve"> </w:t>
            </w:r>
            <w:r>
              <w:rPr>
                <w:rFonts w:hint="eastAsia" w:hAnsi="宋体" w:cs="宋体"/>
                <w:color w:val="auto"/>
                <w:kern w:val="28"/>
                <w:sz w:val="24"/>
                <w:szCs w:val="24"/>
                <w:highlight w:val="none"/>
                <w:u w:val="single"/>
              </w:rPr>
              <w:t>杭州市拱墅区绍兴路538号三立时代广场A座1206室</w:t>
            </w:r>
            <w:r>
              <w:rPr>
                <w:rFonts w:hint="eastAsia" w:hAnsi="宋体" w:cs="宋体"/>
                <w:color w:val="auto"/>
                <w:kern w:val="28"/>
                <w:sz w:val="24"/>
                <w:szCs w:val="24"/>
                <w:highlight w:val="none"/>
              </w:rPr>
              <w:t>；备份响应文件签收人员联系电话：</w:t>
            </w:r>
            <w:r>
              <w:rPr>
                <w:rFonts w:hint="eastAsia" w:hAnsi="宋体" w:cs="宋体"/>
                <w:color w:val="auto"/>
                <w:kern w:val="28"/>
                <w:sz w:val="24"/>
                <w:szCs w:val="24"/>
                <w:highlight w:val="none"/>
                <w:u w:val="single"/>
                <w:lang w:val="en-US" w:eastAsia="zh-CN"/>
              </w:rPr>
              <w:t>伍红仙 13357106093</w:t>
            </w:r>
            <w:r>
              <w:rPr>
                <w:rFonts w:hint="eastAsia" w:hAnsi="宋体" w:cs="宋体"/>
                <w:color w:val="auto"/>
                <w:sz w:val="24"/>
                <w:szCs w:val="24"/>
                <w:highlight w:val="none"/>
              </w:rPr>
              <w:t>。</w:t>
            </w:r>
          </w:p>
          <w:p w14:paraId="3BA4B809">
            <w:pPr>
              <w:pStyle w:val="35"/>
              <w:spacing w:line="360" w:lineRule="auto"/>
              <w:rPr>
                <w:rFonts w:hAnsi="宋体" w:cs="宋体"/>
                <w:color w:val="auto"/>
                <w:kern w:val="28"/>
                <w:sz w:val="24"/>
                <w:highlight w:val="none"/>
              </w:rPr>
            </w:pPr>
            <w:r>
              <w:rPr>
                <w:rFonts w:hint="eastAsia" w:hAnsi="宋体" w:cs="宋体"/>
                <w:b/>
                <w:color w:val="auto"/>
                <w:sz w:val="24"/>
                <w:szCs w:val="24"/>
                <w:highlight w:val="none"/>
              </w:rPr>
              <w:t>采购人、采购机构不强制或变相强制供应商提交备份响应文件。</w:t>
            </w:r>
          </w:p>
        </w:tc>
      </w:tr>
      <w:tr w14:paraId="1236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61A3A8A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093" w:type="dxa"/>
            <w:vMerge w:val="restart"/>
            <w:vAlign w:val="center"/>
          </w:tcPr>
          <w:p w14:paraId="57BF20E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927" w:type="dxa"/>
            <w:vAlign w:val="center"/>
          </w:tcPr>
          <w:p w14:paraId="11D345C6">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sym w:font="Wingdings 2" w:char="00A3"/>
            </w:r>
            <w:r>
              <w:rPr>
                <w:rFonts w:hint="eastAsia" w:ascii="宋体" w:hAnsi="宋体" w:eastAsia="宋体" w:cs="宋体"/>
                <w:snapToGrid w:val="0"/>
                <w:color w:val="auto"/>
                <w:kern w:val="28"/>
                <w:sz w:val="24"/>
                <w:szCs w:val="24"/>
                <w:highlight w:val="none"/>
              </w:rPr>
              <w:t>联合体投标的，联合体各方分别提供与联合体协议中规定的分工内容相应的业绩证明材料，业绩数量以提供材料较少的一方为准。</w:t>
            </w:r>
          </w:p>
          <w:p w14:paraId="10DB8B18">
            <w:pPr>
              <w:spacing w:line="360" w:lineRule="auto"/>
              <w:rPr>
                <w:rFonts w:ascii="宋体" w:hAnsi="宋体" w:cs="宋体"/>
                <w:snapToGrid w:val="0"/>
                <w:color w:val="auto"/>
                <w:kern w:val="28"/>
                <w:sz w:val="24"/>
                <w:highlight w:val="none"/>
              </w:rPr>
            </w:pPr>
            <w:r>
              <w:rPr>
                <w:rFonts w:hint="eastAsia" w:ascii="宋体" w:hAnsi="宋体" w:eastAsia="宋体" w:cs="宋体"/>
                <w:snapToGrid w:val="0"/>
                <w:color w:val="auto"/>
                <w:kern w:val="28"/>
                <w:sz w:val="24"/>
                <w:szCs w:val="24"/>
                <w:highlight w:val="none"/>
              </w:rPr>
              <w:sym w:font="Wingdings 2" w:char="0052"/>
            </w:r>
            <w:r>
              <w:rPr>
                <w:rFonts w:hint="eastAsia" w:ascii="宋体" w:hAnsi="宋体" w:eastAsia="宋体" w:cs="宋体"/>
                <w:snapToGrid w:val="0"/>
                <w:color w:val="auto"/>
                <w:kern w:val="28"/>
                <w:sz w:val="24"/>
                <w:szCs w:val="24"/>
                <w:highlight w:val="none"/>
              </w:rPr>
              <w:t>联合体投标的，由联合体牵头方出具相应的业绩证明</w:t>
            </w:r>
            <w:r>
              <w:rPr>
                <w:rFonts w:hint="eastAsia" w:ascii="宋体" w:hAnsi="宋体" w:cs="宋体"/>
                <w:snapToGrid w:val="0"/>
                <w:color w:val="auto"/>
                <w:kern w:val="28"/>
                <w:sz w:val="24"/>
                <w:szCs w:val="24"/>
                <w:highlight w:val="none"/>
                <w:lang w:eastAsia="zh-CN"/>
              </w:rPr>
              <w:t>材料。</w:t>
            </w:r>
          </w:p>
        </w:tc>
      </w:tr>
      <w:tr w14:paraId="10C5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561299EC">
            <w:pPr>
              <w:snapToGrid w:val="0"/>
              <w:spacing w:line="360" w:lineRule="auto"/>
              <w:jc w:val="center"/>
              <w:rPr>
                <w:rFonts w:hint="eastAsia" w:ascii="宋体" w:hAnsi="宋体" w:cs="宋体"/>
                <w:color w:val="auto"/>
                <w:sz w:val="24"/>
                <w:highlight w:val="none"/>
              </w:rPr>
            </w:pPr>
          </w:p>
        </w:tc>
        <w:tc>
          <w:tcPr>
            <w:tcW w:w="2093" w:type="dxa"/>
            <w:vMerge w:val="continue"/>
            <w:vAlign w:val="center"/>
          </w:tcPr>
          <w:p w14:paraId="573E429F">
            <w:pPr>
              <w:snapToGrid w:val="0"/>
              <w:spacing w:line="360" w:lineRule="auto"/>
              <w:jc w:val="center"/>
              <w:rPr>
                <w:rFonts w:hint="eastAsia" w:ascii="宋体" w:hAnsi="宋体" w:cs="宋体"/>
                <w:b/>
                <w:color w:val="auto"/>
                <w:sz w:val="24"/>
                <w:highlight w:val="none"/>
              </w:rPr>
            </w:pPr>
          </w:p>
        </w:tc>
        <w:tc>
          <w:tcPr>
            <w:tcW w:w="6927" w:type="dxa"/>
            <w:vAlign w:val="center"/>
          </w:tcPr>
          <w:p w14:paraId="257E1D79">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369766551"/>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t>☐</w:t>
                </w:r>
              </w:sdtContent>
            </w:sdt>
            <w:r>
              <w:rPr>
                <w:rFonts w:hint="eastAsia" w:ascii="宋体" w:hAnsi="宋体" w:eastAsia="宋体" w:cs="宋体"/>
                <w:color w:val="auto"/>
                <w:sz w:val="24"/>
                <w:szCs w:val="24"/>
                <w:highlight w:val="none"/>
              </w:rPr>
              <w:t>联合体投标的，联合体各方均需按招标文件第四部分评标标准要求提供资信证明文件，否则视为不符合相关要求。</w:t>
            </w:r>
          </w:p>
          <w:p w14:paraId="5CCE83C8">
            <w:pPr>
              <w:spacing w:line="360" w:lineRule="auto"/>
              <w:rPr>
                <w:rFonts w:hint="eastAsia" w:ascii="宋体" w:hAnsi="宋体" w:eastAsia="宋体" w:cs="宋体"/>
                <w:color w:val="auto"/>
                <w:sz w:val="24"/>
                <w:szCs w:val="24"/>
                <w:highlight w:val="none"/>
                <w:lang w:eastAsia="zh-CN"/>
              </w:rPr>
            </w:pPr>
            <w:sdt>
              <w:sdtPr>
                <w:rPr>
                  <w:rFonts w:hint="eastAsia" w:ascii="宋体" w:hAnsi="宋体" w:eastAsia="宋体" w:cs="宋体"/>
                  <w:color w:val="auto"/>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sym w:font="Wingdings" w:char="F0FE"/>
                </w:r>
              </w:sdtContent>
            </w:sdt>
            <w:r>
              <w:rPr>
                <w:rFonts w:hint="eastAsia" w:ascii="宋体" w:hAnsi="宋体" w:eastAsia="宋体" w:cs="宋体"/>
                <w:color w:val="auto"/>
                <w:sz w:val="24"/>
                <w:szCs w:val="24"/>
                <w:highlight w:val="none"/>
              </w:rPr>
              <w:t>联合体投标的，联合体中有一方或者联合体成员根据分工按招标文件第四部分评标标准要求提供资信证明文件的，视为符合了相关要求。</w:t>
            </w:r>
          </w:p>
          <w:p w14:paraId="72D1FA5A">
            <w:pPr>
              <w:spacing w:line="360" w:lineRule="auto"/>
              <w:rPr>
                <w:rFonts w:hint="eastAsia" w:ascii="宋体" w:hAnsi="宋体" w:eastAsia="宋体" w:cs="宋体"/>
                <w:snapToGrid w:val="0"/>
                <w:color w:val="auto"/>
                <w:kern w:val="28"/>
                <w:sz w:val="24"/>
                <w:szCs w:val="24"/>
                <w:highlight w:val="none"/>
              </w:rPr>
            </w:pPr>
            <w:r>
              <w:rPr>
                <w:rFonts w:hint="eastAsia" w:ascii="宋体" w:hAnsi="宋体" w:eastAsia="宋体" w:cs="宋体"/>
                <w:color w:val="auto"/>
                <w:kern w:val="0"/>
                <w:sz w:val="24"/>
                <w:szCs w:val="24"/>
                <w:highlight w:val="none"/>
              </w:rPr>
              <w:t>评审因素对应的要求视为采购需求的一部分。</w:t>
            </w:r>
          </w:p>
        </w:tc>
      </w:tr>
      <w:tr w14:paraId="6FFAA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2A13CD6">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2093" w:type="dxa"/>
            <w:vAlign w:val="center"/>
          </w:tcPr>
          <w:p w14:paraId="1F63466C">
            <w:pPr>
              <w:spacing w:line="360" w:lineRule="auto"/>
              <w:jc w:val="center"/>
              <w:rPr>
                <w:rFonts w:hint="eastAsia" w:ascii="宋体" w:hAnsi="宋体" w:cs="宋体"/>
                <w:b/>
                <w:color w:val="auto"/>
                <w:sz w:val="24"/>
                <w:highlight w:val="none"/>
              </w:rPr>
            </w:pPr>
            <w:r>
              <w:rPr>
                <w:rFonts w:hint="eastAsia" w:ascii="宋体" w:hAnsi="宋体" w:cs="宋体"/>
                <w:snapToGrid w:val="0"/>
                <w:color w:val="auto"/>
                <w:kern w:val="28"/>
                <w:sz w:val="24"/>
                <w:highlight w:val="none"/>
              </w:rPr>
              <w:t>采购代理服务费</w:t>
            </w:r>
          </w:p>
        </w:tc>
        <w:tc>
          <w:tcPr>
            <w:tcW w:w="6927" w:type="dxa"/>
            <w:vAlign w:val="center"/>
          </w:tcPr>
          <w:p w14:paraId="78C0E68F">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本项目的采购代理服务费由中标供应商支付。</w:t>
            </w:r>
          </w:p>
          <w:p w14:paraId="4A86F3BD">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1、代理服务费收费：依据2002【1980】号文</w:t>
            </w:r>
            <w:r>
              <w:rPr>
                <w:rFonts w:hint="eastAsia" w:ascii="宋体" w:hAnsi="宋体" w:cs="宋体"/>
                <w:snapToGrid w:val="0"/>
                <w:color w:val="auto"/>
                <w:kern w:val="28"/>
                <w:sz w:val="24"/>
                <w:highlight w:val="none"/>
                <w:lang w:val="en-US" w:eastAsia="zh-CN"/>
              </w:rPr>
              <w:t>工程类标准计算</w:t>
            </w:r>
            <w:r>
              <w:rPr>
                <w:rFonts w:hint="eastAsia" w:ascii="宋体" w:hAnsi="宋体" w:cs="宋体"/>
                <w:snapToGrid w:val="0"/>
                <w:color w:val="auto"/>
                <w:kern w:val="28"/>
                <w:sz w:val="24"/>
                <w:highlight w:val="none"/>
              </w:rPr>
              <w:t>。</w:t>
            </w:r>
          </w:p>
          <w:p w14:paraId="419F0448">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2、结算方式及时间为：在领取中标通知书时由中标供应商一次性向采购代理机构付清。中标结果公告发出后，中标供应商可按中标结果公告上的服务费金额缴纳至如下账号：</w:t>
            </w:r>
          </w:p>
          <w:p w14:paraId="7571E7C1">
            <w:pPr>
              <w:spacing w:line="360" w:lineRule="auto"/>
              <w:ind w:firstLine="480" w:firstLineChars="200"/>
              <w:rPr>
                <w:rFonts w:hint="eastAsia" w:ascii="宋体" w:hAnsi="宋体" w:eastAsia="宋体" w:cs="宋体"/>
                <w:snapToGrid w:val="0"/>
                <w:color w:val="auto"/>
                <w:kern w:val="28"/>
                <w:sz w:val="24"/>
                <w:highlight w:val="none"/>
                <w:lang w:eastAsia="zh-CN"/>
              </w:rPr>
            </w:pPr>
            <w:r>
              <w:rPr>
                <w:rFonts w:hint="eastAsia" w:ascii="宋体" w:hAnsi="宋体" w:cs="宋体"/>
                <w:snapToGrid w:val="0"/>
                <w:color w:val="auto"/>
                <w:kern w:val="28"/>
                <w:sz w:val="24"/>
                <w:highlight w:val="none"/>
              </w:rPr>
              <w:t>（1）收 款 人：</w:t>
            </w:r>
            <w:r>
              <w:rPr>
                <w:rFonts w:hint="eastAsia" w:ascii="宋体" w:hAnsi="宋体" w:cs="宋体"/>
                <w:snapToGrid w:val="0"/>
                <w:color w:val="auto"/>
                <w:kern w:val="28"/>
                <w:sz w:val="24"/>
                <w:highlight w:val="none"/>
                <w:lang w:eastAsia="zh-CN"/>
              </w:rPr>
              <w:t>浙江省房地产管理咨询有限公司</w:t>
            </w:r>
          </w:p>
          <w:p w14:paraId="7CB92B26">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（2）开户银行：</w:t>
            </w:r>
            <w:r>
              <w:rPr>
                <w:rFonts w:hint="eastAsia" w:ascii="宋体" w:hAnsi="宋体" w:eastAsia="宋体" w:cs="宋体"/>
                <w:snapToGrid w:val="0"/>
                <w:color w:val="auto"/>
                <w:kern w:val="28"/>
                <w:sz w:val="24"/>
                <w:highlight w:val="none"/>
              </w:rPr>
              <w:t>杭州银行保俶支行</w:t>
            </w:r>
          </w:p>
          <w:p w14:paraId="3406EB8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snapToGrid w:val="0"/>
                <w:color w:val="auto"/>
                <w:kern w:val="28"/>
                <w:sz w:val="24"/>
                <w:highlight w:val="none"/>
              </w:rPr>
              <w:t>（3）账    号：</w:t>
            </w:r>
            <w:r>
              <w:rPr>
                <w:rFonts w:hint="eastAsia" w:ascii="宋体" w:hAnsi="宋体" w:eastAsia="宋体" w:cs="宋体"/>
                <w:snapToGrid w:val="0"/>
                <w:color w:val="auto"/>
                <w:kern w:val="28"/>
                <w:sz w:val="24"/>
                <w:highlight w:val="none"/>
              </w:rPr>
              <w:t>7750 8100 1506 02</w:t>
            </w:r>
          </w:p>
        </w:tc>
      </w:tr>
    </w:tbl>
    <w:p w14:paraId="431B9E8F">
      <w:pPr>
        <w:snapToGrid w:val="0"/>
        <w:spacing w:line="360" w:lineRule="auto"/>
        <w:jc w:val="center"/>
        <w:rPr>
          <w:rFonts w:ascii="宋体" w:hAnsi="宋体" w:cs="宋体"/>
          <w:b/>
          <w:color w:val="auto"/>
          <w:sz w:val="32"/>
          <w:szCs w:val="20"/>
          <w:highlight w:val="none"/>
        </w:rPr>
      </w:pPr>
    </w:p>
    <w:bookmarkEnd w:id="10"/>
    <w:p w14:paraId="2190684A">
      <w:pPr>
        <w:widowControl/>
        <w:adjustRightInd/>
        <w:snapToGrid/>
        <w:spacing w:line="240" w:lineRule="auto"/>
        <w:jc w:val="left"/>
        <w:outlineLvl w:val="9"/>
        <w:rPr>
          <w:rFonts w:ascii="宋体" w:hAnsi="宋体" w:cs="宋体"/>
          <w:b/>
          <w:color w:val="auto"/>
          <w:sz w:val="32"/>
          <w:szCs w:val="20"/>
          <w:highlight w:val="none"/>
        </w:rPr>
      </w:pPr>
      <w:bookmarkStart w:id="13" w:name="_Toc164416483"/>
      <w:bookmarkStart w:id="14" w:name="第三部分"/>
      <w:r>
        <w:rPr>
          <w:rFonts w:hint="eastAsia" w:ascii="宋体" w:hAnsi="宋体" w:cs="宋体"/>
          <w:b/>
          <w:color w:val="auto"/>
          <w:sz w:val="32"/>
          <w:szCs w:val="20"/>
          <w:highlight w:val="none"/>
        </w:rPr>
        <w:br w:type="page"/>
      </w:r>
    </w:p>
    <w:p w14:paraId="7963A53A">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2DE16AA3">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B1F738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7F2261E8">
      <w:pPr>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2.定义</w:t>
      </w:r>
    </w:p>
    <w:p w14:paraId="79AC0C9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1FE04C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“采购机构”系指竞争性磋商公告中载明的本项目的采购机构。</w:t>
      </w:r>
    </w:p>
    <w:p w14:paraId="3173B20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14:paraId="544AF1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1225CD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6D0B4A9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68A67D4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14:paraId="56AE260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039815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82FE5E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6455C7A2">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40FA0F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纳入政府采购管理的修缮、装修类项目采购建材的，采购人应将绿色建筑和绿色建材性能、指标等作为实质性条件纳入采购文件和合同。</w:t>
      </w:r>
    </w:p>
    <w:p w14:paraId="1B4AD6E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E4E354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0F35B29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35B55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C0ED19E">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1745F019">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232671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38D7DB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A9A2E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C17ACA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0DD5E0E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9CF00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36122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412A0D5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044C6113">
      <w:pPr>
        <w:pStyle w:val="6"/>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20792B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中小企业信用融资：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p w14:paraId="0C70DEA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3.6平等对待内外资企业和符合条件的破产重整企业：</w:t>
      </w:r>
    </w:p>
    <w:p w14:paraId="1344FDE7">
      <w:pPr>
        <w:snapToGrid w:val="0"/>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询问、质疑、投诉、补偿救济</w:t>
      </w:r>
    </w:p>
    <w:p w14:paraId="3D75D0E1">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4.1供应商询问</w:t>
      </w:r>
    </w:p>
    <w:p w14:paraId="3A5B1A1B">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CB11EFC">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4.2供应商质疑</w:t>
      </w:r>
    </w:p>
    <w:p w14:paraId="6203ED29">
      <w:pPr>
        <w:pStyle w:val="35"/>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55A003EC">
      <w:pPr>
        <w:pStyle w:val="35"/>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67559FAC">
      <w:pPr>
        <w:pStyle w:val="18"/>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4.2.2.1对采购文件提出质疑的，质疑期限为供应商获得采购文件之日或者采购文件公告期限届满之日起计算。</w:t>
      </w:r>
    </w:p>
    <w:p w14:paraId="38179DE4">
      <w:pPr>
        <w:pStyle w:val="35"/>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4.2.2.2对采购过程提出质疑的，质疑期限为各采购程序环节结束之日起计算。</w:t>
      </w:r>
    </w:p>
    <w:p w14:paraId="2E235983">
      <w:pPr>
        <w:pStyle w:val="35"/>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4.2.2.3对采购结果提出质疑的，质疑期限自采购结果公告期限届满之日起计算。</w:t>
      </w:r>
    </w:p>
    <w:p w14:paraId="281F2D9C">
      <w:pPr>
        <w:pStyle w:val="35"/>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4.2.3</w:t>
      </w:r>
      <w:r>
        <w:rPr>
          <w:rFonts w:hint="eastAsia" w:hAnsi="宋体" w:cs="宋体"/>
          <w:color w:val="auto"/>
          <w:sz w:val="24"/>
          <w:highlight w:val="none"/>
        </w:rPr>
        <w:t>供应商提出质疑应当提交质疑函和必要的证明材料。质疑函应当包括下列内容：</w:t>
      </w:r>
    </w:p>
    <w:p w14:paraId="0F049E08">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4.2.3.1供应商的姓名或者名称、地址、邮编、联系人及联系电话；</w:t>
      </w:r>
    </w:p>
    <w:p w14:paraId="5E53B315">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4.2.3.2质疑项目的名称、编号；</w:t>
      </w:r>
    </w:p>
    <w:p w14:paraId="3FD3F6CA">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4.2.3.3具体、明确的质疑事项和与质疑事项相关的请求；</w:t>
      </w:r>
    </w:p>
    <w:p w14:paraId="7FCB0EFF">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4.2.3.4事实依据；</w:t>
      </w:r>
    </w:p>
    <w:p w14:paraId="0B2A640E">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4.2.3.5必要的法律依据；</w:t>
      </w:r>
    </w:p>
    <w:p w14:paraId="0E3A710A">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4.2.3.6提出质疑的日期。</w:t>
      </w:r>
    </w:p>
    <w:p w14:paraId="4057DA53">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4695566">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2081612C">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4.2.4对同一采购程序环节的质疑，供应商须在法定质疑期内一次性提出。</w:t>
      </w:r>
    </w:p>
    <w:p w14:paraId="23DBDB8B">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4.2</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51CF0EF6">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4.2</w:t>
      </w:r>
      <w:r>
        <w:rPr>
          <w:rFonts w:hint="eastAsia"/>
          <w:color w:val="auto"/>
          <w:highlight w:val="none"/>
        </w:rPr>
        <w:t>.6询问或者质疑事项可能影响采购结果的，采购人应当暂停签订合同，已经签订合同的，应当中止履行合同。</w:t>
      </w:r>
    </w:p>
    <w:p w14:paraId="6AE98F07">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4.3供应商投诉</w:t>
      </w:r>
    </w:p>
    <w:p w14:paraId="358FECF0">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4.3.1质疑供应商对采购人、采购机构的答复不满意或者采购人、采购机构未在规定的时间内作出答复的，可以在答复期满后十五个工作日内向同级政府采购监督管理部门提出投诉。</w:t>
      </w:r>
    </w:p>
    <w:p w14:paraId="506BD58D">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539DE319">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4.3.3供应商投诉应当有明确的请求和必要的证明材料。</w:t>
      </w:r>
    </w:p>
    <w:p w14:paraId="61FE711C">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4.3.5 以联合体形式参加政府采购活动的，其投诉应当由组成联合体的所有供应商共同提出。</w:t>
      </w:r>
    </w:p>
    <w:p w14:paraId="036FDEF7">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14:paraId="3F96DB9D">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4.4在线质疑、投诉。</w:t>
      </w:r>
    </w:p>
    <w:p w14:paraId="73A20C3A">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40BA05">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4C4F8B77">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6475285B">
      <w:pPr>
        <w:pStyle w:val="132"/>
        <w:snapToGrid w:val="0"/>
        <w:spacing w:before="0"/>
        <w:ind w:firstLine="360"/>
        <w:rPr>
          <w:rFonts w:ascii="宋体" w:hAnsi="宋体" w:cs="宋体"/>
          <w:color w:val="auto"/>
          <w:sz w:val="18"/>
          <w:szCs w:val="18"/>
          <w:highlight w:val="none"/>
        </w:rPr>
      </w:pPr>
    </w:p>
    <w:p w14:paraId="61CC1418">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7AD515E5">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14:paraId="75F267C3">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14:paraId="168A8F16">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14:paraId="75EA0291">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635EC476">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BFB790D">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3B4F400E">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0914A71">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855DD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367317CC">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14:paraId="2CBC2593">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6.1已获取采购文件的潜在供应商，若有问题需要澄清，应于响应文件提交（上传）截止时间前，以书面形式向采购机构提出。</w:t>
      </w:r>
    </w:p>
    <w:p w14:paraId="1D3C45AA">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6.2 采购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777460DA">
      <w:pPr>
        <w:pStyle w:val="2"/>
        <w:rPr>
          <w:rFonts w:hAnsi="宋体" w:cs="宋体"/>
          <w:color w:val="auto"/>
          <w:sz w:val="18"/>
          <w:szCs w:val="18"/>
          <w:highlight w:val="none"/>
          <w:lang w:val="en-US"/>
        </w:rPr>
      </w:pPr>
    </w:p>
    <w:p w14:paraId="469C6285">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14:paraId="59CBC460">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14:paraId="216CE3E5">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769114E8">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14:paraId="0B57305D">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05A83792">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14:paraId="6E5F96DA">
      <w:pPr>
        <w:pStyle w:val="18"/>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14:paraId="770DE516">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3869B68C">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1DEAD49F">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072CBE0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8D0B90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B10A06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Start w:id="17" w:name="_Hlk101257010"/>
      <w:r>
        <w:rPr>
          <w:rFonts w:hint="eastAsia" w:ascii="宋体" w:hAnsi="宋体" w:cs="宋体"/>
          <w:snapToGrid w:val="0"/>
          <w:color w:val="auto"/>
          <w:kern w:val="28"/>
          <w:sz w:val="24"/>
          <w:szCs w:val="20"/>
          <w:highlight w:val="none"/>
        </w:rPr>
        <w:t>（如果有)</w:t>
      </w:r>
      <w:bookmarkEnd w:id="16"/>
      <w:bookmarkEnd w:id="17"/>
      <w:r>
        <w:rPr>
          <w:rFonts w:hint="eastAsia" w:ascii="宋体" w:hAnsi="宋体" w:cs="宋体"/>
          <w:snapToGrid w:val="0"/>
          <w:color w:val="auto"/>
          <w:kern w:val="28"/>
          <w:sz w:val="24"/>
          <w:szCs w:val="20"/>
          <w:highlight w:val="none"/>
        </w:rPr>
        <w:t>；</w:t>
      </w:r>
    </w:p>
    <w:p w14:paraId="6A9E5E2F">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p>
    <w:p w14:paraId="72903956">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p>
    <w:p w14:paraId="624AC07B">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5项目经理无在建工程声明</w:t>
      </w:r>
      <w:r>
        <w:rPr>
          <w:rFonts w:hint="eastAsia" w:ascii="宋体" w:hAnsi="宋体" w:cs="宋体"/>
          <w:color w:val="auto"/>
          <w:sz w:val="24"/>
          <w:highlight w:val="none"/>
        </w:rPr>
        <w:t>。</w:t>
      </w:r>
    </w:p>
    <w:tbl>
      <w:tblPr>
        <w:tblStyle w:val="62"/>
        <w:tblW w:w="9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4838"/>
        <w:gridCol w:w="4176"/>
      </w:tblGrid>
      <w:tr w14:paraId="4FFA9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14:paraId="54EF4EBC">
            <w:pPr>
              <w:adjustRightInd w:val="0"/>
              <w:snapToGrid w:val="0"/>
              <w:spacing w:line="30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序号</w:t>
            </w:r>
          </w:p>
        </w:tc>
        <w:tc>
          <w:tcPr>
            <w:tcW w:w="4838" w:type="dxa"/>
            <w:tcBorders>
              <w:top w:val="single" w:color="auto" w:sz="4" w:space="0"/>
              <w:left w:val="single" w:color="auto" w:sz="4" w:space="0"/>
              <w:bottom w:val="single" w:color="auto" w:sz="4" w:space="0"/>
              <w:right w:val="single" w:color="auto" w:sz="4" w:space="0"/>
            </w:tcBorders>
            <w:vAlign w:val="center"/>
          </w:tcPr>
          <w:p w14:paraId="3D8C6B6D">
            <w:pPr>
              <w:adjustRightInd w:val="0"/>
              <w:snapToGrid w:val="0"/>
              <w:spacing w:line="30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资格条件</w:t>
            </w:r>
          </w:p>
        </w:tc>
        <w:tc>
          <w:tcPr>
            <w:tcW w:w="4176" w:type="dxa"/>
            <w:tcBorders>
              <w:top w:val="single" w:color="auto" w:sz="4" w:space="0"/>
              <w:left w:val="single" w:color="auto" w:sz="4" w:space="0"/>
              <w:bottom w:val="single" w:color="auto" w:sz="4" w:space="0"/>
              <w:right w:val="single" w:color="auto" w:sz="4" w:space="0"/>
            </w:tcBorders>
            <w:vAlign w:val="center"/>
          </w:tcPr>
          <w:p w14:paraId="37EE39B3">
            <w:pPr>
              <w:adjustRightInd w:val="0"/>
              <w:snapToGrid w:val="0"/>
              <w:spacing w:line="30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应提供的资格审查资料</w:t>
            </w:r>
          </w:p>
        </w:tc>
      </w:tr>
      <w:tr w14:paraId="6275B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14:paraId="09615FB6">
            <w:pPr>
              <w:adjustRightInd w:val="0"/>
              <w:snapToGrid w:val="0"/>
              <w:spacing w:line="300" w:lineRule="auto"/>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11.1.1</w:t>
            </w:r>
          </w:p>
        </w:tc>
        <w:tc>
          <w:tcPr>
            <w:tcW w:w="4838" w:type="dxa"/>
            <w:tcBorders>
              <w:top w:val="single" w:color="auto" w:sz="4" w:space="0"/>
              <w:left w:val="single" w:color="auto" w:sz="4" w:space="0"/>
              <w:bottom w:val="single" w:color="auto" w:sz="4" w:space="0"/>
              <w:right w:val="single" w:color="auto" w:sz="4" w:space="0"/>
            </w:tcBorders>
            <w:vAlign w:val="center"/>
          </w:tcPr>
          <w:p w14:paraId="2C9F708A">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符合参加政府采购活动应当具备的一般条件的承诺函；</w:t>
            </w:r>
          </w:p>
        </w:tc>
        <w:tc>
          <w:tcPr>
            <w:tcW w:w="4176" w:type="dxa"/>
            <w:tcBorders>
              <w:top w:val="single" w:color="auto" w:sz="4" w:space="0"/>
              <w:left w:val="single" w:color="auto" w:sz="4" w:space="0"/>
              <w:bottom w:val="single" w:color="auto" w:sz="4" w:space="0"/>
              <w:right w:val="single" w:color="auto" w:sz="4" w:space="0"/>
            </w:tcBorders>
            <w:vAlign w:val="center"/>
          </w:tcPr>
          <w:p w14:paraId="336AF0EC">
            <w:pPr>
              <w:adjustRightInd w:val="0"/>
              <w:snapToGrid w:val="0"/>
              <w:spacing w:line="30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提供《</w:t>
            </w:r>
            <w:r>
              <w:rPr>
                <w:rFonts w:hint="eastAsia" w:ascii="宋体" w:hAnsi="宋体" w:eastAsia="宋体" w:cs="宋体"/>
                <w:color w:val="auto"/>
                <w:kern w:val="0"/>
                <w:sz w:val="24"/>
                <w:szCs w:val="24"/>
                <w:highlight w:val="none"/>
                <w:lang w:val="zh-CN"/>
              </w:rPr>
              <w:t>符合参加政府采购活动应当具备的一般条件的承诺函</w:t>
            </w:r>
            <w:r>
              <w:rPr>
                <w:rFonts w:hint="eastAsia" w:ascii="宋体" w:hAnsi="宋体" w:eastAsia="宋体" w:cs="宋体"/>
                <w:color w:val="auto"/>
                <w:kern w:val="0"/>
                <w:sz w:val="24"/>
                <w:szCs w:val="24"/>
                <w:highlight w:val="none"/>
                <w:lang w:val="en-US" w:eastAsia="zh-CN"/>
              </w:rPr>
              <w:t>》，格式以第六部分 应提交的有关格式范例为准</w:t>
            </w:r>
          </w:p>
        </w:tc>
      </w:tr>
      <w:tr w14:paraId="6DAED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936" w:type="dxa"/>
            <w:tcBorders>
              <w:top w:val="single" w:color="auto" w:sz="4" w:space="0"/>
              <w:left w:val="single" w:color="auto" w:sz="4" w:space="0"/>
              <w:bottom w:val="single" w:color="auto" w:sz="4" w:space="0"/>
              <w:right w:val="single" w:color="auto" w:sz="4" w:space="0"/>
            </w:tcBorders>
            <w:vAlign w:val="center"/>
          </w:tcPr>
          <w:p w14:paraId="6FEEE262">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1</w:t>
            </w:r>
            <w:r>
              <w:rPr>
                <w:rFonts w:ascii="宋体" w:hAnsi="宋体" w:cs="宋体"/>
                <w:color w:val="auto"/>
                <w:sz w:val="24"/>
                <w:highlight w:val="none"/>
              </w:rPr>
              <w:t>1.1.2</w:t>
            </w:r>
          </w:p>
        </w:tc>
        <w:tc>
          <w:tcPr>
            <w:tcW w:w="4838" w:type="dxa"/>
            <w:tcBorders>
              <w:top w:val="single" w:color="auto" w:sz="4" w:space="0"/>
              <w:left w:val="single" w:color="auto" w:sz="4" w:space="0"/>
              <w:bottom w:val="single" w:color="auto" w:sz="4" w:space="0"/>
              <w:right w:val="single" w:color="auto" w:sz="4" w:space="0"/>
            </w:tcBorders>
            <w:vAlign w:val="center"/>
          </w:tcPr>
          <w:p w14:paraId="689A7EAD">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snapToGrid w:val="0"/>
                <w:color w:val="auto"/>
                <w:kern w:val="28"/>
                <w:sz w:val="24"/>
                <w:szCs w:val="20"/>
                <w:highlight w:val="none"/>
              </w:rPr>
              <w:t>联合协议（</w:t>
            </w:r>
            <w:r>
              <w:rPr>
                <w:rFonts w:hint="eastAsia" w:ascii="宋体" w:hAnsi="宋体" w:cs="宋体"/>
                <w:snapToGrid w:val="0"/>
                <w:color w:val="auto"/>
                <w:kern w:val="28"/>
                <w:sz w:val="24"/>
                <w:szCs w:val="20"/>
                <w:highlight w:val="none"/>
                <w:lang w:eastAsia="zh-CN"/>
              </w:rPr>
              <w:t>联合体投标需提供，非联合体投标无需提供</w:t>
            </w:r>
            <w:r>
              <w:rPr>
                <w:rFonts w:hint="eastAsia" w:ascii="宋体" w:hAnsi="宋体" w:cs="宋体"/>
                <w:snapToGrid w:val="0"/>
                <w:color w:val="auto"/>
                <w:kern w:val="28"/>
                <w:sz w:val="24"/>
                <w:szCs w:val="20"/>
                <w:highlight w:val="none"/>
              </w:rPr>
              <w:t>)</w:t>
            </w:r>
          </w:p>
        </w:tc>
        <w:tc>
          <w:tcPr>
            <w:tcW w:w="4176" w:type="dxa"/>
            <w:tcBorders>
              <w:top w:val="single" w:color="auto" w:sz="4" w:space="0"/>
              <w:left w:val="single" w:color="auto" w:sz="4" w:space="0"/>
              <w:bottom w:val="single" w:color="auto" w:sz="4" w:space="0"/>
              <w:right w:val="single" w:color="auto" w:sz="4" w:space="0"/>
            </w:tcBorders>
            <w:vAlign w:val="center"/>
          </w:tcPr>
          <w:p w14:paraId="3557E986">
            <w:pPr>
              <w:adjustRightInd w:val="0"/>
              <w:snapToGrid w:val="0"/>
              <w:spacing w:line="300" w:lineRule="auto"/>
              <w:jc w:val="left"/>
              <w:rPr>
                <w:rFonts w:hint="eastAsia" w:ascii="宋体" w:hAnsi="宋体" w:eastAsia="宋体" w:cs="宋体"/>
                <w:color w:val="auto"/>
                <w:kern w:val="0"/>
                <w:sz w:val="24"/>
                <w:szCs w:val="24"/>
                <w:highlight w:val="none"/>
                <w:lang w:val="zh-CN" w:eastAsia="zh-CN"/>
              </w:rPr>
            </w:pPr>
            <w:r>
              <w:rPr>
                <w:rFonts w:hint="eastAsia" w:ascii="宋体" w:hAnsi="宋体" w:cs="宋体"/>
                <w:snapToGrid w:val="0"/>
                <w:color w:val="auto"/>
                <w:kern w:val="28"/>
                <w:sz w:val="24"/>
                <w:szCs w:val="20"/>
                <w:highlight w:val="none"/>
              </w:rPr>
              <w:t>联合协议（</w:t>
            </w:r>
            <w:r>
              <w:rPr>
                <w:rFonts w:hint="eastAsia" w:ascii="宋体" w:hAnsi="宋体" w:cs="宋体"/>
                <w:snapToGrid w:val="0"/>
                <w:color w:val="auto"/>
                <w:kern w:val="28"/>
                <w:sz w:val="24"/>
                <w:szCs w:val="20"/>
                <w:highlight w:val="none"/>
                <w:lang w:eastAsia="zh-CN"/>
              </w:rPr>
              <w:t>联合体投标需提供，非联合体投标无需提供</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eastAsia="zh-CN"/>
              </w:rPr>
              <w:t>，</w:t>
            </w:r>
            <w:r>
              <w:rPr>
                <w:rFonts w:hint="eastAsia" w:ascii="宋体" w:hAnsi="宋体" w:eastAsia="宋体" w:cs="宋体"/>
                <w:color w:val="auto"/>
                <w:kern w:val="0"/>
                <w:sz w:val="24"/>
                <w:szCs w:val="24"/>
                <w:highlight w:val="none"/>
                <w:lang w:val="en-US" w:eastAsia="zh-CN"/>
              </w:rPr>
              <w:t>格式以第六部分 应提交的有关格式范例为准</w:t>
            </w:r>
          </w:p>
        </w:tc>
      </w:tr>
      <w:tr w14:paraId="31C8D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14:paraId="548EF9B3">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11.1.</w:t>
            </w:r>
            <w:r>
              <w:rPr>
                <w:rFonts w:ascii="宋体" w:hAnsi="宋体" w:cs="宋体"/>
                <w:color w:val="auto"/>
                <w:sz w:val="24"/>
                <w:highlight w:val="none"/>
              </w:rPr>
              <w:t>3</w:t>
            </w:r>
          </w:p>
        </w:tc>
        <w:tc>
          <w:tcPr>
            <w:tcW w:w="4838" w:type="dxa"/>
            <w:tcBorders>
              <w:top w:val="single" w:color="auto" w:sz="4" w:space="0"/>
              <w:left w:val="single" w:color="auto" w:sz="4" w:space="0"/>
              <w:bottom w:val="single" w:color="auto" w:sz="4" w:space="0"/>
              <w:right w:val="single" w:color="auto" w:sz="4" w:space="0"/>
            </w:tcBorders>
            <w:vAlign w:val="center"/>
          </w:tcPr>
          <w:p w14:paraId="3F7E5491">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lang w:eastAsia="zh-CN"/>
              </w:rPr>
              <w:t>供应商应为中小微企业</w:t>
            </w:r>
            <w:r>
              <w:rPr>
                <w:rFonts w:hint="eastAsia" w:ascii="宋体" w:hAnsi="宋体" w:cs="宋体"/>
                <w:color w:val="auto"/>
                <w:sz w:val="24"/>
                <w:highlight w:val="none"/>
              </w:rPr>
              <w:t>；</w:t>
            </w:r>
          </w:p>
        </w:tc>
        <w:tc>
          <w:tcPr>
            <w:tcW w:w="4176" w:type="dxa"/>
            <w:tcBorders>
              <w:top w:val="single" w:color="auto" w:sz="4" w:space="0"/>
              <w:left w:val="single" w:color="auto" w:sz="4" w:space="0"/>
              <w:bottom w:val="single" w:color="auto" w:sz="4" w:space="0"/>
              <w:right w:val="single" w:color="auto" w:sz="4" w:space="0"/>
            </w:tcBorders>
            <w:vAlign w:val="center"/>
          </w:tcPr>
          <w:p w14:paraId="44492890">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提供《</w:t>
            </w:r>
            <w:r>
              <w:rPr>
                <w:rFonts w:hint="eastAsia" w:ascii="宋体" w:hAnsi="宋体" w:eastAsia="宋体" w:cs="宋体"/>
                <w:color w:val="auto"/>
                <w:kern w:val="0"/>
                <w:sz w:val="24"/>
                <w:szCs w:val="24"/>
                <w:highlight w:val="none"/>
                <w:lang w:val="zh-CN"/>
              </w:rPr>
              <w:t>中小企业声明函</w:t>
            </w:r>
            <w:r>
              <w:rPr>
                <w:rFonts w:hint="eastAsia" w:ascii="宋体" w:hAnsi="宋体" w:eastAsia="宋体" w:cs="宋体"/>
                <w:color w:val="auto"/>
                <w:kern w:val="0"/>
                <w:sz w:val="24"/>
                <w:szCs w:val="24"/>
                <w:highlight w:val="none"/>
                <w:lang w:val="en-US" w:eastAsia="zh-CN"/>
              </w:rPr>
              <w:t>》，格式以附件7为准</w:t>
            </w:r>
          </w:p>
        </w:tc>
      </w:tr>
      <w:tr w14:paraId="528C0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14:paraId="18F1634F">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11.1.</w:t>
            </w:r>
            <w:r>
              <w:rPr>
                <w:rFonts w:ascii="宋体" w:hAnsi="宋体" w:cs="宋体"/>
                <w:color w:val="auto"/>
                <w:sz w:val="24"/>
                <w:highlight w:val="none"/>
              </w:rPr>
              <w:t>4</w:t>
            </w:r>
          </w:p>
        </w:tc>
        <w:tc>
          <w:tcPr>
            <w:tcW w:w="4838" w:type="dxa"/>
            <w:tcBorders>
              <w:top w:val="single" w:color="auto" w:sz="4" w:space="0"/>
              <w:left w:val="single" w:color="auto" w:sz="4" w:space="0"/>
              <w:bottom w:val="single" w:color="auto" w:sz="4" w:space="0"/>
              <w:right w:val="single" w:color="auto" w:sz="4" w:space="0"/>
            </w:tcBorders>
            <w:vAlign w:val="center"/>
          </w:tcPr>
          <w:p w14:paraId="3642CB2C">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本项目的特定资格要求</w:t>
            </w:r>
          </w:p>
        </w:tc>
        <w:tc>
          <w:tcPr>
            <w:tcW w:w="4176" w:type="dxa"/>
            <w:tcBorders>
              <w:top w:val="single" w:color="auto" w:sz="4" w:space="0"/>
              <w:left w:val="single" w:color="auto" w:sz="4" w:space="0"/>
              <w:bottom w:val="single" w:color="auto" w:sz="4" w:space="0"/>
              <w:right w:val="single" w:color="auto" w:sz="4" w:space="0"/>
            </w:tcBorders>
            <w:vAlign w:val="center"/>
          </w:tcPr>
          <w:p w14:paraId="3425B36D">
            <w:pPr>
              <w:adjustRightInd w:val="0"/>
              <w:snapToGrid w:val="0"/>
              <w:spacing w:line="30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r>
      <w:tr w14:paraId="722CE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36" w:type="dxa"/>
            <w:tcBorders>
              <w:top w:val="single" w:color="auto" w:sz="4" w:space="0"/>
              <w:left w:val="single" w:color="auto" w:sz="4" w:space="0"/>
              <w:bottom w:val="single" w:color="auto" w:sz="4" w:space="0"/>
              <w:right w:val="single" w:color="auto" w:sz="4" w:space="0"/>
            </w:tcBorders>
            <w:vAlign w:val="center"/>
          </w:tcPr>
          <w:p w14:paraId="7A4FF16E">
            <w:pPr>
              <w:adjustRightInd w:val="0"/>
              <w:snapToGrid w:val="0"/>
              <w:spacing w:line="300" w:lineRule="auto"/>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sz w:val="24"/>
                <w:highlight w:val="none"/>
              </w:rPr>
              <w:t>（1）</w:t>
            </w:r>
          </w:p>
        </w:tc>
        <w:tc>
          <w:tcPr>
            <w:tcW w:w="4838" w:type="dxa"/>
            <w:tcBorders>
              <w:top w:val="single" w:color="auto" w:sz="4" w:space="0"/>
              <w:left w:val="single" w:color="auto" w:sz="4" w:space="0"/>
              <w:bottom w:val="single" w:color="auto" w:sz="4" w:space="0"/>
              <w:right w:val="single" w:color="auto" w:sz="4" w:space="0"/>
            </w:tcBorders>
            <w:vAlign w:val="center"/>
          </w:tcPr>
          <w:p w14:paraId="06B253FC">
            <w:pPr>
              <w:adjustRightInd w:val="0"/>
              <w:snapToGrid w:val="0"/>
              <w:spacing w:line="300" w:lineRule="auto"/>
              <w:jc w:val="left"/>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sz w:val="24"/>
                <w:highlight w:val="none"/>
              </w:rPr>
              <w:t>（1）、具备建筑工程施工总承包企业 (新)三级及以上资质，并具有安全生产许可证的独立法人；</w:t>
            </w:r>
          </w:p>
        </w:tc>
        <w:tc>
          <w:tcPr>
            <w:tcW w:w="4176" w:type="dxa"/>
            <w:tcBorders>
              <w:top w:val="single" w:color="auto" w:sz="4" w:space="0"/>
              <w:left w:val="single" w:color="auto" w:sz="4" w:space="0"/>
              <w:bottom w:val="single" w:color="auto" w:sz="4" w:space="0"/>
              <w:right w:val="single" w:color="auto" w:sz="4" w:space="0"/>
            </w:tcBorders>
            <w:vAlign w:val="center"/>
          </w:tcPr>
          <w:p w14:paraId="1865CB1A">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提供有效的资质证书扫描件；</w:t>
            </w:r>
          </w:p>
        </w:tc>
      </w:tr>
      <w:tr w14:paraId="24251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36" w:type="dxa"/>
            <w:tcBorders>
              <w:top w:val="single" w:color="auto" w:sz="4" w:space="0"/>
              <w:left w:val="single" w:color="auto" w:sz="4" w:space="0"/>
              <w:bottom w:val="single" w:color="auto" w:sz="4" w:space="0"/>
              <w:right w:val="single" w:color="auto" w:sz="4" w:space="0"/>
            </w:tcBorders>
            <w:vAlign w:val="center"/>
          </w:tcPr>
          <w:p w14:paraId="23CFDBCA">
            <w:pPr>
              <w:adjustRightInd w:val="0"/>
              <w:snapToGrid w:val="0"/>
              <w:spacing w:line="30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p>
        </w:tc>
        <w:tc>
          <w:tcPr>
            <w:tcW w:w="4838" w:type="dxa"/>
            <w:tcBorders>
              <w:top w:val="single" w:color="auto" w:sz="4" w:space="0"/>
              <w:left w:val="single" w:color="auto" w:sz="4" w:space="0"/>
              <w:bottom w:val="single" w:color="auto" w:sz="4" w:space="0"/>
              <w:right w:val="single" w:color="auto" w:sz="4" w:space="0"/>
            </w:tcBorders>
            <w:vAlign w:val="center"/>
          </w:tcPr>
          <w:p w14:paraId="5D42DB75">
            <w:pPr>
              <w:adjustRightInd w:val="0"/>
              <w:snapToGrid w:val="0"/>
              <w:spacing w:line="30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项目负责人为建筑工程专业贰级及以上注册建造师，同时具有“三类人员”B类证书；</w:t>
            </w:r>
          </w:p>
        </w:tc>
        <w:tc>
          <w:tcPr>
            <w:tcW w:w="4176" w:type="dxa"/>
            <w:tcBorders>
              <w:top w:val="single" w:color="auto" w:sz="4" w:space="0"/>
              <w:left w:val="single" w:color="auto" w:sz="4" w:space="0"/>
              <w:bottom w:val="single" w:color="auto" w:sz="4" w:space="0"/>
              <w:right w:val="single" w:color="auto" w:sz="4" w:space="0"/>
            </w:tcBorders>
            <w:vAlign w:val="center"/>
          </w:tcPr>
          <w:p w14:paraId="7BAA7D6E">
            <w:pPr>
              <w:numPr>
                <w:ilvl w:val="0"/>
                <w:numId w:val="2"/>
              </w:numPr>
              <w:adjustRightInd w:val="0"/>
              <w:snapToGrid w:val="0"/>
              <w:spacing w:line="300" w:lineRule="auto"/>
              <w:jc w:val="left"/>
              <w:rPr>
                <w:rFonts w:hint="eastAsia" w:ascii="宋体" w:hAnsi="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提供</w:t>
            </w:r>
            <w:r>
              <w:rPr>
                <w:rFonts w:hint="eastAsia" w:ascii="宋体" w:hAnsi="宋体" w:eastAsia="宋体" w:cs="宋体"/>
                <w:color w:val="auto"/>
                <w:sz w:val="24"/>
                <w:highlight w:val="none"/>
              </w:rPr>
              <w:t>注册建造师</w:t>
            </w:r>
            <w:r>
              <w:rPr>
                <w:rFonts w:hint="eastAsia" w:ascii="宋体" w:hAnsi="宋体" w:cs="宋体"/>
                <w:color w:val="auto"/>
                <w:sz w:val="24"/>
                <w:highlight w:val="none"/>
                <w:lang w:eastAsia="zh-CN"/>
              </w:rPr>
              <w:t>证书</w:t>
            </w:r>
            <w:r>
              <w:rPr>
                <w:rFonts w:hint="eastAsia" w:ascii="宋体" w:hAnsi="宋体" w:eastAsia="宋体" w:cs="宋体"/>
                <w:color w:val="auto"/>
                <w:kern w:val="0"/>
                <w:sz w:val="24"/>
                <w:szCs w:val="24"/>
                <w:highlight w:val="none"/>
                <w:lang w:val="zh-CN"/>
              </w:rPr>
              <w:t>扫描件</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en-US" w:eastAsia="zh-CN"/>
              </w:rPr>
              <w:t>要求在</w:t>
            </w:r>
            <w:r>
              <w:rPr>
                <w:rFonts w:hint="eastAsia" w:ascii="宋体" w:hAnsi="宋体" w:cs="宋体"/>
                <w:color w:val="auto"/>
                <w:kern w:val="0"/>
                <w:sz w:val="24"/>
                <w:szCs w:val="24"/>
                <w:highlight w:val="none"/>
                <w:lang w:val="zh-CN"/>
              </w:rPr>
              <w:t>注册有效期内和使用有效期内）；</w:t>
            </w:r>
          </w:p>
          <w:p w14:paraId="3C2A1B46">
            <w:pPr>
              <w:numPr>
                <w:ilvl w:val="0"/>
                <w:numId w:val="2"/>
              </w:num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提供</w:t>
            </w:r>
            <w:r>
              <w:rPr>
                <w:rFonts w:hint="eastAsia" w:ascii="宋体" w:hAnsi="宋体" w:eastAsia="宋体" w:cs="宋体"/>
                <w:color w:val="auto"/>
                <w:sz w:val="24"/>
                <w:highlight w:val="none"/>
              </w:rPr>
              <w:t>三类人员”B类证书</w:t>
            </w:r>
            <w:r>
              <w:rPr>
                <w:rFonts w:hint="eastAsia" w:ascii="宋体" w:hAnsi="宋体" w:cs="宋体"/>
                <w:color w:val="auto"/>
                <w:sz w:val="24"/>
                <w:highlight w:val="none"/>
                <w:lang w:val="en-US" w:eastAsia="zh-CN"/>
              </w:rPr>
              <w:t>扫描件。</w:t>
            </w:r>
          </w:p>
        </w:tc>
      </w:tr>
      <w:tr w14:paraId="05032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36" w:type="dxa"/>
            <w:tcBorders>
              <w:top w:val="single" w:color="auto" w:sz="4" w:space="0"/>
              <w:left w:val="single" w:color="auto" w:sz="4" w:space="0"/>
              <w:bottom w:val="single" w:color="auto" w:sz="4" w:space="0"/>
              <w:right w:val="single" w:color="auto" w:sz="4" w:space="0"/>
            </w:tcBorders>
            <w:vAlign w:val="center"/>
          </w:tcPr>
          <w:p w14:paraId="4A6F76BF">
            <w:pPr>
              <w:adjustRightInd w:val="0"/>
              <w:snapToGrid w:val="0"/>
              <w:spacing w:line="30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p>
        </w:tc>
        <w:tc>
          <w:tcPr>
            <w:tcW w:w="4838" w:type="dxa"/>
            <w:tcBorders>
              <w:top w:val="single" w:color="auto" w:sz="4" w:space="0"/>
              <w:left w:val="single" w:color="auto" w:sz="4" w:space="0"/>
              <w:bottom w:val="single" w:color="auto" w:sz="4" w:space="0"/>
              <w:right w:val="single" w:color="auto" w:sz="4" w:space="0"/>
            </w:tcBorders>
            <w:vAlign w:val="center"/>
          </w:tcPr>
          <w:p w14:paraId="181CE3A3">
            <w:pPr>
              <w:adjustRightInd w:val="0"/>
              <w:snapToGrid w:val="0"/>
              <w:spacing w:line="30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在投标截止日存在在其他任何在建合同工程上担任项目负责人的，不得以拟派项目负责人的身份参加本次投标。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p>
        </w:tc>
        <w:tc>
          <w:tcPr>
            <w:tcW w:w="4176" w:type="dxa"/>
            <w:tcBorders>
              <w:top w:val="single" w:color="auto" w:sz="4" w:space="0"/>
              <w:left w:val="single" w:color="auto" w:sz="4" w:space="0"/>
              <w:bottom w:val="single" w:color="auto" w:sz="4" w:space="0"/>
              <w:right w:val="single" w:color="auto" w:sz="4" w:space="0"/>
            </w:tcBorders>
            <w:vAlign w:val="center"/>
          </w:tcPr>
          <w:p w14:paraId="3CF850D4">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zh-CN"/>
              </w:rPr>
              <w:t>提供承诺函，</w:t>
            </w:r>
            <w:r>
              <w:rPr>
                <w:rFonts w:hint="eastAsia" w:ascii="宋体" w:hAnsi="宋体" w:eastAsia="宋体" w:cs="宋体"/>
                <w:color w:val="auto"/>
                <w:kern w:val="0"/>
                <w:sz w:val="24"/>
                <w:szCs w:val="24"/>
                <w:highlight w:val="none"/>
                <w:lang w:val="en-US" w:eastAsia="zh-CN"/>
              </w:rPr>
              <w:t>格式以第六部分 应提交的有关格式范例为准</w:t>
            </w:r>
            <w:r>
              <w:rPr>
                <w:rFonts w:hint="eastAsia" w:ascii="宋体" w:hAnsi="宋体" w:cs="宋体"/>
                <w:color w:val="auto"/>
                <w:kern w:val="0"/>
                <w:sz w:val="24"/>
                <w:szCs w:val="24"/>
                <w:highlight w:val="none"/>
                <w:lang w:val="zh-CN"/>
              </w:rPr>
              <w:t>。</w:t>
            </w:r>
          </w:p>
        </w:tc>
      </w:tr>
    </w:tbl>
    <w:p w14:paraId="3F1F244F">
      <w:pPr>
        <w:pStyle w:val="4"/>
        <w:rPr>
          <w:color w:val="auto"/>
          <w:highlight w:val="none"/>
        </w:rPr>
      </w:pPr>
    </w:p>
    <w:p w14:paraId="587296B6">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1400D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1222281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838739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14:paraId="52EE93D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3E42B1A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14:paraId="20D968A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79C3B75B">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0F343C98">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09C4A0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14:paraId="7B95BE9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11.3.2已标价工程量清单；</w:t>
      </w:r>
    </w:p>
    <w:p w14:paraId="62A9044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w:t>
      </w:r>
    </w:p>
    <w:p w14:paraId="4ECA0339">
      <w:pPr>
        <w:snapToGrid w:val="0"/>
        <w:spacing w:line="360" w:lineRule="auto"/>
        <w:ind w:firstLine="960" w:firstLineChars="400"/>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250F692F">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2151F1F9">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供应商提供虚假材料的，响应文件无效。</w:t>
      </w:r>
    </w:p>
    <w:p w14:paraId="30109C97">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供应商应对响应文件中材料的真实性、合法性负责。</w:t>
      </w:r>
    </w:p>
    <w:p w14:paraId="65EF03D3">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226A351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3618B6A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3F979F61">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E5697E">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62F1DADB">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7ECB891E">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2F8AFE1F">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14:paraId="00C57DD8">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6046FB51">
      <w:pPr>
        <w:pStyle w:val="132"/>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22B79AFF">
      <w:pPr>
        <w:pStyle w:val="132"/>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3FCCC372">
      <w:pPr>
        <w:pStyle w:val="132"/>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14.3采购人、采购机构可以视情况延长响应文件提交的截止时间。在上述情况下，采购机构与供应商以前在响应文件提交截止时间方面的全部权利、责任和义务，将适用于延长至新的响应文件提交截止时间。</w:t>
      </w:r>
    </w:p>
    <w:p w14:paraId="5BCA77F8">
      <w:pPr>
        <w:pStyle w:val="35"/>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7271E320">
      <w:pPr>
        <w:pStyle w:val="35"/>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但采购人、采购机构不强制或变相强制供应商提交备份响应文件。</w:t>
      </w:r>
    </w:p>
    <w:p w14:paraId="0A487417">
      <w:pPr>
        <w:pStyle w:val="35"/>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szCs w:val="24"/>
          <w:highlight w:val="none"/>
          <w:lang w:val="en-US" w:eastAsia="zh-CN"/>
        </w:rPr>
        <w:t>U盘或</w:t>
      </w:r>
      <w:r>
        <w:rPr>
          <w:rFonts w:hint="eastAsia" w:hAnsi="宋体" w:cs="宋体"/>
          <w:color w:val="auto"/>
          <w:sz w:val="24"/>
          <w:highlight w:val="none"/>
        </w:rPr>
        <w:t>DVD光盘</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6A856078">
      <w:pPr>
        <w:pStyle w:val="3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15.3直接提交备份响应文件的，供应商应于响应文件提交（上传）截止时间前在竞争性磋商公告中载明的响应文件开启地点将备份响应文件提交给采购机构，采购机构将拒绝接受逾期送达的备份响应文件。</w:t>
      </w:r>
    </w:p>
    <w:p w14:paraId="696F476F">
      <w:pPr>
        <w:pStyle w:val="3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送达时间以签收人签收时间为准。采购机构将拒绝接受逾期送达的备份响应文件。邮寄过程中，电子备份响应文件发生泄露、遗失、损坏或延期送达等情况的，由供应商自行负责。</w:t>
      </w:r>
    </w:p>
    <w:p w14:paraId="545EB9A2">
      <w:pPr>
        <w:pStyle w:val="35"/>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44210153">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41088100">
      <w:pPr>
        <w:pStyle w:val="26"/>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2A084D3E">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14:paraId="2BE44D3F">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07ED1095">
      <w:pPr>
        <w:pStyle w:val="132"/>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36A734DD">
      <w:pPr>
        <w:pStyle w:val="132"/>
        <w:spacing w:before="0"/>
        <w:ind w:firstLine="480"/>
        <w:rPr>
          <w:rFonts w:ascii="宋体" w:hAnsi="宋体" w:cs="宋体"/>
          <w:color w:val="auto"/>
          <w:highlight w:val="none"/>
        </w:rPr>
      </w:pPr>
      <w:r>
        <w:rPr>
          <w:rFonts w:hint="eastAsia" w:ascii="宋体" w:hAnsi="宋体" w:cs="宋体"/>
          <w:color w:val="auto"/>
          <w:highlight w:val="none"/>
        </w:rPr>
        <w:t>17.3在原定响应文件有效期满之前，如果出现特殊情况，采购机构可以以书面形式通知供应商延长响应文件有效期。供应商同意延长的，不得要求或被允许修改其响应文件，供应商拒绝延长的，其响应文件无效。</w:t>
      </w:r>
    </w:p>
    <w:p w14:paraId="5E85D456">
      <w:pPr>
        <w:pStyle w:val="132"/>
        <w:spacing w:before="0"/>
        <w:ind w:firstLine="643"/>
        <w:rPr>
          <w:rFonts w:ascii="宋体" w:hAnsi="宋体" w:cs="宋体"/>
          <w:b/>
          <w:color w:val="auto"/>
          <w:sz w:val="32"/>
          <w:highlight w:val="none"/>
        </w:rPr>
      </w:pPr>
    </w:p>
    <w:p w14:paraId="5DC179C8">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14:paraId="24D5A922">
      <w:pPr>
        <w:pStyle w:val="557"/>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14:paraId="4882C257">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18.1采购机构按照采购文件规定的时间通过电子交易平台组织响应文件开启，所有供应商均应当准时在线参加。供应商不足3家的，不得开启。</w:t>
      </w:r>
    </w:p>
    <w:p w14:paraId="2F8FFB54">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18.2响应文件开启时，电子交易平台按响应文件开启时间自动提取所有响应文件。采购机构依托电子交易平台发起开始解密指令，供应商按照平台提示和采购文件的规定在半小时内完成在线解密。</w:t>
      </w:r>
    </w:p>
    <w:p w14:paraId="19AF44C7">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2DA06953">
      <w:pPr>
        <w:pStyle w:val="557"/>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49CD639F">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19.1响应文件开启后，</w:t>
      </w:r>
      <w:r>
        <w:rPr>
          <w:rFonts w:hint="eastAsia" w:ascii="宋体" w:hAnsi="宋体" w:cs="宋体"/>
          <w:color w:val="auto"/>
          <w:sz w:val="24"/>
          <w:highlight w:val="none"/>
          <w:lang w:val="en-US" w:eastAsia="zh-CN"/>
        </w:rPr>
        <w:t>磋商小组</w:t>
      </w:r>
      <w:r>
        <w:rPr>
          <w:rFonts w:hint="eastAsia" w:ascii="宋体" w:hAnsi="宋体" w:cs="宋体"/>
          <w:color w:val="auto"/>
          <w:kern w:val="0"/>
          <w:szCs w:val="24"/>
          <w:highlight w:val="none"/>
        </w:rPr>
        <w:t>将依法对供应商的资格进行审查。</w:t>
      </w:r>
    </w:p>
    <w:p w14:paraId="05D5975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lang w:val="en-US" w:eastAsia="zh-CN"/>
        </w:rPr>
        <w:t>磋商小组</w:t>
      </w:r>
      <w:r>
        <w:rPr>
          <w:rFonts w:hint="eastAsia" w:ascii="宋体" w:hAnsi="宋体" w:cs="宋体"/>
          <w:color w:val="auto"/>
          <w:sz w:val="24"/>
          <w:highlight w:val="none"/>
        </w:rPr>
        <w:t>依据法律法规和采购文件的规定，对供应商的资格进行审查。</w:t>
      </w:r>
    </w:p>
    <w:p w14:paraId="54699500">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19.3供应商未按照采购文件要求提供与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4B3D45FC">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4对未通过资格审查的供应商，采购人或采购机构告知其未通过的原因。</w:t>
      </w:r>
    </w:p>
    <w:p w14:paraId="4320B797">
      <w:pPr>
        <w:pStyle w:val="132"/>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5合格供应商不足3家的，不再评审。</w:t>
      </w:r>
    </w:p>
    <w:p w14:paraId="16E314B0">
      <w:pPr>
        <w:pStyle w:val="132"/>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6</w:t>
      </w:r>
      <w:r>
        <w:rPr>
          <w:rFonts w:hint="eastAsia" w:ascii="宋体" w:hAnsi="宋体" w:cs="宋体"/>
          <w:color w:val="auto"/>
          <w:kern w:val="0"/>
          <w:szCs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D9FFA52">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5330D2BF">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20.1信用信息查询渠道及截止时间：采购机构将在资格审查时通过“信用中国”网站(www.creditchina.gov.cn)、中国政府采购网(www.ccgp.gov.cn)渠道查询供应商接受资格审查时的信用记录。</w:t>
      </w:r>
    </w:p>
    <w:p w14:paraId="770970A4">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29D231CC">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26CA75EC">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5675B6C">
      <w:pPr>
        <w:pStyle w:val="132"/>
        <w:spacing w:before="0"/>
        <w:ind w:firstLine="0" w:firstLineChars="0"/>
        <w:rPr>
          <w:rFonts w:ascii="宋体" w:hAnsi="宋体" w:cs="宋体"/>
          <w:color w:val="auto"/>
          <w:kern w:val="0"/>
          <w:szCs w:val="24"/>
          <w:highlight w:val="none"/>
        </w:rPr>
      </w:pPr>
    </w:p>
    <w:p w14:paraId="25DB7BAE">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14:paraId="1D782459">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488DDC06">
      <w:pPr>
        <w:spacing w:line="360" w:lineRule="auto"/>
        <w:rPr>
          <w:rFonts w:ascii="宋体" w:hAnsi="宋体" w:cs="宋体"/>
          <w:b/>
          <w:color w:val="auto"/>
          <w:sz w:val="24"/>
          <w:highlight w:val="none"/>
        </w:rPr>
      </w:pPr>
    </w:p>
    <w:p w14:paraId="0797C2D4">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14:paraId="10E3F852">
      <w:pPr>
        <w:pStyle w:val="26"/>
        <w:spacing w:line="360" w:lineRule="auto"/>
        <w:ind w:left="479" w:hanging="479" w:hangingChars="199"/>
        <w:rPr>
          <w:rFonts w:cs="宋体"/>
          <w:b/>
          <w:color w:val="auto"/>
          <w:highlight w:val="none"/>
        </w:rPr>
      </w:pPr>
      <w:r>
        <w:rPr>
          <w:rFonts w:hint="eastAsia" w:cs="宋体"/>
          <w:b/>
          <w:color w:val="auto"/>
          <w:highlight w:val="none"/>
        </w:rPr>
        <w:t>22. 确定成交供应商</w:t>
      </w:r>
    </w:p>
    <w:p w14:paraId="75073E19">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6AEE850C">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4017E28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个工作日内，采购机构通过电子交易平台向成交供应商发出成交通知书，同时编制发布采购结果公告。采购机构也可以以纸质形式进行成交通知。</w:t>
      </w:r>
    </w:p>
    <w:p w14:paraId="69413D01">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采购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5B96DC5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2D23C4F7">
      <w:pPr>
        <w:widowControl/>
        <w:shd w:val="clear" w:color="auto" w:fill="FFFFFF"/>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23.4</w:t>
      </w:r>
      <w:r>
        <w:rPr>
          <w:rFonts w:hint="eastAsia" w:ascii="宋体" w:hAnsi="宋体" w:eastAsia="宋体" w:cs="宋体"/>
          <w:b w:val="0"/>
          <w:bCs/>
          <w:color w:val="auto"/>
          <w:sz w:val="24"/>
          <w:szCs w:val="24"/>
          <w:highlight w:val="none"/>
        </w:rPr>
        <w:t>由于</w:t>
      </w:r>
      <w:r>
        <w:rPr>
          <w:rFonts w:hint="eastAsia" w:ascii="宋体" w:hAnsi="宋体" w:eastAsia="宋体" w:cs="宋体"/>
          <w:bCs/>
          <w:color w:val="auto"/>
          <w:sz w:val="24"/>
          <w:szCs w:val="24"/>
          <w:highlight w:val="none"/>
        </w:rPr>
        <w:t>成交供应商原因导致重新采购的，应当承担支付代理费和专家评审费等费用在内的赔偿责任。</w:t>
      </w:r>
    </w:p>
    <w:p w14:paraId="352E6DCC">
      <w:pPr>
        <w:snapToGrid w:val="0"/>
        <w:spacing w:line="360" w:lineRule="auto"/>
        <w:ind w:left="120" w:leftChars="57" w:firstLine="482" w:firstLineChars="150"/>
        <w:jc w:val="center"/>
        <w:rPr>
          <w:rFonts w:ascii="宋体" w:hAnsi="宋体" w:cs="宋体"/>
          <w:b/>
          <w:color w:val="auto"/>
          <w:sz w:val="32"/>
          <w:highlight w:val="none"/>
        </w:rPr>
      </w:pPr>
    </w:p>
    <w:p w14:paraId="007AEADB">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14:paraId="3CF4B9F7">
      <w:pPr>
        <w:pStyle w:val="26"/>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8CBA163">
      <w:pPr>
        <w:pStyle w:val="26"/>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14:paraId="5149584A">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w:t>
      </w:r>
      <w:r>
        <w:rPr>
          <w:rFonts w:hint="eastAsia" w:ascii="宋体" w:hAnsi="宋体" w:cs="宋体"/>
          <w:color w:val="auto"/>
          <w:kern w:val="0"/>
          <w:sz w:val="24"/>
          <w:highlight w:val="none"/>
          <w:lang w:eastAsia="zh-CN"/>
        </w:rPr>
        <w:t>三</w:t>
      </w:r>
      <w:r>
        <w:rPr>
          <w:rFonts w:hint="eastAsia" w:ascii="宋体" w:hAnsi="宋体" w:cs="宋体"/>
          <w:color w:val="auto"/>
          <w:kern w:val="0"/>
          <w:sz w:val="24"/>
          <w:highlight w:val="none"/>
        </w:rPr>
        <w:t>十日内，按照采购文件确定的事项签订政府采购合同，并在签订之日起</w:t>
      </w:r>
      <w:r>
        <w:rPr>
          <w:rFonts w:hint="eastAsia" w:ascii="宋体" w:hAnsi="宋体" w:cs="宋体"/>
          <w:color w:val="auto"/>
          <w:kern w:val="0"/>
          <w:sz w:val="24"/>
          <w:highlight w:val="none"/>
          <w:lang w:eastAsia="zh-CN"/>
        </w:rPr>
        <w:t>当天</w:t>
      </w:r>
      <w:r>
        <w:rPr>
          <w:rFonts w:hint="eastAsia" w:ascii="宋体" w:hAnsi="宋体" w:cs="宋体"/>
          <w:color w:val="auto"/>
          <w:kern w:val="0"/>
          <w:sz w:val="24"/>
          <w:highlight w:val="none"/>
        </w:rPr>
        <w:t>将政府采购合同在浙江政府采购网上公告。鼓励有条件的采购人视情缩减采购合同签订时限，提高采购效率，杜绝“冷、硬、横、推”等不当行为。除不可抗力等特殊情况外，原则上应当在成交通知书发出之日起10</w:t>
      </w:r>
      <w:r>
        <w:rPr>
          <w:rFonts w:hint="eastAsia" w:ascii="宋体" w:hAnsi="宋体" w:cs="宋体"/>
          <w:color w:val="auto"/>
          <w:kern w:val="0"/>
          <w:sz w:val="24"/>
          <w:highlight w:val="none"/>
          <w:lang w:eastAsia="zh-CN"/>
        </w:rPr>
        <w:t>个工作</w:t>
      </w:r>
      <w:r>
        <w:rPr>
          <w:rFonts w:hint="eastAsia" w:ascii="宋体" w:hAnsi="宋体" w:cs="宋体"/>
          <w:color w:val="auto"/>
          <w:kern w:val="0"/>
          <w:sz w:val="24"/>
          <w:highlight w:val="none"/>
        </w:rPr>
        <w:t>日内，与成交供应商按照采购文件确定的事项签订政府采购合同。</w:t>
      </w:r>
    </w:p>
    <w:p w14:paraId="06FAEB2D">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4445B603">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43E010A">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446C855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14:paraId="411F6E24">
      <w:pPr>
        <w:pStyle w:val="26"/>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14:paraId="068FEBC2">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杭州市政府采购网公布的供应商履约评价为满分的供应商，采购单位应当免收履约保证金。确需收取履约保证金的，履约保证金缴纳最高比例由不超过合同金额的1%。采购单位鼓励供应商采取履约保函形式提供信用保证；供应商提供保函的，采购单位不得拒收。项目验收结束后应及时退还，延迟退还的，应当按照合同约定和法律规定承担相应的赔偿责任。</w:t>
      </w:r>
    </w:p>
    <w:p w14:paraId="2F27255F">
      <w:pPr>
        <w:snapToGrid w:val="0"/>
        <w:spacing w:line="360" w:lineRule="auto"/>
        <w:ind w:firstLine="480" w:firstLineChars="200"/>
        <w:rPr>
          <w:rFonts w:ascii="宋体" w:hAnsi="宋体" w:cs="宋体"/>
          <w:b/>
          <w:color w:val="auto"/>
          <w:sz w:val="32"/>
          <w:highlight w:val="none"/>
        </w:rPr>
      </w:pPr>
      <w:r>
        <w:rPr>
          <w:rFonts w:hint="eastAsia" w:ascii="宋体" w:hAnsi="宋体" w:cs="宋体"/>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0AD8C16">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14:paraId="7303A472">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23316E21">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69F175F5">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71857E4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35A93F12">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048BA7E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43B9DBF1">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6053D80C">
      <w:pPr>
        <w:tabs>
          <w:tab w:val="left" w:pos="0"/>
        </w:tabs>
        <w:spacing w:line="360" w:lineRule="auto"/>
        <w:ind w:firstLine="480"/>
        <w:rPr>
          <w:rFonts w:ascii="宋体" w:hAnsi="宋体" w:cs="宋体"/>
          <w:color w:val="auto"/>
          <w:sz w:val="24"/>
          <w:highlight w:val="none"/>
        </w:rPr>
      </w:pPr>
    </w:p>
    <w:p w14:paraId="66494D9A">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14:paraId="3A24268D">
      <w:pPr>
        <w:pStyle w:val="26"/>
        <w:spacing w:line="360" w:lineRule="auto"/>
        <w:ind w:firstLine="0" w:firstLineChars="0"/>
        <w:rPr>
          <w:rFonts w:cs="宋体"/>
          <w:b/>
          <w:color w:val="auto"/>
          <w:highlight w:val="none"/>
        </w:rPr>
      </w:pPr>
      <w:r>
        <w:rPr>
          <w:rFonts w:hint="eastAsia" w:cs="宋体"/>
          <w:b/>
          <w:color w:val="auto"/>
          <w:highlight w:val="none"/>
        </w:rPr>
        <w:t>29.验收</w:t>
      </w:r>
    </w:p>
    <w:p w14:paraId="74C9158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29.1采购人应当根据采购项目的具体情况，自行组织项目验收或者委托采购代理机构验收</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E663BA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29.2采购人可以邀请参加本项目的其他供应商或者第三方机构参与验收。参与验收的供应商或者第三方机构的意见作为验收书的参考资料一并存档。</w:t>
      </w:r>
    </w:p>
    <w:p w14:paraId="45B6CB6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6787E67">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40C8A9F2">
      <w:pPr>
        <w:pStyle w:val="6"/>
        <w:adjustRightInd w:val="0"/>
        <w:snapToGrid w:val="0"/>
        <w:ind w:left="0" w:firstLine="480" w:firstLineChars="200"/>
        <w:rPr>
          <w:rFonts w:ascii="宋体" w:hAnsi="宋体" w:eastAsia="宋体" w:cs="宋体"/>
          <w:b w:val="0"/>
          <w:bCs w:val="0"/>
          <w:color w:val="auto"/>
          <w:kern w:val="0"/>
          <w:sz w:val="24"/>
          <w:szCs w:val="24"/>
          <w:highlight w:val="none"/>
          <w:lang w:val="en-US"/>
        </w:rPr>
      </w:pPr>
      <w:bookmarkStart w:id="19" w:name="_Hlt74729768"/>
      <w:bookmarkEnd w:id="19"/>
      <w:bookmarkStart w:id="20" w:name="_Hlt68072990"/>
      <w:bookmarkEnd w:id="20"/>
      <w:bookmarkStart w:id="21" w:name="_Hlt75236011"/>
      <w:bookmarkEnd w:id="21"/>
      <w:bookmarkStart w:id="22" w:name="_Hlt75236290"/>
      <w:bookmarkEnd w:id="22"/>
      <w:bookmarkStart w:id="23" w:name="_Hlt68057669"/>
      <w:bookmarkEnd w:id="23"/>
      <w:bookmarkStart w:id="24" w:name="_Hlt68073093"/>
      <w:bookmarkEnd w:id="24"/>
      <w:bookmarkStart w:id="25" w:name="_Hlt74730295"/>
      <w:bookmarkEnd w:id="25"/>
      <w:bookmarkStart w:id="26" w:name="_Hlt68072998"/>
      <w:bookmarkEnd w:id="26"/>
      <w:bookmarkStart w:id="27" w:name="_Hlt74707468"/>
      <w:bookmarkEnd w:id="27"/>
      <w:bookmarkStart w:id="28" w:name="_Hlt74714665"/>
      <w:bookmarkEnd w:id="28"/>
      <w:bookmarkStart w:id="29" w:name="_Hlt68403820"/>
      <w:bookmarkEnd w:id="29"/>
      <w:bookmarkStart w:id="30" w:name="_Hlt75236101"/>
      <w:bookmarkEnd w:id="30"/>
      <w:r>
        <w:rPr>
          <w:rFonts w:hint="eastAsia" w:ascii="宋体" w:hAnsi="宋体" w:eastAsia="宋体" w:cs="宋体"/>
          <w:b w:val="0"/>
          <w:bCs w:val="0"/>
          <w:color w:val="auto"/>
          <w:kern w:val="0"/>
          <w:sz w:val="24"/>
          <w:szCs w:val="24"/>
          <w:highlight w:val="none"/>
          <w:lang w:val="en-US" w:eastAsia="zh-CN"/>
        </w:rPr>
        <w:t>29</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6A76027F">
      <w:pPr>
        <w:tabs>
          <w:tab w:val="left" w:pos="0"/>
        </w:tabs>
        <w:spacing w:line="360" w:lineRule="auto"/>
        <w:ind w:firstLine="480"/>
        <w:rPr>
          <w:rFonts w:ascii="宋体" w:hAnsi="宋体" w:cs="宋体"/>
          <w:color w:val="auto"/>
          <w:kern w:val="0"/>
          <w:sz w:val="24"/>
          <w:highlight w:val="none"/>
        </w:rPr>
        <w:sectPr>
          <w:pgSz w:w="11906" w:h="16838"/>
          <w:pgMar w:top="1440" w:right="1080" w:bottom="1440" w:left="1080" w:header="851" w:footer="992" w:gutter="0"/>
          <w:cols w:space="720" w:num="1"/>
          <w:titlePg/>
          <w:docGrid w:linePitch="312" w:charSpace="0"/>
        </w:sectPr>
      </w:pPr>
    </w:p>
    <w:bookmarkEnd w:id="13"/>
    <w:bookmarkEnd w:id="14"/>
    <w:p w14:paraId="2AD3DAB5">
      <w:pPr>
        <w:pStyle w:val="35"/>
        <w:spacing w:line="360" w:lineRule="auto"/>
        <w:jc w:val="center"/>
        <w:rPr>
          <w:rFonts w:hAnsi="宋体" w:cs="宋体"/>
          <w:b/>
          <w:snapToGrid/>
          <w:color w:val="auto"/>
          <w:sz w:val="36"/>
          <w:szCs w:val="20"/>
          <w:highlight w:val="none"/>
        </w:rPr>
      </w:pPr>
      <w:bookmarkStart w:id="31" w:name="第四部分"/>
      <w:r>
        <w:rPr>
          <w:rFonts w:hint="eastAsia" w:hAnsi="宋体" w:cs="宋体"/>
          <w:b/>
          <w:snapToGrid/>
          <w:color w:val="auto"/>
          <w:sz w:val="36"/>
          <w:szCs w:val="20"/>
          <w:highlight w:val="none"/>
        </w:rPr>
        <w:t>第三部分 采购需求</w:t>
      </w:r>
    </w:p>
    <w:p w14:paraId="22E455C1">
      <w:p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一、工程概况</w:t>
      </w:r>
    </w:p>
    <w:p w14:paraId="1FBBCA6C">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本项目为</w:t>
      </w:r>
      <w:r>
        <w:rPr>
          <w:rFonts w:hint="eastAsia" w:ascii="宋体" w:hAnsi="宋体" w:cs="宋体"/>
          <w:color w:val="auto"/>
          <w:sz w:val="24"/>
          <w:highlight w:val="none"/>
          <w:lang w:eastAsia="zh-CN"/>
        </w:rPr>
        <w:t>观澜中学图书馆扩建改造工程，</w:t>
      </w:r>
      <w:r>
        <w:rPr>
          <w:rFonts w:hint="eastAsia" w:ascii="宋体" w:hAnsi="宋体" w:cs="宋体"/>
          <w:color w:val="auto"/>
          <w:sz w:val="24"/>
          <w:highlight w:val="none"/>
          <w:lang w:val="en-US" w:eastAsia="zh-CN"/>
        </w:rPr>
        <w:t>具体内容以施工图及预算审核为准</w:t>
      </w:r>
      <w:r>
        <w:rPr>
          <w:rFonts w:hint="eastAsia" w:ascii="宋体" w:hAnsi="宋体" w:cs="宋体"/>
          <w:color w:val="auto"/>
          <w:sz w:val="24"/>
          <w:highlight w:val="none"/>
        </w:rPr>
        <w:t>。</w:t>
      </w:r>
      <w:r>
        <w:rPr>
          <w:rFonts w:hint="eastAsia" w:ascii="宋体" w:hAnsi="宋体" w:cs="宋体"/>
          <w:color w:val="auto"/>
          <w:sz w:val="24"/>
          <w:highlight w:val="none"/>
          <w:lang w:eastAsia="zh-CN"/>
        </w:rPr>
        <w:t>本项目预算审核价为</w:t>
      </w:r>
      <w:r>
        <w:rPr>
          <w:rFonts w:hint="eastAsia" w:ascii="宋体" w:hAnsi="宋体" w:cs="宋体"/>
          <w:b/>
          <w:color w:val="auto"/>
          <w:sz w:val="24"/>
          <w:highlight w:val="none"/>
          <w:lang w:val="en-US" w:eastAsia="zh-CN"/>
        </w:rPr>
        <w:t>1340067</w:t>
      </w:r>
      <w:r>
        <w:rPr>
          <w:rFonts w:hint="eastAsia" w:ascii="宋体" w:hAnsi="宋体" w:cs="宋体"/>
          <w:color w:val="auto"/>
          <w:sz w:val="24"/>
          <w:highlight w:val="none"/>
          <w:lang w:eastAsia="zh-CN"/>
        </w:rPr>
        <w:t>元，最终确定本项目最高限价为</w:t>
      </w:r>
      <w:r>
        <w:rPr>
          <w:rFonts w:hint="eastAsia" w:ascii="宋体" w:hAnsi="宋体" w:cs="宋体"/>
          <w:b/>
          <w:color w:val="auto"/>
          <w:sz w:val="24"/>
          <w:highlight w:val="none"/>
          <w:lang w:val="en-US" w:eastAsia="zh-CN"/>
        </w:rPr>
        <w:t>1179258.96</w:t>
      </w:r>
      <w:r>
        <w:rPr>
          <w:rFonts w:hint="eastAsia" w:ascii="宋体" w:hAnsi="宋体" w:cs="宋体"/>
          <w:color w:val="auto"/>
          <w:sz w:val="24"/>
          <w:highlight w:val="none"/>
          <w:lang w:val="en-US" w:eastAsia="zh-CN"/>
        </w:rPr>
        <w:t>元。</w:t>
      </w:r>
    </w:p>
    <w:p w14:paraId="5BF957A1">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bCs/>
          <w:color w:val="auto"/>
          <w:sz w:val="24"/>
          <w:highlight w:val="none"/>
        </w:rPr>
        <w:t xml:space="preserve">二、工程内容 </w:t>
      </w:r>
    </w:p>
    <w:p w14:paraId="791CCAF6">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rPr>
        <w:t>1.工程名称</w:t>
      </w:r>
    </w:p>
    <w:p w14:paraId="1106B2E7">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lang w:eastAsia="zh-CN"/>
        </w:rPr>
        <w:t>观澜中学图书馆扩建改造工程</w:t>
      </w:r>
      <w:r>
        <w:rPr>
          <w:rFonts w:hint="eastAsia" w:ascii="宋体" w:hAnsi="宋体" w:cs="宋体"/>
          <w:color w:val="auto"/>
          <w:sz w:val="24"/>
          <w:highlight w:val="none"/>
        </w:rPr>
        <w:t>。</w:t>
      </w:r>
    </w:p>
    <w:p w14:paraId="361A56A6">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rPr>
        <w:t>2.现场条件</w:t>
      </w:r>
    </w:p>
    <w:p w14:paraId="3143F342">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目前施工现场已具备项目施工条件。</w:t>
      </w:r>
    </w:p>
    <w:p w14:paraId="0F0D9E87">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rPr>
        <w:t>3.工程承包范围</w:t>
      </w:r>
    </w:p>
    <w:p w14:paraId="1CB909B6">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工程承包范围为磋商文件、磋商记录、施工图纸</w:t>
      </w:r>
      <w:r>
        <w:rPr>
          <w:rFonts w:hint="eastAsia" w:ascii="宋体" w:hAnsi="宋体" w:cs="宋体"/>
          <w:color w:val="auto"/>
          <w:sz w:val="24"/>
          <w:highlight w:val="none"/>
          <w:lang w:val="en-US" w:eastAsia="zh-CN"/>
        </w:rPr>
        <w:t>和工程量清单</w:t>
      </w:r>
      <w:r>
        <w:rPr>
          <w:rFonts w:hint="eastAsia" w:ascii="宋体" w:hAnsi="宋体" w:cs="宋体"/>
          <w:color w:val="auto"/>
          <w:sz w:val="24"/>
          <w:highlight w:val="none"/>
        </w:rPr>
        <w:t>中包含的所有内容。</w:t>
      </w:r>
    </w:p>
    <w:p w14:paraId="39A99594">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rPr>
        <w:t>4.工程质量标准</w:t>
      </w:r>
    </w:p>
    <w:p w14:paraId="36DBC6A9">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现行工程质量验收规范以及合同规定的验收评定标准。</w:t>
      </w:r>
    </w:p>
    <w:p w14:paraId="5B351052">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rPr>
        <w:t>5.工程施工要求</w:t>
      </w:r>
    </w:p>
    <w:p w14:paraId="79950B2A">
      <w:pPr>
        <w:pStyle w:val="22"/>
        <w:numPr>
          <w:ilvl w:val="0"/>
          <w:numId w:val="3"/>
        </w:numPr>
        <w:spacing w:line="360" w:lineRule="auto"/>
        <w:ind w:left="420" w:leftChars="0"/>
        <w:jc w:val="both"/>
        <w:rPr>
          <w:rFonts w:ascii="宋体" w:hAnsi="宋体" w:cs="宋体"/>
          <w:color w:val="auto"/>
          <w:sz w:val="24"/>
          <w:highlight w:val="none"/>
        </w:rPr>
      </w:pPr>
      <w:r>
        <w:rPr>
          <w:rFonts w:hint="eastAsia" w:ascii="宋体" w:hAnsi="宋体" w:cs="宋体"/>
          <w:color w:val="auto"/>
          <w:sz w:val="24"/>
          <w:highlight w:val="none"/>
        </w:rPr>
        <w:t>工程技术规范要求：</w:t>
      </w:r>
    </w:p>
    <w:p w14:paraId="3C6599ED">
      <w:pPr>
        <w:pStyle w:val="22"/>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本工程项目的材料、设备、施工必须达到现行中华人民共和国及省、市、行业的一切有关法规、规范的要求。</w:t>
      </w:r>
    </w:p>
    <w:p w14:paraId="533AA543">
      <w:pPr>
        <w:pStyle w:val="22"/>
        <w:numPr>
          <w:ilvl w:val="0"/>
          <w:numId w:val="3"/>
        </w:numPr>
        <w:spacing w:line="360" w:lineRule="auto"/>
        <w:ind w:left="420" w:leftChars="0"/>
        <w:jc w:val="both"/>
        <w:rPr>
          <w:rFonts w:ascii="宋体" w:hAnsi="宋体" w:cs="宋体"/>
          <w:color w:val="auto"/>
          <w:sz w:val="24"/>
          <w:highlight w:val="none"/>
        </w:rPr>
      </w:pPr>
      <w:r>
        <w:rPr>
          <w:rFonts w:hint="eastAsia" w:ascii="宋体" w:hAnsi="宋体" w:cs="宋体"/>
          <w:color w:val="auto"/>
          <w:sz w:val="24"/>
          <w:highlight w:val="none"/>
        </w:rPr>
        <w:t>安全文明施工要求</w:t>
      </w:r>
    </w:p>
    <w:p w14:paraId="1CF0CBAB">
      <w:pPr>
        <w:pStyle w:val="22"/>
        <w:numPr>
          <w:ilvl w:val="0"/>
          <w:numId w:val="4"/>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成交供应商应对进度施工现场的施工人员进行安全文明施工教育，配备必要的劳动保护用具，保证工程的施工安全和人身安全。</w:t>
      </w:r>
    </w:p>
    <w:p w14:paraId="13216B2B">
      <w:pPr>
        <w:pStyle w:val="22"/>
        <w:numPr>
          <w:ilvl w:val="0"/>
          <w:numId w:val="4"/>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成交供应商应强化安全意识，抓好安全生产，杜绝事故发生，施工中若因供应商原因发生安全及人身事故由成交供应商自行负责处理，并承担全部费用。</w:t>
      </w:r>
    </w:p>
    <w:p w14:paraId="53EB0F60">
      <w:pPr>
        <w:pStyle w:val="22"/>
        <w:numPr>
          <w:ilvl w:val="0"/>
          <w:numId w:val="4"/>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成交供应商须遵守地方政府和有关部门及采购人对施工场地交通、环卫、安全和施工噪音等的管理规定。</w:t>
      </w:r>
    </w:p>
    <w:p w14:paraId="0C6FD05B">
      <w:pPr>
        <w:pStyle w:val="22"/>
        <w:numPr>
          <w:ilvl w:val="0"/>
          <w:numId w:val="4"/>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成交供应商应采取有效措施尽量减小尘土和噪音污染。</w:t>
      </w:r>
    </w:p>
    <w:p w14:paraId="2D8C181E">
      <w:pPr>
        <w:pStyle w:val="22"/>
        <w:numPr>
          <w:ilvl w:val="0"/>
          <w:numId w:val="3"/>
        </w:numPr>
        <w:spacing w:line="360" w:lineRule="auto"/>
        <w:ind w:left="420" w:leftChars="0"/>
        <w:jc w:val="both"/>
        <w:rPr>
          <w:rFonts w:ascii="宋体" w:hAnsi="宋体" w:cs="宋体"/>
          <w:color w:val="auto"/>
          <w:sz w:val="24"/>
          <w:highlight w:val="none"/>
        </w:rPr>
      </w:pPr>
      <w:r>
        <w:rPr>
          <w:rFonts w:hint="eastAsia" w:ascii="宋体" w:hAnsi="宋体" w:cs="宋体"/>
          <w:color w:val="auto"/>
          <w:sz w:val="24"/>
          <w:highlight w:val="none"/>
        </w:rPr>
        <w:t>其它施工过程中需注意事项</w:t>
      </w:r>
    </w:p>
    <w:p w14:paraId="5BBD62CD">
      <w:pPr>
        <w:pStyle w:val="22"/>
        <w:numPr>
          <w:ilvl w:val="0"/>
          <w:numId w:val="5"/>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本</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在施工期间，成交供应商应注意保护好采购人周边现有成品，如有损坏，须无条件修复。</w:t>
      </w:r>
    </w:p>
    <w:p w14:paraId="545575C2">
      <w:pPr>
        <w:pStyle w:val="22"/>
        <w:numPr>
          <w:ilvl w:val="0"/>
          <w:numId w:val="5"/>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废弃材料不得丢弃或随意堆放在</w:t>
      </w:r>
      <w:r>
        <w:rPr>
          <w:rFonts w:hint="eastAsia" w:ascii="宋体" w:hAnsi="宋体" w:cs="宋体"/>
          <w:color w:val="auto"/>
          <w:sz w:val="24"/>
          <w:highlight w:val="none"/>
          <w:lang w:val="en-US" w:eastAsia="zh-CN"/>
        </w:rPr>
        <w:t>场地外</w:t>
      </w:r>
      <w:r>
        <w:rPr>
          <w:rFonts w:hint="eastAsia" w:ascii="宋体" w:hAnsi="宋体" w:cs="宋体"/>
          <w:color w:val="auto"/>
          <w:sz w:val="24"/>
          <w:highlight w:val="none"/>
        </w:rPr>
        <w:t>，清理产生的拆除费、搬运费、交通运输费等各项费用均由供应商自行考虑并计入响应总价且一次性包干</w:t>
      </w:r>
      <w:r>
        <w:rPr>
          <w:rFonts w:hint="eastAsia" w:ascii="宋体" w:hAnsi="宋体" w:cs="宋体"/>
          <w:color w:val="auto"/>
          <w:sz w:val="24"/>
          <w:highlight w:val="none"/>
          <w:lang w:eastAsia="zh-CN"/>
        </w:rPr>
        <w:t>。</w:t>
      </w:r>
    </w:p>
    <w:p w14:paraId="665E20EA">
      <w:pPr>
        <w:pStyle w:val="22"/>
        <w:numPr>
          <w:ilvl w:val="0"/>
          <w:numId w:val="5"/>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完工后，成交供应商需对施工现场进行全面的清洁工作。</w:t>
      </w:r>
    </w:p>
    <w:p w14:paraId="53596E92">
      <w:pPr>
        <w:pStyle w:val="971"/>
        <w:spacing w:line="360" w:lineRule="auto"/>
        <w:ind w:left="210" w:firstLine="240" w:firstLineChars="100"/>
        <w:jc w:val="left"/>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管理要求</w:t>
      </w:r>
    </w:p>
    <w:p w14:paraId="4C68E1E9">
      <w:pPr>
        <w:pStyle w:val="22"/>
        <w:numPr>
          <w:ilvl w:val="0"/>
          <w:numId w:val="6"/>
        </w:numPr>
        <w:spacing w:line="360" w:lineRule="auto"/>
        <w:ind w:left="420" w:leftChars="0"/>
        <w:jc w:val="both"/>
        <w:rPr>
          <w:rFonts w:ascii="宋体" w:hAnsi="宋体" w:cs="宋体"/>
          <w:color w:val="auto"/>
          <w:sz w:val="24"/>
          <w:highlight w:val="none"/>
        </w:rPr>
      </w:pP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管理原则：</w:t>
      </w:r>
    </w:p>
    <w:p w14:paraId="07EF99D2">
      <w:pPr>
        <w:pStyle w:val="971"/>
        <w:tabs>
          <w:tab w:val="left" w:pos="420"/>
        </w:tabs>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①在</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实施过程中，如发现成交供应商</w:t>
      </w:r>
      <w:r>
        <w:rPr>
          <w:rFonts w:hint="eastAsia" w:ascii="宋体" w:hAnsi="宋体" w:cs="宋体"/>
          <w:color w:val="auto"/>
          <w:sz w:val="24"/>
          <w:highlight w:val="none"/>
          <w:lang w:val="en-US" w:eastAsia="zh-CN"/>
        </w:rPr>
        <w:t>有转包行为的</w:t>
      </w:r>
      <w:r>
        <w:rPr>
          <w:rFonts w:hint="eastAsia" w:ascii="宋体" w:hAnsi="宋体" w:cs="宋体"/>
          <w:color w:val="auto"/>
          <w:sz w:val="24"/>
          <w:highlight w:val="none"/>
        </w:rPr>
        <w:t>，采购人可立即终止合同。成交供应商应承担由此引起的一切经济责任和法律责任。</w:t>
      </w:r>
    </w:p>
    <w:p w14:paraId="108F5DF0">
      <w:pPr>
        <w:pStyle w:val="971"/>
        <w:tabs>
          <w:tab w:val="left" w:pos="420"/>
        </w:tabs>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②成交供应商须严格按照</w:t>
      </w:r>
      <w:r>
        <w:rPr>
          <w:rFonts w:hint="eastAsia" w:ascii="宋体" w:hAnsi="宋体" w:cs="宋体"/>
          <w:color w:val="auto"/>
          <w:sz w:val="24"/>
          <w:highlight w:val="none"/>
          <w:lang w:val="en-US" w:eastAsia="zh-CN"/>
        </w:rPr>
        <w:t>施工图和</w:t>
      </w:r>
      <w:r>
        <w:rPr>
          <w:rFonts w:hint="eastAsia" w:ascii="宋体" w:hAnsi="宋体" w:cs="宋体"/>
          <w:color w:val="auto"/>
          <w:sz w:val="24"/>
          <w:highlight w:val="none"/>
        </w:rPr>
        <w:t>施工技术方</w:t>
      </w:r>
      <w:r>
        <w:rPr>
          <w:rFonts w:hint="eastAsia" w:ascii="宋体" w:hAnsi="宋体" w:cs="宋体"/>
          <w:color w:val="auto"/>
          <w:sz w:val="24"/>
          <w:highlight w:val="none"/>
          <w:lang w:val="en-US" w:eastAsia="zh-CN"/>
        </w:rPr>
        <w:t>案</w:t>
      </w:r>
      <w:r>
        <w:rPr>
          <w:rFonts w:hint="eastAsia" w:ascii="宋体" w:hAnsi="宋体" w:cs="宋体"/>
          <w:color w:val="auto"/>
          <w:sz w:val="24"/>
          <w:highlight w:val="none"/>
        </w:rPr>
        <w:t>组织实施，并无条件接受采购人的管理。</w:t>
      </w:r>
    </w:p>
    <w:p w14:paraId="1F7DAC3D">
      <w:pPr>
        <w:pStyle w:val="971"/>
        <w:tabs>
          <w:tab w:val="left" w:pos="420"/>
        </w:tabs>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③成交供应商在响应文件中确定的工程项目经理及项目管理班子人员，未经采购人同意，不得调换和撤离</w:t>
      </w:r>
      <w:r>
        <w:rPr>
          <w:rFonts w:hint="eastAsia" w:ascii="宋体" w:hAnsi="宋体" w:cs="宋体"/>
          <w:color w:val="auto"/>
          <w:sz w:val="24"/>
          <w:highlight w:val="none"/>
          <w:lang w:eastAsia="zh-CN"/>
        </w:rPr>
        <w:t>。</w:t>
      </w:r>
      <w:r>
        <w:rPr>
          <w:rFonts w:hint="eastAsia" w:ascii="宋体" w:hAnsi="宋体" w:cs="宋体"/>
          <w:color w:val="auto"/>
          <w:sz w:val="24"/>
          <w:highlight w:val="none"/>
        </w:rPr>
        <w:t>本</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确定的成交人的项目管理班子成员，不得兼任其他</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职务。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进展，否则，采购人有权单方面终止合同，并对由此造成的采购人损失，予以追究赔偿。</w:t>
      </w:r>
    </w:p>
    <w:p w14:paraId="15767FD7">
      <w:pPr>
        <w:pStyle w:val="22"/>
        <w:numPr>
          <w:ilvl w:val="0"/>
          <w:numId w:val="6"/>
        </w:numPr>
        <w:spacing w:line="360" w:lineRule="auto"/>
        <w:ind w:left="420" w:leftChars="0"/>
        <w:jc w:val="both"/>
        <w:rPr>
          <w:rFonts w:ascii="宋体" w:hAnsi="宋体" w:cs="宋体"/>
          <w:color w:val="auto"/>
          <w:sz w:val="24"/>
          <w:highlight w:val="none"/>
        </w:rPr>
      </w:pPr>
      <w:r>
        <w:rPr>
          <w:rFonts w:hint="eastAsia" w:ascii="宋体" w:hAnsi="宋体" w:cs="宋体"/>
          <w:color w:val="auto"/>
          <w:sz w:val="24"/>
          <w:highlight w:val="none"/>
        </w:rPr>
        <w:t>项目管理班子人员要求:</w:t>
      </w:r>
    </w:p>
    <w:p w14:paraId="7B0BECC0">
      <w:pPr>
        <w:pStyle w:val="971"/>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①项目经理：本项目拟派项目经理除具备</w:t>
      </w:r>
      <w:r>
        <w:rPr>
          <w:rFonts w:hint="eastAsia" w:ascii="宋体" w:hAnsi="宋体" w:cs="宋体"/>
          <w:color w:val="auto"/>
          <w:sz w:val="24"/>
          <w:highlight w:val="none"/>
          <w:lang w:eastAsia="zh-CN"/>
        </w:rPr>
        <w:t>建筑工程专业贰级及以上资格、</w:t>
      </w:r>
      <w:r>
        <w:rPr>
          <w:rFonts w:hint="eastAsia" w:ascii="宋体" w:hAnsi="宋体" w:cs="宋体"/>
          <w:color w:val="auto"/>
          <w:sz w:val="24"/>
          <w:highlight w:val="none"/>
          <w:lang w:val="en-US" w:eastAsia="zh-CN"/>
        </w:rPr>
        <w:t>无在建工程</w:t>
      </w:r>
      <w:r>
        <w:rPr>
          <w:rFonts w:hint="eastAsia" w:ascii="宋体" w:hAnsi="宋体" w:cs="宋体"/>
          <w:color w:val="auto"/>
          <w:sz w:val="24"/>
          <w:highlight w:val="none"/>
        </w:rPr>
        <w:t>外，还应具有类似施工经验以及相关专业技术职称；</w:t>
      </w:r>
    </w:p>
    <w:p w14:paraId="2C49B337">
      <w:pPr>
        <w:pStyle w:val="971"/>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②</w:t>
      </w:r>
      <w:r>
        <w:rPr>
          <w:rFonts w:hint="eastAsia" w:ascii="宋体" w:hAnsi="宋体" w:cs="宋体"/>
          <w:color w:val="auto"/>
          <w:sz w:val="24"/>
          <w:highlight w:val="none"/>
          <w:lang w:val="en-US" w:eastAsia="zh-CN"/>
        </w:rPr>
        <w:t>技术负责人：本项目拟派技术负责人</w:t>
      </w:r>
      <w:r>
        <w:rPr>
          <w:rFonts w:hint="eastAsia" w:ascii="宋体" w:hAnsi="宋体" w:cs="宋体"/>
          <w:color w:val="auto"/>
          <w:sz w:val="24"/>
          <w:highlight w:val="none"/>
        </w:rPr>
        <w:t>应具有类似工程施工经验以及相关专业技术职称；</w:t>
      </w:r>
    </w:p>
    <w:p w14:paraId="7D353273">
      <w:pPr>
        <w:pStyle w:val="971"/>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③拟派项目管理班子中</w:t>
      </w:r>
      <w:r>
        <w:rPr>
          <w:rFonts w:hint="eastAsia" w:ascii="宋体" w:hAnsi="宋体" w:cs="宋体"/>
          <w:color w:val="auto"/>
          <w:sz w:val="24"/>
          <w:highlight w:val="none"/>
          <w:lang w:val="en-US" w:eastAsia="zh-CN"/>
        </w:rPr>
        <w:t>需配备1名专职</w:t>
      </w:r>
      <w:r>
        <w:rPr>
          <w:rFonts w:hint="eastAsia" w:ascii="宋体" w:hAnsi="宋体" w:cs="宋体"/>
          <w:color w:val="auto"/>
          <w:sz w:val="24"/>
          <w:highlight w:val="none"/>
        </w:rPr>
        <w:t>安全员。</w:t>
      </w:r>
    </w:p>
    <w:p w14:paraId="381AE34B">
      <w:pPr>
        <w:pStyle w:val="22"/>
        <w:numPr>
          <w:ilvl w:val="0"/>
          <w:numId w:val="6"/>
        </w:numPr>
        <w:spacing w:line="360" w:lineRule="auto"/>
        <w:ind w:left="420" w:leftChars="0"/>
        <w:jc w:val="both"/>
        <w:rPr>
          <w:rFonts w:ascii="宋体" w:hAnsi="宋体" w:cs="宋体"/>
          <w:color w:val="auto"/>
          <w:sz w:val="24"/>
          <w:highlight w:val="none"/>
        </w:rPr>
      </w:pP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管理其他要求</w:t>
      </w:r>
    </w:p>
    <w:p w14:paraId="553248DD">
      <w:pPr>
        <w:pStyle w:val="971"/>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①本项目施工现场采购人不提供食宿，施工期间，所有施工人员的食宿均由成交供应商自行安排，材料的堆放及停车必须服从采购人的</w:t>
      </w:r>
      <w:r>
        <w:rPr>
          <w:rFonts w:hint="eastAsia" w:ascii="宋体" w:hAnsi="宋体" w:cs="宋体"/>
          <w:color w:val="auto"/>
          <w:sz w:val="24"/>
          <w:highlight w:val="none"/>
          <w:lang w:eastAsia="zh-CN"/>
        </w:rPr>
        <w:t>管理</w:t>
      </w:r>
      <w:r>
        <w:rPr>
          <w:rFonts w:hint="eastAsia" w:ascii="宋体" w:hAnsi="宋体" w:cs="宋体"/>
          <w:color w:val="auto"/>
          <w:sz w:val="24"/>
          <w:highlight w:val="none"/>
        </w:rPr>
        <w:t>。</w:t>
      </w:r>
    </w:p>
    <w:p w14:paraId="27D7219E">
      <w:pPr>
        <w:pStyle w:val="971"/>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②施工现场严禁吸烟。</w:t>
      </w:r>
    </w:p>
    <w:p w14:paraId="1E5267B7">
      <w:p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三、商务要求</w:t>
      </w:r>
    </w:p>
    <w:p w14:paraId="49668009">
      <w:pPr>
        <w:spacing w:line="360" w:lineRule="auto"/>
        <w:ind w:left="210" w:leftChars="100" w:firstLine="240" w:firstLineChars="100"/>
        <w:jc w:val="left"/>
        <w:rPr>
          <w:rFonts w:hint="eastAsia" w:ascii="宋体" w:hAnsi="宋体" w:cs="宋体"/>
          <w:color w:val="auto"/>
          <w:sz w:val="24"/>
          <w:highlight w:val="none"/>
          <w:lang w:eastAsia="zh-CN"/>
        </w:rPr>
      </w:pPr>
      <w:r>
        <w:rPr>
          <w:rFonts w:hint="eastAsia" w:ascii="宋体" w:hAnsi="宋体" w:cs="宋体"/>
          <w:color w:val="auto"/>
          <w:sz w:val="24"/>
          <w:highlight w:val="none"/>
        </w:rPr>
        <w:t>1.工期要求：</w:t>
      </w:r>
      <w:r>
        <w:rPr>
          <w:rFonts w:hint="eastAsia" w:ascii="宋体" w:hAnsi="宋体" w:cs="宋体"/>
          <w:color w:val="auto"/>
          <w:sz w:val="24"/>
          <w:highlight w:val="none"/>
          <w:lang w:val="en-US" w:eastAsia="zh-CN"/>
        </w:rPr>
        <w:t>60</w:t>
      </w:r>
      <w:r>
        <w:rPr>
          <w:rFonts w:hint="eastAsia" w:ascii="宋体" w:hAnsi="宋体" w:cs="宋体"/>
          <w:color w:val="auto"/>
          <w:sz w:val="24"/>
          <w:highlight w:val="none"/>
          <w:lang w:eastAsia="zh-CN"/>
        </w:rPr>
        <w:t>日历天</w:t>
      </w:r>
    </w:p>
    <w:p w14:paraId="5111070A">
      <w:pPr>
        <w:spacing w:line="360" w:lineRule="auto"/>
        <w:ind w:left="210" w:leftChars="100" w:firstLine="240" w:firstLineChars="1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地点：</w:t>
      </w:r>
      <w:r>
        <w:rPr>
          <w:rFonts w:hint="eastAsia" w:ascii="宋体" w:hAnsi="宋体" w:cs="宋体"/>
          <w:color w:val="auto"/>
          <w:sz w:val="24"/>
          <w:highlight w:val="none"/>
          <w:lang w:val="en-US" w:eastAsia="zh-CN"/>
        </w:rPr>
        <w:t>杭州市钱塘区观澜中学</w:t>
      </w:r>
    </w:p>
    <w:p w14:paraId="0583B565">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rPr>
        <w:t>3.付款条件：</w:t>
      </w:r>
    </w:p>
    <w:p w14:paraId="1C811BCE">
      <w:pPr>
        <w:snapToGrid w:val="0"/>
        <w:spacing w:line="360" w:lineRule="auto"/>
        <w:ind w:right="143" w:rightChars="68" w:firstLine="561" w:firstLineChars="234"/>
        <w:jc w:val="left"/>
        <w:rPr>
          <w:rFonts w:hint="eastAsia" w:ascii="宋体" w:hAnsi="宋体" w:cs="宋体"/>
          <w:color w:val="auto"/>
          <w:sz w:val="24"/>
          <w:highlight w:val="none"/>
        </w:rPr>
      </w:pPr>
      <w:r>
        <w:rPr>
          <w:rFonts w:hint="eastAsia" w:ascii="宋体" w:hAnsi="宋体" w:cs="宋体"/>
          <w:color w:val="auto"/>
          <w:sz w:val="24"/>
          <w:highlight w:val="none"/>
        </w:rPr>
        <w:t>在合同生效以及具备实施条件后7个工作日内，发包人向承包人预付合同金额(不含暂列金)的50%作为工程预付款（中标人需提供相应的预付款保函后方可支付预付款）。竣工验收合格、符合竣工退场要求，并且提交完整的相关竣工结算审核资料，经审核认可后支付至该工程合同范围内实际完成工程量的</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0％，待审核完成且完整的资料归档后支付至结算价的100%,结算价的1.5%作为工程质量保证金（以银行保函的方式递交）。</w:t>
      </w:r>
    </w:p>
    <w:p w14:paraId="1400F0C6">
      <w:pPr>
        <w:snapToGrid w:val="0"/>
        <w:spacing w:line="360" w:lineRule="auto"/>
        <w:ind w:right="143" w:rightChars="68" w:firstLine="561" w:firstLineChars="234"/>
        <w:jc w:val="left"/>
        <w:rPr>
          <w:rFonts w:ascii="宋体" w:hAnsi="宋体" w:cs="宋体"/>
          <w:color w:val="auto"/>
          <w:sz w:val="24"/>
          <w:highlight w:val="none"/>
        </w:rPr>
      </w:pPr>
      <w:r>
        <w:rPr>
          <w:rFonts w:hint="eastAsia" w:ascii="宋体" w:hAnsi="宋体" w:cs="宋体"/>
          <w:color w:val="auto"/>
          <w:sz w:val="24"/>
          <w:highlight w:val="none"/>
        </w:rPr>
        <w:t>4.本项目履约保证金按合同价的1%计算（保留</w:t>
      </w:r>
      <w:r>
        <w:rPr>
          <w:rFonts w:hint="eastAsia" w:ascii="宋体" w:hAnsi="宋体" w:cs="宋体"/>
          <w:color w:val="auto"/>
          <w:sz w:val="24"/>
          <w:highlight w:val="none"/>
          <w:lang w:val="en-US" w:eastAsia="zh-CN"/>
        </w:rPr>
        <w:t>至元</w:t>
      </w:r>
      <w:r>
        <w:rPr>
          <w:rFonts w:hint="eastAsia" w:ascii="宋体" w:hAnsi="宋体" w:cs="宋体"/>
          <w:color w:val="auto"/>
          <w:sz w:val="24"/>
          <w:highlight w:val="none"/>
        </w:rPr>
        <w:t>），合同签订后5个工作日内缴纳，履约保证金以转账、金融机构、担保机构出具的保函等非现金形式缴纳。项目验收合格后无异议，30天内</w:t>
      </w:r>
      <w:r>
        <w:rPr>
          <w:rFonts w:hint="eastAsia" w:ascii="宋体" w:hAnsi="宋体" w:cs="宋体"/>
          <w:color w:val="auto"/>
          <w:sz w:val="24"/>
          <w:highlight w:val="none"/>
          <w:lang w:eastAsia="zh-CN"/>
        </w:rPr>
        <w:t>及时</w:t>
      </w:r>
      <w:r>
        <w:rPr>
          <w:rFonts w:hint="eastAsia" w:ascii="宋体" w:hAnsi="宋体" w:cs="宋体"/>
          <w:color w:val="auto"/>
          <w:sz w:val="24"/>
          <w:highlight w:val="none"/>
        </w:rPr>
        <w:t>退回。</w:t>
      </w:r>
    </w:p>
    <w:p w14:paraId="244D648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.工程售后服务要求</w:t>
      </w:r>
    </w:p>
    <w:p w14:paraId="3E3467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（1）保修期</w:t>
      </w:r>
      <w:r>
        <w:rPr>
          <w:rFonts w:hint="eastAsia" w:ascii="宋体" w:hAnsi="宋体" w:cs="宋体"/>
          <w:color w:val="auto"/>
          <w:sz w:val="24"/>
          <w:highlight w:val="none"/>
          <w:lang w:val="en-US" w:eastAsia="zh-CN"/>
        </w:rPr>
        <w:t>为</w:t>
      </w:r>
      <w:r>
        <w:rPr>
          <w:rFonts w:hint="eastAsia" w:ascii="宋体" w:hAnsi="宋体" w:cs="宋体"/>
          <w:color w:val="auto"/>
          <w:sz w:val="24"/>
          <w:highlight w:val="none"/>
        </w:rPr>
        <w:t>本项目验收合格后不少于</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w:t>
      </w:r>
      <w:r>
        <w:rPr>
          <w:rFonts w:hint="eastAsia" w:ascii="宋体" w:hAnsi="宋体" w:cs="宋体"/>
          <w:color w:val="auto"/>
          <w:sz w:val="24"/>
          <w:highlight w:val="none"/>
          <w:lang w:eastAsia="zh-CN"/>
        </w:rPr>
        <w:t>，</w:t>
      </w:r>
      <w:r>
        <w:rPr>
          <w:rFonts w:hint="eastAsia" w:ascii="宋体" w:hAnsi="宋体" w:cs="宋体"/>
          <w:color w:val="auto"/>
          <w:sz w:val="24"/>
          <w:highlight w:val="none"/>
        </w:rPr>
        <w:t>在质量保修期内，按照有关法律、法规、规章的管理规定和双方约定，承担本工程质量保修责任。</w:t>
      </w:r>
    </w:p>
    <w:p w14:paraId="5D9B0F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（2）在保修期内，成交供应商对有缺陷的部位必须无偿地给予修理与更换，并承担一切由此引起的对采购人或第三者的直接损失，除非该缺陷是不可抗</w:t>
      </w:r>
      <w:r>
        <w:rPr>
          <w:rFonts w:hint="eastAsia" w:ascii="宋体" w:hAnsi="宋体" w:cs="宋体"/>
          <w:color w:val="auto"/>
          <w:sz w:val="24"/>
          <w:highlight w:val="none"/>
          <w:lang w:val="en-US" w:eastAsia="zh-CN"/>
        </w:rPr>
        <w:t>力因素</w:t>
      </w:r>
      <w:r>
        <w:rPr>
          <w:rFonts w:hint="eastAsia" w:ascii="宋体" w:hAnsi="宋体" w:cs="宋体"/>
          <w:color w:val="auto"/>
          <w:sz w:val="24"/>
          <w:highlight w:val="none"/>
        </w:rPr>
        <w:t>造成的损坏。</w:t>
      </w:r>
    </w:p>
    <w:p w14:paraId="0E1F81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（3）成交供应商必须对所承包的工程的质量负全部责任，其责任不因其他材料生产商提供的保证书而减轻或更改。</w:t>
      </w:r>
    </w:p>
    <w:p w14:paraId="43D6466F">
      <w:pPr>
        <w:spacing w:line="360" w:lineRule="auto"/>
        <w:ind w:left="210" w:leftChars="100" w:firstLine="240" w:firstLineChars="100"/>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6.本项目不允许中标后转包。</w:t>
      </w:r>
    </w:p>
    <w:p w14:paraId="4F0FAA0C">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.其他商务要求（包装和运输、保险等）</w:t>
      </w:r>
    </w:p>
    <w:p w14:paraId="683B18B6">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（1）供应商应当将因搬运不便而产生的二次搬运费用计算在磋商报价中。</w:t>
      </w:r>
    </w:p>
    <w:p w14:paraId="18598C0B">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（2）供应商应当</w:t>
      </w:r>
      <w:r>
        <w:rPr>
          <w:rFonts w:hint="eastAsia" w:ascii="宋体" w:hAnsi="宋体" w:cs="宋体"/>
          <w:color w:val="auto"/>
          <w:sz w:val="24"/>
          <w:highlight w:val="none"/>
          <w:lang w:val="en-US" w:eastAsia="zh-CN"/>
        </w:rPr>
        <w:t>在项目开工前办理建筑工程一切险、第三者责任险方可进场开工，与之</w:t>
      </w:r>
      <w:r>
        <w:rPr>
          <w:rFonts w:hint="eastAsia" w:ascii="宋体" w:hAnsi="宋体" w:cs="宋体"/>
          <w:color w:val="auto"/>
          <w:sz w:val="24"/>
          <w:highlight w:val="none"/>
        </w:rPr>
        <w:t>相关费用计算在磋商报价中。</w:t>
      </w:r>
    </w:p>
    <w:p w14:paraId="7C897DE2">
      <w:pPr>
        <w:spacing w:line="360" w:lineRule="auto"/>
        <w:jc w:val="left"/>
        <w:rPr>
          <w:rFonts w:ascii="宋体" w:hAnsi="宋体" w:cs="宋体"/>
          <w:b/>
          <w:color w:val="auto"/>
          <w:sz w:val="24"/>
          <w:highlight w:val="none"/>
        </w:rPr>
      </w:pPr>
      <w:r>
        <w:rPr>
          <w:rFonts w:hint="eastAsia" w:ascii="宋体" w:hAnsi="宋体" w:cs="宋体"/>
          <w:b/>
          <w:color w:val="auto"/>
          <w:sz w:val="24"/>
          <w:highlight w:val="none"/>
          <w:lang w:eastAsia="zh-CN"/>
        </w:rPr>
        <w:t>四</w:t>
      </w:r>
      <w:r>
        <w:rPr>
          <w:rFonts w:hint="eastAsia" w:ascii="宋体" w:hAnsi="宋体" w:cs="宋体"/>
          <w:b/>
          <w:color w:val="auto"/>
          <w:sz w:val="24"/>
          <w:highlight w:val="none"/>
        </w:rPr>
        <w:t>、其他要求</w:t>
      </w:r>
    </w:p>
    <w:p w14:paraId="1F3F5B80">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1）各供应商应先到工地踏勘以充分了解工地位置、现状情况、及任何其它足以影响磋商报价的情况，任何因忽视或误解工地情况而导致的行政处罚、索赔或工期延长申请将不获批准。本项目为综合单价合同，除了清单和图纸（如有）外，可能涉及一些零星工程，请根据工地踏勘的实际情况进行综合考虑报价。在规定工期内完成采购范围全部工程内容的所有费用，包括完成本工程的直接费、间接费、利润、税金、风险费等，后期均不做调整。</w:t>
      </w:r>
    </w:p>
    <w:p w14:paraId="1BA62788">
      <w:pPr>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（2）因工程施工要求或工程管理要求而产生的各项潜在费用支出均由供应商自行考虑并计入响应总价且一次性包干。</w:t>
      </w:r>
    </w:p>
    <w:p w14:paraId="40EA7822">
      <w:pPr>
        <w:snapToGrid w:val="0"/>
        <w:spacing w:line="360" w:lineRule="auto"/>
        <w:ind w:firstLine="422"/>
        <w:rPr>
          <w:rFonts w:ascii="宋体" w:hAnsi="宋体" w:cs="宋体"/>
          <w:color w:val="auto"/>
          <w:kern w:val="0"/>
          <w:sz w:val="24"/>
          <w:highlight w:val="none"/>
        </w:rPr>
      </w:pPr>
      <w:r>
        <w:rPr>
          <w:rFonts w:hint="eastAsia" w:ascii="宋体" w:hAnsi="宋体" w:cs="宋体"/>
          <w:color w:val="auto"/>
          <w:sz w:val="24"/>
          <w:highlight w:val="none"/>
        </w:rPr>
        <w:t>（3）</w:t>
      </w:r>
      <w:r>
        <w:rPr>
          <w:rFonts w:hint="eastAsia" w:ascii="宋体" w:hAnsi="宋体" w:cs="宋体"/>
          <w:color w:val="auto"/>
          <w:kern w:val="0"/>
          <w:sz w:val="24"/>
          <w:highlight w:val="none"/>
          <w:lang w:val="en-US" w:eastAsia="zh-CN"/>
        </w:rPr>
        <w:t>本项目为全天全封闭施工需配备封闭围挡、执勤保安、引导标牌等措施请各供应商综合考虑计入报价内</w:t>
      </w:r>
      <w:r>
        <w:rPr>
          <w:rFonts w:hint="eastAsia" w:ascii="宋体" w:hAnsi="宋体" w:cs="宋体"/>
          <w:color w:val="auto"/>
          <w:kern w:val="0"/>
          <w:sz w:val="24"/>
          <w:highlight w:val="none"/>
        </w:rPr>
        <w:t>。</w:t>
      </w:r>
    </w:p>
    <w:p w14:paraId="25817587">
      <w:pPr>
        <w:snapToGrid w:val="0"/>
        <w:spacing w:line="360" w:lineRule="auto"/>
        <w:ind w:firstLine="422"/>
        <w:rPr>
          <w:rFonts w:ascii="宋体" w:hAnsi="宋体" w:cs="宋体"/>
          <w:color w:val="auto"/>
          <w:kern w:val="0"/>
          <w:sz w:val="24"/>
          <w:highlight w:val="none"/>
        </w:rPr>
      </w:pPr>
      <w:r>
        <w:rPr>
          <w:rFonts w:hint="eastAsia" w:ascii="宋体" w:hAnsi="宋体" w:cs="宋体"/>
          <w:color w:val="auto"/>
          <w:sz w:val="24"/>
          <w:highlight w:val="none"/>
        </w:rPr>
        <w:t>（4）</w:t>
      </w:r>
      <w:r>
        <w:rPr>
          <w:rFonts w:hint="eastAsia" w:ascii="宋体" w:hAnsi="宋体" w:cs="宋体"/>
          <w:color w:val="auto"/>
          <w:kern w:val="0"/>
          <w:sz w:val="24"/>
          <w:highlight w:val="none"/>
        </w:rPr>
        <w:t>与报价相关的其他事宜见本项目“工程量清单”。</w:t>
      </w:r>
    </w:p>
    <w:p w14:paraId="01DC24E5">
      <w:pPr>
        <w:snapToGrid w:val="0"/>
        <w:spacing w:line="360" w:lineRule="auto"/>
        <w:ind w:firstLine="422"/>
        <w:rPr>
          <w:rFonts w:ascii="宋体" w:hAnsi="宋体" w:cs="宋体"/>
          <w:color w:val="auto"/>
          <w:kern w:val="0"/>
          <w:sz w:val="24"/>
          <w:highlight w:val="none"/>
        </w:rPr>
      </w:pPr>
      <w:r>
        <w:rPr>
          <w:rFonts w:hint="eastAsia" w:ascii="宋体" w:hAnsi="宋体" w:cs="宋体"/>
          <w:color w:val="auto"/>
          <w:kern w:val="0"/>
          <w:sz w:val="24"/>
          <w:highlight w:val="none"/>
        </w:rPr>
        <w:t>（5）技术响应要求：</w:t>
      </w:r>
    </w:p>
    <w:p w14:paraId="0DA27681">
      <w:pPr>
        <w:pStyle w:val="971"/>
        <w:numPr>
          <w:ilvl w:val="0"/>
          <w:numId w:val="7"/>
        </w:numPr>
        <w:spacing w:line="360" w:lineRule="auto"/>
        <w:ind w:firstLineChars="0"/>
        <w:jc w:val="left"/>
        <w:rPr>
          <w:rFonts w:ascii="宋体" w:hAnsi="宋体" w:cs="宋体"/>
          <w:color w:val="auto"/>
          <w:sz w:val="24"/>
          <w:highlight w:val="none"/>
        </w:rPr>
      </w:pPr>
      <w:r>
        <w:rPr>
          <w:rFonts w:hint="eastAsia" w:ascii="宋体" w:hAnsi="宋体" w:cs="宋体"/>
          <w:color w:val="auto"/>
          <w:sz w:val="24"/>
          <w:highlight w:val="none"/>
        </w:rPr>
        <w:t>供应商应当有全面、合理、针对本项目的工程施工技术方案和措施，此工程施工技术方案应当具有明确的针对性和可操作性，各项施工措施应当明确、到位；</w:t>
      </w:r>
    </w:p>
    <w:p w14:paraId="077F5938">
      <w:pPr>
        <w:numPr>
          <w:ilvl w:val="0"/>
          <w:numId w:val="7"/>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供应商应当有全面、合理、针对本项目的施工</w:t>
      </w:r>
      <w:r>
        <w:rPr>
          <w:rFonts w:hint="eastAsia" w:ascii="宋体" w:hAnsi="宋体" w:cs="宋体"/>
          <w:color w:val="auto"/>
          <w:sz w:val="24"/>
          <w:highlight w:val="none"/>
          <w:lang w:eastAsia="zh-CN"/>
        </w:rPr>
        <w:t>技术</w:t>
      </w:r>
      <w:r>
        <w:rPr>
          <w:rFonts w:hint="eastAsia" w:ascii="宋体" w:hAnsi="宋体" w:cs="宋体"/>
          <w:color w:val="auto"/>
          <w:sz w:val="24"/>
          <w:highlight w:val="none"/>
        </w:rPr>
        <w:t xml:space="preserve">，此施工组织设计应当具有明确的针对性和可操作性，施工组织设计应当明确、到位； </w:t>
      </w:r>
    </w:p>
    <w:p w14:paraId="48A07F56">
      <w:pPr>
        <w:numPr>
          <w:ilvl w:val="0"/>
          <w:numId w:val="7"/>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供应商应当有特殊施工环境的具体措施、预防自然灾害(台风及防汛等)的组织和技术措施；</w:t>
      </w:r>
    </w:p>
    <w:p w14:paraId="506E2CAE">
      <w:pPr>
        <w:numPr>
          <w:ilvl w:val="0"/>
          <w:numId w:val="7"/>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供应商应当有针对</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特点、难点的分析，并根据本项目的特点、难点提出有针对性的施工方案与措施；</w:t>
      </w:r>
    </w:p>
    <w:p w14:paraId="1034D345">
      <w:pPr>
        <w:numPr>
          <w:ilvl w:val="0"/>
          <w:numId w:val="7"/>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供应商应具有针对本项目的具体施工质量控制措施，质量控制措施应当完善、到位；</w:t>
      </w:r>
    </w:p>
    <w:p w14:paraId="6E27AAC3">
      <w:pPr>
        <w:numPr>
          <w:ilvl w:val="0"/>
          <w:numId w:val="7"/>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供应商应当有全面、合理、针对本项目的施工方法，主要施工方法应当具有明确的针对性和可操作性，对施工的各道程序应当明确、到位；</w:t>
      </w:r>
    </w:p>
    <w:p w14:paraId="25D2E9D9">
      <w:pPr>
        <w:numPr>
          <w:ilvl w:val="0"/>
          <w:numId w:val="7"/>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供应商应具有针对本项目的具体安全、环保、消防等的保证措施，控制措施应当完善、到位；</w:t>
      </w:r>
    </w:p>
    <w:p w14:paraId="04D1FEE6">
      <w:pPr>
        <w:numPr>
          <w:ilvl w:val="0"/>
          <w:numId w:val="7"/>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供应商拟投入的管理人员的岗位、专业及各专业工种劳动力配置应当满足施工工程现场的要求；</w:t>
      </w:r>
    </w:p>
    <w:p w14:paraId="3C9552FE">
      <w:pPr>
        <w:numPr>
          <w:ilvl w:val="0"/>
          <w:numId w:val="7"/>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供应商拟投入的施工机具和检验仪器应当满足施工工程现场的要求，其中施工机械和设备应当同时考虑</w:t>
      </w:r>
      <w:r>
        <w:rPr>
          <w:rFonts w:hint="eastAsia" w:ascii="宋体" w:hAnsi="宋体" w:cs="宋体"/>
          <w:color w:val="auto"/>
          <w:sz w:val="24"/>
          <w:highlight w:val="none"/>
          <w:lang w:eastAsia="zh-CN"/>
        </w:rPr>
        <w:t>项目</w:t>
      </w:r>
      <w:r>
        <w:rPr>
          <w:rFonts w:hint="eastAsia" w:ascii="宋体" w:hAnsi="宋体" w:cs="宋体"/>
          <w:color w:val="auto"/>
          <w:sz w:val="24"/>
          <w:highlight w:val="none"/>
        </w:rPr>
        <w:t>的需要；</w:t>
      </w:r>
    </w:p>
    <w:p w14:paraId="7BEBCC88">
      <w:pPr>
        <w:numPr>
          <w:ilvl w:val="0"/>
          <w:numId w:val="7"/>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供应商应当有针对</w:t>
      </w:r>
      <w:r>
        <w:rPr>
          <w:rFonts w:hint="eastAsia" w:ascii="宋体" w:hAnsi="宋体" w:cs="宋体"/>
          <w:color w:val="auto"/>
          <w:sz w:val="24"/>
          <w:highlight w:val="none"/>
          <w:lang w:val="en-US" w:eastAsia="zh-CN"/>
        </w:rPr>
        <w:t>性</w:t>
      </w:r>
      <w:r>
        <w:rPr>
          <w:rFonts w:hint="eastAsia" w:ascii="宋体" w:hAnsi="宋体" w:cs="宋体"/>
          <w:color w:val="auto"/>
          <w:sz w:val="24"/>
          <w:highlight w:val="none"/>
        </w:rPr>
        <w:t>施工计划，施工计划应当包含施工的各个环节；</w:t>
      </w:r>
    </w:p>
    <w:p w14:paraId="76593685">
      <w:pPr>
        <w:numPr>
          <w:ilvl w:val="0"/>
          <w:numId w:val="7"/>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供应商应当具有针对本项目的具体成品保护措施，措施应当完善、到位</w:t>
      </w:r>
      <w:r>
        <w:rPr>
          <w:rFonts w:hint="eastAsia" w:ascii="宋体" w:hAnsi="宋体" w:cs="宋体"/>
          <w:color w:val="auto"/>
          <w:sz w:val="24"/>
          <w:highlight w:val="none"/>
          <w:lang w:eastAsia="zh-CN"/>
        </w:rPr>
        <w:t>。</w:t>
      </w:r>
    </w:p>
    <w:p w14:paraId="6467859E">
      <w:pPr>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五</w:t>
      </w:r>
      <w:r>
        <w:rPr>
          <w:rFonts w:hint="eastAsia" w:ascii="宋体" w:hAnsi="宋体" w:eastAsia="宋体" w:cs="宋体"/>
          <w:b/>
          <w:color w:val="auto"/>
          <w:sz w:val="24"/>
          <w:highlight w:val="none"/>
        </w:rPr>
        <w:t>、其他要求</w:t>
      </w:r>
    </w:p>
    <w:p w14:paraId="57F82041">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（一）</w:t>
      </w:r>
      <w:r>
        <w:rPr>
          <w:rFonts w:hint="eastAsia" w:ascii="宋体" w:hAnsi="宋体" w:eastAsia="宋体" w:cs="宋体"/>
          <w:color w:val="auto"/>
          <w:sz w:val="24"/>
          <w:szCs w:val="24"/>
          <w:highlight w:val="none"/>
        </w:rPr>
        <w:t>本磋商文件中带“▲”的条款内容，为本次磋商的实质性内容，供应商必须全部响应，否则将作无效标处理。“★”的条款内容为重要性条款</w:t>
      </w:r>
      <w:r>
        <w:rPr>
          <w:rFonts w:hint="eastAsia" w:ascii="宋体" w:hAnsi="宋体" w:cs="宋体"/>
          <w:color w:val="auto"/>
          <w:sz w:val="24"/>
          <w:szCs w:val="24"/>
          <w:highlight w:val="none"/>
          <w:lang w:eastAsia="zh-CN"/>
        </w:rPr>
        <w:t>（如有）</w:t>
      </w:r>
      <w:r>
        <w:rPr>
          <w:rFonts w:hint="eastAsia" w:ascii="宋体" w:hAnsi="宋体" w:eastAsia="宋体" w:cs="宋体"/>
          <w:color w:val="auto"/>
          <w:sz w:val="24"/>
          <w:szCs w:val="24"/>
          <w:highlight w:val="none"/>
        </w:rPr>
        <w:t>。</w:t>
      </w:r>
    </w:p>
    <w:p w14:paraId="0C3B6162">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（二）</w:t>
      </w:r>
      <w:r>
        <w:rPr>
          <w:rFonts w:hint="eastAsia" w:ascii="宋体" w:hAnsi="宋体" w:eastAsia="宋体" w:cs="宋体"/>
          <w:color w:val="auto"/>
          <w:sz w:val="24"/>
          <w:szCs w:val="24"/>
          <w:highlight w:val="none"/>
        </w:rPr>
        <w:t>磋商响应供应商认为优于磋商需求的其他相关证明材料。</w:t>
      </w:r>
    </w:p>
    <w:p w14:paraId="0CC16EEA">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（三）</w:t>
      </w:r>
      <w:r>
        <w:rPr>
          <w:rFonts w:hint="eastAsia" w:ascii="宋体" w:hAnsi="宋体" w:eastAsia="宋体" w:cs="宋体"/>
          <w:color w:val="auto"/>
          <w:sz w:val="24"/>
          <w:szCs w:val="24"/>
          <w:highlight w:val="none"/>
        </w:rPr>
        <w:t>磋商报价要求：总报价指包括为完成本项目服务所支付的人工费、材料费、机械费、制作标书费、税费及其他一切费用。</w:t>
      </w:r>
    </w:p>
    <w:p w14:paraId="1736E5BE">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（四）</w:t>
      </w:r>
      <w:r>
        <w:rPr>
          <w:rFonts w:hint="eastAsia" w:ascii="宋体" w:hAnsi="宋体" w:eastAsia="宋体" w:cs="宋体"/>
          <w:color w:val="auto"/>
          <w:sz w:val="24"/>
          <w:szCs w:val="24"/>
          <w:highlight w:val="none"/>
        </w:rPr>
        <w:t>文件中所提的是基本服务要求，供应商应根据相关法律法规及采购人机构特点，提供更为完善的服务。</w:t>
      </w:r>
    </w:p>
    <w:p w14:paraId="0A0BEB8B">
      <w:pPr>
        <w:pStyle w:val="81"/>
        <w:pageBreakBefore w:val="0"/>
        <w:kinsoku/>
        <w:wordWrap/>
        <w:overflowPunct/>
        <w:topLinePunct w:val="0"/>
        <w:autoSpaceDE/>
        <w:autoSpaceDN/>
        <w:bidi w:val="0"/>
        <w:spacing w:line="360" w:lineRule="auto"/>
        <w:ind w:left="0" w:leftChars="0" w:right="0" w:rightChars="0" w:firstLine="422"/>
        <w:textAlignment w:val="auto"/>
        <w:rPr>
          <w:rFonts w:hint="eastAsia" w:ascii="宋体" w:hAnsi="宋体"/>
          <w:color w:val="auto"/>
          <w:sz w:val="24"/>
          <w:szCs w:val="24"/>
          <w:highlight w:val="none"/>
        </w:rPr>
      </w:pPr>
    </w:p>
    <w:p w14:paraId="27483062">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5C1C99C7">
      <w:pPr>
        <w:snapToGrid w:val="0"/>
        <w:spacing w:line="360" w:lineRule="auto"/>
        <w:jc w:val="center"/>
        <w:rPr>
          <w:rFonts w:ascii="宋体" w:hAnsi="宋体" w:cs="宋体"/>
          <w:b/>
          <w:color w:val="auto"/>
          <w:sz w:val="36"/>
          <w:szCs w:val="20"/>
          <w:highlight w:val="none"/>
        </w:rPr>
      </w:pPr>
      <w:r>
        <w:rPr>
          <w:rFonts w:hint="eastAsia" w:ascii="宋体" w:hAnsi="宋体" w:cs="宋体"/>
          <w:b/>
          <w:color w:val="auto"/>
          <w:sz w:val="36"/>
          <w:szCs w:val="20"/>
          <w:highlight w:val="none"/>
        </w:rPr>
        <w:t>第四部分</w:t>
      </w:r>
      <w:bookmarkStart w:id="32" w:name="_Toc184310308"/>
      <w:bookmarkEnd w:id="32"/>
      <w:bookmarkStart w:id="33" w:name="_Toc184314477"/>
      <w:bookmarkEnd w:id="33"/>
      <w:bookmarkStart w:id="34" w:name="_Toc184312121"/>
      <w:bookmarkEnd w:id="34"/>
      <w:bookmarkStart w:id="35" w:name="_Toc184314414"/>
      <w:bookmarkEnd w:id="35"/>
      <w:bookmarkStart w:id="36" w:name="_Toc184310318"/>
      <w:bookmarkEnd w:id="36"/>
      <w:bookmarkStart w:id="37" w:name="_Toc184313247"/>
      <w:bookmarkEnd w:id="37"/>
      <w:bookmarkStart w:id="38" w:name="_Toc184308050"/>
      <w:bookmarkEnd w:id="38"/>
      <w:bookmarkStart w:id="39" w:name="_Toc184314435"/>
      <w:bookmarkEnd w:id="39"/>
      <w:bookmarkStart w:id="40" w:name="_Toc184314417"/>
      <w:bookmarkEnd w:id="40"/>
      <w:bookmarkStart w:id="41" w:name="_Toc184310328"/>
      <w:bookmarkEnd w:id="41"/>
      <w:bookmarkStart w:id="42" w:name="_Toc184308051"/>
      <w:bookmarkEnd w:id="42"/>
      <w:bookmarkStart w:id="43" w:name="_Toc184310286"/>
      <w:bookmarkEnd w:id="43"/>
      <w:bookmarkStart w:id="44" w:name="_Toc184310338"/>
      <w:bookmarkEnd w:id="44"/>
      <w:bookmarkStart w:id="45" w:name="_Toc184308078"/>
      <w:bookmarkEnd w:id="45"/>
      <w:bookmarkStart w:id="46" w:name="_Toc184313286"/>
      <w:bookmarkEnd w:id="46"/>
      <w:bookmarkStart w:id="47" w:name="_Toc184308038"/>
      <w:bookmarkEnd w:id="47"/>
      <w:bookmarkStart w:id="48" w:name="_Toc184310289"/>
      <w:bookmarkEnd w:id="48"/>
      <w:bookmarkStart w:id="49" w:name="_Toc184308082"/>
      <w:bookmarkEnd w:id="49"/>
      <w:bookmarkStart w:id="50" w:name="_Toc184310336"/>
      <w:bookmarkEnd w:id="50"/>
      <w:bookmarkStart w:id="51" w:name="_Toc184310329"/>
      <w:bookmarkEnd w:id="51"/>
      <w:bookmarkStart w:id="52" w:name="_Toc184312070"/>
      <w:bookmarkEnd w:id="52"/>
      <w:bookmarkStart w:id="53" w:name="_Toc184312089"/>
      <w:bookmarkEnd w:id="53"/>
      <w:bookmarkStart w:id="54" w:name="_Toc184310300"/>
      <w:bookmarkEnd w:id="54"/>
      <w:bookmarkStart w:id="55" w:name="_Toc184310291"/>
      <w:bookmarkEnd w:id="55"/>
      <w:bookmarkStart w:id="56" w:name="_Toc184308081"/>
      <w:bookmarkEnd w:id="56"/>
      <w:bookmarkStart w:id="57" w:name="_Toc184314438"/>
      <w:bookmarkEnd w:id="57"/>
      <w:bookmarkStart w:id="58" w:name="_Toc184310295"/>
      <w:bookmarkEnd w:id="58"/>
      <w:bookmarkStart w:id="59" w:name="_Toc184312113"/>
      <w:bookmarkEnd w:id="59"/>
      <w:bookmarkStart w:id="60" w:name="_Toc184314467"/>
      <w:bookmarkEnd w:id="60"/>
      <w:bookmarkStart w:id="61" w:name="_Toc184313274"/>
      <w:bookmarkEnd w:id="61"/>
      <w:bookmarkStart w:id="62" w:name="_Toc184310281"/>
      <w:bookmarkEnd w:id="62"/>
      <w:bookmarkStart w:id="63" w:name="_Toc184310284"/>
      <w:bookmarkEnd w:id="63"/>
      <w:bookmarkStart w:id="64" w:name="_Toc184310332"/>
      <w:bookmarkEnd w:id="64"/>
      <w:bookmarkStart w:id="65" w:name="_Toc184313288"/>
      <w:bookmarkEnd w:id="65"/>
      <w:bookmarkStart w:id="66" w:name="_Toc184310316"/>
      <w:bookmarkEnd w:id="66"/>
      <w:bookmarkStart w:id="67" w:name="_Toc184312115"/>
      <w:bookmarkEnd w:id="67"/>
      <w:bookmarkStart w:id="68" w:name="_Toc184310323"/>
      <w:bookmarkEnd w:id="68"/>
      <w:bookmarkStart w:id="69" w:name="_Toc184314428"/>
      <w:bookmarkEnd w:id="69"/>
      <w:bookmarkStart w:id="70" w:name="_Toc184313275"/>
      <w:bookmarkEnd w:id="70"/>
      <w:bookmarkStart w:id="71" w:name="_Toc184312104"/>
      <w:bookmarkEnd w:id="71"/>
      <w:bookmarkStart w:id="72" w:name="_Toc184308060"/>
      <w:bookmarkEnd w:id="72"/>
      <w:bookmarkStart w:id="73" w:name="_Toc184314450"/>
      <w:bookmarkEnd w:id="73"/>
      <w:bookmarkStart w:id="74" w:name="_Toc184312076"/>
      <w:bookmarkEnd w:id="74"/>
      <w:bookmarkStart w:id="75" w:name="_Toc184312068"/>
      <w:bookmarkEnd w:id="75"/>
      <w:bookmarkStart w:id="76" w:name="_Toc184314478"/>
      <w:bookmarkEnd w:id="76"/>
      <w:bookmarkStart w:id="77" w:name="_Toc184312132"/>
      <w:bookmarkEnd w:id="77"/>
      <w:bookmarkStart w:id="78" w:name="_Toc184312127"/>
      <w:bookmarkEnd w:id="78"/>
      <w:bookmarkStart w:id="79" w:name="_Toc184314425"/>
      <w:bookmarkEnd w:id="79"/>
      <w:bookmarkStart w:id="80" w:name="_Toc184313308"/>
      <w:bookmarkEnd w:id="80"/>
      <w:bookmarkStart w:id="81" w:name="_Toc184312133"/>
      <w:bookmarkEnd w:id="81"/>
      <w:bookmarkStart w:id="82" w:name="_Toc184310290"/>
      <w:bookmarkEnd w:id="82"/>
      <w:bookmarkStart w:id="83" w:name="_Toc184313267"/>
      <w:bookmarkEnd w:id="83"/>
      <w:bookmarkStart w:id="84" w:name="_Toc184312137"/>
      <w:bookmarkEnd w:id="84"/>
      <w:bookmarkStart w:id="85" w:name="_Toc184308036"/>
      <w:bookmarkEnd w:id="85"/>
      <w:bookmarkStart w:id="86" w:name="_Toc184312120"/>
      <w:bookmarkEnd w:id="86"/>
      <w:bookmarkStart w:id="87" w:name="_Toc184308052"/>
      <w:bookmarkEnd w:id="87"/>
      <w:bookmarkStart w:id="88" w:name="_Toc184313299"/>
      <w:bookmarkEnd w:id="88"/>
      <w:bookmarkStart w:id="89" w:name="_Toc184313298"/>
      <w:bookmarkEnd w:id="89"/>
      <w:bookmarkStart w:id="90" w:name="_Toc184310298"/>
      <w:bookmarkEnd w:id="90"/>
      <w:bookmarkStart w:id="91" w:name="_Toc184313266"/>
      <w:bookmarkEnd w:id="91"/>
      <w:bookmarkStart w:id="92" w:name="_Toc184312086"/>
      <w:bookmarkEnd w:id="92"/>
      <w:bookmarkStart w:id="93" w:name="_Toc184312139"/>
      <w:bookmarkEnd w:id="93"/>
      <w:bookmarkStart w:id="94" w:name="_Toc184313290"/>
      <w:bookmarkEnd w:id="94"/>
      <w:bookmarkStart w:id="95" w:name="_Toc184310280"/>
      <w:bookmarkEnd w:id="95"/>
      <w:bookmarkStart w:id="96" w:name="_Toc184310324"/>
      <w:bookmarkEnd w:id="96"/>
      <w:bookmarkStart w:id="97" w:name="_Toc184310344"/>
      <w:bookmarkEnd w:id="97"/>
      <w:bookmarkStart w:id="98" w:name="_Toc184312091"/>
      <w:bookmarkEnd w:id="98"/>
      <w:bookmarkStart w:id="99" w:name="_Toc184314412"/>
      <w:bookmarkEnd w:id="99"/>
      <w:bookmarkStart w:id="100" w:name="_Toc184308055"/>
      <w:bookmarkEnd w:id="100"/>
      <w:bookmarkStart w:id="101" w:name="_Toc184314463"/>
      <w:bookmarkEnd w:id="101"/>
      <w:bookmarkStart w:id="102" w:name="_Toc184312081"/>
      <w:bookmarkEnd w:id="102"/>
      <w:bookmarkStart w:id="103" w:name="_Toc184313278"/>
      <w:bookmarkEnd w:id="103"/>
      <w:bookmarkStart w:id="104" w:name="_Toc184310296"/>
      <w:bookmarkEnd w:id="104"/>
      <w:bookmarkStart w:id="105" w:name="_Toc184314421"/>
      <w:bookmarkEnd w:id="105"/>
      <w:bookmarkStart w:id="106" w:name="_Toc184310314"/>
      <w:bookmarkEnd w:id="106"/>
      <w:bookmarkStart w:id="107" w:name="_Toc184308057"/>
      <w:bookmarkEnd w:id="107"/>
      <w:bookmarkStart w:id="108" w:name="_Toc184314447"/>
      <w:bookmarkEnd w:id="108"/>
      <w:bookmarkStart w:id="109" w:name="_Toc184308100"/>
      <w:bookmarkEnd w:id="109"/>
      <w:bookmarkStart w:id="110" w:name="_Toc184308067"/>
      <w:bookmarkEnd w:id="110"/>
      <w:bookmarkStart w:id="111" w:name="_Toc184314457"/>
      <w:bookmarkEnd w:id="111"/>
      <w:bookmarkStart w:id="112" w:name="_Toc184308108"/>
      <w:bookmarkEnd w:id="112"/>
      <w:bookmarkStart w:id="113" w:name="_Toc184314481"/>
      <w:bookmarkEnd w:id="113"/>
      <w:bookmarkStart w:id="114" w:name="_Toc184313252"/>
      <w:bookmarkEnd w:id="114"/>
      <w:bookmarkStart w:id="115" w:name="_Toc184312083"/>
      <w:bookmarkEnd w:id="115"/>
      <w:bookmarkStart w:id="116" w:name="_Toc184310325"/>
      <w:bookmarkEnd w:id="116"/>
      <w:bookmarkStart w:id="117" w:name="_Toc184310309"/>
      <w:bookmarkEnd w:id="117"/>
      <w:bookmarkStart w:id="118" w:name="_Toc184308037"/>
      <w:bookmarkEnd w:id="118"/>
      <w:bookmarkStart w:id="119" w:name="_Toc184314418"/>
      <w:bookmarkEnd w:id="119"/>
      <w:bookmarkStart w:id="120" w:name="_Toc184314420"/>
      <w:bookmarkEnd w:id="120"/>
      <w:bookmarkStart w:id="121" w:name="_Toc184314444"/>
      <w:bookmarkEnd w:id="121"/>
      <w:bookmarkStart w:id="122" w:name="_Toc184312112"/>
      <w:bookmarkEnd w:id="122"/>
      <w:bookmarkStart w:id="123" w:name="_Toc184312101"/>
      <w:bookmarkEnd w:id="123"/>
      <w:bookmarkStart w:id="124" w:name="_Toc184312097"/>
      <w:bookmarkEnd w:id="124"/>
      <w:bookmarkStart w:id="125" w:name="_Toc184313245"/>
      <w:bookmarkEnd w:id="125"/>
      <w:bookmarkStart w:id="126" w:name="_Toc184308054"/>
      <w:bookmarkEnd w:id="126"/>
      <w:bookmarkStart w:id="127" w:name="_Toc184313305"/>
      <w:bookmarkEnd w:id="127"/>
      <w:bookmarkStart w:id="128" w:name="_Toc184308047"/>
      <w:bookmarkEnd w:id="128"/>
      <w:bookmarkStart w:id="129" w:name="_Toc184312111"/>
      <w:bookmarkEnd w:id="129"/>
      <w:bookmarkStart w:id="130" w:name="_Toc184314475"/>
      <w:bookmarkEnd w:id="130"/>
      <w:bookmarkStart w:id="131" w:name="_Toc184308092"/>
      <w:bookmarkEnd w:id="131"/>
      <w:bookmarkStart w:id="132" w:name="_Toc184312093"/>
      <w:bookmarkEnd w:id="132"/>
      <w:bookmarkStart w:id="133" w:name="_Toc184308046"/>
      <w:bookmarkEnd w:id="133"/>
      <w:bookmarkStart w:id="134" w:name="_Toc184314445"/>
      <w:bookmarkEnd w:id="134"/>
      <w:bookmarkStart w:id="135" w:name="_Toc184313259"/>
      <w:bookmarkEnd w:id="135"/>
      <w:bookmarkStart w:id="136" w:name="_Toc184308106"/>
      <w:bookmarkEnd w:id="136"/>
      <w:bookmarkStart w:id="137" w:name="_Toc184308074"/>
      <w:bookmarkEnd w:id="137"/>
      <w:bookmarkStart w:id="138" w:name="_Toc184308076"/>
      <w:bookmarkEnd w:id="138"/>
      <w:bookmarkStart w:id="139" w:name="_Toc184308091"/>
      <w:bookmarkEnd w:id="139"/>
      <w:bookmarkStart w:id="140" w:name="_Toc184314474"/>
      <w:bookmarkEnd w:id="140"/>
      <w:bookmarkStart w:id="141" w:name="_Toc184308073"/>
      <w:bookmarkEnd w:id="141"/>
      <w:bookmarkStart w:id="142" w:name="_Toc184308066"/>
      <w:bookmarkEnd w:id="142"/>
      <w:bookmarkStart w:id="143" w:name="_Toc184312119"/>
      <w:bookmarkEnd w:id="143"/>
      <w:bookmarkStart w:id="144" w:name="_Toc184312134"/>
      <w:bookmarkEnd w:id="144"/>
      <w:bookmarkStart w:id="145" w:name="_Toc184314479"/>
      <w:bookmarkEnd w:id="145"/>
      <w:bookmarkStart w:id="146" w:name="_Toc184310319"/>
      <w:bookmarkEnd w:id="146"/>
      <w:bookmarkStart w:id="147" w:name="_Toc184312138"/>
      <w:bookmarkEnd w:id="147"/>
      <w:bookmarkStart w:id="148" w:name="_Toc184312123"/>
      <w:bookmarkEnd w:id="148"/>
      <w:bookmarkStart w:id="149" w:name="_Toc184312105"/>
      <w:bookmarkEnd w:id="149"/>
      <w:bookmarkStart w:id="150" w:name="_Toc184314466"/>
      <w:bookmarkEnd w:id="150"/>
      <w:bookmarkStart w:id="151" w:name="_Toc184308064"/>
      <w:bookmarkEnd w:id="151"/>
      <w:bookmarkStart w:id="152" w:name="_Toc184314449"/>
      <w:bookmarkEnd w:id="152"/>
      <w:bookmarkStart w:id="153" w:name="_Toc184313302"/>
      <w:bookmarkEnd w:id="153"/>
      <w:bookmarkStart w:id="154" w:name="_Toc184313273"/>
      <w:bookmarkEnd w:id="154"/>
      <w:bookmarkStart w:id="155" w:name="_Toc184310292"/>
      <w:bookmarkEnd w:id="155"/>
      <w:bookmarkStart w:id="156" w:name="_Toc184312069"/>
      <w:bookmarkEnd w:id="156"/>
      <w:bookmarkStart w:id="157" w:name="_Toc184308095"/>
      <w:bookmarkEnd w:id="157"/>
      <w:bookmarkStart w:id="158" w:name="_Toc184314437"/>
      <w:bookmarkEnd w:id="158"/>
      <w:bookmarkStart w:id="159" w:name="_Toc184308086"/>
      <w:bookmarkEnd w:id="159"/>
      <w:bookmarkStart w:id="160" w:name="_Toc184312129"/>
      <w:bookmarkEnd w:id="160"/>
      <w:bookmarkStart w:id="161" w:name="_Toc184310293"/>
      <w:bookmarkEnd w:id="161"/>
      <w:bookmarkStart w:id="162" w:name="_Toc184313277"/>
      <w:bookmarkEnd w:id="162"/>
      <w:bookmarkStart w:id="163" w:name="_Toc184312094"/>
      <w:bookmarkEnd w:id="163"/>
      <w:bookmarkStart w:id="164" w:name="_Toc184313293"/>
      <w:bookmarkEnd w:id="164"/>
      <w:bookmarkStart w:id="165" w:name="_Toc184313301"/>
      <w:bookmarkEnd w:id="165"/>
      <w:bookmarkStart w:id="166" w:name="_Toc184314476"/>
      <w:bookmarkEnd w:id="166"/>
      <w:bookmarkStart w:id="167" w:name="_Toc184314462"/>
      <w:bookmarkEnd w:id="167"/>
      <w:bookmarkStart w:id="168" w:name="_Toc184310326"/>
      <w:bookmarkEnd w:id="168"/>
      <w:bookmarkStart w:id="169" w:name="_Toc184314434"/>
      <w:bookmarkEnd w:id="169"/>
      <w:bookmarkStart w:id="170" w:name="_Toc184310279"/>
      <w:bookmarkEnd w:id="170"/>
      <w:bookmarkStart w:id="171" w:name="_Toc184313271"/>
      <w:bookmarkEnd w:id="171"/>
      <w:bookmarkStart w:id="172" w:name="_Toc184314455"/>
      <w:bookmarkEnd w:id="172"/>
      <w:bookmarkStart w:id="173" w:name="_Toc184310302"/>
      <w:bookmarkEnd w:id="173"/>
      <w:bookmarkStart w:id="174" w:name="_Toc184313241"/>
      <w:bookmarkEnd w:id="174"/>
      <w:bookmarkStart w:id="175" w:name="_Toc184314410"/>
      <w:bookmarkEnd w:id="175"/>
      <w:bookmarkStart w:id="176" w:name="_Toc184314432"/>
      <w:bookmarkEnd w:id="176"/>
      <w:bookmarkStart w:id="177" w:name="_Toc184314413"/>
      <w:bookmarkEnd w:id="177"/>
      <w:bookmarkStart w:id="178" w:name="_Toc184308093"/>
      <w:bookmarkEnd w:id="178"/>
      <w:bookmarkStart w:id="179" w:name="_Toc184310276"/>
      <w:bookmarkEnd w:id="179"/>
      <w:bookmarkStart w:id="180" w:name="_Toc184310331"/>
      <w:bookmarkEnd w:id="180"/>
      <w:bookmarkStart w:id="181" w:name="_Toc184314454"/>
      <w:bookmarkEnd w:id="181"/>
      <w:bookmarkStart w:id="182" w:name="_Toc184314471"/>
      <w:bookmarkEnd w:id="182"/>
      <w:bookmarkStart w:id="183" w:name="_Toc184312077"/>
      <w:bookmarkEnd w:id="183"/>
      <w:bookmarkStart w:id="184" w:name="_Toc184313279"/>
      <w:bookmarkEnd w:id="184"/>
      <w:bookmarkStart w:id="185" w:name="_Toc184314419"/>
      <w:bookmarkEnd w:id="185"/>
      <w:bookmarkStart w:id="186" w:name="_Toc184314442"/>
      <w:bookmarkEnd w:id="186"/>
      <w:bookmarkStart w:id="187" w:name="_Toc184313295"/>
      <w:bookmarkEnd w:id="187"/>
      <w:bookmarkStart w:id="188" w:name="_Toc184314439"/>
      <w:bookmarkEnd w:id="188"/>
      <w:bookmarkStart w:id="189" w:name="_Toc184312074"/>
      <w:bookmarkEnd w:id="189"/>
      <w:bookmarkStart w:id="190" w:name="_Toc184313264"/>
      <w:bookmarkEnd w:id="190"/>
      <w:bookmarkStart w:id="191" w:name="_Toc184312109"/>
      <w:bookmarkEnd w:id="191"/>
      <w:bookmarkStart w:id="192" w:name="_Toc184313248"/>
      <w:bookmarkEnd w:id="192"/>
      <w:bookmarkStart w:id="193" w:name="_Toc184312095"/>
      <w:bookmarkEnd w:id="193"/>
      <w:bookmarkStart w:id="194" w:name="_Toc184313269"/>
      <w:bookmarkEnd w:id="194"/>
      <w:bookmarkStart w:id="195" w:name="_Toc184308088"/>
      <w:bookmarkEnd w:id="195"/>
      <w:bookmarkStart w:id="196" w:name="_Toc184308097"/>
      <w:bookmarkEnd w:id="196"/>
      <w:bookmarkStart w:id="197" w:name="_Toc184314482"/>
      <w:bookmarkEnd w:id="197"/>
      <w:bookmarkStart w:id="198" w:name="_Toc184312122"/>
      <w:bookmarkEnd w:id="198"/>
      <w:bookmarkStart w:id="199" w:name="_Toc184310310"/>
      <w:bookmarkEnd w:id="199"/>
      <w:bookmarkStart w:id="200" w:name="_Toc184308096"/>
      <w:bookmarkEnd w:id="200"/>
      <w:bookmarkStart w:id="201" w:name="_Toc184314464"/>
      <w:bookmarkEnd w:id="201"/>
      <w:bookmarkStart w:id="202" w:name="_Toc184312110"/>
      <w:bookmarkEnd w:id="202"/>
      <w:bookmarkStart w:id="203" w:name="_Toc184312087"/>
      <w:bookmarkEnd w:id="203"/>
      <w:bookmarkStart w:id="204" w:name="_Toc184308041"/>
      <w:bookmarkEnd w:id="204"/>
      <w:bookmarkStart w:id="205" w:name="_Toc184310337"/>
      <w:bookmarkEnd w:id="205"/>
      <w:bookmarkStart w:id="206" w:name="_Toc184314429"/>
      <w:bookmarkEnd w:id="206"/>
      <w:bookmarkStart w:id="207" w:name="_Toc184313243"/>
      <w:bookmarkEnd w:id="207"/>
      <w:bookmarkStart w:id="208" w:name="_Toc184313254"/>
      <w:bookmarkEnd w:id="208"/>
      <w:bookmarkStart w:id="209" w:name="_Toc184313249"/>
      <w:bookmarkEnd w:id="209"/>
      <w:bookmarkStart w:id="210" w:name="_Toc184308063"/>
      <w:bookmarkEnd w:id="210"/>
      <w:bookmarkStart w:id="211" w:name="_Toc184308077"/>
      <w:bookmarkEnd w:id="211"/>
      <w:bookmarkStart w:id="212" w:name="_Toc184314458"/>
      <w:bookmarkEnd w:id="212"/>
      <w:bookmarkStart w:id="213" w:name="_Toc184312131"/>
      <w:bookmarkEnd w:id="213"/>
      <w:bookmarkStart w:id="214" w:name="_Toc184313283"/>
      <w:bookmarkEnd w:id="214"/>
      <w:bookmarkStart w:id="215" w:name="_Toc184313261"/>
      <w:bookmarkEnd w:id="215"/>
      <w:bookmarkStart w:id="216" w:name="_Toc184308048"/>
      <w:bookmarkEnd w:id="216"/>
      <w:bookmarkStart w:id="217" w:name="_Toc184310317"/>
      <w:bookmarkEnd w:id="217"/>
      <w:bookmarkStart w:id="218" w:name="_Toc184314440"/>
      <w:bookmarkEnd w:id="218"/>
      <w:bookmarkStart w:id="219" w:name="_Toc184310312"/>
      <w:bookmarkEnd w:id="219"/>
      <w:bookmarkStart w:id="220" w:name="_Toc184314443"/>
      <w:bookmarkEnd w:id="220"/>
      <w:bookmarkStart w:id="221" w:name="_Toc184312114"/>
      <w:bookmarkEnd w:id="221"/>
      <w:bookmarkStart w:id="222" w:name="_Toc184310339"/>
      <w:bookmarkEnd w:id="222"/>
      <w:bookmarkStart w:id="223" w:name="_Toc184310277"/>
      <w:bookmarkEnd w:id="223"/>
      <w:bookmarkStart w:id="224" w:name="_Toc184308069"/>
      <w:bookmarkEnd w:id="224"/>
      <w:bookmarkStart w:id="225" w:name="_Toc184312098"/>
      <w:bookmarkEnd w:id="225"/>
      <w:bookmarkStart w:id="226" w:name="_Toc184310333"/>
      <w:bookmarkEnd w:id="226"/>
      <w:bookmarkStart w:id="227" w:name="_Toc184312075"/>
      <w:bookmarkEnd w:id="227"/>
      <w:bookmarkStart w:id="228" w:name="_Toc184310273"/>
      <w:bookmarkEnd w:id="228"/>
      <w:bookmarkStart w:id="229" w:name="_Toc184312084"/>
      <w:bookmarkEnd w:id="229"/>
      <w:bookmarkStart w:id="230" w:name="_Toc184310294"/>
      <w:bookmarkEnd w:id="230"/>
      <w:bookmarkStart w:id="231" w:name="_Toc184308099"/>
      <w:bookmarkEnd w:id="231"/>
      <w:bookmarkStart w:id="232" w:name="_Toc184314430"/>
      <w:bookmarkEnd w:id="232"/>
      <w:bookmarkStart w:id="233" w:name="_Toc184310274"/>
      <w:bookmarkEnd w:id="233"/>
      <w:bookmarkStart w:id="234" w:name="_Toc184312082"/>
      <w:bookmarkEnd w:id="234"/>
      <w:bookmarkStart w:id="235" w:name="_Toc184312067"/>
      <w:bookmarkEnd w:id="235"/>
      <w:bookmarkStart w:id="236" w:name="_Toc184313281"/>
      <w:bookmarkEnd w:id="236"/>
      <w:bookmarkStart w:id="237" w:name="_Toc184310342"/>
      <w:bookmarkEnd w:id="237"/>
      <w:bookmarkStart w:id="238" w:name="_Toc184310315"/>
      <w:bookmarkEnd w:id="238"/>
      <w:bookmarkStart w:id="239" w:name="_Toc184314433"/>
      <w:bookmarkEnd w:id="239"/>
      <w:bookmarkStart w:id="240" w:name="_Toc184310272"/>
      <w:bookmarkEnd w:id="240"/>
      <w:bookmarkStart w:id="241" w:name="_Toc184314415"/>
      <w:bookmarkEnd w:id="241"/>
      <w:bookmarkStart w:id="242" w:name="_Toc184310285"/>
      <w:bookmarkEnd w:id="242"/>
      <w:bookmarkStart w:id="243" w:name="_Toc184310275"/>
      <w:bookmarkEnd w:id="243"/>
      <w:bookmarkStart w:id="244" w:name="_Toc184313280"/>
      <w:bookmarkEnd w:id="244"/>
      <w:bookmarkStart w:id="245" w:name="_Toc184314461"/>
      <w:bookmarkEnd w:id="245"/>
      <w:bookmarkStart w:id="246" w:name="_Toc184314448"/>
      <w:bookmarkEnd w:id="246"/>
      <w:bookmarkStart w:id="247" w:name="_Toc184314473"/>
      <w:bookmarkEnd w:id="247"/>
      <w:bookmarkStart w:id="248" w:name="_Toc184312108"/>
      <w:bookmarkEnd w:id="248"/>
      <w:bookmarkStart w:id="249" w:name="_Toc184310288"/>
      <w:bookmarkEnd w:id="249"/>
      <w:bookmarkStart w:id="250" w:name="_Toc184312092"/>
      <w:bookmarkEnd w:id="250"/>
      <w:bookmarkStart w:id="251" w:name="_Toc184308056"/>
      <w:bookmarkEnd w:id="251"/>
      <w:bookmarkStart w:id="252" w:name="_Toc184310340"/>
      <w:bookmarkEnd w:id="252"/>
      <w:bookmarkStart w:id="253" w:name="_Toc184314465"/>
      <w:bookmarkEnd w:id="253"/>
      <w:bookmarkStart w:id="254" w:name="_Toc184308101"/>
      <w:bookmarkEnd w:id="254"/>
      <w:bookmarkStart w:id="255" w:name="_Toc184308104"/>
      <w:bookmarkEnd w:id="255"/>
      <w:bookmarkStart w:id="256" w:name="_Toc184312102"/>
      <w:bookmarkEnd w:id="256"/>
      <w:bookmarkStart w:id="257" w:name="_Toc184313289"/>
      <w:bookmarkEnd w:id="257"/>
      <w:bookmarkStart w:id="258" w:name="_Toc184312085"/>
      <w:bookmarkEnd w:id="258"/>
      <w:bookmarkStart w:id="259" w:name="_Toc184313239"/>
      <w:bookmarkEnd w:id="259"/>
      <w:bookmarkStart w:id="260" w:name="_Toc184314469"/>
      <w:bookmarkEnd w:id="260"/>
      <w:bookmarkStart w:id="261" w:name="_Toc184310343"/>
      <w:bookmarkEnd w:id="261"/>
      <w:bookmarkStart w:id="262" w:name="_Toc184313244"/>
      <w:bookmarkEnd w:id="262"/>
      <w:bookmarkStart w:id="263" w:name="_Toc184312100"/>
      <w:bookmarkEnd w:id="263"/>
      <w:bookmarkStart w:id="264" w:name="_Toc184312079"/>
      <w:bookmarkEnd w:id="264"/>
      <w:bookmarkStart w:id="265" w:name="_Toc184313257"/>
      <w:bookmarkEnd w:id="265"/>
      <w:bookmarkStart w:id="266" w:name="_Toc184308080"/>
      <w:bookmarkEnd w:id="266"/>
      <w:bookmarkStart w:id="267" w:name="_Toc184310304"/>
      <w:bookmarkEnd w:id="267"/>
      <w:bookmarkStart w:id="268" w:name="_Toc184310335"/>
      <w:bookmarkEnd w:id="268"/>
      <w:bookmarkStart w:id="269" w:name="_Toc184312099"/>
      <w:bookmarkEnd w:id="269"/>
      <w:bookmarkStart w:id="270" w:name="_Toc184314460"/>
      <w:bookmarkEnd w:id="270"/>
      <w:bookmarkStart w:id="271" w:name="_Toc184308049"/>
      <w:bookmarkEnd w:id="271"/>
      <w:bookmarkStart w:id="272" w:name="_Toc184313276"/>
      <w:bookmarkEnd w:id="272"/>
      <w:bookmarkStart w:id="273" w:name="_Toc184314424"/>
      <w:bookmarkEnd w:id="273"/>
      <w:bookmarkStart w:id="274" w:name="_Toc184310321"/>
      <w:bookmarkEnd w:id="274"/>
      <w:bookmarkStart w:id="275" w:name="_Toc184314446"/>
      <w:bookmarkEnd w:id="275"/>
      <w:bookmarkStart w:id="276" w:name="_Toc184314427"/>
      <w:bookmarkEnd w:id="276"/>
      <w:bookmarkStart w:id="277" w:name="_Toc184308107"/>
      <w:bookmarkEnd w:id="277"/>
      <w:bookmarkStart w:id="278" w:name="_Toc184313297"/>
      <w:bookmarkEnd w:id="278"/>
      <w:bookmarkStart w:id="279" w:name="_Toc184310307"/>
      <w:bookmarkEnd w:id="279"/>
      <w:bookmarkStart w:id="280" w:name="_Toc184312073"/>
      <w:bookmarkEnd w:id="280"/>
      <w:bookmarkStart w:id="281" w:name="_Toc184310330"/>
      <w:bookmarkEnd w:id="281"/>
      <w:bookmarkStart w:id="282" w:name="_Toc184313292"/>
      <w:bookmarkEnd w:id="282"/>
      <w:bookmarkStart w:id="283" w:name="_Toc184313294"/>
      <w:bookmarkEnd w:id="283"/>
      <w:bookmarkStart w:id="284" w:name="_Toc184313260"/>
      <w:bookmarkEnd w:id="284"/>
      <w:bookmarkStart w:id="285" w:name="_Toc184308070"/>
      <w:bookmarkEnd w:id="285"/>
      <w:bookmarkStart w:id="286" w:name="_Toc184314436"/>
      <w:bookmarkEnd w:id="286"/>
      <w:bookmarkStart w:id="287" w:name="_Toc184308072"/>
      <w:bookmarkEnd w:id="287"/>
      <w:bookmarkStart w:id="288" w:name="_Toc184312116"/>
      <w:bookmarkEnd w:id="288"/>
      <w:bookmarkStart w:id="289" w:name="_Toc184310306"/>
      <w:bookmarkEnd w:id="289"/>
      <w:bookmarkStart w:id="290" w:name="_Toc184313309"/>
      <w:bookmarkEnd w:id="290"/>
      <w:bookmarkStart w:id="291" w:name="_Toc184310283"/>
      <w:bookmarkEnd w:id="291"/>
      <w:bookmarkStart w:id="292" w:name="_Toc184310297"/>
      <w:bookmarkEnd w:id="292"/>
      <w:bookmarkStart w:id="293" w:name="_Toc184314422"/>
      <w:bookmarkEnd w:id="293"/>
      <w:bookmarkStart w:id="294" w:name="_Toc184312136"/>
      <w:bookmarkEnd w:id="294"/>
      <w:bookmarkStart w:id="295" w:name="_Toc184313304"/>
      <w:bookmarkEnd w:id="295"/>
      <w:bookmarkStart w:id="296" w:name="_Toc184312118"/>
      <w:bookmarkEnd w:id="296"/>
      <w:bookmarkStart w:id="297" w:name="_Toc184308061"/>
      <w:bookmarkEnd w:id="297"/>
      <w:bookmarkStart w:id="298" w:name="_Toc184308084"/>
      <w:bookmarkEnd w:id="298"/>
      <w:bookmarkStart w:id="299" w:name="_Toc184308102"/>
      <w:bookmarkEnd w:id="299"/>
      <w:bookmarkStart w:id="300" w:name="_Toc184313291"/>
      <w:bookmarkEnd w:id="300"/>
      <w:bookmarkStart w:id="301" w:name="_Toc184313242"/>
      <w:bookmarkEnd w:id="301"/>
      <w:bookmarkStart w:id="302" w:name="_Toc184314470"/>
      <w:bookmarkEnd w:id="302"/>
      <w:bookmarkStart w:id="303" w:name="_Toc184313240"/>
      <w:bookmarkEnd w:id="303"/>
      <w:bookmarkStart w:id="304" w:name="_Toc184314423"/>
      <w:bookmarkEnd w:id="304"/>
      <w:bookmarkStart w:id="305" w:name="_Toc184313268"/>
      <w:bookmarkEnd w:id="305"/>
      <w:bookmarkStart w:id="306" w:name="_Toc184308071"/>
      <w:bookmarkEnd w:id="306"/>
      <w:bookmarkStart w:id="307" w:name="_Toc184313285"/>
      <w:bookmarkEnd w:id="307"/>
      <w:bookmarkStart w:id="308" w:name="_Toc184308085"/>
      <w:bookmarkEnd w:id="308"/>
      <w:bookmarkStart w:id="309" w:name="_Toc184314426"/>
      <w:bookmarkEnd w:id="309"/>
      <w:bookmarkStart w:id="310" w:name="_Toc184313287"/>
      <w:bookmarkEnd w:id="310"/>
      <w:bookmarkStart w:id="311" w:name="_Toc184308053"/>
      <w:bookmarkEnd w:id="311"/>
      <w:bookmarkStart w:id="312" w:name="_Toc184313303"/>
      <w:bookmarkEnd w:id="312"/>
      <w:bookmarkStart w:id="313" w:name="_Toc184310287"/>
      <w:bookmarkEnd w:id="313"/>
      <w:bookmarkStart w:id="314" w:name="_Toc184314452"/>
      <w:bookmarkEnd w:id="314"/>
      <w:bookmarkStart w:id="315" w:name="_Toc184313256"/>
      <w:bookmarkEnd w:id="315"/>
      <w:bookmarkStart w:id="316" w:name="_Toc184314416"/>
      <w:bookmarkEnd w:id="316"/>
      <w:bookmarkStart w:id="317" w:name="_Toc184313246"/>
      <w:bookmarkEnd w:id="317"/>
      <w:bookmarkStart w:id="318" w:name="_Toc184308075"/>
      <w:bookmarkEnd w:id="318"/>
      <w:bookmarkStart w:id="319" w:name="_Toc184313300"/>
      <w:bookmarkEnd w:id="319"/>
      <w:bookmarkStart w:id="320" w:name="_Toc184308089"/>
      <w:bookmarkEnd w:id="320"/>
      <w:bookmarkStart w:id="321" w:name="_Toc184310334"/>
      <w:bookmarkEnd w:id="321"/>
      <w:bookmarkStart w:id="322" w:name="_Toc184313307"/>
      <w:bookmarkEnd w:id="322"/>
      <w:bookmarkStart w:id="323" w:name="_Toc184313272"/>
      <w:bookmarkEnd w:id="323"/>
      <w:bookmarkStart w:id="324" w:name="_Toc184313258"/>
      <w:bookmarkEnd w:id="324"/>
      <w:bookmarkStart w:id="325" w:name="_Toc184312103"/>
      <w:bookmarkEnd w:id="325"/>
      <w:bookmarkStart w:id="326" w:name="_Toc184313251"/>
      <w:bookmarkEnd w:id="326"/>
      <w:bookmarkStart w:id="327" w:name="_Toc184312088"/>
      <w:bookmarkEnd w:id="327"/>
      <w:bookmarkStart w:id="328" w:name="_Toc184308039"/>
      <w:bookmarkEnd w:id="328"/>
      <w:bookmarkStart w:id="329" w:name="_Toc184308042"/>
      <w:bookmarkEnd w:id="329"/>
      <w:bookmarkStart w:id="330" w:name="_Toc184310299"/>
      <w:bookmarkEnd w:id="330"/>
      <w:bookmarkStart w:id="331" w:name="_Toc184308045"/>
      <w:bookmarkEnd w:id="331"/>
      <w:bookmarkStart w:id="332" w:name="_Toc184312107"/>
      <w:bookmarkEnd w:id="332"/>
      <w:bookmarkStart w:id="333" w:name="_Toc184314480"/>
      <w:bookmarkEnd w:id="333"/>
      <w:bookmarkStart w:id="334" w:name="_Toc184308040"/>
      <w:bookmarkEnd w:id="334"/>
      <w:bookmarkStart w:id="335" w:name="_Toc184313250"/>
      <w:bookmarkEnd w:id="335"/>
      <w:bookmarkStart w:id="336" w:name="_Toc184308079"/>
      <w:bookmarkEnd w:id="336"/>
      <w:bookmarkStart w:id="337" w:name="_Toc184313296"/>
      <w:bookmarkEnd w:id="337"/>
      <w:bookmarkStart w:id="338" w:name="_Toc184308068"/>
      <w:bookmarkEnd w:id="338"/>
      <w:bookmarkStart w:id="339" w:name="_Toc184308062"/>
      <w:bookmarkEnd w:id="339"/>
      <w:bookmarkStart w:id="340" w:name="_Toc184313255"/>
      <w:bookmarkEnd w:id="340"/>
      <w:bookmarkStart w:id="341" w:name="_Toc184308090"/>
      <w:bookmarkEnd w:id="341"/>
      <w:bookmarkStart w:id="342" w:name="_Toc184314451"/>
      <w:bookmarkEnd w:id="342"/>
      <w:bookmarkStart w:id="343" w:name="_Toc184313306"/>
      <w:bookmarkEnd w:id="343"/>
      <w:bookmarkStart w:id="344" w:name="_Toc184312125"/>
      <w:bookmarkEnd w:id="344"/>
      <w:bookmarkStart w:id="345" w:name="_Toc184312106"/>
      <w:bookmarkEnd w:id="345"/>
      <w:bookmarkStart w:id="346" w:name="_Toc184312090"/>
      <w:bookmarkEnd w:id="346"/>
      <w:bookmarkStart w:id="347" w:name="_Toc184312128"/>
      <w:bookmarkEnd w:id="347"/>
      <w:bookmarkStart w:id="348" w:name="_Toc184310341"/>
      <w:bookmarkEnd w:id="348"/>
      <w:bookmarkStart w:id="349" w:name="_Toc184310311"/>
      <w:bookmarkEnd w:id="349"/>
      <w:bookmarkStart w:id="350" w:name="_Toc184312117"/>
      <w:bookmarkEnd w:id="350"/>
      <w:bookmarkStart w:id="351" w:name="_Toc184312080"/>
      <w:bookmarkEnd w:id="351"/>
      <w:bookmarkStart w:id="352" w:name="_Toc184312130"/>
      <w:bookmarkEnd w:id="352"/>
      <w:bookmarkStart w:id="353" w:name="_Toc184310327"/>
      <w:bookmarkEnd w:id="353"/>
      <w:bookmarkStart w:id="354" w:name="_Toc184312126"/>
      <w:bookmarkEnd w:id="354"/>
      <w:bookmarkStart w:id="355" w:name="_Toc184313253"/>
      <w:bookmarkEnd w:id="355"/>
      <w:bookmarkStart w:id="356" w:name="_Toc184310303"/>
      <w:bookmarkEnd w:id="356"/>
      <w:bookmarkStart w:id="357" w:name="_Toc184314411"/>
      <w:bookmarkEnd w:id="357"/>
      <w:bookmarkStart w:id="358" w:name="_Toc184308094"/>
      <w:bookmarkEnd w:id="358"/>
      <w:bookmarkStart w:id="359" w:name="_Toc184313265"/>
      <w:bookmarkEnd w:id="359"/>
      <w:bookmarkStart w:id="360" w:name="_Toc184312072"/>
      <w:bookmarkEnd w:id="360"/>
      <w:bookmarkStart w:id="361" w:name="_Toc184312096"/>
      <w:bookmarkEnd w:id="361"/>
      <w:bookmarkStart w:id="362" w:name="_Toc184308083"/>
      <w:bookmarkEnd w:id="362"/>
      <w:bookmarkStart w:id="363" w:name="_Toc184310305"/>
      <w:bookmarkEnd w:id="363"/>
      <w:bookmarkStart w:id="364" w:name="_Toc184312078"/>
      <w:bookmarkEnd w:id="364"/>
      <w:bookmarkStart w:id="365" w:name="_Toc184314459"/>
      <w:bookmarkEnd w:id="365"/>
      <w:bookmarkStart w:id="366" w:name="_Toc184308065"/>
      <w:bookmarkEnd w:id="366"/>
      <w:bookmarkStart w:id="367" w:name="_Toc184313238"/>
      <w:bookmarkEnd w:id="367"/>
      <w:bookmarkStart w:id="368" w:name="_Toc184310282"/>
      <w:bookmarkEnd w:id="368"/>
      <w:bookmarkStart w:id="369" w:name="_Toc184308043"/>
      <w:bookmarkEnd w:id="369"/>
      <w:bookmarkStart w:id="370" w:name="_Toc184314456"/>
      <w:bookmarkEnd w:id="370"/>
      <w:bookmarkStart w:id="371" w:name="_Toc184308059"/>
      <w:bookmarkEnd w:id="371"/>
      <w:bookmarkStart w:id="372" w:name="_Toc184308044"/>
      <w:bookmarkEnd w:id="372"/>
      <w:bookmarkStart w:id="373" w:name="_Toc184312124"/>
      <w:bookmarkEnd w:id="373"/>
      <w:bookmarkStart w:id="374" w:name="_Toc184310322"/>
      <w:bookmarkEnd w:id="374"/>
      <w:bookmarkStart w:id="375" w:name="_Toc184308087"/>
      <w:bookmarkEnd w:id="375"/>
      <w:bookmarkStart w:id="376" w:name="_Toc184313282"/>
      <w:bookmarkEnd w:id="376"/>
      <w:bookmarkStart w:id="377" w:name="_Toc184314472"/>
      <w:bookmarkEnd w:id="377"/>
      <w:bookmarkStart w:id="378" w:name="_Toc184314441"/>
      <w:bookmarkEnd w:id="378"/>
      <w:bookmarkStart w:id="379" w:name="_Toc184313263"/>
      <w:bookmarkEnd w:id="379"/>
      <w:bookmarkStart w:id="380" w:name="_Toc184313262"/>
      <w:bookmarkEnd w:id="380"/>
      <w:bookmarkStart w:id="381" w:name="_Toc184313284"/>
      <w:bookmarkEnd w:id="381"/>
      <w:bookmarkStart w:id="382" w:name="_Toc184310320"/>
      <w:bookmarkEnd w:id="382"/>
      <w:bookmarkStart w:id="383" w:name="_Toc184310278"/>
      <w:bookmarkEnd w:id="383"/>
      <w:bookmarkStart w:id="384" w:name="_Toc184308098"/>
      <w:bookmarkEnd w:id="384"/>
      <w:bookmarkStart w:id="385" w:name="_Toc184313270"/>
      <w:bookmarkEnd w:id="385"/>
      <w:bookmarkStart w:id="386" w:name="_Toc184314453"/>
      <w:bookmarkEnd w:id="386"/>
      <w:bookmarkStart w:id="387" w:name="_Toc184312135"/>
      <w:bookmarkEnd w:id="387"/>
      <w:bookmarkStart w:id="388" w:name="_Toc184312071"/>
      <w:bookmarkEnd w:id="388"/>
      <w:bookmarkStart w:id="389" w:name="_Toc184313310"/>
      <w:bookmarkEnd w:id="389"/>
      <w:bookmarkStart w:id="390" w:name="_Toc184310301"/>
      <w:bookmarkEnd w:id="390"/>
      <w:bookmarkStart w:id="391" w:name="_Toc184314468"/>
      <w:bookmarkEnd w:id="391"/>
      <w:bookmarkStart w:id="392" w:name="_Toc184308103"/>
      <w:bookmarkEnd w:id="392"/>
      <w:bookmarkStart w:id="393" w:name="_Toc184310313"/>
      <w:bookmarkEnd w:id="393"/>
      <w:bookmarkStart w:id="394" w:name="_Toc184308105"/>
      <w:bookmarkEnd w:id="394"/>
      <w:bookmarkStart w:id="395" w:name="_Toc184308058"/>
      <w:bookmarkEnd w:id="395"/>
      <w:bookmarkStart w:id="396" w:name="_Toc184314431"/>
      <w:bookmarkEnd w:id="396"/>
      <w:r>
        <w:rPr>
          <w:rFonts w:hint="eastAsia" w:ascii="宋体" w:hAnsi="宋体" w:cs="宋体"/>
          <w:b/>
          <w:color w:val="auto"/>
          <w:sz w:val="36"/>
          <w:szCs w:val="20"/>
          <w:highlight w:val="none"/>
        </w:rPr>
        <w:t xml:space="preserve"> 评审办法</w:t>
      </w:r>
    </w:p>
    <w:p w14:paraId="7B5E2C53">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2"/>
        <w:tblpPr w:leftFromText="180" w:rightFromText="180" w:vertAnchor="text" w:horzAnchor="page" w:tblpX="1031" w:tblpY="126"/>
        <w:tblW w:w="10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205"/>
        <w:gridCol w:w="67"/>
        <w:gridCol w:w="5601"/>
        <w:gridCol w:w="1107"/>
        <w:gridCol w:w="1296"/>
      </w:tblGrid>
      <w:tr w14:paraId="2518F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90" w:type="dxa"/>
            <w:vAlign w:val="center"/>
          </w:tcPr>
          <w:p w14:paraId="68864B07">
            <w:pPr>
              <w:spacing w:line="360" w:lineRule="auto"/>
              <w:jc w:val="center"/>
              <w:outlineLvl w:val="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序号</w:t>
            </w:r>
          </w:p>
        </w:tc>
        <w:tc>
          <w:tcPr>
            <w:tcW w:w="6873" w:type="dxa"/>
            <w:gridSpan w:val="3"/>
            <w:vAlign w:val="center"/>
          </w:tcPr>
          <w:p w14:paraId="1A79D660">
            <w:pPr>
              <w:spacing w:line="360" w:lineRule="auto"/>
              <w:jc w:val="center"/>
              <w:outlineLvl w:val="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评标标准</w:t>
            </w:r>
          </w:p>
        </w:tc>
        <w:tc>
          <w:tcPr>
            <w:tcW w:w="1107" w:type="dxa"/>
            <w:vAlign w:val="center"/>
          </w:tcPr>
          <w:p w14:paraId="76C21FD2">
            <w:pPr>
              <w:spacing w:line="360" w:lineRule="auto"/>
              <w:outlineLvl w:val="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权重</w:t>
            </w:r>
          </w:p>
        </w:tc>
        <w:tc>
          <w:tcPr>
            <w:tcW w:w="1296" w:type="dxa"/>
          </w:tcPr>
          <w:p w14:paraId="55CF44C2">
            <w:pPr>
              <w:spacing w:line="360" w:lineRule="auto"/>
              <w:jc w:val="center"/>
              <w:outlineLvl w:val="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目录</w:t>
            </w:r>
          </w:p>
        </w:tc>
      </w:tr>
      <w:tr w14:paraId="07396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90" w:type="dxa"/>
            <w:vAlign w:val="center"/>
          </w:tcPr>
          <w:p w14:paraId="53DD94D6">
            <w:pPr>
              <w:spacing w:line="360" w:lineRule="auto"/>
              <w:jc w:val="center"/>
              <w:outlineLvl w:val="0"/>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c>
          <w:tcPr>
            <w:tcW w:w="6873" w:type="dxa"/>
            <w:gridSpan w:val="3"/>
            <w:vAlign w:val="center"/>
          </w:tcPr>
          <w:p w14:paraId="6004D128">
            <w:pPr>
              <w:spacing w:line="360" w:lineRule="auto"/>
              <w:jc w:val="left"/>
              <w:outlineLvl w:val="0"/>
              <w:rPr>
                <w:rFonts w:hint="eastAsia" w:ascii="宋体" w:hAnsi="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投标人具有质量管理认证体系,具有环境管理认证体系，具有职业健康资格认证体系，有一项得1分</w:t>
            </w:r>
            <w:r>
              <w:rPr>
                <w:rFonts w:hint="eastAsia" w:ascii="宋体" w:hAnsi="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满分3分，没有则不得分。（投标文件中提供认证证书</w:t>
            </w:r>
            <w:r>
              <w:rPr>
                <w:rFonts w:hint="eastAsia" w:ascii="宋体" w:hAnsi="宋体" w:cs="宋体"/>
                <w:color w:val="auto"/>
                <w:kern w:val="0"/>
                <w:sz w:val="24"/>
                <w:szCs w:val="24"/>
                <w:highlight w:val="none"/>
                <w:lang w:eastAsia="zh-CN" w:bidi="ar"/>
              </w:rPr>
              <w:t>扫描</w:t>
            </w:r>
            <w:r>
              <w:rPr>
                <w:rFonts w:hint="eastAsia" w:ascii="宋体" w:hAnsi="宋体" w:eastAsia="宋体" w:cs="宋体"/>
                <w:color w:val="auto"/>
                <w:kern w:val="0"/>
                <w:sz w:val="24"/>
                <w:szCs w:val="24"/>
                <w:highlight w:val="none"/>
                <w:lang w:bidi="ar"/>
              </w:rPr>
              <w:t>件，不提供不得分）注：以上证书须由评审小组现场通过中国国家认证认可监督管理委员会备案通过的认证机构颁发且在全国认证认可信息公共服务平台（www.cnca.gov.cn）的网页查询。</w:t>
            </w:r>
          </w:p>
        </w:tc>
        <w:tc>
          <w:tcPr>
            <w:tcW w:w="1107" w:type="dxa"/>
            <w:vAlign w:val="center"/>
          </w:tcPr>
          <w:p w14:paraId="135957D7">
            <w:pPr>
              <w:spacing w:line="360" w:lineRule="auto"/>
              <w:jc w:val="center"/>
              <w:outlineLvl w:val="0"/>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w:t>
            </w:r>
          </w:p>
          <w:p w14:paraId="72A920CF">
            <w:pPr>
              <w:spacing w:line="360" w:lineRule="auto"/>
              <w:jc w:val="center"/>
              <w:outlineLvl w:val="0"/>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（客观）</w:t>
            </w:r>
          </w:p>
        </w:tc>
        <w:tc>
          <w:tcPr>
            <w:tcW w:w="1296" w:type="dxa"/>
            <w:vAlign w:val="center"/>
          </w:tcPr>
          <w:p w14:paraId="4FA69116">
            <w:pPr>
              <w:spacing w:line="360" w:lineRule="auto"/>
              <w:jc w:val="center"/>
              <w:outlineLvl w:val="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认证体系</w:t>
            </w:r>
          </w:p>
        </w:tc>
      </w:tr>
      <w:tr w14:paraId="05F1C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90" w:type="dxa"/>
            <w:vAlign w:val="center"/>
          </w:tcPr>
          <w:p w14:paraId="536EA7AE">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2</w:t>
            </w:r>
          </w:p>
        </w:tc>
        <w:tc>
          <w:tcPr>
            <w:tcW w:w="6873" w:type="dxa"/>
            <w:gridSpan w:val="3"/>
            <w:vAlign w:val="center"/>
          </w:tcPr>
          <w:p w14:paraId="03296356">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投标人自20</w:t>
            </w:r>
            <w:r>
              <w:rPr>
                <w:rFonts w:ascii="宋体" w:hAnsi="宋体" w:cs="宋体"/>
                <w:color w:val="auto"/>
                <w:kern w:val="0"/>
                <w:sz w:val="24"/>
                <w:szCs w:val="24"/>
                <w:highlight w:val="none"/>
                <w:lang w:bidi="ar"/>
              </w:rPr>
              <w:t>2</w:t>
            </w: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年</w:t>
            </w:r>
            <w:r>
              <w:rPr>
                <w:rFonts w:hint="eastAsia" w:ascii="宋体" w:hAnsi="宋体" w:cs="宋体"/>
                <w:color w:val="auto"/>
                <w:kern w:val="0"/>
                <w:sz w:val="24"/>
                <w:szCs w:val="24"/>
                <w:highlight w:val="none"/>
                <w:lang w:val="en-US" w:eastAsia="zh-CN" w:bidi="ar"/>
              </w:rPr>
              <w:t>11</w:t>
            </w:r>
            <w:r>
              <w:rPr>
                <w:rFonts w:hint="eastAsia" w:ascii="宋体" w:hAnsi="宋体" w:cs="宋体"/>
                <w:color w:val="auto"/>
                <w:kern w:val="0"/>
                <w:sz w:val="24"/>
                <w:szCs w:val="24"/>
                <w:highlight w:val="none"/>
                <w:lang w:bidi="ar"/>
              </w:rPr>
              <w:t>月</w:t>
            </w:r>
            <w:r>
              <w:rPr>
                <w:rFonts w:hint="eastAsia" w:ascii="宋体" w:hAnsi="宋体" w:cs="宋体"/>
                <w:color w:val="auto"/>
                <w:kern w:val="0"/>
                <w:sz w:val="24"/>
                <w:szCs w:val="24"/>
                <w:highlight w:val="none"/>
                <w:lang w:val="en-US" w:eastAsia="zh-CN" w:bidi="ar"/>
              </w:rPr>
              <w:t>1日</w:t>
            </w:r>
            <w:r>
              <w:rPr>
                <w:rFonts w:hint="eastAsia" w:ascii="宋体" w:hAnsi="宋体" w:cs="宋体"/>
                <w:color w:val="auto"/>
                <w:kern w:val="0"/>
                <w:sz w:val="24"/>
                <w:szCs w:val="24"/>
                <w:highlight w:val="none"/>
                <w:lang w:bidi="ar"/>
              </w:rPr>
              <w:t>以来（以</w:t>
            </w:r>
            <w:r>
              <w:rPr>
                <w:rFonts w:hint="eastAsia" w:ascii="宋体" w:hAnsi="宋体" w:cs="宋体"/>
                <w:color w:val="auto"/>
                <w:kern w:val="0"/>
                <w:sz w:val="24"/>
                <w:szCs w:val="24"/>
                <w:highlight w:val="none"/>
                <w:lang w:val="en-US" w:eastAsia="zh-CN" w:bidi="ar"/>
              </w:rPr>
              <w:t>竣工验收</w:t>
            </w:r>
            <w:r>
              <w:rPr>
                <w:rFonts w:hint="eastAsia" w:ascii="宋体" w:hAnsi="宋体" w:cs="宋体"/>
                <w:color w:val="auto"/>
                <w:kern w:val="0"/>
                <w:sz w:val="24"/>
                <w:szCs w:val="24"/>
                <w:highlight w:val="none"/>
                <w:lang w:bidi="ar"/>
              </w:rPr>
              <w:t>日期为准）承建过类似业绩，每提供一项业绩证明材料得</w:t>
            </w:r>
            <w:r>
              <w:rPr>
                <w:rFonts w:hint="eastAsia" w:ascii="宋体" w:hAnsi="宋体" w:cs="宋体"/>
                <w:color w:val="auto"/>
                <w:kern w:val="0"/>
                <w:sz w:val="24"/>
                <w:szCs w:val="24"/>
                <w:highlight w:val="none"/>
                <w:lang w:val="en-US" w:eastAsia="zh-CN" w:bidi="ar"/>
              </w:rPr>
              <w:t>0.5</w:t>
            </w:r>
            <w:r>
              <w:rPr>
                <w:rFonts w:hint="eastAsia" w:ascii="宋体" w:hAnsi="宋体" w:cs="宋体"/>
                <w:color w:val="auto"/>
                <w:kern w:val="0"/>
                <w:sz w:val="24"/>
                <w:szCs w:val="24"/>
                <w:highlight w:val="none"/>
                <w:lang w:bidi="ar"/>
              </w:rPr>
              <w:t>分，本项最高得</w:t>
            </w: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分。</w:t>
            </w:r>
          </w:p>
          <w:p w14:paraId="7681BAEC">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需</w:t>
            </w:r>
            <w:r>
              <w:rPr>
                <w:rFonts w:hint="eastAsia" w:ascii="宋体" w:hAnsi="宋体" w:cs="宋体"/>
                <w:color w:val="auto"/>
                <w:kern w:val="0"/>
                <w:sz w:val="24"/>
                <w:szCs w:val="24"/>
                <w:highlight w:val="none"/>
                <w:lang w:bidi="ar"/>
              </w:rPr>
              <w:t>提供</w:t>
            </w:r>
            <w:r>
              <w:rPr>
                <w:rFonts w:hint="eastAsia" w:ascii="宋体" w:hAnsi="宋体" w:cs="宋体"/>
                <w:color w:val="auto"/>
                <w:kern w:val="0"/>
                <w:sz w:val="24"/>
                <w:szCs w:val="24"/>
                <w:highlight w:val="none"/>
                <w:lang w:val="en-US" w:eastAsia="zh-CN" w:bidi="ar"/>
              </w:rPr>
              <w:t>项目</w:t>
            </w:r>
            <w:r>
              <w:rPr>
                <w:rFonts w:hint="eastAsia" w:ascii="宋体" w:hAnsi="宋体" w:cs="宋体"/>
                <w:color w:val="auto"/>
                <w:kern w:val="0"/>
                <w:sz w:val="24"/>
                <w:szCs w:val="24"/>
                <w:highlight w:val="none"/>
                <w:lang w:bidi="ar"/>
              </w:rPr>
              <w:t>合同</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竣工验收证书或报告</w:t>
            </w:r>
            <w:r>
              <w:rPr>
                <w:rFonts w:hint="eastAsia" w:ascii="宋体" w:hAnsi="宋体" w:cs="宋体"/>
                <w:color w:val="auto"/>
                <w:kern w:val="0"/>
                <w:sz w:val="24"/>
                <w:szCs w:val="24"/>
                <w:highlight w:val="none"/>
                <w:lang w:bidi="ar"/>
              </w:rPr>
              <w:t>的扫描件</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签字、盖章及日期内容须完整</w:t>
            </w:r>
            <w:r>
              <w:rPr>
                <w:rFonts w:hint="eastAsia" w:ascii="宋体" w:hAnsi="宋体" w:cs="宋体"/>
                <w:color w:val="auto"/>
                <w:kern w:val="0"/>
                <w:sz w:val="24"/>
                <w:szCs w:val="24"/>
                <w:highlight w:val="none"/>
                <w:lang w:val="en-US" w:eastAsia="zh-CN" w:bidi="ar"/>
              </w:rPr>
              <w:t>。未</w:t>
            </w:r>
            <w:r>
              <w:rPr>
                <w:rFonts w:hint="eastAsia" w:ascii="宋体" w:hAnsi="宋体" w:cs="宋体"/>
                <w:color w:val="auto"/>
                <w:kern w:val="0"/>
                <w:sz w:val="24"/>
                <w:szCs w:val="24"/>
                <w:highlight w:val="none"/>
                <w:lang w:bidi="ar"/>
              </w:rPr>
              <w:t>按要求提供完整证明材料的，不予得分】</w:t>
            </w:r>
          </w:p>
        </w:tc>
        <w:tc>
          <w:tcPr>
            <w:tcW w:w="1107" w:type="dxa"/>
            <w:vAlign w:val="center"/>
          </w:tcPr>
          <w:p w14:paraId="0542FF53">
            <w:pPr>
              <w:snapToGrid w:val="0"/>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1    （客观）</w:t>
            </w:r>
          </w:p>
        </w:tc>
        <w:tc>
          <w:tcPr>
            <w:tcW w:w="1296" w:type="dxa"/>
            <w:vAlign w:val="center"/>
          </w:tcPr>
          <w:p w14:paraId="77709C88">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企业</w:t>
            </w:r>
            <w:r>
              <w:rPr>
                <w:rFonts w:hint="eastAsia" w:ascii="宋体" w:hAnsi="宋体" w:cs="宋体"/>
                <w:color w:val="auto"/>
                <w:kern w:val="0"/>
                <w:sz w:val="24"/>
                <w:szCs w:val="24"/>
                <w:highlight w:val="none"/>
                <w:lang w:bidi="ar"/>
              </w:rPr>
              <w:t>业绩</w:t>
            </w:r>
          </w:p>
        </w:tc>
      </w:tr>
      <w:tr w14:paraId="62316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890" w:type="dxa"/>
            <w:vAlign w:val="center"/>
          </w:tcPr>
          <w:p w14:paraId="75F3EAF5">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3</w:t>
            </w:r>
          </w:p>
        </w:tc>
        <w:tc>
          <w:tcPr>
            <w:tcW w:w="6873" w:type="dxa"/>
            <w:gridSpan w:val="3"/>
            <w:vAlign w:val="center"/>
          </w:tcPr>
          <w:p w14:paraId="2E9FDBBE">
            <w:pPr>
              <w:spacing w:line="360" w:lineRule="auto"/>
              <w:jc w:val="left"/>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bidi="ar"/>
              </w:rPr>
              <w:t>拟派项目负责人具</w:t>
            </w:r>
            <w:r>
              <w:rPr>
                <w:rFonts w:hint="eastAsia" w:ascii="宋体" w:hAnsi="宋体" w:cs="宋体"/>
                <w:color w:val="auto"/>
                <w:kern w:val="0"/>
                <w:sz w:val="24"/>
                <w:szCs w:val="24"/>
                <w:highlight w:val="none"/>
                <w:lang w:val="en-US" w:eastAsia="zh-CN" w:bidi="ar"/>
              </w:rPr>
              <w:t>有</w:t>
            </w:r>
            <w:r>
              <w:rPr>
                <w:rFonts w:hint="eastAsia" w:ascii="宋体" w:hAnsi="宋体" w:cs="宋体"/>
                <w:color w:val="auto"/>
                <w:kern w:val="0"/>
                <w:sz w:val="24"/>
                <w:szCs w:val="24"/>
                <w:highlight w:val="none"/>
                <w:lang w:bidi="ar"/>
              </w:rPr>
              <w:t>相关专业中级工程师职称</w:t>
            </w:r>
            <w:r>
              <w:rPr>
                <w:rFonts w:hint="eastAsia" w:ascii="宋体" w:hAnsi="宋体" w:cs="宋体"/>
                <w:color w:val="auto"/>
                <w:kern w:val="0"/>
                <w:sz w:val="24"/>
                <w:szCs w:val="24"/>
                <w:highlight w:val="none"/>
                <w:lang w:val="en-US" w:eastAsia="zh-CN" w:bidi="ar"/>
              </w:rPr>
              <w:t>的得3分，具有</w:t>
            </w:r>
            <w:r>
              <w:rPr>
                <w:rFonts w:hint="eastAsia" w:ascii="宋体" w:hAnsi="宋体" w:cs="宋体"/>
                <w:color w:val="auto"/>
                <w:kern w:val="0"/>
                <w:sz w:val="24"/>
                <w:szCs w:val="24"/>
                <w:highlight w:val="none"/>
                <w:lang w:bidi="ar"/>
              </w:rPr>
              <w:t>相关专业</w:t>
            </w:r>
            <w:r>
              <w:rPr>
                <w:rFonts w:hint="eastAsia" w:ascii="宋体" w:hAnsi="宋体" w:cs="宋体"/>
                <w:color w:val="auto"/>
                <w:kern w:val="0"/>
                <w:sz w:val="24"/>
                <w:szCs w:val="24"/>
                <w:highlight w:val="none"/>
                <w:lang w:val="en-US" w:eastAsia="zh-CN" w:bidi="ar"/>
              </w:rPr>
              <w:t>高</w:t>
            </w:r>
            <w:r>
              <w:rPr>
                <w:rFonts w:hint="eastAsia" w:ascii="宋体" w:hAnsi="宋体" w:cs="宋体"/>
                <w:color w:val="auto"/>
                <w:kern w:val="0"/>
                <w:sz w:val="24"/>
                <w:szCs w:val="24"/>
                <w:highlight w:val="none"/>
                <w:lang w:bidi="ar"/>
              </w:rPr>
              <w:t>级工程师及以上职称的，得</w:t>
            </w:r>
            <w:r>
              <w:rPr>
                <w:rFonts w:hint="eastAsia" w:ascii="宋体" w:hAnsi="宋体" w:cs="宋体"/>
                <w:color w:val="auto"/>
                <w:kern w:val="0"/>
                <w:sz w:val="24"/>
                <w:szCs w:val="24"/>
                <w:highlight w:val="none"/>
                <w:lang w:val="en-US" w:eastAsia="zh-CN" w:bidi="ar"/>
              </w:rPr>
              <w:t>5</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本项最高得5分。</w:t>
            </w:r>
          </w:p>
          <w:p w14:paraId="40B3BA59">
            <w:pPr>
              <w:pStyle w:val="45"/>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【提供有效职称证书</w:t>
            </w:r>
            <w:r>
              <w:rPr>
                <w:rFonts w:hint="eastAsia" w:ascii="宋体" w:hAnsi="宋体" w:cs="宋体"/>
                <w:color w:val="auto"/>
                <w:kern w:val="0"/>
                <w:sz w:val="24"/>
                <w:szCs w:val="24"/>
                <w:highlight w:val="none"/>
                <w:lang w:val="en-US" w:eastAsia="zh-CN" w:bidi="ar"/>
              </w:rPr>
              <w:t>扫描</w:t>
            </w:r>
            <w:r>
              <w:rPr>
                <w:rFonts w:hint="eastAsia" w:ascii="宋体" w:hAnsi="宋体" w:eastAsia="宋体" w:cs="宋体"/>
                <w:color w:val="auto"/>
                <w:kern w:val="0"/>
                <w:sz w:val="24"/>
                <w:szCs w:val="24"/>
                <w:highlight w:val="none"/>
                <w:lang w:val="en-US" w:eastAsia="zh-CN" w:bidi="ar"/>
              </w:rPr>
              <w:t>件</w:t>
            </w:r>
            <w:r>
              <w:rPr>
                <w:rFonts w:hint="eastAsia" w:ascii="宋体" w:hAnsi="宋体" w:cs="宋体"/>
                <w:color w:val="auto"/>
                <w:kern w:val="0"/>
                <w:sz w:val="24"/>
                <w:szCs w:val="24"/>
                <w:highlight w:val="none"/>
                <w:lang w:bidi="ar"/>
              </w:rPr>
              <w:t>及人员截止投标时间最近3个月任意时间的社保缴纳证明，未提供的不得分】</w:t>
            </w:r>
          </w:p>
        </w:tc>
        <w:tc>
          <w:tcPr>
            <w:tcW w:w="1107" w:type="dxa"/>
            <w:vAlign w:val="center"/>
          </w:tcPr>
          <w:p w14:paraId="0698E9B9">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w:t>
            </w:r>
          </w:p>
          <w:p w14:paraId="049D471B">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（客观）</w:t>
            </w:r>
          </w:p>
        </w:tc>
        <w:tc>
          <w:tcPr>
            <w:tcW w:w="1296" w:type="dxa"/>
            <w:vMerge w:val="restart"/>
            <w:vAlign w:val="center"/>
          </w:tcPr>
          <w:p w14:paraId="424F497F">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项目组人员配置</w:t>
            </w:r>
          </w:p>
        </w:tc>
      </w:tr>
      <w:tr w14:paraId="6605E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890" w:type="dxa"/>
            <w:vAlign w:val="center"/>
          </w:tcPr>
          <w:p w14:paraId="4C168500">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4</w:t>
            </w:r>
          </w:p>
        </w:tc>
        <w:tc>
          <w:tcPr>
            <w:tcW w:w="6873" w:type="dxa"/>
            <w:gridSpan w:val="3"/>
            <w:vAlign w:val="center"/>
          </w:tcPr>
          <w:p w14:paraId="3AD897A8">
            <w:pPr>
              <w:spacing w:line="360" w:lineRule="auto"/>
              <w:jc w:val="left"/>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bidi="ar"/>
              </w:rPr>
              <w:t>拟派</w:t>
            </w:r>
            <w:r>
              <w:rPr>
                <w:rFonts w:hint="eastAsia" w:ascii="宋体" w:hAnsi="宋体" w:cs="宋体"/>
                <w:color w:val="auto"/>
                <w:kern w:val="0"/>
                <w:sz w:val="24"/>
                <w:szCs w:val="24"/>
                <w:highlight w:val="none"/>
                <w:lang w:val="en-US" w:eastAsia="zh-CN" w:bidi="ar"/>
              </w:rPr>
              <w:t>技术</w:t>
            </w:r>
            <w:r>
              <w:rPr>
                <w:rFonts w:hint="eastAsia" w:ascii="宋体" w:hAnsi="宋体" w:cs="宋体"/>
                <w:color w:val="auto"/>
                <w:kern w:val="0"/>
                <w:sz w:val="24"/>
                <w:szCs w:val="24"/>
                <w:highlight w:val="none"/>
                <w:lang w:bidi="ar"/>
              </w:rPr>
              <w:t>负责人具</w:t>
            </w:r>
            <w:r>
              <w:rPr>
                <w:rFonts w:hint="eastAsia" w:ascii="宋体" w:hAnsi="宋体" w:cs="宋体"/>
                <w:color w:val="auto"/>
                <w:kern w:val="0"/>
                <w:sz w:val="24"/>
                <w:szCs w:val="24"/>
                <w:highlight w:val="none"/>
                <w:lang w:val="en-US" w:eastAsia="zh-CN" w:bidi="ar"/>
              </w:rPr>
              <w:t>有</w:t>
            </w:r>
            <w:r>
              <w:rPr>
                <w:rFonts w:hint="eastAsia" w:ascii="宋体" w:hAnsi="宋体" w:cs="宋体"/>
                <w:color w:val="auto"/>
                <w:kern w:val="0"/>
                <w:sz w:val="24"/>
                <w:szCs w:val="24"/>
                <w:highlight w:val="none"/>
                <w:lang w:bidi="ar"/>
              </w:rPr>
              <w:t>相关专业中级工程师职称</w:t>
            </w:r>
            <w:r>
              <w:rPr>
                <w:rFonts w:hint="eastAsia" w:ascii="宋体" w:hAnsi="宋体" w:cs="宋体"/>
                <w:color w:val="auto"/>
                <w:kern w:val="0"/>
                <w:sz w:val="24"/>
                <w:szCs w:val="24"/>
                <w:highlight w:val="none"/>
                <w:lang w:val="en-US" w:eastAsia="zh-CN" w:bidi="ar"/>
              </w:rPr>
              <w:t>的得3分，具有</w:t>
            </w:r>
            <w:r>
              <w:rPr>
                <w:rFonts w:hint="eastAsia" w:ascii="宋体" w:hAnsi="宋体" w:cs="宋体"/>
                <w:color w:val="auto"/>
                <w:kern w:val="0"/>
                <w:sz w:val="24"/>
                <w:szCs w:val="24"/>
                <w:highlight w:val="none"/>
                <w:lang w:bidi="ar"/>
              </w:rPr>
              <w:t>相关专业</w:t>
            </w:r>
            <w:r>
              <w:rPr>
                <w:rFonts w:hint="eastAsia" w:ascii="宋体" w:hAnsi="宋体" w:cs="宋体"/>
                <w:color w:val="auto"/>
                <w:kern w:val="0"/>
                <w:sz w:val="24"/>
                <w:szCs w:val="24"/>
                <w:highlight w:val="none"/>
                <w:lang w:val="en-US" w:eastAsia="zh-CN" w:bidi="ar"/>
              </w:rPr>
              <w:t>高</w:t>
            </w:r>
            <w:r>
              <w:rPr>
                <w:rFonts w:hint="eastAsia" w:ascii="宋体" w:hAnsi="宋体" w:cs="宋体"/>
                <w:color w:val="auto"/>
                <w:kern w:val="0"/>
                <w:sz w:val="24"/>
                <w:szCs w:val="24"/>
                <w:highlight w:val="none"/>
                <w:lang w:bidi="ar"/>
              </w:rPr>
              <w:t>级工程师及以上职称的，得</w:t>
            </w:r>
            <w:r>
              <w:rPr>
                <w:rFonts w:hint="eastAsia" w:ascii="宋体" w:hAnsi="宋体" w:cs="宋体"/>
                <w:color w:val="auto"/>
                <w:kern w:val="0"/>
                <w:sz w:val="24"/>
                <w:szCs w:val="24"/>
                <w:highlight w:val="none"/>
                <w:lang w:val="en-US" w:eastAsia="zh-CN" w:bidi="ar"/>
              </w:rPr>
              <w:t>5</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本项最高得5分。</w:t>
            </w:r>
          </w:p>
          <w:p w14:paraId="700E0EF2">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【提供有效职称证书</w:t>
            </w:r>
            <w:r>
              <w:rPr>
                <w:rFonts w:hint="eastAsia" w:ascii="宋体" w:hAnsi="宋体" w:cs="宋体"/>
                <w:color w:val="auto"/>
                <w:kern w:val="0"/>
                <w:sz w:val="24"/>
                <w:szCs w:val="24"/>
                <w:highlight w:val="none"/>
                <w:lang w:val="en-US" w:eastAsia="zh-CN" w:bidi="ar"/>
              </w:rPr>
              <w:t>扫描</w:t>
            </w:r>
            <w:r>
              <w:rPr>
                <w:rFonts w:hint="eastAsia" w:ascii="宋体" w:hAnsi="宋体" w:eastAsia="宋体" w:cs="宋体"/>
                <w:color w:val="auto"/>
                <w:kern w:val="0"/>
                <w:sz w:val="24"/>
                <w:szCs w:val="24"/>
                <w:highlight w:val="none"/>
                <w:lang w:val="en-US" w:eastAsia="zh-CN" w:bidi="ar"/>
              </w:rPr>
              <w:t>件</w:t>
            </w:r>
            <w:r>
              <w:rPr>
                <w:rFonts w:hint="eastAsia" w:ascii="宋体" w:hAnsi="宋体" w:cs="宋体"/>
                <w:color w:val="auto"/>
                <w:kern w:val="0"/>
                <w:sz w:val="24"/>
                <w:szCs w:val="24"/>
                <w:highlight w:val="none"/>
                <w:lang w:bidi="ar"/>
              </w:rPr>
              <w:t>及人员截止投标时间最近3个月任意时间的社保缴纳证明，未提供的不得分】</w:t>
            </w:r>
          </w:p>
        </w:tc>
        <w:tc>
          <w:tcPr>
            <w:tcW w:w="1107" w:type="dxa"/>
            <w:vAlign w:val="center"/>
          </w:tcPr>
          <w:p w14:paraId="096C1033">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w:t>
            </w:r>
          </w:p>
          <w:p w14:paraId="43839B50">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（客观）</w:t>
            </w:r>
          </w:p>
        </w:tc>
        <w:tc>
          <w:tcPr>
            <w:tcW w:w="1296" w:type="dxa"/>
            <w:vMerge w:val="continue"/>
            <w:vAlign w:val="center"/>
          </w:tcPr>
          <w:p w14:paraId="2F517DD9">
            <w:pPr>
              <w:snapToGrid w:val="0"/>
              <w:spacing w:line="360" w:lineRule="auto"/>
              <w:jc w:val="center"/>
              <w:rPr>
                <w:rFonts w:ascii="宋体" w:hAnsi="宋体" w:cs="宋体"/>
                <w:color w:val="auto"/>
                <w:kern w:val="0"/>
                <w:sz w:val="24"/>
                <w:szCs w:val="24"/>
                <w:highlight w:val="none"/>
                <w:lang w:bidi="ar"/>
              </w:rPr>
            </w:pPr>
          </w:p>
        </w:tc>
      </w:tr>
      <w:tr w14:paraId="026F9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90" w:type="dxa"/>
            <w:vAlign w:val="center"/>
          </w:tcPr>
          <w:p w14:paraId="12945FC1">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5</w:t>
            </w:r>
          </w:p>
        </w:tc>
        <w:tc>
          <w:tcPr>
            <w:tcW w:w="6873" w:type="dxa"/>
            <w:gridSpan w:val="3"/>
            <w:vAlign w:val="center"/>
          </w:tcPr>
          <w:p w14:paraId="7A7E5D67">
            <w:pPr>
              <w:widowControl/>
              <w:spacing w:line="360" w:lineRule="auto"/>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拟投入本项目的专职安全员具有施工企业全生产管理人员安全生产考核合格证书（三类人员C证）得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w:t>
            </w:r>
          </w:p>
          <w:p w14:paraId="3DCC04B4">
            <w:pPr>
              <w:widowControl/>
              <w:spacing w:line="360" w:lineRule="auto"/>
              <w:jc w:val="left"/>
              <w:rPr>
                <w:rFonts w:ascii="宋体" w:hAnsi="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【提供有效</w:t>
            </w:r>
            <w:r>
              <w:rPr>
                <w:rFonts w:hint="eastAsia" w:ascii="宋体" w:hAnsi="宋体" w:cs="宋体"/>
                <w:color w:val="auto"/>
                <w:kern w:val="0"/>
                <w:sz w:val="24"/>
                <w:szCs w:val="24"/>
                <w:highlight w:val="none"/>
                <w:lang w:bidi="ar"/>
              </w:rPr>
              <w:t>安全生产考核合格证书（三类人员C证）</w:t>
            </w:r>
            <w:r>
              <w:rPr>
                <w:rFonts w:hint="eastAsia" w:ascii="宋体" w:hAnsi="宋体" w:eastAsia="宋体" w:cs="宋体"/>
                <w:color w:val="auto"/>
                <w:kern w:val="0"/>
                <w:sz w:val="24"/>
                <w:szCs w:val="24"/>
                <w:highlight w:val="none"/>
                <w:lang w:val="en-US" w:eastAsia="zh-CN" w:bidi="ar"/>
              </w:rPr>
              <w:t>扫描件</w:t>
            </w:r>
            <w:r>
              <w:rPr>
                <w:rFonts w:hint="eastAsia" w:ascii="宋体" w:hAnsi="宋体" w:eastAsia="宋体" w:cs="宋体"/>
                <w:color w:val="auto"/>
                <w:kern w:val="0"/>
                <w:sz w:val="24"/>
                <w:szCs w:val="24"/>
                <w:highlight w:val="none"/>
                <w:lang w:bidi="ar"/>
              </w:rPr>
              <w:t>及人员截止投标时间最近3个月任意时间的社保缴纳证明，未提供的不得分】</w:t>
            </w:r>
          </w:p>
        </w:tc>
        <w:tc>
          <w:tcPr>
            <w:tcW w:w="1107" w:type="dxa"/>
            <w:vAlign w:val="center"/>
          </w:tcPr>
          <w:p w14:paraId="7B70F23B">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2（客观）</w:t>
            </w:r>
          </w:p>
        </w:tc>
        <w:tc>
          <w:tcPr>
            <w:tcW w:w="1296" w:type="dxa"/>
            <w:vMerge w:val="continue"/>
            <w:vAlign w:val="center"/>
          </w:tcPr>
          <w:p w14:paraId="452A8BA0">
            <w:pPr>
              <w:snapToGrid w:val="0"/>
              <w:spacing w:line="360" w:lineRule="auto"/>
              <w:jc w:val="center"/>
              <w:rPr>
                <w:rFonts w:ascii="宋体" w:hAnsi="宋体" w:cs="宋体"/>
                <w:color w:val="auto"/>
                <w:kern w:val="0"/>
                <w:sz w:val="24"/>
                <w:szCs w:val="24"/>
                <w:highlight w:val="none"/>
                <w:lang w:bidi="ar"/>
              </w:rPr>
            </w:pPr>
          </w:p>
        </w:tc>
      </w:tr>
      <w:tr w14:paraId="424D5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90" w:type="dxa"/>
            <w:vMerge w:val="restart"/>
            <w:vAlign w:val="center"/>
          </w:tcPr>
          <w:p w14:paraId="11FD4A54">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6</w:t>
            </w:r>
          </w:p>
        </w:tc>
        <w:tc>
          <w:tcPr>
            <w:tcW w:w="1272" w:type="dxa"/>
            <w:gridSpan w:val="2"/>
            <w:vMerge w:val="restart"/>
            <w:vAlign w:val="center"/>
          </w:tcPr>
          <w:p w14:paraId="4731298F">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施工方案总体情况评价</w:t>
            </w:r>
          </w:p>
        </w:tc>
        <w:tc>
          <w:tcPr>
            <w:tcW w:w="5601" w:type="dxa"/>
            <w:vAlign w:val="center"/>
          </w:tcPr>
          <w:p w14:paraId="0C3F7961">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方案内容全面、合理、条理清晰，涵盖本次工程实施有关的内容，且具有针对性得5分，方案内容</w:t>
            </w:r>
            <w:r>
              <w:rPr>
                <w:rFonts w:hint="eastAsia" w:ascii="宋体" w:hAnsi="宋体" w:cs="宋体"/>
                <w:color w:val="auto"/>
                <w:kern w:val="0"/>
                <w:sz w:val="24"/>
                <w:szCs w:val="24"/>
                <w:highlight w:val="none"/>
                <w:lang w:eastAsia="zh-CN" w:bidi="ar"/>
              </w:rPr>
              <w:t>基本</w:t>
            </w:r>
            <w:r>
              <w:rPr>
                <w:rFonts w:hint="eastAsia" w:ascii="宋体" w:hAnsi="宋体" w:cs="宋体"/>
                <w:color w:val="auto"/>
                <w:kern w:val="0"/>
                <w:sz w:val="24"/>
                <w:szCs w:val="24"/>
                <w:highlight w:val="none"/>
                <w:lang w:bidi="ar"/>
              </w:rPr>
              <w:t>全面合理得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分，方案内容基本合理，</w:t>
            </w:r>
            <w:r>
              <w:rPr>
                <w:rFonts w:hint="eastAsia" w:ascii="宋体" w:hAnsi="宋体" w:cs="宋体"/>
                <w:color w:val="auto"/>
                <w:kern w:val="0"/>
                <w:sz w:val="24"/>
                <w:szCs w:val="24"/>
                <w:highlight w:val="none"/>
                <w:lang w:eastAsia="zh-CN" w:bidi="ar"/>
              </w:rPr>
              <w:t>一般</w:t>
            </w:r>
            <w:r>
              <w:rPr>
                <w:rFonts w:hint="eastAsia" w:ascii="宋体" w:hAnsi="宋体" w:cs="宋体"/>
                <w:color w:val="auto"/>
                <w:kern w:val="0"/>
                <w:sz w:val="24"/>
                <w:szCs w:val="24"/>
                <w:highlight w:val="none"/>
                <w:lang w:bidi="ar"/>
              </w:rPr>
              <w:t>满足采购需求得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分，方案内容有提及得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分。严重缺失不得分。</w:t>
            </w:r>
          </w:p>
        </w:tc>
        <w:tc>
          <w:tcPr>
            <w:tcW w:w="1107" w:type="dxa"/>
            <w:vAlign w:val="center"/>
          </w:tcPr>
          <w:p w14:paraId="7A77A40E">
            <w:pPr>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5</w:t>
            </w:r>
          </w:p>
          <w:p w14:paraId="0C033142">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296" w:type="dxa"/>
            <w:vAlign w:val="center"/>
          </w:tcPr>
          <w:p w14:paraId="4106D1F5">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施工方案</w:t>
            </w:r>
          </w:p>
        </w:tc>
      </w:tr>
      <w:tr w14:paraId="010C4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90" w:type="dxa"/>
            <w:vMerge w:val="continue"/>
            <w:vAlign w:val="center"/>
          </w:tcPr>
          <w:p w14:paraId="670C4232">
            <w:pPr>
              <w:spacing w:line="360" w:lineRule="auto"/>
              <w:jc w:val="center"/>
              <w:rPr>
                <w:rFonts w:ascii="宋体" w:hAnsi="宋体" w:cs="宋体"/>
                <w:color w:val="auto"/>
                <w:kern w:val="0"/>
                <w:sz w:val="24"/>
                <w:szCs w:val="24"/>
                <w:highlight w:val="none"/>
                <w:lang w:bidi="ar"/>
              </w:rPr>
            </w:pPr>
          </w:p>
        </w:tc>
        <w:tc>
          <w:tcPr>
            <w:tcW w:w="1272" w:type="dxa"/>
            <w:gridSpan w:val="2"/>
            <w:vMerge w:val="continue"/>
            <w:vAlign w:val="center"/>
          </w:tcPr>
          <w:p w14:paraId="4F932DD5">
            <w:pPr>
              <w:spacing w:line="360" w:lineRule="auto"/>
              <w:jc w:val="left"/>
              <w:rPr>
                <w:rFonts w:ascii="宋体" w:hAnsi="宋体" w:cs="宋体"/>
                <w:color w:val="auto"/>
                <w:kern w:val="0"/>
                <w:sz w:val="24"/>
                <w:szCs w:val="24"/>
                <w:highlight w:val="none"/>
                <w:lang w:bidi="ar"/>
              </w:rPr>
            </w:pPr>
          </w:p>
        </w:tc>
        <w:tc>
          <w:tcPr>
            <w:tcW w:w="5601" w:type="dxa"/>
            <w:vAlign w:val="center"/>
          </w:tcPr>
          <w:p w14:paraId="6F6C6BB8">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针对本项目施工环境需要采取的专门的施工技术内容科学合理，针对性强的得5分；措施内容基本合理，针对性较强得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分；措施内容基本合理得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分；措施内容一般，有提及得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。内容缺失严重不得分。</w:t>
            </w:r>
          </w:p>
        </w:tc>
        <w:tc>
          <w:tcPr>
            <w:tcW w:w="1107" w:type="dxa"/>
            <w:vAlign w:val="center"/>
          </w:tcPr>
          <w:p w14:paraId="0F62C39C">
            <w:pPr>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5</w:t>
            </w:r>
          </w:p>
          <w:p w14:paraId="50E39AA4">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296" w:type="dxa"/>
            <w:vAlign w:val="center"/>
          </w:tcPr>
          <w:p w14:paraId="15208309">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施工技术</w:t>
            </w:r>
          </w:p>
        </w:tc>
      </w:tr>
      <w:tr w14:paraId="068A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90" w:type="dxa"/>
            <w:vMerge w:val="continue"/>
            <w:vAlign w:val="center"/>
          </w:tcPr>
          <w:p w14:paraId="5B3F060B">
            <w:pPr>
              <w:spacing w:line="360" w:lineRule="auto"/>
              <w:jc w:val="center"/>
              <w:rPr>
                <w:rFonts w:ascii="宋体" w:hAnsi="宋体" w:cs="宋体"/>
                <w:color w:val="auto"/>
                <w:kern w:val="0"/>
                <w:sz w:val="24"/>
                <w:szCs w:val="24"/>
                <w:highlight w:val="none"/>
                <w:lang w:bidi="ar"/>
              </w:rPr>
            </w:pPr>
          </w:p>
        </w:tc>
        <w:tc>
          <w:tcPr>
            <w:tcW w:w="1272" w:type="dxa"/>
            <w:gridSpan w:val="2"/>
            <w:vMerge w:val="continue"/>
            <w:vAlign w:val="center"/>
          </w:tcPr>
          <w:p w14:paraId="037FE2F6">
            <w:pPr>
              <w:spacing w:line="360" w:lineRule="auto"/>
              <w:jc w:val="left"/>
              <w:rPr>
                <w:rFonts w:ascii="宋体" w:hAnsi="宋体" w:cs="宋体"/>
                <w:color w:val="auto"/>
                <w:kern w:val="0"/>
                <w:sz w:val="24"/>
                <w:szCs w:val="24"/>
                <w:highlight w:val="none"/>
                <w:lang w:bidi="ar"/>
              </w:rPr>
            </w:pPr>
          </w:p>
        </w:tc>
        <w:tc>
          <w:tcPr>
            <w:tcW w:w="5601" w:type="dxa"/>
            <w:vAlign w:val="center"/>
          </w:tcPr>
          <w:p w14:paraId="5C578E5D">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组织措施内容科学合理，针对性强的得5分；措施内容基本合理，针对性较强得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分；措施内容基本合理得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分；措施内容一般，有提及得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分。内容缺失严重不得分。</w:t>
            </w:r>
          </w:p>
        </w:tc>
        <w:tc>
          <w:tcPr>
            <w:tcW w:w="1107" w:type="dxa"/>
            <w:vAlign w:val="center"/>
          </w:tcPr>
          <w:p w14:paraId="6811332C">
            <w:pPr>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5</w:t>
            </w:r>
          </w:p>
          <w:p w14:paraId="73795EAC">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296" w:type="dxa"/>
            <w:vAlign w:val="center"/>
          </w:tcPr>
          <w:p w14:paraId="4EA7DC25">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组织措施</w:t>
            </w:r>
          </w:p>
        </w:tc>
      </w:tr>
      <w:tr w14:paraId="1FA03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5AD21D96">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7</w:t>
            </w:r>
          </w:p>
        </w:tc>
        <w:tc>
          <w:tcPr>
            <w:tcW w:w="6873" w:type="dxa"/>
            <w:gridSpan w:val="3"/>
            <w:vAlign w:val="center"/>
          </w:tcPr>
          <w:p w14:paraId="449FD446">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投标人针对本项目施工重点难点分析到位，针对性强的得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分，施工重点难度内容分析</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合理得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分，施工重点难度内容分析基本合理得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内容</w:t>
            </w:r>
            <w:r>
              <w:rPr>
                <w:rFonts w:hint="eastAsia" w:ascii="宋体" w:hAnsi="宋体" w:cs="宋体"/>
                <w:color w:val="auto"/>
                <w:kern w:val="0"/>
                <w:sz w:val="24"/>
                <w:szCs w:val="24"/>
                <w:highlight w:val="none"/>
                <w:lang w:bidi="ar"/>
              </w:rPr>
              <w:t>内容一般有提及得1分</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内容缺失严重不得分。</w:t>
            </w:r>
          </w:p>
        </w:tc>
        <w:tc>
          <w:tcPr>
            <w:tcW w:w="1107" w:type="dxa"/>
            <w:vAlign w:val="center"/>
          </w:tcPr>
          <w:p w14:paraId="112D5B01">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p w14:paraId="021F0C91">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296" w:type="dxa"/>
            <w:vAlign w:val="center"/>
          </w:tcPr>
          <w:p w14:paraId="0995FC1D">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施工重点难点分析</w:t>
            </w:r>
          </w:p>
        </w:tc>
      </w:tr>
      <w:tr w14:paraId="25A5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6E80BF9F">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8</w:t>
            </w:r>
          </w:p>
        </w:tc>
        <w:tc>
          <w:tcPr>
            <w:tcW w:w="6873" w:type="dxa"/>
            <w:gridSpan w:val="3"/>
            <w:vAlign w:val="center"/>
          </w:tcPr>
          <w:p w14:paraId="41FC4740">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投标人针对本项目施工重点难点</w:t>
            </w:r>
            <w:r>
              <w:rPr>
                <w:rFonts w:hint="eastAsia" w:ascii="宋体" w:hAnsi="宋体" w:cs="宋体"/>
                <w:color w:val="auto"/>
                <w:kern w:val="0"/>
                <w:sz w:val="24"/>
                <w:szCs w:val="24"/>
                <w:highlight w:val="none"/>
                <w:lang w:eastAsia="zh-CN" w:bidi="ar"/>
              </w:rPr>
              <w:t>对应</w:t>
            </w:r>
            <w:r>
              <w:rPr>
                <w:rFonts w:hint="eastAsia" w:ascii="宋体" w:hAnsi="宋体" w:cs="宋体"/>
                <w:color w:val="auto"/>
                <w:kern w:val="0"/>
                <w:sz w:val="24"/>
                <w:szCs w:val="24"/>
                <w:highlight w:val="none"/>
                <w:lang w:bidi="ar"/>
              </w:rPr>
              <w:t>措施内容科学合理，针对性强的得</w:t>
            </w:r>
            <w:r>
              <w:rPr>
                <w:rFonts w:hint="eastAsia" w:ascii="宋体" w:hAnsi="宋体" w:cs="宋体"/>
                <w:color w:val="auto"/>
                <w:kern w:val="0"/>
                <w:sz w:val="24"/>
                <w:szCs w:val="24"/>
                <w:highlight w:val="none"/>
                <w:lang w:val="en-US" w:eastAsia="zh-CN" w:bidi="ar"/>
              </w:rPr>
              <w:t>5</w:t>
            </w:r>
            <w:r>
              <w:rPr>
                <w:rFonts w:hint="eastAsia" w:ascii="宋体" w:hAnsi="宋体" w:cs="宋体"/>
                <w:color w:val="auto"/>
                <w:kern w:val="0"/>
                <w:sz w:val="24"/>
                <w:szCs w:val="24"/>
                <w:highlight w:val="none"/>
                <w:lang w:bidi="ar"/>
              </w:rPr>
              <w:t>分；措施内容</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合理，针对性较强得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分；措施内容基本合理得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分；措施内容一般，有提及得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分。内容缺失严重不得分。</w:t>
            </w:r>
          </w:p>
        </w:tc>
        <w:tc>
          <w:tcPr>
            <w:tcW w:w="1107" w:type="dxa"/>
            <w:vAlign w:val="center"/>
          </w:tcPr>
          <w:p w14:paraId="287FED68">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5（主观）</w:t>
            </w:r>
          </w:p>
        </w:tc>
        <w:tc>
          <w:tcPr>
            <w:tcW w:w="1296" w:type="dxa"/>
            <w:vAlign w:val="center"/>
          </w:tcPr>
          <w:p w14:paraId="02B7CCAB">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重点难点</w:t>
            </w:r>
            <w:r>
              <w:rPr>
                <w:rFonts w:hint="eastAsia" w:ascii="宋体" w:hAnsi="宋体" w:cs="宋体"/>
                <w:color w:val="auto"/>
                <w:kern w:val="0"/>
                <w:sz w:val="24"/>
                <w:szCs w:val="24"/>
                <w:highlight w:val="none"/>
                <w:lang w:eastAsia="zh-CN" w:bidi="ar"/>
              </w:rPr>
              <w:t>对应</w:t>
            </w:r>
            <w:r>
              <w:rPr>
                <w:rFonts w:hint="eastAsia" w:ascii="宋体" w:hAnsi="宋体" w:cs="宋体"/>
                <w:color w:val="auto"/>
                <w:kern w:val="0"/>
                <w:sz w:val="24"/>
                <w:szCs w:val="24"/>
                <w:highlight w:val="none"/>
                <w:lang w:bidi="ar"/>
              </w:rPr>
              <w:t>措施</w:t>
            </w:r>
          </w:p>
        </w:tc>
      </w:tr>
      <w:tr w14:paraId="71006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90" w:type="dxa"/>
            <w:vMerge w:val="restart"/>
            <w:vAlign w:val="center"/>
          </w:tcPr>
          <w:p w14:paraId="1A4AB4A8">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9</w:t>
            </w:r>
          </w:p>
        </w:tc>
        <w:tc>
          <w:tcPr>
            <w:tcW w:w="1205" w:type="dxa"/>
            <w:vMerge w:val="restart"/>
            <w:vAlign w:val="center"/>
          </w:tcPr>
          <w:p w14:paraId="19F52F01">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专项施工方案</w:t>
            </w:r>
          </w:p>
        </w:tc>
        <w:tc>
          <w:tcPr>
            <w:tcW w:w="5668" w:type="dxa"/>
            <w:gridSpan w:val="2"/>
            <w:vAlign w:val="center"/>
          </w:tcPr>
          <w:p w14:paraId="37BBDEAE">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施工方案内容科学合理，主要分部施工方法符合项目实际针对性强得</w:t>
            </w:r>
            <w:r>
              <w:rPr>
                <w:rFonts w:hint="eastAsia" w:ascii="宋体" w:hAnsi="宋体" w:cs="宋体"/>
                <w:color w:val="auto"/>
                <w:kern w:val="0"/>
                <w:sz w:val="24"/>
                <w:szCs w:val="24"/>
                <w:highlight w:val="none"/>
                <w:lang w:val="en-US" w:eastAsia="zh-CN" w:bidi="ar"/>
              </w:rPr>
              <w:t>5</w:t>
            </w:r>
            <w:r>
              <w:rPr>
                <w:rFonts w:hint="eastAsia" w:ascii="宋体" w:hAnsi="宋体" w:cs="宋体"/>
                <w:color w:val="auto"/>
                <w:kern w:val="0"/>
                <w:sz w:val="24"/>
                <w:szCs w:val="24"/>
                <w:highlight w:val="none"/>
                <w:lang w:bidi="ar"/>
              </w:rPr>
              <w:t>分，方案内容</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合理得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分，方案内容基本合理，</w:t>
            </w:r>
            <w:r>
              <w:rPr>
                <w:rFonts w:hint="eastAsia" w:ascii="宋体" w:hAnsi="宋体" w:cs="宋体"/>
                <w:color w:val="auto"/>
                <w:kern w:val="0"/>
                <w:sz w:val="24"/>
                <w:szCs w:val="24"/>
                <w:highlight w:val="none"/>
                <w:lang w:eastAsia="zh-CN" w:bidi="ar"/>
              </w:rPr>
              <w:t>基本</w:t>
            </w:r>
            <w:r>
              <w:rPr>
                <w:rFonts w:hint="eastAsia" w:ascii="宋体" w:hAnsi="宋体" w:cs="宋体"/>
                <w:color w:val="auto"/>
                <w:kern w:val="0"/>
                <w:sz w:val="24"/>
                <w:szCs w:val="24"/>
                <w:highlight w:val="none"/>
                <w:lang w:bidi="ar"/>
              </w:rPr>
              <w:t>满足采购需求得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分，方案内容有提及得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分。严重缺失不得分。</w:t>
            </w:r>
          </w:p>
        </w:tc>
        <w:tc>
          <w:tcPr>
            <w:tcW w:w="1107" w:type="dxa"/>
            <w:vAlign w:val="center"/>
          </w:tcPr>
          <w:p w14:paraId="5F7D505A">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5（主观）</w:t>
            </w:r>
          </w:p>
        </w:tc>
        <w:tc>
          <w:tcPr>
            <w:tcW w:w="1296" w:type="dxa"/>
            <w:vAlign w:val="center"/>
          </w:tcPr>
          <w:p w14:paraId="3327C7BF">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专项施工方案</w:t>
            </w:r>
          </w:p>
        </w:tc>
      </w:tr>
      <w:tr w14:paraId="404E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90" w:type="dxa"/>
            <w:vMerge w:val="continue"/>
            <w:vAlign w:val="center"/>
          </w:tcPr>
          <w:p w14:paraId="55690D68">
            <w:pPr>
              <w:spacing w:line="360" w:lineRule="auto"/>
              <w:jc w:val="center"/>
              <w:rPr>
                <w:rFonts w:ascii="宋体" w:hAnsi="宋体" w:cs="宋体"/>
                <w:color w:val="auto"/>
                <w:kern w:val="0"/>
                <w:sz w:val="24"/>
                <w:szCs w:val="24"/>
                <w:highlight w:val="none"/>
                <w:lang w:bidi="ar"/>
              </w:rPr>
            </w:pPr>
          </w:p>
        </w:tc>
        <w:tc>
          <w:tcPr>
            <w:tcW w:w="1205" w:type="dxa"/>
            <w:vMerge w:val="continue"/>
            <w:vAlign w:val="center"/>
          </w:tcPr>
          <w:p w14:paraId="1C5FF04F">
            <w:pPr>
              <w:spacing w:line="360" w:lineRule="auto"/>
              <w:jc w:val="left"/>
              <w:rPr>
                <w:rFonts w:ascii="宋体" w:hAnsi="宋体" w:cs="宋体"/>
                <w:color w:val="auto"/>
                <w:kern w:val="0"/>
                <w:sz w:val="24"/>
                <w:szCs w:val="24"/>
                <w:highlight w:val="none"/>
                <w:lang w:bidi="ar"/>
              </w:rPr>
            </w:pPr>
          </w:p>
        </w:tc>
        <w:tc>
          <w:tcPr>
            <w:tcW w:w="5668" w:type="dxa"/>
            <w:gridSpan w:val="2"/>
            <w:vAlign w:val="center"/>
          </w:tcPr>
          <w:p w14:paraId="424EB740">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关键工序、复杂环节的相应技术措施内容科学合理，针对性强的得</w:t>
            </w:r>
            <w:r>
              <w:rPr>
                <w:rFonts w:hint="eastAsia" w:ascii="宋体" w:hAnsi="宋体" w:cs="宋体"/>
                <w:color w:val="auto"/>
                <w:kern w:val="0"/>
                <w:sz w:val="24"/>
                <w:szCs w:val="24"/>
                <w:highlight w:val="none"/>
                <w:lang w:val="en-US" w:eastAsia="zh-CN" w:bidi="ar"/>
              </w:rPr>
              <w:t>5</w:t>
            </w:r>
            <w:r>
              <w:rPr>
                <w:rFonts w:hint="eastAsia" w:ascii="宋体" w:hAnsi="宋体" w:cs="宋体"/>
                <w:color w:val="auto"/>
                <w:kern w:val="0"/>
                <w:sz w:val="24"/>
                <w:szCs w:val="24"/>
                <w:highlight w:val="none"/>
                <w:lang w:bidi="ar"/>
              </w:rPr>
              <w:t>分；措施内容</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合理，针对性较强得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分；措施内容基本合理得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分；措施内容一般，有提及得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分。内容缺失严重不得分。</w:t>
            </w:r>
          </w:p>
        </w:tc>
        <w:tc>
          <w:tcPr>
            <w:tcW w:w="1107" w:type="dxa"/>
            <w:vAlign w:val="center"/>
          </w:tcPr>
          <w:p w14:paraId="7CB03CBD">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5（主观）</w:t>
            </w:r>
          </w:p>
        </w:tc>
        <w:tc>
          <w:tcPr>
            <w:tcW w:w="1296" w:type="dxa"/>
            <w:vAlign w:val="center"/>
          </w:tcPr>
          <w:p w14:paraId="1F2535C7">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关键工序、复杂环节的相应技术措施</w:t>
            </w:r>
          </w:p>
        </w:tc>
      </w:tr>
      <w:tr w14:paraId="322E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422C8E46">
            <w:pPr>
              <w:spacing w:line="36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10</w:t>
            </w:r>
          </w:p>
        </w:tc>
        <w:tc>
          <w:tcPr>
            <w:tcW w:w="6873" w:type="dxa"/>
            <w:gridSpan w:val="3"/>
            <w:vAlign w:val="center"/>
          </w:tcPr>
          <w:p w14:paraId="6F2F38F9">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施工质量目标明确，质量控制措施科学、合理，且有技术支撑的得</w:t>
            </w:r>
            <w:r>
              <w:rPr>
                <w:rFonts w:hint="eastAsia" w:ascii="宋体" w:hAnsi="宋体" w:cs="宋体"/>
                <w:color w:val="auto"/>
                <w:kern w:val="0"/>
                <w:sz w:val="24"/>
                <w:szCs w:val="24"/>
                <w:highlight w:val="none"/>
                <w:lang w:val="en-US" w:eastAsia="zh-CN" w:bidi="ar"/>
              </w:rPr>
              <w:t>5</w:t>
            </w:r>
            <w:r>
              <w:rPr>
                <w:rFonts w:hint="eastAsia" w:ascii="宋体" w:hAnsi="宋体" w:cs="宋体"/>
                <w:color w:val="auto"/>
                <w:kern w:val="0"/>
                <w:sz w:val="24"/>
                <w:szCs w:val="24"/>
                <w:highlight w:val="none"/>
                <w:lang w:bidi="ar"/>
              </w:rPr>
              <w:t>分，质量措施</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合理得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分，质量措施基本合理得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质量措施</w:t>
            </w:r>
            <w:r>
              <w:rPr>
                <w:rFonts w:hint="eastAsia" w:ascii="宋体" w:hAnsi="宋体" w:cs="宋体"/>
                <w:color w:val="auto"/>
                <w:kern w:val="0"/>
                <w:sz w:val="24"/>
                <w:szCs w:val="24"/>
                <w:highlight w:val="none"/>
                <w:lang w:eastAsia="zh-CN" w:bidi="ar"/>
              </w:rPr>
              <w:t>一般，有提及</w:t>
            </w:r>
            <w:r>
              <w:rPr>
                <w:rFonts w:hint="eastAsia" w:ascii="宋体" w:hAnsi="宋体" w:cs="宋体"/>
                <w:color w:val="auto"/>
                <w:kern w:val="0"/>
                <w:sz w:val="24"/>
                <w:szCs w:val="24"/>
                <w:highlight w:val="none"/>
                <w:lang w:bidi="ar"/>
              </w:rPr>
              <w:t>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分。严重缺失不得分。</w:t>
            </w:r>
          </w:p>
        </w:tc>
        <w:tc>
          <w:tcPr>
            <w:tcW w:w="1107" w:type="dxa"/>
            <w:vAlign w:val="center"/>
          </w:tcPr>
          <w:p w14:paraId="11EC6AEF">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5（主观）</w:t>
            </w:r>
          </w:p>
        </w:tc>
        <w:tc>
          <w:tcPr>
            <w:tcW w:w="1296" w:type="dxa"/>
            <w:vAlign w:val="center"/>
          </w:tcPr>
          <w:p w14:paraId="12AE5ED1">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质量控制措施</w:t>
            </w:r>
          </w:p>
        </w:tc>
      </w:tr>
      <w:tr w14:paraId="0BEFE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1EAF3CCE">
            <w:pPr>
              <w:spacing w:line="36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11</w:t>
            </w:r>
          </w:p>
        </w:tc>
        <w:tc>
          <w:tcPr>
            <w:tcW w:w="6873" w:type="dxa"/>
            <w:gridSpan w:val="3"/>
            <w:vAlign w:val="center"/>
          </w:tcPr>
          <w:p w14:paraId="509448E3">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安全、环保、消防等的保证措施科学、合理、到位的得</w:t>
            </w:r>
            <w:r>
              <w:rPr>
                <w:rFonts w:hint="eastAsia" w:ascii="宋体" w:hAnsi="宋体" w:cs="宋体"/>
                <w:color w:val="auto"/>
                <w:kern w:val="0"/>
                <w:sz w:val="24"/>
                <w:szCs w:val="24"/>
                <w:highlight w:val="none"/>
                <w:lang w:val="en-US" w:eastAsia="zh-CN" w:bidi="ar"/>
              </w:rPr>
              <w:t>5</w:t>
            </w:r>
            <w:r>
              <w:rPr>
                <w:rFonts w:hint="eastAsia" w:ascii="宋体" w:hAnsi="宋体" w:cs="宋体"/>
                <w:color w:val="auto"/>
                <w:kern w:val="0"/>
                <w:sz w:val="24"/>
                <w:szCs w:val="24"/>
                <w:highlight w:val="none"/>
                <w:lang w:bidi="ar"/>
              </w:rPr>
              <w:t>分，措施</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合理得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分，措施基本合理得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措施</w:t>
            </w:r>
            <w:r>
              <w:rPr>
                <w:rFonts w:hint="eastAsia" w:ascii="宋体" w:hAnsi="宋体" w:cs="宋体"/>
                <w:color w:val="auto"/>
                <w:kern w:val="0"/>
                <w:sz w:val="24"/>
                <w:szCs w:val="24"/>
                <w:highlight w:val="none"/>
                <w:lang w:eastAsia="zh-CN" w:bidi="ar"/>
              </w:rPr>
              <w:t>一般，有提及</w:t>
            </w:r>
            <w:r>
              <w:rPr>
                <w:rFonts w:hint="eastAsia" w:ascii="宋体" w:hAnsi="宋体" w:cs="宋体"/>
                <w:color w:val="auto"/>
                <w:kern w:val="0"/>
                <w:sz w:val="24"/>
                <w:szCs w:val="24"/>
                <w:highlight w:val="none"/>
                <w:lang w:bidi="ar"/>
              </w:rPr>
              <w:t>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分。严重缺失不得分。</w:t>
            </w:r>
          </w:p>
        </w:tc>
        <w:tc>
          <w:tcPr>
            <w:tcW w:w="1107" w:type="dxa"/>
            <w:vAlign w:val="center"/>
          </w:tcPr>
          <w:p w14:paraId="05F755AB">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5（主观）</w:t>
            </w:r>
          </w:p>
        </w:tc>
        <w:tc>
          <w:tcPr>
            <w:tcW w:w="1296" w:type="dxa"/>
            <w:vAlign w:val="center"/>
          </w:tcPr>
          <w:p w14:paraId="0992B267">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安全、环保、消防等的保证措施</w:t>
            </w:r>
          </w:p>
        </w:tc>
      </w:tr>
      <w:tr w14:paraId="0442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16A5309E">
            <w:pPr>
              <w:spacing w:line="36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12</w:t>
            </w:r>
          </w:p>
        </w:tc>
        <w:tc>
          <w:tcPr>
            <w:tcW w:w="6873" w:type="dxa"/>
            <w:gridSpan w:val="3"/>
            <w:vAlign w:val="center"/>
          </w:tcPr>
          <w:p w14:paraId="73D16B1E">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施工机具和检验仪器的投入</w:t>
            </w:r>
            <w:r>
              <w:rPr>
                <w:rFonts w:hint="eastAsia" w:ascii="宋体" w:hAnsi="宋体" w:cs="宋体"/>
                <w:color w:val="auto"/>
                <w:kern w:val="0"/>
                <w:sz w:val="24"/>
                <w:szCs w:val="24"/>
                <w:highlight w:val="none"/>
                <w:lang w:val="en-US" w:eastAsia="zh-CN" w:bidi="ar"/>
              </w:rPr>
              <w:t>满足</w:t>
            </w:r>
            <w:r>
              <w:rPr>
                <w:rFonts w:hint="eastAsia" w:ascii="宋体" w:hAnsi="宋体" w:cs="宋体"/>
                <w:color w:val="auto"/>
                <w:kern w:val="0"/>
                <w:sz w:val="24"/>
                <w:szCs w:val="24"/>
                <w:highlight w:val="none"/>
                <w:lang w:bidi="ar"/>
              </w:rPr>
              <w:t>工程</w:t>
            </w:r>
            <w:r>
              <w:rPr>
                <w:rFonts w:hint="eastAsia" w:ascii="宋体" w:hAnsi="宋体" w:cs="宋体"/>
                <w:color w:val="auto"/>
                <w:kern w:val="0"/>
                <w:sz w:val="24"/>
                <w:szCs w:val="24"/>
                <w:highlight w:val="none"/>
                <w:lang w:val="en-US" w:eastAsia="zh-CN" w:bidi="ar"/>
              </w:rPr>
              <w:t>项目</w:t>
            </w:r>
            <w:r>
              <w:rPr>
                <w:rFonts w:hint="eastAsia" w:ascii="宋体" w:hAnsi="宋体" w:cs="宋体"/>
                <w:color w:val="auto"/>
                <w:kern w:val="0"/>
                <w:sz w:val="24"/>
                <w:szCs w:val="24"/>
                <w:highlight w:val="none"/>
                <w:lang w:bidi="ar"/>
              </w:rPr>
              <w:t>实施的需要，且与项目相适应针对性强得</w:t>
            </w:r>
            <w:r>
              <w:rPr>
                <w:rFonts w:hint="eastAsia" w:ascii="宋体" w:hAnsi="宋体" w:cs="宋体"/>
                <w:color w:val="auto"/>
                <w:kern w:val="0"/>
                <w:sz w:val="24"/>
                <w:szCs w:val="24"/>
                <w:highlight w:val="none"/>
                <w:lang w:val="en-US" w:eastAsia="zh-CN" w:bidi="ar"/>
              </w:rPr>
              <w:t>5</w:t>
            </w:r>
            <w:r>
              <w:rPr>
                <w:rFonts w:hint="eastAsia" w:ascii="宋体" w:hAnsi="宋体" w:cs="宋体"/>
                <w:color w:val="auto"/>
                <w:kern w:val="0"/>
                <w:sz w:val="24"/>
                <w:szCs w:val="24"/>
                <w:highlight w:val="none"/>
                <w:lang w:bidi="ar"/>
              </w:rPr>
              <w:t>分，施工机具和检验仪器的投入满足工程实施需求且针对性</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强得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分，施工机具和检验仪器的投入基本满足工程实施需求得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，内容一般、有提及</w:t>
            </w:r>
            <w:r>
              <w:rPr>
                <w:rFonts w:hint="eastAsia" w:ascii="宋体" w:hAnsi="宋体" w:cs="宋体"/>
                <w:color w:val="auto"/>
                <w:kern w:val="0"/>
                <w:sz w:val="24"/>
                <w:szCs w:val="24"/>
                <w:highlight w:val="none"/>
                <w:lang w:bidi="ar"/>
              </w:rPr>
              <w:t>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分。严重缺失不得分。</w:t>
            </w:r>
          </w:p>
        </w:tc>
        <w:tc>
          <w:tcPr>
            <w:tcW w:w="1107" w:type="dxa"/>
            <w:vAlign w:val="center"/>
          </w:tcPr>
          <w:p w14:paraId="4117F243">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5（主观）</w:t>
            </w:r>
          </w:p>
        </w:tc>
        <w:tc>
          <w:tcPr>
            <w:tcW w:w="1296" w:type="dxa"/>
            <w:vAlign w:val="center"/>
          </w:tcPr>
          <w:p w14:paraId="3BB2182A">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施工机具和检验仪器</w:t>
            </w:r>
          </w:p>
        </w:tc>
      </w:tr>
      <w:tr w14:paraId="60F9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6C982D13">
            <w:pPr>
              <w:spacing w:line="36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13</w:t>
            </w:r>
          </w:p>
        </w:tc>
        <w:tc>
          <w:tcPr>
            <w:tcW w:w="6873" w:type="dxa"/>
            <w:gridSpan w:val="3"/>
            <w:vAlign w:val="center"/>
          </w:tcPr>
          <w:p w14:paraId="6CB3CFDB">
            <w:pPr>
              <w:spacing w:line="360" w:lineRule="auto"/>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具有详细的</w:t>
            </w:r>
            <w:r>
              <w:rPr>
                <w:rFonts w:hint="eastAsia" w:ascii="宋体" w:hAnsi="宋体" w:cs="宋体"/>
                <w:color w:val="auto"/>
                <w:kern w:val="0"/>
                <w:sz w:val="24"/>
                <w:szCs w:val="24"/>
                <w:highlight w:val="none"/>
                <w:lang w:val="en-US" w:eastAsia="zh-CN" w:bidi="ar"/>
              </w:rPr>
              <w:t>施工</w:t>
            </w:r>
            <w:r>
              <w:rPr>
                <w:rFonts w:hint="eastAsia" w:ascii="宋体" w:hAnsi="宋体" w:cs="宋体"/>
                <w:color w:val="auto"/>
                <w:kern w:val="0"/>
                <w:sz w:val="24"/>
                <w:szCs w:val="24"/>
                <w:highlight w:val="none"/>
                <w:lang w:bidi="ar"/>
              </w:rPr>
              <w:t>计划且计划周密，质量控制</w:t>
            </w:r>
            <w:r>
              <w:rPr>
                <w:rFonts w:hint="eastAsia" w:ascii="宋体" w:hAnsi="宋体" w:cs="宋体"/>
                <w:color w:val="auto"/>
                <w:kern w:val="0"/>
                <w:sz w:val="24"/>
                <w:szCs w:val="24"/>
                <w:highlight w:val="none"/>
                <w:lang w:eastAsia="zh-CN" w:bidi="ar"/>
              </w:rPr>
              <w:t>合理</w:t>
            </w:r>
            <w:r>
              <w:rPr>
                <w:rFonts w:hint="eastAsia" w:ascii="宋体" w:hAnsi="宋体" w:cs="宋体"/>
                <w:color w:val="auto"/>
                <w:kern w:val="0"/>
                <w:sz w:val="24"/>
                <w:szCs w:val="24"/>
                <w:highlight w:val="none"/>
                <w:lang w:bidi="ar"/>
              </w:rPr>
              <w:t>，时间安排合理，满足施工需要，合理得</w:t>
            </w:r>
            <w:r>
              <w:rPr>
                <w:rFonts w:hint="eastAsia" w:ascii="宋体" w:hAnsi="宋体" w:cs="宋体"/>
                <w:color w:val="auto"/>
                <w:kern w:val="0"/>
                <w:sz w:val="24"/>
                <w:szCs w:val="24"/>
                <w:highlight w:val="none"/>
                <w:lang w:val="en-US" w:eastAsia="zh-CN" w:bidi="ar"/>
              </w:rPr>
              <w:t>5</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较合理得</w:t>
            </w:r>
            <w:r>
              <w:rPr>
                <w:rFonts w:hint="eastAsia" w:ascii="宋体" w:hAnsi="宋体" w:cs="宋体"/>
                <w:color w:val="auto"/>
                <w:kern w:val="0"/>
                <w:sz w:val="24"/>
                <w:szCs w:val="24"/>
                <w:highlight w:val="none"/>
                <w:lang w:val="en-US" w:eastAsia="zh-CN" w:bidi="ar"/>
              </w:rPr>
              <w:t>4分，</w:t>
            </w:r>
            <w:r>
              <w:rPr>
                <w:rFonts w:hint="eastAsia" w:ascii="宋体" w:hAnsi="宋体" w:cs="宋体"/>
                <w:color w:val="auto"/>
                <w:kern w:val="0"/>
                <w:sz w:val="24"/>
                <w:szCs w:val="24"/>
                <w:highlight w:val="none"/>
                <w:lang w:eastAsia="zh-CN" w:bidi="ar"/>
              </w:rPr>
              <w:t>基本满足要求得</w:t>
            </w:r>
            <w:r>
              <w:rPr>
                <w:rFonts w:hint="eastAsia" w:ascii="宋体" w:hAnsi="宋体" w:cs="宋体"/>
                <w:color w:val="auto"/>
                <w:kern w:val="0"/>
                <w:sz w:val="24"/>
                <w:szCs w:val="24"/>
                <w:highlight w:val="none"/>
                <w:lang w:val="en-US" w:eastAsia="zh-CN" w:bidi="ar"/>
              </w:rPr>
              <w:t>3分，</w:t>
            </w:r>
            <w:r>
              <w:rPr>
                <w:rFonts w:hint="eastAsia" w:ascii="宋体" w:hAnsi="宋体" w:cs="宋体"/>
                <w:color w:val="auto"/>
                <w:kern w:val="0"/>
                <w:sz w:val="24"/>
                <w:szCs w:val="24"/>
                <w:highlight w:val="none"/>
                <w:lang w:bidi="ar"/>
              </w:rPr>
              <w:t>较差的得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分，未提供材料设备进场计划及施工计划的不得分。</w:t>
            </w:r>
          </w:p>
        </w:tc>
        <w:tc>
          <w:tcPr>
            <w:tcW w:w="1107" w:type="dxa"/>
            <w:vAlign w:val="center"/>
          </w:tcPr>
          <w:p w14:paraId="62564ED2">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5    （主观）</w:t>
            </w:r>
          </w:p>
        </w:tc>
        <w:tc>
          <w:tcPr>
            <w:tcW w:w="1296" w:type="dxa"/>
            <w:vAlign w:val="center"/>
          </w:tcPr>
          <w:p w14:paraId="5F42E4C7">
            <w:pPr>
              <w:snapToGrid w:val="0"/>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施工</w:t>
            </w:r>
            <w:r>
              <w:rPr>
                <w:rFonts w:hint="eastAsia" w:ascii="宋体" w:hAnsi="宋体" w:cs="宋体"/>
                <w:color w:val="auto"/>
                <w:kern w:val="0"/>
                <w:sz w:val="24"/>
                <w:szCs w:val="24"/>
                <w:highlight w:val="none"/>
                <w:lang w:bidi="ar"/>
              </w:rPr>
              <w:t>计划</w:t>
            </w:r>
          </w:p>
        </w:tc>
      </w:tr>
      <w:tr w14:paraId="24960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890" w:type="dxa"/>
            <w:vAlign w:val="center"/>
          </w:tcPr>
          <w:p w14:paraId="41AECF7A">
            <w:pPr>
              <w:spacing w:line="36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14</w:t>
            </w:r>
          </w:p>
        </w:tc>
        <w:tc>
          <w:tcPr>
            <w:tcW w:w="6873" w:type="dxa"/>
            <w:gridSpan w:val="3"/>
          </w:tcPr>
          <w:p w14:paraId="5BD1EA78">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有效投标报价的最低价作为评标基准价，其最低报价为满分；按［投标报价得分=（评标基准价/投标最后报价）*30］的计算公式计算。</w:t>
            </w:r>
          </w:p>
          <w:p w14:paraId="639099B3">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评标过程中，不得去掉报价中的最高报价和最低报价。</w:t>
            </w:r>
          </w:p>
          <w:p w14:paraId="3091F313">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因落实政府采购政策需要进行价格调整的，以调整后的价格计算评标基准价和投标报价。</w:t>
            </w:r>
          </w:p>
        </w:tc>
        <w:tc>
          <w:tcPr>
            <w:tcW w:w="1107" w:type="dxa"/>
            <w:vAlign w:val="center"/>
          </w:tcPr>
          <w:p w14:paraId="67A8EC1A">
            <w:pPr>
              <w:spacing w:line="360" w:lineRule="auto"/>
              <w:ind w:firstLine="120" w:firstLineChars="50"/>
              <w:jc w:val="center"/>
              <w:rPr>
                <w:rFonts w:ascii="宋体" w:hAnsi="宋体" w:cs="宋体"/>
                <w:color w:val="auto"/>
                <w:kern w:val="0"/>
                <w:sz w:val="24"/>
                <w:szCs w:val="24"/>
                <w:highlight w:val="none"/>
                <w:lang w:bidi="ar"/>
              </w:rPr>
            </w:pPr>
            <w:r>
              <w:rPr>
                <w:rFonts w:ascii="宋体" w:hAnsi="宋体" w:cs="宋体"/>
                <w:color w:val="auto"/>
                <w:kern w:val="0"/>
                <w:sz w:val="24"/>
                <w:szCs w:val="24"/>
                <w:highlight w:val="none"/>
                <w:lang w:bidi="ar"/>
              </w:rPr>
              <w:t>30</w:t>
            </w:r>
          </w:p>
        </w:tc>
        <w:tc>
          <w:tcPr>
            <w:tcW w:w="1296" w:type="dxa"/>
            <w:vAlign w:val="center"/>
          </w:tcPr>
          <w:p w14:paraId="0F5567C9">
            <w:pPr>
              <w:snapToGrid w:val="0"/>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w:t>
            </w:r>
          </w:p>
        </w:tc>
      </w:tr>
    </w:tbl>
    <w:p w14:paraId="1725CD46">
      <w:pPr>
        <w:snapToGrid w:val="0"/>
        <w:spacing w:line="360" w:lineRule="auto"/>
        <w:rPr>
          <w:rFonts w:ascii="宋体" w:hAnsi="宋体" w:cs="宋体"/>
          <w:b/>
          <w:color w:val="auto"/>
          <w:sz w:val="24"/>
          <w:szCs w:val="24"/>
          <w:highlight w:val="none"/>
        </w:rPr>
      </w:pPr>
      <w:r>
        <w:rPr>
          <w:rFonts w:hint="eastAsia" w:ascii="宋体" w:hAnsi="宋体" w:cs="宋体"/>
          <w:color w:val="auto"/>
          <w:sz w:val="24"/>
          <w:szCs w:val="24"/>
          <w:highlight w:val="none"/>
          <w:shd w:val="clear" w:color="auto" w:fill="FFFFFF"/>
        </w:rPr>
        <w:t> *</w:t>
      </w:r>
      <w:r>
        <w:rPr>
          <w:rFonts w:hint="eastAsia" w:ascii="宋体" w:hAnsi="宋体" w:cs="宋体"/>
          <w:b/>
          <w:color w:val="auto"/>
          <w:sz w:val="24"/>
          <w:szCs w:val="24"/>
          <w:highlight w:val="none"/>
        </w:rPr>
        <w:t>备注：</w:t>
      </w:r>
      <w:r>
        <w:rPr>
          <w:rFonts w:hint="eastAsia" w:ascii="宋体" w:hAnsi="宋体" w:cs="宋体"/>
          <w:color w:val="auto"/>
          <w:sz w:val="24"/>
          <w:szCs w:val="24"/>
          <w:highlight w:val="none"/>
        </w:rPr>
        <w:t>供应商编制响应文件（商务技术文件部分）时，建议按此目录（序号和内容）提供评审标准相应的商务技术资料。 </w:t>
      </w:r>
    </w:p>
    <w:p w14:paraId="6CBAE6F5">
      <w:pP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14:paraId="2B3FC302">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2"/>
          <w:szCs w:val="32"/>
          <w:highlight w:val="none"/>
        </w:rPr>
        <w:t>一、评审方法</w:t>
      </w:r>
    </w:p>
    <w:p w14:paraId="542AB6E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4AB34DC4">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14:paraId="178803FC">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14:paraId="40AD4E19">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14:paraId="1BDC651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336A5EAB">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0312380A">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逐家磋商一次为一个轮次，磋商轮次根据实际情况进行（本项目磋商轮次为二轮报价即为最终报价）。</w:t>
      </w:r>
    </w:p>
    <w:p w14:paraId="40757EE4">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5DC4C5B1">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3.2.3 在磋商过程中，磋商小组可以根据磋商文件和磋商情况实质性变动采购需求中的“※”号技术、服务要求以及合同草案中的“※”号条款，但不得变动磋商文件中的其他内容。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5703AA74">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07B8BD60">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0E42C208">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44BCD28E">
      <w:pPr>
        <w:spacing w:line="360" w:lineRule="auto"/>
        <w:ind w:left="488" w:leftChars="228" w:hanging="9" w:hangingChars="4"/>
        <w:rPr>
          <w:rFonts w:ascii="宋体" w:hAnsi="宋体" w:cs="宋体"/>
          <w:color w:val="auto"/>
          <w:kern w:val="0"/>
          <w:sz w:val="24"/>
          <w:highlight w:val="none"/>
        </w:rPr>
      </w:pPr>
      <w:r>
        <w:rPr>
          <w:rFonts w:hint="eastAsia" w:ascii="宋体" w:hAnsi="宋体" w:cs="宋体"/>
          <w:color w:val="auto"/>
          <w:kern w:val="0"/>
          <w:sz w:val="24"/>
          <w:highlight w:val="none"/>
        </w:rPr>
        <w:t>3.3.</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 xml:space="preserve"> 已提交响应文件的供应商，在提交最后报价之前，可以根据磋商情况退出磋商</w:t>
      </w:r>
      <w:r>
        <w:rPr>
          <w:rFonts w:hint="eastAsia" w:ascii="宋体" w:hAnsi="宋体" w:cs="宋体"/>
          <w:color w:val="auto"/>
          <w:kern w:val="0"/>
          <w:sz w:val="24"/>
          <w:highlight w:val="none"/>
          <w:lang w:eastAsia="zh-CN"/>
        </w:rPr>
        <w:t>。</w:t>
      </w:r>
    </w:p>
    <w:p w14:paraId="7D0F959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6CC3C98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6ACB980A">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14:paraId="5D01D7EA">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175EBBF5">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14:paraId="7B09448C">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2DC749C1">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14:paraId="182C3FF6">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2CD7E17E">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3.4.1.5政采云平台填报的开标一览表中的价格与上传的报价响应文件中开标一览表的报价不一致的，以上传的报价响应文件中开标一览表的价格为准，修正平台上的投标报价。</w:t>
      </w:r>
    </w:p>
    <w:p w14:paraId="3CF8AB35">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w:t>
      </w:r>
      <w:r>
        <w:rPr>
          <w:rFonts w:hint="eastAsia" w:ascii="宋体" w:hAnsi="宋体" w:cs="宋体"/>
          <w:color w:val="auto"/>
          <w:kern w:val="0"/>
          <w:szCs w:val="24"/>
          <w:highlight w:val="none"/>
          <w:lang w:val="en-US" w:eastAsia="zh-CN"/>
        </w:rPr>
        <w:t>6</w:t>
      </w:r>
      <w:r>
        <w:rPr>
          <w:rFonts w:hint="eastAsia" w:ascii="宋体" w:hAnsi="宋体" w:cs="宋体"/>
          <w:color w:val="auto"/>
          <w:kern w:val="0"/>
          <w:szCs w:val="24"/>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687C0BE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1C3AA86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023F0178">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255B3D87">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4C1B7BD6">
      <w:pPr>
        <w:spacing w:line="360" w:lineRule="auto"/>
        <w:ind w:firstLine="472" w:firstLineChars="196"/>
        <w:rPr>
          <w:color w:val="auto"/>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58991925">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046BBA22">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88F62A1">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14:paraId="3851B77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281927D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0FD4BF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6A13CBC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14:paraId="30F2AD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14:paraId="46919FA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4.2.6响应文件出现不是唯一的、有选择性最后报价的;</w:t>
      </w:r>
    </w:p>
    <w:p w14:paraId="1D0FB2D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4.2.7最后报价超过采购文件中规定的预算金额或者最高限价的;</w:t>
      </w:r>
    </w:p>
    <w:p w14:paraId="1F40FBB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76CA10A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4.2.9供应商对根据修正原则修正后的报价不确认的；</w:t>
      </w:r>
    </w:p>
    <w:p w14:paraId="696AB72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4.2.10供应商提供虚假材料</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rPr>
        <w:t>的；</w:t>
      </w:r>
    </w:p>
    <w:p w14:paraId="2B06323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4.2.11供应商有恶意串通、妨碍其他供应商的竞争行为、损害采购人或者其他供应商的合法权益情形的；</w:t>
      </w:r>
    </w:p>
    <w:p w14:paraId="018A125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4.2.12供应商仅提交备份响应文件，未在电子交易平台传输递交响应文件的，响应文件无效；</w:t>
      </w:r>
    </w:p>
    <w:p w14:paraId="6526457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 响应文件不满足采购文件的其它实质性要求的；</w:t>
      </w:r>
    </w:p>
    <w:p w14:paraId="08AFF98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67963B23">
      <w:pPr>
        <w:pStyle w:val="26"/>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72E1065E">
      <w:pPr>
        <w:pStyle w:val="26"/>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14:paraId="54F16862">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43DA287B">
      <w:pPr>
        <w:pStyle w:val="26"/>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14:paraId="34EF4B96">
      <w:pPr>
        <w:pStyle w:val="26"/>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1D103527">
      <w:pPr>
        <w:pStyle w:val="26"/>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37CAFF84">
      <w:pPr>
        <w:pStyle w:val="26"/>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14:paraId="79735825">
      <w:pPr>
        <w:pStyle w:val="26"/>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6D1A061D">
      <w:pPr>
        <w:pStyle w:val="26"/>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3E04E374">
      <w:pPr>
        <w:pStyle w:val="26"/>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14:paraId="7006756F">
      <w:pPr>
        <w:pStyle w:val="26"/>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4904201C">
      <w:pPr>
        <w:pStyle w:val="26"/>
        <w:snapToGrid w:val="0"/>
        <w:spacing w:line="360" w:lineRule="auto"/>
        <w:ind w:firstLine="0" w:firstLineChars="0"/>
        <w:rPr>
          <w:rFonts w:cs="宋体"/>
          <w:color w:val="auto"/>
          <w:highlight w:val="none"/>
        </w:rPr>
        <w:sectPr>
          <w:pgSz w:w="11907" w:h="16840"/>
          <w:pgMar w:top="1327" w:right="1080" w:bottom="1327" w:left="1080" w:header="851" w:footer="851" w:gutter="0"/>
          <w:cols w:space="720" w:num="1"/>
        </w:sectPr>
      </w:pPr>
    </w:p>
    <w:bookmarkEnd w:id="31"/>
    <w:p w14:paraId="3E52484A">
      <w:pPr>
        <w:spacing w:line="360" w:lineRule="auto"/>
        <w:jc w:val="center"/>
        <w:outlineLvl w:val="0"/>
        <w:rPr>
          <w:rFonts w:ascii="宋体" w:hAnsi="宋体" w:cs="宋体"/>
          <w:b/>
          <w:color w:val="auto"/>
          <w:sz w:val="36"/>
          <w:szCs w:val="36"/>
          <w:highlight w:val="none"/>
        </w:rPr>
      </w:pPr>
      <w:bookmarkStart w:id="397" w:name="第五部分"/>
      <w:bookmarkStart w:id="398" w:name="_Toc86217003"/>
      <w:r>
        <w:rPr>
          <w:rFonts w:hint="eastAsia" w:ascii="宋体" w:hAnsi="宋体" w:cs="宋体"/>
          <w:b/>
          <w:color w:val="auto"/>
          <w:sz w:val="36"/>
          <w:szCs w:val="36"/>
          <w:highlight w:val="none"/>
        </w:rPr>
        <w:t>第五部分 拟签订的合同文本</w:t>
      </w:r>
    </w:p>
    <w:p w14:paraId="1618095A">
      <w:pPr>
        <w:snapToGrid w:val="0"/>
        <w:spacing w:line="360" w:lineRule="auto"/>
        <w:ind w:firstLine="480" w:firstLineChars="200"/>
        <w:jc w:val="left"/>
        <w:rPr>
          <w:rFonts w:hint="eastAsia" w:ascii="仿宋" w:hAnsi="仿宋" w:eastAsia="仿宋" w:cs="仿宋"/>
          <w:snapToGrid w:val="0"/>
          <w:color w:val="auto"/>
          <w:kern w:val="0"/>
          <w:sz w:val="24"/>
          <w:szCs w:val="20"/>
          <w:highlight w:val="none"/>
        </w:rPr>
      </w:pPr>
      <w:r>
        <w:rPr>
          <w:rFonts w:hint="eastAsia" w:ascii="仿宋" w:hAnsi="仿宋" w:eastAsia="仿宋" w:cs="仿宋"/>
          <w:snapToGrid w:val="0"/>
          <w:color w:val="auto"/>
          <w:kern w:val="0"/>
          <w:sz w:val="24"/>
          <w:szCs w:val="20"/>
          <w:highlight w:val="none"/>
        </w:rPr>
        <w:t>使用住房城乡建设部、原国家工商行政管理总局制定的《建设工程施工合同（示范文本）》（GF-2017-0201）。</w:t>
      </w:r>
    </w:p>
    <w:p w14:paraId="6B4CC88D">
      <w:pPr>
        <w:keepNext/>
        <w:keepLines/>
        <w:numPr>
          <w:ilvl w:val="1"/>
          <w:numId w:val="0"/>
        </w:numPr>
        <w:snapToGrid w:val="0"/>
        <w:spacing w:line="360" w:lineRule="auto"/>
        <w:jc w:val="center"/>
        <w:rPr>
          <w:rFonts w:hint="eastAsia" w:ascii="仿宋" w:hAnsi="仿宋" w:eastAsia="仿宋" w:cs="仿宋"/>
          <w:snapToGrid w:val="0"/>
          <w:color w:val="auto"/>
          <w:kern w:val="44"/>
          <w:sz w:val="24"/>
          <w:szCs w:val="20"/>
          <w:highlight w:val="none"/>
        </w:rPr>
      </w:pPr>
    </w:p>
    <w:p w14:paraId="71304BDA">
      <w:pPr>
        <w:snapToGrid w:val="0"/>
        <w:spacing w:line="480" w:lineRule="exact"/>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第一部分合同协议书</w:t>
      </w:r>
    </w:p>
    <w:p w14:paraId="2E8E6C98">
      <w:pPr>
        <w:spacing w:before="240" w:line="360" w:lineRule="auto"/>
        <w:ind w:firstLine="420" w:firstLineChars="200"/>
        <w:rPr>
          <w:rFonts w:hint="eastAsia" w:ascii="仿宋" w:hAnsi="仿宋" w:eastAsia="仿宋" w:cs="仿宋"/>
          <w:iCs/>
          <w:color w:val="auto"/>
          <w:szCs w:val="21"/>
          <w:highlight w:val="none"/>
          <w:lang w:eastAsia="zh-CN"/>
        </w:rPr>
      </w:pPr>
      <w:r>
        <w:rPr>
          <w:rFonts w:hint="eastAsia" w:ascii="仿宋" w:hAnsi="仿宋" w:eastAsia="仿宋" w:cs="仿宋"/>
          <w:iCs/>
          <w:color w:val="auto"/>
          <w:szCs w:val="21"/>
          <w:highlight w:val="none"/>
        </w:rPr>
        <w:t>发 包 人（全称）：</w:t>
      </w:r>
      <w:r>
        <w:rPr>
          <w:rFonts w:hint="eastAsia" w:ascii="仿宋" w:hAnsi="仿宋" w:eastAsia="仿宋" w:cs="仿宋"/>
          <w:iCs/>
          <w:color w:val="auto"/>
          <w:szCs w:val="21"/>
          <w:highlight w:val="none"/>
          <w:u w:val="single"/>
          <w:lang w:eastAsia="zh-CN"/>
        </w:rPr>
        <w:t>杭州市钱塘区观澜中学</w:t>
      </w:r>
    </w:p>
    <w:p w14:paraId="64543E65">
      <w:pPr>
        <w:spacing w:line="360" w:lineRule="auto"/>
        <w:ind w:firstLine="420" w:firstLineChars="200"/>
        <w:rPr>
          <w:rFonts w:hint="eastAsia" w:ascii="仿宋" w:hAnsi="仿宋" w:eastAsia="仿宋" w:cs="仿宋"/>
          <w:iCs/>
          <w:color w:val="auto"/>
          <w:szCs w:val="21"/>
          <w:highlight w:val="none"/>
          <w:u w:val="single"/>
        </w:rPr>
      </w:pPr>
      <w:r>
        <w:rPr>
          <w:rFonts w:hint="eastAsia" w:ascii="仿宋" w:hAnsi="仿宋" w:eastAsia="仿宋" w:cs="仿宋"/>
          <w:iCs/>
          <w:color w:val="auto"/>
          <w:szCs w:val="21"/>
          <w:highlight w:val="none"/>
        </w:rPr>
        <w:t>承 包 人（全称）：</w:t>
      </w:r>
    </w:p>
    <w:p w14:paraId="2F2E14EA">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根据《中华人民共和国</w:t>
      </w:r>
      <w:r>
        <w:rPr>
          <w:rFonts w:hint="eastAsia" w:ascii="仿宋" w:hAnsi="仿宋" w:eastAsia="仿宋" w:cs="仿宋"/>
          <w:iCs/>
          <w:color w:val="auto"/>
          <w:szCs w:val="21"/>
          <w:highlight w:val="none"/>
          <w:lang w:val="en-US" w:eastAsia="zh-Hans"/>
        </w:rPr>
        <w:t>民法典</w:t>
      </w:r>
      <w:r>
        <w:rPr>
          <w:rFonts w:hint="eastAsia" w:ascii="仿宋" w:hAnsi="仿宋" w:eastAsia="仿宋" w:cs="仿宋"/>
          <w:iCs/>
          <w:color w:val="auto"/>
          <w:szCs w:val="21"/>
          <w:highlight w:val="none"/>
        </w:rPr>
        <w:t>》、《中华人民共和国建筑法》及有关法律规定，遵循平等、自愿、公平和诚实信用的原则，双方就</w:t>
      </w:r>
      <w:r>
        <w:rPr>
          <w:rFonts w:hint="eastAsia" w:ascii="仿宋" w:hAnsi="仿宋" w:eastAsia="仿宋" w:cs="仿宋"/>
          <w:iCs/>
          <w:color w:val="auto"/>
          <w:szCs w:val="21"/>
          <w:highlight w:val="none"/>
          <w:u w:val="single"/>
          <w:lang w:eastAsia="zh-CN"/>
        </w:rPr>
        <w:t>观澜中学图书馆扩建改造工程</w:t>
      </w:r>
      <w:r>
        <w:rPr>
          <w:rFonts w:hint="eastAsia" w:ascii="仿宋" w:hAnsi="仿宋" w:eastAsia="仿宋" w:cs="仿宋"/>
          <w:iCs/>
          <w:color w:val="auto"/>
          <w:szCs w:val="21"/>
          <w:highlight w:val="none"/>
        </w:rPr>
        <w:t>施工及有关事项协商一致，共同达成如下协议：</w:t>
      </w:r>
    </w:p>
    <w:p w14:paraId="51B1D2E1">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一、工程概况</w:t>
      </w:r>
    </w:p>
    <w:p w14:paraId="41505819">
      <w:pPr>
        <w:spacing w:line="360" w:lineRule="auto"/>
        <w:ind w:firstLine="420" w:firstLineChars="200"/>
        <w:rPr>
          <w:rFonts w:hint="eastAsia" w:ascii="仿宋" w:hAnsi="仿宋" w:eastAsia="仿宋" w:cs="仿宋"/>
          <w:iCs/>
          <w:color w:val="auto"/>
          <w:szCs w:val="21"/>
          <w:highlight w:val="none"/>
          <w:lang w:eastAsia="zh-CN"/>
        </w:rPr>
      </w:pPr>
      <w:r>
        <w:rPr>
          <w:rFonts w:hint="eastAsia" w:ascii="仿宋" w:hAnsi="仿宋" w:eastAsia="仿宋" w:cs="仿宋"/>
          <w:iCs/>
          <w:color w:val="auto"/>
          <w:szCs w:val="21"/>
          <w:highlight w:val="none"/>
        </w:rPr>
        <w:t>1.工程名称：</w:t>
      </w:r>
      <w:r>
        <w:rPr>
          <w:rFonts w:hint="eastAsia" w:ascii="仿宋" w:hAnsi="仿宋" w:eastAsia="仿宋" w:cs="仿宋"/>
          <w:iCs/>
          <w:color w:val="auto"/>
          <w:szCs w:val="21"/>
          <w:highlight w:val="none"/>
          <w:u w:val="single"/>
          <w:lang w:eastAsia="zh-CN"/>
        </w:rPr>
        <w:t>观澜中学图书馆扩建改造工程</w:t>
      </w:r>
    </w:p>
    <w:p w14:paraId="6057B760">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2.工程地点：</w:t>
      </w:r>
      <w:r>
        <w:rPr>
          <w:rFonts w:hint="eastAsia" w:ascii="仿宋" w:hAnsi="仿宋" w:eastAsia="仿宋" w:cs="仿宋"/>
          <w:iCs/>
          <w:color w:val="auto"/>
          <w:szCs w:val="21"/>
          <w:highlight w:val="none"/>
          <w:u w:val="single"/>
          <w:lang w:val="en-US" w:eastAsia="zh-CN"/>
        </w:rPr>
        <w:t>杭州市钱塘区</w:t>
      </w:r>
      <w:r>
        <w:rPr>
          <w:rFonts w:hint="eastAsia" w:ascii="仿宋" w:hAnsi="仿宋" w:eastAsia="仿宋" w:cs="仿宋"/>
          <w:iCs/>
          <w:color w:val="auto"/>
          <w:szCs w:val="21"/>
          <w:highlight w:val="none"/>
          <w:u w:val="single"/>
          <w:lang w:eastAsia="zh-CN"/>
        </w:rPr>
        <w:t xml:space="preserve">。 </w:t>
      </w:r>
    </w:p>
    <w:p w14:paraId="4372609A">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3.工程立项批准文号：</w:t>
      </w:r>
      <w:r>
        <w:rPr>
          <w:rFonts w:hint="eastAsia" w:ascii="仿宋" w:hAnsi="仿宋" w:eastAsia="仿宋" w:cs="仿宋"/>
          <w:iCs/>
          <w:color w:val="auto"/>
          <w:szCs w:val="21"/>
          <w:highlight w:val="none"/>
          <w:u w:val="single"/>
          <w:lang w:val="en-US" w:eastAsia="zh-CN"/>
        </w:rPr>
        <w:t xml:space="preserve">      </w:t>
      </w:r>
      <w:r>
        <w:rPr>
          <w:rFonts w:hint="eastAsia" w:ascii="仿宋" w:hAnsi="仿宋" w:eastAsia="仿宋" w:cs="仿宋"/>
          <w:iCs/>
          <w:color w:val="auto"/>
          <w:szCs w:val="21"/>
          <w:highlight w:val="none"/>
        </w:rPr>
        <w:t>。</w:t>
      </w:r>
    </w:p>
    <w:p w14:paraId="04FC8AE0">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 xml:space="preserve">4.资金来源： </w:t>
      </w:r>
      <w:r>
        <w:rPr>
          <w:rFonts w:hint="eastAsia" w:ascii="仿宋" w:hAnsi="仿宋" w:eastAsia="仿宋" w:cs="仿宋"/>
          <w:iCs/>
          <w:color w:val="auto"/>
          <w:szCs w:val="21"/>
          <w:highlight w:val="none"/>
          <w:u w:val="single"/>
        </w:rPr>
        <w:t xml:space="preserve">财政资金 </w:t>
      </w:r>
    </w:p>
    <w:p w14:paraId="377B5FD7">
      <w:pPr>
        <w:spacing w:line="360" w:lineRule="auto"/>
        <w:ind w:firstLine="420" w:firstLineChars="200"/>
        <w:rPr>
          <w:rFonts w:hint="eastAsia" w:ascii="仿宋" w:hAnsi="仿宋" w:eastAsia="仿宋" w:cs="仿宋"/>
          <w:iCs/>
          <w:color w:val="auto"/>
          <w:szCs w:val="21"/>
          <w:highlight w:val="none"/>
          <w:u w:val="single"/>
        </w:rPr>
      </w:pPr>
      <w:r>
        <w:rPr>
          <w:rFonts w:hint="eastAsia" w:ascii="仿宋" w:hAnsi="仿宋" w:eastAsia="仿宋" w:cs="仿宋"/>
          <w:iCs/>
          <w:color w:val="auto"/>
          <w:szCs w:val="21"/>
          <w:highlight w:val="none"/>
        </w:rPr>
        <w:t>5.工程内容：</w:t>
      </w:r>
      <w:r>
        <w:rPr>
          <w:rFonts w:hint="eastAsia" w:ascii="仿宋" w:hAnsi="仿宋" w:eastAsia="仿宋" w:cs="仿宋"/>
          <w:iCs/>
          <w:color w:val="auto"/>
          <w:sz w:val="21"/>
          <w:szCs w:val="21"/>
          <w:highlight w:val="none"/>
          <w:u w:val="single"/>
        </w:rPr>
        <w:t>竞争性磋商文件、工程量清单及施工图范围内的所有内容</w:t>
      </w:r>
      <w:r>
        <w:rPr>
          <w:rFonts w:hint="eastAsia" w:ascii="仿宋" w:hAnsi="仿宋" w:eastAsia="仿宋" w:cs="仿宋"/>
          <w:iCs/>
          <w:color w:val="auto"/>
          <w:szCs w:val="21"/>
          <w:highlight w:val="none"/>
          <w:u w:val="single"/>
        </w:rPr>
        <w:t>。</w:t>
      </w:r>
    </w:p>
    <w:p w14:paraId="3DD933A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iCs/>
          <w:color w:val="auto"/>
          <w:szCs w:val="21"/>
          <w:highlight w:val="none"/>
        </w:rPr>
        <w:t>6.工程承包范围：</w:t>
      </w:r>
      <w:r>
        <w:rPr>
          <w:rFonts w:hint="eastAsia" w:ascii="仿宋" w:hAnsi="仿宋" w:eastAsia="仿宋" w:cs="仿宋"/>
          <w:iCs/>
          <w:color w:val="auto"/>
          <w:szCs w:val="21"/>
          <w:highlight w:val="none"/>
          <w:lang w:val="en-US" w:eastAsia="zh-Hans"/>
        </w:rPr>
        <w:t>本项目</w:t>
      </w:r>
      <w:r>
        <w:rPr>
          <w:rFonts w:hint="eastAsia" w:ascii="仿宋" w:hAnsi="仿宋" w:eastAsia="仿宋" w:cs="仿宋"/>
          <w:iCs/>
          <w:color w:val="auto"/>
          <w:sz w:val="21"/>
          <w:szCs w:val="21"/>
          <w:highlight w:val="none"/>
          <w:u w:val="single"/>
        </w:rPr>
        <w:t>竞争性磋商文件、工程量清单及施工图范围内的所有内容</w:t>
      </w:r>
      <w:r>
        <w:rPr>
          <w:rFonts w:hint="eastAsia" w:ascii="仿宋" w:hAnsi="仿宋" w:eastAsia="仿宋" w:cs="仿宋"/>
          <w:color w:val="auto"/>
          <w:szCs w:val="21"/>
          <w:highlight w:val="none"/>
        </w:rPr>
        <w:t>。</w:t>
      </w:r>
    </w:p>
    <w:p w14:paraId="0C5CDE1B">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二、合同工期</w:t>
      </w:r>
    </w:p>
    <w:p w14:paraId="06E2FEC8">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计划开工日期：</w:t>
      </w:r>
      <w:r>
        <w:rPr>
          <w:rFonts w:hint="eastAsia" w:ascii="仿宋" w:hAnsi="仿宋" w:eastAsia="仿宋" w:cs="仿宋"/>
          <w:iCs/>
          <w:color w:val="auto"/>
          <w:szCs w:val="21"/>
          <w:highlight w:val="none"/>
          <w:lang w:val="en-US" w:eastAsia="zh-CN"/>
        </w:rPr>
        <w:t>2024</w:t>
      </w:r>
      <w:r>
        <w:rPr>
          <w:rFonts w:hint="eastAsia" w:ascii="仿宋" w:hAnsi="仿宋" w:eastAsia="仿宋" w:cs="仿宋"/>
          <w:iCs/>
          <w:color w:val="auto"/>
          <w:szCs w:val="21"/>
          <w:highlight w:val="none"/>
        </w:rPr>
        <w:t>年</w:t>
      </w: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t>月</w:t>
      </w: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t xml:space="preserve">日，具体开工时间以甲方签发的开工报告时间为准。 </w:t>
      </w:r>
    </w:p>
    <w:p w14:paraId="60CBC361">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计划竣工日期：</w:t>
      </w:r>
      <w:r>
        <w:rPr>
          <w:rFonts w:hint="eastAsia" w:ascii="仿宋" w:hAnsi="仿宋" w:eastAsia="仿宋" w:cs="仿宋"/>
          <w:iCs/>
          <w:color w:val="auto"/>
          <w:szCs w:val="21"/>
          <w:highlight w:val="none"/>
          <w:lang w:val="en-US" w:eastAsia="zh-CN"/>
        </w:rPr>
        <w:t>2024</w:t>
      </w:r>
      <w:r>
        <w:rPr>
          <w:rFonts w:hint="eastAsia" w:ascii="仿宋" w:hAnsi="仿宋" w:eastAsia="仿宋" w:cs="仿宋"/>
          <w:iCs/>
          <w:color w:val="auto"/>
          <w:szCs w:val="21"/>
          <w:highlight w:val="none"/>
        </w:rPr>
        <w:t>年</w:t>
      </w: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t>月</w:t>
      </w: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t>日。</w:t>
      </w:r>
    </w:p>
    <w:p w14:paraId="6E9DBD50">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工期总日历天数：</w:t>
      </w:r>
      <w:r>
        <w:rPr>
          <w:rFonts w:hint="eastAsia" w:ascii="仿宋" w:hAnsi="仿宋" w:eastAsia="仿宋" w:cs="仿宋"/>
          <w:iCs/>
          <w:color w:val="auto"/>
          <w:szCs w:val="21"/>
          <w:highlight w:val="none"/>
          <w:u w:val="single"/>
          <w:lang w:val="en-US" w:eastAsia="zh-CN"/>
        </w:rPr>
        <w:t>60</w:t>
      </w:r>
      <w:r>
        <w:rPr>
          <w:rFonts w:hint="eastAsia" w:ascii="仿宋" w:hAnsi="仿宋" w:eastAsia="仿宋" w:cs="仿宋"/>
          <w:iCs/>
          <w:color w:val="auto"/>
          <w:szCs w:val="21"/>
          <w:highlight w:val="none"/>
        </w:rPr>
        <w:t>日历天。工期总日历天数与根据前述计划开竣工日期计算的工期天数不一致的，以工期总日历天数为准。</w:t>
      </w:r>
    </w:p>
    <w:p w14:paraId="012F8B4A">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三、质量标准</w:t>
      </w:r>
    </w:p>
    <w:p w14:paraId="13426966">
      <w:pPr>
        <w:spacing w:line="360" w:lineRule="auto"/>
        <w:ind w:firstLine="420" w:firstLineChars="200"/>
        <w:rPr>
          <w:rStyle w:val="377"/>
          <w:rFonts w:hint="eastAsia" w:ascii="仿宋" w:hAnsi="仿宋" w:eastAsia="仿宋" w:cs="仿宋"/>
          <w:color w:val="auto"/>
          <w:szCs w:val="21"/>
          <w:highlight w:val="none"/>
        </w:rPr>
      </w:pPr>
      <w:r>
        <w:rPr>
          <w:rFonts w:hint="eastAsia" w:ascii="仿宋" w:hAnsi="仿宋" w:eastAsia="仿宋" w:cs="仿宋"/>
          <w:iCs/>
          <w:color w:val="auto"/>
          <w:szCs w:val="21"/>
          <w:highlight w:val="none"/>
        </w:rPr>
        <w:t>符合工程竣工验收时国家施行的建设工程质量验收规范的合格标准。</w:t>
      </w:r>
    </w:p>
    <w:p w14:paraId="7CA80C42">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四、签约合同价与合同价格形式</w:t>
      </w:r>
      <w:r>
        <w:rPr>
          <w:rFonts w:hint="eastAsia" w:ascii="仿宋" w:hAnsi="仿宋" w:eastAsia="仿宋" w:cs="仿宋"/>
          <w:iCs/>
          <w:color w:val="auto"/>
          <w:szCs w:val="21"/>
          <w:highlight w:val="none"/>
        </w:rPr>
        <w:tab/>
      </w:r>
    </w:p>
    <w:p w14:paraId="07754A44">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1.签约合同价为：</w:t>
      </w:r>
    </w:p>
    <w:p w14:paraId="603E7677">
      <w:pPr>
        <w:snapToGrid w:val="0"/>
        <w:spacing w:line="360" w:lineRule="auto"/>
        <w:ind w:firstLine="525"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人民币（大写）(¥元)；(其中：不含税金额：￥元，增值税额：￥元（增值税税率：%）)。</w:t>
      </w:r>
    </w:p>
    <w:p w14:paraId="6636CAF0">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其中：</w:t>
      </w:r>
    </w:p>
    <w:p w14:paraId="67EBC277">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（1）安全文明施工费：</w:t>
      </w:r>
    </w:p>
    <w:p w14:paraId="4B79CF21">
      <w:pPr>
        <w:snapToGrid w:val="0"/>
        <w:spacing w:line="360" w:lineRule="auto"/>
        <w:ind w:firstLine="945" w:firstLineChars="4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人民币（大写） (¥元)；</w:t>
      </w:r>
    </w:p>
    <w:p w14:paraId="1342239D">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（2）材料和工程设备暂估价金额：</w:t>
      </w:r>
    </w:p>
    <w:p w14:paraId="5B166DE3">
      <w:pPr>
        <w:snapToGrid w:val="0"/>
        <w:spacing w:line="360" w:lineRule="auto"/>
        <w:ind w:firstLine="945" w:firstLineChars="4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人民币（大写） (¥元)；</w:t>
      </w:r>
    </w:p>
    <w:p w14:paraId="4060C30F">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（3）专业工程暂估价金额：</w:t>
      </w:r>
    </w:p>
    <w:p w14:paraId="5591EC08">
      <w:pPr>
        <w:snapToGrid w:val="0"/>
        <w:spacing w:line="360" w:lineRule="auto"/>
        <w:ind w:firstLine="945" w:firstLineChars="4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人民币（大写） (¥元)；</w:t>
      </w:r>
    </w:p>
    <w:p w14:paraId="3034C0D7">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（4）暂列金额：</w:t>
      </w:r>
    </w:p>
    <w:p w14:paraId="346148CC">
      <w:pPr>
        <w:snapToGrid w:val="0"/>
        <w:spacing w:line="360" w:lineRule="auto"/>
        <w:ind w:firstLine="945" w:firstLineChars="4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人民币（大写） (¥元)。</w:t>
      </w:r>
    </w:p>
    <w:p w14:paraId="331DB59B">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2.合同价格形式：</w:t>
      </w:r>
      <w:r>
        <w:rPr>
          <w:rFonts w:hint="eastAsia" w:ascii="仿宋" w:hAnsi="仿宋" w:eastAsia="仿宋" w:cs="仿宋"/>
          <w:color w:val="auto"/>
          <w:szCs w:val="21"/>
          <w:highlight w:val="none"/>
          <w:u w:val="single"/>
          <w:lang w:val="en-US" w:eastAsia="zh-Hans"/>
        </w:rPr>
        <w:t>固定</w:t>
      </w:r>
      <w:r>
        <w:rPr>
          <w:rFonts w:hint="eastAsia" w:ascii="仿宋" w:hAnsi="仿宋" w:eastAsia="仿宋" w:cs="仿宋"/>
          <w:color w:val="auto"/>
          <w:szCs w:val="21"/>
          <w:highlight w:val="none"/>
          <w:u w:val="single"/>
        </w:rPr>
        <w:t xml:space="preserve">单价合同   </w:t>
      </w:r>
      <w:r>
        <w:rPr>
          <w:rFonts w:hint="eastAsia" w:ascii="仿宋" w:hAnsi="仿宋" w:eastAsia="仿宋" w:cs="仿宋"/>
          <w:color w:val="auto"/>
          <w:szCs w:val="21"/>
          <w:highlight w:val="none"/>
        </w:rPr>
        <w:t>。</w:t>
      </w:r>
    </w:p>
    <w:p w14:paraId="27281D5F">
      <w:pPr>
        <w:keepNext/>
        <w:keepLines/>
        <w:snapToGrid w:val="0"/>
        <w:spacing w:line="360" w:lineRule="auto"/>
        <w:outlineLvl w:val="3"/>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 五、项目经理</w:t>
      </w:r>
    </w:p>
    <w:p w14:paraId="77F5A3A9">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承包人项目经理：。</w:t>
      </w:r>
    </w:p>
    <w:p w14:paraId="052C7559">
      <w:pPr>
        <w:keepNext/>
        <w:keepLines/>
        <w:snapToGrid w:val="0"/>
        <w:spacing w:line="360" w:lineRule="auto"/>
        <w:outlineLvl w:val="3"/>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 xml:space="preserve"> 六、合同文件构成</w:t>
      </w:r>
    </w:p>
    <w:p w14:paraId="7541BC35">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本协议书与下列文件一起构成合同文件：</w:t>
      </w:r>
    </w:p>
    <w:p w14:paraId="6BA15759">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（1）中标通知书（如果有）；</w:t>
      </w:r>
    </w:p>
    <w:p w14:paraId="5B214BC3">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（2）投标函及其附录（如果有）； </w:t>
      </w:r>
    </w:p>
    <w:p w14:paraId="1FE5D245">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（3）本合同的专用合同条款及其附件；</w:t>
      </w:r>
    </w:p>
    <w:p w14:paraId="08A6F237">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（4）本合同的通用合同条款；</w:t>
      </w:r>
    </w:p>
    <w:p w14:paraId="09C8C656">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（5）技术标准和要求；</w:t>
      </w:r>
    </w:p>
    <w:p w14:paraId="7E725575">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（6）图纸；</w:t>
      </w:r>
    </w:p>
    <w:p w14:paraId="18EB273D">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（7）已标价工程量清单或预算书；</w:t>
      </w:r>
    </w:p>
    <w:p w14:paraId="2C152734">
      <w:pPr>
        <w:snapToGrid w:val="0"/>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（8）其他合同文件</w:t>
      </w:r>
      <w:r>
        <w:rPr>
          <w:rFonts w:hint="eastAsia" w:ascii="仿宋" w:hAnsi="仿宋" w:eastAsia="仿宋" w:cs="仿宋"/>
          <w:color w:val="auto"/>
          <w:szCs w:val="21"/>
          <w:highlight w:val="none"/>
          <w:lang w:eastAsia="zh-CN"/>
        </w:rPr>
        <w:t>；</w:t>
      </w:r>
    </w:p>
    <w:p w14:paraId="35998F8B">
      <w:pPr>
        <w:snapToGrid w:val="0"/>
        <w:spacing w:line="360" w:lineRule="auto"/>
        <w:ind w:firstLine="420" w:firstLineChars="2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9）补充协议。</w:t>
      </w:r>
    </w:p>
    <w:p w14:paraId="6389AEA0">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在合同订立及履行过程中形成的与合同有关的文件均构成合同文件组成部分。</w:t>
      </w:r>
    </w:p>
    <w:p w14:paraId="516892ED">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1AD16016">
      <w:pPr>
        <w:keepNext/>
        <w:keepLines/>
        <w:snapToGrid w:val="0"/>
        <w:spacing w:line="360" w:lineRule="auto"/>
        <w:outlineLvl w:val="3"/>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 xml:space="preserve"> 七、承诺</w:t>
      </w:r>
    </w:p>
    <w:p w14:paraId="3E4C1FBD">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1.发包人承诺按照法律规定履行项目审批手续、筹集工程建设资金并按照合同约定的期限和方式支付合同价款。</w:t>
      </w:r>
    </w:p>
    <w:p w14:paraId="76FEC50F">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2.承包人承诺按照法律规定及合同约定组织完成工程施工，确保工程质量和安全，不进行转包及违法分包，并在缺陷责任期及保修期内承担相应的工程维修责任。</w:t>
      </w:r>
    </w:p>
    <w:p w14:paraId="4CD1799F">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3.发包人和承包人通过招投标形式签订合同的，双方理解并承诺不再就同一工程另行签订与合同实质性内容相背离的协议。</w:t>
      </w:r>
    </w:p>
    <w:p w14:paraId="7FC2E04D">
      <w:pPr>
        <w:snapToGrid w:val="0"/>
        <w:spacing w:line="360" w:lineRule="auto"/>
        <w:outlineLvl w:val="0"/>
        <w:rPr>
          <w:rFonts w:hint="eastAsia" w:ascii="仿宋" w:hAnsi="仿宋" w:eastAsia="仿宋" w:cs="仿宋"/>
          <w:bCs/>
          <w:color w:val="auto"/>
          <w:szCs w:val="21"/>
          <w:highlight w:val="none"/>
        </w:rPr>
      </w:pPr>
      <w:bookmarkStart w:id="399" w:name="_Toc21303"/>
      <w:bookmarkStart w:id="400" w:name="_Toc25836"/>
      <w:r>
        <w:rPr>
          <w:rFonts w:hint="eastAsia" w:ascii="仿宋" w:hAnsi="仿宋" w:eastAsia="仿宋" w:cs="仿宋"/>
          <w:bCs/>
          <w:color w:val="auto"/>
          <w:szCs w:val="21"/>
          <w:highlight w:val="none"/>
        </w:rPr>
        <w:t>八、词语含义</w:t>
      </w:r>
      <w:bookmarkEnd w:id="399"/>
      <w:bookmarkEnd w:id="400"/>
    </w:p>
    <w:p w14:paraId="715892AF">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本协议书中词语含义与第二部分通用合同条款中赋予的含义相同。</w:t>
      </w:r>
    </w:p>
    <w:p w14:paraId="4D4F80E2">
      <w:pPr>
        <w:keepNext/>
        <w:keepLines/>
        <w:snapToGrid w:val="0"/>
        <w:spacing w:line="360" w:lineRule="auto"/>
        <w:outlineLvl w:val="3"/>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 xml:space="preserve">  九、签订时间</w:t>
      </w:r>
    </w:p>
    <w:p w14:paraId="6C118969">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本合同于</w:t>
      </w:r>
      <w:r>
        <w:rPr>
          <w:rFonts w:hint="eastAsia" w:ascii="仿宋" w:hAnsi="仿宋" w:eastAsia="仿宋" w:cs="仿宋"/>
          <w:bCs/>
          <w:color w:val="auto"/>
          <w:szCs w:val="21"/>
          <w:highlight w:val="none"/>
          <w:lang w:val="en-US" w:eastAsia="zh-CN"/>
        </w:rPr>
        <w:t xml:space="preserve">   </w:t>
      </w:r>
      <w:r>
        <w:rPr>
          <w:rFonts w:hint="eastAsia" w:ascii="仿宋" w:hAnsi="仿宋" w:eastAsia="仿宋" w:cs="仿宋"/>
          <w:bCs/>
          <w:color w:val="auto"/>
          <w:szCs w:val="21"/>
          <w:highlight w:val="none"/>
        </w:rPr>
        <w:t>年</w:t>
      </w:r>
      <w:r>
        <w:rPr>
          <w:rFonts w:hint="eastAsia" w:ascii="仿宋" w:hAnsi="仿宋" w:eastAsia="仿宋" w:cs="仿宋"/>
          <w:bCs/>
          <w:color w:val="auto"/>
          <w:szCs w:val="21"/>
          <w:highlight w:val="none"/>
          <w:lang w:val="en-US" w:eastAsia="zh-CN"/>
        </w:rPr>
        <w:t xml:space="preserve">   </w:t>
      </w:r>
      <w:r>
        <w:rPr>
          <w:rFonts w:hint="eastAsia" w:ascii="仿宋" w:hAnsi="仿宋" w:eastAsia="仿宋" w:cs="仿宋"/>
          <w:bCs/>
          <w:color w:val="auto"/>
          <w:szCs w:val="21"/>
          <w:highlight w:val="none"/>
        </w:rPr>
        <w:t>月</w:t>
      </w:r>
      <w:r>
        <w:rPr>
          <w:rFonts w:hint="eastAsia" w:ascii="仿宋" w:hAnsi="仿宋" w:eastAsia="仿宋" w:cs="仿宋"/>
          <w:bCs/>
          <w:color w:val="auto"/>
          <w:szCs w:val="21"/>
          <w:highlight w:val="none"/>
          <w:lang w:val="en-US" w:eastAsia="zh-CN"/>
        </w:rPr>
        <w:t xml:space="preserve">   </w:t>
      </w:r>
      <w:r>
        <w:rPr>
          <w:rFonts w:hint="eastAsia" w:ascii="仿宋" w:hAnsi="仿宋" w:eastAsia="仿宋" w:cs="仿宋"/>
          <w:bCs/>
          <w:color w:val="auto"/>
          <w:szCs w:val="21"/>
          <w:highlight w:val="none"/>
        </w:rPr>
        <w:t>日签订。</w:t>
      </w:r>
    </w:p>
    <w:p w14:paraId="3B78F057">
      <w:pPr>
        <w:keepNext/>
        <w:keepLines/>
        <w:snapToGrid w:val="0"/>
        <w:spacing w:line="360" w:lineRule="auto"/>
        <w:outlineLvl w:val="3"/>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十、签订地点</w:t>
      </w:r>
    </w:p>
    <w:p w14:paraId="2A129AE3">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本合同在</w:t>
      </w:r>
      <w:r>
        <w:rPr>
          <w:rFonts w:hint="eastAsia" w:ascii="仿宋" w:hAnsi="仿宋" w:eastAsia="仿宋" w:cs="仿宋"/>
          <w:bCs/>
          <w:color w:val="auto"/>
          <w:szCs w:val="21"/>
          <w:highlight w:val="none"/>
          <w:u w:val="single"/>
        </w:rPr>
        <w:t xml:space="preserve"> 浙江省杭州市</w:t>
      </w:r>
      <w:r>
        <w:rPr>
          <w:rFonts w:hint="eastAsia" w:ascii="仿宋" w:hAnsi="仿宋" w:eastAsia="仿宋" w:cs="仿宋"/>
          <w:bCs/>
          <w:color w:val="auto"/>
          <w:szCs w:val="21"/>
          <w:highlight w:val="none"/>
          <w:u w:val="single"/>
          <w:lang w:val="en-US" w:eastAsia="zh-Hans"/>
        </w:rPr>
        <w:t>钱塘区</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rPr>
        <w:t>签订。</w:t>
      </w:r>
    </w:p>
    <w:p w14:paraId="0C4062E1">
      <w:pPr>
        <w:keepNext/>
        <w:keepLines/>
        <w:snapToGrid w:val="0"/>
        <w:spacing w:line="360" w:lineRule="auto"/>
        <w:outlineLvl w:val="3"/>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十一、补充协议</w:t>
      </w:r>
    </w:p>
    <w:p w14:paraId="7E131680">
      <w:pPr>
        <w:snapToGrid w:val="0"/>
        <w:spacing w:line="360" w:lineRule="auto"/>
        <w:ind w:firstLine="420" w:firstLineChars="200"/>
        <w:rPr>
          <w:rFonts w:hint="eastAsia" w:ascii="仿宋" w:hAnsi="仿宋" w:eastAsia="仿宋" w:cs="仿宋"/>
          <w:b/>
          <w:bCs/>
          <w:color w:val="auto"/>
          <w:szCs w:val="21"/>
          <w:highlight w:val="none"/>
        </w:rPr>
      </w:pPr>
      <w:r>
        <w:rPr>
          <w:rFonts w:hint="eastAsia" w:ascii="仿宋" w:hAnsi="仿宋" w:eastAsia="仿宋" w:cs="仿宋"/>
          <w:bCs/>
          <w:color w:val="auto"/>
          <w:szCs w:val="21"/>
          <w:highlight w:val="none"/>
        </w:rPr>
        <w:t>合同未尽事宜，合同当事人另行签订补充协议，补充协议是合同的组成部分。</w:t>
      </w:r>
    </w:p>
    <w:p w14:paraId="735AA52E">
      <w:pPr>
        <w:keepNext/>
        <w:keepLines/>
        <w:snapToGrid w:val="0"/>
        <w:spacing w:line="360" w:lineRule="auto"/>
        <w:outlineLvl w:val="3"/>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十二、合同生效</w:t>
      </w:r>
    </w:p>
    <w:p w14:paraId="7A4F7623">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本合同自</w:t>
      </w:r>
      <w:r>
        <w:rPr>
          <w:rFonts w:hint="eastAsia" w:ascii="仿宋" w:hAnsi="仿宋" w:eastAsia="仿宋" w:cs="仿宋"/>
          <w:bCs/>
          <w:color w:val="auto"/>
          <w:szCs w:val="21"/>
          <w:highlight w:val="none"/>
          <w:u w:val="single"/>
        </w:rPr>
        <w:t>双方法定</w:t>
      </w:r>
      <w:r>
        <w:rPr>
          <w:rFonts w:hint="eastAsia" w:ascii="仿宋" w:hAnsi="仿宋" w:eastAsia="仿宋" w:cs="仿宋"/>
          <w:color w:val="auto"/>
          <w:szCs w:val="21"/>
          <w:highlight w:val="none"/>
          <w:u w:val="single"/>
        </w:rPr>
        <w:t>代表人或其委托代理人签字并经双方盖章</w:t>
      </w:r>
      <w:r>
        <w:rPr>
          <w:rFonts w:hint="eastAsia" w:ascii="仿宋" w:hAnsi="仿宋" w:eastAsia="仿宋" w:cs="仿宋"/>
          <w:color w:val="auto"/>
          <w:szCs w:val="21"/>
          <w:highlight w:val="none"/>
          <w:u w:val="single"/>
          <w:lang w:eastAsia="zh-CN"/>
        </w:rPr>
        <w:t>后</w:t>
      </w:r>
      <w:r>
        <w:rPr>
          <w:rFonts w:hint="eastAsia" w:ascii="仿宋" w:hAnsi="仿宋" w:eastAsia="仿宋" w:cs="仿宋"/>
          <w:bCs/>
          <w:color w:val="auto"/>
          <w:szCs w:val="21"/>
          <w:highlight w:val="none"/>
        </w:rPr>
        <w:t>生效。</w:t>
      </w:r>
    </w:p>
    <w:p w14:paraId="1A1A4518">
      <w:pPr>
        <w:keepNext/>
        <w:keepLines/>
        <w:snapToGrid w:val="0"/>
        <w:spacing w:line="360" w:lineRule="auto"/>
        <w:outlineLvl w:val="3"/>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十三、合同份数</w:t>
      </w:r>
    </w:p>
    <w:p w14:paraId="34902AA7">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本合同一式</w:t>
      </w:r>
      <w:r>
        <w:rPr>
          <w:rFonts w:hint="eastAsia" w:ascii="仿宋" w:hAnsi="仿宋" w:eastAsia="仿宋" w:cs="仿宋"/>
          <w:bCs/>
          <w:color w:val="auto"/>
          <w:szCs w:val="21"/>
          <w:highlight w:val="none"/>
          <w:u w:val="single"/>
        </w:rPr>
        <w:t xml:space="preserve">  十二  </w:t>
      </w:r>
      <w:r>
        <w:rPr>
          <w:rFonts w:hint="eastAsia" w:ascii="仿宋" w:hAnsi="仿宋" w:eastAsia="仿宋" w:cs="仿宋"/>
          <w:bCs/>
          <w:color w:val="auto"/>
          <w:szCs w:val="21"/>
          <w:highlight w:val="none"/>
        </w:rPr>
        <w:t>份，均具有同等法律效力，发包人执</w:t>
      </w:r>
      <w:r>
        <w:rPr>
          <w:rFonts w:hint="eastAsia" w:ascii="仿宋" w:hAnsi="仿宋" w:eastAsia="仿宋" w:cs="仿宋"/>
          <w:bCs/>
          <w:color w:val="auto"/>
          <w:szCs w:val="21"/>
          <w:highlight w:val="none"/>
          <w:u w:val="single"/>
        </w:rPr>
        <w:t xml:space="preserve"> 八  </w:t>
      </w:r>
      <w:r>
        <w:rPr>
          <w:rFonts w:hint="eastAsia" w:ascii="仿宋" w:hAnsi="仿宋" w:eastAsia="仿宋" w:cs="仿宋"/>
          <w:bCs/>
          <w:color w:val="auto"/>
          <w:szCs w:val="21"/>
          <w:highlight w:val="none"/>
        </w:rPr>
        <w:t>份，承包人执</w:t>
      </w:r>
      <w:r>
        <w:rPr>
          <w:rFonts w:hint="eastAsia" w:ascii="仿宋" w:hAnsi="仿宋" w:eastAsia="仿宋" w:cs="仿宋"/>
          <w:bCs/>
          <w:color w:val="auto"/>
          <w:szCs w:val="21"/>
          <w:highlight w:val="none"/>
          <w:u w:val="single"/>
        </w:rPr>
        <w:t xml:space="preserve">  四 </w:t>
      </w:r>
      <w:r>
        <w:rPr>
          <w:rFonts w:hint="eastAsia" w:ascii="仿宋" w:hAnsi="仿宋" w:eastAsia="仿宋" w:cs="仿宋"/>
          <w:bCs/>
          <w:color w:val="auto"/>
          <w:szCs w:val="21"/>
          <w:highlight w:val="none"/>
        </w:rPr>
        <w:t>份。</w:t>
      </w:r>
    </w:p>
    <w:p w14:paraId="69A1560A">
      <w:pPr>
        <w:pStyle w:val="2"/>
        <w:numPr>
          <w:ilvl w:val="0"/>
          <w:numId w:val="8"/>
        </w:numPr>
        <w:rPr>
          <w:rFonts w:hint="eastAsia" w:ascii="仿宋" w:hAnsi="仿宋" w:eastAsia="仿宋" w:cs="仿宋"/>
          <w:bCs/>
          <w:color w:val="auto"/>
          <w:szCs w:val="21"/>
          <w:highlight w:val="none"/>
          <w:lang w:val="en-US" w:eastAsia="zh-Hans"/>
        </w:rPr>
      </w:pPr>
      <w:r>
        <w:rPr>
          <w:rFonts w:hint="eastAsia" w:ascii="仿宋" w:hAnsi="仿宋" w:eastAsia="仿宋" w:cs="仿宋"/>
          <w:bCs/>
          <w:color w:val="auto"/>
          <w:szCs w:val="21"/>
          <w:highlight w:val="none"/>
          <w:lang w:val="en-US" w:eastAsia="zh-Hans"/>
        </w:rPr>
        <w:t>其他</w:t>
      </w:r>
    </w:p>
    <w:p w14:paraId="6A6C4470">
      <w:pPr>
        <w:numPr>
          <w:ilvl w:val="0"/>
          <w:numId w:val="0"/>
        </w:numPr>
        <w:rPr>
          <w:rFonts w:hint="eastAsia" w:ascii="仿宋_GB2312" w:hAnsi="仿宋_GB2312" w:eastAsia="仿宋_GB2312" w:cs="仿宋_GB2312"/>
          <w:color w:val="auto"/>
          <w:highlight w:val="none"/>
          <w:lang w:eastAsia="zh-Hans"/>
        </w:rPr>
      </w:pPr>
      <w:r>
        <w:rPr>
          <w:rFonts w:hint="eastAsia" w:ascii="仿宋_GB2312" w:hAnsi="仿宋_GB2312" w:eastAsia="仿宋_GB2312" w:cs="仿宋_GB2312"/>
          <w:color w:val="auto"/>
          <w:highlight w:val="none"/>
          <w:lang w:eastAsia="zh-Hans"/>
        </w:rPr>
        <w:t xml:space="preserve">     </w:t>
      </w:r>
      <w:r>
        <w:rPr>
          <w:rFonts w:hint="eastAsia" w:ascii="仿宋_GB2312" w:hAnsi="仿宋_GB2312" w:eastAsia="仿宋_GB2312" w:cs="仿宋_GB2312"/>
          <w:color w:val="auto"/>
          <w:highlight w:val="none"/>
          <w:lang w:val="en-US" w:eastAsia="zh-Hans"/>
        </w:rPr>
        <w:t>本合同中约定的地址</w:t>
      </w:r>
      <w:r>
        <w:rPr>
          <w:rFonts w:hint="eastAsia" w:ascii="仿宋_GB2312" w:hAnsi="仿宋_GB2312" w:eastAsia="仿宋_GB2312" w:cs="仿宋_GB2312"/>
          <w:color w:val="auto"/>
          <w:highlight w:val="none"/>
          <w:lang w:eastAsia="zh-Hans"/>
        </w:rPr>
        <w:t>、</w:t>
      </w:r>
      <w:r>
        <w:rPr>
          <w:rFonts w:hint="eastAsia" w:ascii="仿宋_GB2312" w:hAnsi="仿宋_GB2312" w:eastAsia="仿宋_GB2312" w:cs="仿宋_GB2312"/>
          <w:color w:val="auto"/>
          <w:highlight w:val="none"/>
          <w:lang w:val="en-US" w:eastAsia="zh-Hans"/>
        </w:rPr>
        <w:t>电话等为各方之间的联系方式</w:t>
      </w:r>
      <w:r>
        <w:rPr>
          <w:rFonts w:hint="eastAsia" w:ascii="仿宋_GB2312" w:hAnsi="仿宋_GB2312" w:eastAsia="仿宋_GB2312" w:cs="仿宋_GB2312"/>
          <w:color w:val="auto"/>
          <w:highlight w:val="none"/>
          <w:lang w:eastAsia="zh-Hans"/>
        </w:rPr>
        <w:t>，</w:t>
      </w:r>
      <w:r>
        <w:rPr>
          <w:rFonts w:hint="eastAsia" w:ascii="仿宋_GB2312" w:hAnsi="仿宋_GB2312" w:eastAsia="仿宋_GB2312" w:cs="仿宋_GB2312"/>
          <w:color w:val="auto"/>
          <w:highlight w:val="none"/>
          <w:lang w:val="en-US" w:eastAsia="zh-Hans"/>
        </w:rPr>
        <w:t>一方相关信息发生变更的</w:t>
      </w:r>
      <w:r>
        <w:rPr>
          <w:rFonts w:hint="eastAsia" w:ascii="仿宋_GB2312" w:hAnsi="仿宋_GB2312" w:eastAsia="仿宋_GB2312" w:cs="仿宋_GB2312"/>
          <w:color w:val="auto"/>
          <w:highlight w:val="none"/>
          <w:lang w:eastAsia="zh-Hans"/>
        </w:rPr>
        <w:t>，</w:t>
      </w:r>
      <w:r>
        <w:rPr>
          <w:rFonts w:hint="eastAsia" w:ascii="仿宋_GB2312" w:hAnsi="仿宋_GB2312" w:eastAsia="仿宋_GB2312" w:cs="仿宋_GB2312"/>
          <w:color w:val="auto"/>
          <w:highlight w:val="none"/>
          <w:lang w:val="en-US" w:eastAsia="zh-Hans"/>
        </w:rPr>
        <w:t>应及时书面通知对方</w:t>
      </w:r>
      <w:r>
        <w:rPr>
          <w:rFonts w:hint="eastAsia" w:ascii="仿宋_GB2312" w:hAnsi="仿宋_GB2312" w:eastAsia="仿宋_GB2312" w:cs="仿宋_GB2312"/>
          <w:color w:val="auto"/>
          <w:highlight w:val="none"/>
          <w:lang w:eastAsia="zh-Hans"/>
        </w:rPr>
        <w:t>。</w:t>
      </w:r>
      <w:r>
        <w:rPr>
          <w:rFonts w:hint="eastAsia" w:ascii="仿宋_GB2312" w:hAnsi="仿宋_GB2312" w:eastAsia="仿宋_GB2312" w:cs="仿宋_GB2312"/>
          <w:color w:val="auto"/>
          <w:highlight w:val="none"/>
          <w:lang w:val="en-US" w:eastAsia="zh-Hans"/>
        </w:rPr>
        <w:t>否则</w:t>
      </w:r>
      <w:r>
        <w:rPr>
          <w:rFonts w:hint="eastAsia" w:ascii="仿宋_GB2312" w:hAnsi="仿宋_GB2312" w:eastAsia="仿宋_GB2312" w:cs="仿宋_GB2312"/>
          <w:color w:val="auto"/>
          <w:highlight w:val="none"/>
          <w:lang w:eastAsia="zh-Hans"/>
        </w:rPr>
        <w:t>，</w:t>
      </w:r>
      <w:r>
        <w:rPr>
          <w:rFonts w:hint="eastAsia" w:ascii="仿宋_GB2312" w:hAnsi="仿宋_GB2312" w:eastAsia="仿宋_GB2312" w:cs="仿宋_GB2312"/>
          <w:color w:val="auto"/>
          <w:highlight w:val="none"/>
          <w:lang w:val="en-US" w:eastAsia="zh-Hans"/>
        </w:rPr>
        <w:t>按照合同约定的方式等发出的文书等，在发出之日起即视为送达给对方</w:t>
      </w:r>
      <w:r>
        <w:rPr>
          <w:rFonts w:hint="eastAsia" w:ascii="仿宋_GB2312" w:hAnsi="仿宋_GB2312" w:eastAsia="仿宋_GB2312" w:cs="仿宋_GB2312"/>
          <w:color w:val="auto"/>
          <w:highlight w:val="none"/>
          <w:lang w:eastAsia="zh-Hans"/>
        </w:rPr>
        <w:t>。</w:t>
      </w:r>
      <w:r>
        <w:rPr>
          <w:rFonts w:hint="eastAsia" w:ascii="仿宋_GB2312" w:hAnsi="仿宋_GB2312" w:eastAsia="仿宋_GB2312" w:cs="仿宋_GB2312"/>
          <w:color w:val="auto"/>
          <w:highlight w:val="none"/>
          <w:lang w:val="en-US" w:eastAsia="zh-Hans"/>
        </w:rPr>
        <w:t>因此造成的损失</w:t>
      </w:r>
      <w:r>
        <w:rPr>
          <w:rFonts w:hint="eastAsia" w:ascii="仿宋_GB2312" w:hAnsi="仿宋_GB2312" w:eastAsia="仿宋_GB2312" w:cs="仿宋_GB2312"/>
          <w:color w:val="auto"/>
          <w:highlight w:val="none"/>
          <w:lang w:eastAsia="zh-Hans"/>
        </w:rPr>
        <w:t>，</w:t>
      </w:r>
      <w:r>
        <w:rPr>
          <w:rFonts w:hint="eastAsia" w:ascii="仿宋_GB2312" w:hAnsi="仿宋_GB2312" w:eastAsia="仿宋_GB2312" w:cs="仿宋_GB2312"/>
          <w:color w:val="auto"/>
          <w:highlight w:val="none"/>
          <w:lang w:val="en-US" w:eastAsia="zh-Hans"/>
        </w:rPr>
        <w:t>由违约方自行承担</w:t>
      </w:r>
      <w:r>
        <w:rPr>
          <w:rFonts w:hint="eastAsia" w:ascii="仿宋_GB2312" w:hAnsi="仿宋_GB2312" w:eastAsia="仿宋_GB2312" w:cs="仿宋_GB2312"/>
          <w:color w:val="auto"/>
          <w:highlight w:val="none"/>
          <w:lang w:eastAsia="zh-Hans"/>
        </w:rPr>
        <w:t>。</w:t>
      </w:r>
    </w:p>
    <w:p w14:paraId="07933676">
      <w:pPr>
        <w:pStyle w:val="258"/>
        <w:ind w:left="6000" w:firstLine="420"/>
        <w:rPr>
          <w:rFonts w:hint="eastAsia" w:ascii="仿宋" w:hAnsi="仿宋" w:eastAsia="仿宋" w:cs="仿宋"/>
          <w:color w:val="auto"/>
          <w:sz w:val="21"/>
          <w:szCs w:val="21"/>
          <w:highlight w:val="none"/>
        </w:rPr>
      </w:pPr>
    </w:p>
    <w:p w14:paraId="5CE89D24">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发包人：  (公章)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 xml:space="preserve"> 承包人：  (公章)</w:t>
      </w:r>
    </w:p>
    <w:p w14:paraId="2295E327">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法定代表人或其委托代理人：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 xml:space="preserve"> 法定代表人或其委托代理人：</w:t>
      </w:r>
    </w:p>
    <w:p w14:paraId="286D54BC">
      <w:pPr>
        <w:snapToGrid w:val="0"/>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（签字）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（签字）</w:t>
      </w:r>
    </w:p>
    <w:p w14:paraId="5A85D439">
      <w:pPr>
        <w:tabs>
          <w:tab w:val="left" w:pos="4410"/>
        </w:tabs>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组织机构代码：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组织机构代码：</w:t>
      </w:r>
    </w:p>
    <w:p w14:paraId="1363CA51">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地  址：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地  址：</w:t>
      </w:r>
    </w:p>
    <w:p w14:paraId="39549DC6">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邮政编码：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邮政编码：</w:t>
      </w:r>
    </w:p>
    <w:p w14:paraId="4BE24C3C">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法定代表人：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 xml:space="preserve"> 法定代表人：</w:t>
      </w:r>
    </w:p>
    <w:p w14:paraId="6ED75FAF">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委托代理人：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 xml:space="preserve"> 委托代理人：</w:t>
      </w:r>
    </w:p>
    <w:p w14:paraId="46F7FEAF">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电  话：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 xml:space="preserve"> 电  话：</w:t>
      </w:r>
    </w:p>
    <w:p w14:paraId="6B8EB5FE">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电子信箱：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电子信箱：</w:t>
      </w:r>
    </w:p>
    <w:p w14:paraId="3DBD8889">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开户银行：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开户银行：</w:t>
      </w:r>
    </w:p>
    <w:p w14:paraId="304EA7D7">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账  号：</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账  号：</w:t>
      </w:r>
    </w:p>
    <w:p w14:paraId="5B52F21C">
      <w:pPr>
        <w:widowControl/>
        <w:spacing w:after="100" w:line="259" w:lineRule="auto"/>
        <w:rPr>
          <w:rFonts w:hint="eastAsia" w:ascii="仿宋" w:hAnsi="仿宋" w:eastAsia="仿宋" w:cs="仿宋"/>
          <w:color w:val="auto"/>
          <w:szCs w:val="21"/>
          <w:highlight w:val="none"/>
        </w:rPr>
      </w:pPr>
    </w:p>
    <w:p w14:paraId="4FD11477">
      <w:pPr>
        <w:pageBreakBefore/>
        <w:spacing w:before="260" w:after="260"/>
        <w:jc w:val="center"/>
        <w:rPr>
          <w:rFonts w:hint="eastAsia" w:ascii="仿宋" w:hAnsi="仿宋" w:eastAsia="仿宋" w:cs="仿宋"/>
          <w:b/>
          <w:bCs/>
          <w:color w:val="auto"/>
          <w:szCs w:val="21"/>
          <w:highlight w:val="none"/>
        </w:rPr>
      </w:pPr>
      <w:bookmarkStart w:id="401" w:name="_Toc25991"/>
      <w:bookmarkStart w:id="402" w:name="_Toc1373"/>
      <w:bookmarkStart w:id="403" w:name="_Toc1071"/>
      <w:bookmarkStart w:id="404" w:name="_Toc14566"/>
      <w:bookmarkStart w:id="405" w:name="_Toc2044"/>
      <w:r>
        <w:rPr>
          <w:rFonts w:hint="eastAsia" w:ascii="仿宋" w:hAnsi="仿宋" w:eastAsia="仿宋" w:cs="仿宋"/>
          <w:b/>
          <w:bCs/>
          <w:color w:val="auto"/>
          <w:szCs w:val="21"/>
          <w:highlight w:val="none"/>
        </w:rPr>
        <w:t>第二部分  通用条款（略)</w:t>
      </w:r>
    </w:p>
    <w:p w14:paraId="49BCD3CF">
      <w:pPr>
        <w:keepNext/>
        <w:keepLines/>
        <w:spacing w:before="260" w:after="260"/>
        <w:jc w:val="center"/>
        <w:rPr>
          <w:rFonts w:hint="eastAsia" w:ascii="仿宋" w:hAnsi="仿宋" w:eastAsia="仿宋" w:cs="仿宋"/>
          <w:b/>
          <w:bCs/>
          <w:color w:val="auto"/>
          <w:szCs w:val="21"/>
          <w:highlight w:val="none"/>
        </w:rPr>
      </w:pPr>
    </w:p>
    <w:p w14:paraId="0E8BE02C">
      <w:pPr>
        <w:keepNext/>
        <w:keepLines/>
        <w:spacing w:before="260" w:after="260"/>
        <w:jc w:val="center"/>
        <w:outlineLvl w:val="2"/>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    通用条款按照住房城乡建设部、国家工商行政管理局制定的《建设工程施工合同（示范文本）》（GF-2017-0201）。</w:t>
      </w:r>
    </w:p>
    <w:p w14:paraId="250E6131">
      <w:pPr>
        <w:rPr>
          <w:rFonts w:hint="eastAsia" w:ascii="仿宋" w:hAnsi="仿宋" w:eastAsia="仿宋" w:cs="仿宋"/>
          <w:color w:val="auto"/>
          <w:szCs w:val="21"/>
          <w:highlight w:val="none"/>
        </w:rPr>
      </w:pPr>
    </w:p>
    <w:bookmarkEnd w:id="401"/>
    <w:bookmarkEnd w:id="402"/>
    <w:bookmarkEnd w:id="403"/>
    <w:bookmarkEnd w:id="404"/>
    <w:bookmarkEnd w:id="405"/>
    <w:p w14:paraId="138E46BC">
      <w:pPr>
        <w:keepNext/>
        <w:keepLines/>
        <w:spacing w:before="260" w:after="260"/>
        <w:jc w:val="center"/>
        <w:outlineLvl w:val="2"/>
        <w:rPr>
          <w:rFonts w:hint="eastAsia" w:ascii="仿宋" w:hAnsi="仿宋" w:eastAsia="仿宋" w:cs="仿宋"/>
          <w:b/>
          <w:bCs/>
          <w:color w:val="auto"/>
          <w:sz w:val="32"/>
          <w:szCs w:val="32"/>
          <w:highlight w:val="none"/>
        </w:rPr>
      </w:pPr>
      <w:bookmarkStart w:id="406" w:name="_Toc1852"/>
      <w:bookmarkStart w:id="407" w:name="_Toc23872"/>
      <w:r>
        <w:rPr>
          <w:rFonts w:hint="eastAsia" w:ascii="仿宋" w:hAnsi="仿宋" w:eastAsia="仿宋" w:cs="仿宋"/>
          <w:b/>
          <w:bCs/>
          <w:color w:val="auto"/>
          <w:sz w:val="32"/>
          <w:szCs w:val="32"/>
          <w:highlight w:val="none"/>
        </w:rPr>
        <w:t>第三部分 专用合同条款</w:t>
      </w:r>
      <w:bookmarkEnd w:id="406"/>
      <w:bookmarkEnd w:id="407"/>
    </w:p>
    <w:p w14:paraId="5CAC3797">
      <w:pPr>
        <w:keepNext/>
        <w:keepLines/>
        <w:adjustRightInd/>
        <w:spacing w:line="400" w:lineRule="exact"/>
        <w:outlineLvl w:val="3"/>
        <w:rPr>
          <w:rFonts w:hint="eastAsia" w:ascii="仿宋" w:hAnsi="仿宋" w:eastAsia="仿宋" w:cs="仿宋"/>
          <w:bCs/>
          <w:color w:val="auto"/>
          <w:szCs w:val="21"/>
          <w:highlight w:val="none"/>
        </w:rPr>
      </w:pPr>
      <w:bookmarkStart w:id="408" w:name="_Toc351203633"/>
      <w:r>
        <w:rPr>
          <w:rFonts w:hint="eastAsia" w:ascii="仿宋" w:hAnsi="仿宋" w:eastAsia="仿宋" w:cs="仿宋"/>
          <w:bCs/>
          <w:color w:val="auto"/>
          <w:szCs w:val="21"/>
          <w:highlight w:val="none"/>
        </w:rPr>
        <w:t>1</w:t>
      </w:r>
      <w:bookmarkStart w:id="409" w:name="_Toc297120456"/>
      <w:bookmarkStart w:id="410" w:name="_Toc296944495"/>
      <w:bookmarkStart w:id="411" w:name="_Toc292559866"/>
      <w:bookmarkStart w:id="412" w:name="_Toc296347155"/>
      <w:bookmarkStart w:id="413" w:name="_Toc296346657"/>
      <w:bookmarkStart w:id="414" w:name="_Toc292559361"/>
      <w:bookmarkStart w:id="415" w:name="_Toc296891196"/>
      <w:bookmarkStart w:id="416" w:name="_Toc296890984"/>
      <w:bookmarkStart w:id="417" w:name="_Toc297048342"/>
      <w:bookmarkStart w:id="418" w:name="_Toc296503156"/>
      <w:r>
        <w:rPr>
          <w:rFonts w:hint="eastAsia" w:ascii="仿宋" w:hAnsi="仿宋" w:eastAsia="仿宋" w:cs="仿宋"/>
          <w:bCs/>
          <w:color w:val="auto"/>
          <w:szCs w:val="21"/>
          <w:highlight w:val="none"/>
        </w:rPr>
        <w:t>. 一般约定</w:t>
      </w:r>
      <w:bookmarkEnd w:id="408"/>
    </w:p>
    <w:bookmarkEnd w:id="409"/>
    <w:bookmarkEnd w:id="410"/>
    <w:bookmarkEnd w:id="411"/>
    <w:bookmarkEnd w:id="412"/>
    <w:bookmarkEnd w:id="413"/>
    <w:bookmarkEnd w:id="414"/>
    <w:bookmarkEnd w:id="415"/>
    <w:bookmarkEnd w:id="416"/>
    <w:bookmarkEnd w:id="417"/>
    <w:bookmarkEnd w:id="418"/>
    <w:p w14:paraId="1290531E">
      <w:pPr>
        <w:adjustRightInd/>
        <w:spacing w:line="400" w:lineRule="exact"/>
        <w:ind w:firstLine="420" w:firstLineChars="200"/>
        <w:outlineLvl w:val="0"/>
        <w:rPr>
          <w:rFonts w:hint="eastAsia" w:ascii="仿宋" w:hAnsi="仿宋" w:eastAsia="仿宋" w:cs="仿宋"/>
          <w:color w:val="auto"/>
          <w:szCs w:val="21"/>
          <w:highlight w:val="none"/>
        </w:rPr>
      </w:pPr>
      <w:bookmarkStart w:id="419" w:name="_Toc8994"/>
      <w:bookmarkStart w:id="420" w:name="_Toc506"/>
      <w:bookmarkStart w:id="421" w:name="_Toc32240"/>
      <w:bookmarkStart w:id="422" w:name="_Toc8862"/>
      <w:bookmarkStart w:id="423" w:name="_Toc32354"/>
      <w:bookmarkStart w:id="424" w:name="_Toc25744"/>
      <w:r>
        <w:rPr>
          <w:rFonts w:hint="eastAsia" w:ascii="仿宋" w:hAnsi="仿宋" w:eastAsia="仿宋" w:cs="仿宋"/>
          <w:color w:val="auto"/>
          <w:szCs w:val="21"/>
          <w:highlight w:val="none"/>
        </w:rPr>
        <w:t>1.1 词语定义</w:t>
      </w:r>
      <w:bookmarkEnd w:id="419"/>
      <w:bookmarkEnd w:id="420"/>
      <w:bookmarkEnd w:id="421"/>
      <w:bookmarkEnd w:id="422"/>
      <w:bookmarkEnd w:id="423"/>
      <w:bookmarkEnd w:id="424"/>
    </w:p>
    <w:p w14:paraId="60F4B19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1.1.1合同</w:t>
      </w:r>
    </w:p>
    <w:p w14:paraId="7EAFA70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1.1.1.10其他合同文件包括：</w:t>
      </w:r>
      <w:r>
        <w:rPr>
          <w:rFonts w:hint="eastAsia" w:ascii="仿宋" w:hAnsi="仿宋" w:eastAsia="仿宋" w:cs="仿宋"/>
          <w:color w:val="auto"/>
          <w:szCs w:val="21"/>
          <w:highlight w:val="none"/>
          <w:u w:val="single"/>
        </w:rPr>
        <w:t>施工组织设计：施工组织</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"http://baike.baidu.com/view/14417.htm" \t "_blank"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1"/>
          <w:highlight w:val="none"/>
          <w:u w:val="single"/>
        </w:rPr>
        <w:t>设计</w:t>
      </w:r>
      <w:r>
        <w:rPr>
          <w:rFonts w:hint="eastAsia" w:ascii="仿宋" w:hAnsi="仿宋" w:eastAsia="仿宋" w:cs="仿宋"/>
          <w:color w:val="auto"/>
          <w:szCs w:val="21"/>
          <w:highlight w:val="none"/>
          <w:u w:val="single"/>
        </w:rPr>
        <w:fldChar w:fldCharType="end"/>
      </w:r>
      <w:r>
        <w:rPr>
          <w:rFonts w:hint="eastAsia" w:ascii="仿宋" w:hAnsi="仿宋" w:eastAsia="仿宋" w:cs="仿宋"/>
          <w:color w:val="auto"/>
          <w:szCs w:val="21"/>
          <w:highlight w:val="none"/>
          <w:u w:val="single"/>
        </w:rPr>
        <w:t>是用来指导</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"http://baike.baidu.com/view/1094820.htm" \t "_blank"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1"/>
          <w:highlight w:val="none"/>
          <w:u w:val="single"/>
        </w:rPr>
        <w:t>施工项目</w:t>
      </w:r>
      <w:r>
        <w:rPr>
          <w:rFonts w:hint="eastAsia" w:ascii="仿宋" w:hAnsi="仿宋" w:eastAsia="仿宋" w:cs="仿宋"/>
          <w:color w:val="auto"/>
          <w:szCs w:val="21"/>
          <w:highlight w:val="none"/>
          <w:u w:val="single"/>
        </w:rPr>
        <w:fldChar w:fldCharType="end"/>
      </w:r>
      <w:r>
        <w:rPr>
          <w:rFonts w:hint="eastAsia" w:ascii="仿宋" w:hAnsi="仿宋" w:eastAsia="仿宋" w:cs="仿宋"/>
          <w:color w:val="auto"/>
          <w:szCs w:val="21"/>
          <w:highlight w:val="none"/>
          <w:u w:val="single"/>
        </w:rPr>
        <w:t xml:space="preserve">全过程各项活动的技术、经济和组织的综合性文件  </w:t>
      </w:r>
      <w:r>
        <w:rPr>
          <w:rFonts w:hint="eastAsia" w:ascii="仿宋" w:hAnsi="仿宋" w:eastAsia="仿宋" w:cs="仿宋"/>
          <w:color w:val="auto"/>
          <w:szCs w:val="21"/>
          <w:highlight w:val="none"/>
        </w:rPr>
        <w:t>。</w:t>
      </w:r>
    </w:p>
    <w:p w14:paraId="685BDFE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 合同当事人及其他相关方</w:t>
      </w:r>
    </w:p>
    <w:p w14:paraId="1BF1635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1.1.2.4监理人：</w:t>
      </w:r>
    </w:p>
    <w:p w14:paraId="3C715AB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    称：</w:t>
      </w:r>
      <w:r>
        <w:rPr>
          <w:rFonts w:hint="eastAsia" w:ascii="仿宋" w:hAnsi="仿宋" w:eastAsia="仿宋" w:cs="仿宋"/>
          <w:color w:val="auto"/>
          <w:szCs w:val="21"/>
          <w:highlight w:val="none"/>
          <w:u w:val="single"/>
        </w:rPr>
        <w:t xml:space="preserve">                </w:t>
      </w:r>
      <w:r>
        <w:rPr>
          <w:rFonts w:hint="eastAsia" w:ascii="仿宋" w:hAnsi="仿宋" w:eastAsia="仿宋" w:cs="仿宋"/>
          <w:color w:val="auto"/>
          <w:szCs w:val="21"/>
          <w:highlight w:val="none"/>
        </w:rPr>
        <w:t>；</w:t>
      </w:r>
    </w:p>
    <w:p w14:paraId="30EEF42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资质类别和等级：</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42EDF01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5BE5D18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电子信箱：</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w:t>
      </w:r>
    </w:p>
    <w:p w14:paraId="7DE8977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通信地址：</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6036C13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1.1.2.5 设计人：</w:t>
      </w:r>
    </w:p>
    <w:p w14:paraId="59BC84E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    称：</w:t>
      </w:r>
      <w:r>
        <w:rPr>
          <w:rFonts w:hint="eastAsia" w:ascii="仿宋" w:hAnsi="仿宋" w:eastAsia="仿宋" w:cs="仿宋"/>
          <w:color w:val="auto"/>
          <w:szCs w:val="21"/>
          <w:highlight w:val="none"/>
          <w:u w:val="single"/>
        </w:rPr>
        <w:t xml:space="preserve">                 </w:t>
      </w:r>
      <w:r>
        <w:rPr>
          <w:rFonts w:hint="eastAsia" w:ascii="仿宋" w:hAnsi="仿宋" w:eastAsia="仿宋" w:cs="仿宋"/>
          <w:color w:val="auto"/>
          <w:szCs w:val="21"/>
          <w:highlight w:val="none"/>
        </w:rPr>
        <w:t>；</w:t>
      </w:r>
    </w:p>
    <w:p w14:paraId="0512490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资质类别和等级：</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206FAEE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28B2F6E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电子信箱：</w:t>
      </w:r>
      <w:r>
        <w:rPr>
          <w:rFonts w:hint="eastAsia" w:ascii="仿宋" w:hAnsi="仿宋" w:eastAsia="仿宋" w:cs="仿宋"/>
          <w:color w:val="auto"/>
          <w:szCs w:val="21"/>
          <w:highlight w:val="none"/>
          <w:u w:val="single"/>
        </w:rPr>
        <w:t xml:space="preserve">                    </w:t>
      </w:r>
      <w:r>
        <w:rPr>
          <w:rFonts w:hint="eastAsia" w:ascii="仿宋" w:hAnsi="仿宋" w:eastAsia="仿宋" w:cs="仿宋"/>
          <w:color w:val="auto"/>
          <w:szCs w:val="21"/>
          <w:highlight w:val="none"/>
        </w:rPr>
        <w:t>；</w:t>
      </w:r>
    </w:p>
    <w:p w14:paraId="47844C1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通信地址：</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5018D7B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 工程和设备</w:t>
      </w:r>
    </w:p>
    <w:p w14:paraId="2370183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1.1.3.7 作为施工现场组成部分的其他场所包括：</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74B0849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1.1.3.9 永久占地包括：</w:t>
      </w:r>
      <w:r>
        <w:rPr>
          <w:rFonts w:hint="eastAsia" w:ascii="仿宋" w:hAnsi="仿宋" w:eastAsia="仿宋" w:cs="仿宋"/>
          <w:color w:val="auto"/>
          <w:szCs w:val="21"/>
          <w:highlight w:val="none"/>
          <w:u w:val="single"/>
        </w:rPr>
        <w:t xml:space="preserve">       /      </w:t>
      </w:r>
      <w:r>
        <w:rPr>
          <w:rFonts w:hint="eastAsia" w:ascii="仿宋" w:hAnsi="仿宋" w:eastAsia="仿宋" w:cs="仿宋"/>
          <w:color w:val="auto"/>
          <w:szCs w:val="21"/>
          <w:highlight w:val="none"/>
        </w:rPr>
        <w:t>。</w:t>
      </w:r>
    </w:p>
    <w:p w14:paraId="0235A30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1.1.3.10 临时占地包括：</w:t>
      </w:r>
      <w:r>
        <w:rPr>
          <w:rFonts w:hint="eastAsia" w:ascii="仿宋" w:hAnsi="仿宋" w:eastAsia="仿宋" w:cs="仿宋"/>
          <w:color w:val="auto"/>
          <w:szCs w:val="21"/>
          <w:highlight w:val="none"/>
          <w:u w:val="single"/>
        </w:rPr>
        <w:t xml:space="preserve">  由承包人自行解决，费用承包人自行承担 </w:t>
      </w:r>
      <w:r>
        <w:rPr>
          <w:rFonts w:hint="eastAsia" w:ascii="仿宋" w:hAnsi="仿宋" w:eastAsia="仿宋" w:cs="仿宋"/>
          <w:color w:val="auto"/>
          <w:szCs w:val="21"/>
          <w:highlight w:val="none"/>
        </w:rPr>
        <w:t>。</w:t>
      </w:r>
    </w:p>
    <w:p w14:paraId="40107D8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1.3法律 </w:t>
      </w:r>
    </w:p>
    <w:p w14:paraId="533DB8F5">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适用于合同的其他规范性文件：</w:t>
      </w:r>
      <w:r>
        <w:rPr>
          <w:rFonts w:hint="eastAsia" w:ascii="仿宋" w:hAnsi="仿宋" w:eastAsia="仿宋" w:cs="仿宋"/>
          <w:color w:val="auto"/>
          <w:szCs w:val="21"/>
          <w:highlight w:val="none"/>
          <w:u w:val="single"/>
        </w:rPr>
        <w:t xml:space="preserve">适用于本合同文件的法律为《中华人民共和国民法典》《建设工程质量管理条例》及其国家和工程所在地的适用于工程的包括但不限于法律、法规、规定、通知、决定、指导意见等各种规范性文件，部分规范性文件为： </w:t>
      </w:r>
      <w:r>
        <w:rPr>
          <w:rFonts w:hint="eastAsia" w:ascii="仿宋" w:hAnsi="仿宋" w:eastAsia="仿宋" w:cs="仿宋"/>
          <w:color w:val="auto"/>
          <w:szCs w:val="21"/>
          <w:highlight w:val="none"/>
        </w:rPr>
        <w:t>。</w:t>
      </w:r>
    </w:p>
    <w:p w14:paraId="3DC42849">
      <w:pPr>
        <w:spacing w:line="400" w:lineRule="exact"/>
        <w:ind w:firstLine="422" w:firstLineChars="200"/>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（1）《关于印发《杭州市建设工程工程量清单计价实施细则》（2018年修订）的通知》（杭建市发〔2018〕578号）</w:t>
      </w:r>
    </w:p>
    <w:p w14:paraId="04C71C81">
      <w:pPr>
        <w:spacing w:line="400" w:lineRule="exact"/>
        <w:ind w:firstLine="422" w:firstLineChars="200"/>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(2)《关于进一步加强杭州市建设工程市场要素价格动态管理的指导意见》（杭建市发〔2018〕579号 ）</w:t>
      </w:r>
    </w:p>
    <w:p w14:paraId="3D2AE3EE">
      <w:pPr>
        <w:spacing w:line="400" w:lineRule="exact"/>
        <w:ind w:firstLine="422" w:firstLineChars="200"/>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（3）《关于进一步加强建筑施工领域企业安全生产工作的实施意见》的通知 （杭建工发〔2011〕130号）</w:t>
      </w:r>
    </w:p>
    <w:p w14:paraId="6E38EC63">
      <w:pPr>
        <w:spacing w:line="400" w:lineRule="exact"/>
        <w:ind w:firstLine="422" w:firstLineChars="200"/>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（4）《关于进一步加强建设工程安全质量物联网管理应用平台建设的通知》（杭建工发【2012】426号）</w:t>
      </w:r>
    </w:p>
    <w:p w14:paraId="03F0C90A">
      <w:pPr>
        <w:spacing w:line="400" w:lineRule="exact"/>
        <w:ind w:firstLine="422" w:firstLineChars="200"/>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（5）《关于进一步加强预拌砂浆使用管理的通知》（杭建工发〔2017〕496号）</w:t>
      </w:r>
    </w:p>
    <w:p w14:paraId="2031680C">
      <w:pPr>
        <w:spacing w:line="400" w:lineRule="exact"/>
        <w:ind w:firstLine="422" w:firstLineChars="200"/>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（6）《关于落实建筑工棚安装空调事宜的通知》（杭建工发【2011】237号）</w:t>
      </w:r>
    </w:p>
    <w:p w14:paraId="4ADC097F">
      <w:pPr>
        <w:spacing w:line="400" w:lineRule="exact"/>
        <w:ind w:firstLine="420" w:firstLineChars="200"/>
        <w:rPr>
          <w:rFonts w:hint="eastAsia" w:ascii="仿宋" w:hAnsi="仿宋" w:eastAsia="仿宋" w:cs="仿宋"/>
          <w:b/>
          <w:color w:val="auto"/>
          <w:szCs w:val="21"/>
          <w:highlight w:val="none"/>
          <w:u w:val="single"/>
        </w:rPr>
      </w:pPr>
      <w:r>
        <w:rPr>
          <w:rFonts w:hint="eastAsia" w:ascii="仿宋" w:hAnsi="仿宋" w:eastAsia="仿宋" w:cs="仿宋"/>
          <w:color w:val="auto"/>
          <w:szCs w:val="21"/>
          <w:highlight w:val="none"/>
        </w:rPr>
        <w:t xml:space="preserve">（7）新工艺、新技术的约定：/ </w:t>
      </w:r>
    </w:p>
    <w:p w14:paraId="34008865">
      <w:pPr>
        <w:spacing w:line="400" w:lineRule="exact"/>
        <w:ind w:firstLine="420" w:firstLineChars="200"/>
        <w:rPr>
          <w:rFonts w:hint="eastAsia" w:ascii="仿宋" w:hAnsi="仿宋" w:eastAsia="仿宋" w:cs="仿宋"/>
          <w:b/>
          <w:color w:val="auto"/>
          <w:szCs w:val="21"/>
          <w:highlight w:val="none"/>
          <w:u w:val="single"/>
        </w:rPr>
      </w:pPr>
      <w:r>
        <w:rPr>
          <w:rFonts w:hint="eastAsia" w:ascii="仿宋" w:hAnsi="仿宋" w:eastAsia="仿宋" w:cs="仿宋"/>
          <w:color w:val="auto"/>
          <w:szCs w:val="21"/>
          <w:highlight w:val="none"/>
        </w:rPr>
        <w:t>（8）其他：国家现行的法律法规及浙江省、杭州市相关的法律法规、钱塘区及建设单位的适用于工程的相关文件，包括在合同期内不时更新后的文件。</w:t>
      </w:r>
    </w:p>
    <w:p w14:paraId="30331A4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 标准和规范</w:t>
      </w:r>
    </w:p>
    <w:p w14:paraId="4B5EB40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1.4.1适用于工程的标准规范包括：</w:t>
      </w:r>
      <w:r>
        <w:rPr>
          <w:rFonts w:hint="eastAsia" w:ascii="仿宋" w:hAnsi="仿宋" w:eastAsia="仿宋" w:cs="仿宋"/>
          <w:color w:val="auto"/>
          <w:szCs w:val="21"/>
          <w:highlight w:val="none"/>
          <w:u w:val="single"/>
        </w:rPr>
        <w:t>现行的国家、浙江省、杭州市及工程所在地（区）的有关标准规范、质量评定标准和竣工验收规范</w:t>
      </w:r>
      <w:r>
        <w:rPr>
          <w:rFonts w:hint="eastAsia" w:ascii="仿宋" w:hAnsi="仿宋" w:eastAsia="仿宋" w:cs="仿宋"/>
          <w:color w:val="auto"/>
          <w:szCs w:val="21"/>
          <w:highlight w:val="none"/>
        </w:rPr>
        <w:t>。</w:t>
      </w:r>
    </w:p>
    <w:p w14:paraId="3C6AC35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1.4.2 发包人提供国外标准、规范的名称：</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55ABB3A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发包人提供国外标准、规范的份数：</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6F1ACB2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发包人提供国外标准、规范的名称：</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0DB19FE9">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1.4.3发包人对工程的技术标准和功能要求的特殊要求：</w:t>
      </w:r>
    </w:p>
    <w:p w14:paraId="42CF8C6E">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国家或行业如有新的技术标准和功能要求，则要求遵守新的技术标准和要求  </w:t>
      </w:r>
      <w:r>
        <w:rPr>
          <w:rFonts w:hint="eastAsia" w:ascii="仿宋" w:hAnsi="仿宋" w:eastAsia="仿宋" w:cs="仿宋"/>
          <w:color w:val="auto"/>
          <w:szCs w:val="21"/>
          <w:highlight w:val="none"/>
        </w:rPr>
        <w:t>。</w:t>
      </w:r>
    </w:p>
    <w:p w14:paraId="4601DD99">
      <w:pPr>
        <w:adjustRightInd/>
        <w:spacing w:line="400" w:lineRule="exact"/>
        <w:ind w:firstLine="420" w:firstLineChars="200"/>
        <w:outlineLvl w:val="0"/>
        <w:rPr>
          <w:rFonts w:hint="eastAsia" w:ascii="仿宋" w:hAnsi="仿宋" w:eastAsia="仿宋" w:cs="仿宋"/>
          <w:color w:val="auto"/>
          <w:szCs w:val="21"/>
          <w:highlight w:val="none"/>
        </w:rPr>
      </w:pPr>
      <w:bookmarkStart w:id="425" w:name="_Toc14848"/>
      <w:bookmarkStart w:id="426" w:name="_Toc21239"/>
      <w:bookmarkStart w:id="427" w:name="_Toc11242"/>
      <w:bookmarkStart w:id="428" w:name="_Toc8012"/>
      <w:bookmarkStart w:id="429" w:name="_Toc24499"/>
      <w:bookmarkStart w:id="430" w:name="_Toc6062"/>
      <w:r>
        <w:rPr>
          <w:rFonts w:hint="eastAsia" w:ascii="仿宋" w:hAnsi="仿宋" w:eastAsia="仿宋" w:cs="仿宋"/>
          <w:color w:val="auto"/>
          <w:szCs w:val="21"/>
          <w:highlight w:val="none"/>
        </w:rPr>
        <w:t>1.5 合同文件的优先顺序</w:t>
      </w:r>
      <w:bookmarkEnd w:id="425"/>
      <w:bookmarkEnd w:id="426"/>
      <w:bookmarkEnd w:id="427"/>
      <w:bookmarkEnd w:id="428"/>
      <w:bookmarkEnd w:id="429"/>
      <w:bookmarkEnd w:id="430"/>
    </w:p>
    <w:p w14:paraId="08E45C9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合同文件组成及优先顺序（序号之前的优先于序号在后的）为：</w:t>
      </w:r>
    </w:p>
    <w:p w14:paraId="26E8C64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（1）合同协议书及补充协议；</w:t>
      </w:r>
    </w:p>
    <w:p w14:paraId="41E5B261">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（2）中标通知书（或项目发承包基本情况表）；</w:t>
      </w:r>
    </w:p>
    <w:p w14:paraId="265D9074">
      <w:pPr>
        <w:adjustRightInd/>
        <w:spacing w:line="400" w:lineRule="exact"/>
        <w:ind w:firstLine="420" w:firstLineChars="200"/>
        <w:rPr>
          <w:rFonts w:hint="default"/>
          <w:color w:val="auto"/>
          <w:highlight w:val="none"/>
        </w:rPr>
      </w:pPr>
      <w:r>
        <w:rPr>
          <w:rFonts w:hint="eastAsia" w:ascii="仿宋" w:hAnsi="仿宋" w:eastAsia="仿宋" w:cs="仿宋"/>
          <w:color w:val="auto"/>
          <w:szCs w:val="21"/>
          <w:highlight w:val="none"/>
          <w:u w:val="single"/>
        </w:rPr>
        <w:t>（3）投标文件</w:t>
      </w:r>
      <w:r>
        <w:rPr>
          <w:rFonts w:hint="default" w:ascii="仿宋" w:hAnsi="仿宋" w:eastAsia="仿宋" w:cs="仿宋"/>
          <w:color w:val="auto"/>
          <w:szCs w:val="21"/>
          <w:highlight w:val="none"/>
          <w:u w:val="single"/>
        </w:rPr>
        <w:t>；</w:t>
      </w:r>
    </w:p>
    <w:p w14:paraId="3CF8EF9E">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（4）本合同的专用合同条款及其附件；</w:t>
      </w:r>
    </w:p>
    <w:p w14:paraId="5B31EAB8">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（5）本合同的通用合同条款；</w:t>
      </w:r>
    </w:p>
    <w:p w14:paraId="5F5D9123">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（6）技术标准和要求；</w:t>
      </w:r>
    </w:p>
    <w:p w14:paraId="5701B3F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（7）施工图纸（含会审纪要、设计变更等）；</w:t>
      </w:r>
    </w:p>
    <w:p w14:paraId="5FAA9FE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（8）已标价工程量清单或预算书；</w:t>
      </w:r>
    </w:p>
    <w:p w14:paraId="48E7E1A0">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（9）其他合同文件：</w:t>
      </w:r>
    </w:p>
    <w:p w14:paraId="7B8A5932">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①施工组织设计；</w:t>
      </w:r>
    </w:p>
    <w:p w14:paraId="534A8FC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②其他：招标文件；</w:t>
      </w:r>
    </w:p>
    <w:p w14:paraId="75437878">
      <w:pPr>
        <w:adjustRightInd/>
        <w:spacing w:line="400" w:lineRule="exact"/>
        <w:ind w:firstLine="420" w:firstLineChars="200"/>
        <w:rPr>
          <w:rFonts w:hint="default" w:ascii="仿宋" w:hAnsi="仿宋" w:eastAsia="仿宋" w:cs="仿宋"/>
          <w:color w:val="auto"/>
          <w:szCs w:val="21"/>
          <w:highlight w:val="none"/>
          <w:u w:val="single"/>
          <w:lang w:eastAsia="zh-Hans"/>
        </w:rPr>
      </w:pPr>
      <w:r>
        <w:rPr>
          <w:rFonts w:hint="eastAsia" w:ascii="仿宋" w:hAnsi="仿宋" w:eastAsia="仿宋" w:cs="仿宋"/>
          <w:color w:val="auto"/>
          <w:szCs w:val="21"/>
          <w:highlight w:val="none"/>
          <w:u w:val="single"/>
        </w:rPr>
        <w:t>合同当事人就上述合同文件在合同订立及履行过程中所作出的补充和修改，应以最新签署的为准，且在解释时有最优先的顺序。</w:t>
      </w:r>
      <w:r>
        <w:rPr>
          <w:rFonts w:hint="eastAsia" w:ascii="仿宋" w:hAnsi="仿宋" w:eastAsia="仿宋" w:cs="仿宋"/>
          <w:color w:val="auto"/>
          <w:szCs w:val="21"/>
          <w:highlight w:val="none"/>
          <w:u w:val="single"/>
          <w:lang w:val="en-US" w:eastAsia="zh-Hans"/>
        </w:rPr>
        <w:t>但不得与招标文件中的实质性内容相背离</w:t>
      </w:r>
      <w:r>
        <w:rPr>
          <w:rFonts w:hint="default" w:ascii="仿宋" w:hAnsi="仿宋" w:eastAsia="仿宋" w:cs="仿宋"/>
          <w:color w:val="auto"/>
          <w:szCs w:val="21"/>
          <w:highlight w:val="none"/>
          <w:u w:val="single"/>
          <w:lang w:eastAsia="zh-Hans"/>
        </w:rPr>
        <w:t>。</w:t>
      </w:r>
    </w:p>
    <w:p w14:paraId="601F3108">
      <w:pPr>
        <w:adjustRightInd/>
        <w:spacing w:line="400" w:lineRule="exact"/>
        <w:ind w:firstLine="420" w:firstLineChars="200"/>
        <w:outlineLvl w:val="0"/>
        <w:rPr>
          <w:rFonts w:hint="eastAsia" w:ascii="仿宋" w:hAnsi="仿宋" w:eastAsia="仿宋" w:cs="仿宋"/>
          <w:color w:val="auto"/>
          <w:szCs w:val="21"/>
          <w:highlight w:val="none"/>
        </w:rPr>
      </w:pPr>
      <w:bookmarkStart w:id="431" w:name="_Toc2890"/>
      <w:bookmarkStart w:id="432" w:name="_Toc12400"/>
      <w:bookmarkStart w:id="433" w:name="_Toc15225"/>
      <w:bookmarkStart w:id="434" w:name="_Toc17574"/>
      <w:bookmarkStart w:id="435" w:name="_Toc9230"/>
      <w:bookmarkStart w:id="436" w:name="_Toc12132"/>
      <w:r>
        <w:rPr>
          <w:rFonts w:hint="eastAsia" w:ascii="仿宋" w:hAnsi="仿宋" w:eastAsia="仿宋" w:cs="仿宋"/>
          <w:color w:val="auto"/>
          <w:szCs w:val="21"/>
          <w:highlight w:val="none"/>
        </w:rPr>
        <w:t>1.6 图纸和承包人文件</w:t>
      </w:r>
      <w:bookmarkEnd w:id="431"/>
      <w:bookmarkEnd w:id="432"/>
      <w:bookmarkEnd w:id="433"/>
      <w:bookmarkEnd w:id="434"/>
      <w:bookmarkEnd w:id="435"/>
      <w:bookmarkEnd w:id="436"/>
      <w:r>
        <w:rPr>
          <w:rFonts w:hint="eastAsia" w:ascii="仿宋" w:hAnsi="仿宋" w:eastAsia="仿宋" w:cs="仿宋"/>
          <w:color w:val="auto"/>
          <w:szCs w:val="21"/>
          <w:highlight w:val="none"/>
        </w:rPr>
        <w:tab/>
      </w:r>
    </w:p>
    <w:p w14:paraId="2E2071F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1.6.1 图纸的提供</w:t>
      </w:r>
    </w:p>
    <w:p w14:paraId="06484C1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发包人向承包人提供图纸的期限：</w:t>
      </w:r>
      <w:r>
        <w:rPr>
          <w:rFonts w:hint="eastAsia" w:ascii="仿宋" w:hAnsi="仿宋" w:eastAsia="仿宋" w:cs="仿宋"/>
          <w:color w:val="auto"/>
          <w:szCs w:val="21"/>
          <w:highlight w:val="none"/>
          <w:u w:val="single"/>
        </w:rPr>
        <w:t>开工前</w:t>
      </w:r>
      <w:r>
        <w:rPr>
          <w:rFonts w:hint="eastAsia" w:ascii="仿宋" w:hAnsi="仿宋" w:eastAsia="仿宋" w:cs="仿宋"/>
          <w:color w:val="auto"/>
          <w:szCs w:val="21"/>
          <w:highlight w:val="none"/>
        </w:rPr>
        <w:t>；</w:t>
      </w:r>
    </w:p>
    <w:p w14:paraId="010F9ED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发包人向承包人提供图纸的数量：</w:t>
      </w:r>
      <w:r>
        <w:rPr>
          <w:rFonts w:hint="eastAsia" w:ascii="仿宋" w:hAnsi="仿宋" w:eastAsia="仿宋" w:cs="仿宋"/>
          <w:color w:val="auto"/>
          <w:szCs w:val="21"/>
          <w:highlight w:val="none"/>
          <w:u w:val="single"/>
        </w:rPr>
        <w:t>三套</w:t>
      </w:r>
      <w:r>
        <w:rPr>
          <w:rFonts w:hint="eastAsia" w:ascii="仿宋" w:hAnsi="仿宋" w:eastAsia="仿宋" w:cs="仿宋"/>
          <w:color w:val="auto"/>
          <w:szCs w:val="21"/>
          <w:highlight w:val="none"/>
        </w:rPr>
        <w:t>；</w:t>
      </w:r>
    </w:p>
    <w:p w14:paraId="79FF159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发包人向承包人提供图纸的内容：</w:t>
      </w:r>
      <w:r>
        <w:rPr>
          <w:rFonts w:hint="eastAsia" w:ascii="仿宋" w:hAnsi="仿宋" w:eastAsia="仿宋" w:cs="仿宋"/>
          <w:color w:val="auto"/>
          <w:szCs w:val="21"/>
          <w:highlight w:val="none"/>
          <w:u w:val="single"/>
        </w:rPr>
        <w:t>全套施工图纸、设计联系单等</w:t>
      </w:r>
      <w:r>
        <w:rPr>
          <w:rFonts w:hint="eastAsia" w:ascii="仿宋" w:hAnsi="仿宋" w:eastAsia="仿宋" w:cs="仿宋"/>
          <w:color w:val="auto"/>
          <w:szCs w:val="21"/>
          <w:highlight w:val="none"/>
        </w:rPr>
        <w:t>。承包人未经发包人</w:t>
      </w:r>
      <w:r>
        <w:rPr>
          <w:rFonts w:hint="eastAsia" w:ascii="仿宋" w:hAnsi="仿宋" w:eastAsia="仿宋" w:cs="仿宋"/>
          <w:color w:val="auto"/>
          <w:szCs w:val="21"/>
          <w:highlight w:val="none"/>
          <w:lang w:val="en-US" w:eastAsia="zh-Hans"/>
        </w:rPr>
        <w:t>书面</w:t>
      </w:r>
      <w:r>
        <w:rPr>
          <w:rFonts w:hint="eastAsia" w:ascii="仿宋" w:hAnsi="仿宋" w:eastAsia="仿宋" w:cs="仿宋"/>
          <w:color w:val="auto"/>
          <w:szCs w:val="21"/>
          <w:highlight w:val="none"/>
        </w:rPr>
        <w:t>许可</w:t>
      </w:r>
      <w:r>
        <w:rPr>
          <w:rFonts w:hint="default" w:ascii="仿宋" w:hAnsi="仿宋" w:eastAsia="仿宋" w:cs="仿宋"/>
          <w:color w:val="auto"/>
          <w:szCs w:val="21"/>
          <w:highlight w:val="none"/>
        </w:rPr>
        <w:t>，</w:t>
      </w:r>
      <w:r>
        <w:rPr>
          <w:rFonts w:hint="eastAsia" w:ascii="仿宋" w:hAnsi="仿宋" w:eastAsia="仿宋" w:cs="仿宋"/>
          <w:color w:val="auto"/>
          <w:szCs w:val="21"/>
          <w:highlight w:val="none"/>
        </w:rPr>
        <w:t>不得泄露，并不能用于本合同项目以外的工程。</w:t>
      </w:r>
    </w:p>
    <w:p w14:paraId="5A893F8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1.6.4 承包人文件</w:t>
      </w:r>
    </w:p>
    <w:p w14:paraId="75F7B1C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需要由承包人提供的文件，包括：</w:t>
      </w:r>
      <w:r>
        <w:rPr>
          <w:rFonts w:hint="eastAsia" w:ascii="仿宋" w:hAnsi="仿宋" w:eastAsia="仿宋" w:cs="仿宋"/>
          <w:color w:val="auto"/>
          <w:szCs w:val="21"/>
          <w:highlight w:val="none"/>
          <w:u w:val="single"/>
        </w:rPr>
        <w:t xml:space="preserve">与工程施工有关的一切必要文件，包括但不仅限于施工组织设计、施工进度计划及发包人要求提供的各类文件、规范 </w:t>
      </w:r>
      <w:r>
        <w:rPr>
          <w:rFonts w:hint="eastAsia" w:ascii="仿宋" w:hAnsi="仿宋" w:eastAsia="仿宋" w:cs="仿宋"/>
          <w:color w:val="auto"/>
          <w:szCs w:val="21"/>
          <w:highlight w:val="none"/>
        </w:rPr>
        <w:t>；</w:t>
      </w:r>
    </w:p>
    <w:p w14:paraId="3B6B7F6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承包人提供的文件的期限为：</w:t>
      </w:r>
      <w:r>
        <w:rPr>
          <w:rFonts w:hint="eastAsia" w:ascii="仿宋" w:hAnsi="仿宋" w:eastAsia="仿宋" w:cs="仿宋"/>
          <w:color w:val="auto"/>
          <w:szCs w:val="21"/>
          <w:highlight w:val="none"/>
          <w:u w:val="single"/>
        </w:rPr>
        <w:t>合同签署后7天内</w:t>
      </w:r>
      <w:r>
        <w:rPr>
          <w:rFonts w:hint="eastAsia" w:ascii="仿宋" w:hAnsi="仿宋" w:eastAsia="仿宋" w:cs="仿宋"/>
          <w:color w:val="auto"/>
          <w:szCs w:val="21"/>
          <w:highlight w:val="none"/>
        </w:rPr>
        <w:t>；</w:t>
      </w:r>
    </w:p>
    <w:p w14:paraId="1D7E3EA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承包人提供的文件的数量为：</w:t>
      </w:r>
      <w:r>
        <w:rPr>
          <w:rFonts w:hint="eastAsia" w:ascii="仿宋" w:hAnsi="仿宋" w:eastAsia="仿宋" w:cs="仿宋"/>
          <w:color w:val="auto"/>
          <w:szCs w:val="21"/>
          <w:highlight w:val="none"/>
          <w:u w:val="single"/>
        </w:rPr>
        <w:t>一式叁份</w:t>
      </w:r>
      <w:r>
        <w:rPr>
          <w:rFonts w:hint="eastAsia" w:ascii="仿宋" w:hAnsi="仿宋" w:eastAsia="仿宋" w:cs="仿宋"/>
          <w:color w:val="auto"/>
          <w:szCs w:val="21"/>
          <w:highlight w:val="none"/>
        </w:rPr>
        <w:t>；</w:t>
      </w:r>
    </w:p>
    <w:p w14:paraId="6678484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承包人提供的文件的形式为：</w:t>
      </w:r>
      <w:r>
        <w:rPr>
          <w:rFonts w:hint="eastAsia" w:ascii="仿宋" w:hAnsi="仿宋" w:eastAsia="仿宋" w:cs="仿宋"/>
          <w:color w:val="auto"/>
          <w:szCs w:val="21"/>
          <w:highlight w:val="none"/>
          <w:u w:val="single"/>
        </w:rPr>
        <w:t>盖单位公章的纸制文本及电子光盘</w:t>
      </w:r>
      <w:r>
        <w:rPr>
          <w:rFonts w:hint="eastAsia" w:ascii="仿宋" w:hAnsi="仿宋" w:eastAsia="仿宋" w:cs="仿宋"/>
          <w:color w:val="auto"/>
          <w:szCs w:val="21"/>
          <w:highlight w:val="none"/>
        </w:rPr>
        <w:t>；</w:t>
      </w:r>
    </w:p>
    <w:p w14:paraId="0A4A54E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发包人审批承包人文件的期限：</w:t>
      </w:r>
      <w:r>
        <w:rPr>
          <w:rFonts w:hint="eastAsia" w:ascii="仿宋" w:hAnsi="仿宋" w:eastAsia="仿宋" w:cs="仿宋"/>
          <w:color w:val="auto"/>
          <w:szCs w:val="21"/>
          <w:highlight w:val="none"/>
          <w:u w:val="single"/>
        </w:rPr>
        <w:t>收到承包人文件后14天内</w:t>
      </w:r>
      <w:r>
        <w:rPr>
          <w:rFonts w:hint="eastAsia" w:ascii="仿宋" w:hAnsi="仿宋" w:eastAsia="仿宋" w:cs="仿宋"/>
          <w:color w:val="auto"/>
          <w:szCs w:val="21"/>
          <w:highlight w:val="none"/>
        </w:rPr>
        <w:t>。</w:t>
      </w:r>
    </w:p>
    <w:p w14:paraId="61973CF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1.6.5 现场图纸准备</w:t>
      </w:r>
    </w:p>
    <w:p w14:paraId="7BA282E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关于现场图纸准备的约定：</w:t>
      </w:r>
      <w:r>
        <w:rPr>
          <w:rFonts w:hint="eastAsia" w:ascii="仿宋" w:hAnsi="仿宋" w:eastAsia="仿宋" w:cs="仿宋"/>
          <w:color w:val="auto"/>
          <w:szCs w:val="21"/>
          <w:highlight w:val="none"/>
          <w:u w:val="single"/>
        </w:rPr>
        <w:t>承包人应在施工现场另外保存一套完整的图纸和承包人文件，供发包人、监理人及有关人员进行工程检查时使用</w:t>
      </w:r>
      <w:r>
        <w:rPr>
          <w:rFonts w:hint="eastAsia" w:ascii="仿宋" w:hAnsi="仿宋" w:eastAsia="仿宋" w:cs="仿宋"/>
          <w:color w:val="auto"/>
          <w:szCs w:val="21"/>
          <w:highlight w:val="none"/>
        </w:rPr>
        <w:t>。</w:t>
      </w:r>
    </w:p>
    <w:p w14:paraId="2894E562">
      <w:pPr>
        <w:adjustRightInd/>
        <w:spacing w:line="400" w:lineRule="exact"/>
        <w:ind w:firstLine="420" w:firstLineChars="200"/>
        <w:outlineLvl w:val="0"/>
        <w:rPr>
          <w:rFonts w:hint="eastAsia" w:ascii="仿宋" w:hAnsi="仿宋" w:eastAsia="仿宋" w:cs="仿宋"/>
          <w:color w:val="auto"/>
          <w:szCs w:val="21"/>
          <w:highlight w:val="none"/>
        </w:rPr>
      </w:pPr>
      <w:bookmarkStart w:id="437" w:name="_Toc18983"/>
      <w:bookmarkStart w:id="438" w:name="_Toc27250"/>
      <w:bookmarkStart w:id="439" w:name="_Toc23445"/>
      <w:bookmarkStart w:id="440" w:name="_Toc15589"/>
      <w:bookmarkStart w:id="441" w:name="_Toc29844"/>
      <w:bookmarkStart w:id="442" w:name="_Toc11801"/>
      <w:r>
        <w:rPr>
          <w:rFonts w:hint="eastAsia" w:ascii="仿宋" w:hAnsi="仿宋" w:eastAsia="仿宋" w:cs="仿宋"/>
          <w:color w:val="auto"/>
          <w:szCs w:val="21"/>
          <w:highlight w:val="none"/>
        </w:rPr>
        <w:t>1.7 联络</w:t>
      </w:r>
      <w:bookmarkEnd w:id="437"/>
      <w:bookmarkEnd w:id="438"/>
      <w:bookmarkEnd w:id="439"/>
      <w:bookmarkEnd w:id="440"/>
      <w:bookmarkEnd w:id="441"/>
      <w:bookmarkEnd w:id="442"/>
    </w:p>
    <w:p w14:paraId="4AE3281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1.7.1发包人和承包人应当在</w:t>
      </w:r>
      <w:r>
        <w:rPr>
          <w:rFonts w:hint="eastAsia" w:ascii="仿宋" w:hAnsi="仿宋" w:eastAsia="仿宋" w:cs="仿宋"/>
          <w:color w:val="auto"/>
          <w:szCs w:val="21"/>
          <w:highlight w:val="none"/>
          <w:u w:val="single"/>
        </w:rPr>
        <w:t xml:space="preserve"> 7  </w:t>
      </w:r>
      <w:r>
        <w:rPr>
          <w:rFonts w:hint="eastAsia" w:ascii="仿宋" w:hAnsi="仿宋" w:eastAsia="仿宋" w:cs="仿宋"/>
          <w:color w:val="auto"/>
          <w:szCs w:val="21"/>
          <w:highlight w:val="none"/>
        </w:rPr>
        <w:t>天内将与合同有关的通知、批准、证明、证书、指示、指令、要求、请求、同意、意见、确定和决定等书面函件送达对方当事人。</w:t>
      </w:r>
    </w:p>
    <w:p w14:paraId="1F01453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1.7.2 发包人接收文件的地点：</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2A770D0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发包人指定的接收人为：</w:t>
      </w:r>
      <w:r>
        <w:rPr>
          <w:rFonts w:hint="eastAsia" w:ascii="仿宋" w:hAnsi="仿宋" w:eastAsia="仿宋" w:cs="仿宋"/>
          <w:color w:val="auto"/>
          <w:szCs w:val="21"/>
          <w:highlight w:val="none"/>
          <w:u w:val="single"/>
        </w:rPr>
        <w:t>               </w:t>
      </w:r>
      <w:r>
        <w:rPr>
          <w:rFonts w:hint="eastAsia" w:ascii="仿宋" w:hAnsi="仿宋" w:eastAsia="仿宋" w:cs="仿宋"/>
          <w:color w:val="auto"/>
          <w:szCs w:val="21"/>
          <w:highlight w:val="none"/>
        </w:rPr>
        <w:t>。</w:t>
      </w:r>
    </w:p>
    <w:p w14:paraId="01D1A18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承包人接收文件的地点：</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1A80371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承包人指定的接收人为：</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5231EF7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监理人接收文件的地点：</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5F89433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监理人指定的接收人为：</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1F80A53E">
      <w:pPr>
        <w:adjustRightInd/>
        <w:spacing w:line="400" w:lineRule="exact"/>
        <w:ind w:firstLine="420" w:firstLineChars="200"/>
        <w:outlineLvl w:val="0"/>
        <w:rPr>
          <w:rFonts w:hint="eastAsia" w:ascii="仿宋" w:hAnsi="仿宋" w:eastAsia="仿宋" w:cs="仿宋"/>
          <w:color w:val="auto"/>
          <w:szCs w:val="21"/>
          <w:highlight w:val="none"/>
        </w:rPr>
      </w:pPr>
      <w:bookmarkStart w:id="443" w:name="_Toc28537"/>
      <w:bookmarkStart w:id="444" w:name="_Toc9812"/>
      <w:bookmarkStart w:id="445" w:name="_Toc22177"/>
      <w:bookmarkStart w:id="446" w:name="_Toc21968"/>
      <w:bookmarkStart w:id="447" w:name="_Toc27894"/>
      <w:r>
        <w:rPr>
          <w:rFonts w:hint="eastAsia" w:ascii="仿宋" w:hAnsi="仿宋" w:eastAsia="仿宋" w:cs="仿宋"/>
          <w:color w:val="auto"/>
          <w:szCs w:val="21"/>
          <w:highlight w:val="none"/>
        </w:rPr>
        <w:t>1.10 交通运输</w:t>
      </w:r>
      <w:bookmarkEnd w:id="443"/>
      <w:bookmarkEnd w:id="444"/>
      <w:bookmarkEnd w:id="445"/>
      <w:bookmarkEnd w:id="446"/>
      <w:bookmarkEnd w:id="447"/>
    </w:p>
    <w:p w14:paraId="053DDEA3">
      <w:pPr>
        <w:adjustRightInd/>
        <w:spacing w:line="400" w:lineRule="exact"/>
        <w:ind w:firstLine="420" w:firstLineChars="200"/>
        <w:outlineLvl w:val="0"/>
        <w:rPr>
          <w:rFonts w:hint="eastAsia" w:ascii="仿宋" w:hAnsi="仿宋" w:eastAsia="仿宋" w:cs="仿宋"/>
          <w:color w:val="auto"/>
          <w:szCs w:val="21"/>
          <w:highlight w:val="none"/>
        </w:rPr>
      </w:pPr>
      <w:bookmarkStart w:id="448" w:name="_Toc11125"/>
      <w:bookmarkStart w:id="449" w:name="_Toc1357"/>
      <w:bookmarkStart w:id="450" w:name="_Toc14115"/>
      <w:bookmarkStart w:id="451" w:name="_Toc26516"/>
      <w:bookmarkStart w:id="452" w:name="_Toc19724"/>
      <w:bookmarkStart w:id="453" w:name="_Toc12880"/>
      <w:r>
        <w:rPr>
          <w:rFonts w:hint="eastAsia" w:ascii="仿宋" w:hAnsi="仿宋" w:eastAsia="仿宋" w:cs="仿宋"/>
          <w:color w:val="auto"/>
          <w:szCs w:val="21"/>
          <w:highlight w:val="none"/>
        </w:rPr>
        <w:t>1</w:t>
      </w:r>
      <w:bookmarkStart w:id="454" w:name="_Toc300934943"/>
      <w:bookmarkStart w:id="455" w:name="_Toc312677986"/>
      <w:bookmarkStart w:id="456" w:name="_Toc303539100"/>
      <w:bookmarkStart w:id="457" w:name="_Toc318581155"/>
      <w:bookmarkStart w:id="458" w:name="_Toc304295521"/>
      <w:r>
        <w:rPr>
          <w:rFonts w:hint="eastAsia" w:ascii="仿宋" w:hAnsi="仿宋" w:eastAsia="仿宋" w:cs="仿宋"/>
          <w:color w:val="auto"/>
          <w:szCs w:val="21"/>
          <w:highlight w:val="none"/>
        </w:rPr>
        <w:t>.10.1 出入现场的权利</w:t>
      </w:r>
      <w:bookmarkEnd w:id="448"/>
      <w:bookmarkEnd w:id="449"/>
      <w:bookmarkEnd w:id="450"/>
      <w:bookmarkEnd w:id="451"/>
      <w:bookmarkEnd w:id="452"/>
      <w:bookmarkEnd w:id="453"/>
    </w:p>
    <w:p w14:paraId="4FD2599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关于出入现场的权利的约定：</w:t>
      </w:r>
      <w:r>
        <w:rPr>
          <w:rFonts w:hint="eastAsia" w:ascii="仿宋" w:hAnsi="仿宋" w:eastAsia="仿宋" w:cs="仿宋"/>
          <w:color w:val="auto"/>
          <w:szCs w:val="21"/>
          <w:highlight w:val="none"/>
          <w:u w:val="single"/>
        </w:rPr>
        <w:t>施工便道及进场通道、公共道路道口开设、施工场地平整等由施工单位负责，费用由承包方承担。场内道路设置及场外施工便道由承包商自行考虑，费用由承包方承担。但承包人应遵守当地交通部门限制通行的有关规定。发包人及发包人认可的单位及人员具有随时出入施工现场的权利</w:t>
      </w:r>
      <w:r>
        <w:rPr>
          <w:rFonts w:hint="eastAsia" w:ascii="仿宋" w:hAnsi="仿宋" w:eastAsia="仿宋" w:cs="仿宋"/>
          <w:color w:val="auto"/>
          <w:szCs w:val="21"/>
          <w:highlight w:val="none"/>
        </w:rPr>
        <w:t>。</w:t>
      </w:r>
    </w:p>
    <w:bookmarkEnd w:id="454"/>
    <w:bookmarkEnd w:id="455"/>
    <w:bookmarkEnd w:id="456"/>
    <w:bookmarkEnd w:id="457"/>
    <w:bookmarkEnd w:id="458"/>
    <w:p w14:paraId="08F579C1">
      <w:pPr>
        <w:adjustRightInd/>
        <w:spacing w:line="400" w:lineRule="exact"/>
        <w:ind w:firstLine="420" w:firstLineChars="200"/>
        <w:outlineLvl w:val="0"/>
        <w:rPr>
          <w:rFonts w:hint="eastAsia" w:ascii="仿宋" w:hAnsi="仿宋" w:eastAsia="仿宋" w:cs="仿宋"/>
          <w:color w:val="auto"/>
          <w:szCs w:val="21"/>
          <w:highlight w:val="none"/>
        </w:rPr>
      </w:pPr>
      <w:bookmarkStart w:id="459" w:name="_Toc5563"/>
      <w:bookmarkStart w:id="460" w:name="_Toc12053"/>
      <w:bookmarkStart w:id="461" w:name="_Toc19291"/>
      <w:bookmarkStart w:id="462" w:name="_Toc32641"/>
      <w:bookmarkStart w:id="463" w:name="_Toc3509"/>
      <w:bookmarkStart w:id="464" w:name="_Toc10120"/>
      <w:r>
        <w:rPr>
          <w:rFonts w:hint="eastAsia" w:ascii="仿宋" w:hAnsi="仿宋" w:eastAsia="仿宋" w:cs="仿宋"/>
          <w:color w:val="auto"/>
          <w:szCs w:val="21"/>
          <w:highlight w:val="none"/>
        </w:rPr>
        <w:t>1</w:t>
      </w:r>
      <w:bookmarkStart w:id="465" w:name="_Toc303539101"/>
      <w:bookmarkStart w:id="466" w:name="_Toc318581156"/>
      <w:bookmarkStart w:id="467" w:name="_Toc312677987"/>
      <w:bookmarkStart w:id="468" w:name="_Toc300934944"/>
      <w:bookmarkStart w:id="469" w:name="_Toc304295522"/>
      <w:r>
        <w:rPr>
          <w:rFonts w:hint="eastAsia" w:ascii="仿宋" w:hAnsi="仿宋" w:eastAsia="仿宋" w:cs="仿宋"/>
          <w:color w:val="auto"/>
          <w:szCs w:val="21"/>
          <w:highlight w:val="none"/>
        </w:rPr>
        <w:t>.10.3 场内交通</w:t>
      </w:r>
      <w:bookmarkEnd w:id="459"/>
      <w:bookmarkEnd w:id="460"/>
      <w:bookmarkEnd w:id="461"/>
      <w:bookmarkEnd w:id="462"/>
      <w:bookmarkEnd w:id="463"/>
      <w:bookmarkEnd w:id="464"/>
    </w:p>
    <w:p w14:paraId="53BE16A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关于场外交通和场内交通的边界的约定：</w:t>
      </w:r>
      <w:r>
        <w:rPr>
          <w:rFonts w:hint="eastAsia" w:ascii="仿宋" w:hAnsi="仿宋" w:eastAsia="仿宋" w:cs="仿宋"/>
          <w:color w:val="auto"/>
          <w:szCs w:val="21"/>
          <w:highlight w:val="none"/>
          <w:u w:val="single"/>
        </w:rPr>
        <w:t>以本工程覆盖范围和区域为准</w:t>
      </w:r>
      <w:r>
        <w:rPr>
          <w:rFonts w:hint="eastAsia" w:ascii="仿宋" w:hAnsi="仿宋" w:eastAsia="仿宋" w:cs="仿宋"/>
          <w:color w:val="auto"/>
          <w:szCs w:val="21"/>
          <w:highlight w:val="none"/>
        </w:rPr>
        <w:t>。</w:t>
      </w:r>
    </w:p>
    <w:p w14:paraId="643AD2E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关于发包人向承包人免费提供满足工程施工需要的场内道路和交通设施的约定：</w:t>
      </w:r>
      <w:r>
        <w:rPr>
          <w:rFonts w:hint="eastAsia" w:ascii="仿宋" w:hAnsi="仿宋" w:eastAsia="仿宋" w:cs="仿宋"/>
          <w:color w:val="auto"/>
          <w:szCs w:val="21"/>
          <w:highlight w:val="none"/>
          <w:u w:val="single"/>
        </w:rPr>
        <w:t>承包人在投标前已自行踏勘确定并且无异议，严格组织交通，自行跟交通部门沟通协调，并承担相应费用</w:t>
      </w:r>
      <w:r>
        <w:rPr>
          <w:rFonts w:hint="eastAsia" w:ascii="仿宋" w:hAnsi="仿宋" w:eastAsia="仿宋" w:cs="仿宋"/>
          <w:color w:val="auto"/>
          <w:szCs w:val="21"/>
          <w:highlight w:val="none"/>
        </w:rPr>
        <w:t>。</w:t>
      </w:r>
      <w:bookmarkEnd w:id="465"/>
      <w:bookmarkEnd w:id="466"/>
      <w:bookmarkEnd w:id="467"/>
      <w:bookmarkEnd w:id="468"/>
      <w:bookmarkEnd w:id="469"/>
      <w:bookmarkStart w:id="470" w:name="_Toc318581157"/>
    </w:p>
    <w:p w14:paraId="50F8A99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1.10.4超大件和超重件的运输</w:t>
      </w:r>
    </w:p>
    <w:p w14:paraId="2FE2600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运输超大件或超重件所需的道路和桥梁临时加固改造费用和其他有关费用由</w:t>
      </w:r>
      <w:r>
        <w:rPr>
          <w:rFonts w:hint="eastAsia" w:ascii="仿宋" w:hAnsi="仿宋" w:eastAsia="仿宋" w:cs="仿宋"/>
          <w:color w:val="auto"/>
          <w:szCs w:val="21"/>
          <w:highlight w:val="none"/>
          <w:u w:val="single"/>
        </w:rPr>
        <w:t xml:space="preserve">  承包方  </w:t>
      </w:r>
      <w:r>
        <w:rPr>
          <w:rFonts w:hint="eastAsia" w:ascii="仿宋" w:hAnsi="仿宋" w:eastAsia="仿宋" w:cs="仿宋"/>
          <w:color w:val="auto"/>
          <w:szCs w:val="21"/>
          <w:highlight w:val="none"/>
        </w:rPr>
        <w:t>承担。</w:t>
      </w:r>
    </w:p>
    <w:bookmarkEnd w:id="470"/>
    <w:p w14:paraId="1FD05F49">
      <w:pPr>
        <w:adjustRightInd/>
        <w:spacing w:line="400" w:lineRule="exact"/>
        <w:ind w:firstLine="420" w:firstLineChars="200"/>
        <w:outlineLvl w:val="0"/>
        <w:rPr>
          <w:rFonts w:hint="eastAsia" w:ascii="仿宋" w:hAnsi="仿宋" w:eastAsia="仿宋" w:cs="仿宋"/>
          <w:color w:val="auto"/>
          <w:szCs w:val="21"/>
          <w:highlight w:val="none"/>
        </w:rPr>
      </w:pPr>
      <w:bookmarkStart w:id="471" w:name="_Toc13086"/>
      <w:bookmarkStart w:id="472" w:name="_Toc12609"/>
      <w:bookmarkStart w:id="473" w:name="_Toc30240"/>
      <w:bookmarkStart w:id="474" w:name="_Toc6135"/>
      <w:bookmarkStart w:id="475" w:name="_Toc20663"/>
      <w:bookmarkStart w:id="476" w:name="_Toc10508"/>
      <w:r>
        <w:rPr>
          <w:rFonts w:hint="eastAsia" w:ascii="仿宋" w:hAnsi="仿宋" w:eastAsia="仿宋" w:cs="仿宋"/>
          <w:color w:val="auto"/>
          <w:szCs w:val="21"/>
          <w:highlight w:val="none"/>
        </w:rPr>
        <w:t>1.11 知识产权</w:t>
      </w:r>
      <w:bookmarkEnd w:id="471"/>
      <w:bookmarkEnd w:id="472"/>
      <w:bookmarkEnd w:id="473"/>
      <w:bookmarkEnd w:id="474"/>
      <w:bookmarkEnd w:id="475"/>
      <w:bookmarkEnd w:id="476"/>
    </w:p>
    <w:p w14:paraId="3FBDF06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auto"/>
          <w:szCs w:val="21"/>
          <w:highlight w:val="none"/>
          <w:u w:val="single"/>
        </w:rPr>
        <w:t>归发包人</w:t>
      </w:r>
      <w:r>
        <w:rPr>
          <w:rFonts w:hint="eastAsia" w:ascii="仿宋" w:hAnsi="仿宋" w:eastAsia="仿宋" w:cs="仿宋"/>
          <w:color w:val="auto"/>
          <w:szCs w:val="21"/>
          <w:highlight w:val="none"/>
        </w:rPr>
        <w:t>。</w:t>
      </w:r>
    </w:p>
    <w:p w14:paraId="0E76805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关于发包人提供的上述文件的使用限制的要求</w:t>
      </w:r>
      <w:r>
        <w:rPr>
          <w:rFonts w:hint="eastAsia" w:ascii="仿宋" w:hAnsi="仿宋" w:eastAsia="仿宋" w:cs="仿宋"/>
          <w:color w:val="auto"/>
          <w:szCs w:val="21"/>
          <w:highlight w:val="none"/>
          <w:u w:val="single"/>
          <w:lang w:eastAsia="zh-Hans"/>
        </w:rPr>
        <w:t>： 未经发包人</w:t>
      </w:r>
      <w:r>
        <w:rPr>
          <w:rFonts w:hint="eastAsia" w:ascii="仿宋" w:hAnsi="仿宋" w:eastAsia="仿宋" w:cs="仿宋"/>
          <w:color w:val="auto"/>
          <w:szCs w:val="21"/>
          <w:highlight w:val="none"/>
          <w:u w:val="single"/>
          <w:lang w:val="en-US" w:eastAsia="zh-Hans"/>
        </w:rPr>
        <w:t>书面</w:t>
      </w:r>
      <w:r>
        <w:rPr>
          <w:rFonts w:hint="eastAsia" w:ascii="仿宋" w:hAnsi="仿宋" w:eastAsia="仿宋" w:cs="仿宋"/>
          <w:color w:val="auto"/>
          <w:szCs w:val="21"/>
          <w:highlight w:val="none"/>
          <w:u w:val="single"/>
          <w:lang w:eastAsia="zh-Hans"/>
        </w:rPr>
        <w:t>同意，不得用于</w:t>
      </w:r>
      <w:r>
        <w:rPr>
          <w:rFonts w:hint="eastAsia" w:ascii="仿宋" w:hAnsi="仿宋" w:eastAsia="仿宋" w:cs="仿宋"/>
          <w:color w:val="auto"/>
          <w:szCs w:val="21"/>
          <w:highlight w:val="none"/>
          <w:u w:val="single"/>
          <w:lang w:val="en-US" w:eastAsia="zh-Hans"/>
        </w:rPr>
        <w:t>除本工程以外的任何其他工程或其他用途，且本限制不因本合同的解除、终止、无效等原因而无效，承包人应遵守本限制直至发包人书面通知承包人解除本限制</w:t>
      </w:r>
      <w:r>
        <w:rPr>
          <w:rFonts w:hint="eastAsia" w:ascii="仿宋" w:hAnsi="仿宋" w:eastAsia="仿宋" w:cs="仿宋"/>
          <w:color w:val="auto"/>
          <w:szCs w:val="21"/>
          <w:highlight w:val="none"/>
          <w:u w:val="single"/>
          <w:lang w:eastAsia="zh-Hans"/>
        </w:rPr>
        <w:t>。</w:t>
      </w:r>
    </w:p>
    <w:p w14:paraId="6636E24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1.11.2 关于承包人为实施工程所编制文件的著作权的归属：</w:t>
      </w:r>
      <w:r>
        <w:rPr>
          <w:rFonts w:hint="eastAsia" w:ascii="仿宋" w:hAnsi="仿宋" w:eastAsia="仿宋" w:cs="仿宋"/>
          <w:color w:val="auto"/>
          <w:szCs w:val="21"/>
          <w:highlight w:val="none"/>
          <w:u w:val="single"/>
        </w:rPr>
        <w:t xml:space="preserve"> 归发包人</w:t>
      </w:r>
      <w:r>
        <w:rPr>
          <w:rFonts w:hint="eastAsia" w:ascii="仿宋" w:hAnsi="仿宋" w:eastAsia="仿宋" w:cs="仿宋"/>
          <w:color w:val="auto"/>
          <w:szCs w:val="21"/>
          <w:highlight w:val="none"/>
        </w:rPr>
        <w:t>。</w:t>
      </w:r>
    </w:p>
    <w:p w14:paraId="446FF2E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关于承包人提供的上述文件的使用限制的要求：</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u w:val="single"/>
          <w:lang w:val="en-US" w:eastAsia="zh-Hans"/>
        </w:rPr>
        <w:t>仅</w:t>
      </w:r>
      <w:r>
        <w:rPr>
          <w:rFonts w:hint="eastAsia" w:ascii="仿宋" w:hAnsi="仿宋" w:eastAsia="仿宋" w:cs="仿宋"/>
          <w:color w:val="auto"/>
          <w:szCs w:val="21"/>
          <w:highlight w:val="none"/>
          <w:u w:val="single"/>
        </w:rPr>
        <w:t xml:space="preserve">用于本工程 </w:t>
      </w:r>
      <w:r>
        <w:rPr>
          <w:rFonts w:hint="eastAsia" w:ascii="仿宋" w:hAnsi="仿宋" w:eastAsia="仿宋" w:cs="仿宋"/>
          <w:color w:val="auto"/>
          <w:szCs w:val="21"/>
          <w:highlight w:val="none"/>
        </w:rPr>
        <w:t>。</w:t>
      </w:r>
    </w:p>
    <w:p w14:paraId="5A055DBF">
      <w:pPr>
        <w:adjustRightInd/>
        <w:spacing w:line="400" w:lineRule="exact"/>
        <w:ind w:firstLine="420" w:firstLineChars="200"/>
        <w:outlineLvl w:val="0"/>
        <w:rPr>
          <w:rFonts w:hint="eastAsia" w:ascii="仿宋" w:hAnsi="仿宋" w:eastAsia="仿宋" w:cs="仿宋"/>
          <w:color w:val="auto"/>
          <w:szCs w:val="21"/>
          <w:highlight w:val="none"/>
          <w:u w:val="single"/>
        </w:rPr>
      </w:pPr>
      <w:bookmarkStart w:id="477" w:name="_Toc19984"/>
      <w:bookmarkStart w:id="478" w:name="_Toc20939"/>
      <w:bookmarkStart w:id="479" w:name="_Toc2022"/>
      <w:bookmarkStart w:id="480" w:name="_Toc27901"/>
      <w:bookmarkStart w:id="481" w:name="_Toc14008"/>
      <w:bookmarkStart w:id="482" w:name="_Toc3928"/>
      <w:r>
        <w:rPr>
          <w:rFonts w:hint="eastAsia" w:ascii="仿宋" w:hAnsi="仿宋" w:eastAsia="仿宋" w:cs="仿宋"/>
          <w:color w:val="auto"/>
          <w:szCs w:val="21"/>
          <w:highlight w:val="none"/>
        </w:rPr>
        <w:t>1.11.4 承包人在施工过程中所采用的专利、专有技术、技术秘密的使用费的承担方式：</w:t>
      </w:r>
      <w:r>
        <w:rPr>
          <w:rFonts w:hint="eastAsia" w:ascii="仿宋" w:hAnsi="仿宋" w:eastAsia="仿宋" w:cs="仿宋"/>
          <w:color w:val="auto"/>
          <w:szCs w:val="21"/>
          <w:highlight w:val="none"/>
          <w:u w:val="single"/>
        </w:rPr>
        <w:t xml:space="preserve">（除发包人指明外）承包人在施工过程中所采用的专利、专有技术、技术秘密的使用费包含在合同价款内，同时承包人需保证不会侵犯任何其他第三人的权利 </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lang w:val="en-US" w:eastAsia="zh-Hans"/>
        </w:rPr>
        <w:t>否则</w:t>
      </w:r>
      <w:r>
        <w:rPr>
          <w:rFonts w:hint="eastAsia" w:ascii="仿宋" w:hAnsi="仿宋" w:eastAsia="仿宋" w:cs="仿宋"/>
          <w:color w:val="auto"/>
          <w:szCs w:val="21"/>
          <w:highlight w:val="none"/>
          <w:u w:val="single"/>
          <w:lang w:eastAsia="zh-Hans"/>
        </w:rPr>
        <w:t>，</w:t>
      </w:r>
      <w:r>
        <w:rPr>
          <w:rFonts w:hint="eastAsia" w:ascii="仿宋" w:hAnsi="仿宋" w:eastAsia="仿宋" w:cs="仿宋"/>
          <w:bCs w:val="0"/>
          <w:color w:val="auto"/>
          <w:sz w:val="21"/>
          <w:szCs w:val="21"/>
          <w:highlight w:val="none"/>
          <w:u w:val="single"/>
          <w:lang w:val="en-US" w:eastAsia="zh-CN"/>
        </w:rPr>
        <w:t>承包人</w:t>
      </w:r>
      <w:r>
        <w:rPr>
          <w:rFonts w:hint="eastAsia" w:ascii="仿宋" w:hAnsi="仿宋" w:eastAsia="仿宋" w:cs="仿宋"/>
          <w:bCs w:val="0"/>
          <w:color w:val="auto"/>
          <w:sz w:val="21"/>
          <w:szCs w:val="21"/>
          <w:highlight w:val="none"/>
          <w:u w:val="single"/>
        </w:rPr>
        <w:t>应负责消除</w:t>
      </w:r>
      <w:r>
        <w:rPr>
          <w:rFonts w:hint="eastAsia" w:ascii="仿宋" w:hAnsi="仿宋" w:eastAsia="仿宋" w:cs="仿宋"/>
          <w:bCs w:val="0"/>
          <w:color w:val="auto"/>
          <w:sz w:val="21"/>
          <w:szCs w:val="21"/>
          <w:highlight w:val="none"/>
          <w:u w:val="single"/>
          <w:lang w:val="en-US" w:eastAsia="zh-CN"/>
        </w:rPr>
        <w:t>影响及所</w:t>
      </w:r>
      <w:r>
        <w:rPr>
          <w:rFonts w:hint="eastAsia" w:ascii="仿宋" w:hAnsi="仿宋" w:eastAsia="仿宋" w:cs="仿宋"/>
          <w:bCs w:val="0"/>
          <w:color w:val="auto"/>
          <w:sz w:val="21"/>
          <w:szCs w:val="21"/>
          <w:highlight w:val="none"/>
          <w:u w:val="single"/>
          <w:lang w:val="en-US" w:eastAsia="zh-Hans"/>
        </w:rPr>
        <w:t>采用</w:t>
      </w:r>
      <w:r>
        <w:rPr>
          <w:rFonts w:hint="eastAsia" w:ascii="仿宋" w:hAnsi="仿宋" w:eastAsia="仿宋" w:cs="仿宋"/>
          <w:bCs w:val="0"/>
          <w:color w:val="auto"/>
          <w:sz w:val="21"/>
          <w:szCs w:val="21"/>
          <w:highlight w:val="none"/>
          <w:u w:val="single"/>
          <w:lang w:val="en-US" w:eastAsia="zh-CN"/>
        </w:rPr>
        <w:t>的</w:t>
      </w:r>
      <w:r>
        <w:rPr>
          <w:rFonts w:hint="eastAsia" w:ascii="仿宋" w:hAnsi="仿宋" w:eastAsia="仿宋" w:cs="仿宋"/>
          <w:color w:val="auto"/>
          <w:szCs w:val="21"/>
          <w:highlight w:val="none"/>
          <w:u w:val="single"/>
        </w:rPr>
        <w:t>专利、专有技术、技术秘密</w:t>
      </w:r>
      <w:r>
        <w:rPr>
          <w:rFonts w:hint="eastAsia" w:ascii="仿宋" w:hAnsi="仿宋" w:eastAsia="仿宋" w:cs="仿宋"/>
          <w:bCs w:val="0"/>
          <w:color w:val="auto"/>
          <w:sz w:val="21"/>
          <w:szCs w:val="21"/>
          <w:highlight w:val="none"/>
          <w:u w:val="single"/>
          <w:lang w:val="en-US" w:eastAsia="zh-CN"/>
        </w:rPr>
        <w:t>或其任何一部分上</w:t>
      </w:r>
      <w:r>
        <w:rPr>
          <w:rFonts w:hint="eastAsia" w:ascii="仿宋" w:hAnsi="仿宋" w:eastAsia="仿宋" w:cs="仿宋"/>
          <w:bCs w:val="0"/>
          <w:color w:val="auto"/>
          <w:spacing w:val="0"/>
          <w:sz w:val="21"/>
          <w:szCs w:val="21"/>
          <w:highlight w:val="none"/>
          <w:u w:val="single"/>
        </w:rPr>
        <w:t>所存在的全部法律障碍，</w:t>
      </w:r>
      <w:r>
        <w:rPr>
          <w:rFonts w:hint="eastAsia" w:ascii="仿宋" w:hAnsi="仿宋" w:eastAsia="仿宋" w:cs="仿宋"/>
          <w:bCs w:val="0"/>
          <w:color w:val="auto"/>
          <w:spacing w:val="0"/>
          <w:sz w:val="21"/>
          <w:szCs w:val="21"/>
          <w:highlight w:val="none"/>
          <w:u w:val="single"/>
          <w:lang w:val="en-US" w:eastAsia="zh-CN"/>
        </w:rPr>
        <w:t>并对由此引起的纠纷和罚款等负责</w:t>
      </w:r>
      <w:r>
        <w:rPr>
          <w:rFonts w:hint="default" w:ascii="仿宋" w:hAnsi="仿宋" w:eastAsia="仿宋" w:cs="仿宋"/>
          <w:bCs w:val="0"/>
          <w:color w:val="auto"/>
          <w:spacing w:val="0"/>
          <w:sz w:val="21"/>
          <w:szCs w:val="21"/>
          <w:highlight w:val="none"/>
          <w:u w:val="single"/>
          <w:lang w:eastAsia="zh-CN"/>
        </w:rPr>
        <w:t>，</w:t>
      </w:r>
      <w:r>
        <w:rPr>
          <w:rFonts w:hint="eastAsia" w:ascii="仿宋" w:hAnsi="仿宋" w:eastAsia="仿宋" w:cs="仿宋"/>
          <w:bCs w:val="0"/>
          <w:color w:val="auto"/>
          <w:spacing w:val="0"/>
          <w:sz w:val="21"/>
          <w:szCs w:val="21"/>
          <w:highlight w:val="none"/>
          <w:u w:val="single"/>
          <w:lang w:val="en-US" w:eastAsia="zh-Hans"/>
        </w:rPr>
        <w:t>同时</w:t>
      </w:r>
      <w:r>
        <w:rPr>
          <w:rFonts w:hint="eastAsia" w:ascii="仿宋" w:hAnsi="仿宋" w:eastAsia="仿宋" w:cs="仿宋"/>
          <w:color w:val="auto"/>
          <w:szCs w:val="21"/>
          <w:highlight w:val="none"/>
          <w:u w:val="single"/>
          <w:lang w:val="en-US" w:eastAsia="zh-Hans"/>
        </w:rPr>
        <w:t>需承担因此给发包人造成的全部损失</w:t>
      </w:r>
      <w:r>
        <w:rPr>
          <w:rFonts w:hint="eastAsia" w:ascii="仿宋" w:hAnsi="仿宋" w:eastAsia="仿宋" w:cs="仿宋"/>
          <w:color w:val="auto"/>
          <w:szCs w:val="21"/>
          <w:highlight w:val="none"/>
          <w:u w:val="single"/>
        </w:rPr>
        <w:t xml:space="preserve"> 。</w:t>
      </w:r>
      <w:bookmarkEnd w:id="477"/>
      <w:bookmarkEnd w:id="478"/>
      <w:bookmarkEnd w:id="479"/>
      <w:bookmarkEnd w:id="480"/>
      <w:bookmarkEnd w:id="481"/>
      <w:bookmarkEnd w:id="482"/>
    </w:p>
    <w:p w14:paraId="1D0F0FE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1.13工程量清单错误的修正</w:t>
      </w:r>
    </w:p>
    <w:p w14:paraId="7F0DAF9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出现工程量清单错误时，是否调整合同价格：</w:t>
      </w:r>
      <w:r>
        <w:rPr>
          <w:rFonts w:hint="eastAsia" w:ascii="仿宋" w:hAnsi="仿宋" w:eastAsia="仿宋" w:cs="仿宋"/>
          <w:color w:val="auto"/>
          <w:szCs w:val="21"/>
          <w:highlight w:val="none"/>
          <w:u w:val="single"/>
        </w:rPr>
        <w:t xml:space="preserve">  是  </w:t>
      </w:r>
      <w:r>
        <w:rPr>
          <w:rFonts w:hint="eastAsia" w:ascii="仿宋" w:hAnsi="仿宋" w:eastAsia="仿宋" w:cs="仿宋"/>
          <w:color w:val="auto"/>
          <w:szCs w:val="21"/>
          <w:highlight w:val="none"/>
        </w:rPr>
        <w:t>。</w:t>
      </w:r>
    </w:p>
    <w:p w14:paraId="29D1F0F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允许调整合同价格的工程量偏差范围：</w:t>
      </w:r>
      <w:r>
        <w:rPr>
          <w:rFonts w:hint="eastAsia" w:ascii="仿宋" w:hAnsi="仿宋" w:eastAsia="仿宋" w:cs="仿宋"/>
          <w:color w:val="auto"/>
          <w:szCs w:val="21"/>
          <w:highlight w:val="none"/>
          <w:u w:val="single"/>
        </w:rPr>
        <w:t xml:space="preserve">（1） 固定单价合同的工程量在结算时按实结算，调整的原则参照10.4变更估价。（2）调整合同价格的修正时间：在竣工结算时审核后调整 </w:t>
      </w:r>
      <w:r>
        <w:rPr>
          <w:rFonts w:hint="eastAsia" w:ascii="仿宋" w:hAnsi="仿宋" w:eastAsia="仿宋" w:cs="仿宋"/>
          <w:color w:val="auto"/>
          <w:szCs w:val="21"/>
          <w:highlight w:val="none"/>
        </w:rPr>
        <w:t>。</w:t>
      </w:r>
    </w:p>
    <w:p w14:paraId="335D79C8">
      <w:pPr>
        <w:keepNext/>
        <w:keepLines/>
        <w:adjustRightInd/>
        <w:spacing w:line="400" w:lineRule="exact"/>
        <w:outlineLvl w:val="3"/>
        <w:rPr>
          <w:rFonts w:hint="eastAsia" w:ascii="仿宋" w:hAnsi="仿宋" w:eastAsia="仿宋" w:cs="仿宋"/>
          <w:bCs/>
          <w:color w:val="auto"/>
          <w:szCs w:val="21"/>
          <w:highlight w:val="none"/>
        </w:rPr>
      </w:pPr>
      <w:bookmarkStart w:id="483" w:name="_Toc351203634"/>
      <w:r>
        <w:rPr>
          <w:rFonts w:hint="eastAsia" w:ascii="仿宋" w:hAnsi="仿宋" w:eastAsia="仿宋" w:cs="仿宋"/>
          <w:bCs/>
          <w:color w:val="auto"/>
          <w:szCs w:val="21"/>
          <w:highlight w:val="none"/>
        </w:rPr>
        <w:t>2</w:t>
      </w:r>
      <w:bookmarkStart w:id="484" w:name="_Toc292559362"/>
      <w:bookmarkStart w:id="485" w:name="_Toc296503157"/>
      <w:bookmarkStart w:id="486" w:name="_Toc296346658"/>
      <w:bookmarkStart w:id="487" w:name="_Toc292559867"/>
      <w:bookmarkStart w:id="488" w:name="_Toc296890985"/>
      <w:bookmarkStart w:id="489" w:name="_Toc296944496"/>
      <w:bookmarkStart w:id="490" w:name="_Toc296347156"/>
      <w:bookmarkStart w:id="491" w:name="_Toc297120457"/>
      <w:bookmarkStart w:id="492" w:name="_Toc297048343"/>
      <w:bookmarkStart w:id="493" w:name="_Toc296891197"/>
      <w:r>
        <w:rPr>
          <w:rFonts w:hint="eastAsia" w:ascii="仿宋" w:hAnsi="仿宋" w:eastAsia="仿宋" w:cs="仿宋"/>
          <w:bCs/>
          <w:color w:val="auto"/>
          <w:szCs w:val="21"/>
          <w:highlight w:val="none"/>
        </w:rPr>
        <w:t>. 发包人</w:t>
      </w:r>
      <w:bookmarkEnd w:id="483"/>
    </w:p>
    <w:bookmarkEnd w:id="484"/>
    <w:bookmarkEnd w:id="485"/>
    <w:bookmarkEnd w:id="486"/>
    <w:bookmarkEnd w:id="487"/>
    <w:bookmarkEnd w:id="488"/>
    <w:bookmarkEnd w:id="489"/>
    <w:bookmarkEnd w:id="490"/>
    <w:bookmarkEnd w:id="491"/>
    <w:bookmarkEnd w:id="492"/>
    <w:bookmarkEnd w:id="493"/>
    <w:p w14:paraId="5C67C775">
      <w:pPr>
        <w:adjustRightInd/>
        <w:spacing w:line="400" w:lineRule="exact"/>
        <w:ind w:firstLine="420" w:firstLineChars="200"/>
        <w:outlineLvl w:val="0"/>
        <w:rPr>
          <w:rFonts w:hint="eastAsia" w:ascii="仿宋" w:hAnsi="仿宋" w:eastAsia="仿宋" w:cs="仿宋"/>
          <w:color w:val="auto"/>
          <w:szCs w:val="21"/>
          <w:highlight w:val="none"/>
        </w:rPr>
      </w:pPr>
      <w:bookmarkStart w:id="494" w:name="_Toc2439"/>
      <w:bookmarkStart w:id="495" w:name="_Toc28237"/>
      <w:bookmarkStart w:id="496" w:name="_Toc2698"/>
      <w:bookmarkStart w:id="497" w:name="_Toc18299"/>
      <w:bookmarkStart w:id="498" w:name="_Toc12738"/>
      <w:bookmarkStart w:id="499" w:name="_Toc2298"/>
      <w:r>
        <w:rPr>
          <w:rFonts w:hint="eastAsia" w:ascii="仿宋" w:hAnsi="仿宋" w:eastAsia="仿宋" w:cs="仿宋"/>
          <w:color w:val="auto"/>
          <w:szCs w:val="21"/>
          <w:highlight w:val="none"/>
        </w:rPr>
        <w:t>2.2 发包人代表</w:t>
      </w:r>
      <w:bookmarkEnd w:id="494"/>
      <w:bookmarkEnd w:id="495"/>
      <w:bookmarkEnd w:id="496"/>
      <w:bookmarkEnd w:id="497"/>
      <w:bookmarkEnd w:id="498"/>
      <w:bookmarkEnd w:id="499"/>
    </w:p>
    <w:p w14:paraId="4513DFB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发包人代表：</w:t>
      </w:r>
    </w:p>
    <w:p w14:paraId="068D9AD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    名：</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3204AA9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身份证号：</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1719355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    务：</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27C4C90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single"/>
        </w:rPr>
        <w:t>     </w:t>
      </w:r>
      <w:r>
        <w:rPr>
          <w:rFonts w:hint="eastAsia" w:ascii="仿宋" w:hAnsi="仿宋" w:eastAsia="仿宋" w:cs="仿宋"/>
          <w:color w:val="auto"/>
          <w:szCs w:val="21"/>
          <w:highlight w:val="none"/>
        </w:rPr>
        <w:t>；</w:t>
      </w:r>
    </w:p>
    <w:p w14:paraId="72DE763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电子信箱：</w:t>
      </w:r>
      <w:r>
        <w:rPr>
          <w:rFonts w:hint="eastAsia" w:ascii="仿宋" w:hAnsi="仿宋" w:eastAsia="仿宋" w:cs="仿宋"/>
          <w:color w:val="auto"/>
          <w:szCs w:val="21"/>
          <w:highlight w:val="none"/>
          <w:u w:val="single"/>
        </w:rPr>
        <w:t>     </w:t>
      </w:r>
      <w:r>
        <w:rPr>
          <w:rFonts w:hint="eastAsia" w:ascii="仿宋" w:hAnsi="仿宋" w:eastAsia="仿宋" w:cs="仿宋"/>
          <w:color w:val="auto"/>
          <w:szCs w:val="21"/>
          <w:highlight w:val="none"/>
        </w:rPr>
        <w:t>；</w:t>
      </w:r>
    </w:p>
    <w:p w14:paraId="4F98400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通信地址：</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266CCFAC">
      <w:pPr>
        <w:adjustRightInd/>
        <w:spacing w:line="400" w:lineRule="exact"/>
        <w:ind w:firstLine="420" w:firstLineChars="200"/>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发包人对发包人代表的授权范围如下：</w:t>
      </w:r>
      <w:r>
        <w:rPr>
          <w:rFonts w:hint="eastAsia" w:ascii="仿宋" w:hAnsi="仿宋" w:eastAsia="仿宋" w:cs="仿宋"/>
          <w:color w:val="auto"/>
          <w:szCs w:val="21"/>
          <w:highlight w:val="none"/>
          <w:u w:val="single"/>
        </w:rPr>
        <w:t xml:space="preserve">对工程质量、安全、进度、投资、安全文明施工、合同执行情况等进行全面管理和监督，对设计变更、联系单及工程进度款签证。发包人有权调整发包人代表的授权范围。发包人调整授权范围的，应向承包人发出通知，承包人应按照发包人的通知办理。 </w:t>
      </w:r>
    </w:p>
    <w:p w14:paraId="5F114FC8">
      <w:pPr>
        <w:adjustRightInd/>
        <w:spacing w:line="400" w:lineRule="exact"/>
        <w:ind w:firstLine="420" w:firstLineChars="200"/>
        <w:outlineLvl w:val="0"/>
        <w:rPr>
          <w:rFonts w:hint="eastAsia" w:ascii="仿宋" w:hAnsi="仿宋" w:eastAsia="仿宋" w:cs="仿宋"/>
          <w:color w:val="auto"/>
          <w:szCs w:val="21"/>
          <w:highlight w:val="none"/>
        </w:rPr>
      </w:pPr>
      <w:bookmarkStart w:id="500" w:name="_Toc10089"/>
      <w:bookmarkStart w:id="501" w:name="_Toc32311"/>
      <w:bookmarkStart w:id="502" w:name="_Toc22156"/>
      <w:bookmarkStart w:id="503" w:name="_Toc23588"/>
      <w:bookmarkStart w:id="504" w:name="_Toc13428"/>
      <w:bookmarkStart w:id="505" w:name="_Toc12804"/>
      <w:r>
        <w:rPr>
          <w:rFonts w:hint="eastAsia" w:ascii="仿宋" w:hAnsi="仿宋" w:eastAsia="仿宋" w:cs="仿宋"/>
          <w:color w:val="auto"/>
          <w:szCs w:val="21"/>
          <w:highlight w:val="none"/>
        </w:rPr>
        <w:t>2.4 施工现场、施工条件和基础资料的提供</w:t>
      </w:r>
      <w:bookmarkEnd w:id="500"/>
      <w:bookmarkEnd w:id="501"/>
      <w:bookmarkEnd w:id="502"/>
      <w:bookmarkEnd w:id="503"/>
      <w:bookmarkEnd w:id="504"/>
      <w:bookmarkEnd w:id="505"/>
    </w:p>
    <w:p w14:paraId="18904F5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2.4.1 提供施工现场</w:t>
      </w:r>
    </w:p>
    <w:p w14:paraId="4D3AF21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关于发包人移交施工现场的期限要求：</w:t>
      </w:r>
      <w:r>
        <w:rPr>
          <w:rFonts w:hint="eastAsia" w:ascii="仿宋" w:hAnsi="仿宋" w:eastAsia="仿宋" w:cs="仿宋"/>
          <w:color w:val="auto"/>
          <w:szCs w:val="21"/>
          <w:highlight w:val="none"/>
          <w:u w:val="single"/>
        </w:rPr>
        <w:t xml:space="preserve">开工前7天移交  </w:t>
      </w:r>
      <w:r>
        <w:rPr>
          <w:rFonts w:hint="eastAsia" w:ascii="仿宋" w:hAnsi="仿宋" w:eastAsia="仿宋" w:cs="仿宋"/>
          <w:color w:val="auto"/>
          <w:szCs w:val="21"/>
          <w:highlight w:val="none"/>
        </w:rPr>
        <w:t>。</w:t>
      </w:r>
    </w:p>
    <w:p w14:paraId="150F228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2.4.2 提供施工条件</w:t>
      </w:r>
    </w:p>
    <w:p w14:paraId="567D153C">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关于发包人应负责提供施工所需要的条件，包括：</w:t>
      </w:r>
      <w:r>
        <w:rPr>
          <w:rFonts w:hint="eastAsia" w:ascii="仿宋" w:hAnsi="仿宋" w:eastAsia="仿宋" w:cs="仿宋"/>
          <w:color w:val="auto"/>
          <w:szCs w:val="21"/>
          <w:highlight w:val="none"/>
          <w:u w:val="single"/>
        </w:rPr>
        <w:t xml:space="preserve"> 提供用于本工程的水准点、坐标控制点；其余施工所需条件均由承包人负责，并承担相关费用，在结算时不予调整。水准点与坐标点交验完毕即由承包人负责保护，此后由于破坏和失准带来的重新测量、放点费用及由此造成的其他损失均由承包人承担 </w:t>
      </w:r>
      <w:r>
        <w:rPr>
          <w:rFonts w:hint="eastAsia" w:ascii="仿宋" w:hAnsi="仿宋" w:eastAsia="仿宋" w:cs="仿宋"/>
          <w:color w:val="auto"/>
          <w:szCs w:val="21"/>
          <w:highlight w:val="none"/>
        </w:rPr>
        <w:t>。</w:t>
      </w:r>
    </w:p>
    <w:p w14:paraId="52287BE4">
      <w:pPr>
        <w:adjustRightInd/>
        <w:spacing w:line="400" w:lineRule="exact"/>
        <w:ind w:firstLine="420" w:firstLineChars="200"/>
        <w:outlineLvl w:val="0"/>
        <w:rPr>
          <w:rFonts w:hint="eastAsia" w:ascii="仿宋" w:hAnsi="仿宋" w:eastAsia="仿宋" w:cs="仿宋"/>
          <w:color w:val="auto"/>
          <w:szCs w:val="21"/>
          <w:highlight w:val="none"/>
        </w:rPr>
      </w:pPr>
      <w:bookmarkStart w:id="506" w:name="_Toc21675"/>
      <w:bookmarkStart w:id="507" w:name="_Toc3066"/>
      <w:bookmarkStart w:id="508" w:name="_Toc8543"/>
      <w:bookmarkStart w:id="509" w:name="_Toc25543"/>
      <w:bookmarkStart w:id="510" w:name="_Toc2162"/>
      <w:bookmarkStart w:id="511" w:name="_Toc13044"/>
      <w:r>
        <w:rPr>
          <w:rFonts w:hint="eastAsia" w:ascii="仿宋" w:hAnsi="仿宋" w:eastAsia="仿宋" w:cs="仿宋"/>
          <w:color w:val="auto"/>
          <w:szCs w:val="21"/>
          <w:highlight w:val="none"/>
        </w:rPr>
        <w:t>2.5 资金来源证明及支付担保</w:t>
      </w:r>
      <w:bookmarkEnd w:id="506"/>
      <w:bookmarkEnd w:id="507"/>
      <w:bookmarkEnd w:id="508"/>
      <w:bookmarkEnd w:id="509"/>
      <w:bookmarkEnd w:id="510"/>
      <w:bookmarkEnd w:id="511"/>
    </w:p>
    <w:p w14:paraId="5184C71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发包人提供资金来源证明的期限要求：</w:t>
      </w:r>
      <w:r>
        <w:rPr>
          <w:rFonts w:hint="eastAsia" w:ascii="仿宋" w:hAnsi="仿宋" w:eastAsia="仿宋" w:cs="仿宋"/>
          <w:color w:val="auto"/>
          <w:szCs w:val="21"/>
          <w:highlight w:val="none"/>
          <w:u w:val="single"/>
        </w:rPr>
        <w:t></w:t>
      </w:r>
      <w:bookmarkStart w:id="512" w:name="_Hlk33896154"/>
      <w:r>
        <w:rPr>
          <w:rFonts w:hint="eastAsia" w:ascii="仿宋" w:hAnsi="仿宋" w:eastAsia="仿宋" w:cs="仿宋"/>
          <w:color w:val="auto"/>
          <w:szCs w:val="21"/>
          <w:highlight w:val="none"/>
          <w:u w:val="single"/>
        </w:rPr>
        <w:t>发包人不提供资金证明，无提供资金证明的期限要求</w:t>
      </w:r>
      <w:bookmarkEnd w:id="512"/>
      <w:r>
        <w:rPr>
          <w:rFonts w:hint="eastAsia" w:ascii="仿宋" w:hAnsi="仿宋" w:eastAsia="仿宋" w:cs="仿宋"/>
          <w:color w:val="auto"/>
          <w:szCs w:val="21"/>
          <w:highlight w:val="none"/>
        </w:rPr>
        <w:t>。</w:t>
      </w:r>
    </w:p>
    <w:p w14:paraId="014822F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发包人是否提供支付担保：</w:t>
      </w:r>
      <w:bookmarkStart w:id="513" w:name="_Hlk33896161"/>
      <w:r>
        <w:rPr>
          <w:rFonts w:hint="eastAsia" w:ascii="仿宋" w:hAnsi="仿宋" w:eastAsia="仿宋" w:cs="仿宋"/>
          <w:color w:val="auto"/>
          <w:szCs w:val="21"/>
          <w:highlight w:val="none"/>
          <w:u w:val="single"/>
        </w:rPr>
        <w:t>是</w:t>
      </w:r>
      <w:bookmarkEnd w:id="513"/>
      <w:r>
        <w:rPr>
          <w:rFonts w:hint="eastAsia" w:ascii="仿宋" w:hAnsi="仿宋" w:eastAsia="仿宋" w:cs="仿宋"/>
          <w:color w:val="auto"/>
          <w:szCs w:val="21"/>
          <w:highlight w:val="none"/>
        </w:rPr>
        <w:t>。</w:t>
      </w:r>
    </w:p>
    <w:p w14:paraId="2494FC01">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发包人提供支付担保的形式：</w:t>
      </w:r>
      <w:r>
        <w:rPr>
          <w:rFonts w:hint="eastAsia" w:ascii="仿宋" w:hAnsi="仿宋" w:eastAsia="仿宋" w:cs="仿宋"/>
          <w:color w:val="auto"/>
          <w:szCs w:val="21"/>
          <w:highlight w:val="none"/>
          <w:u w:val="single"/>
        </w:rPr>
        <w:t></w:t>
      </w:r>
      <w:bookmarkStart w:id="514" w:name="_Hlk33896168"/>
      <w:r>
        <w:rPr>
          <w:rFonts w:hint="eastAsia" w:ascii="仿宋" w:hAnsi="仿宋" w:eastAsia="仿宋" w:cs="仿宋"/>
          <w:color w:val="auto"/>
          <w:szCs w:val="21"/>
          <w:highlight w:val="none"/>
          <w:u w:val="single"/>
        </w:rPr>
        <w:t>现金、支票、汇票、转账、银行保函或者保险公司保函</w:t>
      </w:r>
      <w:bookmarkEnd w:id="514"/>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w:t>
      </w:r>
    </w:p>
    <w:p w14:paraId="46E75E30">
      <w:pPr>
        <w:keepNext/>
        <w:keepLines/>
        <w:adjustRightInd/>
        <w:spacing w:line="400" w:lineRule="exact"/>
        <w:outlineLvl w:val="3"/>
        <w:rPr>
          <w:rFonts w:hint="eastAsia" w:ascii="仿宋" w:hAnsi="仿宋" w:eastAsia="仿宋" w:cs="仿宋"/>
          <w:bCs/>
          <w:color w:val="auto"/>
          <w:szCs w:val="21"/>
          <w:highlight w:val="none"/>
        </w:rPr>
      </w:pPr>
      <w:bookmarkStart w:id="515" w:name="_Toc351203635"/>
      <w:r>
        <w:rPr>
          <w:rFonts w:hint="eastAsia" w:ascii="仿宋" w:hAnsi="仿宋" w:eastAsia="仿宋" w:cs="仿宋"/>
          <w:bCs/>
          <w:color w:val="auto"/>
          <w:szCs w:val="21"/>
          <w:highlight w:val="none"/>
        </w:rPr>
        <w:t>3</w:t>
      </w:r>
      <w:bookmarkStart w:id="516" w:name="_Toc296503158"/>
      <w:bookmarkStart w:id="517" w:name="_Toc297048344"/>
      <w:bookmarkStart w:id="518" w:name="_Toc292559868"/>
      <w:bookmarkStart w:id="519" w:name="_Toc296347157"/>
      <w:bookmarkStart w:id="520" w:name="_Toc296890986"/>
      <w:bookmarkStart w:id="521" w:name="_Toc296346659"/>
      <w:bookmarkStart w:id="522" w:name="_Toc292559363"/>
      <w:bookmarkStart w:id="523" w:name="_Toc296944497"/>
      <w:bookmarkStart w:id="524" w:name="_Toc297120458"/>
      <w:bookmarkStart w:id="525" w:name="_Toc296891198"/>
      <w:r>
        <w:rPr>
          <w:rFonts w:hint="eastAsia" w:ascii="仿宋" w:hAnsi="仿宋" w:eastAsia="仿宋" w:cs="仿宋"/>
          <w:bCs/>
          <w:color w:val="auto"/>
          <w:szCs w:val="21"/>
          <w:highlight w:val="none"/>
        </w:rPr>
        <w:t>. 承包人</w:t>
      </w:r>
      <w:bookmarkEnd w:id="515"/>
    </w:p>
    <w:bookmarkEnd w:id="516"/>
    <w:bookmarkEnd w:id="517"/>
    <w:bookmarkEnd w:id="518"/>
    <w:bookmarkEnd w:id="519"/>
    <w:bookmarkEnd w:id="520"/>
    <w:bookmarkEnd w:id="521"/>
    <w:bookmarkEnd w:id="522"/>
    <w:bookmarkEnd w:id="523"/>
    <w:bookmarkEnd w:id="524"/>
    <w:bookmarkEnd w:id="525"/>
    <w:p w14:paraId="01CE3EB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3.1 承包人的一般义务</w:t>
      </w:r>
    </w:p>
    <w:p w14:paraId="1F82C6F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（9）承包人提交的竣工资料的内容：</w:t>
      </w:r>
      <w:r>
        <w:rPr>
          <w:rFonts w:hint="eastAsia" w:ascii="仿宋" w:hAnsi="仿宋" w:eastAsia="仿宋" w:cs="仿宋"/>
          <w:color w:val="auto"/>
          <w:szCs w:val="21"/>
          <w:highlight w:val="none"/>
          <w:u w:val="single"/>
        </w:rPr>
        <w:t xml:space="preserve">   按《建筑工程资料管理规程》JGJ／T185-2009、《建筑工程资料归档规范》GB/T 50328-2014、杭州市城建档案馆、相关部门及发包人资料归档要求 </w:t>
      </w:r>
      <w:r>
        <w:rPr>
          <w:rFonts w:hint="eastAsia" w:ascii="仿宋" w:hAnsi="仿宋" w:eastAsia="仿宋" w:cs="仿宋"/>
          <w:color w:val="auto"/>
          <w:szCs w:val="21"/>
          <w:highlight w:val="none"/>
        </w:rPr>
        <w:t>。</w:t>
      </w:r>
    </w:p>
    <w:p w14:paraId="0549018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承包人需要提交的竣工资料套数：</w:t>
      </w:r>
      <w:r>
        <w:rPr>
          <w:rFonts w:hint="eastAsia" w:ascii="仿宋" w:hAnsi="仿宋" w:eastAsia="仿宋" w:cs="仿宋"/>
          <w:color w:val="auto"/>
          <w:szCs w:val="21"/>
          <w:highlight w:val="none"/>
          <w:u w:val="single"/>
        </w:rPr>
        <w:t xml:space="preserve"> 8 套竣工图、8 套竣工资料和电子版竣工图及资料光盘一张 </w:t>
      </w:r>
      <w:r>
        <w:rPr>
          <w:rFonts w:hint="eastAsia" w:ascii="仿宋" w:hAnsi="仿宋" w:eastAsia="仿宋" w:cs="仿宋"/>
          <w:color w:val="auto"/>
          <w:szCs w:val="21"/>
          <w:highlight w:val="none"/>
        </w:rPr>
        <w:t>。</w:t>
      </w:r>
    </w:p>
    <w:p w14:paraId="683F0FF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承包人提交的竣工资料的费用承担：</w:t>
      </w:r>
      <w:r>
        <w:rPr>
          <w:rFonts w:hint="eastAsia" w:ascii="仿宋" w:hAnsi="仿宋" w:eastAsia="仿宋" w:cs="仿宋"/>
          <w:color w:val="auto"/>
          <w:szCs w:val="21"/>
          <w:highlight w:val="none"/>
          <w:u w:val="single"/>
        </w:rPr>
        <w:t xml:space="preserve">  承包人自行承担   </w:t>
      </w:r>
      <w:r>
        <w:rPr>
          <w:rFonts w:hint="eastAsia" w:ascii="仿宋" w:hAnsi="仿宋" w:eastAsia="仿宋" w:cs="仿宋"/>
          <w:color w:val="auto"/>
          <w:szCs w:val="21"/>
          <w:highlight w:val="none"/>
        </w:rPr>
        <w:t>。</w:t>
      </w:r>
    </w:p>
    <w:p w14:paraId="56BD37F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承包人提交的竣工资料移交时间：</w:t>
      </w:r>
      <w:r>
        <w:rPr>
          <w:rFonts w:hint="eastAsia" w:ascii="仿宋" w:hAnsi="仿宋" w:eastAsia="仿宋" w:cs="仿宋"/>
          <w:color w:val="auto"/>
          <w:szCs w:val="21"/>
          <w:highlight w:val="none"/>
          <w:u w:val="single"/>
        </w:rPr>
        <w:t xml:space="preserve">  竣工验收合格后28天内    </w:t>
      </w:r>
      <w:r>
        <w:rPr>
          <w:rFonts w:hint="eastAsia" w:ascii="仿宋" w:hAnsi="仿宋" w:eastAsia="仿宋" w:cs="仿宋"/>
          <w:color w:val="auto"/>
          <w:szCs w:val="21"/>
          <w:highlight w:val="none"/>
        </w:rPr>
        <w:t>。</w:t>
      </w:r>
    </w:p>
    <w:p w14:paraId="5703F49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承包人提交的竣工资料形式要求：</w:t>
      </w:r>
      <w:r>
        <w:rPr>
          <w:rFonts w:hint="eastAsia" w:ascii="仿宋" w:hAnsi="仿宋" w:eastAsia="仿宋" w:cs="仿宋"/>
          <w:color w:val="auto"/>
          <w:szCs w:val="21"/>
          <w:highlight w:val="none"/>
          <w:u w:val="single"/>
        </w:rPr>
        <w:t xml:space="preserve"> 按《建筑工程资料管理规程》JGJ／T185-2009、《建筑工程资料归档规范》GB/T 50328-2014、杭州市城建档馆、相关部门及发包人资料归档要求(包括但不仅限于电子存档等)，若需档案馆重新整理，费用由承包人承担   </w:t>
      </w:r>
      <w:r>
        <w:rPr>
          <w:rFonts w:hint="eastAsia" w:ascii="仿宋" w:hAnsi="仿宋" w:eastAsia="仿宋" w:cs="仿宋"/>
          <w:color w:val="auto"/>
          <w:szCs w:val="21"/>
          <w:highlight w:val="none"/>
        </w:rPr>
        <w:t>。</w:t>
      </w:r>
    </w:p>
    <w:p w14:paraId="38D529E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（10）承包人应履行的其他义务：按约定时间和要求，完成以下工作（费用列入投标总价）：</w:t>
      </w:r>
    </w:p>
    <w:p w14:paraId="7D61251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a、应提供计划、报表的名称及完成时间：在合同签署后7天内,承包人向发包人提供施工组织设计、工程总进度计划、周进度计划和材料供应计划（包括品种、规格、型号、数量、质量等级、供应时间和送达地点等），每月25提供下月进度计划及当月工程统计报表，上报发包人核定。如工程师另有要求时,还应按工程师指定的进度提交单位工程的进度计划。各类计划、文件均需一式【肆】份。</w:t>
      </w:r>
    </w:p>
    <w:p w14:paraId="1891271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b、承担施工安全保卫工作及非夜间施工照明的责任和要求：按照杭州市当地建筑工地安全文明施工管理规定执行。承包人应加强施工的安全生产管理，制定安全操作规程，保证工程施工的安全，承包人应教育其职工进行文明施工，配备必要的安全生产设施和劳动保护用具。承包人应对其管辖范围内的人员和设备（包括业主及监理单位的人员和设备）以及工程的安全负责，应负责做好其所辖人员的工作场所和居住区的日常治安管理和安全保护工作。承包人必须注意保护工地邻近建筑物和附近居民的安全，防止因施工措施不当使附近居民的人员财产遭受损失，否则承包人负全责。承包人必须对施工现场的用电安全负责。施工现场用电必须遵照杭州市建委颁布的施工现场用电管理条例执行。在工地现场做好警戒告示牌，提醒进入施工现场人员的注意。以上内容发生的费用和责任全部由承包人承担。</w:t>
      </w:r>
    </w:p>
    <w:p w14:paraId="667C3A0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c、向发包人提供的办公和生活房屋及设施的要求：</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rPr>
        <w:t>。</w:t>
      </w:r>
    </w:p>
    <w:p w14:paraId="59F42FC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d、需承包人办理的有关施工场地交通、环卫和施工噪音管理等手续：按通用条款及有关政府部门的管理规定和发包人的要求做好降噪工作、环境保护、交通秩序、光污染等工作，费用由承包人自理。承包人在办好后应书面通知发包人。如发包人因此被罚款的，其款项由承包人承担，并在进度款中直接扣除。</w:t>
      </w:r>
    </w:p>
    <w:p w14:paraId="4C27624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e、已完工程成品保护的特殊要求及费用承担：工程未经竣工验收合格、交付发包人</w:t>
      </w:r>
      <w:r>
        <w:rPr>
          <w:rFonts w:hint="eastAsia" w:ascii="仿宋" w:hAnsi="仿宋" w:eastAsia="仿宋" w:cs="仿宋"/>
          <w:color w:val="auto"/>
          <w:szCs w:val="21"/>
          <w:highlight w:val="none"/>
          <w:lang w:val="en-US" w:eastAsia="zh-Hans"/>
        </w:rPr>
        <w:t>使用</w:t>
      </w:r>
      <w:r>
        <w:rPr>
          <w:rFonts w:hint="eastAsia" w:ascii="仿宋" w:hAnsi="仿宋" w:eastAsia="仿宋" w:cs="仿宋"/>
          <w:color w:val="auto"/>
          <w:szCs w:val="21"/>
          <w:highlight w:val="none"/>
        </w:rPr>
        <w:t>之前，承包人负责承包范围内的已完工工程的现场保护，如发生损坏的由承包人自费修复；若承包人的成品、半成品保护措施不力，发包人有权提出具体要求，承包人必须执行，且费用由承包人承担；若因第三方原因造成承包人的成品、半成品损坏的，承包人应及时先予修复，不得以向第三方主张权利为由而拖延修复。竣工验收后交付前的工程保护，按前述约定执行。</w:t>
      </w:r>
    </w:p>
    <w:p w14:paraId="6CFE84B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f、施工场地周围地下管线和邻近建筑物、构筑物（含文物保护建筑）、古树名木的保护要求及费用承担：承包人在施工前要对施工场地周围建筑物、构筑物（含文物保护建筑）、古树名木和地下管线提出可行的保护措施，报发包人和有关部门审核后方可施工。施工期间，承包人应做好保护工作，除文物、古树名木保护及发包人认可发生的费用由发包人承担，其余由承包人承担相关费用及法律责任。</w:t>
      </w:r>
    </w:p>
    <w:p w14:paraId="721A55F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g、施工场地清洁卫生的要求：工程完工交付10天内现场应清除所有不再需要的临时工程、承包人的设备和多余材料、全部建筑、生活垃圾，达到工程师满意的使用状态。如承包人不履行，发包人可自行清除或另行委托他人处理，发生的费用由承包人双倍承担。</w:t>
      </w:r>
    </w:p>
    <w:p w14:paraId="5D162C78">
      <w:pPr>
        <w:adjustRightInd/>
        <w:spacing w:line="400" w:lineRule="exact"/>
        <w:ind w:firstLine="420" w:firstLineChars="200"/>
        <w:rPr>
          <w:rFonts w:hint="default" w:ascii="仿宋" w:hAnsi="仿宋" w:eastAsia="仿宋" w:cs="仿宋"/>
          <w:color w:val="auto"/>
          <w:szCs w:val="21"/>
          <w:highlight w:val="none"/>
          <w:lang w:eastAsia="zh-Hans"/>
        </w:rPr>
      </w:pPr>
      <w:r>
        <w:rPr>
          <w:rFonts w:hint="eastAsia" w:ascii="仿宋" w:hAnsi="仿宋" w:eastAsia="仿宋" w:cs="仿宋"/>
          <w:color w:val="auto"/>
          <w:szCs w:val="21"/>
          <w:highlight w:val="none"/>
        </w:rPr>
        <w:t>h、按期支付工人工资的要求：承包人应当</w:t>
      </w:r>
      <w:r>
        <w:rPr>
          <w:rFonts w:hint="eastAsia" w:ascii="仿宋" w:hAnsi="仿宋" w:eastAsia="仿宋" w:cs="仿宋"/>
          <w:color w:val="auto"/>
          <w:szCs w:val="21"/>
          <w:highlight w:val="none"/>
          <w:lang w:val="en-US" w:eastAsia="zh-Hans"/>
        </w:rPr>
        <w:t>与全体施工人员签署劳动合同</w:t>
      </w:r>
      <w:r>
        <w:rPr>
          <w:rFonts w:hint="default" w:ascii="仿宋" w:hAnsi="仿宋" w:eastAsia="仿宋" w:cs="仿宋"/>
          <w:color w:val="auto"/>
          <w:szCs w:val="21"/>
          <w:highlight w:val="none"/>
          <w:lang w:eastAsia="zh-Hans"/>
        </w:rPr>
        <w:t>，</w:t>
      </w:r>
      <w:r>
        <w:rPr>
          <w:rFonts w:hint="eastAsia" w:ascii="仿宋" w:hAnsi="仿宋" w:eastAsia="仿宋" w:cs="仿宋"/>
          <w:color w:val="auto"/>
          <w:szCs w:val="21"/>
          <w:highlight w:val="none"/>
        </w:rPr>
        <w:t>按照国家法律法规的要求每月按期足额向其全体施工工人发放工资，</w:t>
      </w:r>
      <w:r>
        <w:rPr>
          <w:rFonts w:hint="eastAsia" w:ascii="仿宋" w:hAnsi="仿宋" w:eastAsia="仿宋" w:cs="仿宋"/>
          <w:color w:val="auto"/>
          <w:sz w:val="21"/>
          <w:szCs w:val="21"/>
          <w:highlight w:val="none"/>
        </w:rPr>
        <w:t>否则发包人有权暂扣工程款直到</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付清民工工资为止</w:t>
      </w:r>
      <w:r>
        <w:rPr>
          <w:rFonts w:hint="default" w:ascii="仿宋" w:hAnsi="仿宋" w:eastAsia="仿宋" w:cs="仿宋"/>
          <w:color w:val="auto"/>
          <w:sz w:val="21"/>
          <w:szCs w:val="21"/>
          <w:highlight w:val="none"/>
        </w:rPr>
        <w:t>，</w:t>
      </w:r>
      <w:r>
        <w:rPr>
          <w:rFonts w:hint="eastAsia" w:ascii="仿宋" w:hAnsi="仿宋" w:eastAsia="仿宋" w:cs="仿宋"/>
          <w:color w:val="auto"/>
          <w:sz w:val="21"/>
          <w:szCs w:val="21"/>
          <w:highlight w:val="none"/>
        </w:rPr>
        <w:t>并根据上级主管部门的相关规定进行处罚</w:t>
      </w:r>
      <w:r>
        <w:rPr>
          <w:rFonts w:hint="default"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Hans"/>
        </w:rPr>
        <w:t>承包应当</w:t>
      </w:r>
      <w:r>
        <w:rPr>
          <w:rFonts w:hint="eastAsia" w:ascii="仿宋" w:hAnsi="仿宋" w:eastAsia="仿宋" w:cs="仿宋"/>
          <w:color w:val="auto"/>
          <w:szCs w:val="21"/>
          <w:highlight w:val="none"/>
        </w:rPr>
        <w:t>为</w:t>
      </w:r>
      <w:r>
        <w:rPr>
          <w:rFonts w:hint="eastAsia" w:ascii="仿宋" w:hAnsi="仿宋" w:eastAsia="仿宋" w:cs="仿宋"/>
          <w:color w:val="auto"/>
          <w:szCs w:val="21"/>
          <w:highlight w:val="none"/>
          <w:lang w:val="en-US" w:eastAsia="zh-Hans"/>
        </w:rPr>
        <w:t>全体施工人员</w:t>
      </w:r>
      <w:r>
        <w:rPr>
          <w:rFonts w:hint="eastAsia" w:ascii="仿宋" w:hAnsi="仿宋" w:eastAsia="仿宋" w:cs="仿宋"/>
          <w:color w:val="auto"/>
          <w:szCs w:val="21"/>
          <w:highlight w:val="none"/>
        </w:rPr>
        <w:t>购买国家规定的各种强制性保险。若因承包人未支付工人工资，当地政府或司法部门要求发包人先予垫付的，视同发包人给承包人的借款，其本息（利息按不低于同期LPR利率计算）在下期工程进度款中全额扣回，同时扣罚安全文明施工履约担保的50%</w:t>
      </w:r>
      <w:r>
        <w:rPr>
          <w:rFonts w:hint="eastAsia" w:ascii="仿宋" w:hAnsi="仿宋" w:eastAsia="仿宋" w:cs="仿宋"/>
          <w:color w:val="auto"/>
          <w:szCs w:val="21"/>
          <w:highlight w:val="none"/>
          <w:lang w:val="en-US" w:eastAsia="zh-Hans"/>
        </w:rPr>
        <w:t>作为赔偿金</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Hans"/>
        </w:rPr>
        <w:t>施工人员发生劳动纠纷</w:t>
      </w:r>
      <w:r>
        <w:rPr>
          <w:rFonts w:hint="default"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工伤事故等</w:t>
      </w:r>
      <w:r>
        <w:rPr>
          <w:rFonts w:hint="default"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均由承包人自行承担全部责任</w:t>
      </w:r>
      <w:r>
        <w:rPr>
          <w:rFonts w:hint="default"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与发包人无关</w:t>
      </w:r>
      <w:r>
        <w:rPr>
          <w:rFonts w:hint="default" w:ascii="仿宋" w:hAnsi="仿宋" w:eastAsia="仿宋" w:cs="仿宋"/>
          <w:color w:val="auto"/>
          <w:szCs w:val="21"/>
          <w:highlight w:val="none"/>
          <w:lang w:eastAsia="zh-Hans"/>
        </w:rPr>
        <w:t>。</w:t>
      </w:r>
    </w:p>
    <w:p w14:paraId="3EF1997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i、双方约定承包人应做的其他工作：</w:t>
      </w:r>
    </w:p>
    <w:p w14:paraId="4BCB165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①承包人负责安装在施工过程中为自己所用的供水管网、用电线路及其设施，并严格按供水、供电的有关规定执行，否则一切后果均由承包人负责。施工场地内的施工便道由承包人负责。承包人服从发包人和监理公司书面提出的合理相关工作内容。</w:t>
      </w:r>
    </w:p>
    <w:p w14:paraId="4D9BD5D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②承包人在施工区域及现场办公区域、临时生活区域内做好各项安全保卫工作。</w:t>
      </w:r>
    </w:p>
    <w:p w14:paraId="2261B695">
      <w:pPr>
        <w:adjustRightInd/>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 3 \* GB3 \* MERGEFORMAT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③</w:t>
      </w:r>
      <w:r>
        <w:rPr>
          <w:rFonts w:hint="eastAsia" w:ascii="仿宋" w:hAnsi="仿宋" w:eastAsia="仿宋" w:cs="仿宋"/>
          <w:color w:val="auto"/>
          <w:szCs w:val="21"/>
          <w:highlight w:val="none"/>
        </w:rPr>
        <w:fldChar w:fldCharType="end"/>
      </w:r>
      <w:r>
        <w:rPr>
          <w:rFonts w:hint="eastAsia" w:ascii="仿宋" w:hAnsi="仿宋" w:eastAsia="仿宋" w:cs="仿宋"/>
          <w:color w:val="auto"/>
          <w:sz w:val="21"/>
          <w:szCs w:val="21"/>
          <w:highlight w:val="none"/>
        </w:rPr>
        <w:t>本工程施工中所有土方、泥浆、材料、及施工废料的内外运输，必须遵守政府有关交通、环卫、安全、防噪声等行业管理法规的规定，行业管理部门要求办理的渣土准运证、渣土消纳场所和交通通行证等所有手续均应办理，并由</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自行办理解决。承担渣土运输的企业必须是具备资质且信誉良好的专业运输企业。</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施工中因违反本市有关规定，引起政府职能部门罚款和停工整改，其发生的费用与损失由</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自行承担。</w:t>
      </w:r>
    </w:p>
    <w:p w14:paraId="3EE6390C">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 4 \* GB3 \* MERGEFORMAT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Cs w:val="21"/>
          <w:highlight w:val="none"/>
        </w:rPr>
        <w:t>④</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t>本工程须以打造文明工地、控制扬尘和施工现场场容场貌为目标，认真做好建筑工地扬尘污染治理和文明施工，严格按照《关于做好打造“美丽杭州”建设“两美浙江”示范区环建设工程环境整治工作的补充通知》（杭建工【2015】 279 号）执行；施工期间需针对扬尘污染治理和文明施工综合整治做好台帐，确保文明施工管理资料完整，记录齐全等有关文明施工和扬尘治理的事项。若发包人在进行巡查时发现“扬尘整治目标”达不到要求，第一次给予</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警告并责令整改，二次发现</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应立即整改并向发包人支付壹万元人民币的违约金，三次或以上被发现或被上级部门通报批评或被新闻媒体曝光者，</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按每次人民币伍万元向发包人支付违约金。</w:t>
      </w:r>
    </w:p>
    <w:p w14:paraId="6761B3CC">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 5 \* GB3 \* MERGEFORMAT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Cs w:val="21"/>
          <w:highlight w:val="none"/>
        </w:rPr>
        <w:t>⑤</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对施工场地周边一定范围环境负有责任，如：施工中不得随意排放浑浊废弃物，不得随意抛掷各类垃圾、建筑材料等杂物；运输建筑材料、垃圾和工程渣土的车辆应采取有效措施保证行驶途中不污染道路和环境等。</w:t>
      </w:r>
    </w:p>
    <w:p w14:paraId="59354C3E">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 6 \* GB3 \* MERGEFORMAT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Cs w:val="21"/>
          <w:highlight w:val="none"/>
        </w:rPr>
        <w:t>⑥</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lang w:eastAsia="zh-Hans"/>
        </w:rPr>
        <w:t>施工期间由于</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lang w:eastAsia="zh-Hans"/>
        </w:rPr>
        <w:t>原因造成施工方案的更改，所增加的工程费用及工期一概不予调整，属施工技术组织措施失误造成的费用及延误工期均由</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lang w:eastAsia="zh-Hans"/>
        </w:rPr>
        <w:t>承担。</w:t>
      </w:r>
    </w:p>
    <w:p w14:paraId="0276893C">
      <w:pPr>
        <w:spacing w:line="400" w:lineRule="exact"/>
        <w:ind w:firstLine="420"/>
        <w:rPr>
          <w:rFonts w:hint="default" w:ascii="仿宋" w:hAnsi="仿宋" w:eastAsia="仿宋" w:cs="仿宋"/>
          <w:color w:val="auto"/>
          <w:sz w:val="21"/>
          <w:szCs w:val="21"/>
          <w:highlight w:val="none"/>
          <w:lang w:eastAsia="zh-Hans"/>
        </w:rPr>
      </w:pPr>
      <w:r>
        <w:rPr>
          <w:rFonts w:hint="eastAsia" w:ascii="仿宋" w:hAnsi="仿宋" w:eastAsia="仿宋" w:cs="仿宋"/>
          <w:color w:val="auto"/>
          <w:sz w:val="21"/>
          <w:szCs w:val="21"/>
          <w:highlight w:val="none"/>
          <w:lang w:val="en-US" w:eastAsia="zh-Hans"/>
        </w:rPr>
        <w:fldChar w:fldCharType="begin"/>
      </w:r>
      <w:r>
        <w:rPr>
          <w:rFonts w:hint="eastAsia" w:ascii="仿宋" w:hAnsi="仿宋" w:eastAsia="仿宋" w:cs="仿宋"/>
          <w:color w:val="auto"/>
          <w:sz w:val="21"/>
          <w:szCs w:val="21"/>
          <w:highlight w:val="none"/>
          <w:lang w:val="en-US" w:eastAsia="zh-Hans"/>
        </w:rPr>
        <w:instrText xml:space="preserve"> = 7 \* GB3 \* MERGEFORMAT </w:instrText>
      </w:r>
      <w:r>
        <w:rPr>
          <w:rFonts w:hint="eastAsia" w:ascii="仿宋" w:hAnsi="仿宋" w:eastAsia="仿宋" w:cs="仿宋"/>
          <w:color w:val="auto"/>
          <w:sz w:val="21"/>
          <w:szCs w:val="21"/>
          <w:highlight w:val="none"/>
          <w:lang w:val="en-US" w:eastAsia="zh-Hans"/>
        </w:rPr>
        <w:fldChar w:fldCharType="separate"/>
      </w:r>
      <w:r>
        <w:rPr>
          <w:rFonts w:hint="eastAsia" w:ascii="仿宋" w:hAnsi="仿宋" w:eastAsia="仿宋" w:cs="仿宋"/>
          <w:color w:val="auto"/>
          <w:szCs w:val="21"/>
          <w:highlight w:val="none"/>
        </w:rPr>
        <w:t>⑦</w:t>
      </w:r>
      <w:r>
        <w:rPr>
          <w:rFonts w:hint="eastAsia" w:ascii="仿宋" w:hAnsi="仿宋" w:eastAsia="仿宋" w:cs="仿宋"/>
          <w:color w:val="auto"/>
          <w:sz w:val="21"/>
          <w:szCs w:val="21"/>
          <w:highlight w:val="none"/>
          <w:lang w:val="en-US" w:eastAsia="zh-Hans"/>
        </w:rPr>
        <w:fldChar w:fldCharType="end"/>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收到设计单位下发的设计联系单后，需在一周内向监理单位上报施工联系单，若</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未在规定时间内上报施工联系单，则此联系单产生的相关费用由</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自行承担，结算时不作调整。</w:t>
      </w:r>
    </w:p>
    <w:p w14:paraId="0636AE4A">
      <w:pPr>
        <w:spacing w:line="400" w:lineRule="exact"/>
        <w:ind w:firstLine="420"/>
        <w:rPr>
          <w:rFonts w:hint="eastAsia" w:ascii="仿宋" w:hAnsi="仿宋" w:eastAsia="仿宋" w:cs="仿宋"/>
          <w:color w:val="auto"/>
          <w:sz w:val="21"/>
          <w:szCs w:val="21"/>
          <w:highlight w:val="none"/>
          <w:lang w:eastAsia="zh-Hans"/>
        </w:rPr>
      </w:pPr>
      <w:r>
        <w:rPr>
          <w:rFonts w:hint="eastAsia" w:ascii="仿宋" w:hAnsi="仿宋" w:eastAsia="仿宋" w:cs="仿宋"/>
          <w:color w:val="auto"/>
          <w:sz w:val="21"/>
          <w:szCs w:val="21"/>
          <w:highlight w:val="none"/>
          <w:lang w:val="en-US" w:eastAsia="zh-Hans"/>
        </w:rPr>
        <w:fldChar w:fldCharType="begin"/>
      </w:r>
      <w:r>
        <w:rPr>
          <w:rFonts w:hint="eastAsia" w:ascii="仿宋" w:hAnsi="仿宋" w:eastAsia="仿宋" w:cs="仿宋"/>
          <w:color w:val="auto"/>
          <w:sz w:val="21"/>
          <w:szCs w:val="21"/>
          <w:highlight w:val="none"/>
          <w:lang w:val="en-US" w:eastAsia="zh-Hans"/>
        </w:rPr>
        <w:instrText xml:space="preserve"> = 8 \* GB3 \* MERGEFORMAT </w:instrText>
      </w:r>
      <w:r>
        <w:rPr>
          <w:rFonts w:hint="eastAsia" w:ascii="仿宋" w:hAnsi="仿宋" w:eastAsia="仿宋" w:cs="仿宋"/>
          <w:color w:val="auto"/>
          <w:sz w:val="21"/>
          <w:szCs w:val="21"/>
          <w:highlight w:val="none"/>
          <w:lang w:val="en-US" w:eastAsia="zh-Hans"/>
        </w:rPr>
        <w:fldChar w:fldCharType="separate"/>
      </w:r>
      <w:r>
        <w:rPr>
          <w:color w:val="auto"/>
          <w:highlight w:val="none"/>
        </w:rPr>
        <w:t>⑧</w:t>
      </w:r>
      <w:r>
        <w:rPr>
          <w:rFonts w:hint="eastAsia" w:ascii="仿宋" w:hAnsi="仿宋" w:eastAsia="仿宋" w:cs="仿宋"/>
          <w:color w:val="auto"/>
          <w:sz w:val="21"/>
          <w:szCs w:val="21"/>
          <w:highlight w:val="none"/>
          <w:lang w:val="en-US" w:eastAsia="zh-Hans"/>
        </w:rPr>
        <w:fldChar w:fldCharType="end"/>
      </w:r>
      <w:r>
        <w:rPr>
          <w:rFonts w:hint="eastAsia" w:ascii="仿宋" w:hAnsi="仿宋" w:eastAsia="仿宋" w:cs="仿宋"/>
          <w:color w:val="auto"/>
          <w:sz w:val="21"/>
          <w:szCs w:val="21"/>
          <w:highlight w:val="none"/>
          <w:lang w:eastAsia="zh-Hans"/>
        </w:rPr>
        <w:t>招标范围项目组织措施费包干，结算时不作调整，但工程发生重大甩项时，应根据实际情况酌情扣减。技术措施费按项报价实行包干，结算时不作调整，工程发生重大变更导致确实需要调整技术措施费用、并经重大变更相关会议决定同意的，可予调整。</w:t>
      </w:r>
    </w:p>
    <w:p w14:paraId="20058FAF">
      <w:pPr>
        <w:spacing w:line="400" w:lineRule="exact"/>
        <w:ind w:firstLine="420"/>
        <w:rPr>
          <w:rFonts w:hint="eastAsia" w:ascii="仿宋" w:hAnsi="仿宋" w:eastAsia="仿宋" w:cs="仿宋"/>
          <w:color w:val="auto"/>
          <w:sz w:val="21"/>
          <w:szCs w:val="21"/>
          <w:highlight w:val="none"/>
          <w:lang w:eastAsia="zh-Hans"/>
        </w:rPr>
      </w:pPr>
      <w:r>
        <w:rPr>
          <w:rFonts w:hint="eastAsia" w:ascii="仿宋" w:hAnsi="仿宋" w:eastAsia="仿宋" w:cs="仿宋"/>
          <w:color w:val="auto"/>
          <w:szCs w:val="21"/>
          <w:highlight w:val="none"/>
          <w:lang w:eastAsia="zh-Hans"/>
        </w:rPr>
        <w:fldChar w:fldCharType="begin"/>
      </w:r>
      <w:r>
        <w:rPr>
          <w:rFonts w:hint="eastAsia" w:ascii="仿宋" w:hAnsi="仿宋" w:eastAsia="仿宋" w:cs="仿宋"/>
          <w:color w:val="auto"/>
          <w:szCs w:val="21"/>
          <w:highlight w:val="none"/>
          <w:lang w:eastAsia="zh-Hans"/>
        </w:rPr>
        <w:instrText xml:space="preserve"> = 9 \* GB3 \* MERGEFORMAT </w:instrText>
      </w:r>
      <w:r>
        <w:rPr>
          <w:rFonts w:hint="eastAsia" w:ascii="仿宋" w:hAnsi="仿宋" w:eastAsia="仿宋" w:cs="仿宋"/>
          <w:color w:val="auto"/>
          <w:szCs w:val="21"/>
          <w:highlight w:val="none"/>
          <w:lang w:eastAsia="zh-Hans"/>
        </w:rPr>
        <w:fldChar w:fldCharType="separate"/>
      </w:r>
      <w:r>
        <w:rPr>
          <w:rFonts w:hint="eastAsia" w:ascii="仿宋" w:hAnsi="仿宋" w:eastAsia="仿宋" w:cs="仿宋"/>
          <w:color w:val="auto"/>
          <w:szCs w:val="21"/>
          <w:highlight w:val="none"/>
          <w:lang w:eastAsia="zh-Hans"/>
        </w:rPr>
        <w:t>⑨</w:t>
      </w:r>
      <w:r>
        <w:rPr>
          <w:rFonts w:hint="eastAsia" w:ascii="仿宋" w:hAnsi="仿宋" w:eastAsia="仿宋" w:cs="仿宋"/>
          <w:color w:val="auto"/>
          <w:szCs w:val="21"/>
          <w:highlight w:val="none"/>
          <w:lang w:eastAsia="zh-Hans"/>
        </w:rPr>
        <w:fldChar w:fldCharType="end"/>
      </w:r>
      <w:r>
        <w:rPr>
          <w:rFonts w:hint="eastAsia" w:ascii="仿宋" w:hAnsi="仿宋" w:eastAsia="仿宋" w:cs="仿宋"/>
          <w:color w:val="auto"/>
          <w:sz w:val="21"/>
          <w:szCs w:val="21"/>
          <w:highlight w:val="none"/>
          <w:lang w:val="en-US" w:eastAsia="zh-Hans"/>
        </w:rPr>
        <w:t>招标文件及其他相关文件规定的承包人应当履行的义务</w:t>
      </w:r>
      <w:r>
        <w:rPr>
          <w:rFonts w:hint="eastAsia" w:ascii="仿宋" w:hAnsi="仿宋" w:eastAsia="仿宋" w:cs="仿宋"/>
          <w:color w:val="auto"/>
          <w:sz w:val="21"/>
          <w:szCs w:val="21"/>
          <w:highlight w:val="none"/>
          <w:lang w:eastAsia="zh-Hans"/>
        </w:rPr>
        <w:t>。</w:t>
      </w:r>
    </w:p>
    <w:p w14:paraId="7F46D64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3.2 项目经理</w:t>
      </w:r>
    </w:p>
    <w:p w14:paraId="0D15C2C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3.2.1 项目经理：</w:t>
      </w:r>
    </w:p>
    <w:p w14:paraId="6E2E04D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    名：</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32E229B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身份证号：</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4E3A7E8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建造师执业资格等级：</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01AA488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建造师注册证书号：</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w:t>
      </w:r>
    </w:p>
    <w:p w14:paraId="3F4068E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建造师执业印章号：</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w:t>
      </w:r>
    </w:p>
    <w:p w14:paraId="381DC40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安全生产考核合格证书号：</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w:t>
      </w:r>
    </w:p>
    <w:p w14:paraId="701CE9A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1ED0C6A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电子信箱：</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2E1993F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通信地址：</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7651F27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承包人对项目经理的授权范围如下：</w:t>
      </w:r>
      <w:r>
        <w:rPr>
          <w:rFonts w:hint="eastAsia" w:ascii="仿宋" w:hAnsi="仿宋" w:eastAsia="仿宋" w:cs="仿宋"/>
          <w:color w:val="auto"/>
          <w:szCs w:val="21"/>
          <w:highlight w:val="none"/>
          <w:u w:val="single"/>
        </w:rPr>
        <w:t xml:space="preserve">全面负责该项目的实施，全权代表承包人履行本合同，其所有行为均得到承包人的充分授权而由承包人承认 </w:t>
      </w:r>
      <w:r>
        <w:rPr>
          <w:rFonts w:hint="eastAsia" w:ascii="仿宋" w:hAnsi="仿宋" w:eastAsia="仿宋" w:cs="仿宋"/>
          <w:color w:val="auto"/>
          <w:szCs w:val="21"/>
          <w:highlight w:val="none"/>
        </w:rPr>
        <w:t>。</w:t>
      </w:r>
    </w:p>
    <w:p w14:paraId="2835655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关于项目经理每月在施工现场的时间要求：</w:t>
      </w:r>
      <w:r>
        <w:rPr>
          <w:rFonts w:hint="eastAsia" w:ascii="仿宋" w:hAnsi="仿宋" w:eastAsia="仿宋" w:cs="仿宋"/>
          <w:color w:val="auto"/>
          <w:szCs w:val="21"/>
          <w:highlight w:val="none"/>
          <w:u w:val="single"/>
        </w:rPr>
        <w:t>项目经理应严格按照住建部《建筑施工项目经理质量安全责任十项规定（试行）》（建质[2014]123号要求），切实履行项目经理职责，项目经理每月现场出勤不得少于本月施工时间的90%。若每月现场出勤少于本月施工时间的90%,多于70%,每月次处以施工合同价的0.1%作为违约金（每月次上限5万）；若每月现场出勤少于本月施工时间的70%,每月次处以施工合同价的0.25%作为违约金（每月次上限15万元）；若抽查检查时发现无故不在岗，每次处以施工合同价的0.05%作为违约金（每人次上限3万元）。</w:t>
      </w:r>
    </w:p>
    <w:p w14:paraId="702548F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施工企业应按投标承诺组建施工机构，项目施工机构人员每月现场出勤不得少于本月施工时间的90%。若每月现场出勤少于本月施工时间的90%,多于80%,每月次处以施工合同价的0.1%作为违约金（每月次上限5万元）；若现场出勤少于本月施工时间的80%,每月次处以施工合同价的0.25%作为违约金（每月次上限15万元）；若抽查检查时发现技术负责人、安全员、质量员、资料员、施工员等人员无故不在岗，每次处以施工合同价的0.02%每人作为违约金（每人次上限1.5万元）。</w:t>
      </w:r>
    </w:p>
    <w:p w14:paraId="46766AA4">
      <w:pPr>
        <w:pStyle w:val="45"/>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施工企业应定期对项目经理到岗率和履行岗位职责情况进行检查和考核，并做好书面记录，要求施工企业副总及以上职位人员每月不少于一次参加工地例会、每月不少于一次带班检查工地。若发现不到会议、未带班检查情况，每次处以施工合同价的0.1%作为违约金（每人次上限5万元）。</w:t>
      </w:r>
    </w:p>
    <w:p w14:paraId="01D30EC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承包人未提交劳动合同，以及没有为项目经理缴纳社会保险证明的违约责任：</w:t>
      </w:r>
      <w:r>
        <w:rPr>
          <w:rFonts w:hint="eastAsia" w:ascii="仿宋" w:hAnsi="仿宋" w:eastAsia="仿宋" w:cs="仿宋"/>
          <w:color w:val="auto"/>
          <w:szCs w:val="21"/>
          <w:highlight w:val="none"/>
          <w:u w:val="single"/>
        </w:rPr>
        <w:t xml:space="preserve">  由承包人自行承担相关责任，且发包人有权要求更换项目经理，并通报有关建设行政主管部门进行处罚</w:t>
      </w:r>
      <w:r>
        <w:rPr>
          <w:rFonts w:hint="eastAsia" w:ascii="仿宋" w:hAnsi="仿宋" w:eastAsia="仿宋" w:cs="仿宋"/>
          <w:color w:val="auto"/>
          <w:szCs w:val="21"/>
          <w:highlight w:val="none"/>
        </w:rPr>
        <w:t>。</w:t>
      </w:r>
    </w:p>
    <w:p w14:paraId="721B4BC3">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项目经理未经批准，擅自离开施工现场的违约责任：按月以日历天为基数计算考核，未达到的按每天1000元处以违约金。承包人中标项目负责人施工期间离岗七天以上必须经发包人同意，如发现项目负责人不在现场组织施工，发包人有权按违约处理，并有权单方终止合同，后果由承包人负责。</w:t>
      </w:r>
    </w:p>
    <w:p w14:paraId="1559A76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3.2.3 承包人擅自更换项目经理的违约责任：</w:t>
      </w:r>
    </w:p>
    <w:p w14:paraId="5D62356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（1）承包人确需更换项目经理的，继任项目经理注册执业资格、管理经验的约定：</w:t>
      </w:r>
      <w:r>
        <w:rPr>
          <w:rFonts w:hint="eastAsia" w:ascii="仿宋" w:hAnsi="仿宋" w:eastAsia="仿宋" w:cs="仿宋"/>
          <w:color w:val="auto"/>
          <w:szCs w:val="21"/>
          <w:highlight w:val="none"/>
          <w:u w:val="single"/>
        </w:rPr>
        <w:t>继任项目经理注册执业资格、管理经验不得低于前任项目经理，并经发包人</w:t>
      </w:r>
      <w:r>
        <w:rPr>
          <w:rFonts w:hint="eastAsia" w:ascii="仿宋" w:hAnsi="仿宋" w:eastAsia="仿宋" w:cs="仿宋"/>
          <w:color w:val="auto"/>
          <w:szCs w:val="21"/>
          <w:highlight w:val="none"/>
          <w:u w:val="single"/>
          <w:lang w:val="en-US" w:eastAsia="zh-Hans"/>
        </w:rPr>
        <w:t>书面</w:t>
      </w:r>
      <w:r>
        <w:rPr>
          <w:rFonts w:hint="eastAsia" w:ascii="仿宋" w:hAnsi="仿宋" w:eastAsia="仿宋" w:cs="仿宋"/>
          <w:color w:val="auto"/>
          <w:szCs w:val="21"/>
          <w:highlight w:val="none"/>
          <w:u w:val="single"/>
        </w:rPr>
        <w:t>同意</w:t>
      </w:r>
      <w:r>
        <w:rPr>
          <w:rFonts w:hint="eastAsia" w:ascii="仿宋" w:hAnsi="仿宋" w:eastAsia="仿宋" w:cs="仿宋"/>
          <w:color w:val="auto"/>
          <w:szCs w:val="21"/>
          <w:highlight w:val="none"/>
        </w:rPr>
        <w:t>。</w:t>
      </w:r>
    </w:p>
    <w:p w14:paraId="29520861">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（2）承包人擅自更换项目经理的违约责任：</w:t>
      </w:r>
      <w:r>
        <w:rPr>
          <w:rFonts w:hint="eastAsia" w:ascii="仿宋" w:hAnsi="仿宋" w:eastAsia="仿宋" w:cs="仿宋"/>
          <w:color w:val="auto"/>
          <w:szCs w:val="21"/>
          <w:highlight w:val="none"/>
          <w:u w:val="single"/>
        </w:rPr>
        <w:t>承包人在施工期间不准擅自更换项目经理。承包人擅自更换项目经理的将被视为承包人违约，处以合同价的2%（每起上限</w:t>
      </w:r>
      <w:r>
        <w:rPr>
          <w:rFonts w:hint="eastAsia" w:ascii="仿宋" w:hAnsi="仿宋" w:eastAsia="仿宋" w:cs="仿宋"/>
          <w:color w:val="auto"/>
          <w:szCs w:val="21"/>
          <w:highlight w:val="none"/>
          <w:u w:val="single"/>
          <w:lang w:val="en-US" w:eastAsia="zh-CN"/>
        </w:rPr>
        <w:t>50</w:t>
      </w:r>
      <w:r>
        <w:rPr>
          <w:rFonts w:hint="eastAsia" w:ascii="仿宋" w:hAnsi="仿宋" w:eastAsia="仿宋" w:cs="仿宋"/>
          <w:color w:val="auto"/>
          <w:szCs w:val="21"/>
          <w:highlight w:val="none"/>
          <w:u w:val="single"/>
        </w:rPr>
        <w:t>万元）的违约金，情节严重的发包人有权</w:t>
      </w:r>
      <w:r>
        <w:rPr>
          <w:rFonts w:hint="eastAsia" w:ascii="仿宋" w:hAnsi="仿宋" w:eastAsia="仿宋" w:cs="仿宋"/>
          <w:color w:val="auto"/>
          <w:szCs w:val="21"/>
          <w:highlight w:val="none"/>
          <w:u w:val="single"/>
          <w:lang w:val="en-US" w:eastAsia="zh-Hans"/>
        </w:rPr>
        <w:t>立即单方</w:t>
      </w:r>
      <w:r>
        <w:rPr>
          <w:rFonts w:hint="eastAsia" w:ascii="仿宋" w:hAnsi="仿宋" w:eastAsia="仿宋" w:cs="仿宋"/>
          <w:color w:val="auto"/>
          <w:szCs w:val="21"/>
          <w:highlight w:val="none"/>
          <w:u w:val="single"/>
        </w:rPr>
        <w:t>解除合同</w:t>
      </w:r>
      <w:r>
        <w:rPr>
          <w:rFonts w:hint="eastAsia" w:ascii="仿宋" w:hAnsi="仿宋" w:eastAsia="仿宋" w:cs="仿宋"/>
          <w:color w:val="auto"/>
          <w:szCs w:val="21"/>
          <w:highlight w:val="none"/>
        </w:rPr>
        <w:t>。</w:t>
      </w:r>
    </w:p>
    <w:p w14:paraId="4BFC8F0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3.2.4 承包人无正当理由拒绝更换项目经理的违约责任：</w:t>
      </w:r>
      <w:r>
        <w:rPr>
          <w:rFonts w:hint="eastAsia" w:ascii="仿宋" w:hAnsi="仿宋" w:eastAsia="仿宋" w:cs="仿宋"/>
          <w:color w:val="auto"/>
          <w:szCs w:val="21"/>
          <w:highlight w:val="none"/>
          <w:u w:val="single"/>
        </w:rPr>
        <w:t xml:space="preserve"> 若原项目经理不能按约定到岗履职</w:t>
      </w:r>
      <w:r>
        <w:rPr>
          <w:rFonts w:hint="eastAsia" w:ascii="仿宋" w:hAnsi="仿宋" w:eastAsia="仿宋" w:cs="仿宋"/>
          <w:color w:val="auto"/>
          <w:szCs w:val="21"/>
          <w:highlight w:val="none"/>
          <w:u w:val="single"/>
          <w:lang w:eastAsia="zh-CN"/>
        </w:rPr>
        <w:t>、</w:t>
      </w:r>
      <w:r>
        <w:rPr>
          <w:rFonts w:hint="eastAsia" w:ascii="仿宋" w:hAnsi="仿宋" w:eastAsia="仿宋" w:cs="仿宋"/>
          <w:b w:val="0"/>
          <w:color w:val="auto"/>
          <w:sz w:val="21"/>
          <w:szCs w:val="21"/>
          <w:highlight w:val="none"/>
          <w:u w:val="single"/>
        </w:rPr>
        <w:t>贻误工期</w:t>
      </w:r>
      <w:r>
        <w:rPr>
          <w:rFonts w:hint="eastAsia" w:ascii="仿宋" w:hAnsi="仿宋" w:eastAsia="仿宋" w:cs="仿宋"/>
          <w:b w:val="0"/>
          <w:color w:val="auto"/>
          <w:sz w:val="21"/>
          <w:szCs w:val="21"/>
          <w:highlight w:val="none"/>
          <w:u w:val="single"/>
          <w:lang w:eastAsia="zh-CN"/>
        </w:rPr>
        <w:t>、</w:t>
      </w:r>
      <w:r>
        <w:rPr>
          <w:rFonts w:hint="eastAsia" w:ascii="仿宋" w:hAnsi="仿宋" w:eastAsia="仿宋" w:cs="仿宋"/>
          <w:b w:val="0"/>
          <w:color w:val="auto"/>
          <w:sz w:val="21"/>
          <w:szCs w:val="21"/>
          <w:highlight w:val="none"/>
          <w:u w:val="single"/>
        </w:rPr>
        <w:t>造成严重的安全事故和工程质量事故、违法乱纪</w:t>
      </w:r>
      <w:r>
        <w:rPr>
          <w:rFonts w:hint="eastAsia" w:ascii="仿宋" w:hAnsi="仿宋" w:eastAsia="仿宋" w:cs="仿宋"/>
          <w:color w:val="auto"/>
          <w:szCs w:val="21"/>
          <w:highlight w:val="none"/>
          <w:u w:val="single"/>
        </w:rPr>
        <w:t>的或能力不能满足工作需要的，发包人书面通知承包人进行更换项目经理，承包人在</w:t>
      </w:r>
      <w:r>
        <w:rPr>
          <w:rFonts w:hint="eastAsia" w:ascii="仿宋" w:hAnsi="仿宋" w:eastAsia="仿宋" w:cs="仿宋"/>
          <w:color w:val="auto"/>
          <w:szCs w:val="21"/>
          <w:highlight w:val="none"/>
          <w:u w:val="single"/>
          <w:lang w:eastAsia="zh-CN"/>
        </w:rPr>
        <w:t>一</w:t>
      </w:r>
      <w:r>
        <w:rPr>
          <w:rFonts w:hint="eastAsia" w:ascii="仿宋" w:hAnsi="仿宋" w:eastAsia="仿宋" w:cs="仿宋"/>
          <w:color w:val="auto"/>
          <w:szCs w:val="21"/>
          <w:highlight w:val="none"/>
          <w:u w:val="single"/>
        </w:rPr>
        <w:t>个星期内未更换项目经理的，处以合同价的1.5%（不低于5万元）的违约金，情节严重的发包人有权</w:t>
      </w:r>
      <w:r>
        <w:rPr>
          <w:rFonts w:hint="eastAsia" w:ascii="仿宋" w:hAnsi="仿宋" w:eastAsia="仿宋" w:cs="仿宋"/>
          <w:color w:val="auto"/>
          <w:szCs w:val="21"/>
          <w:highlight w:val="none"/>
          <w:u w:val="single"/>
          <w:lang w:val="en-US" w:eastAsia="zh-Hans"/>
        </w:rPr>
        <w:t>立即单方</w:t>
      </w:r>
      <w:r>
        <w:rPr>
          <w:rFonts w:hint="eastAsia" w:ascii="仿宋" w:hAnsi="仿宋" w:eastAsia="仿宋" w:cs="仿宋"/>
          <w:color w:val="auto"/>
          <w:szCs w:val="21"/>
          <w:highlight w:val="none"/>
          <w:u w:val="single"/>
        </w:rPr>
        <w:t>解除合同</w:t>
      </w:r>
      <w:r>
        <w:rPr>
          <w:rFonts w:hint="eastAsia" w:ascii="仿宋" w:hAnsi="仿宋" w:eastAsia="仿宋" w:cs="仿宋"/>
          <w:color w:val="auto"/>
          <w:szCs w:val="21"/>
          <w:highlight w:val="none"/>
        </w:rPr>
        <w:t>。</w:t>
      </w:r>
    </w:p>
    <w:p w14:paraId="10D01C20">
      <w:pPr>
        <w:pStyle w:val="26"/>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sz w:val="21"/>
          <w:szCs w:val="21"/>
          <w:highlight w:val="none"/>
          <w:u w:val="single"/>
          <w:lang w:val="en-US"/>
        </w:rPr>
        <w:t>3</w:t>
      </w:r>
      <w:r>
        <w:rPr>
          <w:rFonts w:hint="eastAsia" w:ascii="仿宋" w:hAnsi="仿宋" w:eastAsia="仿宋" w:cs="仿宋"/>
          <w:color w:val="auto"/>
          <w:sz w:val="21"/>
          <w:szCs w:val="21"/>
          <w:highlight w:val="none"/>
          <w:u w:val="single"/>
          <w:lang w:val="en-US" w:eastAsia="zh-CN"/>
        </w:rPr>
        <w:t>.2.5</w:t>
      </w:r>
      <w:r>
        <w:rPr>
          <w:rFonts w:hint="eastAsia" w:ascii="仿宋" w:hAnsi="仿宋" w:eastAsia="仿宋" w:cs="仿宋"/>
          <w:color w:val="auto"/>
          <w:sz w:val="21"/>
          <w:szCs w:val="21"/>
          <w:highlight w:val="none"/>
          <w:u w:val="single"/>
        </w:rPr>
        <w:t>进场项目班子应是</w:t>
      </w:r>
      <w:r>
        <w:rPr>
          <w:rFonts w:hint="eastAsia" w:ascii="仿宋" w:hAnsi="仿宋" w:eastAsia="仿宋" w:cs="仿宋"/>
          <w:color w:val="auto"/>
          <w:sz w:val="21"/>
          <w:szCs w:val="21"/>
          <w:highlight w:val="none"/>
          <w:u w:val="single"/>
          <w:lang w:val="en-US" w:eastAsia="zh-Hans"/>
        </w:rPr>
        <w:t>承包人</w:t>
      </w:r>
      <w:r>
        <w:rPr>
          <w:rFonts w:hint="eastAsia" w:ascii="仿宋" w:hAnsi="仿宋" w:eastAsia="仿宋" w:cs="仿宋"/>
          <w:color w:val="auto"/>
          <w:sz w:val="21"/>
          <w:szCs w:val="21"/>
          <w:highlight w:val="none"/>
          <w:u w:val="single"/>
        </w:rPr>
        <w:t>企业内的，挂靠</w:t>
      </w:r>
      <w:r>
        <w:rPr>
          <w:rFonts w:hint="eastAsia" w:ascii="仿宋" w:hAnsi="仿宋" w:eastAsia="仿宋" w:cs="仿宋"/>
          <w:color w:val="auto"/>
          <w:sz w:val="21"/>
          <w:szCs w:val="21"/>
          <w:highlight w:val="none"/>
          <w:u w:val="single"/>
          <w:lang w:val="en-US" w:eastAsia="zh-Hans"/>
        </w:rPr>
        <w:t>承包人</w:t>
      </w:r>
      <w:r>
        <w:rPr>
          <w:rFonts w:hint="eastAsia" w:ascii="仿宋" w:hAnsi="仿宋" w:eastAsia="仿宋" w:cs="仿宋"/>
          <w:color w:val="auto"/>
          <w:sz w:val="21"/>
          <w:szCs w:val="21"/>
          <w:highlight w:val="none"/>
          <w:u w:val="single"/>
        </w:rPr>
        <w:t>或临时拼凑的施工班子（不含专业分包单位人员），一经发现并经查实后，其全部履约担保将被没收，施工合同将被终止，并赔偿由此给发包人造成的经济损失。派驻现场的施工班子人员数量、年龄结构、专业配备应满足工程实际需要。在合同执行期间发包人有权对不称职的工程技术、管理人员提出更换，</w:t>
      </w:r>
      <w:r>
        <w:rPr>
          <w:rFonts w:hint="eastAsia" w:ascii="仿宋" w:hAnsi="仿宋" w:eastAsia="仿宋" w:cs="仿宋"/>
          <w:color w:val="auto"/>
          <w:sz w:val="21"/>
          <w:szCs w:val="21"/>
          <w:highlight w:val="none"/>
          <w:u w:val="single"/>
          <w:lang w:val="en-US" w:eastAsia="zh-Hans"/>
        </w:rPr>
        <w:t>承包人</w:t>
      </w:r>
      <w:r>
        <w:rPr>
          <w:rFonts w:hint="eastAsia" w:ascii="仿宋" w:hAnsi="仿宋" w:eastAsia="仿宋" w:cs="仿宋"/>
          <w:color w:val="auto"/>
          <w:sz w:val="21"/>
          <w:szCs w:val="21"/>
          <w:highlight w:val="none"/>
          <w:u w:val="single"/>
        </w:rPr>
        <w:t>应在一个工作周内作出更换，并报发包人批准，不得拒绝和拖延</w:t>
      </w:r>
      <w:r>
        <w:rPr>
          <w:rFonts w:hint="eastAsia" w:ascii="仿宋" w:hAnsi="仿宋" w:eastAsia="仿宋" w:cs="仿宋"/>
          <w:color w:val="auto"/>
          <w:sz w:val="21"/>
          <w:szCs w:val="21"/>
          <w:highlight w:val="none"/>
          <w:u w:val="single"/>
          <w:lang w:val="en-US" w:eastAsia="zh-CN"/>
        </w:rPr>
        <w:t>.</w:t>
      </w:r>
    </w:p>
    <w:p w14:paraId="080FAA2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3.3 承包人人员</w:t>
      </w:r>
    </w:p>
    <w:p w14:paraId="7D2AE4C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3.3.1 承包人提交项目管理机构及施工现场管理人员安排报告的期限：</w:t>
      </w:r>
      <w:r>
        <w:rPr>
          <w:rFonts w:hint="eastAsia" w:ascii="仿宋" w:hAnsi="仿宋" w:eastAsia="仿宋" w:cs="仿宋"/>
          <w:color w:val="auto"/>
          <w:szCs w:val="21"/>
          <w:highlight w:val="none"/>
          <w:u w:val="single"/>
        </w:rPr>
        <w:t xml:space="preserve"> 承包人承诺的项目经理及项目部其他管理人员必须按投标承诺名单及时到位。若因特殊情况或实际需要必须调换的，承包人必须事先向发包人提供以下材料并取得发包人的书面批准以后，才能派替换的人员进场：</w:t>
      </w:r>
    </w:p>
    <w:p w14:paraId="5D2187D1">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a、书面请示报告；</w:t>
      </w:r>
    </w:p>
    <w:p w14:paraId="5DCE7DA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b、替换人的技术职称证书、岗位证书、身份证（验证原件，提供复印件）及其工作经历与业绩等有关证明材料。</w:t>
      </w:r>
    </w:p>
    <w:p w14:paraId="478BB46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当替换人的技术职称、资质和工作经历满足招标文件要求或发包人认为可以接受时，发包人可以给予批准。当发包人认为项目经理或其他人员不能胜任该工作，有权要求承包人无条件更换。</w:t>
      </w:r>
    </w:p>
    <w:p w14:paraId="3DAA400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从项目中标到竣工，施工企业不得随意更换项目经理。确需更换项目经理的，应当办理书面更换手续，更换后的项目经理必须同样满足执业资格、业绩等要求，项目经理每更换一次处以施工合同价的1%作为违约金（每起上限</w:t>
      </w:r>
      <w:r>
        <w:rPr>
          <w:rFonts w:hint="eastAsia" w:ascii="仿宋" w:hAnsi="仿宋" w:eastAsia="仿宋" w:cs="仿宋"/>
          <w:color w:val="auto"/>
          <w:szCs w:val="21"/>
          <w:highlight w:val="none"/>
          <w:u w:val="single"/>
          <w:lang w:val="en-US" w:eastAsia="zh-CN"/>
        </w:rPr>
        <w:t>5</w:t>
      </w:r>
      <w:r>
        <w:rPr>
          <w:rFonts w:hint="eastAsia" w:ascii="仿宋" w:hAnsi="仿宋" w:eastAsia="仿宋" w:cs="仿宋"/>
          <w:color w:val="auto"/>
          <w:szCs w:val="21"/>
          <w:highlight w:val="none"/>
          <w:u w:val="single"/>
        </w:rPr>
        <w:t>0万元）。</w:t>
      </w:r>
    </w:p>
    <w:p w14:paraId="575A437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3.3.3 承包人无正当理由拒绝撤换主要施工管理人员的违约责任：</w:t>
      </w:r>
      <w:r>
        <w:rPr>
          <w:rFonts w:hint="eastAsia" w:ascii="仿宋" w:hAnsi="仿宋" w:eastAsia="仿宋" w:cs="仿宋"/>
          <w:color w:val="auto"/>
          <w:szCs w:val="21"/>
          <w:highlight w:val="none"/>
          <w:u w:val="single"/>
        </w:rPr>
        <w:t xml:space="preserve">  技术负责人处20000元/人</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次的违约金，其他管理人员处5000元/人</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次的违约金</w:t>
      </w:r>
      <w:r>
        <w:rPr>
          <w:rFonts w:hint="eastAsia" w:ascii="仿宋" w:hAnsi="仿宋" w:eastAsia="仿宋" w:cs="仿宋"/>
          <w:color w:val="auto"/>
          <w:szCs w:val="21"/>
          <w:highlight w:val="none"/>
        </w:rPr>
        <w:t>。</w:t>
      </w:r>
    </w:p>
    <w:p w14:paraId="2FF61B82">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3.3.4 承包人主要施工管理人员离开施工现场的批准要求：报监理人和发包人书面批准。</w:t>
      </w:r>
    </w:p>
    <w:p w14:paraId="72FA667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3.3.5承包人擅自更换主要施工管理人员的违约责任：在施工期间不准更换，特殊情况要求更换的，须经发包人</w:t>
      </w:r>
      <w:r>
        <w:rPr>
          <w:rFonts w:hint="eastAsia" w:ascii="仿宋" w:hAnsi="仿宋" w:eastAsia="仿宋" w:cs="仿宋"/>
          <w:color w:val="auto"/>
          <w:szCs w:val="21"/>
          <w:highlight w:val="none"/>
          <w:lang w:val="en-US" w:eastAsia="zh-Hans"/>
        </w:rPr>
        <w:t>书面</w:t>
      </w:r>
      <w:r>
        <w:rPr>
          <w:rFonts w:hint="eastAsia" w:ascii="仿宋" w:hAnsi="仿宋" w:eastAsia="仿宋" w:cs="仿宋"/>
          <w:color w:val="auto"/>
          <w:szCs w:val="21"/>
          <w:highlight w:val="none"/>
        </w:rPr>
        <w:t>同意备案</w:t>
      </w:r>
      <w:r>
        <w:rPr>
          <w:rFonts w:hint="default" w:ascii="仿宋" w:hAnsi="仿宋" w:eastAsia="仿宋" w:cs="仿宋"/>
          <w:color w:val="auto"/>
          <w:szCs w:val="21"/>
          <w:highlight w:val="none"/>
        </w:rPr>
        <w:t>，</w:t>
      </w:r>
      <w:r>
        <w:rPr>
          <w:rFonts w:hint="eastAsia" w:ascii="仿宋" w:hAnsi="仿宋" w:eastAsia="仿宋" w:cs="仿宋"/>
          <w:color w:val="auto"/>
          <w:szCs w:val="21"/>
          <w:highlight w:val="none"/>
        </w:rPr>
        <w:t>且处违约金分别为合同额的0.5%（不高于10万元）（技术负责人）、合同额的0.2%（不高于5万元）（其他人员）；承包人擅自更换技术负责人、其他人员的</w:t>
      </w:r>
      <w:r>
        <w:rPr>
          <w:rFonts w:hint="default" w:ascii="仿宋" w:hAnsi="仿宋" w:eastAsia="仿宋" w:cs="仿宋"/>
          <w:color w:val="auto"/>
          <w:szCs w:val="21"/>
          <w:highlight w:val="none"/>
        </w:rPr>
        <w:t>，</w:t>
      </w:r>
      <w:r>
        <w:rPr>
          <w:rFonts w:hint="eastAsia" w:ascii="仿宋" w:hAnsi="仿宋" w:eastAsia="仿宋" w:cs="仿宋"/>
          <w:color w:val="auto"/>
          <w:szCs w:val="21"/>
          <w:highlight w:val="none"/>
        </w:rPr>
        <w:t>将被视为承包人违约，额外处以违约金分别为合同额的0.5%（不高于20万元）（技术负责人）、合同额的0.2%（不高于10万元）（其他人员），情节严重的发包人有权</w:t>
      </w:r>
      <w:r>
        <w:rPr>
          <w:rFonts w:hint="eastAsia" w:ascii="仿宋" w:hAnsi="仿宋" w:eastAsia="仿宋" w:cs="仿宋"/>
          <w:color w:val="auto"/>
          <w:szCs w:val="21"/>
          <w:highlight w:val="none"/>
          <w:lang w:val="en-US" w:eastAsia="zh-Hans"/>
        </w:rPr>
        <w:t>立即单方</w:t>
      </w:r>
      <w:r>
        <w:rPr>
          <w:rFonts w:hint="eastAsia" w:ascii="仿宋" w:hAnsi="仿宋" w:eastAsia="仿宋" w:cs="仿宋"/>
          <w:color w:val="auto"/>
          <w:szCs w:val="21"/>
          <w:highlight w:val="none"/>
        </w:rPr>
        <w:t>解除合同。</w:t>
      </w:r>
    </w:p>
    <w:p w14:paraId="4EA2AF4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bookmarkStart w:id="526" w:name="_Toc292559364"/>
      <w:bookmarkStart w:id="527" w:name="_Toc296891199"/>
      <w:bookmarkStart w:id="528" w:name="_Toc303539102"/>
      <w:bookmarkStart w:id="529" w:name="_Toc296347158"/>
      <w:bookmarkStart w:id="530" w:name="_Toc297123492"/>
      <w:bookmarkStart w:id="531" w:name="_Toc304295523"/>
      <w:bookmarkStart w:id="532" w:name="_Toc296346660"/>
      <w:bookmarkStart w:id="533" w:name="_Toc296890987"/>
      <w:bookmarkStart w:id="534" w:name="_Toc296944498"/>
      <w:bookmarkStart w:id="535" w:name="_Toc300934945"/>
      <w:bookmarkStart w:id="536" w:name="_Toc297216151"/>
      <w:bookmarkStart w:id="537" w:name="_Toc292559869"/>
      <w:bookmarkStart w:id="538" w:name="_Toc297048345"/>
      <w:bookmarkStart w:id="539" w:name="_Toc297120459"/>
      <w:bookmarkStart w:id="540" w:name="_Toc296503159"/>
      <w:bookmarkStart w:id="541" w:name="_Toc312677988"/>
      <w:r>
        <w:rPr>
          <w:rFonts w:hint="eastAsia" w:ascii="仿宋" w:hAnsi="仿宋" w:eastAsia="仿宋" w:cs="仿宋"/>
          <w:color w:val="auto"/>
          <w:szCs w:val="21"/>
          <w:highlight w:val="none"/>
        </w:rPr>
        <w:t>.5 分包</w:t>
      </w:r>
    </w:p>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14:paraId="17D07AD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bookmarkStart w:id="542" w:name="_Toc297048346"/>
      <w:bookmarkStart w:id="543" w:name="_Toc303539103"/>
      <w:bookmarkStart w:id="544" w:name="_Toc297216152"/>
      <w:bookmarkStart w:id="545" w:name="_Toc296890988"/>
      <w:bookmarkStart w:id="546" w:name="_Toc297123493"/>
      <w:bookmarkStart w:id="547" w:name="_Toc296347159"/>
      <w:bookmarkStart w:id="548" w:name="_Toc304295524"/>
      <w:bookmarkStart w:id="549" w:name="_Toc297120460"/>
      <w:bookmarkStart w:id="550" w:name="_Toc300934946"/>
      <w:bookmarkStart w:id="551" w:name="_Toc296346661"/>
      <w:bookmarkStart w:id="552" w:name="_Toc292559870"/>
      <w:bookmarkStart w:id="553" w:name="_Toc296891200"/>
      <w:bookmarkStart w:id="554" w:name="_Toc296944499"/>
      <w:bookmarkStart w:id="555" w:name="_Toc296503160"/>
      <w:bookmarkStart w:id="556" w:name="_Toc292559365"/>
      <w:bookmarkStart w:id="557" w:name="_Toc312677989"/>
      <w:bookmarkStart w:id="558" w:name="_Toc318581158"/>
      <w:r>
        <w:rPr>
          <w:rFonts w:hint="eastAsia" w:ascii="仿宋" w:hAnsi="仿宋" w:eastAsia="仿宋" w:cs="仿宋"/>
          <w:color w:val="auto"/>
          <w:szCs w:val="21"/>
          <w:highlight w:val="none"/>
        </w:rPr>
        <w:t>.5.1 分包的一般约定</w:t>
      </w:r>
    </w:p>
    <w:p w14:paraId="324D795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禁止分包的工程包括：</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432C99C4">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主体结构、关键性工作的范围：</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Start w:id="559" w:name="_Toc296347160"/>
      <w:bookmarkStart w:id="560" w:name="_Toc297216153"/>
      <w:bookmarkStart w:id="561" w:name="_Toc297048347"/>
      <w:bookmarkStart w:id="562" w:name="_Toc296944500"/>
      <w:bookmarkStart w:id="563" w:name="_Toc296891201"/>
      <w:bookmarkStart w:id="564" w:name="_Toc303539104"/>
      <w:bookmarkStart w:id="565" w:name="_Toc304295525"/>
      <w:bookmarkStart w:id="566" w:name="_Toc296503161"/>
      <w:bookmarkStart w:id="567" w:name="_Toc296890989"/>
      <w:bookmarkStart w:id="568" w:name="_Toc297120461"/>
      <w:bookmarkStart w:id="569" w:name="_Toc296346662"/>
      <w:bookmarkStart w:id="570" w:name="_Toc297123494"/>
      <w:bookmarkStart w:id="571" w:name="_Toc300934947"/>
    </w:p>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14:paraId="6E997ACB">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3</w:t>
      </w:r>
      <w:bookmarkStart w:id="572" w:name="_Toc318581159"/>
      <w:bookmarkStart w:id="573" w:name="_Toc312677990"/>
      <w:r>
        <w:rPr>
          <w:rFonts w:hint="eastAsia" w:ascii="仿宋" w:hAnsi="仿宋" w:eastAsia="仿宋" w:cs="仿宋"/>
          <w:color w:val="auto"/>
          <w:szCs w:val="21"/>
          <w:highlight w:val="none"/>
        </w:rPr>
        <w:t>.5.2分包的确定</w:t>
      </w:r>
    </w:p>
    <w:p w14:paraId="1B6AFA17">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允许分包的专业工程包括：</w:t>
      </w:r>
      <w:r>
        <w:rPr>
          <w:rFonts w:hint="eastAsia" w:ascii="仿宋" w:hAnsi="仿宋" w:eastAsia="仿宋" w:cs="仿宋"/>
          <w:color w:val="auto"/>
          <w:szCs w:val="21"/>
          <w:highlight w:val="none"/>
          <w:u w:val="single"/>
        </w:rPr>
        <w:t xml:space="preserve">无   </w:t>
      </w:r>
      <w:r>
        <w:rPr>
          <w:rFonts w:hint="eastAsia" w:ascii="仿宋" w:hAnsi="仿宋" w:eastAsia="仿宋" w:cs="仿宋"/>
          <w:color w:val="auto"/>
          <w:szCs w:val="21"/>
          <w:highlight w:val="none"/>
        </w:rPr>
        <w:t>。</w:t>
      </w:r>
    </w:p>
    <w:p w14:paraId="25B3DF4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其他关于分包的约定：</w:t>
      </w:r>
      <w:r>
        <w:rPr>
          <w:rFonts w:hint="eastAsia" w:ascii="仿宋" w:hAnsi="仿宋" w:eastAsia="仿宋" w:cs="仿宋"/>
          <w:color w:val="auto"/>
          <w:szCs w:val="21"/>
          <w:highlight w:val="none"/>
          <w:u w:val="single"/>
        </w:rPr>
        <w:t xml:space="preserve"> 分包单位必须经发包人书面同意后方可与总包单位签订专业分包协议。分包工程进度必须符合总进度计划要求。承包人不得以任何形式进行转包</w:t>
      </w:r>
      <w:r>
        <w:rPr>
          <w:rFonts w:hint="eastAsia" w:ascii="仿宋" w:hAnsi="仿宋" w:eastAsia="仿宋" w:cs="仿宋"/>
          <w:color w:val="auto"/>
          <w:szCs w:val="21"/>
          <w:highlight w:val="none"/>
          <w:u w:val="single"/>
          <w:lang w:val="en-US" w:eastAsia="zh-Hans"/>
        </w:rPr>
        <w:t>或未经发包人书面同意分包</w:t>
      </w:r>
      <w:r>
        <w:rPr>
          <w:rFonts w:hint="eastAsia" w:ascii="仿宋" w:hAnsi="仿宋" w:eastAsia="仿宋" w:cs="仿宋"/>
          <w:color w:val="auto"/>
          <w:szCs w:val="21"/>
          <w:highlight w:val="none"/>
          <w:u w:val="single"/>
        </w:rPr>
        <w:t>，如发生转包的或非法分包的，发包人将上报建设行政主管部门依法处置并扣缴其履约担保，</w:t>
      </w:r>
      <w:r>
        <w:rPr>
          <w:rFonts w:hint="eastAsia" w:ascii="仿宋" w:hAnsi="仿宋" w:eastAsia="仿宋" w:cs="仿宋"/>
          <w:color w:val="auto"/>
          <w:szCs w:val="21"/>
          <w:highlight w:val="none"/>
          <w:u w:val="single"/>
          <w:lang w:val="en-US" w:eastAsia="zh-Hans"/>
        </w:rPr>
        <w:t>发包人有权立即单方面解除合同</w:t>
      </w:r>
      <w:r>
        <w:rPr>
          <w:rFonts w:hint="eastAsia" w:ascii="仿宋" w:hAnsi="仿宋" w:eastAsia="仿宋" w:cs="仿宋"/>
          <w:color w:val="auto"/>
          <w:szCs w:val="21"/>
          <w:highlight w:val="none"/>
          <w:u w:val="single"/>
          <w:lang w:eastAsia="zh-Hans"/>
        </w:rPr>
        <w:t>，</w:t>
      </w:r>
      <w:r>
        <w:rPr>
          <w:rFonts w:hint="eastAsia" w:ascii="仿宋" w:hAnsi="仿宋" w:eastAsia="仿宋" w:cs="仿宋"/>
          <w:color w:val="auto"/>
          <w:szCs w:val="21"/>
          <w:highlight w:val="none"/>
          <w:u w:val="single"/>
          <w:lang w:val="en-US" w:eastAsia="zh-Hans"/>
        </w:rPr>
        <w:t>由此引起的一切损失由承包人承担</w:t>
      </w:r>
      <w:r>
        <w:rPr>
          <w:rFonts w:hint="eastAsia" w:ascii="仿宋" w:hAnsi="仿宋" w:eastAsia="仿宋" w:cs="仿宋"/>
          <w:color w:val="auto"/>
          <w:szCs w:val="21"/>
          <w:highlight w:val="none"/>
          <w:u w:val="single"/>
        </w:rPr>
        <w:t>。在合同执行过程中，若发现存在下列情况的视作转包或非法分包：</w:t>
      </w:r>
    </w:p>
    <w:p w14:paraId="3EBD9694">
      <w:pPr>
        <w:adjustRightInd/>
        <w:spacing w:line="400" w:lineRule="exact"/>
        <w:ind w:firstLine="420" w:firstLineChars="200"/>
        <w:rPr>
          <w:rFonts w:hint="eastAsia" w:ascii="仿宋" w:hAnsi="仿宋" w:eastAsia="仿宋" w:cs="仿宋"/>
          <w:color w:val="auto"/>
          <w:szCs w:val="21"/>
          <w:highlight w:val="none"/>
          <w:u w:val="single"/>
        </w:rPr>
      </w:pPr>
      <w:bookmarkStart w:id="574" w:name="_Toc384745511"/>
      <w:bookmarkStart w:id="575" w:name="_Toc384726607"/>
      <w:r>
        <w:rPr>
          <w:rFonts w:hint="eastAsia" w:ascii="仿宋" w:hAnsi="仿宋" w:eastAsia="仿宋" w:cs="仿宋"/>
          <w:color w:val="auto"/>
          <w:szCs w:val="21"/>
          <w:highlight w:val="none"/>
          <w:u w:val="single"/>
        </w:rPr>
        <w:t>1）承包人不履行合同约定的工期，成本、质量，安全生产等责任和义务，将其承包的全部建设工程转给他人承包的。</w:t>
      </w:r>
      <w:bookmarkEnd w:id="574"/>
      <w:bookmarkEnd w:id="575"/>
    </w:p>
    <w:p w14:paraId="3163E24D">
      <w:pPr>
        <w:adjustRightInd/>
        <w:spacing w:line="400" w:lineRule="exact"/>
        <w:ind w:firstLine="420" w:firstLineChars="200"/>
        <w:rPr>
          <w:rFonts w:hint="eastAsia" w:ascii="仿宋" w:hAnsi="仿宋" w:eastAsia="仿宋" w:cs="仿宋"/>
          <w:color w:val="auto"/>
          <w:szCs w:val="21"/>
          <w:highlight w:val="none"/>
          <w:u w:val="single"/>
        </w:rPr>
      </w:pPr>
      <w:bookmarkStart w:id="576" w:name="_Toc384726608"/>
      <w:bookmarkStart w:id="577" w:name="_Toc384745512"/>
      <w:r>
        <w:rPr>
          <w:rFonts w:hint="eastAsia" w:ascii="仿宋" w:hAnsi="仿宋" w:eastAsia="仿宋" w:cs="仿宋"/>
          <w:color w:val="auto"/>
          <w:szCs w:val="21"/>
          <w:highlight w:val="none"/>
          <w:u w:val="single"/>
        </w:rPr>
        <w:t>2）承包人将其承包的全部建设工程肢解后，以分包名义转给他人承包的。</w:t>
      </w:r>
      <w:bookmarkEnd w:id="576"/>
      <w:bookmarkEnd w:id="577"/>
    </w:p>
    <w:p w14:paraId="460444DA">
      <w:pPr>
        <w:adjustRightInd/>
        <w:spacing w:line="400" w:lineRule="exact"/>
        <w:ind w:firstLine="420" w:firstLineChars="200"/>
        <w:rPr>
          <w:rFonts w:hint="eastAsia" w:ascii="仿宋" w:hAnsi="仿宋" w:eastAsia="仿宋" w:cs="仿宋"/>
          <w:color w:val="auto"/>
          <w:szCs w:val="21"/>
          <w:highlight w:val="none"/>
          <w:u w:val="single"/>
        </w:rPr>
      </w:pPr>
      <w:bookmarkStart w:id="578" w:name="_Toc384745513"/>
      <w:bookmarkStart w:id="579" w:name="_Toc384726609"/>
      <w:r>
        <w:rPr>
          <w:rFonts w:hint="eastAsia" w:ascii="仿宋" w:hAnsi="仿宋" w:eastAsia="仿宋" w:cs="仿宋"/>
          <w:color w:val="auto"/>
          <w:szCs w:val="21"/>
          <w:highlight w:val="none"/>
          <w:u w:val="single"/>
        </w:rPr>
        <w:t>3）承包人将主体结构工程转给他人承包的。</w:t>
      </w:r>
      <w:bookmarkEnd w:id="578"/>
      <w:bookmarkEnd w:id="579"/>
    </w:p>
    <w:p w14:paraId="3496F448">
      <w:pPr>
        <w:adjustRightInd/>
        <w:spacing w:line="400" w:lineRule="exact"/>
        <w:ind w:firstLine="420" w:firstLineChars="200"/>
        <w:rPr>
          <w:rFonts w:hint="eastAsia" w:ascii="仿宋" w:hAnsi="仿宋" w:eastAsia="仿宋" w:cs="仿宋"/>
          <w:color w:val="auto"/>
          <w:szCs w:val="21"/>
          <w:highlight w:val="none"/>
          <w:u w:val="single"/>
        </w:rPr>
      </w:pPr>
      <w:bookmarkStart w:id="580" w:name="_Toc384745514"/>
      <w:bookmarkStart w:id="581" w:name="_Toc384726610"/>
      <w:r>
        <w:rPr>
          <w:rFonts w:hint="eastAsia" w:ascii="仿宋" w:hAnsi="仿宋" w:eastAsia="仿宋" w:cs="仿宋"/>
          <w:color w:val="auto"/>
          <w:szCs w:val="21"/>
          <w:highlight w:val="none"/>
          <w:u w:val="single"/>
        </w:rPr>
        <w:t>4）施工承包人未在施工现场设立项目管理机构和派驻相应人员进行组织管理的。或者施工现场的项目经理及主要工程管理人员与承包人之间无劳动合同及社会保险关系。</w:t>
      </w:r>
      <w:bookmarkEnd w:id="580"/>
      <w:bookmarkEnd w:id="581"/>
    </w:p>
    <w:p w14:paraId="4E1142DF">
      <w:pPr>
        <w:adjustRightInd/>
        <w:spacing w:line="400" w:lineRule="exact"/>
        <w:ind w:firstLine="420" w:firstLineChars="200"/>
        <w:rPr>
          <w:rFonts w:hint="eastAsia" w:ascii="仿宋" w:hAnsi="仿宋" w:eastAsia="仿宋" w:cs="仿宋"/>
          <w:color w:val="auto"/>
          <w:szCs w:val="21"/>
          <w:highlight w:val="none"/>
          <w:u w:val="single"/>
        </w:rPr>
      </w:pPr>
      <w:bookmarkStart w:id="582" w:name="_Toc384745515"/>
      <w:bookmarkStart w:id="583" w:name="_Toc384726611"/>
      <w:r>
        <w:rPr>
          <w:rFonts w:hint="eastAsia" w:ascii="仿宋" w:hAnsi="仿宋" w:eastAsia="仿宋" w:cs="仿宋"/>
          <w:color w:val="auto"/>
          <w:szCs w:val="21"/>
          <w:highlight w:val="none"/>
          <w:u w:val="single"/>
        </w:rPr>
        <w:t>5）施工现场的项目经理及主要管理人员与合同约定的项目经理及主要管理人员不符。</w:t>
      </w:r>
      <w:bookmarkEnd w:id="582"/>
      <w:bookmarkEnd w:id="583"/>
    </w:p>
    <w:p w14:paraId="0CDE048D">
      <w:pPr>
        <w:adjustRightInd/>
        <w:spacing w:line="400" w:lineRule="exact"/>
        <w:ind w:firstLine="420" w:firstLineChars="200"/>
        <w:rPr>
          <w:rFonts w:hint="eastAsia" w:ascii="仿宋" w:hAnsi="仿宋" w:eastAsia="仿宋" w:cs="仿宋"/>
          <w:color w:val="auto"/>
          <w:szCs w:val="21"/>
          <w:highlight w:val="none"/>
          <w:u w:val="single"/>
        </w:rPr>
      </w:pPr>
      <w:bookmarkStart w:id="584" w:name="_Toc384726612"/>
      <w:bookmarkStart w:id="585" w:name="_Toc384745516"/>
      <w:r>
        <w:rPr>
          <w:rFonts w:hint="eastAsia" w:ascii="仿宋" w:hAnsi="仿宋" w:eastAsia="仿宋" w:cs="仿宋"/>
          <w:color w:val="auto"/>
          <w:szCs w:val="21"/>
          <w:highlight w:val="none"/>
          <w:u w:val="single"/>
        </w:rPr>
        <w:t>6）实行工程总承包或施工总承包的工程，总承包人和总承包人范围内的分包工程，发包人为两个独立发包单位。</w:t>
      </w:r>
      <w:bookmarkEnd w:id="584"/>
      <w:bookmarkEnd w:id="585"/>
    </w:p>
    <w:p w14:paraId="1C257F37">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7）承包人将工程分包给不具备相应资质条件的单位 。</w:t>
      </w:r>
    </w:p>
    <w:p w14:paraId="2B15ABE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3.5.4 分包合同价款</w:t>
      </w:r>
    </w:p>
    <w:p w14:paraId="3F690DB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关于分包合同价款支付的约定：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bookmarkEnd w:id="572"/>
    <w:bookmarkEnd w:id="573"/>
    <w:p w14:paraId="5BE774A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3.6 工程照管与成品、半成品保护</w:t>
      </w:r>
    </w:p>
    <w:p w14:paraId="3851E8B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承包人负责照管工程及工程相关的材料、工程设备的起始时间：</w:t>
      </w:r>
    </w:p>
    <w:p w14:paraId="6BF47CF2">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（1）开工日后，施工场地由承包人负责保管并负担保管费用。</w:t>
      </w:r>
    </w:p>
    <w:p w14:paraId="470F64A4">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（2）施工期间，承包人实施的在建工程，承包人采购的物资、使用的设备，以及发包人采购但已经交付给承包人的物资、设备，由承包人负责保管并负担保管费用。</w:t>
      </w:r>
    </w:p>
    <w:p w14:paraId="42073490">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（3）竣工日后到</w:t>
      </w:r>
      <w:r>
        <w:rPr>
          <w:rFonts w:hint="eastAsia" w:ascii="仿宋" w:hAnsi="仿宋" w:eastAsia="仿宋" w:cs="仿宋"/>
          <w:color w:val="auto"/>
          <w:szCs w:val="21"/>
          <w:highlight w:val="none"/>
          <w:u w:val="single"/>
          <w:lang w:val="en-US" w:eastAsia="zh-Hans"/>
        </w:rPr>
        <w:t>发包人通知</w:t>
      </w:r>
      <w:r>
        <w:rPr>
          <w:rFonts w:hint="eastAsia" w:ascii="仿宋" w:hAnsi="仿宋" w:eastAsia="仿宋" w:cs="仿宋"/>
          <w:color w:val="auto"/>
          <w:szCs w:val="21"/>
          <w:highlight w:val="none"/>
          <w:u w:val="single"/>
        </w:rPr>
        <w:t>的工程移交日前，竣工工程（包括附属设备、设施），由承包人负责保管并负担保管费用。</w:t>
      </w:r>
    </w:p>
    <w:p w14:paraId="2CD9EF8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（4）</w:t>
      </w:r>
      <w:r>
        <w:rPr>
          <w:rFonts w:hint="eastAsia" w:ascii="仿宋" w:hAnsi="仿宋" w:eastAsia="仿宋" w:cs="仿宋"/>
          <w:color w:val="auto"/>
          <w:szCs w:val="21"/>
          <w:highlight w:val="none"/>
          <w:u w:val="single"/>
          <w:lang w:val="en-US" w:eastAsia="zh-Hans"/>
        </w:rPr>
        <w:t>发包人通知</w:t>
      </w:r>
      <w:r>
        <w:rPr>
          <w:rFonts w:hint="eastAsia" w:ascii="仿宋" w:hAnsi="仿宋" w:eastAsia="仿宋" w:cs="仿宋"/>
          <w:color w:val="auto"/>
          <w:szCs w:val="21"/>
          <w:highlight w:val="none"/>
          <w:u w:val="single"/>
        </w:rPr>
        <w:t>的工程移交日后，对于承包人已经移交给发包人的竣工工程（包括附属设备、设施），由发包人负责保管并负担保管费用；对于承包人尚未移交给发包人的竣工工程（包括附属设备、设施），由承包人负责保管并负担保管费用。</w:t>
      </w:r>
    </w:p>
    <w:p w14:paraId="1914323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5）在承包人保管期间，发生工程、物资、设施设备等损坏、减少、灭失的，承包人应及时自费修复、补足、恢复原状。若承包人无法自行修复、补足、恢复原状的，应及时书面告知发包人，并承担由此产生的全部赔偿责任。造成的工期延期的，承包人</w:t>
      </w:r>
      <w:r>
        <w:rPr>
          <w:rFonts w:hint="eastAsia" w:ascii="仿宋" w:hAnsi="仿宋" w:eastAsia="仿宋" w:cs="仿宋"/>
          <w:color w:val="auto"/>
          <w:szCs w:val="21"/>
          <w:highlight w:val="none"/>
          <w:u w:val="single"/>
          <w:lang w:val="en-US" w:eastAsia="zh-Hans"/>
        </w:rPr>
        <w:t>需承担工期延期的违约责任</w:t>
      </w:r>
      <w:r>
        <w:rPr>
          <w:rFonts w:hint="eastAsia" w:ascii="仿宋" w:hAnsi="仿宋" w:eastAsia="仿宋" w:cs="仿宋"/>
          <w:color w:val="auto"/>
          <w:szCs w:val="21"/>
          <w:highlight w:val="none"/>
          <w:u w:val="single"/>
        </w:rPr>
        <w:t>。</w:t>
      </w:r>
    </w:p>
    <w:p w14:paraId="67D939F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3.7 履约担保</w:t>
      </w:r>
    </w:p>
    <w:p w14:paraId="20D3BCD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承包人是否提供履约担保：</w:t>
      </w:r>
      <w:r>
        <w:rPr>
          <w:rFonts w:hint="eastAsia" w:ascii="仿宋" w:hAnsi="仿宋" w:eastAsia="仿宋" w:cs="仿宋"/>
          <w:color w:val="auto"/>
          <w:szCs w:val="21"/>
          <w:highlight w:val="none"/>
          <w:u w:val="single"/>
        </w:rPr>
        <w:t xml:space="preserve">    是     </w:t>
      </w:r>
      <w:r>
        <w:rPr>
          <w:rFonts w:hint="eastAsia" w:ascii="仿宋" w:hAnsi="仿宋" w:eastAsia="仿宋" w:cs="仿宋"/>
          <w:color w:val="auto"/>
          <w:szCs w:val="21"/>
          <w:highlight w:val="none"/>
        </w:rPr>
        <w:t>。</w:t>
      </w:r>
    </w:p>
    <w:p w14:paraId="270ABF30">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承包人提供履约担保的形式、金额及期限的：</w:t>
      </w:r>
      <w:r>
        <w:rPr>
          <w:rFonts w:hint="eastAsia" w:ascii="仿宋" w:hAnsi="仿宋" w:eastAsia="仿宋" w:cs="仿宋"/>
          <w:color w:val="auto"/>
          <w:szCs w:val="21"/>
          <w:highlight w:val="none"/>
          <w:u w:val="single"/>
        </w:rPr>
        <w:t>本工程要求承包人提供的履约担保金额为合同总价的</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u w:val="single"/>
        </w:rPr>
        <w:t>%（采用支票、汇票、转帐、银行保函、保险机构保证保险保单或融资担保公司保函等）；</w:t>
      </w:r>
      <w:bookmarkStart w:id="586" w:name="OLE_LINK26"/>
      <w:r>
        <w:rPr>
          <w:rFonts w:hint="eastAsia" w:ascii="仿宋" w:hAnsi="仿宋" w:eastAsia="仿宋" w:cs="仿宋"/>
          <w:color w:val="auto"/>
          <w:szCs w:val="21"/>
          <w:highlight w:val="none"/>
          <w:u w:val="single"/>
        </w:rPr>
        <w:t>在合同签订后</w:t>
      </w:r>
      <w:r>
        <w:rPr>
          <w:rFonts w:hint="eastAsia" w:ascii="仿宋" w:hAnsi="仿宋" w:eastAsia="仿宋" w:cs="仿宋"/>
          <w:color w:val="auto"/>
          <w:szCs w:val="21"/>
          <w:highlight w:val="none"/>
          <w:u w:val="single"/>
          <w:lang w:val="en-US" w:eastAsia="zh-CN"/>
        </w:rPr>
        <w:t>5个工作日</w:t>
      </w:r>
      <w:r>
        <w:rPr>
          <w:rFonts w:hint="eastAsia" w:ascii="仿宋" w:hAnsi="仿宋" w:eastAsia="仿宋" w:cs="仿宋"/>
          <w:color w:val="auto"/>
          <w:szCs w:val="21"/>
          <w:highlight w:val="none"/>
          <w:u w:val="single"/>
        </w:rPr>
        <w:t>内提交，承包人若未按合同约定时间交纳履约担保，发包人将延迟支付工程款项并处以按迟交天数日乘合同价(合同价1000万元以上的以履约担保金额为基数)的万分之五的违约金。若采用履约保函形式，因故导致保函有效期在竣工验收前过期的，乙方无条件做好延期，未按时延期的，视同未按时交纳履约担保，按合同价的万分之五／日计算违约金。</w:t>
      </w:r>
      <w:bookmarkEnd w:id="586"/>
      <w:r>
        <w:rPr>
          <w:rFonts w:hint="eastAsia" w:ascii="仿宋" w:hAnsi="仿宋" w:eastAsia="仿宋" w:cs="仿宋"/>
          <w:color w:val="auto"/>
          <w:szCs w:val="21"/>
          <w:highlight w:val="none"/>
          <w:u w:val="single"/>
        </w:rPr>
        <w:t>履约担保划分如下：其中工程质量履约担保占履约担保总额的20%，工期履约担保占履约担保总额的40%，安全、文明施工履约担保占履约担保总额的20%，项目班组履约担保占履约担保总额的20%。</w:t>
      </w:r>
    </w:p>
    <w:p w14:paraId="7A22484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银行保函从签订本合同至竣工验收合格后90天内有效。</w:t>
      </w:r>
    </w:p>
    <w:p w14:paraId="34EC0B8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履约担保的退还：</w:t>
      </w:r>
      <w:r>
        <w:rPr>
          <w:rFonts w:hint="eastAsia" w:ascii="仿宋" w:hAnsi="仿宋" w:eastAsia="仿宋" w:cs="仿宋"/>
          <w:color w:val="auto"/>
          <w:szCs w:val="21"/>
          <w:highlight w:val="none"/>
          <w:u w:val="single"/>
        </w:rPr>
        <w:t>承包人完成全部合同约定内容，合同履约期间无违约行为，一次性竣工验收合格的，则在工程竣工验收合格后10日内，发包人退还履约担保。</w:t>
      </w:r>
    </w:p>
    <w:p w14:paraId="61F6477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本合同履行期间，承包人违反合同而应承担金钱责任被提取履约担保的，则承包人应自履约担保被提取之日起7个日内将被提取的履约担保的数额补足，否则视为承包人违约，按照应填补而未填补数额以每日万分之五的标准承担逾期填补违约金。</w:t>
      </w:r>
    </w:p>
    <w:p w14:paraId="505D83C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3.8 </w:t>
      </w:r>
    </w:p>
    <w:p w14:paraId="2EAC4BCF">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3.8.1  联合体所承担的连带责任持续有效而无需再行作出书面约定，唯有不承担连带责任之特殊情形，须另行作出书面约定。</w:t>
      </w:r>
    </w:p>
    <w:p w14:paraId="5F6AF09E">
      <w:pPr>
        <w:keepNext/>
        <w:keepLines/>
        <w:adjustRightInd/>
        <w:spacing w:line="400" w:lineRule="exact"/>
        <w:outlineLvl w:val="3"/>
        <w:rPr>
          <w:rFonts w:hint="eastAsia" w:ascii="仿宋" w:hAnsi="仿宋" w:eastAsia="仿宋" w:cs="仿宋"/>
          <w:bCs/>
          <w:color w:val="auto"/>
          <w:szCs w:val="21"/>
          <w:highlight w:val="none"/>
        </w:rPr>
      </w:pPr>
      <w:bookmarkStart w:id="587" w:name="_Toc351203636"/>
      <w:r>
        <w:rPr>
          <w:rFonts w:hint="eastAsia" w:ascii="仿宋" w:hAnsi="仿宋" w:eastAsia="仿宋" w:cs="仿宋"/>
          <w:bCs/>
          <w:color w:val="auto"/>
          <w:szCs w:val="21"/>
          <w:highlight w:val="none"/>
        </w:rPr>
        <w:t>4</w:t>
      </w:r>
      <w:bookmarkStart w:id="588" w:name="_Toc297048348"/>
      <w:bookmarkStart w:id="589" w:name="_Toc292559366"/>
      <w:bookmarkStart w:id="590" w:name="_Toc267251413"/>
      <w:bookmarkStart w:id="591" w:name="_Toc296944501"/>
      <w:bookmarkStart w:id="592" w:name="_Toc296346663"/>
      <w:bookmarkStart w:id="593" w:name="_Toc296503162"/>
      <w:bookmarkStart w:id="594" w:name="_Toc296891202"/>
      <w:bookmarkStart w:id="595" w:name="_Toc292559871"/>
      <w:bookmarkStart w:id="596" w:name="_Toc296347161"/>
      <w:bookmarkStart w:id="597" w:name="_Toc297120462"/>
      <w:bookmarkStart w:id="598" w:name="_Toc296890990"/>
      <w:r>
        <w:rPr>
          <w:rFonts w:hint="eastAsia" w:ascii="仿宋" w:hAnsi="仿宋" w:eastAsia="仿宋" w:cs="仿宋"/>
          <w:bCs/>
          <w:color w:val="auto"/>
          <w:szCs w:val="21"/>
          <w:highlight w:val="none"/>
        </w:rPr>
        <w:t>. 监</w:t>
      </w:r>
      <w:bookmarkEnd w:id="588"/>
      <w:bookmarkEnd w:id="589"/>
      <w:bookmarkEnd w:id="590"/>
      <w:bookmarkEnd w:id="591"/>
      <w:bookmarkEnd w:id="592"/>
      <w:bookmarkEnd w:id="593"/>
      <w:bookmarkEnd w:id="594"/>
      <w:bookmarkEnd w:id="595"/>
      <w:bookmarkEnd w:id="596"/>
      <w:bookmarkEnd w:id="597"/>
      <w:bookmarkEnd w:id="598"/>
      <w:r>
        <w:rPr>
          <w:rFonts w:hint="eastAsia" w:ascii="仿宋" w:hAnsi="仿宋" w:eastAsia="仿宋" w:cs="仿宋"/>
          <w:bCs/>
          <w:color w:val="auto"/>
          <w:szCs w:val="21"/>
          <w:highlight w:val="none"/>
        </w:rPr>
        <w:t>理人</w:t>
      </w:r>
      <w:bookmarkEnd w:id="587"/>
    </w:p>
    <w:p w14:paraId="391CA83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4.1监理人的一般规定</w:t>
      </w:r>
    </w:p>
    <w:p w14:paraId="65BC902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关于监理人的监理内容：</w:t>
      </w:r>
      <w:r>
        <w:rPr>
          <w:rFonts w:hint="eastAsia" w:ascii="仿宋" w:hAnsi="仿宋" w:eastAsia="仿宋" w:cs="仿宋"/>
          <w:color w:val="auto"/>
          <w:szCs w:val="21"/>
          <w:highlight w:val="none"/>
          <w:u w:val="single"/>
        </w:rPr>
        <w:t xml:space="preserve">  见本工程的委托监理合同    </w:t>
      </w:r>
      <w:r>
        <w:rPr>
          <w:rFonts w:hint="eastAsia" w:ascii="仿宋" w:hAnsi="仿宋" w:eastAsia="仿宋" w:cs="仿宋"/>
          <w:color w:val="auto"/>
          <w:szCs w:val="21"/>
          <w:highlight w:val="none"/>
        </w:rPr>
        <w:t>。</w:t>
      </w:r>
    </w:p>
    <w:p w14:paraId="2564E6D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关于监理人的监理权限：</w:t>
      </w:r>
      <w:r>
        <w:rPr>
          <w:rFonts w:hint="eastAsia" w:ascii="仿宋" w:hAnsi="仿宋" w:eastAsia="仿宋" w:cs="仿宋"/>
          <w:color w:val="auto"/>
          <w:szCs w:val="21"/>
          <w:highlight w:val="none"/>
          <w:u w:val="single"/>
        </w:rPr>
        <w:t xml:space="preserve">  根据监理合同、施工承包合同和法律法规规定的事项代表发包人进行工程前期协调、施工现场协调、工程监理   </w:t>
      </w:r>
      <w:r>
        <w:rPr>
          <w:rFonts w:hint="eastAsia" w:ascii="仿宋" w:hAnsi="仿宋" w:eastAsia="仿宋" w:cs="仿宋"/>
          <w:color w:val="auto"/>
          <w:szCs w:val="21"/>
          <w:highlight w:val="none"/>
        </w:rPr>
        <w:t xml:space="preserve">。 </w:t>
      </w:r>
    </w:p>
    <w:p w14:paraId="555000B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关于监理人在施工现场的办公场所、生活场所的提供和费用承担的约定：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1DB9F53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4.2 监理人员</w:t>
      </w:r>
    </w:p>
    <w:p w14:paraId="19C442A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总监理工程师：</w:t>
      </w:r>
    </w:p>
    <w:p w14:paraId="188CED6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    名：</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74325D4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    务：</w:t>
      </w:r>
      <w:r>
        <w:rPr>
          <w:rFonts w:hint="eastAsia" w:ascii="仿宋" w:hAnsi="仿宋" w:eastAsia="仿宋" w:cs="仿宋"/>
          <w:color w:val="auto"/>
          <w:szCs w:val="21"/>
          <w:highlight w:val="none"/>
          <w:u w:val="single"/>
        </w:rPr>
        <w:t>总监理工程师 </w:t>
      </w:r>
      <w:r>
        <w:rPr>
          <w:rFonts w:hint="eastAsia" w:ascii="仿宋" w:hAnsi="仿宋" w:eastAsia="仿宋" w:cs="仿宋"/>
          <w:color w:val="auto"/>
          <w:szCs w:val="21"/>
          <w:highlight w:val="none"/>
        </w:rPr>
        <w:t>；</w:t>
      </w:r>
    </w:p>
    <w:p w14:paraId="794F5A2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监理工程师执业资格证书号：</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w:t>
      </w:r>
    </w:p>
    <w:p w14:paraId="0003A75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432F4C2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电子信箱：</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4FDBF9E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通信地址：</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4E3BFB3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关于监理人的其他约定：</w:t>
      </w:r>
      <w:r>
        <w:rPr>
          <w:rFonts w:hint="eastAsia" w:ascii="仿宋" w:hAnsi="仿宋" w:eastAsia="仿宋" w:cs="仿宋"/>
          <w:color w:val="auto"/>
          <w:szCs w:val="21"/>
          <w:highlight w:val="none"/>
          <w:u w:val="single"/>
        </w:rPr>
        <w:t>需要取得发包人</w:t>
      </w:r>
      <w:r>
        <w:rPr>
          <w:rFonts w:hint="eastAsia" w:ascii="仿宋" w:hAnsi="仿宋" w:eastAsia="仿宋" w:cs="仿宋"/>
          <w:color w:val="auto"/>
          <w:szCs w:val="21"/>
          <w:highlight w:val="none"/>
          <w:u w:val="single"/>
          <w:lang w:val="en-US" w:eastAsia="zh-Hans"/>
        </w:rPr>
        <w:t>书面</w:t>
      </w:r>
      <w:r>
        <w:rPr>
          <w:rFonts w:hint="eastAsia" w:ascii="仿宋" w:hAnsi="仿宋" w:eastAsia="仿宋" w:cs="仿宋"/>
          <w:color w:val="auto"/>
          <w:szCs w:val="21"/>
          <w:highlight w:val="none"/>
          <w:u w:val="single"/>
        </w:rPr>
        <w:t>批准才能行使的职权：包括但不限于以下内容，（1）涉及全局进度的工程暂停、复工；（2）设计变更的估价；（3）索赔的支付；（4）涉及改变原设计意图；（5）涉及设计变更，工期延顺，材料价格，用材、追加工程款，经济补偿等。所有涉及工程付款或工期的签证需经发包人书面同意，签证才有效</w:t>
      </w:r>
      <w:r>
        <w:rPr>
          <w:rFonts w:hint="eastAsia" w:ascii="仿宋" w:hAnsi="仿宋" w:eastAsia="仿宋" w:cs="仿宋"/>
          <w:color w:val="auto"/>
          <w:szCs w:val="21"/>
          <w:highlight w:val="none"/>
        </w:rPr>
        <w:t>。</w:t>
      </w:r>
    </w:p>
    <w:p w14:paraId="521B509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4.4 商定或确定</w:t>
      </w:r>
    </w:p>
    <w:p w14:paraId="62396F67">
      <w:pPr>
        <w:adjustRightInd/>
        <w:spacing w:line="400" w:lineRule="exact"/>
        <w:ind w:firstLine="420" w:firstLineChars="200"/>
        <w:rPr>
          <w:rFonts w:hint="eastAsia" w:ascii="仿宋" w:hAnsi="仿宋" w:eastAsia="仿宋" w:cs="仿宋"/>
          <w:color w:val="auto"/>
          <w:szCs w:val="21"/>
          <w:highlight w:val="none"/>
        </w:rPr>
      </w:pPr>
      <w:bookmarkStart w:id="599" w:name="_Toc267251418"/>
      <w:r>
        <w:rPr>
          <w:rFonts w:hint="eastAsia" w:ascii="仿宋" w:hAnsi="仿宋" w:eastAsia="仿宋" w:cs="仿宋"/>
          <w:color w:val="auto"/>
          <w:szCs w:val="21"/>
          <w:highlight w:val="none"/>
        </w:rPr>
        <w:t>在发包人和承包人不能通过协商达成一致意见时，发包人授权监理人对以下事项进行确定：</w:t>
      </w:r>
    </w:p>
    <w:p w14:paraId="5BE302FB">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7DE814BC">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6F93EFB3">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7C536020">
      <w:pPr>
        <w:keepNext/>
        <w:keepLines/>
        <w:adjustRightInd/>
        <w:spacing w:line="400" w:lineRule="exact"/>
        <w:outlineLvl w:val="3"/>
        <w:rPr>
          <w:rFonts w:hint="eastAsia" w:ascii="仿宋" w:hAnsi="仿宋" w:eastAsia="仿宋" w:cs="仿宋"/>
          <w:bCs/>
          <w:color w:val="auto"/>
          <w:szCs w:val="21"/>
          <w:highlight w:val="none"/>
        </w:rPr>
      </w:pPr>
      <w:bookmarkStart w:id="600" w:name="_Toc351203637"/>
      <w:r>
        <w:rPr>
          <w:rFonts w:hint="eastAsia" w:ascii="仿宋" w:hAnsi="仿宋" w:eastAsia="仿宋" w:cs="仿宋"/>
          <w:bCs/>
          <w:color w:val="auto"/>
          <w:szCs w:val="21"/>
          <w:highlight w:val="none"/>
        </w:rPr>
        <w:t>5</w:t>
      </w:r>
      <w:bookmarkEnd w:id="599"/>
      <w:bookmarkStart w:id="601" w:name="_Toc296944502"/>
      <w:bookmarkStart w:id="602" w:name="_Toc297048349"/>
      <w:bookmarkStart w:id="603" w:name="_Toc292559872"/>
      <w:bookmarkStart w:id="604" w:name="_Toc296890991"/>
      <w:bookmarkStart w:id="605" w:name="_Toc292559367"/>
      <w:bookmarkStart w:id="606" w:name="_Toc296346664"/>
      <w:bookmarkStart w:id="607" w:name="_Toc296503163"/>
      <w:bookmarkStart w:id="608" w:name="_Toc297120463"/>
      <w:bookmarkStart w:id="609" w:name="_Toc296891203"/>
      <w:bookmarkStart w:id="610" w:name="_Toc296347162"/>
      <w:r>
        <w:rPr>
          <w:rFonts w:hint="eastAsia" w:ascii="仿宋" w:hAnsi="仿宋" w:eastAsia="仿宋" w:cs="仿宋"/>
          <w:bCs/>
          <w:color w:val="auto"/>
          <w:szCs w:val="21"/>
          <w:highlight w:val="none"/>
        </w:rPr>
        <w:t>. 工程质量</w:t>
      </w:r>
      <w:bookmarkEnd w:id="600"/>
    </w:p>
    <w:p w14:paraId="473B60FD">
      <w:pPr>
        <w:adjustRightInd/>
        <w:spacing w:line="400" w:lineRule="exact"/>
        <w:ind w:firstLine="420" w:firstLineChars="200"/>
        <w:outlineLvl w:val="0"/>
        <w:rPr>
          <w:rFonts w:hint="eastAsia" w:ascii="仿宋" w:hAnsi="仿宋" w:eastAsia="仿宋" w:cs="仿宋"/>
          <w:color w:val="auto"/>
          <w:szCs w:val="21"/>
          <w:highlight w:val="none"/>
        </w:rPr>
      </w:pPr>
      <w:bookmarkStart w:id="611" w:name="_Toc29387"/>
      <w:bookmarkStart w:id="612" w:name="_Toc4026"/>
      <w:bookmarkStart w:id="613" w:name="_Toc23350"/>
      <w:bookmarkStart w:id="614" w:name="_Toc4020"/>
      <w:bookmarkStart w:id="615" w:name="_Toc30439"/>
      <w:bookmarkStart w:id="616" w:name="_Toc15287"/>
      <w:r>
        <w:rPr>
          <w:rFonts w:hint="eastAsia" w:ascii="仿宋" w:hAnsi="仿宋" w:eastAsia="仿宋" w:cs="仿宋"/>
          <w:color w:val="auto"/>
          <w:szCs w:val="21"/>
          <w:highlight w:val="none"/>
        </w:rPr>
        <w:t>5.1 质量要求</w:t>
      </w:r>
      <w:bookmarkEnd w:id="611"/>
      <w:bookmarkEnd w:id="612"/>
      <w:bookmarkEnd w:id="613"/>
      <w:bookmarkEnd w:id="614"/>
      <w:bookmarkEnd w:id="615"/>
      <w:bookmarkEnd w:id="616"/>
    </w:p>
    <w:p w14:paraId="31467ABB">
      <w:pPr>
        <w:adjustRightInd/>
        <w:spacing w:line="400" w:lineRule="exact"/>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bookmarkStart w:id="617" w:name="_Toc297123496"/>
      <w:bookmarkStart w:id="618" w:name="_Toc303539106"/>
      <w:bookmarkStart w:id="619" w:name="_Toc312677997"/>
      <w:bookmarkStart w:id="620" w:name="_Toc304295527"/>
      <w:bookmarkStart w:id="621" w:name="_Toc318581164"/>
      <w:bookmarkStart w:id="622" w:name="_Toc297216155"/>
      <w:bookmarkStart w:id="623" w:name="_Toc300934949"/>
      <w:r>
        <w:rPr>
          <w:rFonts w:hint="eastAsia" w:ascii="仿宋" w:hAnsi="仿宋" w:eastAsia="仿宋" w:cs="仿宋"/>
          <w:color w:val="auto"/>
          <w:szCs w:val="21"/>
          <w:highlight w:val="none"/>
        </w:rPr>
        <w:t>.1.1 特殊质量标准和要求：</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0051FAF6">
      <w:pPr>
        <w:adjustRightInd/>
        <w:spacing w:line="400" w:lineRule="exact"/>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关于工程奖项的约定：</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054D5B9D">
      <w:pPr>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5.1.2 因发包人原因造成工程质量未达到合同约定标准的，由发包人承担由此增加的费用和（或）延误的工期，但不包括承包人的利润损失。</w:t>
      </w:r>
    </w:p>
    <w:p w14:paraId="51BEFD27">
      <w:pPr>
        <w:adjustRightInd/>
        <w:spacing w:line="400" w:lineRule="exact"/>
        <w:ind w:firstLine="420" w:firstLineChars="200"/>
        <w:outlineLvl w:val="0"/>
        <w:rPr>
          <w:rFonts w:hint="eastAsia" w:ascii="仿宋" w:hAnsi="仿宋" w:eastAsia="仿宋" w:cs="仿宋"/>
          <w:color w:val="auto"/>
          <w:szCs w:val="21"/>
          <w:highlight w:val="none"/>
        </w:rPr>
      </w:pPr>
      <w:bookmarkStart w:id="624" w:name="_Toc29840"/>
      <w:bookmarkStart w:id="625" w:name="_Toc4135"/>
      <w:bookmarkStart w:id="626" w:name="_Toc29586"/>
      <w:bookmarkStart w:id="627" w:name="_Toc113"/>
      <w:bookmarkStart w:id="628" w:name="_Toc23574"/>
      <w:bookmarkStart w:id="629" w:name="_Toc20752"/>
      <w:r>
        <w:rPr>
          <w:rFonts w:hint="eastAsia" w:ascii="仿宋" w:hAnsi="仿宋" w:eastAsia="仿宋" w:cs="仿宋"/>
          <w:color w:val="auto"/>
          <w:szCs w:val="21"/>
          <w:highlight w:val="none"/>
        </w:rPr>
        <w:t>5.3 隐蔽工程检查</w:t>
      </w:r>
      <w:bookmarkEnd w:id="624"/>
      <w:bookmarkEnd w:id="625"/>
      <w:bookmarkEnd w:id="626"/>
      <w:bookmarkEnd w:id="627"/>
      <w:bookmarkEnd w:id="628"/>
      <w:bookmarkEnd w:id="629"/>
    </w:p>
    <w:p w14:paraId="38ED360F">
      <w:pPr>
        <w:adjustRightInd/>
        <w:spacing w:line="400" w:lineRule="exact"/>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5.3.2承包人提前通知监理人隐蔽工程检查的期限的约定：</w:t>
      </w:r>
      <w:r>
        <w:rPr>
          <w:rFonts w:hint="eastAsia" w:ascii="仿宋" w:hAnsi="仿宋" w:eastAsia="仿宋" w:cs="仿宋"/>
          <w:color w:val="auto"/>
          <w:szCs w:val="21"/>
          <w:highlight w:val="none"/>
          <w:u w:val="single"/>
        </w:rPr>
        <w:t xml:space="preserve"> 承包人应在共同检查前48小时书面通知监理人。施工期间，承包方应严格实行隐蔽工程验收制度，如承包人有未经监理方自行验收隐蔽工程的或私自将工程隐蔽部位覆盖的，监理方和发包方有权要求复验，所有费用由承包方承担，发包方有权视情节轻重对承包方处以1万元/次的违约金。复验期间不顺延施工工期。施工期间，承包方应严格遵守</w:t>
      </w:r>
      <w:r>
        <w:rPr>
          <w:rFonts w:hint="eastAsia" w:ascii="仿宋" w:hAnsi="仿宋" w:eastAsia="仿宋" w:cs="仿宋"/>
          <w:color w:val="auto"/>
          <w:szCs w:val="21"/>
          <w:highlight w:val="none"/>
          <w:u w:val="single"/>
          <w:lang w:eastAsia="zh-CN"/>
        </w:rPr>
        <w:t>发包人</w:t>
      </w:r>
      <w:r>
        <w:rPr>
          <w:rFonts w:hint="eastAsia" w:ascii="仿宋" w:hAnsi="仿宋" w:eastAsia="仿宋" w:cs="仿宋"/>
          <w:color w:val="auto"/>
          <w:szCs w:val="21"/>
          <w:highlight w:val="none"/>
          <w:u w:val="single"/>
        </w:rPr>
        <w:t>相关工程管理制度，若有费用产生由承包方承担，发包人有权视情节轻重对承包方按制度处以违约金</w:t>
      </w:r>
      <w:r>
        <w:rPr>
          <w:rFonts w:hint="eastAsia" w:ascii="仿宋" w:hAnsi="仿宋" w:eastAsia="仿宋" w:cs="仿宋"/>
          <w:color w:val="auto"/>
          <w:szCs w:val="21"/>
          <w:highlight w:val="none"/>
        </w:rPr>
        <w:t>。</w:t>
      </w:r>
    </w:p>
    <w:p w14:paraId="0F2516A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监理人不能按时进行检查时，应提前</w:t>
      </w:r>
      <w:r>
        <w:rPr>
          <w:rFonts w:hint="eastAsia" w:ascii="仿宋" w:hAnsi="仿宋" w:eastAsia="仿宋" w:cs="仿宋"/>
          <w:color w:val="auto"/>
          <w:szCs w:val="21"/>
          <w:highlight w:val="none"/>
          <w:u w:val="single"/>
        </w:rPr>
        <w:t xml:space="preserve">   24    </w:t>
      </w:r>
      <w:r>
        <w:rPr>
          <w:rFonts w:hint="eastAsia" w:ascii="仿宋" w:hAnsi="仿宋" w:eastAsia="仿宋" w:cs="仿宋"/>
          <w:color w:val="auto"/>
          <w:szCs w:val="21"/>
          <w:highlight w:val="none"/>
        </w:rPr>
        <w:t>小时提交书面延期要求。</w:t>
      </w:r>
    </w:p>
    <w:p w14:paraId="6BE5F3C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关于延期最长不得超过：</w:t>
      </w:r>
      <w:r>
        <w:rPr>
          <w:rFonts w:hint="eastAsia" w:ascii="仿宋" w:hAnsi="仿宋" w:eastAsia="仿宋" w:cs="仿宋"/>
          <w:color w:val="auto"/>
          <w:szCs w:val="21"/>
          <w:highlight w:val="none"/>
          <w:u w:val="single"/>
        </w:rPr>
        <w:t xml:space="preserve">    48     </w:t>
      </w:r>
      <w:r>
        <w:rPr>
          <w:rFonts w:hint="eastAsia" w:ascii="仿宋" w:hAnsi="仿宋" w:eastAsia="仿宋" w:cs="仿宋"/>
          <w:color w:val="auto"/>
          <w:szCs w:val="21"/>
          <w:highlight w:val="none"/>
        </w:rPr>
        <w:t>小时。</w:t>
      </w:r>
    </w:p>
    <w:p w14:paraId="596B8499">
      <w:pPr>
        <w:keepNext/>
        <w:keepLines/>
        <w:adjustRightInd/>
        <w:spacing w:line="400" w:lineRule="exact"/>
        <w:outlineLvl w:val="3"/>
        <w:rPr>
          <w:rFonts w:hint="eastAsia" w:ascii="仿宋" w:hAnsi="仿宋" w:eastAsia="仿宋" w:cs="仿宋"/>
          <w:bCs/>
          <w:color w:val="auto"/>
          <w:szCs w:val="21"/>
          <w:highlight w:val="none"/>
        </w:rPr>
      </w:pPr>
      <w:bookmarkStart w:id="630" w:name="_Toc351203638"/>
      <w:r>
        <w:rPr>
          <w:rFonts w:hint="eastAsia" w:ascii="仿宋" w:hAnsi="仿宋" w:eastAsia="仿宋" w:cs="仿宋"/>
          <w:bCs/>
          <w:color w:val="auto"/>
          <w:szCs w:val="21"/>
          <w:highlight w:val="none"/>
        </w:rPr>
        <w:t>6. 安全文明施工与环境保护</w:t>
      </w:r>
      <w:bookmarkEnd w:id="630"/>
    </w:p>
    <w:p w14:paraId="2BEBE2C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6.1安全文明施工</w:t>
      </w:r>
    </w:p>
    <w:p w14:paraId="27D5745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6.1.1 项目安全生产的达标目标及相应事项的约定：</w:t>
      </w:r>
      <w:r>
        <w:rPr>
          <w:rFonts w:hint="eastAsia" w:ascii="仿宋" w:hAnsi="仿宋" w:eastAsia="仿宋" w:cs="仿宋"/>
          <w:color w:val="auto"/>
          <w:szCs w:val="21"/>
          <w:highlight w:val="none"/>
          <w:u w:val="single"/>
        </w:rPr>
        <w:t>施工现场按照《建筑施工安全检查标准》（JGJ59-2011）评定达到“合格”标准。承包人必须严格遵守和执行中华人民共和国以及杭州市安全生产和劳动保护的有关规定，保证采取一切必要的安全预防措施，以防止承包人的雇员、发包人和工程师的职员及其他人员因承包人的不当操作而受到伤害。在施工过程中由于承包人原因而发生的人身伤亡、财产损失及其它一切事故，其责任全部由承包人负责。承包人人员在工地现场发生打架、破坏污染建筑单体的行为，发包人将视责任程度每次处以5000-10000元的违约金，对造成的损失由承包人照价赔偿。不定期进行安全文明施工检查，施工单位应及时整改，被一次警告后不作处罚，限期整改，被二次警告后扣除相应比例的文明施工费，另若由于施工不文明、不安全而被新闻单位曝光或建设主管部门检查后通报，每次扣除承包人壹万元整，且还应赔偿给发包人带来的所有损失。</w:t>
      </w:r>
    </w:p>
    <w:p w14:paraId="4B4EFCA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6.1.4 关于治安保卫的特别约定：</w:t>
      </w:r>
      <w:r>
        <w:rPr>
          <w:rFonts w:hint="eastAsia" w:ascii="仿宋" w:hAnsi="仿宋" w:eastAsia="仿宋" w:cs="仿宋"/>
          <w:color w:val="auto"/>
          <w:szCs w:val="21"/>
          <w:highlight w:val="none"/>
          <w:u w:val="single"/>
        </w:rPr>
        <w:t xml:space="preserve"> 按照杭州市当地建筑工地安全文明施工管理规定执行。承包人应加强施工的安全生产管理，制定安全操作规程，保证工程施工的安全，承包人应教育其职工进行文明施工，配备必要的安全生产设施和劳动保护用具。承包人应对其管辖范围内的人员和设备（包括业主及监理单位的人员和设备）以及工程的安全负责，应负责做好其所辖人员的工作场所和居住区的日常治安管理和安全保护工作。承包人必须注意保护工地邻近建筑物和附近居民的安全，防止因施工措施不当使附近居民的人员财产遭受损失，否则承包人负全责。承包人必须对施工现场的用电安全负责。施工现场用电必须遵照杭州市建委颁布的施工现场用电管理条例执行。在工地现场做好警戒告示牌，提醒进入施工现场人员的注意。以上内容发生的费用和责任全部由承包人承担 </w:t>
      </w:r>
      <w:r>
        <w:rPr>
          <w:rFonts w:hint="eastAsia" w:ascii="仿宋" w:hAnsi="仿宋" w:eastAsia="仿宋" w:cs="仿宋"/>
          <w:color w:val="auto"/>
          <w:szCs w:val="21"/>
          <w:highlight w:val="none"/>
        </w:rPr>
        <w:t>。</w:t>
      </w:r>
    </w:p>
    <w:p w14:paraId="6B41DF4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关于编制施工场地治安管理计划的约定：</w:t>
      </w:r>
      <w:r>
        <w:rPr>
          <w:rFonts w:hint="eastAsia" w:ascii="仿宋" w:hAnsi="仿宋" w:eastAsia="仿宋" w:cs="仿宋"/>
          <w:color w:val="auto"/>
          <w:szCs w:val="21"/>
          <w:highlight w:val="none"/>
          <w:u w:val="single"/>
        </w:rPr>
        <w:t xml:space="preserve">   由承包人负责 </w:t>
      </w:r>
      <w:r>
        <w:rPr>
          <w:rFonts w:hint="eastAsia" w:ascii="仿宋" w:hAnsi="仿宋" w:eastAsia="仿宋" w:cs="仿宋"/>
          <w:color w:val="auto"/>
          <w:szCs w:val="21"/>
          <w:highlight w:val="none"/>
        </w:rPr>
        <w:t>。</w:t>
      </w:r>
    </w:p>
    <w:p w14:paraId="05FFA1A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6.1.5 文明施工</w:t>
      </w:r>
    </w:p>
    <w:p w14:paraId="0C2791A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合同当事人对文明施工的要求：</w:t>
      </w:r>
    </w:p>
    <w:p w14:paraId="4F21FBB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（1）遵守地方政府和有关部门对施工场地交通、环卫、安全和施工噪音等管理规定，并办理相关审批手续。</w:t>
      </w:r>
    </w:p>
    <w:p w14:paraId="0E5131F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（2）承包人应采取有效措施尽量减小尘土和噪音污染，需要进行夜间作业时应经有关部门批准。</w:t>
      </w:r>
    </w:p>
    <w:p w14:paraId="200E2CD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3）其他:文明施工按《2018年全市建设工程文明施工和扬尘管控水平提升专项行动实施方案&gt;的通知》（杭建文领办（2018）1号）、杭建监总（2003）38号关于实施《杭州市建设工地安全生产、文明施工管理实施细则（试行）的通知》及文明工地杭建监总[2011]21号《关于打造“文明工地”创建全国文明城市活动实施方案》执行，否则若造成工程损失或人身伤害，由承包人承担全部责任及费用。</w:t>
      </w:r>
    </w:p>
    <w:p w14:paraId="41D6D15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（4）上述手续办理费用约定如下：由承包人自行承担，在结算时不予调整</w:t>
      </w:r>
      <w:r>
        <w:rPr>
          <w:rFonts w:hint="eastAsia" w:ascii="仿宋" w:hAnsi="仿宋" w:eastAsia="仿宋" w:cs="仿宋"/>
          <w:color w:val="auto"/>
          <w:szCs w:val="21"/>
          <w:highlight w:val="none"/>
        </w:rPr>
        <w:t xml:space="preserve">。  </w:t>
      </w:r>
    </w:p>
    <w:p w14:paraId="6F6659B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6.1.6 关于安全文明施工费支付比例和支付期限的约定：</w:t>
      </w:r>
      <w:r>
        <w:rPr>
          <w:rFonts w:hint="eastAsia" w:ascii="仿宋" w:hAnsi="仿宋" w:eastAsia="仿宋" w:cs="仿宋"/>
          <w:color w:val="auto"/>
          <w:szCs w:val="21"/>
          <w:highlight w:val="none"/>
          <w:u w:val="single"/>
        </w:rPr>
        <w:t>按以下第（ 1 ）种方式约定：</w:t>
      </w:r>
    </w:p>
    <w:p w14:paraId="19A432A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（1）发包人应在开工后28天内预付安全文明施工费总额的60%，剩余部分支付按以下第（①）种方式约定 </w:t>
      </w:r>
      <w:r>
        <w:rPr>
          <w:rFonts w:hint="eastAsia" w:ascii="仿宋" w:hAnsi="仿宋" w:eastAsia="仿宋" w:cs="仿宋"/>
          <w:color w:val="auto"/>
          <w:szCs w:val="21"/>
          <w:highlight w:val="none"/>
        </w:rPr>
        <w:t>：</w:t>
      </w:r>
    </w:p>
    <w:p w14:paraId="45EB266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①  视相关措施的落实情况与进度款同期支付             </w:t>
      </w:r>
      <w:r>
        <w:rPr>
          <w:rFonts w:hint="eastAsia" w:ascii="仿宋" w:hAnsi="仿宋" w:eastAsia="仿宋" w:cs="仿宋"/>
          <w:color w:val="auto"/>
          <w:szCs w:val="21"/>
          <w:highlight w:val="none"/>
        </w:rPr>
        <w:t xml:space="preserve"> 。</w:t>
      </w:r>
    </w:p>
    <w:p w14:paraId="3138AA5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②  其他：                                           </w:t>
      </w:r>
      <w:r>
        <w:rPr>
          <w:rFonts w:hint="eastAsia" w:ascii="仿宋" w:hAnsi="仿宋" w:eastAsia="仿宋" w:cs="仿宋"/>
          <w:color w:val="auto"/>
          <w:szCs w:val="21"/>
          <w:highlight w:val="none"/>
        </w:rPr>
        <w:t xml:space="preserve"> 。</w:t>
      </w:r>
    </w:p>
    <w:p w14:paraId="0E80865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（2）其他：        /             </w:t>
      </w:r>
      <w:r>
        <w:rPr>
          <w:rFonts w:hint="eastAsia" w:ascii="仿宋" w:hAnsi="仿宋" w:eastAsia="仿宋" w:cs="仿宋"/>
          <w:color w:val="auto"/>
          <w:szCs w:val="21"/>
          <w:highlight w:val="none"/>
        </w:rPr>
        <w:t>。</w:t>
      </w:r>
    </w:p>
    <w:bookmarkEnd w:id="617"/>
    <w:bookmarkEnd w:id="618"/>
    <w:bookmarkEnd w:id="619"/>
    <w:bookmarkEnd w:id="620"/>
    <w:bookmarkEnd w:id="621"/>
    <w:bookmarkEnd w:id="622"/>
    <w:bookmarkEnd w:id="623"/>
    <w:p w14:paraId="773ED24A">
      <w:pPr>
        <w:keepNext/>
        <w:keepLines/>
        <w:adjustRightInd/>
        <w:spacing w:line="400" w:lineRule="exact"/>
        <w:outlineLvl w:val="3"/>
        <w:rPr>
          <w:rFonts w:hint="eastAsia" w:ascii="仿宋" w:hAnsi="仿宋" w:eastAsia="仿宋" w:cs="仿宋"/>
          <w:bCs/>
          <w:color w:val="auto"/>
          <w:szCs w:val="21"/>
          <w:highlight w:val="none"/>
        </w:rPr>
      </w:pPr>
      <w:bookmarkStart w:id="631" w:name="_Toc351203639"/>
      <w:r>
        <w:rPr>
          <w:rFonts w:hint="eastAsia" w:ascii="仿宋" w:hAnsi="仿宋" w:eastAsia="仿宋" w:cs="仿宋"/>
          <w:bCs/>
          <w:color w:val="auto"/>
          <w:szCs w:val="21"/>
          <w:highlight w:val="none"/>
        </w:rPr>
        <w:t>7. 工期和进度</w:t>
      </w:r>
      <w:bookmarkEnd w:id="631"/>
    </w:p>
    <w:p w14:paraId="7DC1837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7.1 施工组织设计</w:t>
      </w:r>
    </w:p>
    <w:p w14:paraId="72B57027">
      <w:pPr>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7.1.1 合同当事人约定的施工组织设计应包括的其他内容：</w:t>
      </w:r>
    </w:p>
    <w:p w14:paraId="44CB2E84">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按《通用合同条款》执行      </w:t>
      </w:r>
      <w:r>
        <w:rPr>
          <w:rFonts w:hint="eastAsia" w:ascii="仿宋" w:hAnsi="仿宋" w:eastAsia="仿宋" w:cs="仿宋"/>
          <w:color w:val="auto"/>
          <w:szCs w:val="21"/>
          <w:highlight w:val="none"/>
        </w:rPr>
        <w:t>。</w:t>
      </w:r>
    </w:p>
    <w:p w14:paraId="6F3597CF">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7.1.2 施工组织设计的提交和修改</w:t>
      </w:r>
    </w:p>
    <w:p w14:paraId="31256526">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承包人提交详细施工组织设计的期限的约定：</w:t>
      </w:r>
      <w:r>
        <w:rPr>
          <w:rFonts w:hint="eastAsia" w:ascii="仿宋" w:hAnsi="仿宋" w:eastAsia="仿宋" w:cs="仿宋"/>
          <w:color w:val="auto"/>
          <w:szCs w:val="21"/>
          <w:highlight w:val="none"/>
          <w:u w:val="single"/>
        </w:rPr>
        <w:t xml:space="preserve">  合同签订后（7）天内提供详细施工组织设计（施工方案）和进度计划 </w:t>
      </w:r>
      <w:r>
        <w:rPr>
          <w:rFonts w:hint="eastAsia" w:ascii="仿宋" w:hAnsi="仿宋" w:eastAsia="仿宋" w:cs="仿宋"/>
          <w:color w:val="auto"/>
          <w:szCs w:val="21"/>
          <w:highlight w:val="none"/>
        </w:rPr>
        <w:t>。</w:t>
      </w:r>
    </w:p>
    <w:p w14:paraId="7B0F4D2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发包人和监理人在收到详细的施工组织设计后确认或提出修改意见的期限：</w:t>
      </w:r>
      <w:r>
        <w:rPr>
          <w:rFonts w:hint="eastAsia" w:ascii="仿宋" w:hAnsi="仿宋" w:eastAsia="仿宋" w:cs="仿宋"/>
          <w:color w:val="auto"/>
          <w:szCs w:val="21"/>
          <w:highlight w:val="none"/>
          <w:u w:val="single"/>
        </w:rPr>
        <w:t xml:space="preserve">  收到该计划后的14天内审查同意或提出修改意见。发包人提出修改意见的，承包人应按照发包人提出的修改意见实施</w:t>
      </w:r>
      <w:r>
        <w:rPr>
          <w:rFonts w:hint="eastAsia" w:ascii="仿宋" w:hAnsi="仿宋" w:eastAsia="仿宋" w:cs="仿宋"/>
          <w:color w:val="auto"/>
          <w:szCs w:val="21"/>
          <w:highlight w:val="none"/>
        </w:rPr>
        <w:t>。</w:t>
      </w:r>
    </w:p>
    <w:p w14:paraId="02E96B7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bookmarkStart w:id="632" w:name="_Toc304295541"/>
      <w:bookmarkStart w:id="633" w:name="_Toc312677479"/>
      <w:bookmarkStart w:id="634" w:name="_Toc312678005"/>
      <w:bookmarkStart w:id="635" w:name="_Toc297123514"/>
      <w:bookmarkStart w:id="636" w:name="_Toc297216173"/>
      <w:bookmarkStart w:id="637" w:name="_Toc303539123"/>
      <w:bookmarkStart w:id="638" w:name="_Toc300934966"/>
      <w:r>
        <w:rPr>
          <w:rFonts w:hint="eastAsia" w:ascii="仿宋" w:hAnsi="仿宋" w:eastAsia="仿宋" w:cs="仿宋"/>
          <w:color w:val="auto"/>
          <w:szCs w:val="21"/>
          <w:highlight w:val="none"/>
        </w:rPr>
        <w:t>.2 施工进度计划</w:t>
      </w:r>
    </w:p>
    <w:p w14:paraId="62CFE66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7.2.2 施工进度计划的修订</w:t>
      </w:r>
    </w:p>
    <w:p w14:paraId="6F35CBE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发包人和监理人在收到修订的施工进度计划后确认或提出修改意见的期限：</w:t>
      </w:r>
      <w:r>
        <w:rPr>
          <w:rFonts w:hint="eastAsia" w:ascii="仿宋" w:hAnsi="仿宋" w:eastAsia="仿宋" w:cs="仿宋"/>
          <w:color w:val="auto"/>
          <w:szCs w:val="21"/>
          <w:highlight w:val="none"/>
          <w:u w:val="single"/>
        </w:rPr>
        <w:t xml:space="preserve">  14天内   </w:t>
      </w:r>
      <w:r>
        <w:rPr>
          <w:rFonts w:hint="eastAsia" w:ascii="仿宋" w:hAnsi="仿宋" w:eastAsia="仿宋" w:cs="仿宋"/>
          <w:color w:val="auto"/>
          <w:szCs w:val="21"/>
          <w:highlight w:val="none"/>
        </w:rPr>
        <w:t>。</w:t>
      </w:r>
    </w:p>
    <w:p w14:paraId="16F383F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7.3 开工</w:t>
      </w:r>
    </w:p>
    <w:p w14:paraId="080598D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7.3.1 开工准备</w:t>
      </w:r>
    </w:p>
    <w:p w14:paraId="034C2B0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关于承包人提交工程开工报审表的期限：</w:t>
      </w:r>
      <w:r>
        <w:rPr>
          <w:rFonts w:hint="eastAsia" w:ascii="仿宋" w:hAnsi="仿宋" w:eastAsia="仿宋" w:cs="仿宋"/>
          <w:color w:val="auto"/>
          <w:szCs w:val="21"/>
          <w:highlight w:val="none"/>
          <w:u w:val="single"/>
        </w:rPr>
        <w:t xml:space="preserve"> 承包人应当在协议书约定的暂定开工日期前做好进场施工的一切准备工作（包括有关设备到位、搭建施工工棚等）并办理完毕各项行政许可手续，正式开工日期以监理单位签发的开工报告为准。承包人因自身原因提出延期开工申请，除非工程师及发包人书面确认同意外，均视为不同意，工期不予顺延 </w:t>
      </w:r>
      <w:r>
        <w:rPr>
          <w:rFonts w:hint="eastAsia" w:ascii="仿宋" w:hAnsi="仿宋" w:eastAsia="仿宋" w:cs="仿宋"/>
          <w:color w:val="auto"/>
          <w:szCs w:val="21"/>
          <w:highlight w:val="none"/>
        </w:rPr>
        <w:t>。</w:t>
      </w:r>
    </w:p>
    <w:p w14:paraId="2D7EBE8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关于发包人应完成的其他开工准备工作及期限：</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w:t>
      </w:r>
      <w:r>
        <w:rPr>
          <w:rFonts w:hint="eastAsia" w:ascii="仿宋" w:hAnsi="仿宋" w:eastAsia="仿宋" w:cs="仿宋"/>
          <w:color w:val="auto"/>
          <w:szCs w:val="21"/>
          <w:highlight w:val="none"/>
        </w:rPr>
        <w:t>。</w:t>
      </w:r>
    </w:p>
    <w:p w14:paraId="16E15B8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关于承包人应完成的其他开工准备工作及期限：</w:t>
      </w:r>
      <w:r>
        <w:rPr>
          <w:rFonts w:hint="eastAsia" w:ascii="仿宋" w:hAnsi="仿宋" w:eastAsia="仿宋" w:cs="仿宋"/>
          <w:color w:val="auto"/>
          <w:szCs w:val="21"/>
          <w:highlight w:val="none"/>
          <w:u w:val="single"/>
        </w:rPr>
        <w:t xml:space="preserve"> 承包人应当在协议书约定的暂定开工日期前做好进场施工的一切准备工作（包括有关设备到位、搭建施工工棚等）并办理完毕各项行政许可手续，正式开工日期以监理单位签发的开工报告为准。承包人因自身原因提出延期开工申请，除非工程师书面确认同意外，均视为不同意，工期不予顺延 </w:t>
      </w:r>
      <w:r>
        <w:rPr>
          <w:rFonts w:hint="eastAsia" w:ascii="仿宋" w:hAnsi="仿宋" w:eastAsia="仿宋" w:cs="仿宋"/>
          <w:color w:val="auto"/>
          <w:szCs w:val="21"/>
          <w:highlight w:val="none"/>
        </w:rPr>
        <w:t>。</w:t>
      </w:r>
    </w:p>
    <w:p w14:paraId="700FFCA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7.3.2开工通知</w:t>
      </w:r>
    </w:p>
    <w:p w14:paraId="1A411F2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因发包人原因造成监理人未能在计划开工日期之日起</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天内发出开工通知的，承包人有权提出价格调整要求，或者解除合同。</w:t>
      </w:r>
    </w:p>
    <w:bookmarkEnd w:id="632"/>
    <w:bookmarkEnd w:id="633"/>
    <w:bookmarkEnd w:id="634"/>
    <w:bookmarkEnd w:id="635"/>
    <w:bookmarkEnd w:id="636"/>
    <w:bookmarkEnd w:id="637"/>
    <w:bookmarkEnd w:id="638"/>
    <w:p w14:paraId="0EA0071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7.4 测量放线</w:t>
      </w:r>
    </w:p>
    <w:p w14:paraId="16D10108">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7.4.1发包人通过监理人向承包人提供测量基准点、基准线和水准点及其书面资料的期限：</w:t>
      </w:r>
      <w:r>
        <w:rPr>
          <w:rFonts w:hint="eastAsia" w:ascii="仿宋" w:hAnsi="仿宋" w:eastAsia="仿宋" w:cs="仿宋"/>
          <w:color w:val="auto"/>
          <w:szCs w:val="21"/>
          <w:highlight w:val="none"/>
          <w:u w:val="single"/>
        </w:rPr>
        <w:t xml:space="preserve"> 在工程开工前，业主将通过工程师提供工程需要的水准点与坐标控制点，双方代表应做好现场的校验工作并签字确认。移交后，承包人应予以良好保护，完工后将水准点完好地交还给业主 </w:t>
      </w:r>
      <w:r>
        <w:rPr>
          <w:rFonts w:hint="eastAsia" w:ascii="仿宋" w:hAnsi="仿宋" w:eastAsia="仿宋" w:cs="仿宋"/>
          <w:color w:val="auto"/>
          <w:szCs w:val="21"/>
          <w:highlight w:val="none"/>
        </w:rPr>
        <w:t>。</w:t>
      </w:r>
    </w:p>
    <w:p w14:paraId="17F11D5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bookmarkStart w:id="639" w:name="_Toc300934968"/>
      <w:bookmarkStart w:id="640" w:name="_Toc297216175"/>
      <w:bookmarkStart w:id="641" w:name="_Toc312677484"/>
      <w:bookmarkStart w:id="642" w:name="_Toc312678010"/>
      <w:bookmarkStart w:id="643" w:name="_Toc304295546"/>
      <w:bookmarkStart w:id="644" w:name="_Toc303539125"/>
      <w:bookmarkStart w:id="645" w:name="_Toc297123516"/>
      <w:r>
        <w:rPr>
          <w:rFonts w:hint="eastAsia" w:ascii="仿宋" w:hAnsi="仿宋" w:eastAsia="仿宋" w:cs="仿宋"/>
          <w:color w:val="auto"/>
          <w:szCs w:val="21"/>
          <w:highlight w:val="none"/>
        </w:rPr>
        <w:t>.5 工期延误</w:t>
      </w:r>
    </w:p>
    <w:bookmarkEnd w:id="639"/>
    <w:bookmarkEnd w:id="640"/>
    <w:bookmarkEnd w:id="641"/>
    <w:bookmarkEnd w:id="642"/>
    <w:bookmarkEnd w:id="643"/>
    <w:bookmarkEnd w:id="644"/>
    <w:bookmarkEnd w:id="645"/>
    <w:p w14:paraId="25987EA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7.5.1 因发包人原因导致工期延误</w:t>
      </w:r>
    </w:p>
    <w:p w14:paraId="6299DB5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（7）因发包人原因导致工期延误的其他情形：</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142051C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bookmarkStart w:id="646" w:name="_Toc312678012"/>
      <w:bookmarkStart w:id="647" w:name="_Toc312677486"/>
      <w:bookmarkStart w:id="648" w:name="_Toc318581169"/>
      <w:bookmarkStart w:id="649" w:name="_Toc304295548"/>
      <w:bookmarkStart w:id="650" w:name="_Toc303539127"/>
      <w:bookmarkStart w:id="651" w:name="_Toc300934970"/>
      <w:bookmarkStart w:id="652" w:name="_Toc297123518"/>
      <w:bookmarkStart w:id="653" w:name="_Toc297216177"/>
      <w:r>
        <w:rPr>
          <w:rFonts w:hint="eastAsia" w:ascii="仿宋" w:hAnsi="仿宋" w:eastAsia="仿宋" w:cs="仿宋"/>
          <w:color w:val="auto"/>
          <w:szCs w:val="21"/>
          <w:highlight w:val="none"/>
        </w:rPr>
        <w:t>.5.2 因承包人原因导致工期延误</w:t>
      </w:r>
      <w:bookmarkEnd w:id="646"/>
      <w:bookmarkEnd w:id="647"/>
      <w:bookmarkEnd w:id="648"/>
    </w:p>
    <w:p w14:paraId="2712533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因</w:t>
      </w:r>
      <w:bookmarkStart w:id="654" w:name="_Toc312677487"/>
      <w:bookmarkStart w:id="655" w:name="_Toc312678013"/>
      <w:bookmarkStart w:id="656" w:name="_Toc318581170"/>
      <w:r>
        <w:rPr>
          <w:rFonts w:hint="eastAsia" w:ascii="仿宋" w:hAnsi="仿宋" w:eastAsia="仿宋" w:cs="仿宋"/>
          <w:color w:val="auto"/>
          <w:szCs w:val="21"/>
          <w:highlight w:val="none"/>
        </w:rPr>
        <w:t>承包人原因造成工期延误，逾期竣工违约金的计算方法为：</w:t>
      </w:r>
      <w:bookmarkEnd w:id="649"/>
      <w:bookmarkEnd w:id="650"/>
      <w:bookmarkEnd w:id="651"/>
      <w:bookmarkEnd w:id="652"/>
      <w:bookmarkEnd w:id="653"/>
      <w:bookmarkEnd w:id="654"/>
      <w:bookmarkEnd w:id="655"/>
      <w:r>
        <w:rPr>
          <w:rFonts w:hint="eastAsia" w:ascii="仿宋" w:hAnsi="仿宋" w:eastAsia="仿宋" w:cs="仿宋"/>
          <w:color w:val="auto"/>
          <w:szCs w:val="21"/>
          <w:highlight w:val="none"/>
          <w:u w:val="single"/>
        </w:rPr>
        <w:t>工期每拖延一天</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处以违约金为签约合同价的万分之二,</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延期超过一个月的，工期每拖延一天处以违约金为签约合同价的万分之四。如逾期竣工违约金达到签约合同价格的百分之二，则发包人有权要求承包人无条件退场，并承担由此产生的各方一切损失</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同时，发包人也有权安排其他施工队伍进场施工，费用经审核后从承包人合同价款中扣除</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由此给发包人造成损失的，损失费用同时扣除。</w:t>
      </w:r>
      <w:bookmarkEnd w:id="656"/>
    </w:p>
    <w:p w14:paraId="5D9172F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因承包人原因造成工期延误，逾</w:t>
      </w:r>
      <w:bookmarkStart w:id="657" w:name="_Toc312678014"/>
      <w:bookmarkStart w:id="658" w:name="_Toc318581171"/>
      <w:r>
        <w:rPr>
          <w:rFonts w:hint="eastAsia" w:ascii="仿宋" w:hAnsi="仿宋" w:eastAsia="仿宋" w:cs="仿宋"/>
          <w:color w:val="auto"/>
          <w:szCs w:val="21"/>
          <w:highlight w:val="none"/>
        </w:rPr>
        <w:t>期竣工违约金的上限：</w:t>
      </w:r>
      <w:r>
        <w:rPr>
          <w:rFonts w:hint="eastAsia" w:ascii="仿宋" w:hAnsi="仿宋" w:eastAsia="仿宋" w:cs="仿宋"/>
          <w:color w:val="auto"/>
          <w:szCs w:val="21"/>
          <w:highlight w:val="none"/>
          <w:u w:val="single"/>
        </w:rPr>
        <w:t xml:space="preserve"> 不超过工程合同款</w:t>
      </w:r>
      <w:r>
        <w:rPr>
          <w:rFonts w:hint="eastAsia" w:ascii="仿宋" w:hAnsi="仿宋" w:eastAsia="仿宋" w:cs="仿宋"/>
          <w:color w:val="auto"/>
          <w:szCs w:val="21"/>
          <w:highlight w:val="none"/>
          <w:u w:val="single"/>
          <w:lang w:val="en-US" w:eastAsia="zh-Hans"/>
        </w:rPr>
        <w:t>的</w:t>
      </w:r>
      <w:r>
        <w:rPr>
          <w:rFonts w:hint="default" w:ascii="仿宋" w:hAnsi="仿宋" w:eastAsia="仿宋" w:cs="仿宋"/>
          <w:color w:val="auto"/>
          <w:szCs w:val="21"/>
          <w:highlight w:val="none"/>
          <w:u w:val="single"/>
          <w:lang w:eastAsia="zh-Hans"/>
        </w:rPr>
        <w:t>30%</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50BD88D3">
      <w:pPr>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7.5.3工程延期的审批:</w:t>
      </w:r>
    </w:p>
    <w:p w14:paraId="3E662D53">
      <w:pPr>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7.5.3.1</w:t>
      </w:r>
      <w:r>
        <w:rPr>
          <w:rFonts w:hint="eastAsia" w:ascii="仿宋" w:hAnsi="仿宋" w:eastAsia="仿宋" w:cs="仿宋"/>
          <w:bCs/>
          <w:color w:val="auto"/>
          <w:szCs w:val="21"/>
          <w:highlight w:val="none"/>
          <w:u w:val="single"/>
        </w:rPr>
        <w:t xml:space="preserve"> 必须是非承包人自身的原因造成的工期延误，发包人才可以考虑是否受理承包人的延期申请。与承包人建立合同关系的供应商等主体造成的原因，仍然属于承包人原因而不考虑同意承包人的任何延期申请。</w:t>
      </w:r>
    </w:p>
    <w:p w14:paraId="7E729D0A">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rPr>
        <w:t>7.5.3.2</w:t>
      </w:r>
      <w:r>
        <w:rPr>
          <w:rFonts w:hint="eastAsia" w:ascii="仿宋" w:hAnsi="仿宋" w:eastAsia="仿宋" w:cs="仿宋"/>
          <w:bCs/>
          <w:color w:val="auto"/>
          <w:szCs w:val="21"/>
          <w:highlight w:val="none"/>
          <w:u w:val="single"/>
        </w:rPr>
        <w:t xml:space="preserve"> 若只是局部工程受到影响，承包人应采取措施并合理安排施工方案予以弥补，而不能影响工程的总工期。</w:t>
      </w:r>
    </w:p>
    <w:p w14:paraId="7DA9AC57">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rPr>
        <w:t>7.5.3.3</w:t>
      </w:r>
      <w:r>
        <w:rPr>
          <w:rFonts w:hint="eastAsia" w:ascii="仿宋" w:hAnsi="仿宋" w:eastAsia="仿宋" w:cs="仿宋"/>
          <w:bCs/>
          <w:color w:val="auto"/>
          <w:szCs w:val="21"/>
          <w:highlight w:val="none"/>
          <w:u w:val="single"/>
        </w:rPr>
        <w:t xml:space="preserve"> 双方约定本工程属于但不限于下列情况者，工期不予顺延：</w:t>
      </w:r>
    </w:p>
    <w:p w14:paraId="224C620C">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（1）因承包人违反规范或因工程质量不合格而进行返工、重建、修建的施工工期；</w:t>
      </w:r>
    </w:p>
    <w:p w14:paraId="16096D26">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2）因承包人违反规范施工，以伪劣材料充抵合同规定的品牌、型号、质量等级，或没有按投标时报送样品进行采购供货，或未按合同约定进行人员配置等等，经发包人或监理工程师下达停工令的停工日期不得顺延；</w:t>
      </w:r>
    </w:p>
    <w:p w14:paraId="3525E7FA">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（3）承包人没有组织和协调好各相关施工队伍进行施工而造成工期延误，由承包人承担责任；</w:t>
      </w:r>
    </w:p>
    <w:p w14:paraId="103556C2">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（4）承包人未按设计要求施工，发包人要求返工的工期不得顺延；</w:t>
      </w:r>
    </w:p>
    <w:p w14:paraId="709434D5">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（5）工程实施期间或完工后接受有关部门检查发现存在质量问题，需作整改，其整改费用和延误工期均由承包人自行承担，并负责经济赔偿；</w:t>
      </w:r>
    </w:p>
    <w:p w14:paraId="0861D38A">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（6）延期工程项目如果不在工程施工进度网络计划的关键线路上，即使是重要工序发包人也不考虑延长工程总工期。</w:t>
      </w:r>
    </w:p>
    <w:p w14:paraId="064BE116">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7.5.4如承包人需要变更关键线路，应以发包人书面批复为准。</w:t>
      </w:r>
    </w:p>
    <w:bookmarkEnd w:id="657"/>
    <w:bookmarkEnd w:id="658"/>
    <w:p w14:paraId="079D6B4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bookmarkStart w:id="659" w:name="_Toc297216178"/>
      <w:bookmarkStart w:id="660" w:name="_Toc303539128"/>
      <w:bookmarkStart w:id="661" w:name="_Toc312678015"/>
      <w:bookmarkStart w:id="662" w:name="_Toc300934971"/>
      <w:bookmarkStart w:id="663" w:name="_Toc304295549"/>
      <w:bookmarkStart w:id="664" w:name="_Toc297123519"/>
      <w:r>
        <w:rPr>
          <w:rFonts w:hint="eastAsia" w:ascii="仿宋" w:hAnsi="仿宋" w:eastAsia="仿宋" w:cs="仿宋"/>
          <w:color w:val="auto"/>
          <w:szCs w:val="21"/>
          <w:highlight w:val="none"/>
        </w:rPr>
        <w:t>.6 不</w:t>
      </w:r>
      <w:bookmarkEnd w:id="659"/>
      <w:bookmarkEnd w:id="660"/>
      <w:bookmarkEnd w:id="661"/>
      <w:bookmarkEnd w:id="662"/>
      <w:bookmarkEnd w:id="663"/>
      <w:bookmarkEnd w:id="664"/>
      <w:r>
        <w:rPr>
          <w:rFonts w:hint="eastAsia" w:ascii="仿宋" w:hAnsi="仿宋" w:eastAsia="仿宋" w:cs="仿宋"/>
          <w:color w:val="auto"/>
          <w:szCs w:val="21"/>
          <w:highlight w:val="none"/>
        </w:rPr>
        <w:t>利物质条件</w:t>
      </w:r>
      <w:bookmarkStart w:id="665" w:name="_Toc300934972"/>
      <w:bookmarkStart w:id="666" w:name="_Toc297123520"/>
      <w:bookmarkStart w:id="667" w:name="_Toc304295550"/>
      <w:bookmarkStart w:id="668" w:name="_Toc303539129"/>
      <w:bookmarkStart w:id="669" w:name="_Toc297216179"/>
      <w:bookmarkStart w:id="670" w:name="_Toc318581172"/>
      <w:bookmarkStart w:id="671" w:name="_Toc312678016"/>
    </w:p>
    <w:p w14:paraId="7F66556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不利物质条件的其他情形和有关约定：</w:t>
      </w:r>
    </w:p>
    <w:p w14:paraId="37EF556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（1）施工场地周围地下管线；</w:t>
      </w:r>
    </w:p>
    <w:p w14:paraId="5D4FDFA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（2）地下障碍物和污染物；</w:t>
      </w:r>
    </w:p>
    <w:p w14:paraId="00EE825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（3）邻近建筑物、构筑物的保护要求；</w:t>
      </w:r>
    </w:p>
    <w:bookmarkEnd w:id="665"/>
    <w:bookmarkEnd w:id="666"/>
    <w:bookmarkEnd w:id="667"/>
    <w:bookmarkEnd w:id="668"/>
    <w:bookmarkEnd w:id="669"/>
    <w:bookmarkEnd w:id="670"/>
    <w:bookmarkEnd w:id="671"/>
    <w:p w14:paraId="0B6B182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bookmarkStart w:id="672" w:name="_Toc303539130"/>
      <w:bookmarkStart w:id="673" w:name="_Toc297123521"/>
      <w:bookmarkStart w:id="674" w:name="_Toc304295551"/>
      <w:bookmarkStart w:id="675" w:name="_Toc300934973"/>
      <w:bookmarkStart w:id="676" w:name="_Toc312678017"/>
      <w:bookmarkStart w:id="677" w:name="_Toc297216180"/>
      <w:r>
        <w:rPr>
          <w:rFonts w:hint="eastAsia" w:ascii="仿宋" w:hAnsi="仿宋" w:eastAsia="仿宋" w:cs="仿宋"/>
          <w:color w:val="auto"/>
          <w:szCs w:val="21"/>
          <w:highlight w:val="none"/>
        </w:rPr>
        <w:t>.7异常恶劣的气候条件</w:t>
      </w:r>
    </w:p>
    <w:bookmarkEnd w:id="672"/>
    <w:bookmarkEnd w:id="673"/>
    <w:bookmarkEnd w:id="674"/>
    <w:bookmarkEnd w:id="675"/>
    <w:bookmarkEnd w:id="676"/>
    <w:bookmarkEnd w:id="677"/>
    <w:p w14:paraId="27361E0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发包人和承包人同意以下情形视为异常恶劣的气候条件：</w:t>
      </w:r>
      <w:r>
        <w:rPr>
          <w:rFonts w:hint="eastAsia" w:ascii="仿宋" w:hAnsi="仿宋" w:eastAsia="仿宋" w:cs="仿宋"/>
          <w:color w:val="auto"/>
          <w:szCs w:val="21"/>
          <w:highlight w:val="none"/>
          <w:u w:val="single"/>
        </w:rPr>
        <w:t xml:space="preserve">  /  </w:t>
      </w:r>
    </w:p>
    <w:p w14:paraId="7E190998">
      <w:pPr>
        <w:adjustRightInd/>
        <w:spacing w:line="400" w:lineRule="exact"/>
        <w:ind w:firstLine="420" w:firstLineChars="200"/>
        <w:outlineLvl w:val="0"/>
        <w:rPr>
          <w:rFonts w:hint="eastAsia" w:ascii="仿宋" w:hAnsi="仿宋" w:eastAsia="仿宋" w:cs="仿宋"/>
          <w:color w:val="auto"/>
          <w:szCs w:val="21"/>
          <w:highlight w:val="none"/>
        </w:rPr>
      </w:pPr>
      <w:bookmarkStart w:id="678" w:name="_Toc19780"/>
      <w:bookmarkStart w:id="679" w:name="_Toc2424"/>
      <w:bookmarkStart w:id="680" w:name="_Toc27338"/>
      <w:bookmarkStart w:id="681" w:name="_Toc20500"/>
      <w:bookmarkStart w:id="682" w:name="_Toc8513"/>
      <w:bookmarkStart w:id="683" w:name="_Toc31872"/>
      <w:r>
        <w:rPr>
          <w:rFonts w:hint="eastAsia" w:ascii="仿宋" w:hAnsi="仿宋" w:eastAsia="仿宋" w:cs="仿宋"/>
          <w:color w:val="auto"/>
          <w:szCs w:val="21"/>
          <w:highlight w:val="none"/>
        </w:rPr>
        <w:t>7.9 提前竣工的奖励</w:t>
      </w:r>
      <w:bookmarkEnd w:id="678"/>
      <w:bookmarkEnd w:id="679"/>
      <w:bookmarkEnd w:id="680"/>
      <w:bookmarkEnd w:id="681"/>
      <w:bookmarkEnd w:id="682"/>
      <w:bookmarkEnd w:id="683"/>
    </w:p>
    <w:p w14:paraId="1B4CBB1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7.9.2提前竣工的奖励：</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536A1527">
      <w:pPr>
        <w:keepNext/>
        <w:keepLines/>
        <w:adjustRightInd/>
        <w:spacing w:line="400" w:lineRule="exact"/>
        <w:outlineLvl w:val="3"/>
        <w:rPr>
          <w:rFonts w:hint="eastAsia" w:ascii="仿宋" w:hAnsi="仿宋" w:eastAsia="仿宋" w:cs="仿宋"/>
          <w:bCs/>
          <w:color w:val="auto"/>
          <w:szCs w:val="21"/>
          <w:highlight w:val="none"/>
        </w:rPr>
      </w:pPr>
      <w:bookmarkStart w:id="684" w:name="_Toc351203640"/>
      <w:r>
        <w:rPr>
          <w:rFonts w:hint="eastAsia" w:ascii="仿宋" w:hAnsi="仿宋" w:eastAsia="仿宋" w:cs="仿宋"/>
          <w:bCs/>
          <w:color w:val="auto"/>
          <w:szCs w:val="21"/>
          <w:highlight w:val="none"/>
        </w:rPr>
        <w:t>8. 材料与设备</w:t>
      </w:r>
      <w:bookmarkEnd w:id="684"/>
    </w:p>
    <w:bookmarkEnd w:id="601"/>
    <w:bookmarkEnd w:id="602"/>
    <w:bookmarkEnd w:id="603"/>
    <w:bookmarkEnd w:id="604"/>
    <w:bookmarkEnd w:id="605"/>
    <w:bookmarkEnd w:id="606"/>
    <w:bookmarkEnd w:id="607"/>
    <w:bookmarkEnd w:id="608"/>
    <w:bookmarkEnd w:id="609"/>
    <w:bookmarkEnd w:id="610"/>
    <w:p w14:paraId="305E1F0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bookmarkStart w:id="685" w:name="_Toc292559372"/>
      <w:bookmarkStart w:id="686" w:name="_Toc297120467"/>
      <w:bookmarkStart w:id="687" w:name="_Toc300934979"/>
      <w:bookmarkStart w:id="688" w:name="_Toc312678019"/>
      <w:bookmarkStart w:id="689" w:name="_Toc296503167"/>
      <w:bookmarkStart w:id="690" w:name="_Toc297048353"/>
      <w:bookmarkStart w:id="691" w:name="_Toc297123527"/>
      <w:bookmarkStart w:id="692" w:name="_Toc297216186"/>
      <w:bookmarkStart w:id="693" w:name="_Toc303539136"/>
      <w:bookmarkStart w:id="694" w:name="_Toc296346668"/>
      <w:bookmarkStart w:id="695" w:name="_Toc296891207"/>
      <w:bookmarkStart w:id="696" w:name="_Toc292559877"/>
      <w:bookmarkStart w:id="697" w:name="_Toc296944506"/>
      <w:bookmarkStart w:id="698" w:name="_Toc296890995"/>
      <w:bookmarkStart w:id="699" w:name="_Toc280868654"/>
      <w:bookmarkStart w:id="700" w:name="_Toc296347166"/>
      <w:bookmarkStart w:id="701" w:name="_Toc304295556"/>
      <w:bookmarkStart w:id="702" w:name="_Toc312677493"/>
      <w:bookmarkStart w:id="703" w:name="_Toc280868656"/>
      <w:bookmarkStart w:id="704" w:name="_Toc280868655"/>
      <w:bookmarkStart w:id="705" w:name="_Toc267251424"/>
      <w:r>
        <w:rPr>
          <w:rFonts w:hint="eastAsia" w:ascii="仿宋" w:hAnsi="仿宋" w:eastAsia="仿宋" w:cs="仿宋"/>
          <w:color w:val="auto"/>
          <w:szCs w:val="21"/>
          <w:highlight w:val="none"/>
        </w:rPr>
        <w:t>.4材料与工程设备的保管与使用</w:t>
      </w:r>
    </w:p>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14:paraId="1B060AA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bookmarkStart w:id="706" w:name="_Toc292559878"/>
      <w:bookmarkStart w:id="707" w:name="_Toc292559373"/>
      <w:bookmarkStart w:id="708" w:name="_Toc297120468"/>
      <w:bookmarkStart w:id="709" w:name="_Toc303539137"/>
      <w:bookmarkStart w:id="710" w:name="_Toc296503168"/>
      <w:bookmarkStart w:id="711" w:name="_Toc296346669"/>
      <w:bookmarkStart w:id="712" w:name="_Toc312677494"/>
      <w:bookmarkStart w:id="713" w:name="_Toc296890996"/>
      <w:bookmarkStart w:id="714" w:name="_Toc296891208"/>
      <w:bookmarkStart w:id="715" w:name="_Toc318581173"/>
      <w:bookmarkStart w:id="716" w:name="_Toc297123528"/>
      <w:bookmarkStart w:id="717" w:name="_Toc296944507"/>
      <w:bookmarkStart w:id="718" w:name="_Toc312678020"/>
      <w:bookmarkStart w:id="719" w:name="_Toc304295557"/>
      <w:bookmarkStart w:id="720" w:name="_Toc300934980"/>
      <w:bookmarkStart w:id="721" w:name="_Toc297216187"/>
      <w:bookmarkStart w:id="722" w:name="_Toc297048354"/>
      <w:bookmarkStart w:id="723" w:name="_Toc296347167"/>
      <w:r>
        <w:rPr>
          <w:rFonts w:hint="eastAsia" w:ascii="仿宋" w:hAnsi="仿宋" w:eastAsia="仿宋" w:cs="仿宋"/>
          <w:color w:val="auto"/>
          <w:szCs w:val="21"/>
          <w:highlight w:val="none"/>
        </w:rPr>
        <w:t>.4.1发包人供应的材料设备的保管费用的承担：</w:t>
      </w:r>
      <w:r>
        <w:rPr>
          <w:rFonts w:hint="eastAsia" w:ascii="仿宋" w:hAnsi="仿宋" w:eastAsia="仿宋" w:cs="仿宋"/>
          <w:color w:val="auto"/>
          <w:szCs w:val="21"/>
          <w:highlight w:val="none"/>
          <w:u w:val="single"/>
        </w:rPr>
        <w:t xml:space="preserve"> 施工期间，承包人实施的在建工程，承包人采购的物资、使用的设备，以及发包人采购但已经交付给承包人的物资、设备，由承包人负责保管并负担保管费用。甲供材料保管费用、卸货费、二次搬运费等由承包人承担。发包人有权根据工程实际情况调整甲供材料及设备的品种、规格、型号、质量等级，承包人不得拒绝接收 </w:t>
      </w:r>
      <w:r>
        <w:rPr>
          <w:rFonts w:hint="eastAsia" w:ascii="仿宋" w:hAnsi="仿宋" w:eastAsia="仿宋" w:cs="仿宋"/>
          <w:color w:val="auto"/>
          <w:szCs w:val="21"/>
          <w:highlight w:val="none"/>
        </w:rPr>
        <w:t>。</w:t>
      </w:r>
      <w:bookmarkEnd w:id="706"/>
      <w:bookmarkEnd w:id="707"/>
    </w:p>
    <w:p w14:paraId="39F5470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发包人供应材料设备的结算方法：</w:t>
      </w:r>
      <w:r>
        <w:rPr>
          <w:rFonts w:hint="eastAsia" w:ascii="仿宋" w:hAnsi="仿宋" w:eastAsia="仿宋" w:cs="仿宋"/>
          <w:color w:val="auto"/>
          <w:szCs w:val="21"/>
          <w:highlight w:val="none"/>
          <w:u w:val="single"/>
        </w:rPr>
        <w:t>按发包人实际采购价和核定承包人领用量在支付工程进度款时扣除</w:t>
      </w:r>
      <w:r>
        <w:rPr>
          <w:rFonts w:hint="eastAsia" w:ascii="仿宋" w:hAnsi="仿宋" w:eastAsia="仿宋" w:cs="仿宋"/>
          <w:color w:val="auto"/>
          <w:szCs w:val="21"/>
          <w:highlight w:val="none"/>
        </w:rPr>
        <w:t>。</w:t>
      </w:r>
    </w:p>
    <w:p w14:paraId="71232916">
      <w:pPr>
        <w:adjustRightInd/>
        <w:spacing w:line="400" w:lineRule="exact"/>
        <w:ind w:firstLine="420" w:firstLineChars="200"/>
        <w:outlineLvl w:val="0"/>
        <w:rPr>
          <w:rFonts w:hint="eastAsia" w:ascii="仿宋" w:hAnsi="仿宋" w:eastAsia="仿宋" w:cs="仿宋"/>
          <w:color w:val="auto"/>
          <w:szCs w:val="21"/>
          <w:highlight w:val="none"/>
        </w:rPr>
      </w:pPr>
      <w:bookmarkStart w:id="724" w:name="_Toc1742"/>
      <w:bookmarkStart w:id="725" w:name="_Toc16897"/>
      <w:bookmarkStart w:id="726" w:name="_Toc9896"/>
      <w:bookmarkStart w:id="727" w:name="_Toc26492"/>
      <w:bookmarkStart w:id="728" w:name="_Toc18241"/>
      <w:bookmarkStart w:id="729" w:name="_Toc15717"/>
      <w:r>
        <w:rPr>
          <w:rFonts w:hint="eastAsia" w:ascii="仿宋" w:hAnsi="仿宋" w:eastAsia="仿宋" w:cs="仿宋"/>
          <w:color w:val="auto"/>
          <w:szCs w:val="21"/>
          <w:highlight w:val="none"/>
        </w:rPr>
        <w:t>8.6 样品</w:t>
      </w:r>
      <w:bookmarkEnd w:id="724"/>
      <w:bookmarkEnd w:id="725"/>
      <w:bookmarkEnd w:id="726"/>
      <w:bookmarkEnd w:id="727"/>
      <w:bookmarkEnd w:id="728"/>
      <w:bookmarkEnd w:id="729"/>
    </w:p>
    <w:p w14:paraId="308C768B">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8.6.1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样品的报送与封存</w:t>
      </w:r>
    </w:p>
    <w:p w14:paraId="2F3337E9">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需要承包人报送样品的材料或工程设备，样品的种类、名称、规格、数量要求：</w:t>
      </w:r>
      <w:r>
        <w:rPr>
          <w:rFonts w:hint="eastAsia" w:ascii="仿宋" w:hAnsi="仿宋" w:eastAsia="仿宋" w:cs="仿宋"/>
          <w:color w:val="auto"/>
          <w:szCs w:val="21"/>
          <w:highlight w:val="none"/>
          <w:u w:val="single"/>
        </w:rPr>
        <w:t>除另有约定外，承包人负责完成本工程施工除甲供材料之外的所需的全部材料、设备采购、验收、运输和保管（包括甲供材料、设备的验收、保管）</w:t>
      </w:r>
      <w:r>
        <w:rPr>
          <w:rFonts w:hint="eastAsia" w:ascii="仿宋" w:hAnsi="仿宋" w:eastAsia="仿宋" w:cs="仿宋"/>
          <w:color w:val="auto"/>
          <w:szCs w:val="21"/>
          <w:highlight w:val="none"/>
        </w:rPr>
        <w:t>。</w:t>
      </w:r>
    </w:p>
    <w:p w14:paraId="13869664">
      <w:pPr>
        <w:adjustRightInd/>
        <w:spacing w:line="400" w:lineRule="exact"/>
        <w:ind w:firstLine="420" w:firstLineChars="200"/>
        <w:outlineLvl w:val="0"/>
        <w:rPr>
          <w:rFonts w:hint="eastAsia" w:ascii="仿宋" w:hAnsi="仿宋" w:eastAsia="仿宋" w:cs="仿宋"/>
          <w:color w:val="auto"/>
          <w:szCs w:val="21"/>
          <w:highlight w:val="none"/>
        </w:rPr>
      </w:pPr>
      <w:bookmarkStart w:id="730" w:name="_Toc4843"/>
      <w:bookmarkStart w:id="731" w:name="_Toc9251"/>
      <w:bookmarkStart w:id="732" w:name="_Toc27408"/>
      <w:bookmarkStart w:id="733" w:name="_Toc22514"/>
      <w:bookmarkStart w:id="734" w:name="_Toc13868"/>
      <w:bookmarkStart w:id="735" w:name="_Toc32690"/>
      <w:r>
        <w:rPr>
          <w:rFonts w:hint="eastAsia" w:ascii="仿宋" w:hAnsi="仿宋" w:eastAsia="仿宋" w:cs="仿宋"/>
          <w:color w:val="auto"/>
          <w:szCs w:val="21"/>
          <w:highlight w:val="none"/>
        </w:rPr>
        <w:t>8.8 施工设备和临时设施</w:t>
      </w:r>
      <w:bookmarkEnd w:id="730"/>
      <w:bookmarkEnd w:id="731"/>
      <w:bookmarkEnd w:id="732"/>
      <w:bookmarkEnd w:id="733"/>
      <w:bookmarkEnd w:id="734"/>
      <w:bookmarkEnd w:id="735"/>
    </w:p>
    <w:p w14:paraId="23F060DA">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8.8.1 承包人提供的施工设备和临时设施</w:t>
      </w:r>
    </w:p>
    <w:p w14:paraId="77484799">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关于修建临时设施费用承担的约定：</w:t>
      </w:r>
      <w:r>
        <w:rPr>
          <w:rFonts w:hint="eastAsia" w:ascii="仿宋" w:hAnsi="仿宋" w:eastAsia="仿宋" w:cs="仿宋"/>
          <w:color w:val="auto"/>
          <w:szCs w:val="21"/>
          <w:highlight w:val="none"/>
          <w:u w:val="single"/>
        </w:rPr>
        <w:t xml:space="preserve"> 由承包人承担  </w:t>
      </w:r>
      <w:r>
        <w:rPr>
          <w:rFonts w:hint="eastAsia" w:ascii="仿宋" w:hAnsi="仿宋" w:eastAsia="仿宋" w:cs="仿宋"/>
          <w:color w:val="auto"/>
          <w:szCs w:val="21"/>
          <w:highlight w:val="none"/>
        </w:rPr>
        <w:t>。</w:t>
      </w:r>
    </w:p>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14:paraId="674B2C0E">
      <w:pPr>
        <w:keepNext/>
        <w:keepLines/>
        <w:adjustRightInd/>
        <w:spacing w:line="360" w:lineRule="auto"/>
        <w:outlineLvl w:val="3"/>
        <w:rPr>
          <w:rFonts w:hint="eastAsia" w:ascii="仿宋" w:hAnsi="仿宋" w:eastAsia="仿宋" w:cs="仿宋"/>
          <w:bCs/>
          <w:color w:val="auto"/>
          <w:szCs w:val="21"/>
          <w:highlight w:val="none"/>
        </w:rPr>
      </w:pPr>
      <w:bookmarkStart w:id="736" w:name="_Toc351203641"/>
      <w:r>
        <w:rPr>
          <w:rFonts w:hint="eastAsia" w:ascii="仿宋" w:hAnsi="仿宋" w:eastAsia="仿宋" w:cs="仿宋"/>
          <w:bCs/>
          <w:color w:val="auto"/>
          <w:szCs w:val="21"/>
          <w:highlight w:val="none"/>
        </w:rPr>
        <w:t>9</w:t>
      </w:r>
      <w:bookmarkEnd w:id="703"/>
      <w:bookmarkEnd w:id="704"/>
      <w:bookmarkEnd w:id="705"/>
      <w:bookmarkStart w:id="737" w:name="_Toc304295559"/>
      <w:bookmarkStart w:id="738" w:name="_Toc303539139"/>
      <w:bookmarkStart w:id="739" w:name="_Toc312677495"/>
      <w:bookmarkStart w:id="740" w:name="_Toc297216192"/>
      <w:bookmarkStart w:id="741" w:name="_Toc300934982"/>
      <w:bookmarkStart w:id="742" w:name="_Toc297123533"/>
      <w:bookmarkStart w:id="743" w:name="_Toc312678021"/>
      <w:bookmarkStart w:id="744" w:name="_Toc296347172"/>
      <w:bookmarkStart w:id="745" w:name="_Toc267251428"/>
      <w:bookmarkStart w:id="746" w:name="_Toc292559378"/>
      <w:bookmarkStart w:id="747" w:name="_Toc296891001"/>
      <w:bookmarkStart w:id="748" w:name="_Toc297120473"/>
      <w:bookmarkStart w:id="749" w:name="_Toc296346674"/>
      <w:bookmarkStart w:id="750" w:name="_Toc292559883"/>
      <w:bookmarkStart w:id="751" w:name="_Toc296944512"/>
      <w:bookmarkStart w:id="752" w:name="_Toc267251427"/>
      <w:bookmarkStart w:id="753" w:name="_Toc296503173"/>
      <w:bookmarkStart w:id="754" w:name="_Toc296891213"/>
      <w:bookmarkStart w:id="755" w:name="_Toc297048359"/>
      <w:r>
        <w:rPr>
          <w:rFonts w:hint="eastAsia" w:ascii="仿宋" w:hAnsi="仿宋" w:eastAsia="仿宋" w:cs="仿宋"/>
          <w:bCs/>
          <w:color w:val="auto"/>
          <w:szCs w:val="21"/>
          <w:highlight w:val="none"/>
        </w:rPr>
        <w:t>. 试验与检验</w:t>
      </w:r>
      <w:bookmarkEnd w:id="736"/>
    </w:p>
    <w:bookmarkEnd w:id="737"/>
    <w:bookmarkEnd w:id="738"/>
    <w:bookmarkEnd w:id="739"/>
    <w:bookmarkEnd w:id="740"/>
    <w:bookmarkEnd w:id="741"/>
    <w:bookmarkEnd w:id="742"/>
    <w:bookmarkEnd w:id="743"/>
    <w:p w14:paraId="5AD3B32A">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w:t>
      </w:r>
      <w:bookmarkStart w:id="756" w:name="_Toc304295560"/>
      <w:bookmarkStart w:id="757" w:name="_Toc303539140"/>
      <w:bookmarkStart w:id="758" w:name="_Toc297123534"/>
      <w:bookmarkStart w:id="759" w:name="_Toc300934983"/>
      <w:bookmarkStart w:id="760" w:name="_Toc312677496"/>
      <w:bookmarkStart w:id="761" w:name="_Toc312678022"/>
      <w:bookmarkStart w:id="762" w:name="_Toc297216193"/>
      <w:r>
        <w:rPr>
          <w:rFonts w:hint="eastAsia" w:ascii="仿宋" w:hAnsi="仿宋" w:eastAsia="仿宋" w:cs="仿宋"/>
          <w:color w:val="auto"/>
          <w:szCs w:val="21"/>
          <w:highlight w:val="none"/>
        </w:rPr>
        <w:t>.1试验设备与试验人员</w:t>
      </w:r>
    </w:p>
    <w:bookmarkEnd w:id="756"/>
    <w:bookmarkEnd w:id="757"/>
    <w:bookmarkEnd w:id="758"/>
    <w:bookmarkEnd w:id="759"/>
    <w:bookmarkEnd w:id="760"/>
    <w:bookmarkEnd w:id="761"/>
    <w:bookmarkEnd w:id="762"/>
    <w:p w14:paraId="497D40F3">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w:t>
      </w:r>
      <w:bookmarkStart w:id="763" w:name="_Toc297123535"/>
      <w:bookmarkStart w:id="764" w:name="_Toc297216194"/>
      <w:bookmarkStart w:id="765" w:name="_Toc304295561"/>
      <w:bookmarkStart w:id="766" w:name="_Toc300934984"/>
      <w:bookmarkStart w:id="767" w:name="_Toc312678023"/>
      <w:bookmarkStart w:id="768" w:name="_Toc303539141"/>
      <w:bookmarkStart w:id="769" w:name="_Toc312677497"/>
      <w:bookmarkStart w:id="770" w:name="_Toc318581174"/>
      <w:r>
        <w:rPr>
          <w:rFonts w:hint="eastAsia" w:ascii="仿宋" w:hAnsi="仿宋" w:eastAsia="仿宋" w:cs="仿宋"/>
          <w:color w:val="auto"/>
          <w:szCs w:val="21"/>
          <w:highlight w:val="none"/>
        </w:rPr>
        <w:t>.1.2 试验设备</w:t>
      </w:r>
    </w:p>
    <w:p w14:paraId="25075126">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施工现场需要配置的试验场所：</w:t>
      </w:r>
      <w:bookmarkEnd w:id="763"/>
      <w:bookmarkEnd w:id="764"/>
      <w:bookmarkEnd w:id="765"/>
      <w:bookmarkEnd w:id="766"/>
      <w:bookmarkEnd w:id="767"/>
      <w:bookmarkEnd w:id="768"/>
      <w:bookmarkEnd w:id="769"/>
      <w:bookmarkStart w:id="771" w:name="_Toc312678024"/>
      <w:bookmarkStart w:id="772" w:name="_Toc303539142"/>
      <w:bookmarkStart w:id="773" w:name="_Toc297216195"/>
      <w:bookmarkStart w:id="774" w:name="_Toc297123536"/>
      <w:bookmarkStart w:id="775" w:name="_Toc304295562"/>
      <w:bookmarkStart w:id="776" w:name="_Toc300934985"/>
      <w:bookmarkStart w:id="777" w:name="_Toc312677498"/>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 xml:space="preserve">。 </w:t>
      </w:r>
    </w:p>
    <w:p w14:paraId="1B21AF38">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施工现场需要配备的试验设备：</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72A9507F">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施工现场需要具备的其他试验条件：</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26971F33">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9.3  材料、工程设备和工程的试验和检验</w:t>
      </w:r>
    </w:p>
    <w:p w14:paraId="0FF35B4A">
      <w:pPr>
        <w:adjustRightInd/>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试验、检测单位资质条件约定：</w:t>
      </w:r>
      <w:r>
        <w:rPr>
          <w:rFonts w:hint="eastAsia" w:ascii="仿宋" w:hAnsi="仿宋" w:eastAsia="仿宋" w:cs="仿宋"/>
          <w:color w:val="auto"/>
          <w:szCs w:val="21"/>
          <w:highlight w:val="none"/>
          <w:u w:val="single"/>
        </w:rPr>
        <w:t>按有关规定；</w:t>
      </w:r>
    </w:p>
    <w:p w14:paraId="4B2B22CA">
      <w:pPr>
        <w:adjustRightInd/>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试验、检测单位选择约定：</w:t>
      </w:r>
      <w:r>
        <w:rPr>
          <w:rFonts w:hint="eastAsia" w:ascii="仿宋" w:hAnsi="仿宋" w:eastAsia="仿宋" w:cs="仿宋"/>
          <w:color w:val="auto"/>
          <w:szCs w:val="21"/>
          <w:highlight w:val="none"/>
          <w:u w:val="single"/>
        </w:rPr>
        <w:t>按有关规定；</w:t>
      </w:r>
    </w:p>
    <w:p w14:paraId="244464EB">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试验、检测费用约定：</w:t>
      </w:r>
      <w:r>
        <w:rPr>
          <w:rFonts w:hint="eastAsia" w:ascii="仿宋" w:hAnsi="仿宋" w:eastAsia="仿宋" w:cs="仿宋"/>
          <w:color w:val="auto"/>
          <w:szCs w:val="21"/>
          <w:highlight w:val="none"/>
          <w:u w:val="single"/>
        </w:rPr>
        <w:t>本工程所需所有检测试验项目，所需费用由承包人承担。由于建设单位要求额外的检测试验，由建设单位支付费用，施工单位应无条件配合。由于质量问题所引起的复测，如复测结果质量合格，复测费用由建设单位支付</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如不合格，则由施工单位支付。</w:t>
      </w:r>
    </w:p>
    <w:p w14:paraId="78788B1B">
      <w:pPr>
        <w:adjustRightInd/>
        <w:spacing w:line="400" w:lineRule="exact"/>
        <w:ind w:firstLine="420" w:firstLineChars="200"/>
        <w:outlineLvl w:val="0"/>
        <w:rPr>
          <w:rFonts w:hint="eastAsia" w:ascii="仿宋" w:hAnsi="仿宋" w:eastAsia="仿宋" w:cs="仿宋"/>
          <w:color w:val="auto"/>
          <w:szCs w:val="21"/>
          <w:highlight w:val="none"/>
        </w:rPr>
      </w:pPr>
      <w:bookmarkStart w:id="778" w:name="_Toc9472"/>
      <w:bookmarkStart w:id="779" w:name="_Toc11066"/>
      <w:bookmarkStart w:id="780" w:name="_Toc32061"/>
      <w:bookmarkStart w:id="781" w:name="_Toc18684"/>
      <w:bookmarkStart w:id="782" w:name="_Toc22320"/>
      <w:bookmarkStart w:id="783" w:name="_Toc8402"/>
      <w:r>
        <w:rPr>
          <w:rFonts w:hint="eastAsia" w:ascii="仿宋" w:hAnsi="仿宋" w:eastAsia="仿宋" w:cs="仿宋"/>
          <w:color w:val="auto"/>
          <w:szCs w:val="21"/>
          <w:highlight w:val="none"/>
        </w:rPr>
        <w:t>9.4 现场工艺试验</w:t>
      </w:r>
      <w:bookmarkEnd w:id="778"/>
      <w:bookmarkEnd w:id="779"/>
      <w:bookmarkEnd w:id="780"/>
      <w:bookmarkEnd w:id="781"/>
      <w:bookmarkEnd w:id="782"/>
      <w:bookmarkEnd w:id="783"/>
    </w:p>
    <w:p w14:paraId="53276EA2">
      <w:pPr>
        <w:adjustRightInd/>
        <w:spacing w:line="400" w:lineRule="exact"/>
        <w:ind w:firstLine="420" w:firstLineChars="200"/>
        <w:outlineLvl w:val="0"/>
        <w:rPr>
          <w:rFonts w:hint="eastAsia" w:ascii="仿宋" w:hAnsi="仿宋" w:eastAsia="仿宋" w:cs="仿宋"/>
          <w:color w:val="auto"/>
          <w:szCs w:val="21"/>
          <w:highlight w:val="none"/>
        </w:rPr>
      </w:pPr>
      <w:bookmarkStart w:id="784" w:name="_Toc8425"/>
      <w:bookmarkStart w:id="785" w:name="_Toc23413"/>
      <w:bookmarkStart w:id="786" w:name="_Toc1747"/>
      <w:bookmarkStart w:id="787" w:name="_Toc4246"/>
      <w:bookmarkStart w:id="788" w:name="_Toc19192"/>
      <w:bookmarkStart w:id="789" w:name="_Toc19892"/>
      <w:r>
        <w:rPr>
          <w:rFonts w:hint="eastAsia" w:ascii="仿宋" w:hAnsi="仿宋" w:eastAsia="仿宋" w:cs="仿宋"/>
          <w:color w:val="auto"/>
          <w:szCs w:val="21"/>
          <w:highlight w:val="none"/>
        </w:rPr>
        <w:t>现场工艺试验的有关约定：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bookmarkEnd w:id="784"/>
      <w:bookmarkEnd w:id="785"/>
      <w:bookmarkEnd w:id="786"/>
      <w:bookmarkEnd w:id="787"/>
      <w:bookmarkEnd w:id="788"/>
      <w:bookmarkEnd w:id="789"/>
    </w:p>
    <w:bookmarkEnd w:id="770"/>
    <w:bookmarkEnd w:id="771"/>
    <w:bookmarkEnd w:id="772"/>
    <w:bookmarkEnd w:id="773"/>
    <w:bookmarkEnd w:id="774"/>
    <w:bookmarkEnd w:id="775"/>
    <w:bookmarkEnd w:id="776"/>
    <w:bookmarkEnd w:id="777"/>
    <w:p w14:paraId="41CCDB68">
      <w:pPr>
        <w:keepNext/>
        <w:keepLines/>
        <w:adjustRightInd/>
        <w:spacing w:line="400" w:lineRule="exact"/>
        <w:outlineLvl w:val="3"/>
        <w:rPr>
          <w:rFonts w:hint="eastAsia" w:ascii="仿宋" w:hAnsi="仿宋" w:eastAsia="仿宋" w:cs="仿宋"/>
          <w:bCs/>
          <w:color w:val="auto"/>
          <w:szCs w:val="21"/>
          <w:highlight w:val="none"/>
        </w:rPr>
      </w:pPr>
      <w:bookmarkStart w:id="790" w:name="_Toc351203642"/>
      <w:r>
        <w:rPr>
          <w:rFonts w:hint="eastAsia" w:ascii="仿宋" w:hAnsi="仿宋" w:eastAsia="仿宋" w:cs="仿宋"/>
          <w:bCs/>
          <w:color w:val="auto"/>
          <w:szCs w:val="21"/>
          <w:highlight w:val="none"/>
        </w:rPr>
        <w:t>1</w:t>
      </w:r>
      <w:bookmarkEnd w:id="744"/>
      <w:bookmarkEnd w:id="745"/>
      <w:bookmarkEnd w:id="746"/>
      <w:bookmarkEnd w:id="747"/>
      <w:bookmarkEnd w:id="748"/>
      <w:bookmarkEnd w:id="749"/>
      <w:bookmarkEnd w:id="750"/>
      <w:bookmarkEnd w:id="751"/>
      <w:bookmarkEnd w:id="752"/>
      <w:bookmarkEnd w:id="753"/>
      <w:bookmarkEnd w:id="754"/>
      <w:bookmarkEnd w:id="755"/>
      <w:bookmarkStart w:id="791" w:name="_Toc296891021"/>
      <w:bookmarkStart w:id="792" w:name="_Toc296346694"/>
      <w:bookmarkStart w:id="793" w:name="_Toc300934989"/>
      <w:bookmarkStart w:id="794" w:name="_Toc296347192"/>
      <w:bookmarkStart w:id="795" w:name="_Toc304295566"/>
      <w:bookmarkStart w:id="796" w:name="_Toc296944532"/>
      <w:bookmarkStart w:id="797" w:name="_Toc297216199"/>
      <w:bookmarkStart w:id="798" w:name="_Toc297120493"/>
      <w:bookmarkStart w:id="799" w:name="_Toc297048379"/>
      <w:bookmarkStart w:id="800" w:name="_Toc296503193"/>
      <w:bookmarkStart w:id="801" w:name="_Toc292559903"/>
      <w:bookmarkStart w:id="802" w:name="_Toc303539146"/>
      <w:bookmarkStart w:id="803" w:name="_Toc297123540"/>
      <w:bookmarkStart w:id="804" w:name="_Toc292559398"/>
      <w:bookmarkStart w:id="805" w:name="_Toc296891233"/>
      <w:bookmarkStart w:id="806" w:name="_Toc312677499"/>
      <w:bookmarkStart w:id="807" w:name="_Toc312678025"/>
      <w:bookmarkStart w:id="808" w:name="_Toc267251435"/>
      <w:bookmarkStart w:id="809" w:name="_Toc267251437"/>
      <w:bookmarkStart w:id="810" w:name="_Toc267251439"/>
      <w:bookmarkStart w:id="811" w:name="_Toc267251440"/>
      <w:bookmarkStart w:id="812" w:name="_Toc267251441"/>
      <w:bookmarkStart w:id="813" w:name="_Toc267251433"/>
      <w:r>
        <w:rPr>
          <w:rFonts w:hint="eastAsia" w:ascii="仿宋" w:hAnsi="仿宋" w:eastAsia="仿宋" w:cs="仿宋"/>
          <w:bCs/>
          <w:color w:val="auto"/>
          <w:szCs w:val="21"/>
          <w:highlight w:val="none"/>
        </w:rPr>
        <w:t>0. 变更</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bookmarkEnd w:id="806"/>
    <w:bookmarkEnd w:id="807"/>
    <w:p w14:paraId="2B488FC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bookmarkStart w:id="814" w:name="_Toc296346695"/>
      <w:bookmarkStart w:id="815" w:name="_Toc312677500"/>
      <w:bookmarkStart w:id="816" w:name="_Toc300934990"/>
      <w:bookmarkStart w:id="817" w:name="_Toc297123541"/>
      <w:bookmarkStart w:id="818" w:name="_Toc296891022"/>
      <w:bookmarkStart w:id="819" w:name="_Toc312678026"/>
      <w:bookmarkStart w:id="820" w:name="_Toc297120494"/>
      <w:bookmarkStart w:id="821" w:name="_Toc296347193"/>
      <w:bookmarkStart w:id="822" w:name="_Toc303539147"/>
      <w:bookmarkStart w:id="823" w:name="_Toc296891234"/>
      <w:bookmarkStart w:id="824" w:name="_Toc304295567"/>
      <w:bookmarkStart w:id="825" w:name="_Toc297216200"/>
      <w:bookmarkStart w:id="826" w:name="_Toc292559904"/>
      <w:bookmarkStart w:id="827" w:name="_Toc297048380"/>
      <w:bookmarkStart w:id="828" w:name="_Toc292559399"/>
      <w:bookmarkStart w:id="829" w:name="_Toc296944533"/>
      <w:bookmarkStart w:id="830" w:name="_Toc296503194"/>
      <w:r>
        <w:rPr>
          <w:rFonts w:hint="eastAsia" w:ascii="仿宋" w:hAnsi="仿宋" w:eastAsia="仿宋" w:cs="仿宋"/>
          <w:color w:val="auto"/>
          <w:szCs w:val="21"/>
          <w:highlight w:val="none"/>
        </w:rPr>
        <w:t>0.1变更的范围</w:t>
      </w:r>
    </w:p>
    <w:p w14:paraId="45C145C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关于变更的范围的约定：</w:t>
      </w:r>
      <w:r>
        <w:rPr>
          <w:rFonts w:hint="eastAsia" w:ascii="仿宋" w:hAnsi="仿宋" w:eastAsia="仿宋" w:cs="仿宋"/>
          <w:color w:val="auto"/>
          <w:szCs w:val="21"/>
          <w:highlight w:val="none"/>
          <w:u w:val="single"/>
        </w:rPr>
        <w:t xml:space="preserve">按照建设单位及上级管理部门的变更管理办法中的相关规定  </w:t>
      </w:r>
      <w:r>
        <w:rPr>
          <w:rFonts w:hint="eastAsia" w:ascii="仿宋" w:hAnsi="仿宋" w:eastAsia="仿宋" w:cs="仿宋"/>
          <w:color w:val="auto"/>
          <w:szCs w:val="21"/>
          <w:highlight w:val="none"/>
        </w:rPr>
        <w:t>。</w:t>
      </w:r>
    </w:p>
    <w:p w14:paraId="613103A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10.1.2施工中发包人需对原工程设计变更，应提前14天以书面形式向承包人发出变更通知。变更超过原设计标准或批准的建设规模时，发包人应报规划管理部门和其他有关部门重新审查批准，并由原设计单位提供变更的相应图纸和说明。承包人按照发包人发出的变更通知、图纸及有关要求进行变更。</w:t>
      </w:r>
    </w:p>
    <w:p w14:paraId="2EEEF1F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10.1.3施工中承包人不得对原工程设计进行变更。因承包人擅自变更设计发生的费用和由此导致发包人的直接损失，由承包人承担，</w:t>
      </w:r>
      <w:r>
        <w:rPr>
          <w:rFonts w:hint="eastAsia" w:ascii="仿宋" w:hAnsi="仿宋" w:eastAsia="仿宋" w:cs="仿宋"/>
          <w:color w:val="auto"/>
          <w:szCs w:val="21"/>
          <w:highlight w:val="none"/>
          <w:u w:val="single"/>
          <w:lang w:val="en-US" w:eastAsia="zh-Hans"/>
        </w:rPr>
        <w:t>承包人应无条件返工</w:t>
      </w:r>
      <w:r>
        <w:rPr>
          <w:rFonts w:hint="default" w:ascii="仿宋" w:hAnsi="仿宋" w:eastAsia="仿宋" w:cs="仿宋"/>
          <w:color w:val="auto"/>
          <w:szCs w:val="21"/>
          <w:highlight w:val="none"/>
          <w:u w:val="single"/>
          <w:lang w:eastAsia="zh-Hans"/>
        </w:rPr>
        <w:t>，</w:t>
      </w:r>
      <w:r>
        <w:rPr>
          <w:rFonts w:hint="eastAsia" w:ascii="仿宋" w:hAnsi="仿宋" w:eastAsia="仿宋" w:cs="仿宋"/>
          <w:color w:val="auto"/>
          <w:szCs w:val="21"/>
          <w:highlight w:val="none"/>
          <w:u w:val="single"/>
        </w:rPr>
        <w:t>延误的工期不予顺延。</w:t>
      </w:r>
    </w:p>
    <w:p w14:paraId="71525E4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10.1.4承包人在施工中提出的合理化建议涉及到对设计图纸或施工组织设计的更改及对材料、设备的换用，须经发包人</w:t>
      </w:r>
      <w:r>
        <w:rPr>
          <w:rFonts w:hint="eastAsia" w:ascii="仿宋" w:hAnsi="仿宋" w:eastAsia="仿宋" w:cs="仿宋"/>
          <w:color w:val="auto"/>
          <w:szCs w:val="21"/>
          <w:highlight w:val="none"/>
          <w:u w:val="single"/>
          <w:lang w:val="en-US" w:eastAsia="zh-Hans"/>
        </w:rPr>
        <w:t>书面</w:t>
      </w:r>
      <w:r>
        <w:rPr>
          <w:rFonts w:hint="eastAsia" w:ascii="仿宋" w:hAnsi="仿宋" w:eastAsia="仿宋" w:cs="仿宋"/>
          <w:color w:val="auto"/>
          <w:szCs w:val="21"/>
          <w:highlight w:val="none"/>
          <w:u w:val="single"/>
        </w:rPr>
        <w:t>同意。未经同意擅自更改或换用时，承包人承担由此发生的费用，并赔偿发包人的有关损失，延误的工期不予顺延。</w:t>
      </w:r>
    </w:p>
    <w:p w14:paraId="469411D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10.1.5发包人有可能根据工程需要修改施工图或发出指令增加或减少工程量，工程量不论增减多少，承包人均应无条件服从，对因变更增加或减少的工程量，其结算口径按本合同专用条款执行。对变更单项材料累计金额达到规定标准时，发包人有权通过招标或进行政府采购确定材料价格及供货单位。</w:t>
      </w:r>
    </w:p>
    <w:p w14:paraId="2FD21C6E">
      <w:pPr>
        <w:adjustRightInd/>
        <w:spacing w:line="400" w:lineRule="exact"/>
        <w:ind w:firstLine="420" w:firstLineChars="200"/>
        <w:outlineLvl w:val="0"/>
        <w:rPr>
          <w:rFonts w:hint="eastAsia" w:ascii="仿宋" w:hAnsi="仿宋" w:eastAsia="仿宋" w:cs="仿宋"/>
          <w:color w:val="auto"/>
          <w:szCs w:val="21"/>
          <w:highlight w:val="none"/>
        </w:rPr>
      </w:pPr>
      <w:bookmarkStart w:id="831" w:name="_Toc353"/>
      <w:bookmarkStart w:id="832" w:name="_Toc9300"/>
      <w:bookmarkStart w:id="833" w:name="_Toc789"/>
      <w:bookmarkStart w:id="834" w:name="_Toc20596"/>
      <w:bookmarkStart w:id="835" w:name="_Toc19048"/>
      <w:bookmarkStart w:id="836" w:name="_Toc32184"/>
      <w:r>
        <w:rPr>
          <w:rFonts w:hint="eastAsia" w:ascii="仿宋" w:hAnsi="仿宋" w:eastAsia="仿宋" w:cs="仿宋"/>
          <w:color w:val="auto"/>
          <w:szCs w:val="21"/>
          <w:highlight w:val="none"/>
        </w:rPr>
        <w:t>10.4 变更估价</w:t>
      </w:r>
      <w:bookmarkEnd w:id="831"/>
      <w:bookmarkEnd w:id="832"/>
      <w:bookmarkEnd w:id="833"/>
      <w:bookmarkEnd w:id="834"/>
      <w:bookmarkEnd w:id="835"/>
      <w:bookmarkEnd w:id="836"/>
    </w:p>
    <w:p w14:paraId="070725C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10.4.1 变更估价原则</w:t>
      </w:r>
    </w:p>
    <w:p w14:paraId="3F24C8C4">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关于变更估价的约定:</w:t>
      </w:r>
      <w:r>
        <w:rPr>
          <w:rFonts w:hint="eastAsia" w:ascii="仿宋" w:hAnsi="仿宋" w:eastAsia="仿宋" w:cs="仿宋"/>
          <w:color w:val="auto"/>
          <w:szCs w:val="21"/>
          <w:highlight w:val="none"/>
          <w:u w:val="single"/>
        </w:rPr>
        <w:t>（1）已标价工程量清单或预算书有相同项目的，按照相同项目单价确定。</w:t>
      </w:r>
    </w:p>
    <w:p w14:paraId="58ABB31C">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（2）已标价工程量清单或预算书中无相同项目，但有类似项目的，参照类似项目的单价确定。</w:t>
      </w:r>
    </w:p>
    <w:p w14:paraId="2BBF3E0A">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①清单项目某一特征或工程内容变化，不影响其他特征及工程内容价格的，其他特征组合标准不变，仅调整发生变化的组合子目价格。</w:t>
      </w:r>
    </w:p>
    <w:p w14:paraId="72E1AB2E">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②某种材料（包括半成品或成品）等级、标准发生变化的，清单组价子目不变，仅调整不同材料编制期信息价的差价（计税金）：材料编制期信息价计价顺序依次为《杭州市造价信息》、《浙江省造价信息》正刊，对造价信息价正刊没有的材料，发包人将在充分市场询价基础上，参照同期同类材料市场价格水平，按照相关规定审批程序签证确定其编制期信息价。</w:t>
      </w:r>
    </w:p>
    <w:p w14:paraId="2763B703">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（3）已标价工程量清单或预算书中无相同项目及类似项目单价的，其单价的确定，按以下约定：</w:t>
      </w:r>
    </w:p>
    <w:p w14:paraId="498BF484">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①定额套用顺序：新增单价依据《杭州市建设工程工程量清单计价实施细则》（杭建市发[2018]578号）并依次采用浙江省安装工程预算定额（2018版）、浙江省市政工程预算定额（2018版）、浙江省建筑工程预算定额（2018版）、其他定额（如无法直接套用定额的，可参考其他部委类似定额自行补充）；</w:t>
      </w:r>
    </w:p>
    <w:p w14:paraId="7ADEC4F9">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②材料单价：按投标截止时间日前28日历天所在月份的杭州市公开发布的《杭州造价信息》计算，信息价中没有的材料价格经发包人、监理人、承包人市场调查询价后，参照施工期同类材料市场价格水平，并形成市场询价资料，按照相关规定审批程序签证确定；</w:t>
      </w:r>
    </w:p>
    <w:p w14:paraId="5AAB1F8A">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③费率：按采用的相应定额取费标准（中值），税金、农民工工伤保险按投标口径执行；</w:t>
      </w:r>
    </w:p>
    <w:p w14:paraId="2FA4A738">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④优惠幅度：新增综合单价按上述①、②、③原则计算后乘以（1-承包人报价浮动率L）得出结算单价，承包人报价浮动率L=（1-(中标价-暂列金额）÷（招标控制价-暂列金额）)×100%。</w:t>
      </w:r>
    </w:p>
    <w:p w14:paraId="76DDE817">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⑤当零星工程发生签证人工、机械台班数量，人工和机械台班单价有投标价的执行投标价，无投标价的执行相应定额并按投标口径同比例优惠。</w:t>
      </w:r>
    </w:p>
    <w:p w14:paraId="2F1E72AC">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4）工程量清单错误（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及以上时。工程量偏差超过上述变化幅度之外变动部分的相应单价调整方法按以下方式约定：</w:t>
      </w:r>
    </w:p>
    <w:p w14:paraId="0BC41266">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按照《建设工程工程量清单计价规范》（GB50500-2013）9.6.2条规定，增加部分的工程量的综合单价应予调低，减少后剩余部分的工程量的综合单价应予调高，可按下列公式调整:</w:t>
      </w:r>
    </w:p>
    <w:p w14:paraId="0C23B66D">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凡合价金额占合同总价2%及以上的分部分项清单项目，</w:t>
      </w:r>
    </w:p>
    <w:p w14:paraId="6099756A">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①当Q1&gt;1.15Q0时:       S=1.15Q0×P0+（Q1-1.15 Q0）×P1</w:t>
      </w:r>
    </w:p>
    <w:p w14:paraId="1D8AE028">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②当Q1&lt;0.85Q0时:       S=Q1×P1</w:t>
      </w:r>
    </w:p>
    <w:p w14:paraId="3D64DB72">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凡合价金额占合同总价不到2%的分部分项清单项目，</w:t>
      </w:r>
    </w:p>
    <w:p w14:paraId="259AAB2F">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③当Q1&gt;1.25Q0时:       S=1.25Q0×P0+（Q1-1.25 Q0）×P1</w:t>
      </w:r>
    </w:p>
    <w:p w14:paraId="101729EB">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④当Q1&lt;0.75Q0时:       S=Q1×P1</w:t>
      </w:r>
    </w:p>
    <w:p w14:paraId="7D3EDA1C">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式中 S——调整后某一分部分项工程费结算价；</w:t>
      </w:r>
    </w:p>
    <w:p w14:paraId="1C106447">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     Q1——最终完成的工程量；</w:t>
      </w:r>
    </w:p>
    <w:p w14:paraId="7180CB74">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     Q0——招标工程量清单中列出的工程量；</w:t>
      </w:r>
    </w:p>
    <w:p w14:paraId="5C466A02">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     P0——承包人在已标价工程量清单中填报的综合单价</w:t>
      </w:r>
    </w:p>
    <w:p w14:paraId="3E3E39C5">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P1——按照最终完成工程量重新调整后的综合单价，按本合同第10.4.1条（3）款约定的组价方法计算。结算单价的确定，在P1和P0进行比较，在工程量增加时，若计算结果大于P0的，结算单价取 P0，在工程量减少时，若计算结果小于P0的，结算单价取 P0。 </w:t>
      </w:r>
    </w:p>
    <w:p w14:paraId="43CE77B4">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（5）工程变更管理暂按《杭州钱塘新区政府投资项目工程变更管理办法（试行）》（钱塘管办发[2019]42号）执行；</w:t>
      </w:r>
    </w:p>
    <w:p w14:paraId="68D6292F">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备注：相关文件有不一致之处按发包人及钱塘新区财政要求为准；</w:t>
      </w:r>
    </w:p>
    <w:p w14:paraId="6EACD1BE">
      <w:pPr>
        <w:pStyle w:val="45"/>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（6）最高限价400万元以下的小额工程项目招标控制价为预算审核价。</w:t>
      </w:r>
    </w:p>
    <w:p w14:paraId="2E36D5A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Start w:id="837" w:name="_Toc296944536"/>
      <w:bookmarkStart w:id="838" w:name="_Toc297123544"/>
      <w:bookmarkStart w:id="839" w:name="_Toc303539150"/>
      <w:bookmarkStart w:id="840" w:name="_Toc296347196"/>
      <w:bookmarkStart w:id="841" w:name="_Toc296346698"/>
      <w:bookmarkStart w:id="842" w:name="_Toc297216203"/>
      <w:bookmarkStart w:id="843" w:name="_Toc292559907"/>
      <w:bookmarkStart w:id="844" w:name="_Toc297048383"/>
      <w:bookmarkStart w:id="845" w:name="_Toc297120497"/>
      <w:bookmarkStart w:id="846" w:name="_Toc300934993"/>
      <w:bookmarkStart w:id="847" w:name="_Toc296891237"/>
      <w:bookmarkStart w:id="848" w:name="_Toc292559402"/>
      <w:bookmarkStart w:id="849" w:name="_Toc296891025"/>
      <w:bookmarkStart w:id="850" w:name="_Toc296503197"/>
      <w:bookmarkStart w:id="851" w:name="_Toc312677503"/>
      <w:bookmarkStart w:id="852" w:name="_Toc304295570"/>
      <w:bookmarkStart w:id="853" w:name="_Toc312678029"/>
      <w:r>
        <w:rPr>
          <w:rFonts w:hint="eastAsia" w:ascii="仿宋" w:hAnsi="仿宋" w:eastAsia="仿宋" w:cs="仿宋"/>
          <w:color w:val="auto"/>
          <w:szCs w:val="21"/>
          <w:highlight w:val="none"/>
        </w:rPr>
        <w:t>0.5承</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Start w:id="854" w:name="_Toc297120503"/>
      <w:bookmarkStart w:id="855" w:name="_Toc297123545"/>
      <w:bookmarkStart w:id="856" w:name="_Toc297048389"/>
      <w:bookmarkStart w:id="857" w:name="_Toc296891031"/>
      <w:bookmarkStart w:id="858" w:name="_Toc300934994"/>
      <w:bookmarkStart w:id="859" w:name="_Toc296503203"/>
      <w:bookmarkStart w:id="860" w:name="_Toc296944542"/>
      <w:bookmarkStart w:id="861" w:name="_Toc292559913"/>
      <w:bookmarkStart w:id="862" w:name="_Toc297216204"/>
      <w:bookmarkStart w:id="863" w:name="_Toc292559408"/>
      <w:bookmarkStart w:id="864" w:name="_Toc296347202"/>
      <w:bookmarkStart w:id="865" w:name="_Toc296346704"/>
      <w:bookmarkStart w:id="866" w:name="_Toc296891243"/>
      <w:bookmarkStart w:id="867" w:name="_Toc303539151"/>
      <w:r>
        <w:rPr>
          <w:rFonts w:hint="eastAsia" w:ascii="仿宋" w:hAnsi="仿宋" w:eastAsia="仿宋" w:cs="仿宋"/>
          <w:color w:val="auto"/>
          <w:szCs w:val="21"/>
          <w:highlight w:val="none"/>
        </w:rPr>
        <w:t>包人的合理化建议</w:t>
      </w:r>
    </w:p>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14:paraId="1C698E5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监理人审查承包人合理化建议的期限：</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140A9DE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发包人审批承包人合理化建议的期限：</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382A7C9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w:t>
      </w:r>
      <w:bookmarkStart w:id="868" w:name="_Toc297123546"/>
      <w:bookmarkStart w:id="869" w:name="_Toc296891032"/>
      <w:bookmarkStart w:id="870" w:name="_Toc303539152"/>
      <w:bookmarkStart w:id="871" w:name="_Toc292559409"/>
      <w:bookmarkStart w:id="872" w:name="_Toc312678030"/>
      <w:bookmarkStart w:id="873" w:name="_Toc296347203"/>
      <w:bookmarkStart w:id="874" w:name="_Toc296944543"/>
      <w:bookmarkStart w:id="875" w:name="_Toc297048390"/>
      <w:bookmarkStart w:id="876" w:name="_Toc296891244"/>
      <w:bookmarkStart w:id="877" w:name="_Toc312677504"/>
      <w:bookmarkStart w:id="878" w:name="_Toc296346705"/>
      <w:bookmarkStart w:id="879" w:name="_Toc297216205"/>
      <w:bookmarkStart w:id="880" w:name="_Toc296503204"/>
      <w:bookmarkStart w:id="881" w:name="_Toc304295571"/>
      <w:bookmarkStart w:id="882" w:name="_Toc318581175"/>
      <w:bookmarkStart w:id="883" w:name="_Toc297120504"/>
      <w:bookmarkStart w:id="884" w:name="_Toc300934995"/>
      <w:bookmarkStart w:id="885" w:name="_Toc292559914"/>
      <w:r>
        <w:rPr>
          <w:rFonts w:hint="eastAsia" w:ascii="仿宋" w:hAnsi="仿宋" w:eastAsia="仿宋" w:cs="仿宋"/>
          <w:color w:val="auto"/>
          <w:szCs w:val="21"/>
          <w:highlight w:val="none"/>
        </w:rPr>
        <w:t>包人提出的合理化建议降低了合同价格或者提高了工程经济效益的奖励的方法和金额为：</w:t>
      </w:r>
      <w:r>
        <w:rPr>
          <w:rFonts w:hint="eastAsia" w:ascii="仿宋" w:hAnsi="仿宋" w:eastAsia="仿宋" w:cs="仿宋"/>
          <w:color w:val="auto"/>
          <w:szCs w:val="21"/>
          <w:highlight w:val="none"/>
          <w:u w:val="single"/>
        </w:rPr>
        <w:t>无</w:t>
      </w:r>
      <w:r>
        <w:rPr>
          <w:rFonts w:hint="eastAsia" w:ascii="仿宋" w:hAnsi="仿宋" w:eastAsia="仿宋" w:cs="仿宋"/>
          <w:color w:val="auto"/>
          <w:szCs w:val="21"/>
          <w:highlight w:val="none"/>
        </w:rPr>
        <w:t>。</w:t>
      </w:r>
    </w:p>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14:paraId="5BC03989">
      <w:pPr>
        <w:adjustRightInd/>
        <w:spacing w:line="400" w:lineRule="exact"/>
        <w:ind w:firstLine="420" w:firstLineChars="200"/>
        <w:outlineLvl w:val="0"/>
        <w:rPr>
          <w:rFonts w:hint="eastAsia" w:ascii="仿宋" w:hAnsi="仿宋" w:eastAsia="仿宋" w:cs="仿宋"/>
          <w:color w:val="auto"/>
          <w:szCs w:val="21"/>
          <w:highlight w:val="none"/>
        </w:rPr>
      </w:pPr>
      <w:bookmarkStart w:id="886" w:name="_Toc28127"/>
      <w:bookmarkStart w:id="887" w:name="_Toc10600"/>
      <w:bookmarkStart w:id="888" w:name="_Toc11085"/>
      <w:bookmarkStart w:id="889" w:name="_Toc7636"/>
      <w:bookmarkStart w:id="890" w:name="_Toc12094"/>
      <w:bookmarkStart w:id="891" w:name="_Toc21345"/>
      <w:r>
        <w:rPr>
          <w:rFonts w:hint="eastAsia" w:ascii="仿宋" w:hAnsi="仿宋" w:eastAsia="仿宋" w:cs="仿宋"/>
          <w:color w:val="auto"/>
          <w:szCs w:val="21"/>
          <w:highlight w:val="none"/>
        </w:rPr>
        <w:t>1</w:t>
      </w:r>
      <w:bookmarkStart w:id="892" w:name="_Toc296346700"/>
      <w:bookmarkStart w:id="893" w:name="_Toc296944538"/>
      <w:bookmarkStart w:id="894" w:name="_Toc297048385"/>
      <w:bookmarkStart w:id="895" w:name="_Toc292559909"/>
      <w:bookmarkStart w:id="896" w:name="_Toc297216207"/>
      <w:bookmarkStart w:id="897" w:name="_Toc304295574"/>
      <w:bookmarkStart w:id="898" w:name="_Toc297120499"/>
      <w:bookmarkStart w:id="899" w:name="_Toc292559404"/>
      <w:bookmarkStart w:id="900" w:name="_Toc296891027"/>
      <w:bookmarkStart w:id="901" w:name="_Toc300934997"/>
      <w:bookmarkStart w:id="902" w:name="_Toc303539154"/>
      <w:bookmarkStart w:id="903" w:name="_Toc296891239"/>
      <w:bookmarkStart w:id="904" w:name="_Toc312677507"/>
      <w:bookmarkStart w:id="905" w:name="_Toc312678033"/>
      <w:bookmarkStart w:id="906" w:name="_Toc296503199"/>
      <w:bookmarkStart w:id="907" w:name="_Toc297123548"/>
      <w:bookmarkStart w:id="908" w:name="_Toc296347198"/>
      <w:r>
        <w:rPr>
          <w:rFonts w:hint="eastAsia" w:ascii="仿宋" w:hAnsi="仿宋" w:eastAsia="仿宋" w:cs="仿宋"/>
          <w:color w:val="auto"/>
          <w:szCs w:val="21"/>
          <w:highlight w:val="none"/>
        </w:rPr>
        <w:t>0.7 暂估价</w:t>
      </w:r>
      <w:bookmarkEnd w:id="886"/>
      <w:bookmarkEnd w:id="887"/>
      <w:bookmarkEnd w:id="888"/>
      <w:bookmarkEnd w:id="889"/>
      <w:bookmarkEnd w:id="890"/>
      <w:bookmarkEnd w:id="891"/>
    </w:p>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p w14:paraId="1FD70AC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暂</w:t>
      </w:r>
      <w:bookmarkStart w:id="909" w:name="_Toc312677508"/>
      <w:bookmarkStart w:id="910" w:name="_Toc312678034"/>
      <w:bookmarkStart w:id="911" w:name="_Toc318581176"/>
      <w:r>
        <w:rPr>
          <w:rFonts w:hint="eastAsia" w:ascii="仿宋" w:hAnsi="仿宋" w:eastAsia="仿宋" w:cs="仿宋"/>
          <w:color w:val="auto"/>
          <w:szCs w:val="21"/>
          <w:highlight w:val="none"/>
        </w:rPr>
        <w:t>估价材料和工程设备的明细详见附件：《暂估价一览表》。</w:t>
      </w:r>
    </w:p>
    <w:bookmarkEnd w:id="909"/>
    <w:bookmarkEnd w:id="910"/>
    <w:bookmarkEnd w:id="911"/>
    <w:p w14:paraId="6382B83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bookmarkStart w:id="912" w:name="_Toc318581177"/>
      <w:bookmarkStart w:id="913" w:name="_Toc312678035"/>
      <w:bookmarkStart w:id="914" w:name="_Toc312677509"/>
      <w:r>
        <w:rPr>
          <w:rFonts w:hint="eastAsia" w:ascii="仿宋" w:hAnsi="仿宋" w:eastAsia="仿宋" w:cs="仿宋"/>
          <w:color w:val="auto"/>
          <w:szCs w:val="21"/>
          <w:highlight w:val="none"/>
        </w:rPr>
        <w:t>0.7.1 依法必须招标的暂估价项目</w:t>
      </w:r>
    </w:p>
    <w:bookmarkEnd w:id="912"/>
    <w:bookmarkEnd w:id="913"/>
    <w:bookmarkEnd w:id="914"/>
    <w:p w14:paraId="5BC87BA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对于依法必须招标的暂估价项目的确认和批准采取第</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种方式确定。</w:t>
      </w:r>
    </w:p>
    <w:p w14:paraId="22D01F5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10.7.2 不属于依法必须招标的暂估价项目</w:t>
      </w:r>
    </w:p>
    <w:p w14:paraId="763B17C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对于不属于依法必须招标的暂估价项目的确认和批准采取第</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 xml:space="preserve"> 种方式确定。</w:t>
      </w:r>
    </w:p>
    <w:p w14:paraId="157C1C4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第3种方式：承包人直接实施的暂估价项目</w:t>
      </w:r>
    </w:p>
    <w:p w14:paraId="6E8927C5">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承包人直接实施的暂估价项目的约定：</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14E9B08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10.8 暂列金额</w:t>
      </w:r>
    </w:p>
    <w:p w14:paraId="673C998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合同当事人关于暂列金额使用的约定：</w:t>
      </w:r>
      <w:r>
        <w:rPr>
          <w:rFonts w:hint="eastAsia" w:ascii="仿宋" w:hAnsi="仿宋" w:eastAsia="仿宋" w:cs="仿宋"/>
          <w:color w:val="auto"/>
          <w:szCs w:val="21"/>
          <w:highlight w:val="none"/>
          <w:u w:val="single"/>
        </w:rPr>
        <w:t xml:space="preserve">  暂列金额作为不可预见费，实际发生时按实结算，不发生时不予支付   </w:t>
      </w:r>
      <w:r>
        <w:rPr>
          <w:rFonts w:hint="eastAsia" w:ascii="仿宋" w:hAnsi="仿宋" w:eastAsia="仿宋" w:cs="仿宋"/>
          <w:color w:val="auto"/>
          <w:szCs w:val="21"/>
          <w:highlight w:val="none"/>
        </w:rPr>
        <w:t>。</w:t>
      </w:r>
    </w:p>
    <w:p w14:paraId="028A96BA">
      <w:pPr>
        <w:keepNext/>
        <w:keepLines/>
        <w:adjustRightInd/>
        <w:spacing w:line="400" w:lineRule="exact"/>
        <w:outlineLvl w:val="3"/>
        <w:rPr>
          <w:rFonts w:hint="eastAsia" w:ascii="仿宋" w:hAnsi="仿宋" w:eastAsia="仿宋" w:cs="仿宋"/>
          <w:bCs/>
          <w:color w:val="auto"/>
          <w:szCs w:val="21"/>
          <w:highlight w:val="none"/>
        </w:rPr>
      </w:pPr>
      <w:bookmarkStart w:id="915" w:name="_Toc351203643"/>
      <w:r>
        <w:rPr>
          <w:rFonts w:hint="eastAsia" w:ascii="仿宋" w:hAnsi="仿宋" w:eastAsia="仿宋" w:cs="仿宋"/>
          <w:bCs/>
          <w:color w:val="auto"/>
          <w:szCs w:val="21"/>
          <w:highlight w:val="none"/>
        </w:rPr>
        <w:t>11. 价格调整</w:t>
      </w:r>
      <w:bookmarkEnd w:id="915"/>
    </w:p>
    <w:p w14:paraId="40AFDE73">
      <w:pPr>
        <w:adjustRightInd/>
        <w:spacing w:line="400" w:lineRule="exact"/>
        <w:ind w:firstLine="420" w:firstLineChars="200"/>
        <w:rPr>
          <w:rFonts w:hint="eastAsia" w:ascii="仿宋" w:hAnsi="仿宋" w:eastAsia="仿宋" w:cs="仿宋"/>
          <w:color w:val="auto"/>
          <w:szCs w:val="21"/>
          <w:highlight w:val="none"/>
        </w:rPr>
      </w:pPr>
      <w:bookmarkStart w:id="916" w:name="_Toc296891241"/>
      <w:bookmarkStart w:id="917" w:name="_Toc297123550"/>
      <w:bookmarkStart w:id="918" w:name="_Toc297120501"/>
      <w:bookmarkStart w:id="919" w:name="_Toc296891029"/>
      <w:bookmarkStart w:id="920" w:name="_Toc296346702"/>
      <w:bookmarkStart w:id="921" w:name="_Toc297048387"/>
      <w:bookmarkStart w:id="922" w:name="_Toc292559406"/>
      <w:bookmarkStart w:id="923" w:name="_Toc312678039"/>
      <w:bookmarkStart w:id="924" w:name="_Toc303539157"/>
      <w:bookmarkStart w:id="925" w:name="_Toc296944540"/>
      <w:bookmarkStart w:id="926" w:name="_Toc296347200"/>
      <w:bookmarkStart w:id="927" w:name="_Toc304295577"/>
      <w:bookmarkStart w:id="928" w:name="_Toc300935000"/>
      <w:bookmarkStart w:id="929" w:name="_Toc296503201"/>
      <w:bookmarkStart w:id="930" w:name="_Toc297216209"/>
      <w:bookmarkStart w:id="931" w:name="_Toc292559911"/>
      <w:r>
        <w:rPr>
          <w:rFonts w:hint="eastAsia" w:ascii="仿宋" w:hAnsi="仿宋" w:eastAsia="仿宋" w:cs="仿宋"/>
          <w:color w:val="auto"/>
          <w:szCs w:val="21"/>
          <w:highlight w:val="none"/>
        </w:rPr>
        <w:t>11.1 市场价格波动引起的调整</w:t>
      </w:r>
    </w:p>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14:paraId="28C6790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市场价格波动是否调整合同价格的约定：</w:t>
      </w:r>
      <w:r>
        <w:rPr>
          <w:rFonts w:hint="eastAsia" w:ascii="仿宋" w:hAnsi="仿宋" w:eastAsia="仿宋" w:cs="仿宋"/>
          <w:color w:val="auto"/>
          <w:szCs w:val="21"/>
          <w:highlight w:val="none"/>
          <w:u w:val="single"/>
        </w:rPr>
        <w:t xml:space="preserve">  是 </w:t>
      </w:r>
      <w:r>
        <w:rPr>
          <w:rFonts w:hint="eastAsia" w:ascii="仿宋" w:hAnsi="仿宋" w:eastAsia="仿宋" w:cs="仿宋"/>
          <w:color w:val="auto"/>
          <w:szCs w:val="21"/>
          <w:highlight w:val="none"/>
        </w:rPr>
        <w:t>。</w:t>
      </w:r>
    </w:p>
    <w:p w14:paraId="36645C4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因市场价格波动调整合同价格，采用以下第</w:t>
      </w:r>
      <w:r>
        <w:rPr>
          <w:rFonts w:hint="eastAsia" w:ascii="仿宋" w:hAnsi="仿宋" w:eastAsia="仿宋" w:cs="仿宋"/>
          <w:color w:val="auto"/>
          <w:szCs w:val="21"/>
          <w:highlight w:val="none"/>
          <w:u w:val="single"/>
        </w:rPr>
        <w:t xml:space="preserve"> 3  </w:t>
      </w:r>
      <w:r>
        <w:rPr>
          <w:rFonts w:hint="eastAsia" w:ascii="仿宋" w:hAnsi="仿宋" w:eastAsia="仿宋" w:cs="仿宋"/>
          <w:color w:val="auto"/>
          <w:szCs w:val="21"/>
          <w:highlight w:val="none"/>
        </w:rPr>
        <w:t>种方式对合同价格进行调整：</w:t>
      </w:r>
    </w:p>
    <w:p w14:paraId="150A94B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第1种方式：采用价格指数进行价格调整。</w:t>
      </w:r>
    </w:p>
    <w:p w14:paraId="2C9A6450">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关于各可调因子、定值和变值权重，以及基本价格指数及其来源的约定：  ； </w:t>
      </w:r>
    </w:p>
    <w:p w14:paraId="2DD68D1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第2种方式：采用造价信息进行价格调整。</w:t>
      </w:r>
    </w:p>
    <w:p w14:paraId="72EDF2B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（2）关于基准价格的约定：</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58D1281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%时，或材料单价跌幅以已标价工程量清单或预算书中载明材料单价为基础超过</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%时，其超过部分据实调整。</w:t>
      </w:r>
    </w:p>
    <w:p w14:paraId="19A11AD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%时，材料单价涨幅以已标价工程量清单或预算书中载明材料单价为基础超过</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%时，其超过部分据实调整。</w:t>
      </w:r>
    </w:p>
    <w:p w14:paraId="378299A6">
      <w:pPr>
        <w:adjustRightInd/>
        <w:spacing w:line="400" w:lineRule="exact"/>
        <w:ind w:firstLine="645"/>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%时，其超过部分据实调整。</w:t>
      </w:r>
    </w:p>
    <w:bookmarkEnd w:id="808"/>
    <w:bookmarkEnd w:id="809"/>
    <w:bookmarkEnd w:id="810"/>
    <w:bookmarkEnd w:id="811"/>
    <w:bookmarkEnd w:id="812"/>
    <w:bookmarkEnd w:id="813"/>
    <w:p w14:paraId="6847571B">
      <w:pPr>
        <w:adjustRightInd/>
        <w:spacing w:line="360" w:lineRule="auto"/>
        <w:ind w:firstLine="420" w:firstLineChars="200"/>
        <w:rPr>
          <w:rFonts w:hint="eastAsia" w:ascii="仿宋" w:hAnsi="仿宋" w:eastAsia="仿宋" w:cs="仿宋"/>
          <w:color w:val="auto"/>
          <w:szCs w:val="21"/>
          <w:highlight w:val="none"/>
          <w:u w:val="single"/>
        </w:rPr>
      </w:pPr>
      <w:bookmarkStart w:id="932" w:name="_Toc296944544"/>
      <w:bookmarkStart w:id="933" w:name="_Toc297120505"/>
      <w:bookmarkStart w:id="934" w:name="_Toc292559410"/>
      <w:bookmarkStart w:id="935" w:name="_Toc296503205"/>
      <w:bookmarkStart w:id="936" w:name="_Toc296347204"/>
      <w:bookmarkStart w:id="937" w:name="_Toc296891033"/>
      <w:bookmarkStart w:id="938" w:name="_Toc297048391"/>
      <w:bookmarkStart w:id="939" w:name="_Toc292559915"/>
      <w:bookmarkStart w:id="940" w:name="_Toc296891245"/>
      <w:bookmarkStart w:id="941" w:name="_Toc296346706"/>
      <w:bookmarkStart w:id="942" w:name="_Toc351203644"/>
      <w:bookmarkStart w:id="943" w:name="_Toc297123552"/>
      <w:bookmarkStart w:id="944" w:name="_Toc303539159"/>
      <w:bookmarkStart w:id="945" w:name="_Toc312678040"/>
      <w:bookmarkStart w:id="946" w:name="_Toc297216211"/>
      <w:bookmarkStart w:id="947" w:name="_Toc304295579"/>
      <w:bookmarkStart w:id="948" w:name="_Toc300935002"/>
      <w:r>
        <w:rPr>
          <w:rFonts w:hint="eastAsia" w:ascii="仿宋" w:hAnsi="仿宋" w:eastAsia="仿宋" w:cs="仿宋"/>
          <w:color w:val="auto"/>
          <w:szCs w:val="21"/>
          <w:highlight w:val="none"/>
        </w:rPr>
        <w:t>第3种方式：其他价格调整方式：</w:t>
      </w:r>
      <w:r>
        <w:rPr>
          <w:rFonts w:hint="eastAsia" w:ascii="仿宋" w:hAnsi="仿宋" w:eastAsia="仿宋" w:cs="仿宋"/>
          <w:color w:val="auto"/>
          <w:szCs w:val="21"/>
          <w:highlight w:val="none"/>
          <w:u w:val="single"/>
        </w:rPr>
        <w:t xml:space="preserve"> 政府投资工程因市场价格波动引起的调整按以下第（ 一 ）种方式约定执行：</w:t>
      </w:r>
    </w:p>
    <w:p w14:paraId="05F7A804">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（一）按《关于进一步加强杭州市建设工程市场要素价格动态管理的指导意见》（杭建市发[2018]579号）执行  ；</w:t>
      </w:r>
    </w:p>
    <w:p w14:paraId="40C4C46D">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约定市场要素价格调整方式及价差计算方法：</w:t>
      </w:r>
    </w:p>
    <w:p w14:paraId="034B42A4">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1、材料价款动态调整结算方式约定：采用竣工后一次性结算调价。</w:t>
      </w:r>
    </w:p>
    <w:p w14:paraId="0CA3B5A3">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2、风险范围及幅度的约定：人工费的风险幅度为5%，材料价格的风险幅度为5%，施工机械台班中的机上人工、燃料动力的风险约定幅度按相应人工、材料价格风险原则处理。</w:t>
      </w:r>
    </w:p>
    <w:p w14:paraId="45BBDC3E">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3、非承包人原因引起的延期，经发包人、监理单位审批同意顺延后，经批准的顺延工期可计入合同工期，未经审批同意，不得延长合同工期。</w:t>
      </w:r>
    </w:p>
    <w:p w14:paraId="3A53404F">
      <w:pPr>
        <w:adjustRightInd/>
        <w:spacing w:line="360" w:lineRule="auto"/>
        <w:rPr>
          <w:rFonts w:hint="default" w:ascii="仿宋" w:hAnsi="仿宋" w:eastAsia="仿宋" w:cs="仿宋"/>
          <w:color w:val="auto"/>
          <w:szCs w:val="21"/>
          <w:highlight w:val="none"/>
          <w:u w:val="single"/>
        </w:rPr>
      </w:pPr>
      <w:r>
        <w:rPr>
          <w:rFonts w:hint="eastAsia" w:ascii="仿宋" w:hAnsi="仿宋" w:eastAsia="仿宋" w:cs="仿宋"/>
          <w:color w:val="auto"/>
          <w:szCs w:val="21"/>
          <w:highlight w:val="none"/>
          <w:u w:val="single"/>
        </w:rPr>
        <w:t>4、施工单位办理工程结算时必须向审核部门提供预算软件导出的带有计价软件格式的电子结算文件</w:t>
      </w:r>
      <w:r>
        <w:rPr>
          <w:rFonts w:hint="default" w:ascii="仿宋" w:hAnsi="仿宋" w:eastAsia="仿宋" w:cs="仿宋"/>
          <w:color w:val="auto"/>
          <w:szCs w:val="21"/>
          <w:highlight w:val="none"/>
          <w:u w:val="single"/>
        </w:rPr>
        <w:t>。</w:t>
      </w:r>
    </w:p>
    <w:p w14:paraId="2FDF3E80">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5、若杭州市、钱塘区有新的调价文件</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按新的调价文件执行。</w:t>
      </w:r>
    </w:p>
    <w:p w14:paraId="52B2EE0B">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6、允许市场要素价格调整的材料为：钢筋、水泥、商品砼、黄砂、碎石、沥青砼、水泥稳定碎石、预拌砂浆、砌块、电线电缆、钢管（安装工程使用）、钢结构用钢。</w:t>
      </w:r>
    </w:p>
    <w:p w14:paraId="5CE95F4C">
      <w:pPr>
        <w:keepNext/>
        <w:keepLines/>
        <w:adjustRightInd/>
        <w:spacing w:line="400" w:lineRule="exact"/>
        <w:outlineLvl w:val="3"/>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12. </w:t>
      </w:r>
      <w:bookmarkEnd w:id="932"/>
      <w:bookmarkEnd w:id="933"/>
      <w:bookmarkEnd w:id="934"/>
      <w:bookmarkEnd w:id="935"/>
      <w:bookmarkEnd w:id="936"/>
      <w:bookmarkEnd w:id="937"/>
      <w:bookmarkEnd w:id="938"/>
      <w:bookmarkEnd w:id="939"/>
      <w:bookmarkEnd w:id="940"/>
      <w:bookmarkEnd w:id="941"/>
      <w:r>
        <w:rPr>
          <w:rFonts w:hint="eastAsia" w:ascii="仿宋" w:hAnsi="仿宋" w:eastAsia="仿宋" w:cs="仿宋"/>
          <w:bCs/>
          <w:color w:val="auto"/>
          <w:szCs w:val="21"/>
          <w:highlight w:val="none"/>
        </w:rPr>
        <w:t>合同价格、计量与支付</w:t>
      </w:r>
      <w:bookmarkEnd w:id="942"/>
    </w:p>
    <w:bookmarkEnd w:id="943"/>
    <w:bookmarkEnd w:id="944"/>
    <w:bookmarkEnd w:id="945"/>
    <w:bookmarkEnd w:id="946"/>
    <w:bookmarkEnd w:id="947"/>
    <w:bookmarkEnd w:id="948"/>
    <w:p w14:paraId="630254B1">
      <w:pPr>
        <w:adjustRightInd/>
        <w:spacing w:line="400" w:lineRule="exact"/>
        <w:ind w:firstLine="420" w:firstLineChars="200"/>
        <w:rPr>
          <w:rFonts w:hint="eastAsia" w:ascii="仿宋" w:hAnsi="仿宋" w:eastAsia="仿宋" w:cs="仿宋"/>
          <w:color w:val="auto"/>
          <w:szCs w:val="21"/>
          <w:highlight w:val="none"/>
        </w:rPr>
      </w:pPr>
      <w:bookmarkStart w:id="949" w:name="_Toc267251461"/>
      <w:bookmarkStart w:id="950" w:name="_Toc292559411"/>
      <w:bookmarkStart w:id="951" w:name="_Toc292559916"/>
      <w:bookmarkStart w:id="952" w:name="_Toc296347205"/>
      <w:bookmarkStart w:id="953" w:name="_Toc297120506"/>
      <w:bookmarkStart w:id="954" w:name="_Toc296346707"/>
      <w:bookmarkStart w:id="955" w:name="_Toc297048392"/>
      <w:bookmarkStart w:id="956" w:name="_Toc296891034"/>
      <w:bookmarkStart w:id="957" w:name="_Toc296891246"/>
      <w:bookmarkStart w:id="958" w:name="_Toc296944545"/>
      <w:bookmarkStart w:id="959" w:name="_Toc296503206"/>
      <w:bookmarkStart w:id="960" w:name="_Toc312678041"/>
      <w:bookmarkStart w:id="961" w:name="_Toc303539160"/>
      <w:bookmarkStart w:id="962" w:name="_Toc300935003"/>
      <w:bookmarkStart w:id="963" w:name="_Toc297216212"/>
      <w:bookmarkStart w:id="964" w:name="_Toc297123553"/>
      <w:bookmarkStart w:id="965" w:name="_Toc304295580"/>
      <w:r>
        <w:rPr>
          <w:rFonts w:hint="eastAsia" w:ascii="仿宋" w:hAnsi="仿宋" w:eastAsia="仿宋" w:cs="仿宋"/>
          <w:color w:val="auto"/>
          <w:szCs w:val="21"/>
          <w:highlight w:val="none"/>
        </w:rPr>
        <w:t>12.1 合</w:t>
      </w:r>
      <w:bookmarkEnd w:id="949"/>
      <w:bookmarkEnd w:id="950"/>
      <w:bookmarkEnd w:id="951"/>
      <w:r>
        <w:rPr>
          <w:rFonts w:hint="eastAsia" w:ascii="仿宋" w:hAnsi="仿宋" w:eastAsia="仿宋" w:cs="仿宋"/>
          <w:color w:val="auto"/>
          <w:szCs w:val="21"/>
          <w:highlight w:val="none"/>
        </w:rPr>
        <w:t>同价</w:t>
      </w:r>
      <w:bookmarkEnd w:id="952"/>
      <w:bookmarkEnd w:id="953"/>
      <w:bookmarkEnd w:id="954"/>
      <w:bookmarkEnd w:id="955"/>
      <w:bookmarkEnd w:id="956"/>
      <w:bookmarkEnd w:id="957"/>
      <w:bookmarkEnd w:id="958"/>
      <w:bookmarkEnd w:id="959"/>
      <w:r>
        <w:rPr>
          <w:rFonts w:hint="eastAsia" w:ascii="仿宋" w:hAnsi="仿宋" w:eastAsia="仿宋" w:cs="仿宋"/>
          <w:color w:val="auto"/>
          <w:szCs w:val="21"/>
          <w:highlight w:val="none"/>
        </w:rPr>
        <w:t>格形式</w:t>
      </w:r>
    </w:p>
    <w:bookmarkEnd w:id="960"/>
    <w:bookmarkEnd w:id="961"/>
    <w:bookmarkEnd w:id="962"/>
    <w:bookmarkEnd w:id="963"/>
    <w:bookmarkEnd w:id="964"/>
    <w:bookmarkEnd w:id="965"/>
    <w:p w14:paraId="02D3866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1、单价合同。</w:t>
      </w:r>
    </w:p>
    <w:p w14:paraId="5359810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综合单价包含的风险范围：</w:t>
      </w:r>
    </w:p>
    <w:p w14:paraId="33008772">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（1）应由承包人承担的工、料、机在投标编制期或预算书编制期与合同实施期间所发生的市场价格波动。 </w:t>
      </w:r>
    </w:p>
    <w:p w14:paraId="5E20C0BE">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（2）其他：</w:t>
      </w:r>
    </w:p>
    <w:p w14:paraId="4117D2EC">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a、国家规定允许调整外的工日、材料（设备）、机械台班价格的上涨；</w:t>
      </w:r>
    </w:p>
    <w:p w14:paraId="320712A9">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b、在工程施工中应能预计的费用；</w:t>
      </w:r>
    </w:p>
    <w:p w14:paraId="0B6FFE0A">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c、所有招标文件或工程量清单明示要求报价的内容而承包人未予报价的；</w:t>
      </w:r>
    </w:p>
    <w:p w14:paraId="16C2C026">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d、承包人对工程现场环境以及发包人提供的招标文件、图纸等资料作出错误的推论、理解而导致的报价失误；</w:t>
      </w:r>
    </w:p>
    <w:p w14:paraId="63BB9557">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e、招标范围项目组织措施费包干，结算时不作调整，但工程发生重大甩项时，应根据实际情况酌情扣减。技术措施费按项报价实行包干，结算时不作调整，工程发生重大变更导致确实需要调整技术措施费用、并经重大变更相关会议决定同意的，可予调整；</w:t>
      </w:r>
    </w:p>
    <w:p w14:paraId="78665B84">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f、按图集或规范施工的，单价必须满足规范和图集要求，单价不得调整；</w:t>
      </w:r>
    </w:p>
    <w:p w14:paraId="01AC5BB0">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g、工程量项目特征描述中未描述或描述不全，但又是完成该清单项目中必须有的工作内容，均应包括在报价内；</w:t>
      </w:r>
    </w:p>
    <w:p w14:paraId="4189B93F">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h、因施工场地窄小、场内施工不便等需要增加的各种费用；</w:t>
      </w:r>
    </w:p>
    <w:p w14:paraId="3AB9886D">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i、在工程施工中有经验的承包人应能预计的其它费用。</w:t>
      </w:r>
    </w:p>
    <w:p w14:paraId="2A45D8E8">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工程实施中属于招标文件和本合同约定需要投标报价和合同包干风险范围内应考虑的费用，虽经发包人现场签证认可，在工程结算时可认定该签证无效。</w:t>
      </w:r>
    </w:p>
    <w:p w14:paraId="4ADCD8B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风险费用的计算方法：</w:t>
      </w:r>
      <w:r>
        <w:rPr>
          <w:rFonts w:hint="eastAsia" w:ascii="仿宋" w:hAnsi="仿宋" w:eastAsia="仿宋" w:cs="仿宋"/>
          <w:color w:val="auto"/>
          <w:szCs w:val="21"/>
          <w:highlight w:val="none"/>
          <w:u w:val="single"/>
        </w:rPr>
        <w:t xml:space="preserve"> 以上风险范围之内的费用承包人已预估并计入投标总价，不再另行计取   </w:t>
      </w:r>
      <w:r>
        <w:rPr>
          <w:rFonts w:hint="eastAsia" w:ascii="仿宋" w:hAnsi="仿宋" w:eastAsia="仿宋" w:cs="仿宋"/>
          <w:color w:val="auto"/>
          <w:szCs w:val="21"/>
          <w:highlight w:val="none"/>
        </w:rPr>
        <w:t>。</w:t>
      </w:r>
    </w:p>
    <w:p w14:paraId="6D1BE0D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风险范围以外合同价格的调整方法：</w:t>
      </w:r>
    </w:p>
    <w:p w14:paraId="41A3ABD9">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（1）市场价格波动引起的调整按本合同11.1第3种方式的约定计算 </w:t>
      </w:r>
      <w:r>
        <w:rPr>
          <w:rFonts w:hint="eastAsia" w:ascii="仿宋" w:hAnsi="仿宋" w:eastAsia="仿宋" w:cs="仿宋"/>
          <w:color w:val="auto"/>
          <w:szCs w:val="21"/>
          <w:highlight w:val="none"/>
        </w:rPr>
        <w:t>。</w:t>
      </w:r>
    </w:p>
    <w:p w14:paraId="1F6DB326">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（2）其他：/  </w:t>
      </w:r>
      <w:r>
        <w:rPr>
          <w:rFonts w:hint="eastAsia" w:ascii="仿宋" w:hAnsi="仿宋" w:eastAsia="仿宋" w:cs="仿宋"/>
          <w:color w:val="auto"/>
          <w:szCs w:val="21"/>
          <w:highlight w:val="none"/>
        </w:rPr>
        <w:t>。</w:t>
      </w:r>
    </w:p>
    <w:p w14:paraId="433665A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2、总价合同。</w:t>
      </w:r>
    </w:p>
    <w:p w14:paraId="2B24843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总价包含的风险范围：</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2358841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风险费用的计算方法：</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00A5CAC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风险范围以外合同价格的调整方法：</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12B0093E">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3、其他价格方式：</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0AB5A254">
      <w:pPr>
        <w:adjustRightInd/>
        <w:spacing w:line="400" w:lineRule="exact"/>
        <w:ind w:firstLine="420" w:firstLineChars="200"/>
        <w:rPr>
          <w:rFonts w:hint="eastAsia" w:ascii="仿宋" w:hAnsi="仿宋" w:eastAsia="仿宋" w:cs="仿宋"/>
          <w:color w:val="auto"/>
          <w:szCs w:val="21"/>
          <w:highlight w:val="none"/>
        </w:rPr>
      </w:pPr>
      <w:bookmarkStart w:id="966" w:name="_Toc297216213"/>
      <w:bookmarkStart w:id="967" w:name="_Toc300935004"/>
      <w:bookmarkStart w:id="968" w:name="_Toc312678042"/>
      <w:bookmarkStart w:id="969" w:name="_Toc304295581"/>
      <w:bookmarkStart w:id="970" w:name="_Toc297123554"/>
      <w:bookmarkStart w:id="971" w:name="_Toc303539161"/>
      <w:bookmarkStart w:id="972" w:name="_Toc296944546"/>
      <w:bookmarkStart w:id="973" w:name="_Toc296347206"/>
      <w:bookmarkStart w:id="974" w:name="_Toc297120507"/>
      <w:bookmarkStart w:id="975" w:name="_Toc296891247"/>
      <w:bookmarkStart w:id="976" w:name="_Toc296503207"/>
      <w:bookmarkStart w:id="977" w:name="_Toc297048393"/>
      <w:bookmarkStart w:id="978" w:name="_Toc292559412"/>
      <w:bookmarkStart w:id="979" w:name="_Toc292559917"/>
      <w:bookmarkStart w:id="980" w:name="_Toc296891035"/>
      <w:bookmarkStart w:id="981" w:name="_Toc296346708"/>
      <w:r>
        <w:rPr>
          <w:rFonts w:hint="eastAsia" w:ascii="仿宋" w:hAnsi="仿宋" w:eastAsia="仿宋" w:cs="仿宋"/>
          <w:color w:val="auto"/>
          <w:szCs w:val="21"/>
          <w:highlight w:val="none"/>
        </w:rPr>
        <w:t>12.2 预付款</w:t>
      </w:r>
    </w:p>
    <w:bookmarkEnd w:id="966"/>
    <w:bookmarkEnd w:id="967"/>
    <w:bookmarkEnd w:id="968"/>
    <w:bookmarkEnd w:id="969"/>
    <w:bookmarkEnd w:id="970"/>
    <w:bookmarkEnd w:id="971"/>
    <w:p w14:paraId="4855F75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12.2.1 预付款的支付</w:t>
      </w:r>
    </w:p>
    <w:p w14:paraId="3EA2C4B3">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预付款支付比例或金额：</w:t>
      </w:r>
      <w:r>
        <w:rPr>
          <w:rFonts w:hint="eastAsia" w:ascii="仿宋" w:hAnsi="仿宋" w:eastAsia="仿宋" w:cs="仿宋"/>
          <w:color w:val="auto"/>
          <w:szCs w:val="21"/>
          <w:highlight w:val="none"/>
          <w:u w:val="single"/>
        </w:rPr>
        <w:t xml:space="preserve"> 工程预付款为合同价(不含暂列金)的</w:t>
      </w:r>
      <w:r>
        <w:rPr>
          <w:rFonts w:hint="eastAsia" w:ascii="仿宋" w:hAnsi="仿宋" w:eastAsia="仿宋" w:cs="仿宋"/>
          <w:color w:val="auto"/>
          <w:szCs w:val="21"/>
          <w:highlight w:val="none"/>
          <w:u w:val="single"/>
          <w:lang w:val="en-US" w:eastAsia="zh-CN"/>
        </w:rPr>
        <w:t>5</w:t>
      </w:r>
      <w:r>
        <w:rPr>
          <w:rFonts w:hint="eastAsia" w:ascii="仿宋" w:hAnsi="仿宋" w:eastAsia="仿宋" w:cs="仿宋"/>
          <w:color w:val="auto"/>
          <w:szCs w:val="21"/>
          <w:highlight w:val="none"/>
          <w:u w:val="single"/>
        </w:rPr>
        <w:t>0%</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u w:val="single"/>
        </w:rPr>
        <w:t>工资性工程预付款为合同价的1%</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rPr>
        <w:t>。</w:t>
      </w:r>
    </w:p>
    <w:p w14:paraId="5A6F2B24">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预付款支付期限：</w:t>
      </w:r>
      <w:r>
        <w:rPr>
          <w:rFonts w:hint="eastAsia" w:ascii="仿宋" w:hAnsi="仿宋" w:eastAsia="仿宋" w:cs="仿宋"/>
          <w:color w:val="auto"/>
          <w:szCs w:val="21"/>
          <w:highlight w:val="none"/>
          <w:u w:val="single"/>
        </w:rPr>
        <w:t>在合同生效以及具备实施条件后</w:t>
      </w:r>
      <w:r>
        <w:rPr>
          <w:rFonts w:hint="eastAsia" w:ascii="仿宋" w:hAnsi="仿宋" w:eastAsia="仿宋" w:cs="仿宋"/>
          <w:color w:val="auto"/>
          <w:szCs w:val="21"/>
          <w:highlight w:val="none"/>
          <w:u w:val="single"/>
          <w:lang w:val="en-US" w:eastAsia="zh-CN"/>
        </w:rPr>
        <w:t>7</w:t>
      </w:r>
      <w:r>
        <w:rPr>
          <w:rFonts w:hint="eastAsia" w:ascii="仿宋" w:hAnsi="仿宋" w:eastAsia="仿宋" w:cs="仿宋"/>
          <w:color w:val="auto"/>
          <w:szCs w:val="21"/>
          <w:highlight w:val="none"/>
          <w:u w:val="single"/>
        </w:rPr>
        <w:t>个工作日内，发包人向承包人预付合同金额(不含暂列金)的</w:t>
      </w:r>
      <w:r>
        <w:rPr>
          <w:rFonts w:hint="eastAsia" w:ascii="仿宋" w:hAnsi="仿宋" w:eastAsia="仿宋" w:cs="仿宋"/>
          <w:color w:val="auto"/>
          <w:szCs w:val="21"/>
          <w:highlight w:val="none"/>
          <w:u w:val="single"/>
          <w:lang w:val="en-US" w:eastAsia="zh-CN"/>
        </w:rPr>
        <w:t>5</w:t>
      </w:r>
      <w:r>
        <w:rPr>
          <w:rFonts w:hint="eastAsia" w:ascii="仿宋" w:hAnsi="仿宋" w:eastAsia="仿宋" w:cs="仿宋"/>
          <w:color w:val="auto"/>
          <w:szCs w:val="21"/>
          <w:highlight w:val="none"/>
          <w:u w:val="single"/>
        </w:rPr>
        <w:t>0%作为工程预付款</w:t>
      </w:r>
      <w:r>
        <w:rPr>
          <w:rFonts w:hint="eastAsia" w:ascii="仿宋" w:hAnsi="仿宋" w:eastAsia="仿宋" w:cs="仿宋"/>
          <w:color w:val="auto"/>
          <w:szCs w:val="21"/>
          <w:highlight w:val="none"/>
        </w:rPr>
        <w:t>。</w:t>
      </w:r>
    </w:p>
    <w:p w14:paraId="18812350">
      <w:pPr>
        <w:snapToGrid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预付款扣回的方式：工程预付款在第一期进度款中扣回，如第一期进度款不足，则在第二期进度款中继续。</w:t>
      </w:r>
    </w:p>
    <w:p w14:paraId="5A0EFEA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12.2.2 预付款担保</w:t>
      </w:r>
    </w:p>
    <w:bookmarkEnd w:id="972"/>
    <w:bookmarkEnd w:id="973"/>
    <w:bookmarkEnd w:id="974"/>
    <w:bookmarkEnd w:id="975"/>
    <w:bookmarkEnd w:id="976"/>
    <w:bookmarkEnd w:id="977"/>
    <w:bookmarkEnd w:id="978"/>
    <w:bookmarkEnd w:id="979"/>
    <w:bookmarkEnd w:id="980"/>
    <w:bookmarkEnd w:id="981"/>
    <w:p w14:paraId="57CF9319">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承包人提交预付款担保的期限：</w:t>
      </w:r>
      <w:r>
        <w:rPr>
          <w:rFonts w:hint="eastAsia" w:ascii="仿宋" w:hAnsi="仿宋" w:eastAsia="仿宋" w:cs="仿宋"/>
          <w:color w:val="auto"/>
          <w:szCs w:val="21"/>
          <w:highlight w:val="none"/>
          <w:u w:val="single"/>
        </w:rPr>
        <w:t>自预付款担保交纳之日起至竣工验收合格后7日内有效，在此有效期截止日后14天内此预付款担保（如有剩余）解除。如工期延误，则承包人必须在有效期满前1个月办理预付款担保有效期顺延事宜，否则发包人有权不予支付工程款</w:t>
      </w:r>
      <w:r>
        <w:rPr>
          <w:rFonts w:hint="eastAsia" w:ascii="仿宋" w:hAnsi="仿宋" w:eastAsia="仿宋" w:cs="仿宋"/>
          <w:color w:val="auto"/>
          <w:szCs w:val="21"/>
          <w:highlight w:val="none"/>
        </w:rPr>
        <w:t xml:space="preserve">。 </w:t>
      </w:r>
    </w:p>
    <w:p w14:paraId="33AAC7BE">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预付款担保的形式为：</w:t>
      </w:r>
      <w:r>
        <w:rPr>
          <w:rFonts w:hint="eastAsia" w:ascii="仿宋" w:hAnsi="仿宋" w:eastAsia="仿宋" w:cs="仿宋"/>
          <w:color w:val="auto"/>
          <w:szCs w:val="21"/>
          <w:highlight w:val="none"/>
          <w:u w:val="single"/>
        </w:rPr>
        <w:t>银行、保险公司等金融机构出具的预付款保函。预付款担保的金额：合同金额的</w:t>
      </w:r>
      <w:r>
        <w:rPr>
          <w:rFonts w:hint="eastAsia" w:ascii="仿宋" w:hAnsi="仿宋" w:eastAsia="仿宋" w:cs="仿宋"/>
          <w:color w:val="auto"/>
          <w:szCs w:val="21"/>
          <w:highlight w:val="none"/>
          <w:u w:val="single"/>
          <w:lang w:val="en-US" w:eastAsia="zh-CN"/>
        </w:rPr>
        <w:t>5</w:t>
      </w:r>
      <w:r>
        <w:rPr>
          <w:rFonts w:hint="eastAsia" w:ascii="仿宋" w:hAnsi="仿宋" w:eastAsia="仿宋" w:cs="仿宋"/>
          <w:color w:val="auto"/>
          <w:szCs w:val="21"/>
          <w:highlight w:val="none"/>
          <w:u w:val="single"/>
        </w:rPr>
        <w:t>0%（不含暂列金）。预付款担保有效期合同履行期间如承包人出现违约情况，发包人将予以处罚，承包人应在接到处罚通知后15天内缴纳违约金，否则发包人有权停止支付工程进度款或从工程进度款中扣除</w:t>
      </w:r>
      <w:r>
        <w:rPr>
          <w:rFonts w:hint="eastAsia" w:ascii="仿宋" w:hAnsi="仿宋" w:eastAsia="仿宋" w:cs="仿宋"/>
          <w:color w:val="auto"/>
          <w:szCs w:val="21"/>
          <w:highlight w:val="none"/>
        </w:rPr>
        <w:t>。</w:t>
      </w:r>
    </w:p>
    <w:p w14:paraId="0F3CD3E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 计量</w:t>
      </w:r>
    </w:p>
    <w:p w14:paraId="33F4F17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12.3.1 计量原则</w:t>
      </w:r>
    </w:p>
    <w:p w14:paraId="6490C358">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工程量计算规则：</w:t>
      </w:r>
    </w:p>
    <w:p w14:paraId="058D2544">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（1）实行工程量清单计价的工程项目，其工程量的计算规则应按国家标准工程量计算规范及省级行业主管部门颁布的补充规定执行。</w:t>
      </w:r>
    </w:p>
    <w:p w14:paraId="13D6A38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（2）不实行工程量清单计价的工程项目，工程量的计算规则应按省、市行业主管部门颁布的各专业工程定额的工程量计算规则执行。</w:t>
      </w:r>
    </w:p>
    <w:p w14:paraId="473C45C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12.3.2 计量周期</w:t>
      </w:r>
    </w:p>
    <w:p w14:paraId="30FA2DB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关于计量周期的约定：</w:t>
      </w:r>
      <w:r>
        <w:rPr>
          <w:rFonts w:hint="eastAsia" w:ascii="仿宋" w:hAnsi="仿宋" w:eastAsia="仿宋" w:cs="仿宋"/>
          <w:color w:val="auto"/>
          <w:szCs w:val="21"/>
          <w:highlight w:val="none"/>
          <w:u w:val="single"/>
        </w:rPr>
        <w:t xml:space="preserve">按月计量 </w:t>
      </w:r>
      <w:r>
        <w:rPr>
          <w:rFonts w:hint="eastAsia" w:ascii="仿宋" w:hAnsi="仿宋" w:eastAsia="仿宋" w:cs="仿宋"/>
          <w:color w:val="auto"/>
          <w:szCs w:val="21"/>
          <w:highlight w:val="none"/>
        </w:rPr>
        <w:t>。</w:t>
      </w:r>
    </w:p>
    <w:p w14:paraId="411DC62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12.3.3 单价合同的计量</w:t>
      </w:r>
    </w:p>
    <w:p w14:paraId="2939217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关于单价合同计量的约定：</w:t>
      </w:r>
      <w:r>
        <w:rPr>
          <w:rFonts w:hint="eastAsia" w:ascii="仿宋" w:hAnsi="仿宋" w:eastAsia="仿宋" w:cs="仿宋"/>
          <w:color w:val="auto"/>
          <w:szCs w:val="21"/>
          <w:highlight w:val="none"/>
          <w:u w:val="single"/>
        </w:rPr>
        <w:t>工期在3个月（含）以下的项目，在完工后一次性报送完成工程量，无需按月报送；工期在3个月（不含）以上的项目，按月计量，每月工程量在每月25日前上报监理工程师审核，监理工程师自接到承包人报告之日起10个工作日内予以审查，审查完成后报发包人审核。承包人未按前述约定报送的，发包人有权延期支付工程款且不承担任何责任</w:t>
      </w:r>
      <w:r>
        <w:rPr>
          <w:rFonts w:hint="eastAsia" w:ascii="仿宋" w:hAnsi="仿宋" w:eastAsia="仿宋" w:cs="仿宋"/>
          <w:color w:val="auto"/>
          <w:szCs w:val="21"/>
          <w:highlight w:val="none"/>
        </w:rPr>
        <w:t>。</w:t>
      </w:r>
    </w:p>
    <w:p w14:paraId="6CDD1C7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12.3.4 总价合同的计量</w:t>
      </w:r>
    </w:p>
    <w:p w14:paraId="1C2F331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关于总价合同计量的约定：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5A45DCA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12.3.5总价合同采用支付分解表计量支付的，是否适用第12.3.4 项〔总价合同的计量〕约定进行计量：</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10855EC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12.3.6 其他价格形式合同的计量</w:t>
      </w:r>
    </w:p>
    <w:p w14:paraId="2ABB7FBF">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其他价格形式的计量方式和程序：</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1105928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12.4 工程进度款支付</w:t>
      </w:r>
    </w:p>
    <w:p w14:paraId="1CA81770">
      <w:pPr>
        <w:adjustRightInd/>
        <w:spacing w:line="400" w:lineRule="exact"/>
        <w:ind w:firstLine="420" w:firstLineChars="200"/>
        <w:rPr>
          <w:rFonts w:hint="eastAsia" w:ascii="仿宋" w:hAnsi="仿宋" w:eastAsia="仿宋" w:cs="仿宋"/>
          <w:color w:val="auto"/>
          <w:szCs w:val="21"/>
          <w:highlight w:val="none"/>
        </w:rPr>
      </w:pPr>
      <w:bookmarkStart w:id="982" w:name="_Toc296503211"/>
      <w:bookmarkStart w:id="983" w:name="_Toc296347210"/>
      <w:bookmarkStart w:id="984" w:name="_Toc297120511"/>
      <w:bookmarkStart w:id="985" w:name="_Toc303539163"/>
      <w:bookmarkStart w:id="986" w:name="_Toc300935006"/>
      <w:bookmarkStart w:id="987" w:name="_Toc297216215"/>
      <w:bookmarkStart w:id="988" w:name="_Toc296891251"/>
      <w:bookmarkStart w:id="989" w:name="_Toc297048397"/>
      <w:bookmarkStart w:id="990" w:name="_Toc292559921"/>
      <w:bookmarkStart w:id="991" w:name="_Toc296944550"/>
      <w:bookmarkStart w:id="992" w:name="_Toc296891039"/>
      <w:bookmarkStart w:id="993" w:name="_Toc297123556"/>
      <w:bookmarkStart w:id="994" w:name="_Toc292559416"/>
      <w:bookmarkStart w:id="995" w:name="_Toc296346712"/>
      <w:r>
        <w:rPr>
          <w:rFonts w:hint="eastAsia" w:ascii="仿宋" w:hAnsi="仿宋" w:eastAsia="仿宋" w:cs="仿宋"/>
          <w:color w:val="auto"/>
          <w:szCs w:val="21"/>
          <w:highlight w:val="none"/>
        </w:rPr>
        <w:t>12.4.1 付款周期</w:t>
      </w:r>
    </w:p>
    <w:p w14:paraId="1D58B35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关于付款周期的约定：</w:t>
      </w:r>
    </w:p>
    <w:p w14:paraId="66DD31F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a、合同价款内的工程款支付：在合同生效以及具备实施条件后7个工作日内，发包人向承包人预付合同金额(不含暂列金)的50%作为工程预付款。竣工验收合格、符合竣工退场要求，并且提交完整的相关竣工结算审核资料，经</w:t>
      </w:r>
      <w:r>
        <w:rPr>
          <w:rFonts w:hint="eastAsia" w:ascii="仿宋" w:hAnsi="仿宋" w:eastAsia="仿宋" w:cs="仿宋"/>
          <w:color w:val="auto"/>
          <w:szCs w:val="21"/>
          <w:highlight w:val="none"/>
          <w:u w:val="single"/>
          <w:lang w:eastAsia="zh-CN"/>
        </w:rPr>
        <w:t>审核</w:t>
      </w:r>
      <w:r>
        <w:rPr>
          <w:rFonts w:hint="eastAsia" w:ascii="仿宋" w:hAnsi="仿宋" w:eastAsia="仿宋" w:cs="仿宋"/>
          <w:color w:val="auto"/>
          <w:szCs w:val="21"/>
          <w:highlight w:val="none"/>
          <w:u w:val="single"/>
        </w:rPr>
        <w:t>认可后支付至该工程合同范围内实际完成工程量的</w:t>
      </w:r>
      <w:r>
        <w:rPr>
          <w:rFonts w:hint="eastAsia" w:ascii="仿宋" w:hAnsi="仿宋" w:eastAsia="仿宋" w:cs="仿宋"/>
          <w:color w:val="auto"/>
          <w:szCs w:val="21"/>
          <w:highlight w:val="none"/>
          <w:u w:val="single"/>
          <w:lang w:val="en-US" w:eastAsia="zh-CN"/>
        </w:rPr>
        <w:t>7</w:t>
      </w:r>
      <w:r>
        <w:rPr>
          <w:rFonts w:hint="eastAsia" w:ascii="仿宋" w:hAnsi="仿宋" w:eastAsia="仿宋" w:cs="仿宋"/>
          <w:color w:val="auto"/>
          <w:szCs w:val="21"/>
          <w:highlight w:val="none"/>
          <w:u w:val="single"/>
        </w:rPr>
        <w:t>0％，待</w:t>
      </w:r>
      <w:r>
        <w:rPr>
          <w:rFonts w:hint="eastAsia" w:ascii="仿宋" w:hAnsi="仿宋" w:eastAsia="仿宋" w:cs="仿宋"/>
          <w:color w:val="auto"/>
          <w:szCs w:val="21"/>
          <w:highlight w:val="none"/>
          <w:u w:val="single"/>
          <w:lang w:eastAsia="zh-CN"/>
        </w:rPr>
        <w:t>审核</w:t>
      </w:r>
      <w:r>
        <w:rPr>
          <w:rFonts w:hint="eastAsia" w:ascii="仿宋" w:hAnsi="仿宋" w:eastAsia="仿宋" w:cs="仿宋"/>
          <w:color w:val="auto"/>
          <w:szCs w:val="21"/>
          <w:highlight w:val="none"/>
          <w:u w:val="single"/>
        </w:rPr>
        <w:t>完成且完整的资料归档后支付至结算价的</w:t>
      </w:r>
      <w:r>
        <w:rPr>
          <w:rFonts w:hint="eastAsia" w:ascii="仿宋" w:hAnsi="仿宋" w:eastAsia="仿宋" w:cs="仿宋"/>
          <w:color w:val="auto"/>
          <w:szCs w:val="21"/>
          <w:highlight w:val="none"/>
          <w:u w:val="single"/>
          <w:lang w:val="en-US" w:eastAsia="zh-CN"/>
        </w:rPr>
        <w:t>100</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u w:val="single"/>
          <w:lang w:val="en-US" w:eastAsia="zh-CN"/>
        </w:rPr>
        <w:t>结算价的</w:t>
      </w:r>
      <w:r>
        <w:rPr>
          <w:rFonts w:hint="eastAsia" w:ascii="仿宋" w:hAnsi="仿宋" w:eastAsia="仿宋" w:cs="仿宋"/>
          <w:color w:val="auto"/>
          <w:szCs w:val="21"/>
          <w:highlight w:val="none"/>
          <w:u w:val="single"/>
        </w:rPr>
        <w:t>1.5%作为工程质量保证金</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u w:val="single"/>
          <w:lang w:val="en-US" w:eastAsia="zh-CN"/>
        </w:rPr>
        <w:t>以银行保函的方式递交）</w:t>
      </w:r>
      <w:r>
        <w:rPr>
          <w:rFonts w:hint="default" w:ascii="仿宋" w:hAnsi="仿宋" w:eastAsia="仿宋" w:cs="仿宋"/>
          <w:color w:val="auto"/>
          <w:szCs w:val="21"/>
          <w:highlight w:val="none"/>
          <w:u w:val="single"/>
          <w:lang w:eastAsia="zh-CN"/>
        </w:rPr>
        <w:t>。</w:t>
      </w:r>
    </w:p>
    <w:p w14:paraId="7C1B55D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b、合同价款外的工程款支付：在施工的前提下，按《杭州钱塘新区政府投资项目工程变更管理办法（试行）》（钱塘管办发[2019]42号）、《杭州钱塘新区政府投资项目建设单位工程变更内控管理暂行规定》（钱塘管办发[2020]16号）等为准。</w:t>
      </w:r>
    </w:p>
    <w:p w14:paraId="460B27A0">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c、在承包人领取工程款时，应提供与工程款同等数额的工程款发票，否则，发包人有权拒绝支付工程款。</w:t>
      </w:r>
    </w:p>
    <w:p w14:paraId="4FA4357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证书的修改：发包人可通过任何一次进度款支付证书对其所签发过的任何原有的进度款支付证书进行任何修改或更改。</w:t>
      </w:r>
    </w:p>
    <w:p w14:paraId="0AB8C168">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d、本工程发票开具须按发包人或相关部门要求开具。</w:t>
      </w:r>
    </w:p>
    <w:p w14:paraId="57B3A027">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本项目工程款承包人须做到专款专用，不得将本项目工程款项挪作他用，且发包人有权随时了解和查看工程款项的使用情况及去向。乙方无条件提供相关款项凭证等资料。</w:t>
      </w:r>
    </w:p>
    <w:p w14:paraId="5BD4A44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f、每次合同款项支付之前需</w:t>
      </w:r>
      <w:r>
        <w:rPr>
          <w:rFonts w:hint="eastAsia" w:ascii="仿宋" w:hAnsi="仿宋" w:eastAsia="仿宋" w:cs="仿宋"/>
          <w:color w:val="auto"/>
          <w:szCs w:val="21"/>
          <w:highlight w:val="none"/>
          <w:u w:val="single"/>
        </w:rPr>
        <w:t>提供</w:t>
      </w:r>
      <w:r>
        <w:rPr>
          <w:rFonts w:hint="eastAsia" w:ascii="仿宋" w:hAnsi="仿宋" w:eastAsia="仿宋" w:cs="仿宋"/>
          <w:color w:val="auto"/>
          <w:szCs w:val="21"/>
          <w:highlight w:val="none"/>
        </w:rPr>
        <w:t>完税证明。</w:t>
      </w:r>
    </w:p>
    <w:p w14:paraId="0B73F7B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12.4.2 进度付款申请单的编制</w:t>
      </w:r>
    </w:p>
    <w:p w14:paraId="6560427C">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关于进度付款申请单编制的约定：</w:t>
      </w:r>
      <w:r>
        <w:rPr>
          <w:rFonts w:hint="eastAsia" w:ascii="仿宋" w:hAnsi="仿宋" w:eastAsia="仿宋" w:cs="仿宋"/>
          <w:color w:val="auto"/>
          <w:szCs w:val="21"/>
          <w:highlight w:val="none"/>
          <w:u w:val="single"/>
        </w:rPr>
        <w:t xml:space="preserve">   按发包人要求编制   </w:t>
      </w:r>
      <w:r>
        <w:rPr>
          <w:rFonts w:hint="eastAsia" w:ascii="仿宋" w:hAnsi="仿宋" w:eastAsia="仿宋" w:cs="仿宋"/>
          <w:color w:val="auto"/>
          <w:szCs w:val="21"/>
          <w:highlight w:val="none"/>
        </w:rPr>
        <w:t>。</w:t>
      </w:r>
    </w:p>
    <w:p w14:paraId="5A679C8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r>
        <w:rPr>
          <w:rFonts w:hint="eastAsia" w:ascii="仿宋" w:hAnsi="仿宋" w:eastAsia="仿宋" w:cs="仿宋"/>
          <w:color w:val="auto"/>
          <w:szCs w:val="21"/>
          <w:highlight w:val="none"/>
        </w:rPr>
        <w:t>2.4.3 进度付款申请单的提交</w:t>
      </w:r>
    </w:p>
    <w:p w14:paraId="7D168DD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（1）单价合同进度付款申请单提交的约定：</w:t>
      </w:r>
      <w:r>
        <w:rPr>
          <w:rFonts w:hint="eastAsia" w:ascii="仿宋" w:hAnsi="仿宋" w:eastAsia="仿宋" w:cs="仿宋"/>
          <w:color w:val="auto"/>
          <w:szCs w:val="21"/>
          <w:highlight w:val="none"/>
          <w:u w:val="single"/>
        </w:rPr>
        <w:t xml:space="preserve"> 提交工程量经监理、发包人审核后提交</w:t>
      </w:r>
      <w:r>
        <w:rPr>
          <w:rFonts w:hint="eastAsia" w:ascii="仿宋" w:hAnsi="仿宋" w:eastAsia="仿宋" w:cs="仿宋"/>
          <w:color w:val="auto"/>
          <w:szCs w:val="21"/>
          <w:highlight w:val="none"/>
        </w:rPr>
        <w:t>。</w:t>
      </w:r>
    </w:p>
    <w:p w14:paraId="50EFCFD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（2）总价合同进度付款申请单提交的约定：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6876F649">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（3）其他价格形式合同进度付款申请单提交的约定：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092C022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12.4.4 进度款审核和支付</w:t>
      </w:r>
    </w:p>
    <w:p w14:paraId="1F42F7A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（1）监理人审查并报送发包人的期限：</w:t>
      </w:r>
      <w:r>
        <w:rPr>
          <w:rFonts w:hint="eastAsia" w:ascii="仿宋" w:hAnsi="仿宋" w:eastAsia="仿宋" w:cs="仿宋"/>
          <w:color w:val="auto"/>
          <w:szCs w:val="21"/>
          <w:highlight w:val="none"/>
          <w:u w:val="single"/>
        </w:rPr>
        <w:t>收到申请之日起7天内</w:t>
      </w:r>
      <w:r>
        <w:rPr>
          <w:rFonts w:hint="eastAsia" w:ascii="仿宋" w:hAnsi="仿宋" w:eastAsia="仿宋" w:cs="仿宋"/>
          <w:color w:val="auto"/>
          <w:szCs w:val="21"/>
          <w:highlight w:val="none"/>
        </w:rPr>
        <w:t>。</w:t>
      </w:r>
    </w:p>
    <w:p w14:paraId="5FF44D3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发包人完成审批并签发进度款支付证书的期限：</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rPr>
        <w:t>。</w:t>
      </w:r>
    </w:p>
    <w:p w14:paraId="0CA5FC9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（2）发包人支付进度款的期限：</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71EE9FA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发包人逾期支付进度款的违约金的计算方式：</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0B0BF8B5">
      <w:pPr>
        <w:adjustRightInd/>
        <w:spacing w:line="400" w:lineRule="exact"/>
        <w:ind w:firstLine="525"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12.4.6 支付分解表的编制</w:t>
      </w:r>
    </w:p>
    <w:p w14:paraId="6CEB9656">
      <w:pPr>
        <w:adjustRightInd/>
        <w:spacing w:line="400" w:lineRule="exact"/>
        <w:ind w:left="4200" w:hanging="4200" w:hangingChars="20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2、总价合同支付分解表的编制与审批：</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292D517A">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3、单价合同的总价项目支付分解表的编制与审批：</w:t>
      </w:r>
      <w:r>
        <w:rPr>
          <w:rFonts w:hint="eastAsia" w:ascii="仿宋" w:hAnsi="仿宋" w:eastAsia="仿宋" w:cs="仿宋"/>
          <w:color w:val="auto"/>
          <w:szCs w:val="21"/>
          <w:highlight w:val="none"/>
          <w:u w:val="single"/>
        </w:rPr>
        <w:t xml:space="preserve"> 按发包人要求   </w:t>
      </w:r>
      <w:r>
        <w:rPr>
          <w:rFonts w:hint="eastAsia" w:ascii="仿宋" w:hAnsi="仿宋" w:eastAsia="仿宋" w:cs="仿宋"/>
          <w:color w:val="auto"/>
          <w:szCs w:val="21"/>
          <w:highlight w:val="none"/>
        </w:rPr>
        <w:t>。</w:t>
      </w:r>
    </w:p>
    <w:p w14:paraId="326F4B89">
      <w:pPr>
        <w:keepNext/>
        <w:keepLines/>
        <w:adjustRightInd/>
        <w:spacing w:line="400" w:lineRule="exact"/>
        <w:outlineLvl w:val="3"/>
        <w:rPr>
          <w:rFonts w:hint="eastAsia" w:ascii="仿宋" w:hAnsi="仿宋" w:eastAsia="仿宋" w:cs="仿宋"/>
          <w:bCs/>
          <w:color w:val="auto"/>
          <w:szCs w:val="21"/>
          <w:highlight w:val="none"/>
        </w:rPr>
      </w:pPr>
      <w:bookmarkStart w:id="996" w:name="_Toc351203645"/>
      <w:bookmarkStart w:id="997" w:name="_Toc297120519"/>
      <w:bookmarkStart w:id="998" w:name="_Toc296346720"/>
      <w:bookmarkStart w:id="999" w:name="_Toc296891047"/>
      <w:bookmarkStart w:id="1000" w:name="_Toc296347218"/>
      <w:bookmarkStart w:id="1001" w:name="_Toc296891259"/>
      <w:bookmarkStart w:id="1002" w:name="_Toc303539172"/>
      <w:bookmarkStart w:id="1003" w:name="_Toc304295593"/>
      <w:bookmarkStart w:id="1004" w:name="_Toc297048405"/>
      <w:bookmarkStart w:id="1005" w:name="_Toc292559424"/>
      <w:bookmarkStart w:id="1006" w:name="_Toc297216223"/>
      <w:bookmarkStart w:id="1007" w:name="_Toc296944558"/>
      <w:bookmarkStart w:id="1008" w:name="_Toc292559929"/>
      <w:bookmarkStart w:id="1009" w:name="_Toc297123564"/>
      <w:bookmarkStart w:id="1010" w:name="_Toc296503219"/>
      <w:bookmarkStart w:id="1011" w:name="_Toc300935015"/>
      <w:bookmarkStart w:id="1012" w:name="_Toc312678053"/>
      <w:r>
        <w:rPr>
          <w:rFonts w:hint="eastAsia" w:ascii="仿宋" w:hAnsi="仿宋" w:eastAsia="仿宋" w:cs="仿宋"/>
          <w:bCs/>
          <w:color w:val="auto"/>
          <w:szCs w:val="21"/>
          <w:highlight w:val="none"/>
        </w:rPr>
        <w:t>13. 验收和工程试车</w:t>
      </w:r>
      <w:bookmarkEnd w:id="996"/>
    </w:p>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p w14:paraId="10AD4F7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13.1 分部分项工程验收</w:t>
      </w:r>
    </w:p>
    <w:p w14:paraId="6344EDC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13.1.2监理人不能按时进行验收时，应提前</w:t>
      </w:r>
      <w:r>
        <w:rPr>
          <w:rFonts w:hint="eastAsia" w:ascii="仿宋" w:hAnsi="仿宋" w:eastAsia="仿宋" w:cs="仿宋"/>
          <w:color w:val="auto"/>
          <w:szCs w:val="21"/>
          <w:highlight w:val="none"/>
          <w:u w:val="single"/>
        </w:rPr>
        <w:t xml:space="preserve">  24  </w:t>
      </w:r>
      <w:r>
        <w:rPr>
          <w:rFonts w:hint="eastAsia" w:ascii="仿宋" w:hAnsi="仿宋" w:eastAsia="仿宋" w:cs="仿宋"/>
          <w:color w:val="auto"/>
          <w:szCs w:val="21"/>
          <w:highlight w:val="none"/>
        </w:rPr>
        <w:t>小时提交书面延期要求。</w:t>
      </w:r>
    </w:p>
    <w:p w14:paraId="52A650A6">
      <w:pPr>
        <w:adjustRightInd/>
        <w:spacing w:line="400" w:lineRule="exact"/>
        <w:ind w:firstLine="420" w:firstLineChars="200"/>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关于延期最长不得超过：</w:t>
      </w:r>
      <w:r>
        <w:rPr>
          <w:rFonts w:hint="eastAsia" w:ascii="仿宋" w:hAnsi="仿宋" w:eastAsia="仿宋" w:cs="仿宋"/>
          <w:color w:val="auto"/>
          <w:szCs w:val="21"/>
          <w:highlight w:val="none"/>
          <w:u w:val="single"/>
        </w:rPr>
        <w:t xml:space="preserve">  48  </w:t>
      </w:r>
      <w:r>
        <w:rPr>
          <w:rFonts w:hint="eastAsia" w:ascii="仿宋" w:hAnsi="仿宋" w:eastAsia="仿宋" w:cs="仿宋"/>
          <w:color w:val="auto"/>
          <w:szCs w:val="21"/>
          <w:highlight w:val="none"/>
        </w:rPr>
        <w:t>小时。</w:t>
      </w:r>
    </w:p>
    <w:p w14:paraId="653E0F97">
      <w:pPr>
        <w:adjustRightInd/>
        <w:spacing w:line="400" w:lineRule="exact"/>
        <w:ind w:firstLine="420" w:firstLineChars="200"/>
        <w:rPr>
          <w:rFonts w:hint="eastAsia" w:ascii="仿宋" w:hAnsi="仿宋" w:eastAsia="仿宋" w:cs="仿宋"/>
          <w:color w:val="auto"/>
          <w:szCs w:val="21"/>
          <w:highlight w:val="none"/>
        </w:rPr>
      </w:pPr>
      <w:bookmarkStart w:id="1013" w:name="_Toc292559933"/>
      <w:bookmarkStart w:id="1014" w:name="_Toc292559428"/>
      <w:bookmarkStart w:id="1015" w:name="_Toc300935016"/>
      <w:bookmarkStart w:id="1016" w:name="_Toc296891051"/>
      <w:bookmarkStart w:id="1017" w:name="_Toc296944562"/>
      <w:bookmarkStart w:id="1018" w:name="_Toc296503223"/>
      <w:bookmarkStart w:id="1019" w:name="_Toc304295596"/>
      <w:bookmarkStart w:id="1020" w:name="_Toc297216224"/>
      <w:bookmarkStart w:id="1021" w:name="_Toc297120523"/>
      <w:bookmarkStart w:id="1022" w:name="_Toc296891263"/>
      <w:bookmarkStart w:id="1023" w:name="_Toc312678056"/>
      <w:bookmarkStart w:id="1024" w:name="_Toc297048409"/>
      <w:bookmarkStart w:id="1025" w:name="_Toc303539173"/>
      <w:bookmarkStart w:id="1026" w:name="_Toc297123565"/>
      <w:bookmarkStart w:id="1027" w:name="_Toc296347222"/>
      <w:bookmarkStart w:id="1028" w:name="_Toc296346724"/>
      <w:bookmarkStart w:id="1029" w:name="_Toc267251473"/>
      <w:bookmarkStart w:id="1030" w:name="_Toc267251470"/>
      <w:bookmarkStart w:id="1031" w:name="_Toc267251474"/>
      <w:bookmarkStart w:id="1032" w:name="_Toc267251476"/>
      <w:bookmarkStart w:id="1033" w:name="_Toc267251472"/>
      <w:bookmarkStart w:id="1034" w:name="_Toc267251475"/>
      <w:bookmarkStart w:id="1035" w:name="_Toc267251471"/>
      <w:r>
        <w:rPr>
          <w:rFonts w:hint="eastAsia" w:ascii="仿宋" w:hAnsi="仿宋" w:eastAsia="仿宋" w:cs="仿宋"/>
          <w:color w:val="auto"/>
          <w:szCs w:val="21"/>
          <w:highlight w:val="none"/>
        </w:rPr>
        <w:t>13.2 竣工验收</w:t>
      </w:r>
    </w:p>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p w14:paraId="791B4840">
      <w:pPr>
        <w:adjustRightInd/>
        <w:spacing w:line="400" w:lineRule="exact"/>
        <w:ind w:firstLine="420" w:firstLineChars="200"/>
        <w:rPr>
          <w:rFonts w:hint="eastAsia" w:ascii="仿宋" w:hAnsi="仿宋" w:eastAsia="仿宋" w:cs="仿宋"/>
          <w:color w:val="auto"/>
          <w:szCs w:val="21"/>
          <w:highlight w:val="none"/>
        </w:rPr>
      </w:pPr>
      <w:bookmarkStart w:id="1036" w:name="_Toc280868704"/>
      <w:bookmarkStart w:id="1037" w:name="_Toc280868705"/>
      <w:bookmarkStart w:id="1038" w:name="_Toc280868706"/>
      <w:bookmarkStart w:id="1039" w:name="_Toc280868707"/>
      <w:bookmarkStart w:id="1040" w:name="_Toc280868708"/>
      <w:bookmarkStart w:id="1041" w:name="_Toc280868709"/>
      <w:r>
        <w:rPr>
          <w:rFonts w:hint="eastAsia" w:ascii="仿宋" w:hAnsi="仿宋" w:eastAsia="仿宋" w:cs="仿宋"/>
          <w:color w:val="auto"/>
          <w:szCs w:val="21"/>
          <w:highlight w:val="none"/>
        </w:rPr>
        <w:t>13.2.2竣工验收程序</w:t>
      </w:r>
    </w:p>
    <w:bookmarkEnd w:id="1036"/>
    <w:p w14:paraId="3068B7F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关于竣工验收程序的约定：</w:t>
      </w:r>
    </w:p>
    <w:p w14:paraId="1A3F598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承包人应在确认工程竣工，拟竣工验收工程符合各项竣工要求以及施工期间国家、当地政府各种强制性规定的基础上，向发包人签发《预约竣工验收的通知书》，说明拟交工项目的情况，商定有关竣工验收事项；并向发包人提交经监理单位认可签署意见的《竣工工程拟验收报告》和完整的符合规范要求的工程竣工资料原件（包括但不限于：工程施工资料，工程质量保证资料，工程检验评定资料，竣工图，规定的其他应交资料、各种管线图纸、附属设施以及设备的使用说明书、质量保证书、维修卡等），约定竣工验收日期。若承包人递交的竣工验收资料不完整或不符合合同约定，发包人有权拒绝接受《竣工工程拟验收报告》，要求承包人补齐资料后方组织进行竣工验收。</w:t>
      </w:r>
    </w:p>
    <w:p w14:paraId="26CA1D2F">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发包人收到《竣工工程拟验收报告》和完整的符合规范要求的工程竣工资料原件后的三十天内，应组织有关单位并通知承包人在施工地点，进行竣工验收。若发包人在前述期限内没有组织验收的，承包人有义务再次书面通知、确定一个合理日期进行验收，发包人如仍没有组织验收的，视为《竣工工程拟验收报告》已经被认可。竣工验收应依据但不仅限于下列文件:a批准的设计文件,施工图纸及说明书；b双方签订的施工合同；c设计变更通知书；d设备技术说明书；e施工验收规范及质量验收标准；f外资工程应依据我国有关规定提交竣工验收文件。</w:t>
      </w:r>
    </w:p>
    <w:p w14:paraId="1A61EC2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发包人组织勘察、设计、施工、监理等单位按照竣工验收程序，对工程进行核查后，应做出验收结论，并形成《工程竣工验收报告》；参与竣工验收的各方负责人应在竣工验收报告上签字并盖单位公章。竣工验收合格之日为实际竣工日期。</w:t>
      </w:r>
    </w:p>
    <w:p w14:paraId="7C1382F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4）如果参与竣工验收的各方负责人在竣工验收报告上确认拟竣工工程严重不合格的，发包人有权在《工程竣工验收报告》签署后三十天内提出对工程质量进行鉴定，鉴定费用由承包人负担。发包人有权根据鉴定结论书面向承包人提出工程返工意见以及索赔要求，并确定第二次竣工验收日期，工期延误责任由承包人负担。返工结束并经验收合格之日为实际竣工日期。</w:t>
      </w:r>
    </w:p>
    <w:p w14:paraId="00CA28B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对于参与竣工验收的各方负责人在竣工验收报告上确认拟竣工工程基本合格、某些次要部分不合格的，发包人有权在《工程竣工验收报告》签署后三十天内书面向承包人提出工程改进、返工意见以及索赔要求，工期延误责任由承包人负担。承包人按照要求在规定日期内修改，并承担由于自身原因造成修改的费用。承包人整改结束并经确认之日为实际竣工日期。</w:t>
      </w:r>
    </w:p>
    <w:p w14:paraId="7927EAE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发包人在《工程竣工验收报告》签署后三十天内没有提出鉴定意见、修改意见的，视为竣工工程已经验收通过。</w:t>
      </w:r>
    </w:p>
    <w:p w14:paraId="52DAE6E2">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5）自本工程竣工验收合格后十五日内，承包人应配合发包人在当地建设行政主管部门办理竣工验收备案，并提供应由承包人出具的相关资料。如因承包人原因造成发包人未能及时完成竣工验收备案，承包人应向发包人赔偿给发包人造成的直接、间接经济损失（包括由此给发包人造成的房屋交付、办证延迟导致的违约赔偿）。</w:t>
      </w:r>
    </w:p>
    <w:p w14:paraId="5B7BB3D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6）在工程竣工验收通过后一个月内,承包人向发包人免费提交竣工图8套及竣工资料一式8份,并按城建档案馆及相关部门资料归档要求整理。如因资料不符合城建档案馆及其他有关部门的要求，而产生的资料整理费用，由承包人承担。</w:t>
      </w:r>
    </w:p>
    <w:p w14:paraId="29266111">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（7）合格工程的移交</w:t>
      </w:r>
    </w:p>
    <w:p w14:paraId="6324070E">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通过竣工验收程序、发包人确认竣工工程验收合格后，承包人应在发包人通知的期限内（该期限不得迟于验收合格日后十五天）向发包人办理工程移交手续；承包人不得以任何理由拒绝在发包人通知的期限内完整地向发包人移交工程，否则，发包人有权拒绝办理竣工结算、支付剩余的工程价款。</w:t>
      </w:r>
    </w:p>
    <w:p w14:paraId="6A83381C">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承包人应当向发包人实施工程移交的内容包括：</w:t>
      </w:r>
    </w:p>
    <w:p w14:paraId="43DAF6CE">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①承包人实施承包的全部工程；</w:t>
      </w:r>
    </w:p>
    <w:p w14:paraId="1E1E23A4">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②工程的全部附属设施、设备；</w:t>
      </w:r>
    </w:p>
    <w:p w14:paraId="2852E6E3">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③工程竣工资料原件（包括但不限于：工程施工资料，工程质量保证资料，工程检验评定资料，竣工图，规定的其他应交资料、各种管线图纸、附属设施以及设备的使用说明书、质量保证书、维修卡等）；</w:t>
      </w:r>
    </w:p>
    <w:p w14:paraId="24063C9B">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④其他属于承包人移交义务的工程、设施、设备、文件资料。</w:t>
      </w:r>
    </w:p>
    <w:p w14:paraId="07F3983E">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发包人不按照本项约定组织竣工验收、颁发工程接收证书的违约金的计算方法：</w:t>
      </w:r>
      <w:r>
        <w:rPr>
          <w:rFonts w:hint="eastAsia" w:ascii="仿宋" w:hAnsi="仿宋" w:eastAsia="仿宋" w:cs="仿宋"/>
          <w:color w:val="auto"/>
          <w:szCs w:val="21"/>
          <w:highlight w:val="none"/>
          <w:u w:val="single"/>
        </w:rPr>
        <w:t>无</w:t>
      </w:r>
      <w:r>
        <w:rPr>
          <w:rFonts w:hint="eastAsia" w:ascii="仿宋" w:hAnsi="仿宋" w:eastAsia="仿宋" w:cs="仿宋"/>
          <w:color w:val="auto"/>
          <w:szCs w:val="21"/>
          <w:highlight w:val="none"/>
        </w:rPr>
        <w:t>。</w:t>
      </w:r>
      <w:bookmarkEnd w:id="1037"/>
    </w:p>
    <w:p w14:paraId="13F23C9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13.2.5移交、接收全部与部分工程</w:t>
      </w:r>
    </w:p>
    <w:bookmarkEnd w:id="1038"/>
    <w:p w14:paraId="3CEAE07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承包人向发包人移交工程的期限：</w:t>
      </w:r>
      <w:r>
        <w:rPr>
          <w:rFonts w:hint="eastAsia" w:ascii="仿宋" w:hAnsi="仿宋" w:eastAsia="仿宋" w:cs="仿宋"/>
          <w:color w:val="auto"/>
          <w:szCs w:val="21"/>
          <w:highlight w:val="none"/>
          <w:u w:val="single"/>
        </w:rPr>
        <w:t xml:space="preserve">   不得迟于验收合格日后十五天    </w:t>
      </w:r>
      <w:r>
        <w:rPr>
          <w:rFonts w:hint="eastAsia" w:ascii="仿宋" w:hAnsi="仿宋" w:eastAsia="仿宋" w:cs="仿宋"/>
          <w:color w:val="auto"/>
          <w:szCs w:val="21"/>
          <w:highlight w:val="none"/>
        </w:rPr>
        <w:t>。</w:t>
      </w:r>
    </w:p>
    <w:p w14:paraId="19A78E75">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发包人未按本合同约定接收全部或部分工程的，违约金的计算方法为：</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bookmarkEnd w:id="1039"/>
    <w:p w14:paraId="012927F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承包人未按时移交工程的，违约金的计算方法为：</w:t>
      </w:r>
      <w:r>
        <w:rPr>
          <w:rFonts w:hint="eastAsia" w:ascii="仿宋" w:hAnsi="仿宋" w:eastAsia="仿宋" w:cs="仿宋"/>
          <w:color w:val="auto"/>
          <w:szCs w:val="21"/>
          <w:highlight w:val="none"/>
          <w:u w:val="single"/>
        </w:rPr>
        <w:t xml:space="preserve"> 每延误一天，按签约合同价的万分之四向发包人支付违约金  </w:t>
      </w:r>
      <w:r>
        <w:rPr>
          <w:rFonts w:hint="eastAsia" w:ascii="仿宋" w:hAnsi="仿宋" w:eastAsia="仿宋" w:cs="仿宋"/>
          <w:color w:val="auto"/>
          <w:szCs w:val="21"/>
          <w:highlight w:val="none"/>
        </w:rPr>
        <w:t>。</w:t>
      </w:r>
    </w:p>
    <w:p w14:paraId="4843970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13.3 工程试车</w:t>
      </w:r>
    </w:p>
    <w:bookmarkEnd w:id="1040"/>
    <w:p w14:paraId="491A703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13.3.1 试车程序</w:t>
      </w:r>
    </w:p>
    <w:p w14:paraId="3F09215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工程试车内容：</w:t>
      </w:r>
      <w:r>
        <w:rPr>
          <w:rFonts w:hint="eastAsia" w:ascii="仿宋" w:hAnsi="仿宋" w:eastAsia="仿宋" w:cs="仿宋"/>
          <w:color w:val="auto"/>
          <w:szCs w:val="21"/>
          <w:highlight w:val="none"/>
          <w:u w:val="single"/>
        </w:rPr>
        <w:t xml:space="preserve">    按本合同《通用条款》约定   </w:t>
      </w:r>
      <w:r>
        <w:rPr>
          <w:rFonts w:hint="eastAsia" w:ascii="仿宋" w:hAnsi="仿宋" w:eastAsia="仿宋" w:cs="仿宋"/>
          <w:color w:val="auto"/>
          <w:szCs w:val="21"/>
          <w:highlight w:val="none"/>
        </w:rPr>
        <w:t>。</w:t>
      </w:r>
    </w:p>
    <w:p w14:paraId="7D5F106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（1）单机无负荷试车费用由</w:t>
      </w:r>
      <w:r>
        <w:rPr>
          <w:rFonts w:hint="eastAsia" w:ascii="仿宋" w:hAnsi="仿宋" w:eastAsia="仿宋" w:cs="仿宋"/>
          <w:color w:val="auto"/>
          <w:szCs w:val="21"/>
          <w:highlight w:val="none"/>
          <w:u w:val="single"/>
        </w:rPr>
        <w:t xml:space="preserve">    承包人            </w:t>
      </w:r>
      <w:r>
        <w:rPr>
          <w:rFonts w:hint="eastAsia" w:ascii="仿宋" w:hAnsi="仿宋" w:eastAsia="仿宋" w:cs="仿宋"/>
          <w:color w:val="auto"/>
          <w:szCs w:val="21"/>
          <w:highlight w:val="none"/>
        </w:rPr>
        <w:t>承担；</w:t>
      </w:r>
    </w:p>
    <w:p w14:paraId="11D0289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（2）无负荷联动试车费用由</w:t>
      </w:r>
      <w:r>
        <w:rPr>
          <w:rFonts w:hint="eastAsia" w:ascii="仿宋" w:hAnsi="仿宋" w:eastAsia="仿宋" w:cs="仿宋"/>
          <w:color w:val="auto"/>
          <w:szCs w:val="21"/>
          <w:highlight w:val="none"/>
          <w:u w:val="single"/>
        </w:rPr>
        <w:t xml:space="preserve">     承包人       </w:t>
      </w:r>
      <w:r>
        <w:rPr>
          <w:rFonts w:hint="eastAsia" w:ascii="仿宋" w:hAnsi="仿宋" w:eastAsia="仿宋" w:cs="仿宋"/>
          <w:color w:val="auto"/>
          <w:szCs w:val="21"/>
          <w:highlight w:val="none"/>
        </w:rPr>
        <w:t>承担。</w:t>
      </w:r>
    </w:p>
    <w:p w14:paraId="3FDD51C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13.3.3 投料试车</w:t>
      </w:r>
    </w:p>
    <w:p w14:paraId="5AE339E8">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关于投料试车相关事项的约定：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3D643697">
      <w:pPr>
        <w:adjustRightInd/>
        <w:spacing w:line="400" w:lineRule="exact"/>
        <w:ind w:firstLine="420" w:firstLineChars="200"/>
        <w:outlineLvl w:val="0"/>
        <w:rPr>
          <w:rFonts w:hint="eastAsia" w:ascii="仿宋" w:hAnsi="仿宋" w:eastAsia="仿宋" w:cs="仿宋"/>
          <w:color w:val="auto"/>
          <w:szCs w:val="21"/>
          <w:highlight w:val="none"/>
        </w:rPr>
      </w:pPr>
      <w:bookmarkStart w:id="1042" w:name="_Toc24397"/>
      <w:bookmarkStart w:id="1043" w:name="_Toc5399"/>
      <w:bookmarkStart w:id="1044" w:name="_Toc18523"/>
      <w:bookmarkStart w:id="1045" w:name="_Toc23795"/>
      <w:bookmarkStart w:id="1046" w:name="_Toc14409"/>
      <w:bookmarkStart w:id="1047" w:name="_Toc894"/>
      <w:r>
        <w:rPr>
          <w:rFonts w:hint="eastAsia" w:ascii="仿宋" w:hAnsi="仿宋" w:eastAsia="仿宋" w:cs="仿宋"/>
          <w:color w:val="auto"/>
          <w:szCs w:val="21"/>
          <w:highlight w:val="none"/>
        </w:rPr>
        <w:t>13.6 竣工退场</w:t>
      </w:r>
      <w:bookmarkEnd w:id="1042"/>
      <w:bookmarkEnd w:id="1043"/>
      <w:bookmarkEnd w:id="1044"/>
      <w:bookmarkEnd w:id="1045"/>
      <w:bookmarkEnd w:id="1046"/>
      <w:bookmarkEnd w:id="1047"/>
    </w:p>
    <w:p w14:paraId="7119C0F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13.6.1 竣工退场</w:t>
      </w:r>
    </w:p>
    <w:p w14:paraId="2F7DE86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承包人完成竣工退场的期限：</w:t>
      </w:r>
      <w:r>
        <w:rPr>
          <w:rFonts w:hint="eastAsia" w:ascii="仿宋" w:hAnsi="仿宋" w:eastAsia="仿宋" w:cs="仿宋"/>
          <w:color w:val="auto"/>
          <w:szCs w:val="21"/>
          <w:highlight w:val="none"/>
          <w:u w:val="single"/>
        </w:rPr>
        <w:t xml:space="preserve">   竣工验收通过10天内    </w:t>
      </w:r>
      <w:r>
        <w:rPr>
          <w:rFonts w:hint="eastAsia" w:ascii="仿宋" w:hAnsi="仿宋" w:eastAsia="仿宋" w:cs="仿宋"/>
          <w:color w:val="auto"/>
          <w:szCs w:val="21"/>
          <w:highlight w:val="none"/>
        </w:rPr>
        <w:t>。</w:t>
      </w:r>
    </w:p>
    <w:p w14:paraId="2B30EA0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竣工退场其他要求：</w:t>
      </w:r>
      <w:r>
        <w:rPr>
          <w:rFonts w:hint="eastAsia" w:ascii="仿宋" w:hAnsi="仿宋" w:eastAsia="仿宋" w:cs="仿宋"/>
          <w:color w:val="auto"/>
          <w:szCs w:val="21"/>
          <w:highlight w:val="none"/>
          <w:u w:val="single"/>
        </w:rPr>
        <w:t>及时清理施工现场（土地红线）内或明显属于本工程所有的成品、半成品材料、施工机具、少渣土及建筑垃圾等，符合项目正常使用要求。及时清理场地内、场地外以本工程施工名义搭设的施工临时设施、建（构）筑物，并恢复原样</w:t>
      </w:r>
      <w:r>
        <w:rPr>
          <w:rFonts w:hint="eastAsia" w:ascii="仿宋" w:hAnsi="仿宋" w:eastAsia="仿宋" w:cs="仿宋"/>
          <w:color w:val="auto"/>
          <w:szCs w:val="21"/>
          <w:highlight w:val="none"/>
        </w:rPr>
        <w:t>。</w:t>
      </w:r>
    </w:p>
    <w:p w14:paraId="3FF0001A">
      <w:pPr>
        <w:keepNext/>
        <w:keepLines/>
        <w:adjustRightInd/>
        <w:spacing w:line="400" w:lineRule="exact"/>
        <w:outlineLvl w:val="3"/>
        <w:rPr>
          <w:rFonts w:hint="eastAsia" w:ascii="仿宋" w:hAnsi="仿宋" w:eastAsia="仿宋" w:cs="仿宋"/>
          <w:bCs/>
          <w:color w:val="auto"/>
          <w:szCs w:val="21"/>
          <w:highlight w:val="none"/>
        </w:rPr>
      </w:pPr>
      <w:bookmarkStart w:id="1048" w:name="_Toc351203646"/>
      <w:r>
        <w:rPr>
          <w:rFonts w:hint="eastAsia" w:ascii="仿宋" w:hAnsi="仿宋" w:eastAsia="仿宋" w:cs="仿宋"/>
          <w:bCs/>
          <w:color w:val="auto"/>
          <w:szCs w:val="21"/>
          <w:highlight w:val="none"/>
        </w:rPr>
        <w:t>14. 竣工结算</w:t>
      </w:r>
      <w:bookmarkEnd w:id="1048"/>
    </w:p>
    <w:p w14:paraId="4848CF5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14.1 竣工结算申请</w:t>
      </w:r>
    </w:p>
    <w:p w14:paraId="52D7364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承包人提交竣工结算申请单的期限：</w:t>
      </w:r>
      <w:r>
        <w:rPr>
          <w:rFonts w:hint="eastAsia" w:ascii="仿宋" w:hAnsi="仿宋" w:eastAsia="仿宋" w:cs="仿宋"/>
          <w:color w:val="auto"/>
          <w:szCs w:val="21"/>
          <w:highlight w:val="none"/>
          <w:u w:val="single"/>
        </w:rPr>
        <w:t xml:space="preserve"> 竣工验收合格通过日后的三十天内  </w:t>
      </w:r>
      <w:r>
        <w:rPr>
          <w:rFonts w:hint="eastAsia" w:ascii="仿宋" w:hAnsi="仿宋" w:eastAsia="仿宋" w:cs="仿宋"/>
          <w:color w:val="auto"/>
          <w:szCs w:val="21"/>
          <w:highlight w:val="none"/>
        </w:rPr>
        <w:t>。</w:t>
      </w:r>
    </w:p>
    <w:p w14:paraId="0602A261">
      <w:pPr>
        <w:adjustRightInd/>
        <w:spacing w:line="400" w:lineRule="exact"/>
        <w:ind w:firstLine="420" w:firstLineChars="200"/>
        <w:rPr>
          <w:rFonts w:hint="eastAsia" w:ascii="仿宋" w:hAnsi="仿宋" w:eastAsia="仿宋" w:cs="仿宋"/>
          <w:color w:val="auto"/>
          <w:szCs w:val="21"/>
          <w:highlight w:val="none"/>
          <w:u w:val="single"/>
          <w:lang w:eastAsia="zh-CN"/>
        </w:rPr>
      </w:pPr>
      <w:r>
        <w:rPr>
          <w:rFonts w:hint="eastAsia" w:ascii="仿宋" w:hAnsi="仿宋" w:eastAsia="仿宋" w:cs="仿宋"/>
          <w:color w:val="auto"/>
          <w:szCs w:val="21"/>
          <w:highlight w:val="none"/>
          <w:u w:val="single"/>
        </w:rPr>
        <w:t>承包人应向发包人提交承包人盖章、承包人总经理、项目经理签字的竣工结算报告及完整、有效的结算资料（工程联系单的有效性按照本合同专用条款的约定执行），发包人工程师在竣工结算资料回执上签字并加盖发包人公章后方可视为发包人收到竣工结算资料。发包人拒收的，承包人可以公证送达或者以特快专递给发包人总经理、工程师的方式送达。承包人不按期报送竣工结算资料且经发包人催促后14天内仍未提供的，发包人有权根据已有资料进行审查，责任由承包人自负</w:t>
      </w:r>
      <w:r>
        <w:rPr>
          <w:rFonts w:hint="eastAsia" w:ascii="仿宋" w:hAnsi="仿宋" w:eastAsia="仿宋" w:cs="仿宋"/>
          <w:color w:val="auto"/>
          <w:szCs w:val="21"/>
          <w:highlight w:val="none"/>
          <w:u w:val="single"/>
          <w:lang w:eastAsia="zh-CN"/>
        </w:rPr>
        <w:t>。</w:t>
      </w:r>
    </w:p>
    <w:p w14:paraId="62FD335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发包人自有效收到之日，选择按照如下方式完成对承包人提交的竣工结算报告及完整、有效的结算资料的审计：</w:t>
      </w:r>
    </w:p>
    <w:p w14:paraId="1C1FBDC7">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（1）该工程为政府性投资项目，发包人根据国家造价管理的有关规定以及</w:t>
      </w:r>
      <w:bookmarkStart w:id="1049" w:name="_Hlk59719221"/>
      <w:bookmarkStart w:id="1050" w:name="_Hlk59719067"/>
      <w:r>
        <w:rPr>
          <w:rFonts w:hint="eastAsia" w:ascii="仿宋" w:hAnsi="仿宋" w:eastAsia="仿宋" w:cs="仿宋"/>
          <w:color w:val="auto"/>
          <w:szCs w:val="21"/>
          <w:highlight w:val="none"/>
          <w:u w:val="single"/>
        </w:rPr>
        <w:t>委托审定</w:t>
      </w:r>
      <w:r>
        <w:rPr>
          <w:rFonts w:hint="eastAsia" w:ascii="仿宋" w:hAnsi="仿宋" w:eastAsia="仿宋" w:cs="仿宋"/>
          <w:i/>
          <w:iCs/>
          <w:color w:val="auto"/>
          <w:szCs w:val="21"/>
          <w:highlight w:val="none"/>
          <w:u w:val="single"/>
        </w:rPr>
        <w:t>（发包人审定或委托审定）</w:t>
      </w:r>
      <w:r>
        <w:rPr>
          <w:rFonts w:hint="eastAsia" w:ascii="仿宋" w:hAnsi="仿宋" w:eastAsia="仿宋" w:cs="仿宋"/>
          <w:color w:val="auto"/>
          <w:szCs w:val="21"/>
          <w:highlight w:val="none"/>
          <w:u w:val="single"/>
        </w:rPr>
        <w:t>的</w:t>
      </w:r>
      <w:bookmarkEnd w:id="1049"/>
      <w:r>
        <w:rPr>
          <w:rFonts w:hint="eastAsia" w:ascii="仿宋" w:hAnsi="仿宋" w:eastAsia="仿宋" w:cs="仿宋"/>
          <w:color w:val="auto"/>
          <w:szCs w:val="21"/>
          <w:highlight w:val="none"/>
          <w:u w:val="single"/>
        </w:rPr>
        <w:t>工程结算价</w:t>
      </w:r>
      <w:bookmarkEnd w:id="1050"/>
      <w:r>
        <w:rPr>
          <w:rFonts w:hint="eastAsia" w:ascii="仿宋" w:hAnsi="仿宋" w:eastAsia="仿宋" w:cs="仿宋"/>
          <w:color w:val="auto"/>
          <w:szCs w:val="21"/>
          <w:highlight w:val="none"/>
          <w:u w:val="single"/>
        </w:rPr>
        <w:t>为准，与承包人办理最终价款结算手续。</w:t>
      </w:r>
    </w:p>
    <w:p w14:paraId="34BA5475">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（2）若审计部门</w:t>
      </w:r>
      <w:r>
        <w:rPr>
          <w:rFonts w:hint="eastAsia" w:ascii="仿宋" w:hAnsi="仿宋" w:eastAsia="仿宋" w:cs="仿宋"/>
          <w:i/>
          <w:iCs/>
          <w:color w:val="auto"/>
          <w:szCs w:val="21"/>
          <w:highlight w:val="none"/>
          <w:u w:val="single"/>
        </w:rPr>
        <w:t>（发包人）</w:t>
      </w:r>
      <w:r>
        <w:rPr>
          <w:rFonts w:hint="eastAsia" w:ascii="仿宋" w:hAnsi="仿宋" w:eastAsia="仿宋" w:cs="仿宋"/>
          <w:color w:val="auto"/>
          <w:szCs w:val="21"/>
          <w:highlight w:val="none"/>
          <w:u w:val="single"/>
        </w:rPr>
        <w:t>委托中介机构对承包人提交的竣工结算报告进行审核（计）时，承包人必须根据发包人及中介机构的要求履行配合义务，因承包人不配合中介机构，导致中介机构无法及时完成造价审核（审计）的，责任由承包人承担，承包人不得以此要求发包人承担逾期付款违约责任。</w:t>
      </w:r>
    </w:p>
    <w:p w14:paraId="05517E9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（3）发包人向承包人提交审核报告（审计报告）后30日内，承包人未提出异议的或异议不符合合同约定和文件规定的，视为承包人认可该审核报告（审计报告），发包人按审核报告支付结算款。</w:t>
      </w:r>
    </w:p>
    <w:p w14:paraId="5E5EC2D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（4）在竣工结算价款最终</w:t>
      </w:r>
      <w:bookmarkStart w:id="1051" w:name="_Hlk59718295"/>
      <w:r>
        <w:rPr>
          <w:rFonts w:hint="eastAsia" w:ascii="仿宋" w:hAnsi="仿宋" w:eastAsia="仿宋" w:cs="仿宋"/>
          <w:color w:val="auto"/>
          <w:szCs w:val="21"/>
          <w:highlight w:val="none"/>
          <w:u w:val="single"/>
        </w:rPr>
        <w:t>由</w:t>
      </w:r>
      <w:bookmarkEnd w:id="1051"/>
      <w:r>
        <w:rPr>
          <w:rFonts w:hint="eastAsia" w:ascii="仿宋" w:hAnsi="仿宋" w:eastAsia="仿宋" w:cs="仿宋"/>
          <w:color w:val="auto"/>
          <w:szCs w:val="21"/>
          <w:highlight w:val="none"/>
          <w:u w:val="single"/>
        </w:rPr>
        <w:t>承包人书面确认或者由审价机构的审核报告最终确认或者诉至法院被法院最终判决确认后的十五日内，承包人应提供收款明细表和财务凭证，会同发包人对已经支付的工程价款、未付的工程结算价款进行对帐并确认，多退少补。承包人应协助发包人从有关单位退还各类工程建设各类押金，在工程结算造价审定后支付前，承包人应将退还押金所需的资料准备妥当并提供给发包人，因承包人未准备和提供因而导致发包人未能从有关单位退还墙改、水泥、档案等各项押金的，发包人有权扣除与押金总额相等金额的工程款，待退还押金后再将款项支付给承包人。</w:t>
      </w:r>
    </w:p>
    <w:p w14:paraId="066541E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竣工结算申请单应包括的内容：</w:t>
      </w:r>
      <w:r>
        <w:rPr>
          <w:rFonts w:hint="eastAsia" w:ascii="仿宋" w:hAnsi="仿宋" w:eastAsia="仿宋" w:cs="仿宋"/>
          <w:color w:val="auto"/>
          <w:szCs w:val="21"/>
          <w:highlight w:val="none"/>
          <w:u w:val="single"/>
        </w:rPr>
        <w:t xml:space="preserve">   按通用条款      </w:t>
      </w:r>
      <w:r>
        <w:rPr>
          <w:rFonts w:hint="eastAsia" w:ascii="仿宋" w:hAnsi="仿宋" w:eastAsia="仿宋" w:cs="仿宋"/>
          <w:color w:val="auto"/>
          <w:szCs w:val="21"/>
          <w:highlight w:val="none"/>
        </w:rPr>
        <w:t>。</w:t>
      </w:r>
    </w:p>
    <w:p w14:paraId="2752FCE5">
      <w:pPr>
        <w:adjustRightInd/>
        <w:spacing w:line="400" w:lineRule="exact"/>
        <w:ind w:firstLine="420" w:firstLineChars="200"/>
        <w:outlineLvl w:val="0"/>
        <w:rPr>
          <w:rFonts w:hint="eastAsia" w:ascii="仿宋" w:hAnsi="仿宋" w:eastAsia="仿宋" w:cs="仿宋"/>
          <w:color w:val="auto"/>
          <w:szCs w:val="21"/>
          <w:highlight w:val="none"/>
        </w:rPr>
      </w:pPr>
      <w:bookmarkStart w:id="1052" w:name="_Toc11186"/>
      <w:bookmarkStart w:id="1053" w:name="_Toc31055"/>
      <w:bookmarkStart w:id="1054" w:name="_Toc27610"/>
      <w:bookmarkStart w:id="1055" w:name="_Toc17429"/>
      <w:bookmarkStart w:id="1056" w:name="_Toc12011"/>
      <w:bookmarkStart w:id="1057" w:name="_Toc2587"/>
      <w:r>
        <w:rPr>
          <w:rFonts w:hint="eastAsia" w:ascii="仿宋" w:hAnsi="仿宋" w:eastAsia="仿宋" w:cs="仿宋"/>
          <w:color w:val="auto"/>
          <w:szCs w:val="21"/>
          <w:highlight w:val="none"/>
        </w:rPr>
        <w:t>14.2 竣工结算审核</w:t>
      </w:r>
      <w:bookmarkEnd w:id="1052"/>
      <w:bookmarkEnd w:id="1053"/>
      <w:bookmarkEnd w:id="1054"/>
      <w:bookmarkEnd w:id="1055"/>
      <w:bookmarkEnd w:id="1056"/>
      <w:bookmarkEnd w:id="1057"/>
    </w:p>
    <w:p w14:paraId="5F92A7D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发包人审批竣工付款申请单的期限：</w:t>
      </w:r>
      <w:r>
        <w:rPr>
          <w:rFonts w:hint="eastAsia" w:ascii="仿宋" w:hAnsi="仿宋" w:eastAsia="仿宋" w:cs="仿宋"/>
          <w:color w:val="auto"/>
          <w:szCs w:val="21"/>
          <w:highlight w:val="none"/>
          <w:u w:val="single"/>
        </w:rPr>
        <w:t xml:space="preserve">  收到竣工付款申请单30天内 </w:t>
      </w:r>
      <w:r>
        <w:rPr>
          <w:rFonts w:hint="eastAsia" w:ascii="仿宋" w:hAnsi="仿宋" w:eastAsia="仿宋" w:cs="仿宋"/>
          <w:color w:val="auto"/>
          <w:szCs w:val="21"/>
          <w:highlight w:val="none"/>
        </w:rPr>
        <w:t>。</w:t>
      </w:r>
    </w:p>
    <w:p w14:paraId="368002C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发包人完成竣工付款的期限：</w:t>
      </w:r>
      <w:r>
        <w:rPr>
          <w:rFonts w:hint="eastAsia" w:ascii="仿宋" w:hAnsi="仿宋" w:eastAsia="仿宋" w:cs="仿宋"/>
          <w:color w:val="auto"/>
          <w:szCs w:val="21"/>
          <w:highlight w:val="none"/>
          <w:u w:val="single"/>
        </w:rPr>
        <w:t xml:space="preserve">   收到竣工付款申请单30天内    </w:t>
      </w:r>
      <w:r>
        <w:rPr>
          <w:rFonts w:hint="eastAsia" w:ascii="仿宋" w:hAnsi="仿宋" w:eastAsia="仿宋" w:cs="仿宋"/>
          <w:color w:val="auto"/>
          <w:szCs w:val="21"/>
          <w:highlight w:val="none"/>
        </w:rPr>
        <w:t>。</w:t>
      </w:r>
    </w:p>
    <w:p w14:paraId="67BC3AC5">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关于竣工付款证书异议部分复核的方式和程序：</w:t>
      </w:r>
      <w:r>
        <w:rPr>
          <w:rFonts w:hint="eastAsia" w:ascii="仿宋" w:hAnsi="仿宋" w:eastAsia="仿宋" w:cs="仿宋"/>
          <w:color w:val="auto"/>
          <w:szCs w:val="21"/>
          <w:highlight w:val="none"/>
          <w:u w:val="single"/>
        </w:rPr>
        <w:t xml:space="preserve">  按通用条款执行 </w:t>
      </w:r>
      <w:r>
        <w:rPr>
          <w:rFonts w:hint="eastAsia" w:ascii="仿宋" w:hAnsi="仿宋" w:eastAsia="仿宋" w:cs="仿宋"/>
          <w:color w:val="auto"/>
          <w:szCs w:val="21"/>
          <w:highlight w:val="none"/>
        </w:rPr>
        <w:t>。</w:t>
      </w:r>
    </w:p>
    <w:p w14:paraId="23371F52">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14.2.1本工程为政府性投资项目，发包人根据国家造价管理的有关规定以及财政部门</w:t>
      </w:r>
      <w:r>
        <w:rPr>
          <w:rFonts w:hint="eastAsia" w:ascii="仿宋" w:hAnsi="仿宋" w:eastAsia="仿宋" w:cs="仿宋"/>
          <w:i/>
          <w:iCs/>
          <w:color w:val="auto"/>
          <w:szCs w:val="21"/>
          <w:highlight w:val="none"/>
          <w:u w:val="single"/>
        </w:rPr>
        <w:t>（发包人）</w:t>
      </w:r>
      <w:r>
        <w:rPr>
          <w:rFonts w:hint="eastAsia" w:ascii="仿宋" w:hAnsi="仿宋" w:eastAsia="仿宋" w:cs="仿宋"/>
          <w:color w:val="auto"/>
          <w:szCs w:val="21"/>
          <w:highlight w:val="none"/>
          <w:u w:val="single"/>
        </w:rPr>
        <w:t>审定的工程造价结算，与承包人办理最终价款结算手续。承包方应当在工程验收合格后的一个月内向发包方提交完整的工程竣工结算资料，经发包人催促后14天内仍未提供或没有明确答复，发包人有权根据已有资料进行审查，承包人同意，无论双方对工程量和工程造价结算是否存在异议，也无论这一异议最终是否提交诉讼或仲裁，最终工程款的结算价格以财政部门</w:t>
      </w:r>
      <w:r>
        <w:rPr>
          <w:rFonts w:hint="eastAsia" w:ascii="仿宋" w:hAnsi="仿宋" w:eastAsia="仿宋" w:cs="仿宋"/>
          <w:i/>
          <w:iCs/>
          <w:color w:val="auto"/>
          <w:szCs w:val="21"/>
          <w:highlight w:val="none"/>
          <w:u w:val="single"/>
        </w:rPr>
        <w:t>（发包人）</w:t>
      </w:r>
      <w:r>
        <w:rPr>
          <w:rFonts w:hint="eastAsia" w:ascii="仿宋" w:hAnsi="仿宋" w:eastAsia="仿宋" w:cs="仿宋"/>
          <w:color w:val="auto"/>
          <w:szCs w:val="21"/>
          <w:highlight w:val="none"/>
          <w:u w:val="single"/>
        </w:rPr>
        <w:t xml:space="preserve">审定的工程造价为唯一的确定依据，责任由承包人自负。 </w:t>
      </w:r>
    </w:p>
    <w:p w14:paraId="5DC63075">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14.2.2工程价款结算审计按浙建价协[2021]13号文件执行，超过5%以外的核减额追加费用由施工单位支付至财政专户，凭交纳凭证及财政出具审定通知书（结算备案表）与发包人结算尾款。</w:t>
      </w:r>
    </w:p>
    <w:p w14:paraId="7846DAF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14.2.3承包人必须保证施工过程所提出的签证内容是合法的、真实的，并不由于发包人和监理工程师的确认而免除承包人的责任。</w:t>
      </w:r>
    </w:p>
    <w:p w14:paraId="4159327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14.2.4  若财政或审计部门委托中介机构对承包人提交的竣工结算报告进行审核（计）时，承包人必须根据发包人及中介机构的要求履行配合义务，因承包人不配合中介机构或配合不到位，导致中介机构无法及时完成造价审核（审计）的，责任由承包人承担，承包人不得以此要求发包人承担逾期付款违约责任。承包人不配合的情形包括但不限于：拒绝核对工程量；拒绝接受中介机构的询证、询问和审核；拒绝对审计审价报告征求初稿发表意见；拒绝签收审计审价报告初稿等。</w:t>
      </w:r>
    </w:p>
    <w:p w14:paraId="7E0EDE7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14.2.5发包人向承包人提交审核报告（审计报告）初稿后30日内，承包人未书面提出异议或异议内容无合法依据的，视为承包人认可该报告数据，审核中介机构可以出具单方审核报告，发包人按审核报告结算工程款。</w:t>
      </w:r>
    </w:p>
    <w:p w14:paraId="68855BD4">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14.2.6工程竣工结算总造价应控制在政府有关部门已批复的概算内，否则不予支付。</w:t>
      </w:r>
    </w:p>
    <w:p w14:paraId="01456208">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14.2.7承包人提交竣工结算资料时必须提供预算软件导出的带有计价软件格式的电子结算文件。</w:t>
      </w:r>
    </w:p>
    <w:p w14:paraId="2B49EDE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14.4 最终结清</w:t>
      </w:r>
    </w:p>
    <w:p w14:paraId="6B384E1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14.4.1 最终结清申请单</w:t>
      </w:r>
    </w:p>
    <w:p w14:paraId="29CF2C4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承包人提交最终结清申请单的份数：</w:t>
      </w:r>
      <w:r>
        <w:rPr>
          <w:rFonts w:hint="eastAsia" w:ascii="仿宋" w:hAnsi="仿宋" w:eastAsia="仿宋" w:cs="仿宋"/>
          <w:color w:val="auto"/>
          <w:szCs w:val="21"/>
          <w:highlight w:val="none"/>
          <w:u w:val="single"/>
        </w:rPr>
        <w:t xml:space="preserve">  按发包人要求提供   </w:t>
      </w:r>
      <w:r>
        <w:rPr>
          <w:rFonts w:hint="eastAsia" w:ascii="仿宋" w:hAnsi="仿宋" w:eastAsia="仿宋" w:cs="仿宋"/>
          <w:color w:val="auto"/>
          <w:szCs w:val="21"/>
          <w:highlight w:val="none"/>
        </w:rPr>
        <w:t>。</w:t>
      </w:r>
    </w:p>
    <w:p w14:paraId="524639F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承包人提交最终结算申请单的期限：</w:t>
      </w:r>
      <w:r>
        <w:rPr>
          <w:rFonts w:hint="eastAsia" w:ascii="仿宋" w:hAnsi="仿宋" w:eastAsia="仿宋" w:cs="仿宋"/>
          <w:color w:val="auto"/>
          <w:szCs w:val="21"/>
          <w:highlight w:val="none"/>
          <w:u w:val="single"/>
        </w:rPr>
        <w:t xml:space="preserve">  按通用条款执行     </w:t>
      </w:r>
      <w:r>
        <w:rPr>
          <w:rFonts w:hint="eastAsia" w:ascii="仿宋" w:hAnsi="仿宋" w:eastAsia="仿宋" w:cs="仿宋"/>
          <w:color w:val="auto"/>
          <w:szCs w:val="21"/>
          <w:highlight w:val="none"/>
        </w:rPr>
        <w:t xml:space="preserve">。 </w:t>
      </w:r>
    </w:p>
    <w:p w14:paraId="2EDF06B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14.4.2 最终结清证书和支付</w:t>
      </w:r>
    </w:p>
    <w:p w14:paraId="74E94DE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（1）发包人完成最终结清申请单的审批并颁发最终结清证书的期限：</w:t>
      </w:r>
      <w:r>
        <w:rPr>
          <w:rFonts w:hint="eastAsia" w:ascii="仿宋" w:hAnsi="仿宋" w:eastAsia="仿宋" w:cs="仿宋"/>
          <w:color w:val="auto"/>
          <w:szCs w:val="21"/>
          <w:highlight w:val="none"/>
          <w:u w:val="single"/>
        </w:rPr>
        <w:t>按通用条款执行</w:t>
      </w:r>
      <w:r>
        <w:rPr>
          <w:rFonts w:hint="eastAsia" w:ascii="仿宋" w:hAnsi="仿宋" w:eastAsia="仿宋" w:cs="仿宋"/>
          <w:color w:val="auto"/>
          <w:szCs w:val="21"/>
          <w:highlight w:val="none"/>
        </w:rPr>
        <w:t>。</w:t>
      </w:r>
    </w:p>
    <w:p w14:paraId="68F1189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（2）发包人完成支付的期限：</w:t>
      </w:r>
      <w:r>
        <w:rPr>
          <w:rFonts w:hint="eastAsia" w:ascii="仿宋" w:hAnsi="仿宋" w:eastAsia="仿宋" w:cs="仿宋"/>
          <w:color w:val="auto"/>
          <w:szCs w:val="21"/>
          <w:highlight w:val="none"/>
          <w:u w:val="single"/>
        </w:rPr>
        <w:t xml:space="preserve">   按通用条款执行    </w:t>
      </w:r>
      <w:r>
        <w:rPr>
          <w:rFonts w:hint="eastAsia" w:ascii="仿宋" w:hAnsi="仿宋" w:eastAsia="仿宋" w:cs="仿宋"/>
          <w:color w:val="auto"/>
          <w:szCs w:val="21"/>
          <w:highlight w:val="none"/>
        </w:rPr>
        <w:t>。</w:t>
      </w:r>
    </w:p>
    <w:bookmarkEnd w:id="1029"/>
    <w:bookmarkEnd w:id="1030"/>
    <w:bookmarkEnd w:id="1031"/>
    <w:bookmarkEnd w:id="1032"/>
    <w:bookmarkEnd w:id="1033"/>
    <w:bookmarkEnd w:id="1034"/>
    <w:bookmarkEnd w:id="1035"/>
    <w:bookmarkEnd w:id="1041"/>
    <w:p w14:paraId="68FD4F03">
      <w:pPr>
        <w:keepNext/>
        <w:keepLines/>
        <w:adjustRightInd/>
        <w:spacing w:line="400" w:lineRule="exact"/>
        <w:outlineLvl w:val="3"/>
        <w:rPr>
          <w:rFonts w:hint="eastAsia" w:ascii="仿宋" w:hAnsi="仿宋" w:eastAsia="仿宋" w:cs="仿宋"/>
          <w:bCs/>
          <w:color w:val="auto"/>
          <w:szCs w:val="21"/>
          <w:highlight w:val="none"/>
        </w:rPr>
      </w:pPr>
      <w:bookmarkStart w:id="1058" w:name="_Toc351203647"/>
      <w:bookmarkStart w:id="1059" w:name="_Toc267251483"/>
      <w:bookmarkStart w:id="1060" w:name="_Toc267251484"/>
      <w:bookmarkStart w:id="1061" w:name="_Toc267251482"/>
      <w:bookmarkStart w:id="1062" w:name="_Toc267251485"/>
      <w:bookmarkStart w:id="1063" w:name="_Toc267251488"/>
      <w:bookmarkStart w:id="1064" w:name="_Toc267251489"/>
      <w:bookmarkStart w:id="1065" w:name="_Toc267251490"/>
      <w:bookmarkStart w:id="1066" w:name="_Toc267251486"/>
      <w:bookmarkStart w:id="1067" w:name="_Toc267251503"/>
      <w:bookmarkStart w:id="1068" w:name="_Toc267251496"/>
      <w:bookmarkStart w:id="1069" w:name="_Toc267251493"/>
      <w:bookmarkStart w:id="1070" w:name="_Toc267251497"/>
      <w:bookmarkStart w:id="1071" w:name="_Toc267251494"/>
      <w:bookmarkStart w:id="1072" w:name="_Toc267251499"/>
      <w:bookmarkStart w:id="1073" w:name="_Toc267251495"/>
      <w:bookmarkStart w:id="1074" w:name="_Toc267251501"/>
      <w:bookmarkStart w:id="1075" w:name="_Toc267251492"/>
      <w:bookmarkStart w:id="1076" w:name="_Toc267251491"/>
      <w:bookmarkStart w:id="1077" w:name="_Toc267251502"/>
      <w:bookmarkStart w:id="1078" w:name="_Toc267251498"/>
      <w:bookmarkStart w:id="1079" w:name="_Toc267251504"/>
      <w:bookmarkStart w:id="1080" w:name="_Toc267251506"/>
      <w:bookmarkStart w:id="1081" w:name="_Toc267251507"/>
      <w:bookmarkStart w:id="1082" w:name="_Toc267251508"/>
      <w:bookmarkStart w:id="1083" w:name="_Toc267251515"/>
      <w:bookmarkStart w:id="1084" w:name="_Toc267251509"/>
      <w:bookmarkStart w:id="1085" w:name="_Toc267251514"/>
      <w:bookmarkStart w:id="1086" w:name="_Toc267251513"/>
      <w:bookmarkStart w:id="1087" w:name="_Toc267251511"/>
      <w:bookmarkStart w:id="1088" w:name="_Toc267251510"/>
      <w:r>
        <w:rPr>
          <w:rFonts w:hint="eastAsia" w:ascii="仿宋" w:hAnsi="仿宋" w:eastAsia="仿宋" w:cs="仿宋"/>
          <w:bCs/>
          <w:color w:val="auto"/>
          <w:szCs w:val="21"/>
          <w:highlight w:val="none"/>
        </w:rPr>
        <w:t>15. 缺陷责任期与保修</w:t>
      </w:r>
      <w:bookmarkEnd w:id="1058"/>
    </w:p>
    <w:p w14:paraId="5467FAD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15.2缺陷责任期</w:t>
      </w:r>
      <w:bookmarkEnd w:id="1059"/>
    </w:p>
    <w:p w14:paraId="4AF002D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缺陷责任期的具体期限：</w:t>
      </w:r>
      <w:r>
        <w:rPr>
          <w:rFonts w:hint="eastAsia" w:ascii="仿宋" w:hAnsi="仿宋" w:eastAsia="仿宋" w:cs="仿宋"/>
          <w:color w:val="auto"/>
          <w:szCs w:val="21"/>
          <w:highlight w:val="none"/>
          <w:u w:val="single"/>
        </w:rPr>
        <w:t>详附件</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u w:val="single"/>
        </w:rPr>
        <w:t xml:space="preserve">工程质量保修书    </w:t>
      </w:r>
      <w:r>
        <w:rPr>
          <w:rFonts w:hint="eastAsia" w:ascii="仿宋" w:hAnsi="仿宋" w:eastAsia="仿宋" w:cs="仿宋"/>
          <w:color w:val="auto"/>
          <w:szCs w:val="21"/>
          <w:highlight w:val="none"/>
        </w:rPr>
        <w:t>。</w:t>
      </w:r>
    </w:p>
    <w:p w14:paraId="331438E5">
      <w:pPr>
        <w:adjustRightInd/>
        <w:spacing w:line="400" w:lineRule="exact"/>
        <w:ind w:firstLine="420" w:firstLineChars="200"/>
        <w:outlineLvl w:val="0"/>
        <w:rPr>
          <w:rFonts w:hint="eastAsia" w:ascii="仿宋" w:hAnsi="仿宋" w:eastAsia="仿宋" w:cs="仿宋"/>
          <w:color w:val="auto"/>
          <w:szCs w:val="21"/>
          <w:highlight w:val="none"/>
        </w:rPr>
      </w:pPr>
      <w:bookmarkStart w:id="1089" w:name="_Toc30279"/>
      <w:bookmarkStart w:id="1090" w:name="_Toc30453"/>
      <w:bookmarkStart w:id="1091" w:name="_Toc21231"/>
      <w:bookmarkStart w:id="1092" w:name="_Toc30991"/>
      <w:bookmarkStart w:id="1093" w:name="_Toc9467"/>
      <w:bookmarkStart w:id="1094" w:name="_Toc5231"/>
      <w:r>
        <w:rPr>
          <w:rFonts w:hint="eastAsia" w:ascii="仿宋" w:hAnsi="仿宋" w:eastAsia="仿宋" w:cs="仿宋"/>
          <w:color w:val="auto"/>
          <w:szCs w:val="21"/>
          <w:highlight w:val="none"/>
        </w:rPr>
        <w:t>15.3 质量保证金</w:t>
      </w:r>
      <w:bookmarkEnd w:id="1089"/>
      <w:bookmarkEnd w:id="1090"/>
      <w:bookmarkEnd w:id="1091"/>
      <w:bookmarkEnd w:id="1092"/>
      <w:bookmarkEnd w:id="1093"/>
      <w:bookmarkEnd w:id="1094"/>
    </w:p>
    <w:p w14:paraId="513BC77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关于是否扣留质量保证金的约定：</w:t>
      </w:r>
      <w:r>
        <w:rPr>
          <w:rFonts w:hint="eastAsia" w:ascii="仿宋" w:hAnsi="仿宋" w:eastAsia="仿宋" w:cs="仿宋"/>
          <w:color w:val="auto"/>
          <w:szCs w:val="21"/>
          <w:highlight w:val="none"/>
          <w:u w:val="single"/>
          <w:lang w:eastAsia="zh-CN"/>
        </w:rPr>
        <w:t>不扣留，</w:t>
      </w:r>
      <w:r>
        <w:rPr>
          <w:rFonts w:hint="eastAsia" w:ascii="仿宋" w:hAnsi="仿宋" w:eastAsia="仿宋" w:cs="仿宋"/>
          <w:color w:val="auto"/>
          <w:szCs w:val="21"/>
          <w:highlight w:val="none"/>
          <w:u w:val="single"/>
        </w:rPr>
        <w:t>以银行保函的方式递交</w:t>
      </w:r>
      <w:r>
        <w:rPr>
          <w:rFonts w:hint="eastAsia" w:ascii="仿宋" w:hAnsi="仿宋" w:eastAsia="仿宋" w:cs="仿宋"/>
          <w:color w:val="auto"/>
          <w:szCs w:val="21"/>
          <w:highlight w:val="none"/>
          <w:u w:val="single"/>
          <w:lang w:val="en-US" w:eastAsia="zh-Hans"/>
        </w:rPr>
        <w:t>质量保证金</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。在工程项目竣工前，承包人按专用合同条款第3.7条提供履约担保的，发包人不得同时预留工程质量保证金。</w:t>
      </w:r>
    </w:p>
    <w:p w14:paraId="48095DB4">
      <w:pPr>
        <w:adjustRightInd/>
        <w:spacing w:line="400" w:lineRule="exact"/>
        <w:ind w:firstLine="420" w:firstLineChars="200"/>
        <w:outlineLvl w:val="0"/>
        <w:rPr>
          <w:rFonts w:hint="eastAsia" w:ascii="仿宋" w:hAnsi="仿宋" w:eastAsia="仿宋" w:cs="仿宋"/>
          <w:color w:val="auto"/>
          <w:szCs w:val="21"/>
          <w:highlight w:val="none"/>
        </w:rPr>
      </w:pPr>
      <w:bookmarkStart w:id="1095" w:name="_Toc7204"/>
      <w:bookmarkStart w:id="1096" w:name="_Toc20470"/>
      <w:bookmarkStart w:id="1097" w:name="_Toc3756"/>
      <w:bookmarkStart w:id="1098" w:name="_Toc32079"/>
      <w:bookmarkStart w:id="1099" w:name="_Toc15137"/>
      <w:bookmarkStart w:id="1100" w:name="_Toc11788"/>
      <w:r>
        <w:rPr>
          <w:rFonts w:hint="eastAsia" w:ascii="仿宋" w:hAnsi="仿宋" w:eastAsia="仿宋" w:cs="仿宋"/>
          <w:color w:val="auto"/>
          <w:szCs w:val="21"/>
          <w:highlight w:val="none"/>
        </w:rPr>
        <w:t>15.3.1 承包人提供质量保证金的方式</w:t>
      </w:r>
      <w:bookmarkEnd w:id="1095"/>
      <w:bookmarkEnd w:id="1096"/>
      <w:bookmarkEnd w:id="1097"/>
      <w:bookmarkEnd w:id="1098"/>
      <w:bookmarkEnd w:id="1099"/>
      <w:bookmarkEnd w:id="1100"/>
    </w:p>
    <w:p w14:paraId="14E2650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质量保证金采用以下第</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rPr>
        <w:t>种方式：</w:t>
      </w:r>
    </w:p>
    <w:p w14:paraId="0352985F">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（1）质量保证金保函，保证金额为：</w:t>
      </w:r>
      <w:r>
        <w:rPr>
          <w:rFonts w:hint="eastAsia" w:ascii="仿宋" w:hAnsi="仿宋" w:eastAsia="仿宋" w:cs="仿宋"/>
          <w:color w:val="auto"/>
          <w:szCs w:val="21"/>
          <w:highlight w:val="none"/>
          <w:u w:val="single"/>
        </w:rPr>
        <w:t xml:space="preserve"> 结算价的1.5%作为工程质量保证金（以银行保函的方式递交） </w:t>
      </w:r>
      <w:r>
        <w:rPr>
          <w:rFonts w:hint="eastAsia" w:ascii="仿宋" w:hAnsi="仿宋" w:eastAsia="仿宋" w:cs="仿宋"/>
          <w:color w:val="auto"/>
          <w:szCs w:val="21"/>
          <w:highlight w:val="none"/>
        </w:rPr>
        <w:t xml:space="preserve">； </w:t>
      </w:r>
    </w:p>
    <w:p w14:paraId="198FD016">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%的工程款；</w:t>
      </w:r>
    </w:p>
    <w:p w14:paraId="690C006D">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（3）其他方式:</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6CF24654">
      <w:pPr>
        <w:adjustRightInd/>
        <w:spacing w:line="400" w:lineRule="exact"/>
        <w:ind w:firstLine="420" w:firstLineChars="200"/>
        <w:outlineLvl w:val="0"/>
        <w:rPr>
          <w:rFonts w:hint="eastAsia" w:ascii="仿宋" w:hAnsi="仿宋" w:eastAsia="仿宋" w:cs="仿宋"/>
          <w:color w:val="auto"/>
          <w:szCs w:val="21"/>
          <w:highlight w:val="none"/>
        </w:rPr>
      </w:pPr>
      <w:bookmarkStart w:id="1101" w:name="_Toc16932"/>
      <w:bookmarkStart w:id="1102" w:name="_Toc11622"/>
      <w:bookmarkStart w:id="1103" w:name="_Toc26314"/>
      <w:bookmarkStart w:id="1104" w:name="_Toc29761"/>
      <w:bookmarkStart w:id="1105" w:name="_Toc754"/>
      <w:bookmarkStart w:id="1106" w:name="_Toc7298"/>
      <w:r>
        <w:rPr>
          <w:rFonts w:hint="eastAsia" w:ascii="仿宋" w:hAnsi="仿宋" w:eastAsia="仿宋" w:cs="仿宋"/>
          <w:color w:val="auto"/>
          <w:szCs w:val="21"/>
          <w:highlight w:val="none"/>
        </w:rPr>
        <w:t>15.3.2 质量保证金的扣留</w:t>
      </w:r>
      <w:bookmarkEnd w:id="1101"/>
      <w:bookmarkEnd w:id="1102"/>
      <w:bookmarkEnd w:id="1103"/>
      <w:bookmarkEnd w:id="1104"/>
      <w:bookmarkEnd w:id="1105"/>
      <w:bookmarkEnd w:id="1106"/>
    </w:p>
    <w:p w14:paraId="31C4024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质量保证金的扣留采取以下第</w:t>
      </w:r>
      <w:r>
        <w:rPr>
          <w:rFonts w:hint="eastAsia" w:ascii="仿宋" w:hAnsi="仿宋" w:eastAsia="仿宋" w:cs="仿宋"/>
          <w:color w:val="auto"/>
          <w:szCs w:val="21"/>
          <w:highlight w:val="none"/>
          <w:u w:val="single"/>
          <w:lang w:val="en-US" w:eastAsia="zh-CN"/>
        </w:rPr>
        <w:t>/</w:t>
      </w:r>
      <w:r>
        <w:rPr>
          <w:rFonts w:hint="eastAsia" w:ascii="仿宋" w:hAnsi="仿宋" w:eastAsia="仿宋" w:cs="仿宋"/>
          <w:color w:val="auto"/>
          <w:szCs w:val="21"/>
          <w:highlight w:val="none"/>
        </w:rPr>
        <w:t>种方式：</w:t>
      </w:r>
    </w:p>
    <w:p w14:paraId="109BC4EA">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（1）在支付工程进度款时逐次扣留，在此情形下，质量保证金的计算基数不包括预付款的支付、扣回以及价格调整的金额；</w:t>
      </w:r>
    </w:p>
    <w:p w14:paraId="70E69D8D">
      <w:pPr>
        <w:spacing w:line="400" w:lineRule="exact"/>
        <w:ind w:firstLine="420" w:firstLineChars="200"/>
        <w:outlineLvl w:val="0"/>
        <w:rPr>
          <w:rFonts w:hint="eastAsia" w:ascii="仿宋" w:hAnsi="仿宋" w:eastAsia="仿宋" w:cs="仿宋"/>
          <w:color w:val="auto"/>
          <w:szCs w:val="21"/>
          <w:highlight w:val="none"/>
        </w:rPr>
      </w:pPr>
      <w:bookmarkStart w:id="1107" w:name="_Toc20963"/>
      <w:bookmarkStart w:id="1108" w:name="_Toc24375"/>
      <w:bookmarkStart w:id="1109" w:name="_Toc2746"/>
      <w:bookmarkStart w:id="1110" w:name="_Toc92"/>
      <w:bookmarkStart w:id="1111" w:name="_Toc10978"/>
      <w:bookmarkStart w:id="1112" w:name="_Toc27361"/>
      <w:r>
        <w:rPr>
          <w:rFonts w:hint="eastAsia" w:ascii="仿宋" w:hAnsi="仿宋" w:eastAsia="仿宋" w:cs="仿宋"/>
          <w:color w:val="auto"/>
          <w:szCs w:val="21"/>
          <w:highlight w:val="none"/>
        </w:rPr>
        <w:t>（2）工程竣工结算时一次性扣留质量保证金；</w:t>
      </w:r>
      <w:bookmarkEnd w:id="1107"/>
      <w:bookmarkEnd w:id="1108"/>
      <w:bookmarkEnd w:id="1109"/>
      <w:bookmarkEnd w:id="1110"/>
      <w:bookmarkEnd w:id="1111"/>
      <w:bookmarkEnd w:id="1112"/>
    </w:p>
    <w:p w14:paraId="4D8DF677">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（3）其他扣留方式:</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0491F22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关于质量保证金的补充约定：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6EB6F18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工程质量保修金的退还：</w:t>
      </w:r>
    </w:p>
    <w:p w14:paraId="2168B66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①工程质量保修金，在工程缺陷期满后无息返还。</w:t>
      </w:r>
    </w:p>
    <w:p w14:paraId="2FDB2B9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工程移交后，如发包人或者本工程有关的使用人发现存在因承包人原因引起的质量问题的，有权要求承包人及时维修，并赔偿给发包人带来的各种直接、间接经济损失。承包人不及时维修的，发包人有权扣除该保修金用于维修以及支付发包人的维修管理费用（按维修费用的15%计算），并在事后要求承包人补足缺额。</w:t>
      </w:r>
    </w:p>
    <w:p w14:paraId="34FC7AC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③工程移交后，如发包人或者本工程有关的使用人发现存在承包人范围内的重大质量问题的，有权扣除承包人的全部保修金，要求承包人及时维修，并赔偿给发包人带来的各种直接、间接经济损失。</w:t>
      </w:r>
    </w:p>
    <w:p w14:paraId="551C44A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在国家规定的保修期外,如本工程出现质量问题系由承包人偷工减料或使用不合格原材料、成品、半成品（不包括甲供材料）引起的，发包人有权无限期追溯，承包人应承担由此造成的一切损失。</w:t>
      </w:r>
    </w:p>
    <w:bookmarkEnd w:id="1060"/>
    <w:bookmarkEnd w:id="1061"/>
    <w:p w14:paraId="201A28D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15.4保修</w:t>
      </w:r>
    </w:p>
    <w:bookmarkEnd w:id="1062"/>
    <w:p w14:paraId="14FEA71A">
      <w:pPr>
        <w:adjustRightInd/>
        <w:spacing w:line="400" w:lineRule="exact"/>
        <w:ind w:firstLine="409"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15.4.1 保修责任</w:t>
      </w:r>
    </w:p>
    <w:p w14:paraId="26FCF6D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工程保修期为：</w:t>
      </w:r>
      <w:r>
        <w:rPr>
          <w:rFonts w:hint="eastAsia" w:ascii="仿宋" w:hAnsi="仿宋" w:eastAsia="仿宋" w:cs="仿宋"/>
          <w:color w:val="auto"/>
          <w:szCs w:val="21"/>
          <w:highlight w:val="none"/>
          <w:u w:val="single"/>
        </w:rPr>
        <w:t xml:space="preserve">    详见工程质量保修书（附件</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1E059900">
      <w:pPr>
        <w:adjustRightInd/>
        <w:spacing w:line="400" w:lineRule="exact"/>
        <w:ind w:firstLine="409"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15.4.3 修复通知</w:t>
      </w:r>
    </w:p>
    <w:p w14:paraId="787A945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承包人收到保修通知并到达工程现场的合理时间：</w:t>
      </w:r>
      <w:r>
        <w:rPr>
          <w:rFonts w:hint="eastAsia" w:ascii="仿宋" w:hAnsi="仿宋" w:eastAsia="仿宋" w:cs="仿宋"/>
          <w:color w:val="auto"/>
          <w:szCs w:val="21"/>
          <w:highlight w:val="none"/>
          <w:u w:val="single"/>
        </w:rPr>
        <w:t xml:space="preserve">  按质量保修书执行</w:t>
      </w:r>
      <w:r>
        <w:rPr>
          <w:rFonts w:hint="eastAsia" w:ascii="仿宋" w:hAnsi="仿宋" w:eastAsia="仿宋" w:cs="仿宋"/>
          <w:color w:val="auto"/>
          <w:szCs w:val="21"/>
          <w:highlight w:val="none"/>
        </w:rPr>
        <w:t>。</w:t>
      </w:r>
    </w:p>
    <w:bookmarkEnd w:id="1063"/>
    <w:bookmarkEnd w:id="1064"/>
    <w:bookmarkEnd w:id="1065"/>
    <w:bookmarkEnd w:id="1066"/>
    <w:p w14:paraId="77317AD2">
      <w:pPr>
        <w:keepNext/>
        <w:keepLines/>
        <w:adjustRightInd/>
        <w:spacing w:line="400" w:lineRule="exact"/>
        <w:outlineLvl w:val="3"/>
        <w:rPr>
          <w:rFonts w:hint="eastAsia" w:ascii="仿宋" w:hAnsi="仿宋" w:eastAsia="仿宋" w:cs="仿宋"/>
          <w:bCs/>
          <w:color w:val="auto"/>
          <w:szCs w:val="21"/>
          <w:highlight w:val="none"/>
        </w:rPr>
      </w:pPr>
      <w:bookmarkStart w:id="1113" w:name="_Toc351203648"/>
      <w:bookmarkStart w:id="1114" w:name="_Toc280868717"/>
      <w:bookmarkStart w:id="1115" w:name="_Toc280868718"/>
      <w:r>
        <w:rPr>
          <w:rFonts w:hint="eastAsia" w:ascii="仿宋" w:hAnsi="仿宋" w:eastAsia="仿宋" w:cs="仿宋"/>
          <w:bCs/>
          <w:color w:val="auto"/>
          <w:szCs w:val="21"/>
          <w:highlight w:val="none"/>
        </w:rPr>
        <w:t>16. 违约</w:t>
      </w:r>
      <w:bookmarkEnd w:id="1113"/>
    </w:p>
    <w:p w14:paraId="6A7B6B6F">
      <w:pPr>
        <w:adjustRightInd/>
        <w:spacing w:line="400" w:lineRule="exact"/>
        <w:ind w:firstLine="420" w:firstLineChars="200"/>
        <w:outlineLvl w:val="0"/>
        <w:rPr>
          <w:rFonts w:hint="eastAsia" w:ascii="仿宋" w:hAnsi="仿宋" w:eastAsia="仿宋" w:cs="仿宋"/>
          <w:color w:val="auto"/>
          <w:szCs w:val="21"/>
          <w:highlight w:val="none"/>
        </w:rPr>
      </w:pPr>
      <w:bookmarkStart w:id="1116" w:name="_Toc20226"/>
      <w:bookmarkStart w:id="1117" w:name="_Toc5424"/>
      <w:bookmarkStart w:id="1118" w:name="_Toc29612"/>
      <w:bookmarkStart w:id="1119" w:name="_Toc4901"/>
      <w:bookmarkStart w:id="1120" w:name="_Toc24774"/>
      <w:bookmarkStart w:id="1121" w:name="_Toc18269"/>
      <w:r>
        <w:rPr>
          <w:rFonts w:hint="eastAsia" w:ascii="仿宋" w:hAnsi="仿宋" w:eastAsia="仿宋" w:cs="仿宋"/>
          <w:color w:val="auto"/>
          <w:szCs w:val="21"/>
          <w:highlight w:val="none"/>
        </w:rPr>
        <w:t>16.1 发包人违约</w:t>
      </w:r>
      <w:bookmarkEnd w:id="1116"/>
      <w:bookmarkEnd w:id="1117"/>
      <w:bookmarkEnd w:id="1118"/>
      <w:bookmarkEnd w:id="1119"/>
      <w:bookmarkEnd w:id="1120"/>
      <w:bookmarkEnd w:id="1121"/>
    </w:p>
    <w:p w14:paraId="16B653E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16.1.1发包人违约的情形</w:t>
      </w:r>
    </w:p>
    <w:p w14:paraId="7C27F1CA">
      <w:pPr>
        <w:adjustRightInd/>
        <w:spacing w:line="400" w:lineRule="exact"/>
        <w:ind w:left="1050" w:leftChars="200" w:hanging="630" w:hanging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发包人违约的其他情形：</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63A359A6">
      <w:pPr>
        <w:adjustRightInd/>
        <w:spacing w:line="400" w:lineRule="exact"/>
        <w:ind w:left="1050" w:hanging="1050" w:hangingChars="5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16.1.2 发包人违约的责任</w:t>
      </w:r>
    </w:p>
    <w:p w14:paraId="7FAE4F3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发包人违约责任的承担方式和计算方法：</w:t>
      </w:r>
    </w:p>
    <w:p w14:paraId="7BAA57A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（1）因发包人原因未能在计划开工日期前7天内下达开工通知的违约责任：</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070A424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（2）因发包人原因未能按合同约定支付合同价款的违约责任：</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53ACDC1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（3）发包人违反第10.1款〔变更的范围〕第（2）项约定，自行实施被取消的工作或转由他人实施的违约责任：</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4413F95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76B5829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（5）因发包人违反合同约定造成暂停施工的违约责任：</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5A99A20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（6）发包人无正当理由没有在约定期限内发出复工指示，导致承包人无法复工的违约责任：</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01190F5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（7）其他：</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0532401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16.1.3 因发包人违约解除合同</w:t>
      </w:r>
    </w:p>
    <w:p w14:paraId="478D6FE0">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承包人按16.1.1项〔发包人违约的情形〕约定暂停施工满</w:t>
      </w:r>
      <w:r>
        <w:rPr>
          <w:rFonts w:hint="eastAsia" w:ascii="仿宋" w:hAnsi="仿宋" w:eastAsia="仿宋" w:cs="仿宋"/>
          <w:color w:val="auto"/>
          <w:szCs w:val="21"/>
          <w:highlight w:val="none"/>
          <w:u w:val="single"/>
        </w:rPr>
        <w:t xml:space="preserve">  28  </w:t>
      </w:r>
      <w:r>
        <w:rPr>
          <w:rFonts w:hint="eastAsia" w:ascii="仿宋" w:hAnsi="仿宋" w:eastAsia="仿宋" w:cs="仿宋"/>
          <w:color w:val="auto"/>
          <w:szCs w:val="21"/>
          <w:highlight w:val="none"/>
        </w:rPr>
        <w:t>天后发包人仍不纠正其违约行为并致使合同目的不能实现的，承包人有权解除合同。</w:t>
      </w:r>
    </w:p>
    <w:p w14:paraId="723CEC73">
      <w:pPr>
        <w:adjustRightInd/>
        <w:spacing w:line="400" w:lineRule="exact"/>
        <w:ind w:firstLine="420" w:firstLineChars="200"/>
        <w:outlineLvl w:val="0"/>
        <w:rPr>
          <w:rFonts w:hint="eastAsia" w:ascii="仿宋" w:hAnsi="仿宋" w:eastAsia="仿宋" w:cs="仿宋"/>
          <w:color w:val="auto"/>
          <w:szCs w:val="21"/>
          <w:highlight w:val="none"/>
        </w:rPr>
      </w:pPr>
      <w:bookmarkStart w:id="1122" w:name="_Toc3527"/>
      <w:bookmarkStart w:id="1123" w:name="_Toc2763"/>
      <w:bookmarkStart w:id="1124" w:name="_Toc21495"/>
      <w:bookmarkStart w:id="1125" w:name="_Toc17026"/>
      <w:bookmarkStart w:id="1126" w:name="_Toc2679"/>
      <w:bookmarkStart w:id="1127" w:name="_Toc11360"/>
      <w:r>
        <w:rPr>
          <w:rFonts w:hint="eastAsia" w:ascii="仿宋" w:hAnsi="仿宋" w:eastAsia="仿宋" w:cs="仿宋"/>
          <w:color w:val="auto"/>
          <w:szCs w:val="21"/>
          <w:highlight w:val="none"/>
        </w:rPr>
        <w:t>16.2 承包人违约</w:t>
      </w:r>
      <w:bookmarkEnd w:id="1122"/>
      <w:bookmarkEnd w:id="1123"/>
      <w:bookmarkEnd w:id="1124"/>
      <w:bookmarkEnd w:id="1125"/>
      <w:bookmarkEnd w:id="1126"/>
      <w:bookmarkEnd w:id="1127"/>
    </w:p>
    <w:p w14:paraId="771BC56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16.2.1 承包人违约的情形</w:t>
      </w:r>
    </w:p>
    <w:p w14:paraId="336608A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承包人违约的其他情形：</w:t>
      </w:r>
      <w:r>
        <w:rPr>
          <w:rFonts w:hint="eastAsia" w:ascii="仿宋" w:hAnsi="仿宋" w:eastAsia="仿宋" w:cs="仿宋"/>
          <w:color w:val="auto"/>
          <w:szCs w:val="21"/>
          <w:highlight w:val="none"/>
          <w:u w:val="single"/>
        </w:rPr>
        <w:t xml:space="preserve"> 除本合同通用条款外详见本合同专用条款16.2.2   </w:t>
      </w:r>
      <w:r>
        <w:rPr>
          <w:rFonts w:hint="eastAsia" w:ascii="仿宋" w:hAnsi="仿宋" w:eastAsia="仿宋" w:cs="仿宋"/>
          <w:color w:val="auto"/>
          <w:szCs w:val="21"/>
          <w:highlight w:val="none"/>
        </w:rPr>
        <w:t>。</w:t>
      </w:r>
    </w:p>
    <w:p w14:paraId="44F0CD4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16.2.2承包人违约的责任</w:t>
      </w:r>
    </w:p>
    <w:p w14:paraId="706E87C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承包人违约责任的承担方式和计算方法： 工期</w:t>
      </w:r>
      <w:r>
        <w:rPr>
          <w:rFonts w:hint="eastAsia" w:ascii="仿宋" w:hAnsi="仿宋" w:eastAsia="仿宋" w:cs="仿宋"/>
          <w:color w:val="auto"/>
          <w:szCs w:val="21"/>
          <w:highlight w:val="none"/>
          <w:u w:val="single"/>
        </w:rPr>
        <w:t>延期在一个月内的，每拖延一天</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处以违约金为签约合同价的万分之二</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延期超过一个月的，每拖延一天处以违约金为签约合同价的万分之四。如逾期竣工违约金达到签约合同价格的百分之二，则发包人有权要求承包人无条件退场，并承担由此产生的各方一切损失</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同时，发包人也有权安排其他施工队伍进场施工，费用经审核后从承包人合同价款中扣除</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由此给发包人造成损失的，损失费用同时扣除。如因承包人自身原因造成工期严重滞后，又无明显改进措施的，发包人有权要求承包人无条件退场，并承担由此产生的一切损失，同时，发包人也有权安排其他施工队伍进场施工，费用经审核后从承包人合同价款中扣除。承包人拒不退场，也不配合第三方施工队伍进场的，必须承担一切赔偿责任；承包人必须严格按照施工图及工程施工验收规范等精心组织施工，严格把好每道工序的质量关，确保工程质量达到合格等级。经验收，如有不合格工程，承包人应无条件返工、整改、采取相应的补救、修复措施，直至验收合格，由此追加的费用和延误的工期均由承包人负责，同时扣除其全额质量履约担保，并处以工程结算总造价的5%的违约金。</w:t>
      </w:r>
    </w:p>
    <w:p w14:paraId="7D07FB7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u w:val="single"/>
        </w:rPr>
        <w:t>承包人违反合同约定进行转包或违法分包的，一经发现，发包人有权终止合同，承包人应支付签约合同价【10】%的违约金，由此所产生的一切后果及经济损失均由承包人承担。</w:t>
      </w:r>
    </w:p>
    <w:p w14:paraId="5422C21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u w:val="single"/>
        </w:rPr>
        <w:t>因承包人原因造成工期延误，逾期竣工违约金的上限：  不超过工程签约合同的</w:t>
      </w:r>
      <w:r>
        <w:rPr>
          <w:rFonts w:hint="default" w:ascii="仿宋" w:hAnsi="仿宋" w:eastAsia="仿宋" w:cs="仿宋"/>
          <w:color w:val="auto"/>
          <w:szCs w:val="21"/>
          <w:highlight w:val="none"/>
          <w:u w:val="single"/>
        </w:rPr>
        <w:t>30</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5CC8F37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16.2.3 因承包人违约解除合同</w:t>
      </w:r>
    </w:p>
    <w:p w14:paraId="45B40CB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关于承包人违约解除合同的特别约定：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3BA2E33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发包人继续使用承包人在施工现场的材料、设备、临时工程、承包人文件和由承包人或以其名义编制的其他文件的费用承担方式：</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1A73F9A2">
      <w:pPr>
        <w:keepNext/>
        <w:keepLines/>
        <w:adjustRightInd/>
        <w:spacing w:line="400" w:lineRule="exact"/>
        <w:outlineLvl w:val="3"/>
        <w:rPr>
          <w:rFonts w:hint="eastAsia" w:ascii="仿宋" w:hAnsi="仿宋" w:eastAsia="仿宋" w:cs="仿宋"/>
          <w:bCs/>
          <w:color w:val="auto"/>
          <w:szCs w:val="21"/>
          <w:highlight w:val="none"/>
        </w:rPr>
      </w:pPr>
      <w:bookmarkStart w:id="1128" w:name="_Toc351203649"/>
      <w:r>
        <w:rPr>
          <w:rFonts w:hint="eastAsia" w:ascii="仿宋" w:hAnsi="仿宋" w:eastAsia="仿宋" w:cs="仿宋"/>
          <w:bCs/>
          <w:color w:val="auto"/>
          <w:szCs w:val="21"/>
          <w:highlight w:val="none"/>
        </w:rPr>
        <w:t>17. 不可抗力</w:t>
      </w:r>
      <w:bookmarkEnd w:id="1114"/>
      <w:bookmarkEnd w:id="1128"/>
    </w:p>
    <w:p w14:paraId="08925B4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17.1 不可抗力的确认</w:t>
      </w:r>
    </w:p>
    <w:p w14:paraId="7251D53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除通用合同条款约定的不可抗力事件之外，视为不可抗力的其他情形： </w:t>
      </w:r>
      <w:r>
        <w:rPr>
          <w:rFonts w:hint="eastAsia" w:ascii="仿宋" w:hAnsi="仿宋" w:eastAsia="仿宋" w:cs="仿宋"/>
          <w:color w:val="auto"/>
          <w:szCs w:val="21"/>
          <w:highlight w:val="none"/>
          <w:u w:val="single"/>
        </w:rPr>
        <w:t>（1）超过三天的洪涝引起本工程施工现场及周边主要道路中断；</w:t>
      </w:r>
    </w:p>
    <w:p w14:paraId="5BBE707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（2）连续停水、停电超过48小时的；</w:t>
      </w:r>
    </w:p>
    <w:p w14:paraId="3FAB5DC3">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（3）政府下令停止或限制施工的台风、热带风暴，或政府下令停止施工连续超过三天的台风、热带风暴；</w:t>
      </w:r>
    </w:p>
    <w:p w14:paraId="0CDF78B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（4）由于高考、中考、政府部门有重大活动等原因，政府要求停止或限制施工的。</w:t>
      </w:r>
    </w:p>
    <w:p w14:paraId="4B116D6E">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指定分包人在不可抗力事件发生后14天内，就延误的工期以书面形式向总包人、工程师提出报告。</w:t>
      </w:r>
    </w:p>
    <w:p w14:paraId="6444B158">
      <w:pPr>
        <w:adjustRightInd/>
        <w:spacing w:line="400" w:lineRule="exact"/>
        <w:ind w:firstLine="420" w:firstLineChars="200"/>
        <w:outlineLvl w:val="0"/>
        <w:rPr>
          <w:rFonts w:hint="eastAsia" w:ascii="仿宋" w:hAnsi="仿宋" w:eastAsia="仿宋" w:cs="仿宋"/>
          <w:color w:val="auto"/>
          <w:szCs w:val="21"/>
          <w:highlight w:val="none"/>
        </w:rPr>
      </w:pPr>
      <w:bookmarkStart w:id="1129" w:name="_Toc6041"/>
      <w:bookmarkStart w:id="1130" w:name="_Toc12655"/>
      <w:bookmarkStart w:id="1131" w:name="_Toc13471"/>
      <w:bookmarkStart w:id="1132" w:name="_Toc7191"/>
      <w:bookmarkStart w:id="1133" w:name="_Toc18254"/>
      <w:bookmarkStart w:id="1134" w:name="_Toc17985"/>
      <w:r>
        <w:rPr>
          <w:rFonts w:hint="eastAsia" w:ascii="仿宋" w:hAnsi="仿宋" w:eastAsia="仿宋" w:cs="仿宋"/>
          <w:color w:val="auto"/>
          <w:szCs w:val="21"/>
          <w:highlight w:val="none"/>
        </w:rPr>
        <w:t>17.4 因不可抗力解除合同</w:t>
      </w:r>
      <w:bookmarkEnd w:id="1129"/>
      <w:bookmarkEnd w:id="1130"/>
      <w:bookmarkEnd w:id="1131"/>
      <w:bookmarkEnd w:id="1132"/>
      <w:bookmarkEnd w:id="1133"/>
      <w:bookmarkEnd w:id="1134"/>
    </w:p>
    <w:p w14:paraId="746B8A4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合同解除后，发包人应在商定或确定发包人应支付款项后天内完成款项的支付。</w:t>
      </w:r>
    </w:p>
    <w:p w14:paraId="2D9D1DDC">
      <w:pPr>
        <w:keepNext/>
        <w:keepLines/>
        <w:adjustRightInd/>
        <w:spacing w:line="400" w:lineRule="exact"/>
        <w:outlineLvl w:val="3"/>
        <w:rPr>
          <w:rFonts w:hint="eastAsia" w:ascii="仿宋" w:hAnsi="仿宋" w:eastAsia="仿宋" w:cs="仿宋"/>
          <w:bCs/>
          <w:color w:val="auto"/>
          <w:szCs w:val="21"/>
          <w:highlight w:val="none"/>
        </w:rPr>
      </w:pPr>
      <w:bookmarkStart w:id="1135" w:name="_Toc351203650"/>
      <w:r>
        <w:rPr>
          <w:rFonts w:hint="eastAsia" w:ascii="仿宋" w:hAnsi="仿宋" w:eastAsia="仿宋" w:cs="仿宋"/>
          <w:bCs/>
          <w:color w:val="auto"/>
          <w:szCs w:val="21"/>
          <w:highlight w:val="none"/>
        </w:rPr>
        <w:t>18. 保险</w:t>
      </w:r>
      <w:bookmarkEnd w:id="1135"/>
    </w:p>
    <w:bookmarkEnd w:id="1115"/>
    <w:p w14:paraId="39F3E9F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18.1 工程保险</w:t>
      </w:r>
    </w:p>
    <w:p w14:paraId="108754B4">
      <w:pPr>
        <w:adjustRightInd/>
        <w:spacing w:line="400" w:lineRule="exact"/>
        <w:ind w:firstLine="420" w:firstLineChars="200"/>
        <w:rPr>
          <w:rFonts w:hint="default" w:ascii="仿宋" w:hAnsi="仿宋" w:eastAsia="仿宋" w:cs="仿宋"/>
          <w:color w:val="auto"/>
          <w:szCs w:val="21"/>
          <w:highlight w:val="none"/>
          <w:lang w:eastAsia="zh-Hans"/>
        </w:rPr>
      </w:pPr>
      <w:r>
        <w:rPr>
          <w:rFonts w:hint="eastAsia" w:ascii="仿宋" w:hAnsi="仿宋" w:eastAsia="仿宋" w:cs="仿宋"/>
          <w:color w:val="auto"/>
          <w:szCs w:val="21"/>
          <w:highlight w:val="none"/>
        </w:rPr>
        <w:t>关于工程保险的特别约定：</w:t>
      </w:r>
      <w:r>
        <w:rPr>
          <w:rFonts w:hint="eastAsia" w:ascii="仿宋" w:hAnsi="仿宋" w:eastAsia="仿宋" w:cs="仿宋"/>
          <w:color w:val="auto"/>
          <w:szCs w:val="21"/>
          <w:highlight w:val="none"/>
          <w:u w:val="single"/>
        </w:rPr>
        <w:t xml:space="preserve"> 承包人投保内容：</w:t>
      </w:r>
      <w:r>
        <w:rPr>
          <w:rFonts w:hint="eastAsia" w:ascii="仿宋" w:hAnsi="仿宋" w:eastAsia="仿宋" w:cs="仿宋"/>
          <w:color w:val="auto"/>
          <w:szCs w:val="21"/>
          <w:highlight w:val="none"/>
          <w:u w:val="single"/>
        </w:rPr>
        <w:fldChar w:fldCharType="begin"/>
      </w:r>
      <w:r>
        <w:rPr>
          <w:rFonts w:hint="eastAsia" w:ascii="仿宋" w:hAnsi="仿宋" w:eastAsia="仿宋" w:cs="仿宋"/>
          <w:color w:val="auto"/>
          <w:szCs w:val="21"/>
          <w:highlight w:val="none"/>
          <w:u w:val="single"/>
        </w:rPr>
        <w:instrText xml:space="preserve"> = 1 \* GB3 </w:instrText>
      </w:r>
      <w:r>
        <w:rPr>
          <w:rFonts w:hint="eastAsia" w:ascii="仿宋" w:hAnsi="仿宋" w:eastAsia="仿宋" w:cs="仿宋"/>
          <w:color w:val="auto"/>
          <w:szCs w:val="21"/>
          <w:highlight w:val="none"/>
          <w:u w:val="single"/>
        </w:rPr>
        <w:fldChar w:fldCharType="separate"/>
      </w:r>
      <w:r>
        <w:rPr>
          <w:rFonts w:hint="eastAsia" w:ascii="仿宋" w:hAnsi="仿宋" w:eastAsia="仿宋" w:cs="仿宋"/>
          <w:color w:val="auto"/>
          <w:szCs w:val="21"/>
          <w:highlight w:val="none"/>
          <w:u w:val="single"/>
        </w:rPr>
        <w:t>①</w:t>
      </w:r>
      <w:r>
        <w:rPr>
          <w:rFonts w:hint="eastAsia" w:ascii="仿宋" w:hAnsi="仿宋" w:eastAsia="仿宋" w:cs="仿宋"/>
          <w:color w:val="auto"/>
          <w:szCs w:val="21"/>
          <w:highlight w:val="none"/>
          <w:u w:val="single"/>
        </w:rPr>
        <w:fldChar w:fldCharType="end"/>
      </w:r>
      <w:r>
        <w:rPr>
          <w:rFonts w:hint="eastAsia" w:ascii="仿宋" w:hAnsi="仿宋" w:eastAsia="仿宋" w:cs="仿宋"/>
          <w:color w:val="auto"/>
          <w:szCs w:val="21"/>
          <w:highlight w:val="none"/>
          <w:u w:val="single"/>
        </w:rPr>
        <w:t>工程保险（含建筑工程一切险、安装工程一切险）；</w:t>
      </w:r>
      <w:r>
        <w:rPr>
          <w:rFonts w:hint="eastAsia" w:ascii="仿宋" w:hAnsi="仿宋" w:eastAsia="仿宋" w:cs="仿宋"/>
          <w:color w:val="auto"/>
          <w:szCs w:val="21"/>
          <w:highlight w:val="none"/>
          <w:u w:val="single"/>
        </w:rPr>
        <w:fldChar w:fldCharType="begin"/>
      </w:r>
      <w:r>
        <w:rPr>
          <w:rFonts w:hint="eastAsia" w:ascii="仿宋" w:hAnsi="仿宋" w:eastAsia="仿宋" w:cs="仿宋"/>
          <w:color w:val="auto"/>
          <w:szCs w:val="21"/>
          <w:highlight w:val="none"/>
          <w:u w:val="single"/>
        </w:rPr>
        <w:instrText xml:space="preserve"> = 2 \* GB3 </w:instrText>
      </w:r>
      <w:r>
        <w:rPr>
          <w:rFonts w:hint="eastAsia" w:ascii="仿宋" w:hAnsi="仿宋" w:eastAsia="仿宋" w:cs="仿宋"/>
          <w:color w:val="auto"/>
          <w:szCs w:val="21"/>
          <w:highlight w:val="none"/>
          <w:u w:val="single"/>
        </w:rPr>
        <w:fldChar w:fldCharType="separate"/>
      </w:r>
      <w:r>
        <w:rPr>
          <w:rFonts w:hint="eastAsia" w:ascii="仿宋" w:hAnsi="仿宋" w:eastAsia="仿宋" w:cs="仿宋"/>
          <w:color w:val="auto"/>
          <w:szCs w:val="21"/>
          <w:highlight w:val="none"/>
          <w:u w:val="single"/>
        </w:rPr>
        <w:t>②</w:t>
      </w:r>
      <w:r>
        <w:rPr>
          <w:rFonts w:hint="eastAsia" w:ascii="仿宋" w:hAnsi="仿宋" w:eastAsia="仿宋" w:cs="仿宋"/>
          <w:color w:val="auto"/>
          <w:szCs w:val="21"/>
          <w:highlight w:val="none"/>
          <w:u w:val="single"/>
        </w:rPr>
        <w:fldChar w:fldCharType="end"/>
      </w:r>
      <w:r>
        <w:rPr>
          <w:rFonts w:hint="eastAsia" w:ascii="仿宋" w:hAnsi="仿宋" w:eastAsia="仿宋" w:cs="仿宋"/>
          <w:color w:val="auto"/>
          <w:szCs w:val="21"/>
          <w:highlight w:val="none"/>
          <w:u w:val="single"/>
        </w:rPr>
        <w:t>承包人应为其履行合同所雇佣的全部人员，缴纳工伤保险费，并要求其分包人也进行此项保险；</w:t>
      </w:r>
      <w:r>
        <w:rPr>
          <w:rFonts w:hint="eastAsia" w:ascii="仿宋" w:hAnsi="仿宋" w:eastAsia="仿宋" w:cs="仿宋"/>
          <w:color w:val="auto"/>
          <w:szCs w:val="21"/>
          <w:highlight w:val="none"/>
          <w:u w:val="single"/>
        </w:rPr>
        <w:fldChar w:fldCharType="begin"/>
      </w:r>
      <w:r>
        <w:rPr>
          <w:rFonts w:hint="eastAsia" w:ascii="仿宋" w:hAnsi="仿宋" w:eastAsia="仿宋" w:cs="仿宋"/>
          <w:color w:val="auto"/>
          <w:szCs w:val="21"/>
          <w:highlight w:val="none"/>
          <w:u w:val="single"/>
        </w:rPr>
        <w:instrText xml:space="preserve"> = 3 \* GB3 </w:instrText>
      </w:r>
      <w:r>
        <w:rPr>
          <w:rFonts w:hint="eastAsia" w:ascii="仿宋" w:hAnsi="仿宋" w:eastAsia="仿宋" w:cs="仿宋"/>
          <w:color w:val="auto"/>
          <w:szCs w:val="21"/>
          <w:highlight w:val="none"/>
          <w:u w:val="single"/>
        </w:rPr>
        <w:fldChar w:fldCharType="separate"/>
      </w:r>
      <w:r>
        <w:rPr>
          <w:rFonts w:hint="eastAsia" w:ascii="仿宋" w:hAnsi="仿宋" w:eastAsia="仿宋" w:cs="仿宋"/>
          <w:color w:val="auto"/>
          <w:szCs w:val="21"/>
          <w:highlight w:val="none"/>
          <w:u w:val="single"/>
        </w:rPr>
        <w:t>③</w:t>
      </w:r>
      <w:r>
        <w:rPr>
          <w:rFonts w:hint="eastAsia" w:ascii="仿宋" w:hAnsi="仿宋" w:eastAsia="仿宋" w:cs="仿宋"/>
          <w:color w:val="auto"/>
          <w:szCs w:val="21"/>
          <w:highlight w:val="none"/>
          <w:u w:val="single"/>
        </w:rPr>
        <w:fldChar w:fldCharType="end"/>
      </w:r>
      <w:r>
        <w:rPr>
          <w:rFonts w:hint="eastAsia" w:ascii="仿宋" w:hAnsi="仿宋" w:eastAsia="仿宋" w:cs="仿宋"/>
          <w:color w:val="auto"/>
          <w:szCs w:val="21"/>
          <w:highlight w:val="none"/>
          <w:u w:val="single"/>
        </w:rPr>
        <w:t>承包人应在整个施工期间为其现场机构雇用的全部人员，投保人身意外伤害险，缴纳保险费，并要求其分包人也进行此项保险；</w:t>
      </w:r>
      <w:r>
        <w:rPr>
          <w:rFonts w:hint="eastAsia" w:ascii="仿宋" w:hAnsi="仿宋" w:eastAsia="仿宋" w:cs="仿宋"/>
          <w:color w:val="auto"/>
          <w:szCs w:val="21"/>
          <w:highlight w:val="none"/>
          <w:u w:val="single"/>
        </w:rPr>
        <w:fldChar w:fldCharType="begin"/>
      </w:r>
      <w:r>
        <w:rPr>
          <w:rFonts w:hint="eastAsia" w:ascii="仿宋" w:hAnsi="仿宋" w:eastAsia="仿宋" w:cs="仿宋"/>
          <w:color w:val="auto"/>
          <w:szCs w:val="21"/>
          <w:highlight w:val="none"/>
          <w:u w:val="single"/>
        </w:rPr>
        <w:instrText xml:space="preserve"> = 4 \* GB3 </w:instrText>
      </w:r>
      <w:r>
        <w:rPr>
          <w:rFonts w:hint="eastAsia" w:ascii="仿宋" w:hAnsi="仿宋" w:eastAsia="仿宋" w:cs="仿宋"/>
          <w:color w:val="auto"/>
          <w:szCs w:val="21"/>
          <w:highlight w:val="none"/>
          <w:u w:val="single"/>
        </w:rPr>
        <w:fldChar w:fldCharType="separate"/>
      </w:r>
      <w:r>
        <w:rPr>
          <w:rFonts w:hint="eastAsia" w:ascii="仿宋" w:hAnsi="仿宋" w:eastAsia="仿宋" w:cs="仿宋"/>
          <w:color w:val="auto"/>
          <w:szCs w:val="21"/>
          <w:highlight w:val="none"/>
          <w:u w:val="single"/>
        </w:rPr>
        <w:t>④</w:t>
      </w:r>
      <w:r>
        <w:rPr>
          <w:rFonts w:hint="eastAsia" w:ascii="仿宋" w:hAnsi="仿宋" w:eastAsia="仿宋" w:cs="仿宋"/>
          <w:color w:val="auto"/>
          <w:szCs w:val="21"/>
          <w:highlight w:val="none"/>
          <w:u w:val="single"/>
        </w:rPr>
        <w:fldChar w:fldCharType="end"/>
      </w:r>
      <w:r>
        <w:rPr>
          <w:rFonts w:hint="eastAsia" w:ascii="仿宋" w:hAnsi="仿宋" w:eastAsia="仿宋" w:cs="仿宋"/>
          <w:color w:val="auto"/>
          <w:szCs w:val="21"/>
          <w:highlight w:val="none"/>
          <w:u w:val="single"/>
        </w:rPr>
        <w:t xml:space="preserve">对因工程意外事故造成的、依法应由被保险人负责的工地上及毗邻地区的第三者人身伤亡、疾病或财产损失投保第三者责任险。承包人办理投保的相关费用已包含在合同总价内 </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Hans"/>
        </w:rPr>
        <w:t>发生纠纷</w:t>
      </w:r>
      <w:r>
        <w:rPr>
          <w:rFonts w:hint="default"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由承包人自行处理并承担全部法律责任</w:t>
      </w:r>
      <w:r>
        <w:rPr>
          <w:rFonts w:hint="default" w:ascii="仿宋" w:hAnsi="仿宋" w:eastAsia="仿宋" w:cs="仿宋"/>
          <w:color w:val="auto"/>
          <w:szCs w:val="21"/>
          <w:highlight w:val="none"/>
          <w:lang w:eastAsia="zh-Hans"/>
        </w:rPr>
        <w:t>。</w:t>
      </w:r>
    </w:p>
    <w:p w14:paraId="7F422DC0">
      <w:pPr>
        <w:adjustRightInd/>
        <w:spacing w:line="400" w:lineRule="exact"/>
        <w:ind w:firstLine="420" w:firstLineChars="200"/>
        <w:outlineLvl w:val="0"/>
        <w:rPr>
          <w:rFonts w:hint="eastAsia" w:ascii="仿宋" w:hAnsi="仿宋" w:eastAsia="仿宋" w:cs="仿宋"/>
          <w:color w:val="auto"/>
          <w:szCs w:val="21"/>
          <w:highlight w:val="none"/>
        </w:rPr>
      </w:pPr>
      <w:bookmarkStart w:id="1136" w:name="_Toc30980"/>
      <w:bookmarkStart w:id="1137" w:name="_Toc29077"/>
      <w:bookmarkStart w:id="1138" w:name="_Toc22388"/>
      <w:bookmarkStart w:id="1139" w:name="_Toc25210"/>
      <w:bookmarkStart w:id="1140" w:name="_Toc573"/>
      <w:bookmarkStart w:id="1141" w:name="_Toc6543"/>
      <w:r>
        <w:rPr>
          <w:rFonts w:hint="eastAsia" w:ascii="仿宋" w:hAnsi="仿宋" w:eastAsia="仿宋" w:cs="仿宋"/>
          <w:color w:val="auto"/>
          <w:szCs w:val="21"/>
          <w:highlight w:val="none"/>
        </w:rPr>
        <w:t>18.3 其他保险</w:t>
      </w:r>
      <w:bookmarkEnd w:id="1136"/>
      <w:bookmarkEnd w:id="1137"/>
      <w:bookmarkEnd w:id="1138"/>
      <w:bookmarkEnd w:id="1139"/>
      <w:bookmarkEnd w:id="1140"/>
      <w:bookmarkEnd w:id="1141"/>
    </w:p>
    <w:p w14:paraId="6E821ED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关于其他保险的约定：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47E35A9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承包人是否应为其施工设备等办理财产保险：</w:t>
      </w:r>
      <w:r>
        <w:rPr>
          <w:rFonts w:hint="eastAsia" w:ascii="仿宋" w:hAnsi="仿宋" w:eastAsia="仿宋" w:cs="仿宋"/>
          <w:color w:val="auto"/>
          <w:szCs w:val="21"/>
          <w:highlight w:val="none"/>
          <w:u w:val="single"/>
        </w:rPr>
        <w:t xml:space="preserve">    是   </w:t>
      </w:r>
      <w:r>
        <w:rPr>
          <w:rFonts w:hint="eastAsia" w:ascii="仿宋" w:hAnsi="仿宋" w:eastAsia="仿宋" w:cs="仿宋"/>
          <w:color w:val="auto"/>
          <w:szCs w:val="21"/>
          <w:highlight w:val="none"/>
        </w:rPr>
        <w:t>。</w:t>
      </w:r>
    </w:p>
    <w:p w14:paraId="2D89150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18.7 通知义务</w:t>
      </w:r>
    </w:p>
    <w:p w14:paraId="370D5D1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关于变更保险合同时的通知义务的约定：</w:t>
      </w:r>
      <w:r>
        <w:rPr>
          <w:rFonts w:hint="eastAsia" w:ascii="仿宋" w:hAnsi="仿宋" w:eastAsia="仿宋" w:cs="仿宋"/>
          <w:color w:val="auto"/>
          <w:szCs w:val="21"/>
          <w:highlight w:val="none"/>
          <w:u w:val="single"/>
        </w:rPr>
        <w:t xml:space="preserve">  按本合同（通用条款）执行    </w:t>
      </w:r>
      <w:r>
        <w:rPr>
          <w:rFonts w:hint="eastAsia" w:ascii="仿宋" w:hAnsi="仿宋" w:eastAsia="仿宋" w:cs="仿宋"/>
          <w:color w:val="auto"/>
          <w:szCs w:val="21"/>
          <w:highlight w:val="none"/>
        </w:rPr>
        <w:t>。</w:t>
      </w:r>
    </w:p>
    <w:bookmarkEnd w:id="1067"/>
    <w:bookmarkEnd w:id="1068"/>
    <w:bookmarkEnd w:id="1069"/>
    <w:bookmarkEnd w:id="1070"/>
    <w:bookmarkEnd w:id="1071"/>
    <w:bookmarkEnd w:id="1072"/>
    <w:bookmarkEnd w:id="1073"/>
    <w:bookmarkEnd w:id="1074"/>
    <w:bookmarkEnd w:id="1075"/>
    <w:bookmarkEnd w:id="1076"/>
    <w:bookmarkEnd w:id="1077"/>
    <w:bookmarkEnd w:id="1078"/>
    <w:p w14:paraId="146D243F">
      <w:pPr>
        <w:keepNext/>
        <w:keepLines/>
        <w:adjustRightInd/>
        <w:spacing w:line="400" w:lineRule="exact"/>
        <w:outlineLvl w:val="3"/>
        <w:rPr>
          <w:rFonts w:hint="eastAsia" w:ascii="仿宋" w:hAnsi="仿宋" w:eastAsia="仿宋" w:cs="仿宋"/>
          <w:bCs/>
          <w:color w:val="auto"/>
          <w:szCs w:val="21"/>
          <w:highlight w:val="none"/>
        </w:rPr>
      </w:pPr>
      <w:bookmarkStart w:id="1142" w:name="_Toc351203651"/>
      <w:r>
        <w:rPr>
          <w:rFonts w:hint="eastAsia" w:ascii="仿宋" w:hAnsi="仿宋" w:eastAsia="仿宋" w:cs="仿宋"/>
          <w:bCs/>
          <w:color w:val="auto"/>
          <w:szCs w:val="21"/>
          <w:highlight w:val="none"/>
        </w:rPr>
        <w:t>20. 争议解决</w:t>
      </w:r>
      <w:bookmarkEnd w:id="1142"/>
    </w:p>
    <w:bookmarkEnd w:id="1079"/>
    <w:bookmarkEnd w:id="1080"/>
    <w:p w14:paraId="37B8ACD8">
      <w:pPr>
        <w:adjustRightInd/>
        <w:spacing w:line="400" w:lineRule="exact"/>
        <w:ind w:firstLine="420" w:firstLineChars="200"/>
        <w:outlineLvl w:val="0"/>
        <w:rPr>
          <w:rFonts w:hint="eastAsia" w:ascii="仿宋" w:hAnsi="仿宋" w:eastAsia="仿宋" w:cs="仿宋"/>
          <w:color w:val="auto"/>
          <w:szCs w:val="21"/>
          <w:highlight w:val="none"/>
        </w:rPr>
      </w:pPr>
      <w:bookmarkStart w:id="1143" w:name="_Toc20437"/>
      <w:bookmarkStart w:id="1144" w:name="_Toc26480"/>
      <w:bookmarkStart w:id="1145" w:name="_Toc9313"/>
      <w:bookmarkStart w:id="1146" w:name="_Toc13495"/>
      <w:bookmarkStart w:id="1147" w:name="_Toc11977"/>
      <w:bookmarkStart w:id="1148" w:name="_Toc32728"/>
      <w:r>
        <w:rPr>
          <w:rFonts w:hint="eastAsia" w:ascii="仿宋" w:hAnsi="仿宋" w:eastAsia="仿宋" w:cs="仿宋"/>
          <w:color w:val="auto"/>
          <w:szCs w:val="21"/>
          <w:highlight w:val="none"/>
        </w:rPr>
        <w:t>20.3 争</w:t>
      </w:r>
      <w:bookmarkEnd w:id="1081"/>
      <w:r>
        <w:rPr>
          <w:rFonts w:hint="eastAsia" w:ascii="仿宋" w:hAnsi="仿宋" w:eastAsia="仿宋" w:cs="仿宋"/>
          <w:color w:val="auto"/>
          <w:szCs w:val="21"/>
          <w:highlight w:val="none"/>
        </w:rPr>
        <w:t>议评审</w:t>
      </w:r>
      <w:bookmarkEnd w:id="1143"/>
      <w:bookmarkEnd w:id="1144"/>
      <w:bookmarkEnd w:id="1145"/>
      <w:bookmarkEnd w:id="1146"/>
      <w:bookmarkEnd w:id="1147"/>
      <w:bookmarkEnd w:id="1148"/>
    </w:p>
    <w:p w14:paraId="275EC529">
      <w:pPr>
        <w:adjustRightInd/>
        <w:spacing w:line="400" w:lineRule="exact"/>
        <w:ind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合同当事人是否同意将工程争议提交争议评审小组决定：</w:t>
      </w:r>
      <w:r>
        <w:rPr>
          <w:rFonts w:hint="eastAsia" w:ascii="仿宋" w:hAnsi="仿宋" w:eastAsia="仿宋" w:cs="仿宋"/>
          <w:color w:val="auto"/>
          <w:szCs w:val="21"/>
          <w:highlight w:val="none"/>
          <w:u w:val="single"/>
        </w:rPr>
        <w:t>否</w:t>
      </w:r>
      <w:r>
        <w:rPr>
          <w:rFonts w:hint="eastAsia" w:ascii="仿宋" w:hAnsi="仿宋" w:eastAsia="仿宋" w:cs="仿宋"/>
          <w:color w:val="auto"/>
          <w:szCs w:val="21"/>
          <w:highlight w:val="none"/>
        </w:rPr>
        <w:t xml:space="preserve">。  </w:t>
      </w:r>
    </w:p>
    <w:p w14:paraId="031B7A49">
      <w:pPr>
        <w:adjustRightInd/>
        <w:spacing w:line="400" w:lineRule="exact"/>
        <w:ind w:firstLine="420" w:firstLineChars="200"/>
        <w:outlineLvl w:val="0"/>
        <w:rPr>
          <w:rFonts w:hint="eastAsia" w:ascii="仿宋" w:hAnsi="仿宋" w:eastAsia="仿宋" w:cs="仿宋"/>
          <w:color w:val="auto"/>
          <w:szCs w:val="21"/>
          <w:highlight w:val="none"/>
        </w:rPr>
      </w:pPr>
      <w:bookmarkStart w:id="1149" w:name="_Toc20525"/>
      <w:bookmarkStart w:id="1150" w:name="_Toc13753"/>
      <w:bookmarkStart w:id="1151" w:name="_Toc19421"/>
      <w:bookmarkStart w:id="1152" w:name="_Toc7776"/>
      <w:bookmarkStart w:id="1153" w:name="_Toc30750"/>
      <w:bookmarkStart w:id="1154" w:name="_Toc22693"/>
      <w:r>
        <w:rPr>
          <w:rFonts w:hint="eastAsia" w:ascii="仿宋" w:hAnsi="仿宋" w:eastAsia="仿宋" w:cs="仿宋"/>
          <w:color w:val="auto"/>
          <w:szCs w:val="21"/>
          <w:highlight w:val="none"/>
        </w:rPr>
        <w:t>20.3.1 争议评审小组的确定</w:t>
      </w:r>
      <w:bookmarkEnd w:id="1149"/>
      <w:bookmarkEnd w:id="1150"/>
      <w:bookmarkEnd w:id="1151"/>
      <w:bookmarkEnd w:id="1152"/>
      <w:bookmarkEnd w:id="1153"/>
      <w:bookmarkEnd w:id="1154"/>
    </w:p>
    <w:p w14:paraId="46359E5E">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争议评审小组成员的确定：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23FDD4A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选定争议评审员的期限：</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43D945A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争议评审小组成员的报酬承担方式：</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7EA3309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其他事项的约定：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4F48F86E">
      <w:pPr>
        <w:spacing w:line="400" w:lineRule="exact"/>
        <w:ind w:firstLine="420" w:firstLineChars="200"/>
        <w:outlineLvl w:val="0"/>
        <w:rPr>
          <w:rFonts w:hint="eastAsia" w:ascii="仿宋" w:hAnsi="仿宋" w:eastAsia="仿宋" w:cs="仿宋"/>
          <w:color w:val="auto"/>
          <w:szCs w:val="21"/>
          <w:highlight w:val="none"/>
        </w:rPr>
      </w:pPr>
      <w:bookmarkStart w:id="1155" w:name="_Toc15185"/>
      <w:bookmarkStart w:id="1156" w:name="_Toc3737"/>
      <w:bookmarkStart w:id="1157" w:name="_Toc12133"/>
      <w:bookmarkStart w:id="1158" w:name="_Toc12666"/>
      <w:bookmarkStart w:id="1159" w:name="_Toc10018"/>
      <w:bookmarkStart w:id="1160" w:name="_Toc24100"/>
      <w:r>
        <w:rPr>
          <w:rFonts w:hint="eastAsia" w:ascii="仿宋" w:hAnsi="仿宋" w:eastAsia="仿宋" w:cs="仿宋"/>
          <w:color w:val="auto"/>
          <w:szCs w:val="21"/>
          <w:highlight w:val="none"/>
        </w:rPr>
        <w:t>20.3.2 争议评审小组的决定</w:t>
      </w:r>
      <w:bookmarkEnd w:id="1155"/>
      <w:bookmarkEnd w:id="1156"/>
      <w:bookmarkEnd w:id="1157"/>
      <w:bookmarkEnd w:id="1158"/>
      <w:bookmarkEnd w:id="1159"/>
      <w:bookmarkEnd w:id="1160"/>
    </w:p>
    <w:p w14:paraId="3BA80B9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合同当事人关于本项的约定：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3C4F25BC">
      <w:pPr>
        <w:adjustRightInd/>
        <w:spacing w:line="400" w:lineRule="exact"/>
        <w:ind w:firstLine="420" w:firstLineChars="200"/>
        <w:outlineLvl w:val="0"/>
        <w:rPr>
          <w:rFonts w:hint="eastAsia" w:ascii="仿宋" w:hAnsi="仿宋" w:eastAsia="仿宋" w:cs="仿宋"/>
          <w:color w:val="auto"/>
          <w:szCs w:val="21"/>
          <w:highlight w:val="none"/>
        </w:rPr>
      </w:pPr>
      <w:bookmarkStart w:id="1161" w:name="_Toc32105"/>
      <w:bookmarkStart w:id="1162" w:name="_Toc1571"/>
      <w:bookmarkStart w:id="1163" w:name="_Toc22889"/>
      <w:bookmarkStart w:id="1164" w:name="_Toc16653"/>
      <w:bookmarkStart w:id="1165" w:name="_Toc24098"/>
      <w:bookmarkStart w:id="1166" w:name="_Toc15348"/>
      <w:r>
        <w:rPr>
          <w:rFonts w:hint="eastAsia" w:ascii="仿宋" w:hAnsi="仿宋" w:eastAsia="仿宋" w:cs="仿宋"/>
          <w:color w:val="auto"/>
          <w:szCs w:val="21"/>
          <w:highlight w:val="none"/>
        </w:rPr>
        <w:t>20.4仲裁或诉讼</w:t>
      </w:r>
      <w:bookmarkEnd w:id="1082"/>
      <w:bookmarkEnd w:id="1161"/>
      <w:bookmarkEnd w:id="1162"/>
      <w:bookmarkEnd w:id="1163"/>
      <w:bookmarkEnd w:id="1164"/>
      <w:bookmarkEnd w:id="1165"/>
      <w:bookmarkEnd w:id="1166"/>
    </w:p>
    <w:p w14:paraId="50EFB91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因合同及合同有关事项发生的争议，按下列第</w:t>
      </w:r>
      <w:r>
        <w:rPr>
          <w:rFonts w:hint="eastAsia" w:ascii="仿宋" w:hAnsi="仿宋" w:eastAsia="仿宋" w:cs="仿宋"/>
          <w:color w:val="auto"/>
          <w:szCs w:val="21"/>
          <w:highlight w:val="none"/>
          <w:u w:val="single"/>
        </w:rPr>
        <w:t xml:space="preserve">   2  </w:t>
      </w:r>
      <w:r>
        <w:rPr>
          <w:rFonts w:hint="eastAsia" w:ascii="仿宋" w:hAnsi="仿宋" w:eastAsia="仿宋" w:cs="仿宋"/>
          <w:color w:val="auto"/>
          <w:szCs w:val="21"/>
          <w:highlight w:val="none"/>
        </w:rPr>
        <w:t>种方式解决：</w:t>
      </w:r>
    </w:p>
    <w:p w14:paraId="38367A5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（1）向</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仲裁委员会申请仲裁；</w:t>
      </w:r>
    </w:p>
    <w:p w14:paraId="502643B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（2）向</w:t>
      </w:r>
      <w:r>
        <w:rPr>
          <w:rFonts w:hint="eastAsia" w:ascii="仿宋" w:hAnsi="仿宋" w:eastAsia="仿宋" w:cs="仿宋"/>
          <w:color w:val="auto"/>
          <w:szCs w:val="21"/>
          <w:highlight w:val="none"/>
          <w:u w:val="single"/>
        </w:rPr>
        <w:t xml:space="preserve">   工程所在地      </w:t>
      </w:r>
      <w:r>
        <w:rPr>
          <w:rFonts w:hint="eastAsia" w:ascii="仿宋" w:hAnsi="仿宋" w:eastAsia="仿宋" w:cs="仿宋"/>
          <w:color w:val="auto"/>
          <w:szCs w:val="21"/>
          <w:highlight w:val="none"/>
        </w:rPr>
        <w:t>人民法院起诉。</w:t>
      </w:r>
      <w:bookmarkEnd w:id="1083"/>
      <w:bookmarkEnd w:id="1084"/>
      <w:bookmarkEnd w:id="1085"/>
      <w:bookmarkEnd w:id="1086"/>
      <w:bookmarkEnd w:id="1087"/>
      <w:bookmarkEnd w:id="1088"/>
    </w:p>
    <w:p w14:paraId="1BE000FF">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21．其他补充事项的约定</w:t>
      </w:r>
    </w:p>
    <w:p w14:paraId="78DF856A">
      <w:pPr>
        <w:pStyle w:val="45"/>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以下补充事项如与上述合同条款存在不一致的，则以本补充事项效力为高。</w:t>
      </w:r>
    </w:p>
    <w:p w14:paraId="14A4488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21.1承包人在投标文件中隐含与招标文件相违背的内容，并且影响了发包人的利益，评标专家在评标中没有发现，并不代表发包人认可此内容，未经发包人同意此内容无效，此内容对发包人无约束力，应当按招标文件执行。 </w:t>
      </w:r>
    </w:p>
    <w:p w14:paraId="482D9827">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21.2当结算审核时发现投标商务标所有子项合价有误、以及合价之累计金额与中标价不一致时，累计金额大于中标价的差额视同投标人的优惠，结算审核时对投标文件的错误按以下原则进行调整：</w:t>
      </w:r>
    </w:p>
    <w:p w14:paraId="75D5A0DC">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(1)如果数字表示的金额和用文字表示的金额不一致时，以文字表示的金额为准；</w:t>
      </w:r>
    </w:p>
    <w:p w14:paraId="3BD1474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(2)当单价与数量的乘积与合价不一致时，以合价为准修改单价。</w:t>
      </w:r>
    </w:p>
    <w:p w14:paraId="1B13140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(3)合计累计金额与小计(合计)金额不一致的，以累计金额为准，并修改小计(合计)金额。</w:t>
      </w:r>
    </w:p>
    <w:p w14:paraId="31E7C9B3">
      <w:pPr>
        <w:adjustRightInd/>
        <w:spacing w:line="400" w:lineRule="exact"/>
        <w:ind w:firstLine="420" w:firstLineChars="200"/>
        <w:rPr>
          <w:rFonts w:hint="eastAsia" w:ascii="仿宋" w:hAnsi="仿宋" w:eastAsia="仿宋" w:cs="仿宋"/>
          <w:color w:val="auto"/>
          <w:szCs w:val="21"/>
          <w:highlight w:val="none"/>
          <w:u w:val="single"/>
          <w:lang w:eastAsia="zh-CN"/>
        </w:rPr>
      </w:pPr>
      <w:r>
        <w:rPr>
          <w:rFonts w:hint="eastAsia" w:ascii="仿宋" w:hAnsi="仿宋" w:eastAsia="仿宋" w:cs="仿宋"/>
          <w:color w:val="auto"/>
          <w:szCs w:val="21"/>
          <w:highlight w:val="none"/>
          <w:u w:val="single"/>
        </w:rPr>
        <w:t>21.3承包人应确保民工工资的及时支付，如不及时支付，发包人有权暂扣工程款直到承包人付清民工工资为止，并根据上级主管部门的相关规定进行处罚</w:t>
      </w:r>
      <w:r>
        <w:rPr>
          <w:rFonts w:hint="eastAsia" w:ascii="仿宋" w:hAnsi="仿宋" w:eastAsia="仿宋" w:cs="仿宋"/>
          <w:color w:val="auto"/>
          <w:szCs w:val="21"/>
          <w:highlight w:val="none"/>
          <w:u w:val="single"/>
          <w:lang w:eastAsia="zh-CN"/>
        </w:rPr>
        <w:t>。</w:t>
      </w:r>
    </w:p>
    <w:p w14:paraId="6CDF286C">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21.4承包人在本工程实施过程中不得以任何理由拒绝发包人要求的工程量的增加或减少及工作内容变更的指令。</w:t>
      </w:r>
    </w:p>
    <w:p w14:paraId="5871B5B1">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21.5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52404E3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21.6承包人在中标后不得随意提出材料品种和规格的变更，除非发包人</w:t>
      </w:r>
      <w:r>
        <w:rPr>
          <w:rFonts w:hint="eastAsia" w:ascii="仿宋" w:hAnsi="仿宋" w:eastAsia="仿宋" w:cs="仿宋"/>
          <w:color w:val="auto"/>
          <w:szCs w:val="21"/>
          <w:highlight w:val="none"/>
          <w:u w:val="single"/>
          <w:lang w:val="en-US" w:eastAsia="zh-Hans"/>
        </w:rPr>
        <w:t>书面</w:t>
      </w:r>
      <w:r>
        <w:rPr>
          <w:rFonts w:hint="eastAsia" w:ascii="仿宋" w:hAnsi="仿宋" w:eastAsia="仿宋" w:cs="仿宋"/>
          <w:color w:val="auto"/>
          <w:szCs w:val="21"/>
          <w:highlight w:val="none"/>
          <w:u w:val="single"/>
        </w:rPr>
        <w:t>同意，均不得以采购困难等理由延误工期，否则发包人可自行组织采购，视为甲供材料，费用从承包人工程款中扣除。</w:t>
      </w:r>
    </w:p>
    <w:p w14:paraId="1B70FDD7">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21.7工程结算若有新的文件规定，按新文件规定</w:t>
      </w:r>
    </w:p>
    <w:p w14:paraId="431633E3">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21.8本项目若需要土方外运，招标人已在招标控制价中列入预算价，投标人应结合项目实际合理报价，中标的施工企业须在合同签订后30天内向招标人提供渣土证</w:t>
      </w:r>
      <w:r>
        <w:rPr>
          <w:rFonts w:hint="default" w:ascii="仿宋" w:hAnsi="仿宋" w:eastAsia="仿宋" w:cs="仿宋"/>
          <w:color w:val="auto"/>
          <w:szCs w:val="21"/>
          <w:highlight w:val="none"/>
          <w:u w:val="single"/>
        </w:rPr>
        <w:t>，</w:t>
      </w:r>
      <w:r>
        <w:rPr>
          <w:rFonts w:hint="eastAsia" w:ascii="仿宋" w:hAnsi="仿宋" w:eastAsia="仿宋" w:cs="仿宋"/>
          <w:b w:val="0"/>
          <w:color w:val="auto"/>
          <w:sz w:val="21"/>
          <w:szCs w:val="21"/>
          <w:highlight w:val="none"/>
          <w:u w:val="single"/>
        </w:rPr>
        <w:t>若不办理，每发现一次处</w:t>
      </w:r>
      <w:r>
        <w:rPr>
          <w:rFonts w:hint="default" w:ascii="仿宋" w:hAnsi="仿宋" w:eastAsia="仿宋" w:cs="仿宋"/>
          <w:b w:val="0"/>
          <w:color w:val="auto"/>
          <w:sz w:val="21"/>
          <w:szCs w:val="21"/>
          <w:highlight w:val="none"/>
          <w:u w:val="single"/>
        </w:rPr>
        <w:t>【】</w:t>
      </w:r>
      <w:r>
        <w:rPr>
          <w:rFonts w:hint="eastAsia" w:ascii="仿宋" w:hAnsi="仿宋" w:eastAsia="仿宋" w:cs="仿宋"/>
          <w:b w:val="0"/>
          <w:color w:val="auto"/>
          <w:sz w:val="21"/>
          <w:szCs w:val="21"/>
          <w:highlight w:val="none"/>
          <w:u w:val="single"/>
        </w:rPr>
        <w:t>元违约金，并需立即整改到位。</w:t>
      </w:r>
      <w:r>
        <w:rPr>
          <w:rFonts w:hint="eastAsia" w:ascii="仿宋" w:hAnsi="仿宋" w:eastAsia="仿宋" w:cs="仿宋"/>
          <w:color w:val="auto"/>
          <w:szCs w:val="21"/>
          <w:highlight w:val="none"/>
          <w:u w:val="single"/>
        </w:rPr>
        <w:t>。</w:t>
      </w:r>
    </w:p>
    <w:p w14:paraId="134A5BC9">
      <w:pPr>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21.9招标文件</w:t>
      </w:r>
      <w:r>
        <w:rPr>
          <w:rFonts w:hint="eastAsia" w:ascii="仿宋" w:hAnsi="仿宋" w:eastAsia="仿宋" w:cs="仿宋"/>
          <w:color w:val="auto"/>
          <w:szCs w:val="21"/>
          <w:highlight w:val="none"/>
          <w:u w:val="single"/>
          <w:lang w:val="en-US" w:eastAsia="zh-Hans"/>
        </w:rPr>
        <w:t>第三部分采购需求中</w:t>
      </w:r>
      <w:r>
        <w:rPr>
          <w:rFonts w:hint="eastAsia" w:ascii="仿宋" w:hAnsi="仿宋" w:eastAsia="仿宋" w:cs="仿宋"/>
          <w:color w:val="auto"/>
          <w:szCs w:val="21"/>
          <w:highlight w:val="none"/>
          <w:u w:val="single"/>
        </w:rPr>
        <w:t>“</w:t>
      </w:r>
      <w:r>
        <w:rPr>
          <w:rFonts w:hint="eastAsia" w:ascii="仿宋" w:hAnsi="仿宋" w:eastAsia="仿宋" w:cs="仿宋"/>
          <w:color w:val="auto"/>
          <w:sz w:val="21"/>
          <w:szCs w:val="21"/>
          <w:highlight w:val="none"/>
          <w:u w:val="single"/>
          <w:lang w:val="en-US" w:eastAsia="zh-Hans"/>
        </w:rPr>
        <w:t>四</w:t>
      </w:r>
      <w:r>
        <w:rPr>
          <w:rFonts w:hint="default" w:ascii="仿宋" w:hAnsi="仿宋" w:eastAsia="仿宋" w:cs="仿宋"/>
          <w:color w:val="auto"/>
          <w:sz w:val="21"/>
          <w:szCs w:val="21"/>
          <w:highlight w:val="none"/>
          <w:u w:val="single"/>
          <w:lang w:eastAsia="zh-Hans"/>
        </w:rPr>
        <w:t>、</w:t>
      </w:r>
      <w:r>
        <w:rPr>
          <w:rFonts w:hint="eastAsia" w:ascii="仿宋" w:hAnsi="仿宋" w:eastAsia="仿宋" w:cs="仿宋"/>
          <w:color w:val="auto"/>
          <w:sz w:val="21"/>
          <w:szCs w:val="21"/>
          <w:highlight w:val="none"/>
          <w:u w:val="single"/>
          <w:lang w:val="en-US" w:eastAsia="zh-Hans"/>
        </w:rPr>
        <w:t>其他</w:t>
      </w:r>
      <w:r>
        <w:rPr>
          <w:rFonts w:hint="eastAsia" w:ascii="仿宋" w:hAnsi="仿宋" w:eastAsia="仿宋" w:cs="仿宋"/>
          <w:color w:val="auto"/>
          <w:szCs w:val="21"/>
          <w:highlight w:val="none"/>
          <w:u w:val="single"/>
        </w:rPr>
        <w:t>” 的相关内容作为合同的补充条款，承包人在合同执行过程中必须遵守执行。</w:t>
      </w:r>
    </w:p>
    <w:p w14:paraId="1CCCDAF5">
      <w:pPr>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21.10因发包人代付水电费产生的税率差额</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由承包人承担。</w:t>
      </w:r>
    </w:p>
    <w:p w14:paraId="2DE92F1D">
      <w:pPr>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21.11承包人已充分了解现场地理人文条件，合理处理与周边村民的关系，若在施工工程中出现有周边村民阻扰施工等现象，承包人必须自行妥善处理，且不得影响工期，所产生的协调费用由承包人承担。</w:t>
      </w:r>
    </w:p>
    <w:p w14:paraId="61312723">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21.12如有移交要求，工程款支付至合同范围内实际完成工程量的</w:t>
      </w:r>
      <w:r>
        <w:rPr>
          <w:rFonts w:hint="eastAsia" w:ascii="仿宋" w:hAnsi="仿宋" w:eastAsia="仿宋" w:cs="仿宋"/>
          <w:color w:val="auto"/>
          <w:szCs w:val="21"/>
          <w:highlight w:val="none"/>
          <w:u w:val="single"/>
          <w:lang w:val="en-US" w:eastAsia="zh-CN"/>
        </w:rPr>
        <w:t>7</w:t>
      </w:r>
      <w:r>
        <w:rPr>
          <w:rFonts w:hint="eastAsia" w:ascii="仿宋" w:hAnsi="仿宋" w:eastAsia="仿宋" w:cs="仿宋"/>
          <w:color w:val="auto"/>
          <w:szCs w:val="21"/>
          <w:highlight w:val="none"/>
          <w:u w:val="single"/>
        </w:rPr>
        <w:t>0%。</w:t>
      </w:r>
    </w:p>
    <w:p w14:paraId="26FE6AF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21.13.施工企业副总及以上职位人员每月不少于一次参加工地例会、每月不少于 一次带班检查工地。若发现不到会议、未带班检查情况，每次处以施工合同价的0.1%作为违约金（每人次上限5万元）。</w:t>
      </w:r>
    </w:p>
    <w:p w14:paraId="46D2314C">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21.14</w:t>
      </w:r>
      <w:r>
        <w:rPr>
          <w:rFonts w:hint="eastAsia" w:ascii="仿宋" w:hAnsi="仿宋" w:eastAsia="仿宋" w:cs="仿宋"/>
          <w:color w:val="auto"/>
          <w:szCs w:val="21"/>
          <w:highlight w:val="none"/>
          <w:u w:val="single"/>
          <w:lang w:val="en-US" w:eastAsia="zh-Hans"/>
        </w:rPr>
        <w:t>.</w:t>
      </w:r>
      <w:r>
        <w:rPr>
          <w:rFonts w:hint="eastAsia" w:ascii="仿宋" w:hAnsi="仿宋" w:eastAsia="仿宋" w:cs="仿宋"/>
          <w:color w:val="auto"/>
          <w:szCs w:val="21"/>
          <w:highlight w:val="none"/>
          <w:u w:val="single"/>
        </w:rPr>
        <w:t>本合同所涉及到的包括但不仅限于安全、质量、进度、人员等由于承包人原因受到发包人处罚的，同时上报上级主管部门,包括但不仅限于处以信用等级相关处罚。</w:t>
      </w:r>
    </w:p>
    <w:p w14:paraId="1AFE8461">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w:t>
      </w:r>
      <w:r>
        <w:rPr>
          <w:rFonts w:hint="default" w:ascii="仿宋" w:hAnsi="仿宋" w:eastAsia="仿宋" w:cs="仿宋"/>
          <w:color w:val="auto"/>
          <w:szCs w:val="21"/>
          <w:highlight w:val="none"/>
          <w:u w:val="single"/>
        </w:rPr>
        <w:t>5</w:t>
      </w:r>
      <w:r>
        <w:rPr>
          <w:rFonts w:hint="eastAsia" w:ascii="仿宋" w:hAnsi="仿宋" w:eastAsia="仿宋" w:cs="仿宋"/>
          <w:color w:val="auto"/>
          <w:szCs w:val="21"/>
          <w:highlight w:val="none"/>
          <w:u w:val="single"/>
        </w:rPr>
        <w:t>.项目施工机构应对进场用于工程材料、设备、构配件审查报验，并按照规定对用于工程的材料进行复试检验。若发现已使用未检验或经检验不合格已使用或经检验不合格未限期退场的工程材料、设备、构配件（含不限于材料设备尺寸、品牌、型号、外观、含量等），以及现场未按施工图 施工等情况，视作施工机构不履职违约，每次每项处以施工合同价的0.5%作为违约金（每次每项上限30万元）。</w:t>
      </w:r>
    </w:p>
    <w:p w14:paraId="1AA66755">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w:t>
      </w:r>
      <w:r>
        <w:rPr>
          <w:rFonts w:hint="default" w:ascii="仿宋" w:hAnsi="仿宋" w:eastAsia="仿宋" w:cs="仿宋"/>
          <w:color w:val="auto"/>
          <w:szCs w:val="21"/>
          <w:highlight w:val="none"/>
          <w:u w:val="single"/>
        </w:rPr>
        <w:t>6</w:t>
      </w:r>
      <w:r>
        <w:rPr>
          <w:rFonts w:hint="eastAsia" w:ascii="仿宋" w:hAnsi="仿宋" w:eastAsia="仿宋" w:cs="仿宋"/>
          <w:color w:val="auto"/>
          <w:szCs w:val="21"/>
          <w:highlight w:val="none"/>
          <w:u w:val="single"/>
          <w:lang w:val="en-US" w:eastAsia="zh-Hans"/>
        </w:rPr>
        <w:t>.</w:t>
      </w:r>
      <w:r>
        <w:rPr>
          <w:rFonts w:hint="eastAsia" w:ascii="仿宋" w:hAnsi="仿宋" w:eastAsia="仿宋" w:cs="仿宋"/>
          <w:color w:val="auto"/>
          <w:szCs w:val="21"/>
          <w:highlight w:val="none"/>
          <w:u w:val="single"/>
        </w:rPr>
        <w:t>项目若发生质量、安全事故视作施工机构不履职违约情况，若发生一般（有伤亡）、一般以上事故，每起处以施工合同价的2%作为违约金（每起上限50万元）；发生一般（未伤亡）事故，每起处以施工合同价的0.5%作为违约金（每起上限50万元）。</w:t>
      </w:r>
      <w:r>
        <w:rPr>
          <w:rFonts w:hint="eastAsia" w:ascii="仿宋" w:hAnsi="仿宋" w:eastAsia="仿宋" w:cs="仿宋"/>
          <w:color w:val="auto"/>
          <w:szCs w:val="21"/>
          <w:highlight w:val="none"/>
          <w:u w:val="single"/>
          <w:lang w:val="en-US" w:eastAsia="zh-CN"/>
        </w:rPr>
        <w:t>且承包人应当对由此产生的纠纷和全部损失负责。</w:t>
      </w:r>
    </w:p>
    <w:p w14:paraId="6EB06EE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w:t>
      </w:r>
      <w:r>
        <w:rPr>
          <w:rFonts w:hint="default" w:ascii="仿宋" w:hAnsi="仿宋" w:eastAsia="仿宋" w:cs="仿宋"/>
          <w:color w:val="auto"/>
          <w:szCs w:val="21"/>
          <w:highlight w:val="none"/>
          <w:u w:val="single"/>
        </w:rPr>
        <w:t>7</w:t>
      </w:r>
      <w:r>
        <w:rPr>
          <w:rFonts w:hint="eastAsia" w:ascii="仿宋" w:hAnsi="仿宋" w:eastAsia="仿宋" w:cs="仿宋"/>
          <w:color w:val="auto"/>
          <w:szCs w:val="21"/>
          <w:highlight w:val="none"/>
          <w:u w:val="single"/>
          <w:lang w:val="en-US" w:eastAsia="zh-Hans"/>
        </w:rPr>
        <w:t>.</w:t>
      </w:r>
      <w:r>
        <w:rPr>
          <w:rFonts w:hint="eastAsia" w:ascii="仿宋" w:hAnsi="仿宋" w:eastAsia="仿宋" w:cs="仿宋"/>
          <w:color w:val="auto"/>
          <w:szCs w:val="21"/>
          <w:highlight w:val="none"/>
          <w:u w:val="single"/>
        </w:rPr>
        <w:t>项目若因质量、安全、环境隐患问题发生媒体曝光、政府部门通报、政府部门约谈、3人及以上群体信访、造成社会影响事件情况，视作施工机构不履职违约，每起处以施工合同价的0.05%作为违约金（每次每项上限5万元）。</w:t>
      </w:r>
    </w:p>
    <w:p w14:paraId="1321DD87">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w:t>
      </w:r>
      <w:r>
        <w:rPr>
          <w:rFonts w:hint="default" w:ascii="仿宋" w:hAnsi="仿宋" w:eastAsia="仿宋" w:cs="仿宋"/>
          <w:color w:val="auto"/>
          <w:szCs w:val="21"/>
          <w:highlight w:val="none"/>
          <w:u w:val="single"/>
        </w:rPr>
        <w:t>8</w:t>
      </w:r>
      <w:r>
        <w:rPr>
          <w:rFonts w:hint="eastAsia" w:ascii="仿宋" w:hAnsi="仿宋" w:eastAsia="仿宋" w:cs="仿宋"/>
          <w:color w:val="auto"/>
          <w:szCs w:val="21"/>
          <w:highlight w:val="none"/>
          <w:u w:val="single"/>
          <w:lang w:val="en-US" w:eastAsia="zh-Hans"/>
        </w:rPr>
        <w:t>.</w:t>
      </w:r>
      <w:r>
        <w:rPr>
          <w:rFonts w:hint="eastAsia" w:ascii="仿宋" w:hAnsi="仿宋" w:eastAsia="仿宋" w:cs="仿宋"/>
          <w:color w:val="auto"/>
          <w:szCs w:val="21"/>
          <w:highlight w:val="none"/>
          <w:u w:val="single"/>
        </w:rPr>
        <w:t>由施工单位原因导致实际进度滞后于要求计划进度时，造成工期延误情况，视作施工机构不履职违约，工期每拖延一天</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处以违约金为签约合同价的万分之二,</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延期超过一个月的，工期每拖延一天处以违约金为签约合同价的万分之四。如逾期竣工违约金达到签约合同价格的百分之二，则发包人有权要求承包人无条件退场，并承担由此产生的各方一切损失</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w:t>
      </w:r>
    </w:p>
    <w:p w14:paraId="296E6282">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w:t>
      </w:r>
      <w:r>
        <w:rPr>
          <w:rFonts w:hint="default" w:ascii="仿宋" w:hAnsi="仿宋" w:eastAsia="仿宋" w:cs="仿宋"/>
          <w:color w:val="auto"/>
          <w:szCs w:val="21"/>
          <w:highlight w:val="none"/>
          <w:u w:val="single"/>
        </w:rPr>
        <w:t>19</w:t>
      </w:r>
      <w:r>
        <w:rPr>
          <w:rFonts w:hint="eastAsia" w:ascii="仿宋" w:hAnsi="仿宋" w:eastAsia="仿宋" w:cs="仿宋"/>
          <w:color w:val="auto"/>
          <w:szCs w:val="21"/>
          <w:highlight w:val="none"/>
          <w:u w:val="single"/>
          <w:lang w:val="en-US" w:eastAsia="zh-Hans"/>
        </w:rPr>
        <w:t>.</w:t>
      </w:r>
      <w:r>
        <w:rPr>
          <w:rFonts w:hint="eastAsia" w:ascii="仿宋" w:hAnsi="仿宋" w:eastAsia="仿宋" w:cs="仿宋"/>
          <w:color w:val="auto"/>
          <w:szCs w:val="21"/>
          <w:highlight w:val="none"/>
          <w:u w:val="single"/>
        </w:rPr>
        <w:t>如中标单位发生在中标项目发生欠薪（包括分包欠薪）行为造成不良影响的，将上报上级主管部门纳入钱塘区黑名单。</w:t>
      </w:r>
    </w:p>
    <w:p w14:paraId="41420130">
      <w:pPr>
        <w:adjustRightInd/>
        <w:spacing w:line="400" w:lineRule="exact"/>
        <w:ind w:firstLine="420" w:firstLineChars="200"/>
        <w:rPr>
          <w:rFonts w:hint="default" w:ascii="仿宋" w:hAnsi="仿宋" w:eastAsia="仿宋" w:cs="仿宋"/>
          <w:color w:val="auto"/>
          <w:szCs w:val="21"/>
          <w:highlight w:val="none"/>
          <w:u w:val="single"/>
          <w:lang w:eastAsia="zh-Hans"/>
        </w:rPr>
      </w:pPr>
      <w:r>
        <w:rPr>
          <w:rFonts w:hint="eastAsia" w:ascii="仿宋" w:hAnsi="仿宋" w:eastAsia="仿宋" w:cs="仿宋"/>
          <w:color w:val="auto"/>
          <w:szCs w:val="21"/>
          <w:highlight w:val="none"/>
          <w:u w:val="single"/>
        </w:rPr>
        <w:t>21.2</w:t>
      </w:r>
      <w:r>
        <w:rPr>
          <w:rFonts w:hint="default" w:ascii="仿宋" w:hAnsi="仿宋" w:eastAsia="仿宋" w:cs="仿宋"/>
          <w:color w:val="auto"/>
          <w:szCs w:val="21"/>
          <w:highlight w:val="none"/>
          <w:u w:val="single"/>
        </w:rPr>
        <w:t>0</w:t>
      </w:r>
      <w:r>
        <w:rPr>
          <w:rFonts w:hint="eastAsia" w:ascii="仿宋" w:hAnsi="仿宋" w:eastAsia="仿宋" w:cs="仿宋"/>
          <w:color w:val="auto"/>
          <w:szCs w:val="21"/>
          <w:highlight w:val="none"/>
          <w:u w:val="single"/>
          <w:lang w:val="en-US" w:eastAsia="zh-Hans"/>
        </w:rPr>
        <w:t>.</w:t>
      </w:r>
      <w:r>
        <w:rPr>
          <w:rFonts w:hint="eastAsia" w:ascii="仿宋" w:hAnsi="仿宋" w:eastAsia="仿宋" w:cs="仿宋"/>
          <w:color w:val="auto"/>
          <w:szCs w:val="21"/>
          <w:highlight w:val="none"/>
          <w:u w:val="single"/>
        </w:rPr>
        <w:t>本合同所涉及到的违约金等</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需在当期工程费支付前由承包人基本户缴纳。</w:t>
      </w:r>
      <w:r>
        <w:rPr>
          <w:rFonts w:hint="eastAsia" w:ascii="仿宋" w:hAnsi="仿宋" w:eastAsia="仿宋" w:cs="仿宋"/>
          <w:color w:val="auto"/>
          <w:szCs w:val="21"/>
          <w:highlight w:val="none"/>
          <w:u w:val="single"/>
          <w:lang w:val="en-US" w:eastAsia="zh-Hans"/>
        </w:rPr>
        <w:t>承包人逾期不缴纳或拒绝缴纳的</w:t>
      </w:r>
      <w:r>
        <w:rPr>
          <w:rFonts w:hint="default" w:ascii="仿宋" w:hAnsi="仿宋" w:eastAsia="仿宋" w:cs="仿宋"/>
          <w:color w:val="auto"/>
          <w:szCs w:val="21"/>
          <w:highlight w:val="none"/>
          <w:u w:val="single"/>
          <w:lang w:eastAsia="zh-Hans"/>
        </w:rPr>
        <w:t>，</w:t>
      </w:r>
      <w:r>
        <w:rPr>
          <w:rFonts w:hint="eastAsia" w:ascii="仿宋" w:hAnsi="仿宋" w:eastAsia="仿宋" w:cs="仿宋"/>
          <w:color w:val="auto"/>
          <w:szCs w:val="21"/>
          <w:highlight w:val="none"/>
          <w:u w:val="single"/>
          <w:lang w:val="en-US" w:eastAsia="zh-Hans"/>
        </w:rPr>
        <w:t>发包人有权直接从当期工程费中扣除</w:t>
      </w:r>
      <w:r>
        <w:rPr>
          <w:rFonts w:hint="default" w:ascii="仿宋" w:hAnsi="仿宋" w:eastAsia="仿宋" w:cs="仿宋"/>
          <w:color w:val="auto"/>
          <w:szCs w:val="21"/>
          <w:highlight w:val="none"/>
          <w:u w:val="single"/>
          <w:lang w:eastAsia="zh-Hans"/>
        </w:rPr>
        <w:t>。</w:t>
      </w:r>
    </w:p>
    <w:p w14:paraId="5CCDA271">
      <w:pPr>
        <w:adjustRightInd/>
        <w:spacing w:line="400" w:lineRule="exact"/>
        <w:ind w:firstLine="420" w:firstLineChars="200"/>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szCs w:val="21"/>
          <w:highlight w:val="none"/>
          <w:u w:val="single"/>
          <w:lang w:val="en-US" w:eastAsia="zh-CN"/>
        </w:rPr>
        <w:t>21.21</w:t>
      </w:r>
      <w:r>
        <w:rPr>
          <w:rFonts w:hint="eastAsia" w:ascii="仿宋" w:hAnsi="仿宋" w:eastAsia="仿宋" w:cs="仿宋"/>
          <w:color w:val="auto"/>
          <w:sz w:val="21"/>
          <w:szCs w:val="21"/>
          <w:highlight w:val="none"/>
          <w:u w:val="single"/>
          <w:lang w:val="en-US" w:eastAsia="zh-CN"/>
        </w:rPr>
        <w:t>在维护期内若出现防涂鸦抗粘贴涂层浮起掉落的现象，</w:t>
      </w:r>
      <w:r>
        <w:rPr>
          <w:rFonts w:hint="eastAsia" w:ascii="仿宋" w:hAnsi="仿宋" w:eastAsia="仿宋" w:cs="仿宋"/>
          <w:color w:val="auto"/>
          <w:sz w:val="21"/>
          <w:szCs w:val="21"/>
          <w:highlight w:val="none"/>
          <w:u w:val="single"/>
          <w:lang w:val="en-US" w:eastAsia="zh-Hans"/>
        </w:rPr>
        <w:t>承包人应</w:t>
      </w:r>
      <w:r>
        <w:rPr>
          <w:rFonts w:hint="eastAsia" w:ascii="仿宋" w:hAnsi="仿宋" w:eastAsia="仿宋" w:cs="仿宋"/>
          <w:color w:val="auto"/>
          <w:sz w:val="21"/>
          <w:szCs w:val="21"/>
          <w:highlight w:val="none"/>
          <w:u w:val="single"/>
          <w:lang w:val="en-US" w:eastAsia="zh-CN"/>
        </w:rPr>
        <w:t>无条件重新整改，直至</w:t>
      </w:r>
      <w:r>
        <w:rPr>
          <w:rFonts w:hint="eastAsia" w:ascii="仿宋" w:hAnsi="仿宋" w:eastAsia="仿宋" w:cs="仿宋"/>
          <w:color w:val="auto"/>
          <w:sz w:val="21"/>
          <w:szCs w:val="21"/>
          <w:highlight w:val="none"/>
          <w:u w:val="single"/>
          <w:lang w:val="en-US" w:eastAsia="zh-Hans"/>
        </w:rPr>
        <w:t>发包人</w:t>
      </w:r>
      <w:r>
        <w:rPr>
          <w:rFonts w:hint="eastAsia" w:ascii="仿宋" w:hAnsi="仿宋" w:eastAsia="仿宋" w:cs="仿宋"/>
          <w:color w:val="auto"/>
          <w:sz w:val="21"/>
          <w:szCs w:val="21"/>
          <w:highlight w:val="none"/>
          <w:u w:val="single"/>
          <w:lang w:val="en-US" w:eastAsia="zh-CN"/>
        </w:rPr>
        <w:t>满意为止。</w:t>
      </w:r>
    </w:p>
    <w:p w14:paraId="4D03C571">
      <w:pPr>
        <w:spacing w:line="360" w:lineRule="auto"/>
        <w:ind w:firstLine="420" w:firstLineChars="200"/>
        <w:rPr>
          <w:rFonts w:hint="default" w:eastAsia="仿宋"/>
          <w:color w:val="auto"/>
          <w:highlight w:val="none"/>
          <w:lang w:eastAsia="zh-Hans"/>
        </w:rPr>
      </w:pPr>
      <w:r>
        <w:rPr>
          <w:rFonts w:hint="default" w:ascii="仿宋" w:hAnsi="仿宋" w:eastAsia="仿宋" w:cs="仿宋"/>
          <w:color w:val="auto"/>
          <w:sz w:val="21"/>
          <w:szCs w:val="21"/>
          <w:highlight w:val="none"/>
          <w:u w:val="single"/>
          <w:lang w:eastAsia="zh-CN"/>
        </w:rPr>
        <w:t>21</w:t>
      </w:r>
      <w:r>
        <w:rPr>
          <w:rFonts w:hint="eastAsia" w:ascii="仿宋" w:hAnsi="仿宋" w:eastAsia="仿宋" w:cs="仿宋"/>
          <w:color w:val="auto"/>
          <w:sz w:val="21"/>
          <w:szCs w:val="21"/>
          <w:highlight w:val="none"/>
          <w:u w:val="single"/>
          <w:lang w:val="en-US" w:eastAsia="zh-Hans"/>
        </w:rPr>
        <w:t>.</w:t>
      </w:r>
      <w:r>
        <w:rPr>
          <w:rFonts w:hint="default" w:ascii="仿宋" w:hAnsi="仿宋" w:eastAsia="仿宋" w:cs="仿宋"/>
          <w:color w:val="auto"/>
          <w:sz w:val="21"/>
          <w:szCs w:val="21"/>
          <w:highlight w:val="none"/>
          <w:u w:val="single"/>
          <w:lang w:eastAsia="zh-Hans"/>
        </w:rPr>
        <w:t>2</w:t>
      </w:r>
      <w:r>
        <w:rPr>
          <w:rFonts w:hint="eastAsia" w:ascii="仿宋" w:hAnsi="仿宋" w:eastAsia="仿宋" w:cs="仿宋"/>
          <w:color w:val="auto"/>
          <w:sz w:val="21"/>
          <w:szCs w:val="21"/>
          <w:highlight w:val="none"/>
          <w:u w:val="single"/>
          <w:lang w:val="en-US" w:eastAsia="zh-CN"/>
        </w:rPr>
        <w:t>2</w:t>
      </w:r>
      <w:r>
        <w:rPr>
          <w:rFonts w:hint="eastAsia" w:ascii="仿宋" w:hAnsi="仿宋" w:eastAsia="仿宋" w:cs="仿宋"/>
          <w:color w:val="auto"/>
          <w:sz w:val="21"/>
          <w:szCs w:val="21"/>
          <w:highlight w:val="none"/>
          <w:u w:val="single"/>
        </w:rPr>
        <w:t>本合同签订后一个月内，发包人、</w:t>
      </w:r>
      <w:r>
        <w:rPr>
          <w:rFonts w:hint="eastAsia" w:ascii="仿宋" w:hAnsi="仿宋" w:eastAsia="仿宋" w:cs="仿宋"/>
          <w:color w:val="auto"/>
          <w:sz w:val="21"/>
          <w:szCs w:val="21"/>
          <w:highlight w:val="none"/>
          <w:u w:val="single"/>
          <w:lang w:val="en-US" w:eastAsia="zh-Hans"/>
        </w:rPr>
        <w:t>承包人</w:t>
      </w:r>
      <w:r>
        <w:rPr>
          <w:rFonts w:hint="eastAsia" w:ascii="仿宋" w:hAnsi="仿宋" w:eastAsia="仿宋" w:cs="仿宋"/>
          <w:color w:val="auto"/>
          <w:sz w:val="21"/>
          <w:szCs w:val="21"/>
          <w:highlight w:val="none"/>
          <w:u w:val="single"/>
        </w:rPr>
        <w:t>及劳务分包单位三方需签订《建设项目工资款和其他工程款分账管理协议》</w:t>
      </w:r>
      <w:r>
        <w:rPr>
          <w:rFonts w:hint="default" w:ascii="仿宋" w:hAnsi="仿宋" w:eastAsia="仿宋" w:cs="仿宋"/>
          <w:color w:val="auto"/>
          <w:sz w:val="21"/>
          <w:szCs w:val="21"/>
          <w:highlight w:val="none"/>
          <w:u w:val="single"/>
        </w:rPr>
        <w:t>。</w:t>
      </w:r>
    </w:p>
    <w:p w14:paraId="4CA35ADC">
      <w:pPr>
        <w:adjustRightInd/>
        <w:ind w:firstLine="371" w:firstLineChars="177"/>
        <w:jc w:val="left"/>
        <w:rPr>
          <w:rFonts w:hint="eastAsia" w:ascii="仿宋" w:hAnsi="仿宋" w:eastAsia="仿宋" w:cs="仿宋"/>
          <w:snapToGrid w:val="0"/>
          <w:color w:val="auto"/>
          <w:kern w:val="0"/>
          <w:szCs w:val="21"/>
          <w:highlight w:val="none"/>
        </w:rPr>
      </w:pPr>
    </w:p>
    <w:p w14:paraId="5EF73DA8">
      <w:pPr>
        <w:spacing w:before="162" w:line="440" w:lineRule="exact"/>
        <w:ind w:firstLine="480"/>
        <w:rPr>
          <w:rFonts w:hint="eastAsia" w:ascii="仿宋" w:hAnsi="仿宋" w:eastAsia="仿宋" w:cs="仿宋"/>
          <w:b/>
          <w:bCs/>
          <w:color w:val="auto"/>
          <w:sz w:val="24"/>
          <w:highlight w:val="none"/>
        </w:rPr>
      </w:pPr>
      <w:r>
        <w:rPr>
          <w:rFonts w:hint="eastAsia" w:ascii="仿宋" w:hAnsi="仿宋" w:eastAsia="仿宋" w:cs="仿宋"/>
          <w:color w:val="auto"/>
          <w:sz w:val="24"/>
          <w:highlight w:val="none"/>
          <w:u w:val="single"/>
        </w:rPr>
        <w:br w:type="page"/>
      </w:r>
      <w:r>
        <w:rPr>
          <w:rFonts w:hint="eastAsia" w:ascii="仿宋" w:hAnsi="仿宋" w:eastAsia="仿宋" w:cs="仿宋"/>
          <w:b/>
          <w:bCs/>
          <w:color w:val="auto"/>
          <w:sz w:val="24"/>
          <w:highlight w:val="none"/>
        </w:rPr>
        <w:t>附件1:</w:t>
      </w:r>
    </w:p>
    <w:p w14:paraId="066D26EE">
      <w:pPr>
        <w:adjustRightInd/>
        <w:spacing w:before="120" w:beforeLines="50" w:after="120" w:afterLines="50" w:line="288" w:lineRule="auto"/>
        <w:jc w:val="center"/>
        <w:rPr>
          <w:rFonts w:hint="eastAsia" w:ascii="仿宋" w:hAnsi="仿宋" w:eastAsia="仿宋" w:cs="仿宋"/>
          <w:snapToGrid w:val="0"/>
          <w:color w:val="auto"/>
          <w:kern w:val="0"/>
          <w:sz w:val="22"/>
          <w:szCs w:val="22"/>
          <w:highlight w:val="none"/>
        </w:rPr>
      </w:pPr>
      <w:r>
        <w:rPr>
          <w:rFonts w:hint="eastAsia" w:ascii="仿宋" w:hAnsi="仿宋" w:eastAsia="仿宋" w:cs="仿宋"/>
          <w:snapToGrid w:val="0"/>
          <w:color w:val="auto"/>
          <w:kern w:val="0"/>
          <w:sz w:val="22"/>
          <w:szCs w:val="22"/>
          <w:highlight w:val="none"/>
        </w:rPr>
        <w:t>工程质量保修书</w:t>
      </w:r>
    </w:p>
    <w:p w14:paraId="01B0AC4C">
      <w:pPr>
        <w:adjustRightInd/>
        <w:spacing w:line="288" w:lineRule="auto"/>
        <w:ind w:firstLine="420" w:firstLineChars="200"/>
        <w:rPr>
          <w:rFonts w:hint="eastAsia" w:ascii="仿宋" w:hAnsi="仿宋" w:eastAsia="仿宋" w:cs="仿宋"/>
          <w:snapToGrid w:val="0"/>
          <w:color w:val="auto"/>
          <w:kern w:val="0"/>
          <w:szCs w:val="21"/>
          <w:highlight w:val="none"/>
          <w:lang w:eastAsia="zh-CN"/>
        </w:rPr>
      </w:pPr>
      <w:r>
        <w:rPr>
          <w:rFonts w:hint="eastAsia" w:ascii="仿宋" w:hAnsi="仿宋" w:eastAsia="仿宋" w:cs="仿宋"/>
          <w:snapToGrid w:val="0"/>
          <w:color w:val="auto"/>
          <w:kern w:val="0"/>
          <w:szCs w:val="21"/>
          <w:highlight w:val="none"/>
        </w:rPr>
        <w:t>发包人（全称）：</w:t>
      </w:r>
      <w:r>
        <w:rPr>
          <w:rFonts w:hint="eastAsia" w:ascii="仿宋" w:hAnsi="仿宋" w:eastAsia="仿宋" w:cs="仿宋"/>
          <w:color w:val="auto"/>
          <w:szCs w:val="21"/>
          <w:highlight w:val="none"/>
          <w:u w:val="single"/>
          <w:lang w:eastAsia="zh-CN"/>
        </w:rPr>
        <w:t>杭州市钱塘区观澜中学</w:t>
      </w:r>
    </w:p>
    <w:p w14:paraId="5CC9F3CE">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承包人（全称）：</w:t>
      </w:r>
      <w:bookmarkStart w:id="1167" w:name="SOA_zyht_zlbxcbr"/>
      <w:bookmarkEnd w:id="1167"/>
    </w:p>
    <w:p w14:paraId="632A3026">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发包人和承包人根据《中华人民共和国建筑法》和《建设工程质量管理条例》，经协商一致就</w:t>
      </w:r>
      <w:bookmarkStart w:id="1168" w:name="SOA_zyht_gcqc"/>
      <w:bookmarkEnd w:id="1168"/>
      <w:r>
        <w:rPr>
          <w:rFonts w:hint="eastAsia" w:ascii="仿宋" w:hAnsi="仿宋" w:eastAsia="仿宋" w:cs="仿宋"/>
          <w:snapToGrid w:val="0"/>
          <w:color w:val="auto"/>
          <w:kern w:val="0"/>
          <w:szCs w:val="21"/>
          <w:highlight w:val="none"/>
        </w:rPr>
        <w:t>（</w:t>
      </w:r>
      <w:r>
        <w:rPr>
          <w:rFonts w:hint="eastAsia" w:ascii="仿宋" w:hAnsi="仿宋" w:eastAsia="仿宋" w:cs="仿宋"/>
          <w:snapToGrid w:val="0"/>
          <w:color w:val="auto"/>
          <w:kern w:val="0"/>
          <w:szCs w:val="21"/>
          <w:highlight w:val="none"/>
          <w:u w:val="single"/>
          <w:lang w:eastAsia="zh-CN"/>
        </w:rPr>
        <w:t>观澜中学图书馆扩建改造工程</w:t>
      </w:r>
      <w:r>
        <w:rPr>
          <w:rFonts w:hint="eastAsia" w:ascii="仿宋" w:hAnsi="仿宋" w:eastAsia="仿宋" w:cs="仿宋"/>
          <w:snapToGrid w:val="0"/>
          <w:color w:val="auto"/>
          <w:kern w:val="0"/>
          <w:szCs w:val="21"/>
          <w:highlight w:val="none"/>
        </w:rPr>
        <w:t>）签订工程质量保修书。</w:t>
      </w:r>
    </w:p>
    <w:p w14:paraId="022CC0CA">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一、工程质量保修范围和内容</w:t>
      </w:r>
    </w:p>
    <w:p w14:paraId="62B560CE">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承包人在质量保修期内，按照有关法律规定和合同约定，承担工程质量保修责任。</w:t>
      </w:r>
    </w:p>
    <w:p w14:paraId="54374028">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F7AB96D">
      <w:pPr>
        <w:adjustRightInd/>
        <w:spacing w:line="288" w:lineRule="auto"/>
        <w:ind w:firstLine="420" w:firstLineChars="200"/>
        <w:rPr>
          <w:rFonts w:hint="eastAsia" w:ascii="仿宋" w:hAnsi="仿宋" w:eastAsia="仿宋" w:cs="仿宋"/>
          <w:snapToGrid w:val="0"/>
          <w:color w:val="auto"/>
          <w:kern w:val="0"/>
          <w:szCs w:val="21"/>
          <w:highlight w:val="none"/>
        </w:rPr>
      </w:pPr>
      <w:bookmarkStart w:id="1169" w:name="SOA_zyht_gczlbxfw"/>
      <w:r>
        <w:rPr>
          <w:rFonts w:hint="eastAsia" w:ascii="仿宋" w:hAnsi="仿宋" w:eastAsia="仿宋" w:cs="仿宋"/>
          <w:snapToGrid w:val="0"/>
          <w:color w:val="auto"/>
          <w:kern w:val="0"/>
          <w:szCs w:val="21"/>
          <w:highlight w:val="none"/>
          <w:u w:val="single"/>
        </w:rPr>
        <w:t>双方约定对施工承包范围内的所有内容实行保修</w:t>
      </w:r>
      <w:bookmarkEnd w:id="1169"/>
      <w:r>
        <w:rPr>
          <w:rFonts w:hint="eastAsia" w:ascii="仿宋" w:hAnsi="仿宋" w:eastAsia="仿宋" w:cs="仿宋"/>
          <w:snapToGrid w:val="0"/>
          <w:color w:val="auto"/>
          <w:kern w:val="0"/>
          <w:szCs w:val="21"/>
          <w:highlight w:val="none"/>
        </w:rPr>
        <w:t>。</w:t>
      </w:r>
    </w:p>
    <w:p w14:paraId="36FF523E">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二、质量保修期</w:t>
      </w:r>
    </w:p>
    <w:p w14:paraId="1341EF5F">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根据《建设工程质量管理条例》及有关规定，工程的质量保修期如下：</w:t>
      </w:r>
    </w:p>
    <w:p w14:paraId="4E32C05E">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1．地基基础工程和主体结构工程为设计文件规定的工程合理使用年限；</w:t>
      </w:r>
    </w:p>
    <w:p w14:paraId="6917D81D">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2．屋面防水工程、有防水要求的卫生间、房间和外墙面的防渗为</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年；</w:t>
      </w:r>
    </w:p>
    <w:p w14:paraId="2A4F4C48">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3．装修工程为</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snapToGrid w:val="0"/>
          <w:color w:val="auto"/>
          <w:kern w:val="0"/>
          <w:szCs w:val="21"/>
          <w:highlight w:val="none"/>
        </w:rPr>
        <w:t>年；</w:t>
      </w:r>
    </w:p>
    <w:p w14:paraId="6AA96B4B">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4．电气管线、给排水管道、设备安装工程为</w:t>
      </w:r>
      <w:bookmarkStart w:id="1170" w:name="SOA_zyht_azbxnx"/>
      <w:bookmarkEnd w:id="1170"/>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snapToGrid w:val="0"/>
          <w:color w:val="auto"/>
          <w:kern w:val="0"/>
          <w:szCs w:val="21"/>
          <w:highlight w:val="none"/>
        </w:rPr>
        <w:t>年；</w:t>
      </w:r>
    </w:p>
    <w:p w14:paraId="4EADD65C">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5．供热与供冷系统为</w:t>
      </w:r>
      <w:r>
        <w:rPr>
          <w:rFonts w:hint="eastAsia" w:ascii="仿宋" w:hAnsi="仿宋" w:eastAsia="仿宋" w:cs="仿宋"/>
          <w:snapToGrid w:val="0"/>
          <w:color w:val="auto"/>
          <w:kern w:val="0"/>
          <w:szCs w:val="21"/>
          <w:highlight w:val="none"/>
          <w:u w:val="single"/>
          <w:lang w:val="en-US" w:eastAsia="zh-CN"/>
        </w:rPr>
        <w:t xml:space="preserve"> / </w:t>
      </w:r>
      <w:r>
        <w:rPr>
          <w:rFonts w:hint="eastAsia" w:ascii="仿宋" w:hAnsi="仿宋" w:eastAsia="仿宋" w:cs="仿宋"/>
          <w:snapToGrid w:val="0"/>
          <w:color w:val="auto"/>
          <w:kern w:val="0"/>
          <w:szCs w:val="21"/>
          <w:highlight w:val="none"/>
        </w:rPr>
        <w:t>个采暖期、供冷期；</w:t>
      </w:r>
    </w:p>
    <w:p w14:paraId="4E64BC36">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6．住宅小区内的给排水设施、道路等配套工程为</w:t>
      </w:r>
      <w:r>
        <w:rPr>
          <w:rFonts w:hint="eastAsia" w:ascii="仿宋" w:hAnsi="仿宋" w:eastAsia="仿宋" w:cs="仿宋"/>
          <w:snapToGrid w:val="0"/>
          <w:color w:val="auto"/>
          <w:kern w:val="0"/>
          <w:szCs w:val="21"/>
          <w:highlight w:val="none"/>
          <w:u w:val="single"/>
          <w:lang w:val="en-US" w:eastAsia="zh-CN"/>
        </w:rPr>
        <w:t xml:space="preserve"> / </w:t>
      </w:r>
      <w:r>
        <w:rPr>
          <w:rFonts w:hint="eastAsia" w:ascii="仿宋" w:hAnsi="仿宋" w:eastAsia="仿宋" w:cs="仿宋"/>
          <w:snapToGrid w:val="0"/>
          <w:color w:val="auto"/>
          <w:kern w:val="0"/>
          <w:szCs w:val="21"/>
          <w:highlight w:val="none"/>
        </w:rPr>
        <w:t>年；</w:t>
      </w:r>
    </w:p>
    <w:p w14:paraId="03802EF7">
      <w:pPr>
        <w:adjustRightInd/>
        <w:spacing w:line="288" w:lineRule="auto"/>
        <w:ind w:firstLine="420" w:firstLineChars="200"/>
        <w:rPr>
          <w:rFonts w:hint="default" w:ascii="仿宋" w:hAnsi="仿宋" w:eastAsia="仿宋" w:cs="仿宋"/>
          <w:snapToGrid w:val="0"/>
          <w:color w:val="auto"/>
          <w:kern w:val="0"/>
          <w:szCs w:val="21"/>
          <w:highlight w:val="none"/>
          <w:lang w:val="en-US" w:eastAsia="zh-CN"/>
        </w:rPr>
      </w:pPr>
      <w:r>
        <w:rPr>
          <w:rFonts w:hint="eastAsia" w:ascii="仿宋" w:hAnsi="仿宋" w:eastAsia="仿宋" w:cs="仿宋"/>
          <w:snapToGrid w:val="0"/>
          <w:color w:val="auto"/>
          <w:kern w:val="0"/>
          <w:szCs w:val="21"/>
          <w:highlight w:val="none"/>
        </w:rPr>
        <w:t>7．其他项目保修期限约定如下：</w:t>
      </w:r>
      <w:r>
        <w:rPr>
          <w:rFonts w:hint="eastAsia" w:ascii="仿宋" w:hAnsi="仿宋" w:eastAsia="仿宋" w:cs="仿宋"/>
          <w:snapToGrid w:val="0"/>
          <w:color w:val="auto"/>
          <w:kern w:val="0"/>
          <w:szCs w:val="21"/>
          <w:highlight w:val="none"/>
          <w:u w:val="single"/>
          <w:lang w:val="en-US" w:eastAsia="zh-CN"/>
        </w:rPr>
        <w:t>本项目质保期为</w:t>
      </w:r>
      <w:r>
        <w:rPr>
          <w:rFonts w:hint="eastAsia" w:ascii="仿宋" w:hAnsi="仿宋" w:eastAsia="仿宋" w:cs="仿宋"/>
          <w:b/>
          <w:bCs/>
          <w:snapToGrid w:val="0"/>
          <w:color w:val="auto"/>
          <w:kern w:val="0"/>
          <w:szCs w:val="21"/>
          <w:highlight w:val="none"/>
          <w:u w:val="single"/>
          <w:lang w:val="en-US" w:eastAsia="zh-CN"/>
        </w:rPr>
        <w:t>2</w:t>
      </w:r>
      <w:r>
        <w:rPr>
          <w:rFonts w:hint="eastAsia" w:ascii="仿宋" w:hAnsi="仿宋" w:eastAsia="仿宋" w:cs="仿宋"/>
          <w:snapToGrid w:val="0"/>
          <w:color w:val="auto"/>
          <w:kern w:val="0"/>
          <w:szCs w:val="21"/>
          <w:highlight w:val="none"/>
          <w:u w:val="single"/>
          <w:lang w:val="en-US" w:eastAsia="zh-CN"/>
        </w:rPr>
        <w:t>年。</w:t>
      </w:r>
    </w:p>
    <w:p w14:paraId="21493ADC">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质量保修期自工程竣工验收合格之日起计算。</w:t>
      </w:r>
    </w:p>
    <w:p w14:paraId="163B849F">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三、缺陷责任期</w:t>
      </w:r>
    </w:p>
    <w:p w14:paraId="25B8AFCA">
      <w:pPr>
        <w:adjustRightInd/>
        <w:spacing w:line="360"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工程缺陷责任期为</w:t>
      </w:r>
      <w:bookmarkStart w:id="1171" w:name="SOA_zyht_gcqxq"/>
      <w:r>
        <w:rPr>
          <w:rFonts w:hint="eastAsia" w:ascii="仿宋" w:hAnsi="仿宋" w:eastAsia="仿宋" w:cs="仿宋"/>
          <w:snapToGrid w:val="0"/>
          <w:color w:val="auto"/>
          <w:kern w:val="0"/>
          <w:szCs w:val="21"/>
          <w:highlight w:val="none"/>
          <w:u w:val="single"/>
        </w:rPr>
        <w:t>24</w:t>
      </w:r>
      <w:bookmarkEnd w:id="1171"/>
      <w:r>
        <w:rPr>
          <w:rFonts w:hint="eastAsia" w:ascii="仿宋" w:hAnsi="仿宋" w:eastAsia="仿宋" w:cs="仿宋"/>
          <w:snapToGrid w:val="0"/>
          <w:color w:val="auto"/>
          <w:kern w:val="0"/>
          <w:szCs w:val="21"/>
          <w:highlight w:val="none"/>
        </w:rPr>
        <w:t>个月，缺陷责任期自工程通过竣工验收合格之日起计算。单位工程先于全部工程进行验收，单位工程缺陷责任期自单位工程验收合格之日起计算。</w:t>
      </w:r>
    </w:p>
    <w:p w14:paraId="0F3DFE1B">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缺陷责任期终止后，发包人应退还剩余的质量保证金。</w:t>
      </w:r>
    </w:p>
    <w:p w14:paraId="0F04E231">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四、质量保修责任</w:t>
      </w:r>
    </w:p>
    <w:p w14:paraId="06693129">
      <w:pPr>
        <w:adjustRightInd/>
        <w:spacing w:line="288" w:lineRule="auto"/>
        <w:ind w:left="105" w:leftChars="50" w:firstLine="430" w:firstLineChars="205"/>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1．属于保修范围、内容的项目，承包人应当在接到保修通知之日起7天内派人保修。承包人不在约定期限内派人保修的，发包人可以委托他人修理</w:t>
      </w:r>
      <w:r>
        <w:rPr>
          <w:rFonts w:hint="default" w:ascii="仿宋" w:hAnsi="仿宋" w:eastAsia="仿宋" w:cs="仿宋"/>
          <w:snapToGrid w:val="0"/>
          <w:color w:val="auto"/>
          <w:kern w:val="0"/>
          <w:szCs w:val="21"/>
          <w:highlight w:val="none"/>
        </w:rPr>
        <w:t>，</w:t>
      </w:r>
      <w:r>
        <w:rPr>
          <w:rFonts w:hint="eastAsia" w:ascii="仿宋" w:hAnsi="仿宋" w:eastAsia="仿宋" w:cs="仿宋"/>
          <w:snapToGrid w:val="0"/>
          <w:color w:val="auto"/>
          <w:kern w:val="0"/>
          <w:szCs w:val="21"/>
          <w:highlight w:val="none"/>
          <w:lang w:val="en-US" w:eastAsia="zh-Hans"/>
        </w:rPr>
        <w:t>因此产生的费用由承包人负担</w:t>
      </w:r>
      <w:r>
        <w:rPr>
          <w:rFonts w:hint="eastAsia" w:ascii="仿宋" w:hAnsi="仿宋" w:eastAsia="仿宋" w:cs="仿宋"/>
          <w:snapToGrid w:val="0"/>
          <w:color w:val="auto"/>
          <w:kern w:val="0"/>
          <w:szCs w:val="21"/>
          <w:highlight w:val="none"/>
        </w:rPr>
        <w:t>。</w:t>
      </w:r>
    </w:p>
    <w:p w14:paraId="0EDCCA41">
      <w:pPr>
        <w:adjustRightInd/>
        <w:spacing w:line="300" w:lineRule="auto"/>
        <w:ind w:left="105" w:leftChars="50" w:firstLine="430" w:firstLineChars="205"/>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2．发生紧急事故需抢修的，承包人在接到事故通知后，应当立即到达事故现场抢修。</w:t>
      </w:r>
    </w:p>
    <w:p w14:paraId="4348DC6D">
      <w:pPr>
        <w:adjustRightInd/>
        <w:spacing w:line="300" w:lineRule="auto"/>
        <w:ind w:left="105" w:leftChars="50" w:firstLine="430" w:firstLineChars="205"/>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487F667">
      <w:pPr>
        <w:adjustRightInd/>
        <w:spacing w:line="300" w:lineRule="auto"/>
        <w:ind w:left="420" w:leftChars="200" w:firstLine="105" w:firstLineChars="5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4．质量保修完成后，由发包人组织验收。</w:t>
      </w:r>
    </w:p>
    <w:p w14:paraId="04D94FD2">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五、保修费用</w:t>
      </w:r>
    </w:p>
    <w:p w14:paraId="1501AD74">
      <w:pPr>
        <w:adjustRightInd/>
        <w:spacing w:line="300" w:lineRule="auto"/>
        <w:ind w:firstLine="48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保修费用由造成质量缺陷的责任方承担。</w:t>
      </w:r>
    </w:p>
    <w:p w14:paraId="67D07957">
      <w:pPr>
        <w:spacing w:line="400" w:lineRule="exact"/>
        <w:rPr>
          <w:rFonts w:hint="eastAsia" w:ascii="仿宋" w:hAnsi="仿宋" w:eastAsia="仿宋" w:cs="仿宋"/>
          <w:bCs/>
          <w:color w:val="auto"/>
          <w:szCs w:val="21"/>
          <w:highlight w:val="none"/>
        </w:rPr>
      </w:pPr>
      <w:r>
        <w:rPr>
          <w:rFonts w:hint="eastAsia" w:ascii="仿宋" w:hAnsi="仿宋" w:eastAsia="仿宋" w:cs="仿宋"/>
          <w:b/>
          <w:snapToGrid w:val="0"/>
          <w:color w:val="auto"/>
          <w:kern w:val="0"/>
          <w:szCs w:val="21"/>
          <w:highlight w:val="none"/>
        </w:rPr>
        <w:t>六</w:t>
      </w:r>
      <w:r>
        <w:rPr>
          <w:rFonts w:hint="eastAsia" w:ascii="仿宋" w:hAnsi="仿宋" w:eastAsia="仿宋" w:cs="仿宋"/>
          <w:snapToGrid w:val="0"/>
          <w:color w:val="auto"/>
          <w:kern w:val="0"/>
          <w:szCs w:val="21"/>
          <w:highlight w:val="none"/>
        </w:rPr>
        <w:t>、双方约定的其他工程质量保修事项</w:t>
      </w:r>
      <w:r>
        <w:rPr>
          <w:rFonts w:hint="eastAsia" w:ascii="仿宋" w:hAnsi="仿宋" w:eastAsia="仿宋" w:cs="仿宋"/>
          <w:snapToGrid w:val="0"/>
          <w:color w:val="auto"/>
          <w:kern w:val="0"/>
          <w:szCs w:val="21"/>
          <w:highlight w:val="none"/>
          <w:u w:val="single"/>
        </w:rPr>
        <w:t>：本工程约定的工程质量保修金为</w:t>
      </w:r>
      <w:r>
        <w:rPr>
          <w:rFonts w:hint="eastAsia" w:ascii="仿宋" w:hAnsi="仿宋" w:eastAsia="仿宋" w:cs="仿宋"/>
          <w:color w:val="auto"/>
          <w:szCs w:val="21"/>
          <w:highlight w:val="none"/>
          <w:u w:val="single"/>
          <w:lang w:val="en-US" w:eastAsia="zh-CN"/>
        </w:rPr>
        <w:t>结算价的</w:t>
      </w:r>
      <w:r>
        <w:rPr>
          <w:rFonts w:hint="eastAsia" w:ascii="仿宋" w:hAnsi="仿宋" w:eastAsia="仿宋" w:cs="仿宋"/>
          <w:color w:val="auto"/>
          <w:szCs w:val="21"/>
          <w:highlight w:val="none"/>
          <w:u w:val="single"/>
        </w:rPr>
        <w:t>1.5%</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u w:val="single"/>
          <w:lang w:val="en-US" w:eastAsia="zh-CN"/>
        </w:rPr>
        <w:t>以银行保函的方式递交）。</w:t>
      </w:r>
    </w:p>
    <w:p w14:paraId="342B91ED">
      <w:pPr>
        <w:adjustRightInd/>
        <w:spacing w:line="300" w:lineRule="auto"/>
        <w:ind w:firstLine="399" w:firstLineChars="19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工程质量保修书由发包人、承包人在工程竣工验收前共同签署，作为施工合同附件，其有效期限至保修期满。</w:t>
      </w:r>
    </w:p>
    <w:p w14:paraId="7AD48C64">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发包人(公章)：</w:t>
      </w:r>
      <w:bookmarkStart w:id="1172" w:name="SOA_zyht_fbr"/>
      <w:bookmarkEnd w:id="1172"/>
      <w:r>
        <w:rPr>
          <w:rFonts w:hint="eastAsia" w:ascii="仿宋" w:hAnsi="仿宋" w:eastAsia="仿宋" w:cs="仿宋"/>
          <w:snapToGrid w:val="0"/>
          <w:color w:val="auto"/>
          <w:kern w:val="0"/>
          <w:szCs w:val="21"/>
          <w:highlight w:val="none"/>
          <w:lang w:val="en-US" w:eastAsia="zh-CN"/>
        </w:rPr>
        <w:t xml:space="preserve"> </w:t>
      </w:r>
      <w:r>
        <w:rPr>
          <w:rFonts w:hint="eastAsia" w:ascii="仿宋" w:hAnsi="仿宋" w:eastAsia="仿宋" w:cs="仿宋"/>
          <w:snapToGrid w:val="0"/>
          <w:color w:val="auto"/>
          <w:kern w:val="0"/>
          <w:szCs w:val="21"/>
          <w:highlight w:val="none"/>
          <w:u w:val="single"/>
        </w:rPr>
        <w:t></w:t>
      </w:r>
      <w:r>
        <w:rPr>
          <w:rFonts w:hint="default" w:ascii="仿宋" w:hAnsi="仿宋" w:eastAsia="仿宋" w:cs="仿宋"/>
          <w:snapToGrid w:val="0"/>
          <w:color w:val="auto"/>
          <w:kern w:val="0"/>
          <w:szCs w:val="21"/>
          <w:highlight w:val="none"/>
          <w:u w:val="single"/>
        </w:rPr>
        <w:t xml:space="preserve">    </w:t>
      </w:r>
      <w:r>
        <w:rPr>
          <w:rFonts w:hint="default" w:ascii="仿宋" w:hAnsi="仿宋" w:eastAsia="仿宋" w:cs="仿宋"/>
          <w:snapToGrid w:val="0"/>
          <w:color w:val="auto"/>
          <w:kern w:val="0"/>
          <w:szCs w:val="21"/>
          <w:highlight w:val="none"/>
          <w:u w:val="none"/>
        </w:rPr>
        <w:t xml:space="preserve">                                  </w:t>
      </w:r>
      <w:r>
        <w:rPr>
          <w:rFonts w:hint="eastAsia" w:ascii="仿宋" w:hAnsi="仿宋" w:eastAsia="仿宋" w:cs="仿宋"/>
          <w:snapToGrid w:val="0"/>
          <w:color w:val="auto"/>
          <w:kern w:val="0"/>
          <w:szCs w:val="21"/>
          <w:highlight w:val="none"/>
        </w:rPr>
        <w:t>承包人(公章)：</w:t>
      </w:r>
      <w:r>
        <w:rPr>
          <w:rFonts w:hint="eastAsia" w:ascii="仿宋" w:hAnsi="仿宋" w:eastAsia="仿宋" w:cs="仿宋"/>
          <w:snapToGrid w:val="0"/>
          <w:color w:val="auto"/>
          <w:kern w:val="0"/>
          <w:szCs w:val="21"/>
          <w:highlight w:val="none"/>
          <w:u w:val="single"/>
        </w:rPr>
        <w:t></w:t>
      </w:r>
      <w:bookmarkStart w:id="1173" w:name="SOA_zyht_cbr"/>
      <w:bookmarkEnd w:id="1173"/>
    </w:p>
    <w:p w14:paraId="63CB6AA9">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地  址：</w:t>
      </w:r>
      <w:bookmarkStart w:id="1174" w:name="SOA_zyht_fbrdz"/>
      <w:bookmarkEnd w:id="1174"/>
      <w:r>
        <w:rPr>
          <w:rFonts w:hint="eastAsia" w:ascii="仿宋" w:hAnsi="仿宋" w:eastAsia="仿宋" w:cs="仿宋"/>
          <w:snapToGrid w:val="0"/>
          <w:color w:val="auto"/>
          <w:kern w:val="0"/>
          <w:szCs w:val="21"/>
          <w:highlight w:val="none"/>
          <w:u w:val="single"/>
        </w:rPr>
        <w:t></w:t>
      </w:r>
      <w:r>
        <w:rPr>
          <w:rFonts w:hint="default" w:ascii="仿宋" w:hAnsi="仿宋" w:eastAsia="仿宋" w:cs="仿宋"/>
          <w:snapToGrid w:val="0"/>
          <w:color w:val="auto"/>
          <w:kern w:val="0"/>
          <w:szCs w:val="21"/>
          <w:highlight w:val="none"/>
          <w:u w:val="none"/>
        </w:rPr>
        <w:t xml:space="preserve">                                            </w:t>
      </w:r>
      <w:r>
        <w:rPr>
          <w:rFonts w:hint="eastAsia" w:ascii="仿宋" w:hAnsi="仿宋" w:eastAsia="仿宋" w:cs="仿宋"/>
          <w:snapToGrid w:val="0"/>
          <w:color w:val="auto"/>
          <w:kern w:val="0"/>
          <w:szCs w:val="21"/>
          <w:highlight w:val="none"/>
        </w:rPr>
        <w:t>地  址：</w:t>
      </w:r>
      <w:r>
        <w:rPr>
          <w:rFonts w:hint="eastAsia" w:ascii="仿宋" w:hAnsi="仿宋" w:eastAsia="仿宋" w:cs="仿宋"/>
          <w:snapToGrid w:val="0"/>
          <w:color w:val="auto"/>
          <w:kern w:val="0"/>
          <w:szCs w:val="21"/>
          <w:highlight w:val="none"/>
          <w:u w:val="single"/>
        </w:rPr>
        <w:t></w:t>
      </w:r>
      <w:bookmarkStart w:id="1175" w:name="SOA_zyht_cbrdz"/>
      <w:bookmarkEnd w:id="1175"/>
      <w:r>
        <w:rPr>
          <w:rFonts w:hint="eastAsia" w:ascii="仿宋" w:hAnsi="仿宋" w:eastAsia="仿宋" w:cs="仿宋"/>
          <w:snapToGrid w:val="0"/>
          <w:color w:val="auto"/>
          <w:kern w:val="0"/>
          <w:szCs w:val="21"/>
          <w:highlight w:val="none"/>
          <w:u w:val="single"/>
        </w:rPr>
        <w:t></w:t>
      </w:r>
    </w:p>
    <w:p w14:paraId="73E232F2">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法定代表人(签字)：</w:t>
      </w:r>
      <w:bookmarkStart w:id="1176" w:name="SOA_zyht_fddbr1"/>
      <w:bookmarkEnd w:id="1176"/>
      <w:r>
        <w:rPr>
          <w:rFonts w:hint="default" w:ascii="仿宋" w:hAnsi="仿宋" w:eastAsia="仿宋" w:cs="仿宋"/>
          <w:snapToGrid w:val="0"/>
          <w:color w:val="auto"/>
          <w:kern w:val="0"/>
          <w:szCs w:val="21"/>
          <w:highlight w:val="none"/>
        </w:rPr>
        <w:t xml:space="preserve">                                     </w:t>
      </w:r>
      <w:r>
        <w:rPr>
          <w:rFonts w:hint="eastAsia" w:ascii="仿宋" w:hAnsi="仿宋" w:eastAsia="仿宋" w:cs="仿宋"/>
          <w:snapToGrid w:val="0"/>
          <w:color w:val="auto"/>
          <w:kern w:val="0"/>
          <w:szCs w:val="21"/>
          <w:highlight w:val="none"/>
        </w:rPr>
        <w:t>法定代表人(签字)：</w:t>
      </w:r>
      <w:bookmarkStart w:id="1177" w:name="SOA_zyht_fddbr2"/>
      <w:bookmarkEnd w:id="1177"/>
    </w:p>
    <w:p w14:paraId="7814011F">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委托代理人(签字)：</w:t>
      </w:r>
      <w:bookmarkStart w:id="1178" w:name="SOA_zyht_wtdlr1"/>
      <w:bookmarkEnd w:id="1178"/>
      <w:r>
        <w:rPr>
          <w:rFonts w:hint="default" w:ascii="仿宋" w:hAnsi="仿宋" w:eastAsia="仿宋" w:cs="仿宋"/>
          <w:snapToGrid w:val="0"/>
          <w:color w:val="auto"/>
          <w:kern w:val="0"/>
          <w:szCs w:val="21"/>
          <w:highlight w:val="none"/>
        </w:rPr>
        <w:t xml:space="preserve">                                     </w:t>
      </w:r>
      <w:r>
        <w:rPr>
          <w:rFonts w:hint="eastAsia" w:ascii="仿宋" w:hAnsi="仿宋" w:eastAsia="仿宋" w:cs="仿宋"/>
          <w:snapToGrid w:val="0"/>
          <w:color w:val="auto"/>
          <w:kern w:val="0"/>
          <w:szCs w:val="21"/>
          <w:highlight w:val="none"/>
        </w:rPr>
        <w:t>委托代理人(签字)：</w:t>
      </w:r>
      <w:bookmarkStart w:id="1179" w:name="SOA_zyht_wtdlr2"/>
      <w:bookmarkEnd w:id="1179"/>
    </w:p>
    <w:p w14:paraId="561ED818">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电  话：</w:t>
      </w:r>
      <w:r>
        <w:rPr>
          <w:rFonts w:hint="eastAsia" w:ascii="仿宋" w:hAnsi="仿宋" w:eastAsia="仿宋" w:cs="仿宋"/>
          <w:snapToGrid w:val="0"/>
          <w:color w:val="auto"/>
          <w:kern w:val="0"/>
          <w:szCs w:val="21"/>
          <w:highlight w:val="none"/>
          <w:u w:val="single"/>
        </w:rPr>
        <w:t></w:t>
      </w:r>
      <w:bookmarkStart w:id="1180" w:name="SOA_zyht_fbrdh1"/>
      <w:bookmarkEnd w:id="1180"/>
      <w:r>
        <w:rPr>
          <w:rFonts w:hint="default" w:ascii="仿宋" w:hAnsi="仿宋" w:eastAsia="仿宋" w:cs="仿宋"/>
          <w:snapToGrid w:val="0"/>
          <w:color w:val="auto"/>
          <w:kern w:val="0"/>
          <w:szCs w:val="21"/>
          <w:highlight w:val="none"/>
          <w:u w:val="none"/>
        </w:rPr>
        <w:t xml:space="preserve">                                            </w:t>
      </w:r>
      <w:r>
        <w:rPr>
          <w:rFonts w:hint="eastAsia" w:ascii="仿宋" w:hAnsi="仿宋" w:eastAsia="仿宋" w:cs="仿宋"/>
          <w:snapToGrid w:val="0"/>
          <w:color w:val="auto"/>
          <w:kern w:val="0"/>
          <w:szCs w:val="21"/>
          <w:highlight w:val="none"/>
        </w:rPr>
        <w:t>电  话：</w:t>
      </w:r>
      <w:r>
        <w:rPr>
          <w:rFonts w:hint="eastAsia" w:ascii="仿宋" w:hAnsi="仿宋" w:eastAsia="仿宋" w:cs="仿宋"/>
          <w:snapToGrid w:val="0"/>
          <w:color w:val="auto"/>
          <w:kern w:val="0"/>
          <w:szCs w:val="21"/>
          <w:highlight w:val="none"/>
          <w:u w:val="single"/>
        </w:rPr>
        <w:t></w:t>
      </w:r>
      <w:bookmarkStart w:id="1181" w:name="SOA_zyht_cbrdh"/>
      <w:bookmarkEnd w:id="1181"/>
      <w:r>
        <w:rPr>
          <w:rFonts w:hint="eastAsia" w:ascii="仿宋" w:hAnsi="仿宋" w:eastAsia="仿宋" w:cs="仿宋"/>
          <w:snapToGrid w:val="0"/>
          <w:color w:val="auto"/>
          <w:kern w:val="0"/>
          <w:szCs w:val="21"/>
          <w:highlight w:val="none"/>
          <w:u w:val="single"/>
        </w:rPr>
        <w:t xml:space="preserve"> </w:t>
      </w:r>
    </w:p>
    <w:p w14:paraId="0FC38C04">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开户银行：</w:t>
      </w:r>
      <w:bookmarkStart w:id="1182" w:name="SOA_zyht_fbrkhyh"/>
      <w:bookmarkEnd w:id="1182"/>
      <w:r>
        <w:rPr>
          <w:rFonts w:hint="default" w:ascii="仿宋" w:hAnsi="仿宋" w:eastAsia="仿宋" w:cs="仿宋"/>
          <w:snapToGrid w:val="0"/>
          <w:color w:val="auto"/>
          <w:kern w:val="0"/>
          <w:szCs w:val="21"/>
          <w:highlight w:val="none"/>
        </w:rPr>
        <w:t xml:space="preserve">                                            </w:t>
      </w:r>
      <w:r>
        <w:rPr>
          <w:rFonts w:hint="eastAsia" w:ascii="仿宋" w:hAnsi="仿宋" w:eastAsia="仿宋" w:cs="仿宋"/>
          <w:snapToGrid w:val="0"/>
          <w:color w:val="auto"/>
          <w:kern w:val="0"/>
          <w:szCs w:val="21"/>
          <w:highlight w:val="none"/>
        </w:rPr>
        <w:t>开户银行：</w:t>
      </w:r>
      <w:bookmarkStart w:id="1183" w:name="SOA_zyht_cbrkhyh"/>
      <w:bookmarkEnd w:id="1183"/>
    </w:p>
    <w:p w14:paraId="4B943F6A">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账  号：</w:t>
      </w:r>
      <w:r>
        <w:rPr>
          <w:rFonts w:hint="eastAsia" w:ascii="仿宋" w:hAnsi="仿宋" w:eastAsia="仿宋" w:cs="仿宋"/>
          <w:snapToGrid w:val="0"/>
          <w:color w:val="auto"/>
          <w:kern w:val="0"/>
          <w:szCs w:val="21"/>
          <w:highlight w:val="none"/>
          <w:u w:val="single"/>
        </w:rPr>
        <w:t></w:t>
      </w:r>
      <w:bookmarkStart w:id="1184" w:name="SOA_zyht_fbrzh"/>
      <w:bookmarkEnd w:id="1184"/>
      <w:r>
        <w:rPr>
          <w:rFonts w:hint="eastAsia" w:ascii="仿宋" w:hAnsi="仿宋" w:eastAsia="仿宋" w:cs="仿宋"/>
          <w:snapToGrid w:val="0"/>
          <w:color w:val="auto"/>
          <w:kern w:val="0"/>
          <w:szCs w:val="21"/>
          <w:highlight w:val="none"/>
          <w:u w:val="single"/>
        </w:rPr>
        <w:t></w:t>
      </w:r>
      <w:r>
        <w:rPr>
          <w:rFonts w:hint="default" w:ascii="仿宋" w:hAnsi="仿宋" w:eastAsia="仿宋" w:cs="仿宋"/>
          <w:snapToGrid w:val="0"/>
          <w:color w:val="auto"/>
          <w:kern w:val="0"/>
          <w:szCs w:val="21"/>
          <w:highlight w:val="none"/>
          <w:u w:val="none"/>
        </w:rPr>
        <w:t xml:space="preserve">                                          </w:t>
      </w:r>
      <w:r>
        <w:rPr>
          <w:rFonts w:hint="eastAsia" w:ascii="仿宋" w:hAnsi="仿宋" w:eastAsia="仿宋" w:cs="仿宋"/>
          <w:snapToGrid w:val="0"/>
          <w:color w:val="auto"/>
          <w:kern w:val="0"/>
          <w:szCs w:val="21"/>
          <w:highlight w:val="none"/>
        </w:rPr>
        <w:t>账 号：</w:t>
      </w:r>
      <w:r>
        <w:rPr>
          <w:rFonts w:hint="eastAsia" w:ascii="仿宋" w:hAnsi="仿宋" w:eastAsia="仿宋" w:cs="仿宋"/>
          <w:snapToGrid w:val="0"/>
          <w:color w:val="auto"/>
          <w:kern w:val="0"/>
          <w:szCs w:val="21"/>
          <w:highlight w:val="none"/>
          <w:u w:val="single"/>
        </w:rPr>
        <w:t></w:t>
      </w:r>
      <w:bookmarkStart w:id="1185" w:name="SOA_zyht_cbrzh"/>
      <w:bookmarkEnd w:id="1185"/>
    </w:p>
    <w:p w14:paraId="3A714724">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邮政编码：</w:t>
      </w:r>
      <w:bookmarkStart w:id="1186" w:name="SOA_zyht_fbryb"/>
      <w:bookmarkEnd w:id="1186"/>
      <w:r>
        <w:rPr>
          <w:rFonts w:hint="default" w:ascii="仿宋" w:hAnsi="仿宋" w:eastAsia="仿宋" w:cs="仿宋"/>
          <w:snapToGrid w:val="0"/>
          <w:color w:val="auto"/>
          <w:kern w:val="0"/>
          <w:szCs w:val="21"/>
          <w:highlight w:val="none"/>
        </w:rPr>
        <w:t xml:space="preserve">                                            </w:t>
      </w:r>
      <w:r>
        <w:rPr>
          <w:rFonts w:hint="eastAsia" w:ascii="仿宋" w:hAnsi="仿宋" w:eastAsia="仿宋" w:cs="仿宋"/>
          <w:snapToGrid w:val="0"/>
          <w:color w:val="auto"/>
          <w:kern w:val="0"/>
          <w:szCs w:val="21"/>
          <w:highlight w:val="none"/>
        </w:rPr>
        <w:t>邮政编码：</w:t>
      </w:r>
      <w:r>
        <w:rPr>
          <w:rFonts w:hint="eastAsia" w:ascii="仿宋" w:hAnsi="仿宋" w:eastAsia="仿宋" w:cs="仿宋"/>
          <w:snapToGrid w:val="0"/>
          <w:color w:val="auto"/>
          <w:kern w:val="0"/>
          <w:szCs w:val="21"/>
          <w:highlight w:val="none"/>
          <w:u w:val="single"/>
        </w:rPr>
        <w:t></w:t>
      </w:r>
      <w:bookmarkStart w:id="1187" w:name="SOA_zyht_cbryb"/>
      <w:bookmarkEnd w:id="1187"/>
    </w:p>
    <w:p w14:paraId="16A54F5B">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6FAE640C">
      <w:pPr>
        <w:rPr>
          <w:rFonts w:hint="eastAsia" w:asciiTheme="minorEastAsia" w:hAnsiTheme="minorEastAsia" w:eastAsiaTheme="minorEastAsia"/>
          <w:color w:val="auto"/>
          <w:szCs w:val="21"/>
          <w:highlight w:val="none"/>
        </w:rPr>
      </w:pPr>
    </w:p>
    <w:p w14:paraId="6BB24722">
      <w:pPr>
        <w:kinsoku/>
        <w:wordWrap/>
        <w:overflowPunct/>
        <w:topLinePunct w:val="0"/>
        <w:bidi w:val="0"/>
        <w:spacing w:line="360" w:lineRule="auto"/>
        <w:ind w:left="0" w:leftChars="0" w:firstLine="0"/>
        <w:textAlignment w:val="auto"/>
        <w:rPr>
          <w:rFonts w:hint="eastAsia" w:ascii="宋体" w:hAnsi="宋体" w:eastAsia="宋体" w:cs="宋体"/>
          <w:color w:val="auto"/>
          <w:sz w:val="24"/>
          <w:szCs w:val="24"/>
          <w:highlight w:val="none"/>
          <w:u w:val="single"/>
        </w:rPr>
      </w:pPr>
      <w:bookmarkStart w:id="1188" w:name="_Toc249091536"/>
      <w:bookmarkStart w:id="1189" w:name="_Toc534620509"/>
    </w:p>
    <w:bookmarkEnd w:id="1188"/>
    <w:bookmarkEnd w:id="1189"/>
    <w:p w14:paraId="2E4410FE">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532011F9">
      <w:pPr>
        <w:spacing w:line="360" w:lineRule="auto"/>
        <w:jc w:val="center"/>
        <w:outlineLvl w:val="0"/>
        <w:rPr>
          <w:rFonts w:ascii="宋体" w:hAnsi="宋体" w:cs="宋体"/>
          <w:b/>
          <w:color w:val="auto"/>
          <w:kern w:val="0"/>
          <w:sz w:val="36"/>
          <w:szCs w:val="36"/>
          <w:highlight w:val="none"/>
        </w:rPr>
      </w:pPr>
    </w:p>
    <w:p w14:paraId="629EEA1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0FDFED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888F5E3">
      <w:pPr>
        <w:spacing w:line="360" w:lineRule="auto"/>
        <w:jc w:val="center"/>
        <w:outlineLvl w:val="0"/>
        <w:rPr>
          <w:rFonts w:ascii="宋体" w:hAnsi="宋体" w:cs="宋体"/>
          <w:b/>
          <w:color w:val="auto"/>
          <w:kern w:val="0"/>
          <w:sz w:val="36"/>
          <w:szCs w:val="36"/>
          <w:highlight w:val="none"/>
        </w:rPr>
      </w:pPr>
    </w:p>
    <w:p w14:paraId="023B853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5383C53">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10B907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65DAEE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531D952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）项目经理无在建工程声明……………………………………………（页码）</w:t>
      </w:r>
    </w:p>
    <w:p w14:paraId="0B786C09">
      <w:pPr>
        <w:spacing w:line="360" w:lineRule="auto"/>
        <w:ind w:firstLine="480" w:firstLineChars="200"/>
        <w:rPr>
          <w:rFonts w:ascii="宋体" w:hAnsi="宋体" w:cs="宋体"/>
          <w:color w:val="auto"/>
          <w:sz w:val="24"/>
          <w:highlight w:val="none"/>
        </w:rPr>
      </w:pPr>
    </w:p>
    <w:p w14:paraId="6A3DC74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369160DB">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杭州市钱塘区观澜中学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浙江省房地产管理咨询有限公司</w:t>
      </w:r>
      <w:r>
        <w:rPr>
          <w:rFonts w:hint="eastAsia" w:ascii="宋体" w:hAnsi="宋体" w:cs="宋体"/>
          <w:color w:val="auto"/>
          <w:sz w:val="24"/>
          <w:highlight w:val="none"/>
        </w:rPr>
        <w:t>：</w:t>
      </w:r>
    </w:p>
    <w:p w14:paraId="210CC17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观澜中学图书馆扩建改造工程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QTCG-CS-2024-043</w:t>
      </w:r>
      <w:r>
        <w:rPr>
          <w:rFonts w:hint="eastAsia" w:ascii="宋体" w:hAnsi="宋体" w:cs="宋体"/>
          <w:color w:val="auto"/>
          <w:sz w:val="24"/>
          <w:highlight w:val="none"/>
        </w:rPr>
        <w:t>】政府采购活动，郑重承诺：</w:t>
      </w:r>
    </w:p>
    <w:p w14:paraId="1225D8E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714EF1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F6C56A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CB3719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E6963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CA4F9F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FA43C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397A9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340847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4714D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B2732D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23813C0">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464E51F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C951629">
      <w:pPr>
        <w:snapToGrid w:val="0"/>
        <w:spacing w:line="360" w:lineRule="auto"/>
        <w:ind w:right="480"/>
        <w:jc w:val="center"/>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440" w:right="1080" w:bottom="1440" w:left="1080" w:header="851" w:footer="992" w:gutter="0"/>
          <w:cols w:space="720" w:num="1"/>
          <w:titlePg/>
          <w:docGrid w:linePitch="312" w:charSpace="0"/>
        </w:sectPr>
      </w:pPr>
    </w:p>
    <w:p w14:paraId="10BE5208">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F44029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[以联合体形式参与的，提供联合协议（附件5）；供应商不以联合体形式投参与的，则不需要提供]</w:t>
      </w:r>
    </w:p>
    <w:p w14:paraId="3F8E6E0A">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5F707B0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4E9CB4E">
      <w:pP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14:paraId="1183BB7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67822055">
      <w:pPr>
        <w:widowControl/>
        <w:spacing w:line="360" w:lineRule="auto"/>
        <w:ind w:firstLine="480"/>
        <w:jc w:val="left"/>
        <w:rPr>
          <w:rFonts w:hint="eastAsia" w:ascii="宋体" w:hAnsi="宋体" w:cs="宋体"/>
          <w:b/>
          <w:bCs/>
          <w:color w:val="auto"/>
          <w:kern w:val="0"/>
          <w:sz w:val="24"/>
          <w:highlight w:val="none"/>
        </w:rPr>
      </w:pPr>
    </w:p>
    <w:p w14:paraId="6E33D5C9">
      <w:pPr>
        <w:widowControl/>
        <w:spacing w:line="360" w:lineRule="auto"/>
        <w:ind w:firstLine="480"/>
        <w:jc w:val="left"/>
        <w:rPr>
          <w:rFonts w:ascii="宋体" w:hAnsi="宋体" w:cs="宋体"/>
          <w:color w:val="auto"/>
          <w:sz w:val="24"/>
          <w:highlight w:val="none"/>
        </w:rPr>
      </w:pPr>
      <w:r>
        <w:rPr>
          <w:rFonts w:hint="eastAsia" w:ascii="宋体" w:hAnsi="宋体" w:cs="宋体"/>
          <w:b/>
          <w:bCs/>
          <w:color w:val="auto"/>
          <w:kern w:val="0"/>
          <w:sz w:val="24"/>
          <w:highlight w:val="none"/>
        </w:rPr>
        <w:t>标的：</w:t>
      </w:r>
      <w:r>
        <w:rPr>
          <w:rFonts w:hint="eastAsia" w:ascii="宋体" w:hAnsi="宋体" w:cs="宋体"/>
          <w:b/>
          <w:bCs/>
          <w:color w:val="auto"/>
          <w:kern w:val="0"/>
          <w:sz w:val="24"/>
          <w:highlight w:val="none"/>
          <w:u w:val="single"/>
          <w:lang w:eastAsia="zh-CN"/>
        </w:rPr>
        <w:t>观澜中学图书馆扩建改造工程</w:t>
      </w:r>
      <w:r>
        <w:rPr>
          <w:rFonts w:hint="eastAsia" w:ascii="宋体" w:hAnsi="宋体" w:cs="宋体"/>
          <w:b/>
          <w:bCs/>
          <w:color w:val="auto"/>
          <w:kern w:val="0"/>
          <w:sz w:val="24"/>
          <w:highlight w:val="none"/>
        </w:rPr>
        <w:t>，属于</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u w:val="single"/>
          <w:lang w:eastAsia="zh-CN"/>
        </w:rPr>
        <w:t>建筑业</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rPr>
        <w:t>行业；</w:t>
      </w:r>
    </w:p>
    <w:p w14:paraId="50C56209">
      <w:pPr>
        <w:widowControl/>
        <w:spacing w:line="360" w:lineRule="auto"/>
        <w:ind w:firstLine="472" w:firstLineChars="196"/>
        <w:jc w:val="left"/>
        <w:rPr>
          <w:rFonts w:hint="eastAsia" w:ascii="宋体" w:hAnsi="宋体" w:cs="宋体"/>
          <w:b/>
          <w:color w:val="auto"/>
          <w:sz w:val="24"/>
          <w:highlight w:val="none"/>
        </w:rPr>
      </w:pPr>
    </w:p>
    <w:p w14:paraId="0D4AD845">
      <w:pPr>
        <w:pStyle w:val="82"/>
        <w:rPr>
          <w:rFonts w:hint="eastAsia"/>
          <w:color w:val="auto"/>
          <w:highlight w:val="none"/>
        </w:rPr>
      </w:pPr>
    </w:p>
    <w:p w14:paraId="0ED0378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视同符合了资格条件，无需再与其他中小企业组成联合体参加政府采购活动，无需提供联合协议。</w:t>
      </w:r>
    </w:p>
    <w:p w14:paraId="4095A4D9">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0C5E2C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），分包意向协议中中小企业合同金额应当达到竞争性磋商公告载明的比例；如果供应商本身提供所有标的均由中小企业承建，视同符合了资格条件，无需再向中小企业分包，无需提供分包意向协议。</w:t>
      </w:r>
    </w:p>
    <w:p w14:paraId="00FCB4FC">
      <w:pPr>
        <w:widowControl/>
        <w:spacing w:line="360" w:lineRule="auto"/>
        <w:ind w:left="150"/>
        <w:jc w:val="center"/>
        <w:rPr>
          <w:rFonts w:ascii="宋体" w:hAnsi="宋体" w:cs="宋体"/>
          <w:b/>
          <w:color w:val="auto"/>
          <w:kern w:val="0"/>
          <w:sz w:val="32"/>
          <w:szCs w:val="32"/>
          <w:highlight w:val="none"/>
        </w:rPr>
      </w:pPr>
    </w:p>
    <w:p w14:paraId="2835CF9C">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5BC22A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w:t>
      </w:r>
    </w:p>
    <w:p w14:paraId="3A19149B">
      <w:pPr>
        <w:widowControl/>
        <w:spacing w:line="360" w:lineRule="auto"/>
        <w:ind w:left="150"/>
        <w:jc w:val="center"/>
        <w:rPr>
          <w:rFonts w:hint="eastAsia" w:ascii="宋体" w:hAnsi="宋体" w:cs="宋体"/>
          <w:b/>
          <w:color w:val="auto"/>
          <w:kern w:val="0"/>
          <w:sz w:val="32"/>
          <w:szCs w:val="32"/>
          <w:highlight w:val="none"/>
          <w:lang w:val="en-US" w:eastAsia="zh-CN"/>
        </w:rPr>
      </w:pPr>
    </w:p>
    <w:p w14:paraId="0BB1307F">
      <w:pPr>
        <w:widowControl/>
        <w:spacing w:line="360" w:lineRule="auto"/>
        <w:ind w:left="150"/>
        <w:jc w:val="center"/>
        <w:rPr>
          <w:rFonts w:hint="eastAsia" w:ascii="宋体" w:hAnsi="宋体" w:cs="宋体"/>
          <w:b/>
          <w:color w:val="auto"/>
          <w:kern w:val="0"/>
          <w:sz w:val="32"/>
          <w:szCs w:val="32"/>
          <w:highlight w:val="none"/>
          <w:lang w:val="en-US" w:eastAsia="zh-CN"/>
        </w:rPr>
      </w:pPr>
    </w:p>
    <w:p w14:paraId="5AD6B3C1">
      <w:pPr>
        <w:widowControl/>
        <w:spacing w:line="360" w:lineRule="auto"/>
        <w:ind w:left="150"/>
        <w:jc w:val="center"/>
        <w:rPr>
          <w:rFonts w:hint="eastAsia" w:ascii="宋体" w:hAnsi="宋体" w:cs="宋体"/>
          <w:b/>
          <w:color w:val="auto"/>
          <w:kern w:val="0"/>
          <w:sz w:val="32"/>
          <w:szCs w:val="32"/>
          <w:highlight w:val="none"/>
          <w:lang w:val="en-US" w:eastAsia="zh-CN"/>
        </w:rPr>
      </w:pPr>
    </w:p>
    <w:p w14:paraId="57DA9E99">
      <w:pPr>
        <w:widowControl/>
        <w:spacing w:line="360" w:lineRule="auto"/>
        <w:ind w:left="150"/>
        <w:jc w:val="center"/>
        <w:rPr>
          <w:rFonts w:hint="eastAsia" w:ascii="宋体" w:hAnsi="宋体" w:cs="宋体"/>
          <w:b/>
          <w:color w:val="auto"/>
          <w:kern w:val="0"/>
          <w:sz w:val="32"/>
          <w:szCs w:val="32"/>
          <w:highlight w:val="none"/>
          <w:lang w:val="en-US" w:eastAsia="zh-CN"/>
        </w:rPr>
      </w:pPr>
    </w:p>
    <w:p w14:paraId="54FFBDE3">
      <w:pPr>
        <w:widowControl/>
        <w:spacing w:line="360" w:lineRule="auto"/>
        <w:ind w:left="150"/>
        <w:jc w:val="center"/>
        <w:rPr>
          <w:rFonts w:hint="eastAsia" w:ascii="宋体" w:hAnsi="宋体" w:cs="宋体"/>
          <w:b/>
          <w:color w:val="auto"/>
          <w:kern w:val="0"/>
          <w:sz w:val="32"/>
          <w:szCs w:val="32"/>
          <w:highlight w:val="none"/>
          <w:lang w:val="en-US" w:eastAsia="zh-CN"/>
        </w:rPr>
      </w:pPr>
    </w:p>
    <w:p w14:paraId="630FD22F">
      <w:pPr>
        <w:widowControl/>
        <w:spacing w:line="360" w:lineRule="auto"/>
        <w:ind w:left="150"/>
        <w:jc w:val="center"/>
        <w:rPr>
          <w:rFonts w:hint="eastAsia" w:ascii="宋体" w:hAnsi="宋体" w:cs="宋体"/>
          <w:b/>
          <w:color w:val="auto"/>
          <w:kern w:val="0"/>
          <w:sz w:val="32"/>
          <w:szCs w:val="32"/>
          <w:highlight w:val="none"/>
          <w:lang w:val="en-US" w:eastAsia="zh-CN"/>
        </w:rPr>
      </w:pPr>
    </w:p>
    <w:p w14:paraId="013D1FEF">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项目经理无在建工程声明函</w:t>
      </w:r>
    </w:p>
    <w:p w14:paraId="096F28DA">
      <w:pPr>
        <w:pStyle w:val="35"/>
        <w:snapToGrid w:val="0"/>
        <w:spacing w:line="300" w:lineRule="auto"/>
        <w:jc w:val="center"/>
        <w:rPr>
          <w:rFonts w:cs="Calibri"/>
          <w:b/>
          <w:bCs/>
          <w:color w:val="auto"/>
          <w:sz w:val="32"/>
          <w:szCs w:val="32"/>
          <w:highlight w:val="none"/>
        </w:rPr>
      </w:pPr>
    </w:p>
    <w:p w14:paraId="0688A3E7">
      <w:pPr>
        <w:snapToGrid w:val="0"/>
        <w:spacing w:line="360" w:lineRule="auto"/>
        <w:ind w:firstLine="480" w:firstLineChars="200"/>
        <w:rPr>
          <w:rFonts w:ascii="宋体" w:hAnsi="宋体" w:cs="Calibri"/>
          <w:snapToGrid w:val="0"/>
          <w:color w:val="auto"/>
          <w:sz w:val="24"/>
          <w:highlight w:val="none"/>
          <w:u w:val="single"/>
        </w:rPr>
      </w:pPr>
      <w:r>
        <w:rPr>
          <w:rFonts w:hint="eastAsia" w:ascii="宋体" w:hAnsi="宋体" w:cs="Calibri"/>
          <w:snapToGrid w:val="0"/>
          <w:color w:val="auto"/>
          <w:sz w:val="24"/>
          <w:highlight w:val="none"/>
          <w:u w:val="single"/>
        </w:rPr>
        <w:t>（</w:t>
      </w:r>
      <w:r>
        <w:rPr>
          <w:rFonts w:hint="eastAsia" w:ascii="宋体" w:hAnsi="宋体" w:cs="Calibri"/>
          <w:snapToGrid w:val="0"/>
          <w:color w:val="auto"/>
          <w:sz w:val="24"/>
          <w:highlight w:val="none"/>
          <w:u w:val="single"/>
          <w:lang w:eastAsia="zh-CN"/>
        </w:rPr>
        <w:t>杭州市钱塘区观澜中学</w:t>
      </w:r>
      <w:r>
        <w:rPr>
          <w:rFonts w:hint="eastAsia" w:ascii="宋体" w:hAnsi="宋体" w:cs="Calibri"/>
          <w:snapToGrid w:val="0"/>
          <w:color w:val="auto"/>
          <w:sz w:val="24"/>
          <w:highlight w:val="none"/>
          <w:u w:val="single"/>
        </w:rPr>
        <w:t>）、（</w:t>
      </w:r>
      <w:r>
        <w:rPr>
          <w:rFonts w:hint="eastAsia" w:ascii="宋体" w:hAnsi="宋体" w:cs="Calibri"/>
          <w:snapToGrid w:val="0"/>
          <w:color w:val="auto"/>
          <w:sz w:val="24"/>
          <w:highlight w:val="none"/>
          <w:u w:val="single"/>
          <w:lang w:eastAsia="zh-CN"/>
        </w:rPr>
        <w:t>浙江省房地产管理咨询有限公司</w:t>
      </w:r>
      <w:r>
        <w:rPr>
          <w:rFonts w:hint="eastAsia" w:ascii="宋体" w:hAnsi="宋体" w:cs="Calibri"/>
          <w:snapToGrid w:val="0"/>
          <w:color w:val="auto"/>
          <w:sz w:val="24"/>
          <w:highlight w:val="none"/>
          <w:u w:val="single"/>
        </w:rPr>
        <w:t>）：</w:t>
      </w:r>
    </w:p>
    <w:p w14:paraId="38CA110A">
      <w:pPr>
        <w:snapToGrid w:val="0"/>
        <w:spacing w:line="360" w:lineRule="auto"/>
        <w:ind w:firstLine="480" w:firstLineChars="200"/>
        <w:rPr>
          <w:rFonts w:ascii="宋体" w:hAnsi="宋体" w:cs="Calibri"/>
          <w:color w:val="auto"/>
          <w:sz w:val="24"/>
          <w:highlight w:val="none"/>
        </w:rPr>
      </w:pPr>
      <w:r>
        <w:rPr>
          <w:rFonts w:ascii="宋体" w:hAnsi="宋体" w:cs="Calibri"/>
          <w:color w:val="auto"/>
          <w:sz w:val="24"/>
          <w:highlight w:val="none"/>
        </w:rPr>
        <w:t>我方参加（</w:t>
      </w:r>
      <w:r>
        <w:rPr>
          <w:rFonts w:hint="eastAsia" w:ascii="宋体" w:hAnsi="宋体" w:cs="Calibri"/>
          <w:snapToGrid w:val="0"/>
          <w:color w:val="auto"/>
          <w:sz w:val="24"/>
          <w:highlight w:val="none"/>
          <w:u w:val="single"/>
          <w:lang w:eastAsia="zh-CN"/>
        </w:rPr>
        <w:t>杭州市钱塘区观澜中学</w:t>
      </w:r>
      <w:r>
        <w:rPr>
          <w:rFonts w:ascii="宋体" w:hAnsi="宋体" w:cs="Calibri"/>
          <w:color w:val="auto"/>
          <w:sz w:val="24"/>
          <w:highlight w:val="none"/>
        </w:rPr>
        <w:t>）（</w:t>
      </w:r>
      <w:r>
        <w:rPr>
          <w:rFonts w:hint="eastAsia" w:ascii="宋体" w:hAnsi="宋体" w:cs="Calibri"/>
          <w:color w:val="auto"/>
          <w:sz w:val="24"/>
          <w:highlight w:val="none"/>
          <w:lang w:eastAsia="zh-CN"/>
        </w:rPr>
        <w:t>观澜中学图书馆扩建改造工程</w:t>
      </w:r>
      <w:r>
        <w:rPr>
          <w:rFonts w:ascii="宋体" w:hAnsi="宋体" w:cs="Calibri"/>
          <w:color w:val="auto"/>
          <w:sz w:val="24"/>
          <w:highlight w:val="none"/>
        </w:rPr>
        <w:t>）（</w:t>
      </w:r>
      <w:r>
        <w:rPr>
          <w:rFonts w:hint="eastAsia" w:ascii="宋体" w:hAnsi="宋体" w:cs="宋体"/>
          <w:color w:val="auto"/>
          <w:sz w:val="24"/>
          <w:highlight w:val="none"/>
          <w:lang w:eastAsia="zh-CN"/>
        </w:rPr>
        <w:t>QTCG-CS-2024-043</w:t>
      </w:r>
      <w:r>
        <w:rPr>
          <w:rFonts w:ascii="宋体" w:hAnsi="宋体" w:cs="Calibri"/>
          <w:color w:val="auto"/>
          <w:sz w:val="24"/>
          <w:highlight w:val="none"/>
        </w:rPr>
        <w:t>）采购活动，拟派</w:t>
      </w:r>
      <w:r>
        <w:rPr>
          <w:rFonts w:hint="eastAsia" w:ascii="宋体" w:hAnsi="宋体" w:cs="Calibri"/>
          <w:color w:val="auto"/>
          <w:sz w:val="24"/>
          <w:highlight w:val="none"/>
        </w:rPr>
        <w:t>本项目的</w:t>
      </w:r>
      <w:r>
        <w:rPr>
          <w:rFonts w:ascii="宋体" w:hAnsi="宋体" w:cs="Calibri"/>
          <w:color w:val="auto"/>
          <w:sz w:val="24"/>
          <w:highlight w:val="none"/>
        </w:rPr>
        <w:t>项目经理</w:t>
      </w:r>
      <w:r>
        <w:rPr>
          <w:rFonts w:hint="eastAsia" w:ascii="宋体" w:hAnsi="宋体" w:cs="Calibri"/>
          <w:color w:val="auto"/>
          <w:sz w:val="24"/>
          <w:highlight w:val="none"/>
        </w:rPr>
        <w:t>（</w:t>
      </w:r>
      <w:r>
        <w:rPr>
          <w:rFonts w:hint="eastAsia" w:ascii="宋体" w:hAnsi="宋体" w:cs="Calibri"/>
          <w:color w:val="auto"/>
          <w:sz w:val="24"/>
          <w:highlight w:val="none"/>
          <w:u w:val="single"/>
        </w:rPr>
        <w:t>姓名： 联系方式： ）</w:t>
      </w:r>
      <w:r>
        <w:rPr>
          <w:rFonts w:ascii="宋体" w:hAnsi="宋体" w:cs="Calibri"/>
          <w:color w:val="auto"/>
          <w:sz w:val="24"/>
          <w:highlight w:val="none"/>
        </w:rPr>
        <w:t>无在建工程。</w:t>
      </w:r>
    </w:p>
    <w:p w14:paraId="5433D3BD">
      <w:pPr>
        <w:snapToGrid w:val="0"/>
        <w:spacing w:line="360" w:lineRule="auto"/>
        <w:ind w:firstLine="480" w:firstLineChars="200"/>
        <w:rPr>
          <w:rFonts w:ascii="宋体" w:hAnsi="宋体" w:cs="Calibri"/>
          <w:color w:val="auto"/>
          <w:kern w:val="0"/>
          <w:sz w:val="24"/>
          <w:highlight w:val="none"/>
        </w:rPr>
      </w:pPr>
      <w:r>
        <w:rPr>
          <w:rFonts w:ascii="宋体" w:hAnsi="宋体" w:cs="Calibri"/>
          <w:color w:val="auto"/>
          <w:kern w:val="0"/>
          <w:sz w:val="24"/>
          <w:highlight w:val="none"/>
        </w:rPr>
        <w:t>本公司对上述声明的真实性负责。如有虚假，愿意承担相应责任，对此无任何异议。</w:t>
      </w:r>
    </w:p>
    <w:p w14:paraId="3E269E21">
      <w:pPr>
        <w:snapToGrid w:val="0"/>
        <w:spacing w:line="360" w:lineRule="auto"/>
        <w:ind w:firstLine="480" w:firstLineChars="200"/>
        <w:rPr>
          <w:rFonts w:ascii="宋体" w:hAnsi="宋体" w:cs="Calibri"/>
          <w:color w:val="auto"/>
          <w:sz w:val="24"/>
          <w:highlight w:val="none"/>
        </w:rPr>
      </w:pPr>
      <w:r>
        <w:rPr>
          <w:rFonts w:ascii="宋体" w:hAnsi="宋体" w:cs="Calibri"/>
          <w:color w:val="auto"/>
          <w:sz w:val="24"/>
          <w:highlight w:val="none"/>
        </w:rPr>
        <w:t>特此声明！</w:t>
      </w:r>
    </w:p>
    <w:p w14:paraId="777978A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68BDE6B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8B2D67E">
      <w:pPr>
        <w:rPr>
          <w:color w:val="auto"/>
          <w:highlight w:val="none"/>
        </w:rPr>
      </w:pPr>
    </w:p>
    <w:p w14:paraId="00C436B8">
      <w:pPr>
        <w:pStyle w:val="2"/>
        <w:ind w:firstLine="480" w:firstLineChars="200"/>
        <w:rPr>
          <w:rFonts w:hint="eastAsia"/>
          <w:color w:val="auto"/>
          <w:highlight w:val="none"/>
          <w:lang w:eastAsia="zh-CN"/>
        </w:rPr>
      </w:pPr>
    </w:p>
    <w:p w14:paraId="4A6C0BD4">
      <w:pPr>
        <w:pStyle w:val="2"/>
        <w:ind w:firstLine="480" w:firstLineChars="200"/>
        <w:rPr>
          <w:rFonts w:hint="eastAsia" w:eastAsia="宋体"/>
          <w:color w:val="auto"/>
          <w:highlight w:val="none"/>
          <w:lang w:eastAsia="zh-CN"/>
        </w:rPr>
      </w:pPr>
      <w:r>
        <w:rPr>
          <w:rFonts w:hint="eastAsia"/>
          <w:color w:val="auto"/>
          <w:highlight w:val="none"/>
          <w:lang w:eastAsia="zh-CN"/>
        </w:rPr>
        <w:t>注：</w:t>
      </w:r>
      <w:r>
        <w:rPr>
          <w:rFonts w:hint="eastAsia"/>
          <w:color w:val="auto"/>
          <w:highlight w:val="none"/>
        </w:rPr>
        <w:t>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r>
        <w:rPr>
          <w:rFonts w:hint="eastAsia"/>
          <w:color w:val="auto"/>
          <w:highlight w:val="none"/>
          <w:lang w:eastAsia="zh-CN"/>
        </w:rPr>
        <w:t>。</w:t>
      </w:r>
    </w:p>
    <w:p w14:paraId="52B6FC9C">
      <w:pPr>
        <w:rPr>
          <w:color w:val="auto"/>
          <w:highlight w:val="none"/>
        </w:rPr>
        <w:sectPr>
          <w:pgSz w:w="11906" w:h="16838"/>
          <w:pgMar w:top="1440" w:right="1080" w:bottom="1440" w:left="1080" w:header="851" w:footer="992" w:gutter="0"/>
          <w:pgNumType w:fmt="decimal"/>
          <w:cols w:space="720" w:num="1"/>
          <w:titlePg/>
          <w:docGrid w:linePitch="312" w:charSpace="0"/>
        </w:sectPr>
      </w:pPr>
    </w:p>
    <w:p w14:paraId="3098D05E">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2C63757">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9C881C8">
      <w:pPr>
        <w:numPr>
          <w:ilvl w:val="255"/>
          <w:numId w:val="0"/>
        </w:numPr>
        <w:snapToGrid w:val="0"/>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14:paraId="00D68388">
      <w:pPr>
        <w:numPr>
          <w:ilvl w:val="255"/>
          <w:numId w:val="0"/>
        </w:numPr>
        <w:snapToGrid w:val="0"/>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14:paraId="1AD536D5">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14:paraId="7445C1B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14:paraId="6BFFA21D">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14:paraId="59B8A0FC">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7528B711">
      <w:pP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14:paraId="691FB6E3">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5C2A353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杭州市钱塘区观澜中学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浙江省房地产管理咨询有限公司</w:t>
      </w:r>
      <w:r>
        <w:rPr>
          <w:rFonts w:hint="eastAsia" w:ascii="宋体" w:hAnsi="宋体" w:cs="宋体"/>
          <w:color w:val="auto"/>
          <w:sz w:val="24"/>
          <w:highlight w:val="none"/>
        </w:rPr>
        <w:t>：</w:t>
      </w:r>
    </w:p>
    <w:p w14:paraId="144C826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观澜中学图书馆扩建改造工程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QTCG-CS-2024-043</w:t>
      </w:r>
      <w:r>
        <w:rPr>
          <w:rFonts w:hint="eastAsia" w:ascii="宋体" w:hAnsi="宋体" w:cs="宋体"/>
          <w:color w:val="auto"/>
          <w:sz w:val="24"/>
          <w:highlight w:val="none"/>
        </w:rPr>
        <w:t>】采购的有关活动，并对此项目提交响应文件及报价。为此：</w:t>
      </w:r>
    </w:p>
    <w:p w14:paraId="2C4F392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90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4E242D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752E88E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F1B99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03946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7361B90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p>
    <w:p w14:paraId="369A1CD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43532F1">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EEC8E3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100EFA5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5A669E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05F9095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397F1E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14:paraId="3CFB2BF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17256EC8">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50078E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67E7F35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14:paraId="5A83F46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2.3.2已标价工程量清单；</w:t>
      </w:r>
    </w:p>
    <w:p w14:paraId="67B6701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2.3.3中小企业声明函。</w:t>
      </w:r>
    </w:p>
    <w:p w14:paraId="60B6BF6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.3.4 报价情况说明（如供应商报价低于项目预算50%的，应当提交本文档，详细阐述不影响产品质量或者诚信履约的具体原因）。</w:t>
      </w:r>
    </w:p>
    <w:p w14:paraId="5F327F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3、我方承诺除商务技术偏离表列出的偏离外，我方响应采购文件的全部要求。对响应文件中材料的真实性、合法性负责。</w:t>
      </w:r>
    </w:p>
    <w:p w14:paraId="526640F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2C1299F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06E35AC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BFE44D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6A2A8C8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504294F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9232F7D">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6CD69A9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15D9EE7">
      <w:pPr>
        <w:snapToGrid w:val="0"/>
        <w:spacing w:line="360" w:lineRule="auto"/>
        <w:ind w:left="420" w:leftChars="200" w:firstLine="4200" w:firstLineChars="1750"/>
        <w:rPr>
          <w:rFonts w:ascii="宋体" w:hAnsi="宋体" w:cs="宋体"/>
          <w:color w:val="auto"/>
          <w:kern w:val="0"/>
          <w:sz w:val="24"/>
          <w:highlight w:val="none"/>
          <w:u w:val="single"/>
        </w:rPr>
      </w:pPr>
    </w:p>
    <w:p w14:paraId="6143714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F4DD560">
      <w:pPr>
        <w:snapToGrid w:val="0"/>
        <w:spacing w:line="360" w:lineRule="auto"/>
        <w:jc w:val="center"/>
        <w:rPr>
          <w:rFonts w:ascii="宋体" w:hAnsi="宋体" w:cs="宋体"/>
          <w:b/>
          <w:color w:val="auto"/>
          <w:kern w:val="0"/>
          <w:sz w:val="32"/>
          <w:szCs w:val="32"/>
          <w:highlight w:val="none"/>
        </w:rPr>
      </w:pPr>
    </w:p>
    <w:p w14:paraId="145F1FFB">
      <w:pPr>
        <w:snapToGrid w:val="0"/>
        <w:spacing w:line="360" w:lineRule="auto"/>
        <w:rPr>
          <w:rFonts w:ascii="宋体" w:hAnsi="宋体" w:cs="宋体"/>
          <w:color w:val="auto"/>
          <w:sz w:val="24"/>
          <w:highlight w:val="none"/>
        </w:rPr>
      </w:pPr>
    </w:p>
    <w:p w14:paraId="74E70215">
      <w:pPr>
        <w:jc w:val="center"/>
        <w:rPr>
          <w:rFonts w:ascii="宋体" w:hAnsi="宋体" w:cs="宋体"/>
          <w:b/>
          <w:color w:val="auto"/>
          <w:kern w:val="0"/>
          <w:sz w:val="32"/>
          <w:szCs w:val="32"/>
          <w:highlight w:val="none"/>
        </w:rPr>
      </w:pPr>
    </w:p>
    <w:p w14:paraId="408BB388">
      <w:pPr>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1F240840">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78F5DD7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E63BF46">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lang w:val="en-US" w:eastAsia="zh-CN"/>
        </w:rPr>
        <w:t>响应</w:t>
      </w:r>
      <w:r>
        <w:rPr>
          <w:rFonts w:hint="eastAsia" w:ascii="宋体" w:hAnsi="宋体" w:cs="宋体"/>
          <w:b/>
          <w:bCs/>
          <w:color w:val="auto"/>
          <w:sz w:val="32"/>
          <w:szCs w:val="32"/>
          <w:highlight w:val="none"/>
          <w:lang w:val="zh-CN"/>
        </w:rPr>
        <w:t>）</w:t>
      </w:r>
    </w:p>
    <w:p w14:paraId="4040088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杭州市钱塘区观澜中学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浙江省房地产管理咨询有限公司</w:t>
      </w:r>
      <w:r>
        <w:rPr>
          <w:rFonts w:hint="eastAsia" w:ascii="宋体" w:hAnsi="宋体" w:cs="宋体"/>
          <w:color w:val="auto"/>
          <w:kern w:val="0"/>
          <w:sz w:val="24"/>
          <w:highlight w:val="none"/>
          <w:lang w:val="zh-CN"/>
        </w:rPr>
        <w:t>：</w:t>
      </w:r>
    </w:p>
    <w:p w14:paraId="422BB50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观澜中学图书馆扩建改造工程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QTCG-CS-2024-043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的一切事项，其法律后果由我方承担。</w:t>
      </w:r>
    </w:p>
    <w:p w14:paraId="798A737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00C8FE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C29A02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2C5A9D0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47D9435E">
      <w:pPr>
        <w:snapToGrid w:val="0"/>
        <w:spacing w:line="360" w:lineRule="auto"/>
        <w:rPr>
          <w:rFonts w:ascii="宋体" w:hAnsi="宋体" w:cs="宋体"/>
          <w:color w:val="auto"/>
          <w:sz w:val="24"/>
          <w:highlight w:val="none"/>
        </w:rPr>
      </w:pPr>
    </w:p>
    <w:p w14:paraId="0CE8D73F">
      <w:pPr>
        <w:snapToGrid w:val="0"/>
        <w:spacing w:line="360" w:lineRule="auto"/>
        <w:rPr>
          <w:rFonts w:ascii="宋体" w:hAnsi="宋体" w:cs="宋体"/>
          <w:color w:val="auto"/>
          <w:sz w:val="24"/>
          <w:highlight w:val="none"/>
        </w:rPr>
      </w:pPr>
    </w:p>
    <w:p w14:paraId="18ABA1E1">
      <w:pPr>
        <w:snapToGrid w:val="0"/>
        <w:spacing w:line="360" w:lineRule="auto"/>
        <w:rPr>
          <w:rFonts w:ascii="宋体" w:hAnsi="宋体" w:cs="宋体"/>
          <w:color w:val="auto"/>
          <w:sz w:val="24"/>
          <w:highlight w:val="none"/>
        </w:rPr>
      </w:pPr>
    </w:p>
    <w:p w14:paraId="291EF396">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lang w:val="en-US" w:eastAsia="zh-CN"/>
        </w:rPr>
        <w:t>响应</w:t>
      </w:r>
      <w:r>
        <w:rPr>
          <w:rFonts w:hint="eastAsia" w:ascii="宋体" w:hAnsi="宋体" w:cs="宋体"/>
          <w:b/>
          <w:bCs/>
          <w:color w:val="auto"/>
          <w:sz w:val="32"/>
          <w:szCs w:val="32"/>
          <w:highlight w:val="none"/>
          <w:lang w:val="zh-CN"/>
        </w:rPr>
        <w:t>）</w:t>
      </w:r>
    </w:p>
    <w:p w14:paraId="42FE7D4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杭州市钱塘区观澜中学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浙江省房地产管理咨询有限公司</w:t>
      </w:r>
      <w:r>
        <w:rPr>
          <w:rFonts w:hint="eastAsia" w:ascii="宋体" w:hAnsi="宋体" w:cs="宋体"/>
          <w:color w:val="auto"/>
          <w:kern w:val="0"/>
          <w:sz w:val="24"/>
          <w:highlight w:val="none"/>
          <w:lang w:val="zh-CN"/>
        </w:rPr>
        <w:t>：</w:t>
      </w:r>
    </w:p>
    <w:p w14:paraId="5FDBC89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观澜中学图书馆扩建改造工程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QTCG-CS-2024-043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的一切事项，其法律后果由我方承担。</w:t>
      </w:r>
    </w:p>
    <w:p w14:paraId="07289D3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820AC9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8DE22E5">
      <w:pPr>
        <w:jc w:val="center"/>
        <w:rPr>
          <w:rFonts w:ascii="宋体" w:hAnsi="宋体" w:cs="宋体"/>
          <w:b/>
          <w:color w:val="auto"/>
          <w:kern w:val="0"/>
          <w:sz w:val="32"/>
          <w:szCs w:val="32"/>
          <w:highlight w:val="none"/>
        </w:rPr>
      </w:pPr>
    </w:p>
    <w:p w14:paraId="339EA02A">
      <w:pPr>
        <w:jc w:val="center"/>
        <w:rPr>
          <w:rFonts w:ascii="宋体" w:hAnsi="宋体" w:cs="宋体"/>
          <w:b/>
          <w:color w:val="auto"/>
          <w:kern w:val="0"/>
          <w:sz w:val="32"/>
          <w:szCs w:val="32"/>
          <w:highlight w:val="none"/>
        </w:rPr>
      </w:pPr>
    </w:p>
    <w:p w14:paraId="53BB541D">
      <w:pPr>
        <w:jc w:val="center"/>
        <w:rPr>
          <w:rFonts w:ascii="宋体" w:hAnsi="宋体" w:cs="宋体"/>
          <w:b/>
          <w:color w:val="auto"/>
          <w:kern w:val="0"/>
          <w:sz w:val="32"/>
          <w:szCs w:val="32"/>
          <w:highlight w:val="none"/>
        </w:rPr>
      </w:pPr>
    </w:p>
    <w:p w14:paraId="58E96099">
      <w:pPr>
        <w:rPr>
          <w:rFonts w:ascii="宋体" w:hAnsi="宋体" w:cs="宋体"/>
          <w:color w:val="auto"/>
          <w:highlight w:val="none"/>
        </w:rPr>
      </w:pPr>
    </w:p>
    <w:p w14:paraId="40E447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EF396C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3F561FD">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55E451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1D04983">
      <w:pPr>
        <w:snapToGrid w:val="0"/>
        <w:jc w:val="center"/>
        <w:rPr>
          <w:rFonts w:hint="eastAsia" w:ascii="宋体" w:hAnsi="宋体" w:cs="宋体"/>
          <w:b/>
          <w:bCs/>
          <w:color w:val="auto"/>
          <w:sz w:val="32"/>
          <w:szCs w:val="32"/>
          <w:highlight w:val="none"/>
          <w:lang w:val="zh-CN"/>
        </w:rPr>
      </w:pPr>
    </w:p>
    <w:p w14:paraId="4FCF31F8">
      <w:pPr>
        <w:snapToGrid w:val="0"/>
        <w:jc w:val="center"/>
        <w:rPr>
          <w:rFonts w:hint="eastAsia" w:ascii="宋体" w:hAnsi="宋体" w:cs="宋体"/>
          <w:b/>
          <w:bCs/>
          <w:color w:val="auto"/>
          <w:sz w:val="32"/>
          <w:szCs w:val="32"/>
          <w:highlight w:val="none"/>
          <w:lang w:val="zh-CN"/>
        </w:rPr>
      </w:pPr>
    </w:p>
    <w:p w14:paraId="0BB1C02F">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w:t>
      </w:r>
      <w:r>
        <w:rPr>
          <w:rFonts w:hint="eastAsia" w:ascii="宋体" w:hAnsi="宋体" w:cs="宋体"/>
          <w:b/>
          <w:bCs/>
          <w:color w:val="auto"/>
          <w:sz w:val="32"/>
          <w:szCs w:val="32"/>
          <w:highlight w:val="none"/>
          <w:lang w:val="en-US" w:eastAsia="zh-CN"/>
        </w:rPr>
        <w:t>响应</w:t>
      </w:r>
      <w:r>
        <w:rPr>
          <w:rFonts w:hint="eastAsia" w:ascii="宋体" w:hAnsi="宋体" w:cs="宋体"/>
          <w:b/>
          <w:bCs/>
          <w:color w:val="auto"/>
          <w:sz w:val="32"/>
          <w:szCs w:val="32"/>
          <w:highlight w:val="none"/>
        </w:rPr>
        <w:t>）</w:t>
      </w:r>
    </w:p>
    <w:p w14:paraId="3EE045AC">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20CC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E08C12B">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26A5622">
            <w:pPr>
              <w:pStyle w:val="150"/>
              <w:adjustRightInd w:val="0"/>
              <w:spacing w:line="360" w:lineRule="auto"/>
              <w:rPr>
                <w:rFonts w:hAnsi="宋体" w:cs="宋体"/>
                <w:bCs/>
                <w:color w:val="auto"/>
                <w:sz w:val="24"/>
                <w:highlight w:val="none"/>
              </w:rPr>
            </w:pPr>
          </w:p>
        </w:tc>
      </w:tr>
    </w:tbl>
    <w:p w14:paraId="3634880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E99A8D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611446F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4942DE4">
      <w:pPr>
        <w:jc w:val="center"/>
        <w:rPr>
          <w:rFonts w:ascii="宋体" w:hAnsi="宋体" w:cs="宋体"/>
          <w:b/>
          <w:color w:val="auto"/>
          <w:kern w:val="0"/>
          <w:sz w:val="32"/>
          <w:szCs w:val="32"/>
          <w:highlight w:val="none"/>
        </w:rPr>
      </w:pPr>
    </w:p>
    <w:p w14:paraId="4B106C4F">
      <w:pPr>
        <w:jc w:val="center"/>
        <w:rPr>
          <w:rFonts w:ascii="宋体" w:hAnsi="宋体" w:cs="宋体"/>
          <w:b/>
          <w:color w:val="auto"/>
          <w:kern w:val="0"/>
          <w:sz w:val="32"/>
          <w:szCs w:val="32"/>
          <w:highlight w:val="none"/>
        </w:rPr>
      </w:pPr>
    </w:p>
    <w:p w14:paraId="39DD2E67">
      <w:pPr>
        <w:jc w:val="center"/>
        <w:rPr>
          <w:rFonts w:ascii="宋体" w:hAnsi="宋体" w:cs="宋体"/>
          <w:b/>
          <w:color w:val="auto"/>
          <w:kern w:val="0"/>
          <w:sz w:val="32"/>
          <w:szCs w:val="32"/>
          <w:highlight w:val="none"/>
        </w:rPr>
      </w:pPr>
    </w:p>
    <w:p w14:paraId="75DC6400">
      <w:pPr>
        <w:jc w:val="center"/>
        <w:rPr>
          <w:rFonts w:ascii="宋体" w:hAnsi="宋体" w:cs="宋体"/>
          <w:b/>
          <w:color w:val="auto"/>
          <w:kern w:val="0"/>
          <w:sz w:val="32"/>
          <w:szCs w:val="32"/>
          <w:highlight w:val="none"/>
        </w:rPr>
      </w:pPr>
    </w:p>
    <w:p w14:paraId="10CEA927">
      <w:pPr>
        <w:jc w:val="center"/>
        <w:rPr>
          <w:rFonts w:ascii="宋体" w:hAnsi="宋体" w:cs="宋体"/>
          <w:b/>
          <w:color w:val="auto"/>
          <w:kern w:val="0"/>
          <w:sz w:val="32"/>
          <w:szCs w:val="32"/>
          <w:highlight w:val="none"/>
        </w:rPr>
      </w:pPr>
    </w:p>
    <w:p w14:paraId="2EC8B30A">
      <w:pPr>
        <w:jc w:val="center"/>
        <w:rPr>
          <w:rFonts w:ascii="宋体" w:hAnsi="宋体" w:cs="宋体"/>
          <w:b/>
          <w:color w:val="auto"/>
          <w:kern w:val="0"/>
          <w:sz w:val="32"/>
          <w:szCs w:val="32"/>
          <w:highlight w:val="none"/>
        </w:rPr>
      </w:pPr>
    </w:p>
    <w:p w14:paraId="7C16F8F8">
      <w:pPr>
        <w:jc w:val="center"/>
        <w:rPr>
          <w:rFonts w:ascii="宋体" w:hAnsi="宋体" w:cs="宋体"/>
          <w:b/>
          <w:color w:val="auto"/>
          <w:kern w:val="0"/>
          <w:sz w:val="32"/>
          <w:szCs w:val="32"/>
          <w:highlight w:val="none"/>
        </w:rPr>
      </w:pPr>
    </w:p>
    <w:p w14:paraId="7B13B697">
      <w:pPr>
        <w:jc w:val="center"/>
        <w:rPr>
          <w:rFonts w:ascii="宋体" w:hAnsi="宋体" w:cs="宋体"/>
          <w:b/>
          <w:color w:val="auto"/>
          <w:kern w:val="0"/>
          <w:sz w:val="32"/>
          <w:szCs w:val="32"/>
          <w:highlight w:val="none"/>
        </w:rPr>
      </w:pPr>
    </w:p>
    <w:p w14:paraId="2CE5F072">
      <w:pPr>
        <w:jc w:val="center"/>
        <w:rPr>
          <w:rFonts w:ascii="宋体" w:hAnsi="宋体" w:cs="宋体"/>
          <w:b/>
          <w:color w:val="auto"/>
          <w:kern w:val="0"/>
          <w:sz w:val="32"/>
          <w:szCs w:val="32"/>
          <w:highlight w:val="none"/>
        </w:rPr>
      </w:pPr>
    </w:p>
    <w:p w14:paraId="56C701E2">
      <w:pPr>
        <w:jc w:val="center"/>
        <w:rPr>
          <w:rFonts w:ascii="宋体" w:hAnsi="宋体" w:cs="宋体"/>
          <w:b/>
          <w:color w:val="auto"/>
          <w:kern w:val="0"/>
          <w:sz w:val="32"/>
          <w:szCs w:val="32"/>
          <w:highlight w:val="none"/>
        </w:rPr>
      </w:pPr>
    </w:p>
    <w:p w14:paraId="7F08743F">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6FDFF5CB">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4806B92C">
      <w:pPr>
        <w:widowControl/>
        <w:spacing w:line="360" w:lineRule="auto"/>
        <w:ind w:firstLine="120" w:firstLineChars="50"/>
        <w:jc w:val="left"/>
        <w:rPr>
          <w:rFonts w:ascii="宋体" w:hAnsi="宋体" w:cs="宋体"/>
          <w:color w:val="auto"/>
          <w:sz w:val="24"/>
          <w:highlight w:val="none"/>
        </w:rPr>
      </w:pPr>
      <w:bookmarkStart w:id="1190"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1190"/>
    <w:p w14:paraId="760F84E3">
      <w:pPr>
        <w:snapToGrid w:val="0"/>
        <w:spacing w:line="360" w:lineRule="auto"/>
        <w:rPr>
          <w:rFonts w:ascii="宋体" w:hAnsi="宋体" w:cs="宋体"/>
          <w:color w:val="auto"/>
          <w:kern w:val="0"/>
          <w:sz w:val="24"/>
          <w:highlight w:val="none"/>
        </w:rPr>
      </w:pPr>
    </w:p>
    <w:p w14:paraId="7F12DD00">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190186D7">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0A15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8979D5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B4B880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7E1863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C4BEB0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0E25EE1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A09E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ECC812">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6D685CF5">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605B00ED">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6E24BAA4">
            <w:pPr>
              <w:rPr>
                <w:rFonts w:ascii="宋体" w:hAnsi="宋体" w:cs="宋体"/>
                <w:color w:val="auto"/>
                <w:sz w:val="24"/>
                <w:highlight w:val="none"/>
              </w:rPr>
            </w:pPr>
            <w:r>
              <w:rPr>
                <w:rFonts w:hint="eastAsia" w:ascii="宋体" w:hAnsi="宋体" w:cs="宋体"/>
                <w:color w:val="auto"/>
                <w:sz w:val="24"/>
                <w:highlight w:val="none"/>
              </w:rPr>
              <w:t>见响应文件</w:t>
            </w:r>
          </w:p>
          <w:p w14:paraId="13B02848">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029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8341D5">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26907DEF">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114C1CA0">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center"/>
          </w:tcPr>
          <w:p w14:paraId="32A4818F">
            <w:pPr>
              <w:rPr>
                <w:rFonts w:ascii="宋体" w:hAnsi="宋体" w:cs="宋体"/>
                <w:color w:val="auto"/>
                <w:sz w:val="24"/>
                <w:highlight w:val="none"/>
              </w:rPr>
            </w:pPr>
            <w:r>
              <w:rPr>
                <w:rFonts w:hint="eastAsia" w:ascii="宋体" w:hAnsi="宋体" w:cs="宋体"/>
                <w:color w:val="auto"/>
                <w:sz w:val="24"/>
                <w:highlight w:val="none"/>
              </w:rPr>
              <w:t>见响应文件</w:t>
            </w:r>
          </w:p>
          <w:p w14:paraId="36EDC180">
            <w:pPr>
              <w:pStyle w:val="6"/>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195C5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3FE4D7">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27E60376">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14:paraId="2B5E36BA">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5E7A3C84">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ED7F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090371">
            <w:pPr>
              <w:rPr>
                <w:rFonts w:ascii="宋体" w:hAnsi="宋体" w:cs="宋体"/>
                <w:color w:val="auto"/>
                <w:sz w:val="24"/>
                <w:highlight w:val="none"/>
              </w:rPr>
            </w:pPr>
            <w:r>
              <w:rPr>
                <w:rFonts w:hint="eastAsia" w:ascii="宋体" w:hAnsi="宋体" w:cs="宋体"/>
                <w:color w:val="auto"/>
                <w:sz w:val="24"/>
                <w:highlight w:val="none"/>
              </w:rPr>
              <w:t>4</w:t>
            </w:r>
          </w:p>
        </w:tc>
        <w:tc>
          <w:tcPr>
            <w:tcW w:w="4991" w:type="dxa"/>
            <w:vAlign w:val="center"/>
          </w:tcPr>
          <w:p w14:paraId="2118A178">
            <w:pPr>
              <w:spacing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14:paraId="66A8B749">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178BA521">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779DF67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6148C3">
      <w:pPr>
        <w:jc w:val="center"/>
        <w:rPr>
          <w:rFonts w:ascii="宋体" w:hAnsi="宋体" w:cs="宋体"/>
          <w:b/>
          <w:color w:val="auto"/>
          <w:kern w:val="0"/>
          <w:sz w:val="32"/>
          <w:szCs w:val="32"/>
          <w:highlight w:val="none"/>
        </w:rPr>
      </w:pPr>
    </w:p>
    <w:p w14:paraId="28BE3E0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0C0C689">
      <w:pPr>
        <w:jc w:val="center"/>
        <w:rPr>
          <w:rFonts w:ascii="宋体" w:hAnsi="宋体" w:cs="宋体"/>
          <w:b/>
          <w:color w:val="auto"/>
          <w:kern w:val="0"/>
          <w:sz w:val="32"/>
          <w:szCs w:val="32"/>
          <w:highlight w:val="none"/>
        </w:rPr>
      </w:pPr>
    </w:p>
    <w:p w14:paraId="0B34F72A">
      <w:pPr>
        <w:jc w:val="center"/>
        <w:rPr>
          <w:rFonts w:ascii="宋体" w:hAnsi="宋体" w:cs="宋体"/>
          <w:b/>
          <w:color w:val="auto"/>
          <w:kern w:val="0"/>
          <w:sz w:val="32"/>
          <w:szCs w:val="32"/>
          <w:highlight w:val="none"/>
        </w:rPr>
      </w:pPr>
    </w:p>
    <w:p w14:paraId="63802AF1">
      <w:pPr>
        <w:jc w:val="center"/>
        <w:rPr>
          <w:rFonts w:ascii="宋体" w:hAnsi="宋体" w:cs="宋体"/>
          <w:b/>
          <w:color w:val="auto"/>
          <w:kern w:val="0"/>
          <w:sz w:val="32"/>
          <w:szCs w:val="32"/>
          <w:highlight w:val="none"/>
        </w:rPr>
      </w:pPr>
    </w:p>
    <w:p w14:paraId="42787EAA">
      <w:pPr>
        <w:jc w:val="center"/>
        <w:rPr>
          <w:rFonts w:ascii="宋体" w:hAnsi="宋体" w:cs="宋体"/>
          <w:b/>
          <w:color w:val="auto"/>
          <w:kern w:val="0"/>
          <w:sz w:val="32"/>
          <w:szCs w:val="32"/>
          <w:highlight w:val="none"/>
        </w:rPr>
      </w:pPr>
    </w:p>
    <w:p w14:paraId="674DB46C">
      <w:pPr>
        <w:jc w:val="center"/>
        <w:rPr>
          <w:rFonts w:ascii="宋体" w:hAnsi="宋体" w:cs="宋体"/>
          <w:b/>
          <w:color w:val="auto"/>
          <w:kern w:val="0"/>
          <w:sz w:val="32"/>
          <w:szCs w:val="32"/>
          <w:highlight w:val="none"/>
        </w:rPr>
      </w:pPr>
    </w:p>
    <w:p w14:paraId="39B0C98F">
      <w:pPr>
        <w:jc w:val="center"/>
        <w:rPr>
          <w:rFonts w:ascii="宋体" w:hAnsi="宋体" w:cs="宋体"/>
          <w:b/>
          <w:color w:val="auto"/>
          <w:kern w:val="0"/>
          <w:sz w:val="32"/>
          <w:szCs w:val="32"/>
          <w:highlight w:val="none"/>
        </w:rPr>
      </w:pPr>
    </w:p>
    <w:p w14:paraId="04BADA75">
      <w:pPr>
        <w:jc w:val="center"/>
        <w:rPr>
          <w:rFonts w:ascii="宋体" w:hAnsi="宋体" w:cs="宋体"/>
          <w:b/>
          <w:color w:val="auto"/>
          <w:kern w:val="0"/>
          <w:sz w:val="32"/>
          <w:szCs w:val="32"/>
          <w:highlight w:val="none"/>
        </w:rPr>
      </w:pPr>
    </w:p>
    <w:p w14:paraId="4CC3DD9B">
      <w:pPr>
        <w:jc w:val="center"/>
        <w:rPr>
          <w:rFonts w:ascii="宋体" w:hAnsi="宋体" w:cs="宋体"/>
          <w:b/>
          <w:color w:val="auto"/>
          <w:kern w:val="0"/>
          <w:sz w:val="32"/>
          <w:szCs w:val="32"/>
          <w:highlight w:val="none"/>
        </w:rPr>
      </w:pPr>
    </w:p>
    <w:p w14:paraId="1E45F6A1">
      <w:pPr>
        <w:numPr>
          <w:ilvl w:val="0"/>
          <w:numId w:val="9"/>
        </w:numPr>
        <w:snapToGrid w:val="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评审标准相应的商务技术资料</w:t>
      </w:r>
    </w:p>
    <w:p w14:paraId="6C284802">
      <w:pPr>
        <w:pStyle w:val="79"/>
        <w:numPr>
          <w:ilvl w:val="0"/>
          <w:numId w:val="0"/>
        </w:numPr>
        <w:rPr>
          <w:color w:val="auto"/>
          <w:highlight w:val="none"/>
        </w:rPr>
      </w:pPr>
    </w:p>
    <w:p w14:paraId="6A062B3C">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p w14:paraId="6DF12EEC">
      <w:pPr>
        <w:jc w:val="center"/>
        <w:rPr>
          <w:rFonts w:ascii="宋体" w:hAnsi="宋体" w:cs="宋体"/>
          <w:b/>
          <w:color w:val="auto"/>
          <w:kern w:val="0"/>
          <w:sz w:val="32"/>
          <w:szCs w:val="32"/>
          <w:highlight w:val="none"/>
        </w:rPr>
      </w:pPr>
    </w:p>
    <w:p w14:paraId="3FE09526">
      <w:pPr>
        <w:jc w:val="center"/>
        <w:rPr>
          <w:rFonts w:ascii="宋体" w:hAnsi="宋体" w:cs="宋体"/>
          <w:b/>
          <w:color w:val="auto"/>
          <w:kern w:val="0"/>
          <w:sz w:val="32"/>
          <w:szCs w:val="32"/>
          <w:highlight w:val="none"/>
        </w:rPr>
      </w:pPr>
    </w:p>
    <w:p w14:paraId="5DBBCC20">
      <w:pPr>
        <w:jc w:val="center"/>
        <w:rPr>
          <w:rFonts w:ascii="宋体" w:hAnsi="宋体" w:cs="宋体"/>
          <w:b/>
          <w:color w:val="auto"/>
          <w:kern w:val="0"/>
          <w:sz w:val="32"/>
          <w:szCs w:val="32"/>
          <w:highlight w:val="none"/>
        </w:rPr>
      </w:pPr>
    </w:p>
    <w:p w14:paraId="6FCD288C">
      <w:pPr>
        <w:jc w:val="center"/>
        <w:rPr>
          <w:rFonts w:ascii="宋体" w:hAnsi="宋体" w:cs="宋体"/>
          <w:b/>
          <w:color w:val="auto"/>
          <w:kern w:val="0"/>
          <w:sz w:val="32"/>
          <w:szCs w:val="32"/>
          <w:highlight w:val="none"/>
        </w:rPr>
      </w:pPr>
    </w:p>
    <w:p w14:paraId="620AA935">
      <w:pPr>
        <w:jc w:val="center"/>
        <w:rPr>
          <w:rFonts w:ascii="宋体" w:hAnsi="宋体" w:cs="宋体"/>
          <w:b/>
          <w:color w:val="auto"/>
          <w:kern w:val="0"/>
          <w:sz w:val="32"/>
          <w:szCs w:val="32"/>
          <w:highlight w:val="none"/>
        </w:rPr>
      </w:pPr>
    </w:p>
    <w:p w14:paraId="0C2125F6">
      <w:pPr>
        <w:numPr>
          <w:ilvl w:val="0"/>
          <w:numId w:val="9"/>
        </w:numPr>
        <w:snapToGrid w:val="0"/>
        <w:ind w:left="0" w:leftChars="0" w:firstLine="0" w:firstLineChars="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商务技术偏离表</w:t>
      </w:r>
    </w:p>
    <w:p w14:paraId="3AC6B1F6">
      <w:pPr>
        <w:pStyle w:val="79"/>
        <w:numPr>
          <w:ilvl w:val="0"/>
          <w:numId w:val="0"/>
        </w:numPr>
        <w:ind w:leftChars="0"/>
        <w:rPr>
          <w:color w:val="auto"/>
          <w:highlight w:val="none"/>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BC20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5B3737">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9EC292B">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64684424">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2482FBD0">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764B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4CCC7DC">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7306AA68">
            <w:pPr>
              <w:jc w:val="center"/>
              <w:rPr>
                <w:rFonts w:ascii="宋体" w:hAnsi="宋体" w:cs="宋体"/>
                <w:b/>
                <w:color w:val="auto"/>
                <w:kern w:val="0"/>
                <w:sz w:val="32"/>
                <w:szCs w:val="32"/>
                <w:highlight w:val="none"/>
              </w:rPr>
            </w:pPr>
          </w:p>
        </w:tc>
        <w:tc>
          <w:tcPr>
            <w:tcW w:w="3546" w:type="dxa"/>
          </w:tcPr>
          <w:p w14:paraId="43AC4FC3">
            <w:pPr>
              <w:jc w:val="center"/>
              <w:rPr>
                <w:rFonts w:ascii="宋体" w:hAnsi="宋体" w:cs="宋体"/>
                <w:b/>
                <w:color w:val="auto"/>
                <w:kern w:val="0"/>
                <w:sz w:val="32"/>
                <w:szCs w:val="32"/>
                <w:highlight w:val="none"/>
              </w:rPr>
            </w:pPr>
          </w:p>
        </w:tc>
        <w:tc>
          <w:tcPr>
            <w:tcW w:w="1276" w:type="dxa"/>
          </w:tcPr>
          <w:p w14:paraId="38308799">
            <w:pPr>
              <w:jc w:val="center"/>
              <w:rPr>
                <w:rFonts w:ascii="宋体" w:hAnsi="宋体" w:cs="宋体"/>
                <w:b/>
                <w:color w:val="auto"/>
                <w:kern w:val="0"/>
                <w:sz w:val="32"/>
                <w:szCs w:val="32"/>
                <w:highlight w:val="none"/>
              </w:rPr>
            </w:pPr>
          </w:p>
        </w:tc>
      </w:tr>
      <w:tr w14:paraId="25A1C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47415C">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637B939D">
            <w:pPr>
              <w:jc w:val="center"/>
              <w:rPr>
                <w:rFonts w:ascii="宋体" w:hAnsi="宋体" w:cs="宋体"/>
                <w:b/>
                <w:color w:val="auto"/>
                <w:kern w:val="0"/>
                <w:sz w:val="32"/>
                <w:szCs w:val="32"/>
                <w:highlight w:val="none"/>
              </w:rPr>
            </w:pPr>
          </w:p>
        </w:tc>
        <w:tc>
          <w:tcPr>
            <w:tcW w:w="3546" w:type="dxa"/>
          </w:tcPr>
          <w:p w14:paraId="3F3995CC">
            <w:pPr>
              <w:jc w:val="center"/>
              <w:rPr>
                <w:rFonts w:ascii="宋体" w:hAnsi="宋体" w:cs="宋体"/>
                <w:b/>
                <w:color w:val="auto"/>
                <w:kern w:val="0"/>
                <w:sz w:val="32"/>
                <w:szCs w:val="32"/>
                <w:highlight w:val="none"/>
              </w:rPr>
            </w:pPr>
          </w:p>
        </w:tc>
        <w:tc>
          <w:tcPr>
            <w:tcW w:w="1276" w:type="dxa"/>
          </w:tcPr>
          <w:p w14:paraId="0F0292FB">
            <w:pPr>
              <w:jc w:val="center"/>
              <w:rPr>
                <w:rFonts w:ascii="宋体" w:hAnsi="宋体" w:cs="宋体"/>
                <w:b/>
                <w:color w:val="auto"/>
                <w:kern w:val="0"/>
                <w:sz w:val="32"/>
                <w:szCs w:val="32"/>
                <w:highlight w:val="none"/>
              </w:rPr>
            </w:pPr>
          </w:p>
        </w:tc>
      </w:tr>
      <w:tr w14:paraId="27D8B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73D802">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4251AB4F">
            <w:pPr>
              <w:jc w:val="center"/>
              <w:rPr>
                <w:rFonts w:ascii="宋体" w:hAnsi="宋体" w:cs="宋体"/>
                <w:b/>
                <w:color w:val="auto"/>
                <w:kern w:val="0"/>
                <w:sz w:val="32"/>
                <w:szCs w:val="32"/>
                <w:highlight w:val="none"/>
              </w:rPr>
            </w:pPr>
          </w:p>
        </w:tc>
        <w:tc>
          <w:tcPr>
            <w:tcW w:w="3546" w:type="dxa"/>
          </w:tcPr>
          <w:p w14:paraId="41C0729C">
            <w:pPr>
              <w:jc w:val="center"/>
              <w:rPr>
                <w:rFonts w:ascii="宋体" w:hAnsi="宋体" w:cs="宋体"/>
                <w:b/>
                <w:color w:val="auto"/>
                <w:kern w:val="0"/>
                <w:sz w:val="32"/>
                <w:szCs w:val="32"/>
                <w:highlight w:val="none"/>
              </w:rPr>
            </w:pPr>
          </w:p>
        </w:tc>
        <w:tc>
          <w:tcPr>
            <w:tcW w:w="1276" w:type="dxa"/>
          </w:tcPr>
          <w:p w14:paraId="107118B3">
            <w:pPr>
              <w:jc w:val="center"/>
              <w:rPr>
                <w:rFonts w:ascii="宋体" w:hAnsi="宋体" w:cs="宋体"/>
                <w:b/>
                <w:color w:val="auto"/>
                <w:kern w:val="0"/>
                <w:sz w:val="32"/>
                <w:szCs w:val="32"/>
                <w:highlight w:val="none"/>
              </w:rPr>
            </w:pPr>
          </w:p>
        </w:tc>
      </w:tr>
    </w:tbl>
    <w:p w14:paraId="7D29A8C6">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075ED939">
      <w:pPr>
        <w:jc w:val="center"/>
        <w:rPr>
          <w:rFonts w:ascii="宋体" w:hAnsi="宋体" w:cs="宋体"/>
          <w:b/>
          <w:color w:val="auto"/>
          <w:kern w:val="0"/>
          <w:sz w:val="32"/>
          <w:szCs w:val="32"/>
          <w:highlight w:val="none"/>
        </w:rPr>
      </w:pPr>
    </w:p>
    <w:p w14:paraId="0CD9196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60A7B32">
      <w:pPr>
        <w:ind w:firstLine="1911" w:firstLineChars="595"/>
        <w:rPr>
          <w:rFonts w:ascii="宋体" w:hAnsi="宋体" w:cs="宋体"/>
          <w:b/>
          <w:bCs/>
          <w:color w:val="auto"/>
          <w:sz w:val="32"/>
          <w:szCs w:val="32"/>
          <w:highlight w:val="none"/>
        </w:rPr>
        <w:sectPr>
          <w:footerReference r:id="rId13" w:type="first"/>
          <w:footerReference r:id="rId12" w:type="default"/>
          <w:pgSz w:w="11906" w:h="16838"/>
          <w:pgMar w:top="1440" w:right="1080" w:bottom="1440" w:left="1080" w:header="851" w:footer="992" w:gutter="0"/>
          <w:cols w:space="720" w:num="1"/>
          <w:titlePg/>
          <w:docGrid w:linePitch="312" w:charSpace="0"/>
        </w:sectPr>
      </w:pPr>
    </w:p>
    <w:p w14:paraId="18A433CC">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7FF996">
      <w:pPr>
        <w:snapToGrid w:val="0"/>
        <w:spacing w:line="360" w:lineRule="auto"/>
        <w:rPr>
          <w:rFonts w:ascii="宋体" w:hAnsi="宋体" w:cs="宋体"/>
          <w:color w:val="auto"/>
          <w:sz w:val="24"/>
          <w:highlight w:val="none"/>
        </w:rPr>
      </w:pPr>
    </w:p>
    <w:p w14:paraId="6E0327E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杭州市钱塘区观澜中学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浙江省房地产管理咨询有限公司</w:t>
      </w:r>
      <w:r>
        <w:rPr>
          <w:rFonts w:hint="eastAsia" w:ascii="宋体" w:hAnsi="宋体" w:cs="宋体"/>
          <w:color w:val="auto"/>
          <w:kern w:val="0"/>
          <w:sz w:val="24"/>
          <w:highlight w:val="none"/>
          <w:lang w:val="zh-CN"/>
        </w:rPr>
        <w:t>：</w:t>
      </w:r>
    </w:p>
    <w:p w14:paraId="0A2A87D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1FAE66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59480E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05FC82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979E6E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5ADF75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63C9C71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610230F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57253093">
      <w:pPr>
        <w:autoSpaceDE w:val="0"/>
        <w:autoSpaceDN w:val="0"/>
        <w:spacing w:line="360" w:lineRule="auto"/>
        <w:ind w:left="2"/>
        <w:jc w:val="left"/>
        <w:rPr>
          <w:rFonts w:ascii="宋体" w:hAnsi="宋体" w:cs="宋体"/>
          <w:color w:val="auto"/>
          <w:kern w:val="0"/>
          <w:sz w:val="24"/>
          <w:highlight w:val="none"/>
          <w:lang w:val="zh-CN"/>
        </w:rPr>
      </w:pPr>
    </w:p>
    <w:p w14:paraId="5D5880DB">
      <w:pPr>
        <w:autoSpaceDE w:val="0"/>
        <w:autoSpaceDN w:val="0"/>
        <w:spacing w:line="360" w:lineRule="auto"/>
        <w:ind w:left="2"/>
        <w:jc w:val="left"/>
        <w:rPr>
          <w:rFonts w:ascii="宋体" w:hAnsi="宋体" w:cs="宋体"/>
          <w:color w:val="auto"/>
          <w:kern w:val="0"/>
          <w:sz w:val="24"/>
          <w:highlight w:val="none"/>
          <w:lang w:val="zh-CN"/>
        </w:rPr>
      </w:pPr>
    </w:p>
    <w:p w14:paraId="08EAA53D">
      <w:pPr>
        <w:autoSpaceDE w:val="0"/>
        <w:autoSpaceDN w:val="0"/>
        <w:spacing w:line="360" w:lineRule="auto"/>
        <w:ind w:left="2"/>
        <w:jc w:val="left"/>
        <w:rPr>
          <w:rFonts w:ascii="宋体" w:hAnsi="宋体" w:cs="宋体"/>
          <w:color w:val="auto"/>
          <w:kern w:val="0"/>
          <w:sz w:val="24"/>
          <w:highlight w:val="none"/>
          <w:lang w:val="zh-CN"/>
        </w:rPr>
      </w:pPr>
    </w:p>
    <w:p w14:paraId="55B2583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8F3B928">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54B82DA">
      <w:pPr>
        <w:spacing w:line="360" w:lineRule="auto"/>
        <w:jc w:val="center"/>
        <w:rPr>
          <w:rFonts w:ascii="宋体" w:hAnsi="宋体" w:cs="宋体"/>
          <w:b/>
          <w:bCs/>
          <w:color w:val="auto"/>
          <w:sz w:val="24"/>
          <w:highlight w:val="none"/>
        </w:rPr>
      </w:pPr>
    </w:p>
    <w:p w14:paraId="05881EF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691379D">
      <w:pPr>
        <w:spacing w:line="360" w:lineRule="auto"/>
        <w:jc w:val="center"/>
        <w:rPr>
          <w:rFonts w:ascii="宋体" w:hAnsi="宋体" w:cs="宋体"/>
          <w:b/>
          <w:bCs/>
          <w:color w:val="auto"/>
          <w:sz w:val="24"/>
          <w:highlight w:val="none"/>
        </w:rPr>
        <w:sectPr>
          <w:pgSz w:w="11906" w:h="16838"/>
          <w:pgMar w:top="1440" w:right="1080" w:bottom="1440" w:left="1080" w:header="851" w:footer="992" w:gutter="0"/>
          <w:cols w:space="720" w:num="1"/>
          <w:titlePg/>
          <w:docGrid w:linePitch="312" w:charSpace="0"/>
        </w:sectPr>
      </w:pPr>
    </w:p>
    <w:p w14:paraId="23CD29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572C07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401800A">
      <w:pPr>
        <w:spacing w:line="360" w:lineRule="auto"/>
        <w:jc w:val="center"/>
        <w:outlineLvl w:val="0"/>
        <w:rPr>
          <w:rFonts w:ascii="宋体" w:hAnsi="宋体" w:cs="宋体"/>
          <w:b/>
          <w:color w:val="auto"/>
          <w:kern w:val="0"/>
          <w:sz w:val="36"/>
          <w:szCs w:val="36"/>
          <w:highlight w:val="none"/>
        </w:rPr>
      </w:pPr>
    </w:p>
    <w:p w14:paraId="23991C3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（1）报价单…………………………………………………………………………（页码）</w:t>
      </w:r>
    </w:p>
    <w:p w14:paraId="7F6F2E04">
      <w:pPr>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报价情况说明（如有）</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14C0F5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）已标价工程量清单……………………………………………………………（页码）</w:t>
      </w:r>
    </w:p>
    <w:p w14:paraId="0DEAB8D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）中小企业声明函………………………………………………………………（页码）</w:t>
      </w:r>
    </w:p>
    <w:p w14:paraId="78292EED">
      <w:pPr>
        <w:snapToGrid w:val="0"/>
        <w:spacing w:line="360" w:lineRule="auto"/>
        <w:ind w:right="480"/>
        <w:jc w:val="center"/>
        <w:rPr>
          <w:rFonts w:ascii="宋体" w:hAnsi="宋体" w:cs="宋体"/>
          <w:b/>
          <w:color w:val="auto"/>
          <w:kern w:val="0"/>
          <w:sz w:val="32"/>
          <w:szCs w:val="32"/>
          <w:highlight w:val="none"/>
        </w:rPr>
      </w:pPr>
    </w:p>
    <w:p w14:paraId="5B877113">
      <w:pPr>
        <w:snapToGrid w:val="0"/>
        <w:spacing w:line="360" w:lineRule="auto"/>
        <w:ind w:right="480"/>
        <w:jc w:val="center"/>
        <w:rPr>
          <w:rFonts w:ascii="宋体" w:hAnsi="宋体" w:cs="宋体"/>
          <w:b/>
          <w:color w:val="auto"/>
          <w:kern w:val="0"/>
          <w:sz w:val="32"/>
          <w:szCs w:val="32"/>
          <w:highlight w:val="none"/>
        </w:rPr>
      </w:pPr>
    </w:p>
    <w:p w14:paraId="3FF0107B">
      <w:pPr>
        <w:snapToGrid w:val="0"/>
        <w:spacing w:line="360" w:lineRule="auto"/>
        <w:ind w:right="480"/>
        <w:jc w:val="center"/>
        <w:rPr>
          <w:rFonts w:ascii="宋体" w:hAnsi="宋体" w:cs="宋体"/>
          <w:b/>
          <w:color w:val="auto"/>
          <w:kern w:val="0"/>
          <w:sz w:val="32"/>
          <w:szCs w:val="32"/>
          <w:highlight w:val="none"/>
        </w:rPr>
      </w:pPr>
    </w:p>
    <w:p w14:paraId="09A8027F">
      <w:pPr>
        <w:snapToGrid w:val="0"/>
        <w:spacing w:line="360" w:lineRule="auto"/>
        <w:ind w:right="480"/>
        <w:jc w:val="center"/>
        <w:rPr>
          <w:rFonts w:ascii="宋体" w:hAnsi="宋体" w:cs="宋体"/>
          <w:b/>
          <w:color w:val="auto"/>
          <w:kern w:val="0"/>
          <w:sz w:val="32"/>
          <w:szCs w:val="32"/>
          <w:highlight w:val="none"/>
        </w:rPr>
      </w:pPr>
    </w:p>
    <w:p w14:paraId="30F028B5">
      <w:pPr>
        <w:snapToGrid w:val="0"/>
        <w:spacing w:line="360" w:lineRule="auto"/>
        <w:ind w:right="480"/>
        <w:jc w:val="center"/>
        <w:rPr>
          <w:rFonts w:ascii="宋体" w:hAnsi="宋体" w:cs="宋体"/>
          <w:b/>
          <w:color w:val="auto"/>
          <w:kern w:val="0"/>
          <w:sz w:val="32"/>
          <w:szCs w:val="32"/>
          <w:highlight w:val="none"/>
        </w:rPr>
      </w:pPr>
    </w:p>
    <w:p w14:paraId="3D361638">
      <w:pPr>
        <w:snapToGrid w:val="0"/>
        <w:spacing w:line="360" w:lineRule="auto"/>
        <w:ind w:right="480"/>
        <w:jc w:val="center"/>
        <w:rPr>
          <w:rFonts w:ascii="宋体" w:hAnsi="宋体" w:cs="宋体"/>
          <w:b/>
          <w:color w:val="auto"/>
          <w:kern w:val="0"/>
          <w:sz w:val="32"/>
          <w:szCs w:val="32"/>
          <w:highlight w:val="none"/>
        </w:rPr>
      </w:pPr>
    </w:p>
    <w:p w14:paraId="4F0CB4AA">
      <w:pPr>
        <w:snapToGrid w:val="0"/>
        <w:spacing w:line="360" w:lineRule="auto"/>
        <w:ind w:right="480"/>
        <w:jc w:val="center"/>
        <w:rPr>
          <w:rFonts w:ascii="宋体" w:hAnsi="宋体" w:cs="宋体"/>
          <w:b/>
          <w:color w:val="auto"/>
          <w:kern w:val="0"/>
          <w:sz w:val="32"/>
          <w:szCs w:val="32"/>
          <w:highlight w:val="none"/>
        </w:rPr>
      </w:pPr>
    </w:p>
    <w:p w14:paraId="18A9EDBD">
      <w:pPr>
        <w:snapToGrid w:val="0"/>
        <w:spacing w:line="360" w:lineRule="auto"/>
        <w:ind w:right="480"/>
        <w:jc w:val="center"/>
        <w:rPr>
          <w:rFonts w:ascii="宋体" w:hAnsi="宋体" w:cs="宋体"/>
          <w:b/>
          <w:color w:val="auto"/>
          <w:kern w:val="0"/>
          <w:sz w:val="32"/>
          <w:szCs w:val="32"/>
          <w:highlight w:val="none"/>
        </w:rPr>
      </w:pPr>
    </w:p>
    <w:p w14:paraId="73466EB9">
      <w:pPr>
        <w:snapToGrid w:val="0"/>
        <w:spacing w:line="360" w:lineRule="auto"/>
        <w:ind w:right="480"/>
        <w:jc w:val="center"/>
        <w:rPr>
          <w:rFonts w:ascii="宋体" w:hAnsi="宋体" w:cs="宋体"/>
          <w:b/>
          <w:color w:val="auto"/>
          <w:kern w:val="0"/>
          <w:sz w:val="32"/>
          <w:szCs w:val="32"/>
          <w:highlight w:val="none"/>
        </w:rPr>
      </w:pPr>
    </w:p>
    <w:p w14:paraId="5AE96C1C">
      <w:pPr>
        <w:snapToGrid w:val="0"/>
        <w:spacing w:line="360" w:lineRule="auto"/>
        <w:ind w:right="480"/>
        <w:jc w:val="center"/>
        <w:rPr>
          <w:rFonts w:ascii="宋体" w:hAnsi="宋体" w:cs="宋体"/>
          <w:b/>
          <w:color w:val="auto"/>
          <w:kern w:val="0"/>
          <w:sz w:val="32"/>
          <w:szCs w:val="32"/>
          <w:highlight w:val="none"/>
        </w:rPr>
      </w:pPr>
    </w:p>
    <w:p w14:paraId="79928E31">
      <w:pPr>
        <w:snapToGrid w:val="0"/>
        <w:spacing w:line="360" w:lineRule="auto"/>
        <w:ind w:right="480"/>
        <w:jc w:val="center"/>
        <w:rPr>
          <w:rFonts w:ascii="宋体" w:hAnsi="宋体" w:cs="宋体"/>
          <w:b/>
          <w:color w:val="auto"/>
          <w:kern w:val="0"/>
          <w:sz w:val="32"/>
          <w:szCs w:val="32"/>
          <w:highlight w:val="none"/>
        </w:rPr>
      </w:pPr>
    </w:p>
    <w:p w14:paraId="3F6792BE">
      <w:pPr>
        <w:snapToGrid w:val="0"/>
        <w:spacing w:line="360" w:lineRule="auto"/>
        <w:ind w:right="480"/>
        <w:jc w:val="center"/>
        <w:rPr>
          <w:rFonts w:ascii="宋体" w:hAnsi="宋体" w:cs="宋体"/>
          <w:b/>
          <w:color w:val="auto"/>
          <w:kern w:val="0"/>
          <w:sz w:val="32"/>
          <w:szCs w:val="32"/>
          <w:highlight w:val="none"/>
        </w:rPr>
      </w:pPr>
    </w:p>
    <w:p w14:paraId="7D196F6B">
      <w:pPr>
        <w:snapToGrid w:val="0"/>
        <w:spacing w:line="360" w:lineRule="auto"/>
        <w:ind w:right="480"/>
        <w:jc w:val="center"/>
        <w:rPr>
          <w:rFonts w:ascii="宋体" w:hAnsi="宋体" w:cs="宋体"/>
          <w:b/>
          <w:color w:val="auto"/>
          <w:kern w:val="0"/>
          <w:sz w:val="32"/>
          <w:szCs w:val="32"/>
          <w:highlight w:val="none"/>
        </w:rPr>
      </w:pPr>
    </w:p>
    <w:p w14:paraId="1024288F">
      <w:pPr>
        <w:snapToGrid w:val="0"/>
        <w:spacing w:line="360" w:lineRule="auto"/>
        <w:ind w:right="480"/>
        <w:jc w:val="center"/>
        <w:rPr>
          <w:rFonts w:ascii="宋体" w:hAnsi="宋体" w:cs="宋体"/>
          <w:b/>
          <w:color w:val="auto"/>
          <w:kern w:val="0"/>
          <w:sz w:val="32"/>
          <w:szCs w:val="32"/>
          <w:highlight w:val="none"/>
        </w:rPr>
      </w:pPr>
    </w:p>
    <w:p w14:paraId="223E2E92">
      <w:pPr>
        <w:snapToGrid w:val="0"/>
        <w:spacing w:line="360" w:lineRule="auto"/>
        <w:ind w:right="480"/>
        <w:jc w:val="center"/>
        <w:rPr>
          <w:rFonts w:ascii="宋体" w:hAnsi="宋体" w:cs="宋体"/>
          <w:b/>
          <w:color w:val="auto"/>
          <w:kern w:val="0"/>
          <w:sz w:val="32"/>
          <w:szCs w:val="32"/>
          <w:highlight w:val="none"/>
        </w:rPr>
      </w:pPr>
    </w:p>
    <w:p w14:paraId="7C428EBE">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6" w:type="first"/>
          <w:headerReference r:id="rId14" w:type="default"/>
          <w:footerReference r:id="rId15" w:type="default"/>
          <w:pgSz w:w="11906" w:h="16838"/>
          <w:pgMar w:top="1440" w:right="1080" w:bottom="1440" w:left="1080" w:header="851" w:footer="992" w:gutter="0"/>
          <w:cols w:space="720" w:num="1"/>
          <w:titlePg/>
          <w:docGrid w:linePitch="312" w:charSpace="0"/>
        </w:sectPr>
      </w:pPr>
    </w:p>
    <w:p w14:paraId="2A055674">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3F2C227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杭州市钱塘区观澜中学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浙江省房地产管理咨询有限公司</w:t>
      </w:r>
      <w:r>
        <w:rPr>
          <w:rFonts w:hint="eastAsia" w:ascii="宋体" w:hAnsi="宋体" w:cs="宋体"/>
          <w:color w:val="auto"/>
          <w:kern w:val="0"/>
          <w:sz w:val="24"/>
          <w:highlight w:val="none"/>
          <w:lang w:val="zh-CN"/>
        </w:rPr>
        <w:t>：</w:t>
      </w:r>
    </w:p>
    <w:p w14:paraId="5FD3308E">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lang w:eastAsia="zh-CN"/>
        </w:rPr>
        <w:t>观澜中学图书馆扩建改造工程</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 xml:space="preserve"> QTCG-CS-2024-043</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D65F292">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2C5BD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3A17828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14:paraId="624A10C4">
            <w:pPr>
              <w:spacing w:line="360" w:lineRule="auto"/>
              <w:jc w:val="center"/>
              <w:rPr>
                <w:rFonts w:ascii="宋体" w:hAnsi="宋体" w:cs="宋体"/>
                <w:b/>
                <w:color w:val="auto"/>
                <w:sz w:val="24"/>
                <w:highlight w:val="none"/>
              </w:rPr>
            </w:pPr>
          </w:p>
          <w:p w14:paraId="20954D2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3118" w:type="dxa"/>
            <w:vAlign w:val="center"/>
          </w:tcPr>
          <w:p w14:paraId="5CFA325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施工工期</w:t>
            </w:r>
          </w:p>
        </w:tc>
        <w:tc>
          <w:tcPr>
            <w:tcW w:w="2552" w:type="dxa"/>
            <w:vAlign w:val="center"/>
          </w:tcPr>
          <w:p w14:paraId="0E61BC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项目经理</w:t>
            </w:r>
          </w:p>
        </w:tc>
        <w:tc>
          <w:tcPr>
            <w:tcW w:w="1984" w:type="dxa"/>
            <w:vAlign w:val="center"/>
          </w:tcPr>
          <w:p w14:paraId="21C6AE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执业证书信息</w:t>
            </w:r>
          </w:p>
        </w:tc>
        <w:tc>
          <w:tcPr>
            <w:tcW w:w="3119" w:type="dxa"/>
            <w:vAlign w:val="center"/>
          </w:tcPr>
          <w:p w14:paraId="46E7D658">
            <w:pPr>
              <w:spacing w:line="360" w:lineRule="auto"/>
              <w:jc w:val="center"/>
              <w:rPr>
                <w:rFonts w:ascii="宋体" w:hAnsi="宋体" w:cs="宋体"/>
                <w:b/>
                <w:color w:val="auto"/>
                <w:sz w:val="24"/>
                <w:highlight w:val="none"/>
              </w:rPr>
            </w:pPr>
          </w:p>
          <w:p w14:paraId="672A6C4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6E2C733">
            <w:pPr>
              <w:spacing w:line="360" w:lineRule="auto"/>
              <w:jc w:val="center"/>
              <w:rPr>
                <w:rFonts w:ascii="宋体" w:hAnsi="宋体" w:cs="宋体"/>
                <w:b/>
                <w:color w:val="auto"/>
                <w:sz w:val="24"/>
                <w:highlight w:val="none"/>
              </w:rPr>
            </w:pPr>
          </w:p>
        </w:tc>
      </w:tr>
      <w:tr w14:paraId="02797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0AB00611">
            <w:pPr>
              <w:snapToGrid w:val="0"/>
              <w:spacing w:line="360" w:lineRule="auto"/>
              <w:jc w:val="center"/>
              <w:rPr>
                <w:rFonts w:ascii="宋体" w:hAnsi="宋体" w:cs="宋体"/>
                <w:color w:val="auto"/>
                <w:sz w:val="24"/>
                <w:highlight w:val="none"/>
              </w:rPr>
            </w:pPr>
          </w:p>
        </w:tc>
        <w:tc>
          <w:tcPr>
            <w:tcW w:w="1843" w:type="dxa"/>
            <w:vAlign w:val="center"/>
          </w:tcPr>
          <w:p w14:paraId="282541CF">
            <w:pPr>
              <w:snapToGrid w:val="0"/>
              <w:spacing w:line="360" w:lineRule="auto"/>
              <w:jc w:val="center"/>
              <w:rPr>
                <w:rFonts w:ascii="宋体" w:hAnsi="宋体" w:cs="宋体"/>
                <w:color w:val="auto"/>
                <w:sz w:val="24"/>
                <w:highlight w:val="none"/>
              </w:rPr>
            </w:pPr>
          </w:p>
        </w:tc>
        <w:tc>
          <w:tcPr>
            <w:tcW w:w="3118" w:type="dxa"/>
            <w:vAlign w:val="center"/>
          </w:tcPr>
          <w:p w14:paraId="5758E338">
            <w:pPr>
              <w:snapToGrid w:val="0"/>
              <w:spacing w:line="360" w:lineRule="auto"/>
              <w:jc w:val="center"/>
              <w:rPr>
                <w:rFonts w:ascii="宋体" w:hAnsi="宋体" w:cs="宋体"/>
                <w:color w:val="auto"/>
                <w:sz w:val="24"/>
                <w:highlight w:val="none"/>
              </w:rPr>
            </w:pPr>
          </w:p>
        </w:tc>
        <w:tc>
          <w:tcPr>
            <w:tcW w:w="2552" w:type="dxa"/>
            <w:vAlign w:val="center"/>
          </w:tcPr>
          <w:p w14:paraId="649964F8">
            <w:pPr>
              <w:spacing w:line="360" w:lineRule="auto"/>
              <w:jc w:val="center"/>
              <w:rPr>
                <w:rFonts w:ascii="宋体" w:hAnsi="宋体" w:cs="宋体"/>
                <w:color w:val="auto"/>
                <w:sz w:val="24"/>
                <w:highlight w:val="none"/>
              </w:rPr>
            </w:pPr>
          </w:p>
        </w:tc>
        <w:tc>
          <w:tcPr>
            <w:tcW w:w="1984" w:type="dxa"/>
            <w:vAlign w:val="center"/>
          </w:tcPr>
          <w:p w14:paraId="2B7D761C">
            <w:pPr>
              <w:spacing w:line="360" w:lineRule="auto"/>
              <w:jc w:val="center"/>
              <w:rPr>
                <w:rFonts w:ascii="宋体" w:hAnsi="宋体" w:cs="宋体"/>
                <w:color w:val="auto"/>
                <w:sz w:val="24"/>
                <w:highlight w:val="none"/>
              </w:rPr>
            </w:pPr>
          </w:p>
        </w:tc>
        <w:tc>
          <w:tcPr>
            <w:tcW w:w="3119" w:type="dxa"/>
            <w:vAlign w:val="center"/>
          </w:tcPr>
          <w:p w14:paraId="414F9F60">
            <w:pPr>
              <w:spacing w:line="360" w:lineRule="auto"/>
              <w:jc w:val="center"/>
              <w:rPr>
                <w:rFonts w:ascii="宋体" w:hAnsi="宋体" w:cs="宋体"/>
                <w:color w:val="auto"/>
                <w:sz w:val="24"/>
                <w:highlight w:val="none"/>
              </w:rPr>
            </w:pPr>
          </w:p>
        </w:tc>
      </w:tr>
      <w:tr w14:paraId="4D1E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1B594E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7655" w:type="dxa"/>
            <w:gridSpan w:val="3"/>
            <w:vAlign w:val="center"/>
          </w:tcPr>
          <w:p w14:paraId="094092DE">
            <w:pPr>
              <w:spacing w:line="360" w:lineRule="auto"/>
              <w:jc w:val="center"/>
              <w:rPr>
                <w:rFonts w:ascii="宋体" w:hAnsi="宋体" w:cs="宋体"/>
                <w:color w:val="auto"/>
                <w:sz w:val="24"/>
                <w:highlight w:val="none"/>
              </w:rPr>
            </w:pPr>
          </w:p>
        </w:tc>
      </w:tr>
      <w:tr w14:paraId="00BFA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5768090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7655" w:type="dxa"/>
            <w:gridSpan w:val="3"/>
            <w:vAlign w:val="center"/>
          </w:tcPr>
          <w:p w14:paraId="141D599A">
            <w:pPr>
              <w:spacing w:line="360" w:lineRule="auto"/>
              <w:jc w:val="center"/>
              <w:rPr>
                <w:rFonts w:ascii="宋体" w:hAnsi="宋体" w:cs="宋体"/>
                <w:color w:val="auto"/>
                <w:sz w:val="24"/>
                <w:highlight w:val="none"/>
              </w:rPr>
            </w:pPr>
          </w:p>
        </w:tc>
      </w:tr>
    </w:tbl>
    <w:p w14:paraId="376FC17C">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90DF7DE">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3B22E38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14:paraId="0067116D">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3、特别提示：采购机构将对项目名称和项目编号，成交供应商名称、地址和成交金额、施工范围、施工工期、项目经理、执业证书信息、品牌（如果有）、规格型号、数量、单价等予以公示。</w:t>
      </w:r>
    </w:p>
    <w:p w14:paraId="1E1CC958">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8A134D6">
      <w:pPr>
        <w:spacing w:line="360" w:lineRule="auto"/>
        <w:ind w:firstLine="482" w:firstLineChars="200"/>
        <w:rPr>
          <w:rFonts w:ascii="宋体" w:hAnsi="宋体" w:cs="宋体"/>
          <w:b/>
          <w:color w:val="auto"/>
          <w:kern w:val="0"/>
          <w:sz w:val="24"/>
          <w:highlight w:val="none"/>
        </w:rPr>
      </w:pPr>
    </w:p>
    <w:p w14:paraId="3DA6CEC1">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61690DA1">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483E6C04">
      <w:pPr>
        <w:pStyle w:val="693"/>
        <w:keepNext w:val="0"/>
        <w:pageBreakBefore/>
        <w:tabs>
          <w:tab w:val="clear" w:pos="720"/>
        </w:tabs>
        <w:snapToGrid w:val="0"/>
        <w:spacing w:before="120" w:after="12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46A41BDD">
      <w:pPr>
        <w:keepNext w:val="0"/>
        <w:pageBreakBefore w:val="0"/>
        <w:snapToGrid w:val="0"/>
        <w:spacing w:before="120" w:after="120"/>
        <w:outlineLvl w:val="9"/>
        <w:rPr>
          <w:rFonts w:hint="eastAsia"/>
          <w:color w:val="auto"/>
          <w:highlight w:val="none"/>
          <w:lang w:val="en-US" w:eastAsia="zh-CN"/>
        </w:rPr>
      </w:pPr>
    </w:p>
    <w:p w14:paraId="10DE882C">
      <w:pPr>
        <w:keepNext w:val="0"/>
        <w:pageBreakBefore w:val="0"/>
        <w:tabs>
          <w:tab w:val="left" w:pos="1313"/>
        </w:tabs>
        <w:snapToGrid w:val="0"/>
        <w:spacing w:before="120" w:after="120"/>
        <w:jc w:val="left"/>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11955609">
      <w:pPr>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br w:type="page"/>
      </w:r>
    </w:p>
    <w:p w14:paraId="751C67BB">
      <w:pPr>
        <w:pStyle w:val="693"/>
        <w:keepNext w:val="0"/>
        <w:pageBreakBefore w:val="0"/>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eastAsia="zh-CN"/>
        </w:rPr>
        <w:t>三</w:t>
      </w:r>
      <w:r>
        <w:rPr>
          <w:rFonts w:hint="eastAsia" w:ascii="宋体" w:hAnsi="宋体" w:eastAsia="宋体" w:cs="宋体"/>
          <w:color w:val="auto"/>
          <w:kern w:val="2"/>
          <w:sz w:val="32"/>
          <w:szCs w:val="32"/>
          <w:highlight w:val="none"/>
        </w:rPr>
        <w:t>、已标价工程量清单</w:t>
      </w:r>
    </w:p>
    <w:p w14:paraId="275BEB65">
      <w:pPr>
        <w:ind w:right="420"/>
        <w:rPr>
          <w:rFonts w:ascii="宋体" w:hAnsi="宋体" w:cs="宋体"/>
          <w:color w:val="auto"/>
          <w:sz w:val="24"/>
          <w:highlight w:val="none"/>
        </w:rPr>
      </w:pPr>
      <w:r>
        <w:rPr>
          <w:rFonts w:hint="eastAsia" w:ascii="宋体" w:hAnsi="宋体" w:cs="宋体"/>
          <w:color w:val="auto"/>
          <w:sz w:val="24"/>
          <w:highlight w:val="none"/>
        </w:rPr>
        <w:t xml:space="preserve">注：按采购文件工程量清单编制 </w:t>
      </w:r>
    </w:p>
    <w:p w14:paraId="4BF00DFA">
      <w:pPr>
        <w:pStyle w:val="27"/>
        <w:ind w:firstLine="480"/>
        <w:rPr>
          <w:rFonts w:cs="宋体"/>
          <w:color w:val="auto"/>
          <w:sz w:val="24"/>
          <w:highlight w:val="none"/>
        </w:rPr>
      </w:pPr>
    </w:p>
    <w:p w14:paraId="3F7EBF32">
      <w:pPr>
        <w:pStyle w:val="27"/>
        <w:ind w:firstLine="420"/>
        <w:rPr>
          <w:rFonts w:cs="宋体"/>
          <w:color w:val="auto"/>
          <w:sz w:val="24"/>
          <w:highlight w:val="none"/>
        </w:rPr>
        <w:sectPr>
          <w:footerReference r:id="rId20" w:type="first"/>
          <w:headerReference r:id="rId17" w:type="default"/>
          <w:footerReference r:id="rId18" w:type="default"/>
          <w:footerReference r:id="rId19" w:type="even"/>
          <w:pgSz w:w="11906" w:h="16838"/>
          <w:pgMar w:top="1440" w:right="1080" w:bottom="1440" w:left="1080" w:header="851" w:footer="992" w:gutter="0"/>
          <w:cols w:space="720" w:num="1"/>
          <w:titlePg/>
          <w:docGrid w:linePitch="312" w:charSpace="0"/>
        </w:sectPr>
      </w:pPr>
    </w:p>
    <w:p w14:paraId="0D1D4559">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四</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p>
    <w:p w14:paraId="0C0B314D">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177B134">
      <w:pPr>
        <w:pStyle w:val="693"/>
        <w:keepNext w:val="0"/>
        <w:pageBreakBefore w:val="0"/>
        <w:tabs>
          <w:tab w:val="clear" w:pos="720"/>
        </w:tabs>
        <w:snapToGrid w:val="0"/>
        <w:spacing w:before="120" w:after="120"/>
        <w:jc w:val="both"/>
        <w:outlineLvl w:val="9"/>
        <w:rPr>
          <w:rFonts w:ascii="宋体" w:hAnsi="宋体" w:eastAsia="宋体" w:cs="宋体"/>
          <w:b w:val="0"/>
          <w:color w:val="auto"/>
          <w:sz w:val="32"/>
          <w:szCs w:val="32"/>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lang w:eastAsia="zh-CN"/>
        </w:rPr>
        <w:t>观澜中学图书馆扩建改造工程</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建筑业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3346E26A">
      <w:pPr>
        <w:spacing w:line="360" w:lineRule="auto"/>
        <w:ind w:right="420" w:firstLine="3614" w:firstLineChars="1000"/>
        <w:rPr>
          <w:rFonts w:ascii="宋体" w:hAnsi="宋体" w:cs="宋体"/>
          <w:b/>
          <w:color w:val="auto"/>
          <w:kern w:val="0"/>
          <w:sz w:val="36"/>
          <w:szCs w:val="36"/>
          <w:highlight w:val="none"/>
        </w:rPr>
      </w:pPr>
    </w:p>
    <w:p w14:paraId="5DA01AF6">
      <w:pPr>
        <w:spacing w:line="360" w:lineRule="auto"/>
        <w:ind w:right="420" w:firstLine="3614" w:firstLineChars="1000"/>
        <w:rPr>
          <w:rFonts w:ascii="宋体" w:hAnsi="宋体" w:cs="宋体"/>
          <w:b/>
          <w:color w:val="auto"/>
          <w:kern w:val="0"/>
          <w:sz w:val="36"/>
          <w:szCs w:val="36"/>
          <w:highlight w:val="none"/>
        </w:rPr>
      </w:pPr>
    </w:p>
    <w:p w14:paraId="78C8050F">
      <w:pPr>
        <w:spacing w:line="360" w:lineRule="auto"/>
        <w:ind w:right="420" w:firstLine="3614" w:firstLineChars="1000"/>
        <w:rPr>
          <w:rFonts w:ascii="宋体" w:hAnsi="宋体" w:cs="宋体"/>
          <w:b/>
          <w:color w:val="auto"/>
          <w:kern w:val="0"/>
          <w:sz w:val="36"/>
          <w:szCs w:val="36"/>
          <w:highlight w:val="none"/>
        </w:rPr>
      </w:pPr>
    </w:p>
    <w:p w14:paraId="6B948444">
      <w:pPr>
        <w:spacing w:line="360" w:lineRule="auto"/>
        <w:ind w:right="420" w:firstLine="3614" w:firstLineChars="1000"/>
        <w:rPr>
          <w:rFonts w:ascii="宋体" w:hAnsi="宋体" w:cs="宋体"/>
          <w:b/>
          <w:color w:val="auto"/>
          <w:kern w:val="0"/>
          <w:sz w:val="36"/>
          <w:szCs w:val="36"/>
          <w:highlight w:val="none"/>
        </w:rPr>
      </w:pPr>
    </w:p>
    <w:p w14:paraId="4D0C2E6B">
      <w:pPr>
        <w:spacing w:line="360" w:lineRule="auto"/>
        <w:ind w:right="420" w:firstLine="3614" w:firstLineChars="1000"/>
        <w:rPr>
          <w:rFonts w:ascii="宋体" w:hAnsi="宋体" w:cs="宋体"/>
          <w:b/>
          <w:color w:val="auto"/>
          <w:kern w:val="0"/>
          <w:sz w:val="36"/>
          <w:szCs w:val="36"/>
          <w:highlight w:val="none"/>
        </w:rPr>
      </w:pPr>
    </w:p>
    <w:p w14:paraId="1A1A8AB0">
      <w:pPr>
        <w:spacing w:line="360" w:lineRule="auto"/>
        <w:ind w:right="420" w:firstLine="3614" w:firstLineChars="1000"/>
        <w:rPr>
          <w:rFonts w:ascii="宋体" w:hAnsi="宋体" w:cs="宋体"/>
          <w:b/>
          <w:color w:val="auto"/>
          <w:kern w:val="0"/>
          <w:sz w:val="36"/>
          <w:szCs w:val="36"/>
          <w:highlight w:val="none"/>
        </w:rPr>
      </w:pPr>
    </w:p>
    <w:p w14:paraId="4FF3422D">
      <w:pPr>
        <w:spacing w:line="360" w:lineRule="auto"/>
        <w:ind w:right="420" w:firstLine="3614" w:firstLineChars="1000"/>
        <w:rPr>
          <w:rFonts w:ascii="宋体" w:hAnsi="宋体" w:cs="宋体"/>
          <w:b/>
          <w:color w:val="auto"/>
          <w:kern w:val="0"/>
          <w:sz w:val="36"/>
          <w:szCs w:val="36"/>
          <w:highlight w:val="none"/>
        </w:rPr>
      </w:pPr>
    </w:p>
    <w:p w14:paraId="0CCE4E2E">
      <w:pPr>
        <w:spacing w:line="360" w:lineRule="auto"/>
        <w:ind w:right="420" w:firstLine="3614" w:firstLineChars="1000"/>
        <w:rPr>
          <w:rFonts w:ascii="宋体" w:hAnsi="宋体" w:cs="宋体"/>
          <w:b/>
          <w:color w:val="auto"/>
          <w:kern w:val="0"/>
          <w:sz w:val="36"/>
          <w:szCs w:val="36"/>
          <w:highlight w:val="none"/>
        </w:rPr>
      </w:pPr>
    </w:p>
    <w:p w14:paraId="5CB8680D">
      <w:pPr>
        <w:spacing w:line="360" w:lineRule="auto"/>
        <w:ind w:right="420" w:firstLine="3614" w:firstLineChars="1000"/>
        <w:rPr>
          <w:rFonts w:ascii="宋体" w:hAnsi="宋体" w:cs="宋体"/>
          <w:b/>
          <w:color w:val="auto"/>
          <w:kern w:val="0"/>
          <w:sz w:val="36"/>
          <w:szCs w:val="36"/>
          <w:highlight w:val="none"/>
        </w:rPr>
      </w:pPr>
    </w:p>
    <w:p w14:paraId="4A171F58">
      <w:pPr>
        <w:spacing w:line="360" w:lineRule="auto"/>
        <w:ind w:right="420" w:firstLine="3614" w:firstLineChars="1000"/>
        <w:rPr>
          <w:rFonts w:ascii="宋体" w:hAnsi="宋体" w:cs="宋体"/>
          <w:b/>
          <w:color w:val="auto"/>
          <w:kern w:val="0"/>
          <w:sz w:val="36"/>
          <w:szCs w:val="36"/>
          <w:highlight w:val="none"/>
        </w:rPr>
      </w:pPr>
    </w:p>
    <w:p w14:paraId="47BB9216">
      <w:pPr>
        <w:spacing w:line="360" w:lineRule="auto"/>
        <w:ind w:right="420" w:firstLine="3614" w:firstLineChars="1000"/>
        <w:rPr>
          <w:rFonts w:ascii="宋体" w:hAnsi="宋体" w:cs="宋体"/>
          <w:b/>
          <w:color w:val="auto"/>
          <w:kern w:val="0"/>
          <w:sz w:val="36"/>
          <w:szCs w:val="36"/>
          <w:highlight w:val="none"/>
        </w:rPr>
      </w:pPr>
    </w:p>
    <w:p w14:paraId="6C025C0C">
      <w:pPr>
        <w:spacing w:line="360" w:lineRule="auto"/>
        <w:ind w:right="420" w:firstLine="3614" w:firstLineChars="1000"/>
        <w:rPr>
          <w:rFonts w:ascii="宋体" w:hAnsi="宋体" w:cs="宋体"/>
          <w:b/>
          <w:color w:val="auto"/>
          <w:kern w:val="0"/>
          <w:sz w:val="36"/>
          <w:szCs w:val="36"/>
          <w:highlight w:val="none"/>
        </w:rPr>
      </w:pPr>
    </w:p>
    <w:p w14:paraId="6404C51D">
      <w:pPr>
        <w:spacing w:line="360" w:lineRule="auto"/>
        <w:ind w:right="420" w:firstLine="3614" w:firstLineChars="1000"/>
        <w:rPr>
          <w:rFonts w:ascii="宋体" w:hAnsi="宋体" w:cs="宋体"/>
          <w:b/>
          <w:color w:val="auto"/>
          <w:kern w:val="0"/>
          <w:sz w:val="36"/>
          <w:szCs w:val="36"/>
          <w:highlight w:val="none"/>
        </w:rPr>
      </w:pPr>
    </w:p>
    <w:p w14:paraId="36DD2F1A">
      <w:pPr>
        <w:spacing w:line="360" w:lineRule="auto"/>
        <w:ind w:right="420" w:firstLine="3614" w:firstLineChars="1000"/>
        <w:rPr>
          <w:rFonts w:ascii="宋体" w:hAnsi="宋体" w:cs="宋体"/>
          <w:b/>
          <w:color w:val="auto"/>
          <w:kern w:val="0"/>
          <w:sz w:val="36"/>
          <w:szCs w:val="36"/>
          <w:highlight w:val="none"/>
        </w:rPr>
      </w:pPr>
    </w:p>
    <w:p w14:paraId="4563E6D0">
      <w:pPr>
        <w:spacing w:line="360" w:lineRule="auto"/>
        <w:ind w:right="420" w:firstLine="3614" w:firstLineChars="1000"/>
        <w:rPr>
          <w:rFonts w:ascii="宋体" w:hAnsi="宋体" w:cs="宋体"/>
          <w:b/>
          <w:color w:val="auto"/>
          <w:kern w:val="0"/>
          <w:sz w:val="36"/>
          <w:szCs w:val="36"/>
          <w:highlight w:val="none"/>
        </w:rPr>
      </w:pPr>
    </w:p>
    <w:p w14:paraId="51FA627B">
      <w:pPr>
        <w:spacing w:line="240" w:lineRule="auto"/>
        <w:jc w:val="left"/>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3E8BC559">
      <w:pPr>
        <w:spacing w:line="360" w:lineRule="auto"/>
        <w:jc w:val="center"/>
        <w:rPr>
          <w:rFonts w:hint="eastAsia" w:ascii="宋体" w:hAnsi="宋体" w:eastAsia="宋体" w:cs="宋体"/>
          <w:b/>
          <w:color w:val="auto"/>
          <w:szCs w:val="21"/>
          <w:highlight w:val="none"/>
        </w:rPr>
      </w:pPr>
      <w:bookmarkStart w:id="1191" w:name="_Toc465665161"/>
      <w:r>
        <w:rPr>
          <w:rFonts w:hint="eastAsia" w:ascii="宋体" w:hAnsi="宋体" w:eastAsia="宋体" w:cs="宋体"/>
          <w:b/>
          <w:color w:val="auto"/>
          <w:szCs w:val="21"/>
          <w:highlight w:val="none"/>
        </w:rPr>
        <w:t>关于钱塘区政府采购支持中小企业信用融资相关事项通知</w:t>
      </w:r>
    </w:p>
    <w:p w14:paraId="6ED0A9E9">
      <w:pPr>
        <w:spacing w:line="360" w:lineRule="auto"/>
        <w:jc w:val="center"/>
        <w:rPr>
          <w:rFonts w:hint="eastAsia" w:ascii="宋体" w:hAnsi="宋体" w:eastAsia="宋体" w:cs="宋体"/>
          <w:b/>
          <w:color w:val="auto"/>
          <w:szCs w:val="21"/>
          <w:highlight w:val="none"/>
        </w:rPr>
      </w:pPr>
    </w:p>
    <w:p w14:paraId="45516C08">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1716CE89">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一、适用对象</w:t>
      </w:r>
    </w:p>
    <w:p w14:paraId="5C74BE6B">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在浙江“政采云”平台注册入库，并取得钱塘区政府采购合同的中小企业供应商。</w:t>
      </w:r>
    </w:p>
    <w:p w14:paraId="5ABF7565">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二、相关信息获取方式</w:t>
      </w:r>
    </w:p>
    <w:p w14:paraId="12F7CD84">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请登陆杭州钱塘新区管理委员会官网（http://qt.hangzhou.gov.cn） “公告公示”专栏，查看信用融资政策文件及各相关银行服务方案。</w:t>
      </w:r>
    </w:p>
    <w:p w14:paraId="7FD08CFB">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三、申请方式和步骤</w:t>
      </w:r>
    </w:p>
    <w:p w14:paraId="2ECB2CD6">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1、供应商若有融资意向，需先与钱塘区财政局合作的银行对接，办理相关融资前期手续；</w:t>
      </w:r>
    </w:p>
    <w:p w14:paraId="6128851F">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2、中标后，供应商应与采购单位或者采购代理机构及时联系，告知融资需求；</w:t>
      </w:r>
    </w:p>
    <w:p w14:paraId="7E52E7FC">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3、相关合作银行联系并审核供应商及相关中标信息，办理相关融资事宜；</w:t>
      </w:r>
    </w:p>
    <w:p w14:paraId="7162F03D">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、采购单位应及时将信用融资合同提交备案。</w:t>
      </w:r>
    </w:p>
    <w:p w14:paraId="79EE11C8">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四、注意事项</w:t>
      </w:r>
    </w:p>
    <w:p w14:paraId="60695325">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请各采购单位和采购代理机构积极支持和配合政府采购信用融资工作，在合同备案环节务必请仔细核对收款银行、账号信息等内容。</w:t>
      </w:r>
    </w:p>
    <w:p w14:paraId="39705F64">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五、合作银行及联系方式</w:t>
      </w:r>
    </w:p>
    <w:tbl>
      <w:tblPr>
        <w:tblStyle w:val="62"/>
        <w:tblW w:w="9960" w:type="dxa"/>
        <w:tblInd w:w="0" w:type="dxa"/>
        <w:tblLayout w:type="fixed"/>
        <w:tblCellMar>
          <w:top w:w="0" w:type="dxa"/>
          <w:left w:w="108" w:type="dxa"/>
          <w:bottom w:w="0" w:type="dxa"/>
          <w:right w:w="108" w:type="dxa"/>
        </w:tblCellMar>
      </w:tblPr>
      <w:tblGrid>
        <w:gridCol w:w="1229"/>
        <w:gridCol w:w="3442"/>
        <w:gridCol w:w="1618"/>
        <w:gridCol w:w="3671"/>
      </w:tblGrid>
      <w:tr w14:paraId="144D68A7">
        <w:tblPrEx>
          <w:tblCellMar>
            <w:top w:w="0" w:type="dxa"/>
            <w:left w:w="108" w:type="dxa"/>
            <w:bottom w:w="0" w:type="dxa"/>
            <w:right w:w="108" w:type="dxa"/>
          </w:tblCellMar>
        </w:tblPrEx>
        <w:trPr>
          <w:trHeight w:val="750" w:hRule="atLeast"/>
        </w:trPr>
        <w:tc>
          <w:tcPr>
            <w:tcW w:w="1229" w:type="dxa"/>
            <w:tcBorders>
              <w:top w:val="single" w:color="auto" w:sz="4" w:space="0"/>
              <w:left w:val="single" w:color="auto" w:sz="4" w:space="0"/>
              <w:bottom w:val="single" w:color="auto" w:sz="4" w:space="0"/>
              <w:right w:val="single" w:color="auto" w:sz="4" w:space="0"/>
            </w:tcBorders>
            <w:vAlign w:val="center"/>
          </w:tcPr>
          <w:p w14:paraId="0A8D701C">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442" w:type="dxa"/>
            <w:tcBorders>
              <w:top w:val="single" w:color="auto" w:sz="4" w:space="0"/>
              <w:left w:val="nil"/>
              <w:bottom w:val="single" w:color="auto" w:sz="4" w:space="0"/>
              <w:right w:val="single" w:color="auto" w:sz="4" w:space="0"/>
            </w:tcBorders>
            <w:vAlign w:val="center"/>
          </w:tcPr>
          <w:p w14:paraId="0D22C364">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银行</w:t>
            </w:r>
          </w:p>
        </w:tc>
        <w:tc>
          <w:tcPr>
            <w:tcW w:w="1618" w:type="dxa"/>
            <w:tcBorders>
              <w:top w:val="single" w:color="auto" w:sz="4" w:space="0"/>
              <w:left w:val="nil"/>
              <w:bottom w:val="single" w:color="auto" w:sz="4" w:space="0"/>
              <w:right w:val="single" w:color="auto" w:sz="4" w:space="0"/>
            </w:tcBorders>
            <w:vAlign w:val="center"/>
          </w:tcPr>
          <w:p w14:paraId="1CD98C84">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联系人</w:t>
            </w:r>
          </w:p>
        </w:tc>
        <w:tc>
          <w:tcPr>
            <w:tcW w:w="3671" w:type="dxa"/>
            <w:tcBorders>
              <w:top w:val="single" w:color="auto" w:sz="4" w:space="0"/>
              <w:left w:val="nil"/>
              <w:bottom w:val="single" w:color="auto" w:sz="4" w:space="0"/>
              <w:right w:val="single" w:color="auto" w:sz="4" w:space="0"/>
            </w:tcBorders>
            <w:vAlign w:val="center"/>
          </w:tcPr>
          <w:p w14:paraId="7470BED3">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电话</w:t>
            </w:r>
          </w:p>
        </w:tc>
      </w:tr>
      <w:tr w14:paraId="3207D57F">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14:paraId="4C6530CF">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w:t>
            </w:r>
          </w:p>
        </w:tc>
        <w:tc>
          <w:tcPr>
            <w:tcW w:w="3442" w:type="dxa"/>
            <w:tcBorders>
              <w:top w:val="nil"/>
              <w:left w:val="nil"/>
              <w:bottom w:val="single" w:color="auto" w:sz="4" w:space="0"/>
              <w:right w:val="single" w:color="auto" w:sz="4" w:space="0"/>
            </w:tcBorders>
            <w:vAlign w:val="center"/>
          </w:tcPr>
          <w:p w14:paraId="2412F550">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建设银行钱塘支行</w:t>
            </w:r>
          </w:p>
        </w:tc>
        <w:tc>
          <w:tcPr>
            <w:tcW w:w="1618" w:type="dxa"/>
            <w:tcBorders>
              <w:top w:val="nil"/>
              <w:left w:val="nil"/>
              <w:bottom w:val="single" w:color="auto" w:sz="4" w:space="0"/>
              <w:right w:val="single" w:color="auto" w:sz="4" w:space="0"/>
            </w:tcBorders>
            <w:vAlign w:val="center"/>
          </w:tcPr>
          <w:p w14:paraId="541D495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张苏航</w:t>
            </w:r>
          </w:p>
        </w:tc>
        <w:tc>
          <w:tcPr>
            <w:tcW w:w="3671" w:type="dxa"/>
            <w:tcBorders>
              <w:top w:val="nil"/>
              <w:left w:val="nil"/>
              <w:bottom w:val="single" w:color="auto" w:sz="4" w:space="0"/>
              <w:right w:val="single" w:color="auto" w:sz="4" w:space="0"/>
            </w:tcBorders>
            <w:vAlign w:val="center"/>
          </w:tcPr>
          <w:p w14:paraId="6D336982">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13065710830</w:t>
            </w:r>
          </w:p>
        </w:tc>
      </w:tr>
      <w:tr w14:paraId="74846AAE">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14:paraId="509DBD35">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w:t>
            </w:r>
          </w:p>
        </w:tc>
        <w:tc>
          <w:tcPr>
            <w:tcW w:w="3442" w:type="dxa"/>
            <w:tcBorders>
              <w:top w:val="nil"/>
              <w:left w:val="nil"/>
              <w:bottom w:val="single" w:color="auto" w:sz="4" w:space="0"/>
              <w:right w:val="single" w:color="auto" w:sz="4" w:space="0"/>
            </w:tcBorders>
            <w:vAlign w:val="center"/>
          </w:tcPr>
          <w:p w14:paraId="67BA7D87">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中信银行开发支行</w:t>
            </w:r>
          </w:p>
        </w:tc>
        <w:tc>
          <w:tcPr>
            <w:tcW w:w="1618" w:type="dxa"/>
            <w:tcBorders>
              <w:top w:val="nil"/>
              <w:left w:val="nil"/>
              <w:bottom w:val="single" w:color="auto" w:sz="4" w:space="0"/>
              <w:right w:val="single" w:color="auto" w:sz="4" w:space="0"/>
            </w:tcBorders>
            <w:vAlign w:val="center"/>
          </w:tcPr>
          <w:p w14:paraId="071C2D6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左劼</w:t>
            </w:r>
          </w:p>
        </w:tc>
        <w:tc>
          <w:tcPr>
            <w:tcW w:w="3671" w:type="dxa"/>
            <w:tcBorders>
              <w:top w:val="nil"/>
              <w:left w:val="nil"/>
              <w:bottom w:val="single" w:color="auto" w:sz="4" w:space="0"/>
              <w:right w:val="single" w:color="auto" w:sz="4" w:space="0"/>
            </w:tcBorders>
            <w:vAlign w:val="center"/>
          </w:tcPr>
          <w:p w14:paraId="39B50ED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13777889798</w:t>
            </w:r>
          </w:p>
        </w:tc>
      </w:tr>
      <w:tr w14:paraId="7DD63666">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14:paraId="2A2D9146">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w:t>
            </w:r>
          </w:p>
        </w:tc>
        <w:tc>
          <w:tcPr>
            <w:tcW w:w="3442" w:type="dxa"/>
            <w:tcBorders>
              <w:top w:val="nil"/>
              <w:left w:val="nil"/>
              <w:bottom w:val="single" w:color="auto" w:sz="4" w:space="0"/>
              <w:right w:val="single" w:color="auto" w:sz="4" w:space="0"/>
            </w:tcBorders>
            <w:vAlign w:val="center"/>
          </w:tcPr>
          <w:p w14:paraId="1C2D2B1B">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民生银行下沙支行</w:t>
            </w:r>
          </w:p>
        </w:tc>
        <w:tc>
          <w:tcPr>
            <w:tcW w:w="1618" w:type="dxa"/>
            <w:tcBorders>
              <w:top w:val="nil"/>
              <w:left w:val="nil"/>
              <w:bottom w:val="single" w:color="auto" w:sz="4" w:space="0"/>
              <w:right w:val="single" w:color="auto" w:sz="4" w:space="0"/>
            </w:tcBorders>
            <w:vAlign w:val="center"/>
          </w:tcPr>
          <w:p w14:paraId="09BF332D">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吕刚</w:t>
            </w:r>
          </w:p>
        </w:tc>
        <w:tc>
          <w:tcPr>
            <w:tcW w:w="3671" w:type="dxa"/>
            <w:tcBorders>
              <w:top w:val="nil"/>
              <w:left w:val="nil"/>
              <w:bottom w:val="single" w:color="auto" w:sz="4" w:space="0"/>
              <w:right w:val="single" w:color="auto" w:sz="4" w:space="0"/>
            </w:tcBorders>
            <w:vAlign w:val="center"/>
          </w:tcPr>
          <w:p w14:paraId="1EB116E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13906811832</w:t>
            </w:r>
          </w:p>
        </w:tc>
      </w:tr>
      <w:tr w14:paraId="3F89D98D">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14:paraId="0D1B1825">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4</w:t>
            </w:r>
          </w:p>
        </w:tc>
        <w:tc>
          <w:tcPr>
            <w:tcW w:w="3442" w:type="dxa"/>
            <w:tcBorders>
              <w:top w:val="nil"/>
              <w:left w:val="nil"/>
              <w:bottom w:val="single" w:color="auto" w:sz="4" w:space="0"/>
              <w:right w:val="single" w:color="auto" w:sz="4" w:space="0"/>
            </w:tcBorders>
            <w:vAlign w:val="center"/>
          </w:tcPr>
          <w:p w14:paraId="42AE2800">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杭州银行钱塘支行</w:t>
            </w:r>
          </w:p>
        </w:tc>
        <w:tc>
          <w:tcPr>
            <w:tcW w:w="1618" w:type="dxa"/>
            <w:tcBorders>
              <w:top w:val="nil"/>
              <w:left w:val="nil"/>
              <w:bottom w:val="single" w:color="auto" w:sz="4" w:space="0"/>
              <w:right w:val="single" w:color="auto" w:sz="4" w:space="0"/>
            </w:tcBorders>
            <w:vAlign w:val="center"/>
          </w:tcPr>
          <w:p w14:paraId="6A2B1036">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费莎</w:t>
            </w:r>
          </w:p>
          <w:p w14:paraId="7E7A8F6D">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严培蓓</w:t>
            </w:r>
          </w:p>
        </w:tc>
        <w:tc>
          <w:tcPr>
            <w:tcW w:w="3671" w:type="dxa"/>
            <w:tcBorders>
              <w:top w:val="nil"/>
              <w:left w:val="nil"/>
              <w:bottom w:val="single" w:color="auto" w:sz="4" w:space="0"/>
              <w:right w:val="single" w:color="auto" w:sz="4" w:space="0"/>
            </w:tcBorders>
            <w:vAlign w:val="center"/>
          </w:tcPr>
          <w:p w14:paraId="25CA30CE">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13388617781</w:t>
            </w:r>
          </w:p>
          <w:p w14:paraId="7D93B91C">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13858023883</w:t>
            </w:r>
          </w:p>
        </w:tc>
      </w:tr>
      <w:tr w14:paraId="7794B7CE">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14:paraId="00A3FA0B">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5</w:t>
            </w:r>
          </w:p>
        </w:tc>
        <w:tc>
          <w:tcPr>
            <w:tcW w:w="3442" w:type="dxa"/>
            <w:tcBorders>
              <w:top w:val="nil"/>
              <w:left w:val="nil"/>
              <w:bottom w:val="single" w:color="auto" w:sz="4" w:space="0"/>
              <w:right w:val="single" w:color="auto" w:sz="4" w:space="0"/>
            </w:tcBorders>
            <w:vAlign w:val="center"/>
          </w:tcPr>
          <w:p w14:paraId="65CE8AAB">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兴业银行开发区支行</w:t>
            </w:r>
          </w:p>
        </w:tc>
        <w:tc>
          <w:tcPr>
            <w:tcW w:w="1618" w:type="dxa"/>
            <w:tcBorders>
              <w:top w:val="nil"/>
              <w:left w:val="nil"/>
              <w:bottom w:val="single" w:color="auto" w:sz="4" w:space="0"/>
              <w:right w:val="single" w:color="auto" w:sz="4" w:space="0"/>
            </w:tcBorders>
            <w:vAlign w:val="center"/>
          </w:tcPr>
          <w:p w14:paraId="53E3B92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丁萍</w:t>
            </w:r>
          </w:p>
        </w:tc>
        <w:tc>
          <w:tcPr>
            <w:tcW w:w="3671" w:type="dxa"/>
            <w:tcBorders>
              <w:top w:val="nil"/>
              <w:left w:val="nil"/>
              <w:bottom w:val="single" w:color="auto" w:sz="4" w:space="0"/>
              <w:right w:val="single" w:color="auto" w:sz="4" w:space="0"/>
            </w:tcBorders>
            <w:vAlign w:val="center"/>
          </w:tcPr>
          <w:p w14:paraId="0F99B999">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13777421564</w:t>
            </w:r>
          </w:p>
        </w:tc>
      </w:tr>
      <w:tr w14:paraId="74FF0674">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14:paraId="3D988E21">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6</w:t>
            </w:r>
          </w:p>
        </w:tc>
        <w:tc>
          <w:tcPr>
            <w:tcW w:w="3442" w:type="dxa"/>
            <w:tcBorders>
              <w:top w:val="nil"/>
              <w:left w:val="nil"/>
              <w:bottom w:val="single" w:color="auto" w:sz="4" w:space="0"/>
              <w:right w:val="single" w:color="auto" w:sz="4" w:space="0"/>
            </w:tcBorders>
            <w:vAlign w:val="center"/>
          </w:tcPr>
          <w:p w14:paraId="0072085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中国银行钱塘支行</w:t>
            </w:r>
          </w:p>
        </w:tc>
        <w:tc>
          <w:tcPr>
            <w:tcW w:w="1618" w:type="dxa"/>
            <w:tcBorders>
              <w:top w:val="nil"/>
              <w:left w:val="nil"/>
              <w:bottom w:val="single" w:color="auto" w:sz="4" w:space="0"/>
              <w:right w:val="single" w:color="auto" w:sz="4" w:space="0"/>
            </w:tcBorders>
            <w:vAlign w:val="center"/>
          </w:tcPr>
          <w:p w14:paraId="19534606">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沈振华</w:t>
            </w:r>
          </w:p>
        </w:tc>
        <w:tc>
          <w:tcPr>
            <w:tcW w:w="3671" w:type="dxa"/>
            <w:tcBorders>
              <w:top w:val="nil"/>
              <w:left w:val="nil"/>
              <w:bottom w:val="single" w:color="auto" w:sz="4" w:space="0"/>
              <w:right w:val="single" w:color="auto" w:sz="4" w:space="0"/>
            </w:tcBorders>
            <w:vAlign w:val="center"/>
          </w:tcPr>
          <w:p w14:paraId="665D2737">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13957168926</w:t>
            </w:r>
          </w:p>
        </w:tc>
      </w:tr>
      <w:tr w14:paraId="7C6C74A0">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14:paraId="6765BABB">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7</w:t>
            </w:r>
          </w:p>
        </w:tc>
        <w:tc>
          <w:tcPr>
            <w:tcW w:w="3442" w:type="dxa"/>
            <w:tcBorders>
              <w:top w:val="nil"/>
              <w:left w:val="nil"/>
              <w:bottom w:val="single" w:color="auto" w:sz="4" w:space="0"/>
              <w:right w:val="single" w:color="auto" w:sz="4" w:space="0"/>
            </w:tcBorders>
            <w:vAlign w:val="center"/>
          </w:tcPr>
          <w:p w14:paraId="2C137C1A">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工商银行开发区支行</w:t>
            </w:r>
          </w:p>
        </w:tc>
        <w:tc>
          <w:tcPr>
            <w:tcW w:w="1618" w:type="dxa"/>
            <w:tcBorders>
              <w:top w:val="nil"/>
              <w:left w:val="nil"/>
              <w:bottom w:val="single" w:color="auto" w:sz="4" w:space="0"/>
              <w:right w:val="single" w:color="auto" w:sz="4" w:space="0"/>
            </w:tcBorders>
            <w:vAlign w:val="center"/>
          </w:tcPr>
          <w:p w14:paraId="3ACBE107">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李燕珍</w:t>
            </w:r>
          </w:p>
        </w:tc>
        <w:tc>
          <w:tcPr>
            <w:tcW w:w="3671" w:type="dxa"/>
            <w:tcBorders>
              <w:top w:val="nil"/>
              <w:left w:val="nil"/>
              <w:bottom w:val="single" w:color="auto" w:sz="4" w:space="0"/>
              <w:right w:val="single" w:color="auto" w:sz="4" w:space="0"/>
            </w:tcBorders>
            <w:vAlign w:val="center"/>
          </w:tcPr>
          <w:p w14:paraId="38EC32BE">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13735710338</w:t>
            </w:r>
          </w:p>
        </w:tc>
      </w:tr>
      <w:tr w14:paraId="0B646F66">
        <w:tblPrEx>
          <w:tblCellMar>
            <w:top w:w="0" w:type="dxa"/>
            <w:left w:w="108" w:type="dxa"/>
            <w:bottom w:w="0" w:type="dxa"/>
            <w:right w:w="108" w:type="dxa"/>
          </w:tblCellMar>
        </w:tblPrEx>
        <w:trPr>
          <w:trHeight w:val="555" w:hRule="atLeast"/>
        </w:trPr>
        <w:tc>
          <w:tcPr>
            <w:tcW w:w="1229" w:type="dxa"/>
            <w:tcBorders>
              <w:top w:val="nil"/>
              <w:left w:val="single" w:color="auto" w:sz="4" w:space="0"/>
              <w:bottom w:val="single" w:color="auto" w:sz="4" w:space="0"/>
              <w:right w:val="single" w:color="auto" w:sz="4" w:space="0"/>
            </w:tcBorders>
            <w:vAlign w:val="center"/>
          </w:tcPr>
          <w:p w14:paraId="49113C4C">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8</w:t>
            </w:r>
          </w:p>
        </w:tc>
        <w:tc>
          <w:tcPr>
            <w:tcW w:w="3442" w:type="dxa"/>
            <w:tcBorders>
              <w:top w:val="nil"/>
              <w:left w:val="nil"/>
              <w:bottom w:val="single" w:color="auto" w:sz="4" w:space="0"/>
              <w:right w:val="single" w:color="auto" w:sz="4" w:space="0"/>
            </w:tcBorders>
            <w:vAlign w:val="center"/>
          </w:tcPr>
          <w:p w14:paraId="107BF30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宁波银行开发区支行</w:t>
            </w:r>
          </w:p>
        </w:tc>
        <w:tc>
          <w:tcPr>
            <w:tcW w:w="1618" w:type="dxa"/>
            <w:tcBorders>
              <w:top w:val="nil"/>
              <w:left w:val="nil"/>
              <w:bottom w:val="single" w:color="auto" w:sz="4" w:space="0"/>
              <w:right w:val="single" w:color="auto" w:sz="4" w:space="0"/>
            </w:tcBorders>
            <w:vAlign w:val="center"/>
          </w:tcPr>
          <w:p w14:paraId="41B2332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贾磊</w:t>
            </w:r>
          </w:p>
        </w:tc>
        <w:tc>
          <w:tcPr>
            <w:tcW w:w="3671" w:type="dxa"/>
            <w:tcBorders>
              <w:top w:val="nil"/>
              <w:left w:val="nil"/>
              <w:bottom w:val="single" w:color="auto" w:sz="4" w:space="0"/>
              <w:right w:val="single" w:color="auto" w:sz="4" w:space="0"/>
            </w:tcBorders>
            <w:vAlign w:val="center"/>
          </w:tcPr>
          <w:p w14:paraId="0AF1BDC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13575745232</w:t>
            </w:r>
          </w:p>
        </w:tc>
      </w:tr>
      <w:tr w14:paraId="7D2469EA">
        <w:tblPrEx>
          <w:tblCellMar>
            <w:top w:w="0" w:type="dxa"/>
            <w:left w:w="108" w:type="dxa"/>
            <w:bottom w:w="0" w:type="dxa"/>
            <w:right w:w="108" w:type="dxa"/>
          </w:tblCellMar>
        </w:tblPrEx>
        <w:trPr>
          <w:trHeight w:val="480" w:hRule="atLeast"/>
        </w:trPr>
        <w:tc>
          <w:tcPr>
            <w:tcW w:w="1229" w:type="dxa"/>
            <w:tcBorders>
              <w:top w:val="nil"/>
              <w:left w:val="single" w:color="auto" w:sz="4" w:space="0"/>
              <w:bottom w:val="single" w:color="auto" w:sz="4" w:space="0"/>
              <w:right w:val="single" w:color="auto" w:sz="4" w:space="0"/>
            </w:tcBorders>
            <w:vAlign w:val="center"/>
          </w:tcPr>
          <w:p w14:paraId="25E29799">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9</w:t>
            </w:r>
          </w:p>
        </w:tc>
        <w:tc>
          <w:tcPr>
            <w:tcW w:w="3442" w:type="dxa"/>
            <w:tcBorders>
              <w:top w:val="nil"/>
              <w:left w:val="nil"/>
              <w:bottom w:val="single" w:color="auto" w:sz="4" w:space="0"/>
              <w:right w:val="single" w:color="auto" w:sz="4" w:space="0"/>
            </w:tcBorders>
            <w:vAlign w:val="center"/>
          </w:tcPr>
          <w:p w14:paraId="63810A9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杭州联合银行下沙支行</w:t>
            </w:r>
          </w:p>
        </w:tc>
        <w:tc>
          <w:tcPr>
            <w:tcW w:w="1618" w:type="dxa"/>
            <w:tcBorders>
              <w:top w:val="nil"/>
              <w:left w:val="nil"/>
              <w:bottom w:val="single" w:color="auto" w:sz="4" w:space="0"/>
              <w:right w:val="single" w:color="auto" w:sz="4" w:space="0"/>
            </w:tcBorders>
            <w:vAlign w:val="center"/>
          </w:tcPr>
          <w:p w14:paraId="5059812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王宁</w:t>
            </w:r>
          </w:p>
        </w:tc>
        <w:tc>
          <w:tcPr>
            <w:tcW w:w="3671" w:type="dxa"/>
            <w:tcBorders>
              <w:top w:val="nil"/>
              <w:left w:val="nil"/>
              <w:bottom w:val="single" w:color="auto" w:sz="4" w:space="0"/>
              <w:right w:val="single" w:color="auto" w:sz="4" w:space="0"/>
            </w:tcBorders>
            <w:vAlign w:val="center"/>
          </w:tcPr>
          <w:p w14:paraId="164BB1DA">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18906520030</w:t>
            </w:r>
          </w:p>
        </w:tc>
      </w:tr>
      <w:tr w14:paraId="738A6488">
        <w:tblPrEx>
          <w:tblCellMar>
            <w:top w:w="0" w:type="dxa"/>
            <w:left w:w="108" w:type="dxa"/>
            <w:bottom w:w="0" w:type="dxa"/>
            <w:right w:w="108" w:type="dxa"/>
          </w:tblCellMar>
        </w:tblPrEx>
        <w:trPr>
          <w:trHeight w:val="562" w:hRule="atLeast"/>
        </w:trPr>
        <w:tc>
          <w:tcPr>
            <w:tcW w:w="1229" w:type="dxa"/>
            <w:tcBorders>
              <w:top w:val="nil"/>
              <w:left w:val="single" w:color="auto" w:sz="4" w:space="0"/>
              <w:bottom w:val="single" w:color="auto" w:sz="4" w:space="0"/>
              <w:right w:val="single" w:color="auto" w:sz="4" w:space="0"/>
            </w:tcBorders>
            <w:vAlign w:val="center"/>
          </w:tcPr>
          <w:p w14:paraId="6B52FF4F">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10</w:t>
            </w:r>
          </w:p>
        </w:tc>
        <w:tc>
          <w:tcPr>
            <w:tcW w:w="3442" w:type="dxa"/>
            <w:tcBorders>
              <w:top w:val="nil"/>
              <w:left w:val="nil"/>
              <w:bottom w:val="single" w:color="auto" w:sz="4" w:space="0"/>
              <w:right w:val="single" w:color="auto" w:sz="4" w:space="0"/>
            </w:tcBorders>
            <w:vAlign w:val="center"/>
          </w:tcPr>
          <w:p w14:paraId="65AC8EF1">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农业银行钱塘支行</w:t>
            </w:r>
          </w:p>
        </w:tc>
        <w:tc>
          <w:tcPr>
            <w:tcW w:w="1618" w:type="dxa"/>
            <w:tcBorders>
              <w:top w:val="nil"/>
              <w:left w:val="nil"/>
              <w:bottom w:val="single" w:color="auto" w:sz="4" w:space="0"/>
              <w:right w:val="single" w:color="auto" w:sz="4" w:space="0"/>
            </w:tcBorders>
            <w:vAlign w:val="center"/>
          </w:tcPr>
          <w:p w14:paraId="10DF3F4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王安东</w:t>
            </w:r>
          </w:p>
          <w:p w14:paraId="279D46B1">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方若愚</w:t>
            </w:r>
          </w:p>
        </w:tc>
        <w:tc>
          <w:tcPr>
            <w:tcW w:w="3671" w:type="dxa"/>
            <w:tcBorders>
              <w:top w:val="nil"/>
              <w:left w:val="nil"/>
              <w:bottom w:val="single" w:color="auto" w:sz="4" w:space="0"/>
              <w:right w:val="single" w:color="auto" w:sz="4" w:space="0"/>
            </w:tcBorders>
            <w:vAlign w:val="center"/>
          </w:tcPr>
          <w:p w14:paraId="1F1F0C54">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15158025713</w:t>
            </w:r>
          </w:p>
          <w:p w14:paraId="5096C4E6">
            <w:pPr>
              <w:widowControl/>
              <w:jc w:val="center"/>
              <w:rPr>
                <w:rFonts w:hint="eastAsia" w:ascii="宋体" w:hAnsi="宋体" w:eastAsia="宋体" w:cs="宋体"/>
                <w:color w:val="auto"/>
                <w:highlight w:val="none"/>
              </w:rPr>
            </w:pPr>
            <w:r>
              <w:rPr>
                <w:rFonts w:hint="eastAsia" w:ascii="宋体" w:hAnsi="宋体" w:eastAsia="宋体" w:cs="宋体"/>
                <w:color w:val="auto"/>
                <w:kern w:val="0"/>
                <w:sz w:val="24"/>
                <w:highlight w:val="none"/>
              </w:rPr>
              <w:t>15067483470</w:t>
            </w:r>
          </w:p>
        </w:tc>
      </w:tr>
      <w:tr w14:paraId="5FC8C3A4">
        <w:tblPrEx>
          <w:tblCellMar>
            <w:top w:w="0" w:type="dxa"/>
            <w:left w:w="108" w:type="dxa"/>
            <w:bottom w:w="0" w:type="dxa"/>
            <w:right w:w="108" w:type="dxa"/>
          </w:tblCellMar>
        </w:tblPrEx>
        <w:trPr>
          <w:trHeight w:val="510" w:hRule="atLeast"/>
        </w:trPr>
        <w:tc>
          <w:tcPr>
            <w:tcW w:w="1229" w:type="dxa"/>
            <w:tcBorders>
              <w:top w:val="single" w:color="auto" w:sz="4" w:space="0"/>
              <w:left w:val="single" w:color="auto" w:sz="4" w:space="0"/>
              <w:bottom w:val="single" w:color="auto" w:sz="4" w:space="0"/>
              <w:right w:val="single" w:color="auto" w:sz="4" w:space="0"/>
            </w:tcBorders>
            <w:vAlign w:val="center"/>
          </w:tcPr>
          <w:p w14:paraId="4D351DFB">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11</w:t>
            </w:r>
          </w:p>
        </w:tc>
        <w:tc>
          <w:tcPr>
            <w:tcW w:w="3442" w:type="dxa"/>
            <w:tcBorders>
              <w:top w:val="single" w:color="auto" w:sz="4" w:space="0"/>
              <w:left w:val="nil"/>
              <w:bottom w:val="single" w:color="auto" w:sz="4" w:space="0"/>
              <w:right w:val="single" w:color="auto" w:sz="4" w:space="0"/>
            </w:tcBorders>
            <w:vAlign w:val="center"/>
          </w:tcPr>
          <w:p w14:paraId="0B2EC62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浙商银行杭州钱塘支行</w:t>
            </w:r>
          </w:p>
        </w:tc>
        <w:tc>
          <w:tcPr>
            <w:tcW w:w="1618" w:type="dxa"/>
            <w:tcBorders>
              <w:top w:val="single" w:color="auto" w:sz="4" w:space="0"/>
              <w:left w:val="nil"/>
              <w:bottom w:val="single" w:color="auto" w:sz="4" w:space="0"/>
              <w:right w:val="single" w:color="auto" w:sz="4" w:space="0"/>
            </w:tcBorders>
            <w:vAlign w:val="center"/>
          </w:tcPr>
          <w:p w14:paraId="5115D48E">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徐伟刚</w:t>
            </w:r>
          </w:p>
        </w:tc>
        <w:tc>
          <w:tcPr>
            <w:tcW w:w="3671" w:type="dxa"/>
            <w:tcBorders>
              <w:top w:val="single" w:color="auto" w:sz="4" w:space="0"/>
              <w:left w:val="nil"/>
              <w:bottom w:val="single" w:color="auto" w:sz="4" w:space="0"/>
              <w:right w:val="single" w:color="auto" w:sz="4" w:space="0"/>
            </w:tcBorders>
            <w:vAlign w:val="center"/>
          </w:tcPr>
          <w:p w14:paraId="6D205D46">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82921293，18258888258</w:t>
            </w:r>
          </w:p>
        </w:tc>
      </w:tr>
      <w:tr w14:paraId="4B367C81">
        <w:tblPrEx>
          <w:tblCellMar>
            <w:top w:w="0" w:type="dxa"/>
            <w:left w:w="108" w:type="dxa"/>
            <w:bottom w:w="0" w:type="dxa"/>
            <w:right w:w="108" w:type="dxa"/>
          </w:tblCellMar>
        </w:tblPrEx>
        <w:trPr>
          <w:trHeight w:val="510" w:hRule="atLeast"/>
        </w:trPr>
        <w:tc>
          <w:tcPr>
            <w:tcW w:w="1229" w:type="dxa"/>
            <w:tcBorders>
              <w:top w:val="single" w:color="auto" w:sz="4" w:space="0"/>
              <w:left w:val="single" w:color="auto" w:sz="4" w:space="0"/>
              <w:bottom w:val="single" w:color="auto" w:sz="4" w:space="0"/>
              <w:right w:val="single" w:color="auto" w:sz="4" w:space="0"/>
            </w:tcBorders>
            <w:vAlign w:val="center"/>
          </w:tcPr>
          <w:p w14:paraId="0E45F1C3">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12</w:t>
            </w:r>
          </w:p>
        </w:tc>
        <w:tc>
          <w:tcPr>
            <w:tcW w:w="3442" w:type="dxa"/>
            <w:tcBorders>
              <w:top w:val="single" w:color="auto" w:sz="4" w:space="0"/>
              <w:left w:val="nil"/>
              <w:bottom w:val="single" w:color="auto" w:sz="4" w:space="0"/>
              <w:right w:val="single" w:color="auto" w:sz="4" w:space="0"/>
            </w:tcBorders>
            <w:vAlign w:val="center"/>
          </w:tcPr>
          <w:p w14:paraId="3D3929BA">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浦发银行</w:t>
            </w:r>
          </w:p>
        </w:tc>
        <w:tc>
          <w:tcPr>
            <w:tcW w:w="1618" w:type="dxa"/>
            <w:tcBorders>
              <w:top w:val="single" w:color="auto" w:sz="4" w:space="0"/>
              <w:left w:val="nil"/>
              <w:bottom w:val="single" w:color="auto" w:sz="4" w:space="0"/>
              <w:right w:val="single" w:color="auto" w:sz="4" w:space="0"/>
            </w:tcBorders>
            <w:vAlign w:val="center"/>
          </w:tcPr>
          <w:p w14:paraId="34336F62">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林云鹏</w:t>
            </w:r>
          </w:p>
        </w:tc>
        <w:tc>
          <w:tcPr>
            <w:tcW w:w="3671" w:type="dxa"/>
            <w:tcBorders>
              <w:top w:val="single" w:color="auto" w:sz="4" w:space="0"/>
              <w:left w:val="nil"/>
              <w:bottom w:val="single" w:color="auto" w:sz="4" w:space="0"/>
              <w:right w:val="single" w:color="auto" w:sz="4" w:space="0"/>
            </w:tcBorders>
            <w:vAlign w:val="center"/>
          </w:tcPr>
          <w:p w14:paraId="27BD133C">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18805812679</w:t>
            </w:r>
          </w:p>
        </w:tc>
      </w:tr>
    </w:tbl>
    <w:p w14:paraId="376359F9">
      <w:pPr>
        <w:spacing w:line="360" w:lineRule="auto"/>
        <w:ind w:left="5060" w:hanging="5060" w:hangingChars="2100"/>
        <w:rPr>
          <w:rFonts w:hint="eastAsia" w:ascii="宋体" w:hAnsi="宋体" w:eastAsia="宋体" w:cs="宋体"/>
          <w:b/>
          <w:bCs/>
          <w:color w:val="auto"/>
          <w:kern w:val="0"/>
          <w:sz w:val="24"/>
          <w:highlight w:val="none"/>
        </w:rPr>
      </w:pPr>
    </w:p>
    <w:p w14:paraId="5E66476E">
      <w:pPr>
        <w:pStyle w:val="5"/>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bookmarkEnd w:id="1191"/>
    </w:p>
    <w:p w14:paraId="083B6E74">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519681F">
      <w:pPr>
        <w:spacing w:line="360" w:lineRule="auto"/>
        <w:jc w:val="center"/>
        <w:rPr>
          <w:rFonts w:ascii="宋体" w:hAnsi="宋体" w:cs="宋体"/>
          <w:b/>
          <w:color w:val="auto"/>
          <w:spacing w:val="6"/>
          <w:sz w:val="32"/>
          <w:szCs w:val="32"/>
          <w:highlight w:val="none"/>
        </w:rPr>
      </w:pPr>
      <w:bookmarkStart w:id="1192" w:name="OLE_LINK13"/>
      <w:bookmarkStart w:id="1193" w:name="OLE_LINK14"/>
      <w:r>
        <w:rPr>
          <w:rFonts w:hint="eastAsia" w:ascii="宋体" w:hAnsi="宋体" w:cs="宋体"/>
          <w:b/>
          <w:color w:val="auto"/>
          <w:spacing w:val="6"/>
          <w:sz w:val="32"/>
          <w:szCs w:val="32"/>
          <w:highlight w:val="none"/>
        </w:rPr>
        <w:t>残疾人福利性单位声明函</w:t>
      </w:r>
    </w:p>
    <w:bookmarkEnd w:id="1192"/>
    <w:bookmarkEnd w:id="1193"/>
    <w:p w14:paraId="1015208E">
      <w:pPr>
        <w:spacing w:line="360" w:lineRule="auto"/>
        <w:rPr>
          <w:rFonts w:ascii="宋体" w:hAnsi="宋体" w:cs="宋体"/>
          <w:b/>
          <w:color w:val="auto"/>
          <w:spacing w:val="6"/>
          <w:sz w:val="30"/>
          <w:szCs w:val="30"/>
          <w:highlight w:val="none"/>
        </w:rPr>
      </w:pPr>
    </w:p>
    <w:p w14:paraId="1E31C9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62156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341E510">
      <w:pPr>
        <w:spacing w:line="360" w:lineRule="auto"/>
        <w:ind w:firstLine="480" w:firstLineChars="200"/>
        <w:rPr>
          <w:rFonts w:ascii="宋体" w:hAnsi="宋体" w:cs="宋体"/>
          <w:color w:val="auto"/>
          <w:sz w:val="24"/>
          <w:highlight w:val="none"/>
        </w:rPr>
      </w:pPr>
    </w:p>
    <w:p w14:paraId="21B22411">
      <w:pPr>
        <w:spacing w:line="360" w:lineRule="auto"/>
        <w:ind w:firstLine="480" w:firstLineChars="200"/>
        <w:rPr>
          <w:rFonts w:ascii="宋体" w:hAnsi="宋体" w:cs="宋体"/>
          <w:color w:val="auto"/>
          <w:sz w:val="24"/>
          <w:highlight w:val="none"/>
        </w:rPr>
      </w:pPr>
    </w:p>
    <w:p w14:paraId="2F8B4A17">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3799539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1D25E40">
      <w:pPr>
        <w:spacing w:line="360" w:lineRule="auto"/>
        <w:ind w:firstLine="480" w:firstLineChars="200"/>
        <w:rPr>
          <w:rFonts w:ascii="宋体" w:hAnsi="宋体" w:cs="宋体"/>
          <w:color w:val="auto"/>
          <w:sz w:val="24"/>
          <w:highlight w:val="none"/>
        </w:rPr>
      </w:pPr>
    </w:p>
    <w:p w14:paraId="135C26B9">
      <w:pPr>
        <w:spacing w:line="360" w:lineRule="auto"/>
        <w:ind w:firstLine="420" w:firstLineChars="200"/>
        <w:rPr>
          <w:rFonts w:ascii="宋体" w:hAnsi="宋体" w:cs="宋体"/>
          <w:color w:val="auto"/>
          <w:highlight w:val="none"/>
        </w:rPr>
      </w:pPr>
    </w:p>
    <w:p w14:paraId="3D347D4C">
      <w:pPr>
        <w:spacing w:line="360" w:lineRule="auto"/>
        <w:ind w:firstLine="420" w:firstLineChars="200"/>
        <w:rPr>
          <w:rFonts w:ascii="宋体" w:hAnsi="宋体" w:cs="宋体"/>
          <w:color w:val="auto"/>
          <w:highlight w:val="none"/>
        </w:rPr>
      </w:pPr>
    </w:p>
    <w:p w14:paraId="46315841">
      <w:pPr>
        <w:spacing w:line="360" w:lineRule="auto"/>
        <w:ind w:firstLine="420" w:firstLineChars="200"/>
        <w:rPr>
          <w:rFonts w:ascii="宋体" w:hAnsi="宋体" w:cs="宋体"/>
          <w:color w:val="auto"/>
          <w:highlight w:val="none"/>
        </w:rPr>
      </w:pPr>
    </w:p>
    <w:p w14:paraId="5F7BCB26">
      <w:pPr>
        <w:spacing w:line="360" w:lineRule="auto"/>
        <w:ind w:firstLine="420" w:firstLineChars="200"/>
        <w:rPr>
          <w:rFonts w:ascii="宋体" w:hAnsi="宋体" w:cs="宋体"/>
          <w:color w:val="auto"/>
          <w:highlight w:val="none"/>
        </w:rPr>
      </w:pPr>
    </w:p>
    <w:p w14:paraId="0F974875">
      <w:pPr>
        <w:spacing w:line="360" w:lineRule="auto"/>
        <w:rPr>
          <w:rFonts w:ascii="宋体" w:hAnsi="宋体" w:cs="宋体"/>
          <w:b/>
          <w:color w:val="auto"/>
          <w:sz w:val="24"/>
          <w:highlight w:val="none"/>
        </w:rPr>
      </w:pPr>
    </w:p>
    <w:p w14:paraId="024BF59D">
      <w:pPr>
        <w:spacing w:line="360" w:lineRule="auto"/>
        <w:rPr>
          <w:rFonts w:ascii="宋体" w:hAnsi="宋体" w:cs="宋体"/>
          <w:b/>
          <w:color w:val="auto"/>
          <w:sz w:val="24"/>
          <w:highlight w:val="none"/>
        </w:rPr>
      </w:pPr>
    </w:p>
    <w:p w14:paraId="1ED573FC">
      <w:pPr>
        <w:spacing w:line="360" w:lineRule="auto"/>
        <w:rPr>
          <w:rFonts w:ascii="宋体" w:hAnsi="宋体" w:cs="宋体"/>
          <w:b/>
          <w:color w:val="auto"/>
          <w:sz w:val="24"/>
          <w:highlight w:val="none"/>
        </w:rPr>
      </w:pPr>
    </w:p>
    <w:p w14:paraId="05900CFD">
      <w:pPr>
        <w:spacing w:line="360" w:lineRule="auto"/>
        <w:rPr>
          <w:rFonts w:ascii="宋体" w:hAnsi="宋体" w:cs="宋体"/>
          <w:b/>
          <w:color w:val="auto"/>
          <w:sz w:val="24"/>
          <w:highlight w:val="none"/>
        </w:rPr>
      </w:pPr>
    </w:p>
    <w:p w14:paraId="315CA83C">
      <w:pPr>
        <w:spacing w:line="360" w:lineRule="auto"/>
        <w:rPr>
          <w:rFonts w:ascii="宋体" w:hAnsi="宋体" w:cs="宋体"/>
          <w:b/>
          <w:color w:val="auto"/>
          <w:sz w:val="24"/>
          <w:highlight w:val="none"/>
        </w:rPr>
      </w:pPr>
    </w:p>
    <w:p w14:paraId="36E254B1">
      <w:pPr>
        <w:spacing w:line="360" w:lineRule="auto"/>
        <w:rPr>
          <w:rFonts w:ascii="宋体" w:hAnsi="宋体" w:cs="宋体"/>
          <w:b/>
          <w:color w:val="auto"/>
          <w:sz w:val="24"/>
          <w:highlight w:val="none"/>
        </w:rPr>
      </w:pPr>
    </w:p>
    <w:p w14:paraId="2A03784D">
      <w:pPr>
        <w:spacing w:line="360" w:lineRule="auto"/>
        <w:rPr>
          <w:rFonts w:ascii="宋体" w:hAnsi="宋体" w:cs="宋体"/>
          <w:b/>
          <w:color w:val="auto"/>
          <w:sz w:val="24"/>
          <w:highlight w:val="none"/>
        </w:rPr>
      </w:pPr>
    </w:p>
    <w:p w14:paraId="3274B110">
      <w:pPr>
        <w:spacing w:line="360" w:lineRule="auto"/>
        <w:rPr>
          <w:rFonts w:ascii="宋体" w:hAnsi="宋体" w:cs="宋体"/>
          <w:b/>
          <w:color w:val="auto"/>
          <w:sz w:val="24"/>
          <w:highlight w:val="none"/>
        </w:rPr>
      </w:pPr>
    </w:p>
    <w:p w14:paraId="1CFD3FE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D34667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0AA06D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BF0040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98417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A4A9AC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3E787E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46EF31D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D01A5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D3B512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53E82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63214F5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A29604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436965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ED0566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9437A3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AA031F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7B44FAC">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DD7E49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D86054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E5252B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B19468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365EA99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7CEE4A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F417A6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332E5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134325C">
      <w:pPr>
        <w:spacing w:line="360" w:lineRule="auto"/>
        <w:jc w:val="center"/>
        <w:rPr>
          <w:rFonts w:ascii="宋体" w:hAnsi="宋体" w:cs="宋体"/>
          <w:b/>
          <w:bCs/>
          <w:color w:val="auto"/>
          <w:sz w:val="24"/>
          <w:highlight w:val="none"/>
        </w:rPr>
      </w:pPr>
    </w:p>
    <w:p w14:paraId="3B726C32">
      <w:pPr>
        <w:spacing w:line="360" w:lineRule="auto"/>
        <w:rPr>
          <w:rFonts w:ascii="宋体" w:hAnsi="宋体" w:cs="宋体"/>
          <w:b/>
          <w:color w:val="auto"/>
          <w:sz w:val="24"/>
          <w:highlight w:val="none"/>
        </w:rPr>
      </w:pPr>
    </w:p>
    <w:p w14:paraId="029BD5B7">
      <w:pPr>
        <w:spacing w:line="360" w:lineRule="auto"/>
        <w:rPr>
          <w:rFonts w:ascii="宋体" w:hAnsi="宋体" w:cs="宋体"/>
          <w:b/>
          <w:color w:val="auto"/>
          <w:sz w:val="24"/>
          <w:highlight w:val="none"/>
        </w:rPr>
      </w:pPr>
    </w:p>
    <w:p w14:paraId="5C48C5CC">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63BB95E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E3B699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E199D3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609C8D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B9BE61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806C45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1EAE2B3">
      <w:pPr>
        <w:widowControl/>
        <w:spacing w:line="360" w:lineRule="auto"/>
        <w:ind w:firstLine="600" w:firstLineChars="200"/>
        <w:jc w:val="left"/>
        <w:rPr>
          <w:rFonts w:ascii="宋体" w:hAnsi="宋体" w:cs="宋体"/>
          <w:color w:val="auto"/>
          <w:sz w:val="30"/>
          <w:szCs w:val="30"/>
          <w:highlight w:val="none"/>
        </w:rPr>
      </w:pPr>
    </w:p>
    <w:p w14:paraId="21D0DA70">
      <w:pPr>
        <w:spacing w:line="360" w:lineRule="auto"/>
        <w:jc w:val="center"/>
        <w:rPr>
          <w:rFonts w:ascii="宋体" w:hAnsi="宋体" w:cs="宋体"/>
          <w:b/>
          <w:color w:val="auto"/>
          <w:spacing w:val="6"/>
          <w:sz w:val="32"/>
          <w:szCs w:val="32"/>
          <w:highlight w:val="none"/>
        </w:rPr>
      </w:pPr>
    </w:p>
    <w:p w14:paraId="176EAA01">
      <w:pPr>
        <w:spacing w:line="360" w:lineRule="auto"/>
        <w:jc w:val="center"/>
        <w:rPr>
          <w:rFonts w:ascii="宋体" w:hAnsi="宋体" w:cs="宋体"/>
          <w:b/>
          <w:color w:val="auto"/>
          <w:spacing w:val="6"/>
          <w:sz w:val="32"/>
          <w:szCs w:val="32"/>
          <w:highlight w:val="none"/>
        </w:rPr>
      </w:pPr>
    </w:p>
    <w:p w14:paraId="6B1E8F1E">
      <w:pPr>
        <w:spacing w:line="360" w:lineRule="auto"/>
        <w:jc w:val="center"/>
        <w:rPr>
          <w:rFonts w:ascii="宋体" w:hAnsi="宋体" w:cs="宋体"/>
          <w:b/>
          <w:color w:val="auto"/>
          <w:spacing w:val="6"/>
          <w:sz w:val="32"/>
          <w:szCs w:val="32"/>
          <w:highlight w:val="none"/>
        </w:rPr>
      </w:pPr>
    </w:p>
    <w:p w14:paraId="1941617E">
      <w:pPr>
        <w:spacing w:line="360" w:lineRule="auto"/>
        <w:jc w:val="center"/>
        <w:rPr>
          <w:rFonts w:ascii="宋体" w:hAnsi="宋体" w:cs="宋体"/>
          <w:b/>
          <w:color w:val="auto"/>
          <w:spacing w:val="6"/>
          <w:sz w:val="32"/>
          <w:szCs w:val="32"/>
          <w:highlight w:val="none"/>
        </w:rPr>
      </w:pPr>
    </w:p>
    <w:p w14:paraId="7F0AC4A8">
      <w:pPr>
        <w:spacing w:line="360" w:lineRule="auto"/>
        <w:jc w:val="center"/>
        <w:rPr>
          <w:rFonts w:ascii="宋体" w:hAnsi="宋体" w:cs="宋体"/>
          <w:b/>
          <w:color w:val="auto"/>
          <w:spacing w:val="6"/>
          <w:sz w:val="32"/>
          <w:szCs w:val="32"/>
          <w:highlight w:val="none"/>
        </w:rPr>
      </w:pPr>
    </w:p>
    <w:p w14:paraId="0D66A228">
      <w:pPr>
        <w:spacing w:line="360" w:lineRule="auto"/>
        <w:jc w:val="center"/>
        <w:rPr>
          <w:rFonts w:ascii="宋体" w:hAnsi="宋体" w:cs="宋体"/>
          <w:b/>
          <w:color w:val="auto"/>
          <w:spacing w:val="6"/>
          <w:sz w:val="32"/>
          <w:szCs w:val="32"/>
          <w:highlight w:val="none"/>
        </w:rPr>
      </w:pPr>
    </w:p>
    <w:p w14:paraId="2E75604A">
      <w:pPr>
        <w:spacing w:line="360" w:lineRule="auto"/>
        <w:jc w:val="center"/>
        <w:rPr>
          <w:rFonts w:ascii="宋体" w:hAnsi="宋体" w:cs="宋体"/>
          <w:b/>
          <w:color w:val="auto"/>
          <w:spacing w:val="6"/>
          <w:sz w:val="32"/>
          <w:szCs w:val="32"/>
          <w:highlight w:val="none"/>
        </w:rPr>
      </w:pPr>
    </w:p>
    <w:p w14:paraId="3C477298">
      <w:pPr>
        <w:spacing w:line="360" w:lineRule="auto"/>
        <w:jc w:val="center"/>
        <w:rPr>
          <w:rFonts w:ascii="宋体" w:hAnsi="宋体" w:cs="宋体"/>
          <w:b/>
          <w:color w:val="auto"/>
          <w:spacing w:val="6"/>
          <w:sz w:val="32"/>
          <w:szCs w:val="32"/>
          <w:highlight w:val="none"/>
        </w:rPr>
      </w:pPr>
    </w:p>
    <w:p w14:paraId="2EC072DA">
      <w:pPr>
        <w:spacing w:line="360" w:lineRule="auto"/>
        <w:jc w:val="center"/>
        <w:rPr>
          <w:rFonts w:ascii="宋体" w:hAnsi="宋体" w:cs="宋体"/>
          <w:b/>
          <w:color w:val="auto"/>
          <w:spacing w:val="6"/>
          <w:sz w:val="32"/>
          <w:szCs w:val="32"/>
          <w:highlight w:val="none"/>
        </w:rPr>
      </w:pPr>
    </w:p>
    <w:p w14:paraId="4BAE312C">
      <w:pPr>
        <w:spacing w:line="360" w:lineRule="auto"/>
        <w:jc w:val="center"/>
        <w:rPr>
          <w:rFonts w:ascii="宋体" w:hAnsi="宋体" w:cs="宋体"/>
          <w:b/>
          <w:color w:val="auto"/>
          <w:spacing w:val="6"/>
          <w:sz w:val="32"/>
          <w:szCs w:val="32"/>
          <w:highlight w:val="none"/>
        </w:rPr>
      </w:pPr>
    </w:p>
    <w:p w14:paraId="314E1A7C">
      <w:pPr>
        <w:spacing w:line="360" w:lineRule="auto"/>
        <w:jc w:val="center"/>
        <w:rPr>
          <w:rFonts w:ascii="宋体" w:hAnsi="宋体" w:cs="宋体"/>
          <w:b/>
          <w:color w:val="auto"/>
          <w:spacing w:val="6"/>
          <w:sz w:val="32"/>
          <w:szCs w:val="32"/>
          <w:highlight w:val="none"/>
        </w:rPr>
      </w:pPr>
    </w:p>
    <w:p w14:paraId="4907C1F0">
      <w:pPr>
        <w:spacing w:line="360" w:lineRule="auto"/>
        <w:jc w:val="center"/>
        <w:rPr>
          <w:rFonts w:ascii="宋体" w:hAnsi="宋体" w:cs="宋体"/>
          <w:b/>
          <w:color w:val="auto"/>
          <w:spacing w:val="6"/>
          <w:sz w:val="32"/>
          <w:szCs w:val="32"/>
          <w:highlight w:val="none"/>
        </w:rPr>
      </w:pPr>
    </w:p>
    <w:p w14:paraId="5113811D">
      <w:pPr>
        <w:spacing w:line="360" w:lineRule="auto"/>
        <w:jc w:val="left"/>
        <w:rPr>
          <w:rFonts w:ascii="宋体" w:hAnsi="宋体" w:cs="宋体"/>
          <w:b/>
          <w:color w:val="auto"/>
          <w:spacing w:val="6"/>
          <w:sz w:val="32"/>
          <w:szCs w:val="32"/>
          <w:highlight w:val="none"/>
        </w:rPr>
      </w:pPr>
    </w:p>
    <w:p w14:paraId="6C88E979">
      <w:pPr>
        <w:spacing w:line="360" w:lineRule="auto"/>
        <w:jc w:val="left"/>
        <w:rPr>
          <w:rFonts w:ascii="宋体" w:hAnsi="宋体" w:cs="宋体"/>
          <w:b/>
          <w:color w:val="auto"/>
          <w:spacing w:val="6"/>
          <w:sz w:val="32"/>
          <w:szCs w:val="32"/>
          <w:highlight w:val="none"/>
        </w:rPr>
      </w:pPr>
    </w:p>
    <w:p w14:paraId="0807A55C">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28F98DC">
      <w:pPr>
        <w:spacing w:line="360" w:lineRule="auto"/>
        <w:jc w:val="center"/>
        <w:rPr>
          <w:rFonts w:ascii="宋体" w:hAnsi="宋体" w:cs="宋体"/>
          <w:b/>
          <w:color w:val="auto"/>
          <w:sz w:val="24"/>
          <w:highlight w:val="none"/>
        </w:rPr>
      </w:pPr>
    </w:p>
    <w:p w14:paraId="5017CF7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85187C3">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A3EC03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F7EDA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AF0BBEA">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2E61F12">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0F7883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2FE7643">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256784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6BEE0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B8F7B1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DA5083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64CAE2E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5D10A0B">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DB8EFE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772C46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055AD39">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936E071">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CD4AAF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BA78280">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AFFC950">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566C15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A10B57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4EF451B">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9CC527E">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13EE12D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49D3EBE">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E0537BF">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829A3C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6C8C8C8">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1902A0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BE69AC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676117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F612032">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24093B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28A7E2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5EABE0D">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274E81A">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05CE0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5C874A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D0787BE">
      <w:pPr>
        <w:spacing w:line="360" w:lineRule="auto"/>
        <w:rPr>
          <w:rFonts w:ascii="宋体" w:hAnsi="宋体" w:cs="宋体"/>
          <w:b/>
          <w:color w:val="auto"/>
          <w:sz w:val="24"/>
          <w:highlight w:val="none"/>
        </w:rPr>
      </w:pPr>
    </w:p>
    <w:p w14:paraId="0E5F9AE1">
      <w:pPr>
        <w:spacing w:line="360" w:lineRule="auto"/>
        <w:rPr>
          <w:rFonts w:ascii="宋体" w:hAnsi="宋体" w:cs="宋体"/>
          <w:b/>
          <w:color w:val="auto"/>
          <w:sz w:val="24"/>
          <w:highlight w:val="none"/>
        </w:rPr>
      </w:pPr>
    </w:p>
    <w:p w14:paraId="01AF0863">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6A3580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D51075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4A5BBF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D828ED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0AD6CA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373693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8145CC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BA7283B">
      <w:pPr>
        <w:spacing w:line="360" w:lineRule="auto"/>
        <w:rPr>
          <w:rFonts w:ascii="宋体" w:hAnsi="宋体" w:cs="宋体"/>
          <w:b/>
          <w:color w:val="auto"/>
          <w:sz w:val="24"/>
          <w:highlight w:val="none"/>
        </w:rPr>
      </w:pPr>
    </w:p>
    <w:p w14:paraId="02CAD30F">
      <w:pPr>
        <w:autoSpaceDE w:val="0"/>
        <w:autoSpaceDN w:val="0"/>
        <w:jc w:val="center"/>
        <w:rPr>
          <w:rFonts w:ascii="宋体" w:hAnsi="宋体" w:cs="宋体"/>
          <w:b/>
          <w:color w:val="auto"/>
          <w:spacing w:val="6"/>
          <w:sz w:val="32"/>
          <w:szCs w:val="32"/>
          <w:highlight w:val="none"/>
        </w:rPr>
      </w:pPr>
    </w:p>
    <w:p w14:paraId="24420134">
      <w:pPr>
        <w:pStyle w:val="81"/>
        <w:rPr>
          <w:color w:val="auto"/>
          <w:highlight w:val="none"/>
        </w:rPr>
      </w:pPr>
    </w:p>
    <w:p w14:paraId="056FFB0C">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8D694BA">
      <w:pPr>
        <w:spacing w:line="360" w:lineRule="auto"/>
        <w:rPr>
          <w:rFonts w:ascii="宋体" w:hAnsi="宋体" w:cs="宋体"/>
          <w:color w:val="auto"/>
          <w:sz w:val="24"/>
          <w:highlight w:val="none"/>
          <w:u w:val="single"/>
        </w:rPr>
      </w:pPr>
    </w:p>
    <w:p w14:paraId="7A916389">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u w:val="single"/>
          <w:lang w:eastAsia="zh-CN"/>
        </w:rPr>
        <w:t>杭州市钱塘区观澜中学</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浙江省房地产管理咨询有限公司</w:t>
      </w:r>
    </w:p>
    <w:p w14:paraId="4087EB50">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观澜中学图书馆扩建改造工程</w:t>
      </w:r>
      <w:r>
        <w:rPr>
          <w:rFonts w:hint="eastAsia" w:ascii="宋体" w:hAnsi="宋体" w:cs="宋体"/>
          <w:color w:val="auto"/>
          <w:sz w:val="24"/>
          <w:highlight w:val="none"/>
        </w:rPr>
        <w:t>项目【项目编号：</w:t>
      </w:r>
      <w:r>
        <w:rPr>
          <w:rFonts w:hint="eastAsia" w:ascii="宋体" w:hAnsi="宋体" w:cs="宋体"/>
          <w:color w:val="auto"/>
          <w:sz w:val="24"/>
          <w:highlight w:val="none"/>
          <w:lang w:eastAsia="zh-CN"/>
        </w:rPr>
        <w:t xml:space="preserve"> QTCG-CS-2024-043</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174D8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C91431F">
      <w:pPr>
        <w:spacing w:line="360" w:lineRule="auto"/>
        <w:ind w:firstLine="494"/>
        <w:rPr>
          <w:rFonts w:ascii="宋体" w:hAnsi="宋体" w:cs="宋体"/>
          <w:color w:val="auto"/>
          <w:sz w:val="24"/>
          <w:highlight w:val="none"/>
        </w:rPr>
      </w:pPr>
    </w:p>
    <w:p w14:paraId="29282221">
      <w:pPr>
        <w:spacing w:line="360" w:lineRule="auto"/>
        <w:ind w:firstLine="494"/>
        <w:rPr>
          <w:rFonts w:ascii="宋体" w:hAnsi="宋体" w:cs="宋体"/>
          <w:color w:val="auto"/>
          <w:sz w:val="24"/>
          <w:highlight w:val="none"/>
        </w:rPr>
      </w:pPr>
    </w:p>
    <w:p w14:paraId="59995F20">
      <w:pPr>
        <w:spacing w:line="360" w:lineRule="auto"/>
        <w:ind w:firstLine="494"/>
        <w:rPr>
          <w:rFonts w:ascii="宋体" w:hAnsi="宋体" w:cs="宋体"/>
          <w:color w:val="auto"/>
          <w:sz w:val="24"/>
          <w:highlight w:val="none"/>
        </w:rPr>
      </w:pPr>
    </w:p>
    <w:p w14:paraId="61B63F71">
      <w:pPr>
        <w:spacing w:line="360" w:lineRule="auto"/>
        <w:ind w:firstLine="494"/>
        <w:rPr>
          <w:rFonts w:ascii="宋体" w:hAnsi="宋体" w:cs="宋体"/>
          <w:color w:val="auto"/>
          <w:sz w:val="24"/>
          <w:highlight w:val="none"/>
        </w:rPr>
      </w:pPr>
    </w:p>
    <w:p w14:paraId="387AEF4D">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（法定名称章）：</w:t>
      </w:r>
    </w:p>
    <w:p w14:paraId="173BA9D7">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13BFB6C">
      <w:pPr>
        <w:rPr>
          <w:rFonts w:ascii="宋体" w:hAnsi="宋体" w:cs="宋体"/>
          <w:color w:val="auto"/>
          <w:sz w:val="24"/>
          <w:highlight w:val="none"/>
        </w:rPr>
      </w:pPr>
      <w:r>
        <w:rPr>
          <w:rFonts w:hint="eastAsia" w:ascii="宋体" w:hAnsi="宋体" w:cs="宋体"/>
          <w:b/>
          <w:bCs/>
          <w:color w:val="auto"/>
          <w:sz w:val="24"/>
          <w:highlight w:val="none"/>
        </w:rPr>
        <w:t>附：</w:t>
      </w:r>
    </w:p>
    <w:p w14:paraId="55F0330A">
      <w:pPr>
        <w:spacing w:line="360" w:lineRule="auto"/>
        <w:rPr>
          <w:rFonts w:ascii="宋体" w:hAnsi="宋体" w:cs="宋体"/>
          <w:bCs/>
          <w:color w:val="auto"/>
          <w:sz w:val="24"/>
          <w:highlight w:val="none"/>
        </w:rPr>
      </w:pPr>
      <w:r>
        <w:rPr>
          <w:rFonts w:hint="default" w:ascii="宋体" w:hAnsi="宋体" w:cs="宋体"/>
          <w:b/>
          <w:bCs/>
          <w:color w:val="auto"/>
          <w:sz w:val="24"/>
          <w:highlight w:val="none"/>
          <w:lang w:val="en-U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default" w:ascii="宋体" w:hAnsi="宋体" w:cs="宋体"/>
          <w:b/>
          <w:bCs/>
          <w:color w:val="auto"/>
          <w:sz w:val="24"/>
          <w:highlight w:val="none"/>
          <w:lang w:val="en-U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lang w:val="en-US" w:eastAsia="zh-CN"/>
        </w:rPr>
        <w:t>供应商</w:t>
      </w:r>
      <w:r>
        <w:rPr>
          <w:rFonts w:hint="eastAsia" w:ascii="宋体" w:hAnsi="宋体" w:cs="宋体"/>
          <w:color w:val="auto"/>
          <w:sz w:val="24"/>
          <w:highlight w:val="none"/>
        </w:rPr>
        <w:t xml:space="preserve">法定名称章（印模）                </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“XX专用章”（印模）</w:t>
      </w:r>
    </w:p>
    <w:p w14:paraId="3240DA47">
      <w:pPr>
        <w:autoSpaceDE w:val="0"/>
        <w:autoSpaceDN w:val="0"/>
        <w:jc w:val="center"/>
        <w:rPr>
          <w:rFonts w:ascii="宋体" w:hAnsi="宋体" w:cs="宋体"/>
          <w:b/>
          <w:color w:val="auto"/>
          <w:spacing w:val="6"/>
          <w:sz w:val="32"/>
          <w:szCs w:val="32"/>
          <w:highlight w:val="none"/>
        </w:rPr>
      </w:pPr>
    </w:p>
    <w:p w14:paraId="4113D412">
      <w:pPr>
        <w:autoSpaceDE w:val="0"/>
        <w:autoSpaceDN w:val="0"/>
        <w:jc w:val="center"/>
        <w:rPr>
          <w:rFonts w:ascii="宋体" w:hAnsi="宋体" w:cs="宋体"/>
          <w:b/>
          <w:color w:val="auto"/>
          <w:spacing w:val="6"/>
          <w:sz w:val="32"/>
          <w:szCs w:val="32"/>
          <w:highlight w:val="none"/>
        </w:rPr>
      </w:pPr>
    </w:p>
    <w:p w14:paraId="585B195B">
      <w:pPr>
        <w:autoSpaceDE w:val="0"/>
        <w:autoSpaceDN w:val="0"/>
        <w:jc w:val="center"/>
        <w:rPr>
          <w:rFonts w:ascii="宋体" w:hAnsi="宋体" w:cs="宋体"/>
          <w:b/>
          <w:color w:val="auto"/>
          <w:spacing w:val="6"/>
          <w:sz w:val="32"/>
          <w:szCs w:val="32"/>
          <w:highlight w:val="none"/>
        </w:rPr>
      </w:pPr>
    </w:p>
    <w:p w14:paraId="79F810A9">
      <w:pPr>
        <w:autoSpaceDE w:val="0"/>
        <w:autoSpaceDN w:val="0"/>
        <w:jc w:val="center"/>
        <w:rPr>
          <w:rFonts w:ascii="宋体" w:hAnsi="宋体" w:cs="宋体"/>
          <w:b/>
          <w:color w:val="auto"/>
          <w:spacing w:val="6"/>
          <w:sz w:val="32"/>
          <w:szCs w:val="32"/>
          <w:highlight w:val="none"/>
        </w:rPr>
      </w:pPr>
    </w:p>
    <w:p w14:paraId="677303C5">
      <w:pPr>
        <w:autoSpaceDE w:val="0"/>
        <w:autoSpaceDN w:val="0"/>
        <w:jc w:val="center"/>
        <w:rPr>
          <w:rFonts w:ascii="宋体" w:hAnsi="宋体" w:cs="宋体"/>
          <w:b/>
          <w:color w:val="auto"/>
          <w:spacing w:val="6"/>
          <w:sz w:val="32"/>
          <w:szCs w:val="32"/>
          <w:highlight w:val="none"/>
        </w:rPr>
      </w:pPr>
    </w:p>
    <w:p w14:paraId="578412EE">
      <w:pPr>
        <w:autoSpaceDE w:val="0"/>
        <w:autoSpaceDN w:val="0"/>
        <w:jc w:val="center"/>
        <w:rPr>
          <w:rFonts w:ascii="宋体" w:hAnsi="宋体" w:cs="宋体"/>
          <w:b/>
          <w:color w:val="auto"/>
          <w:spacing w:val="6"/>
          <w:sz w:val="32"/>
          <w:szCs w:val="32"/>
          <w:highlight w:val="none"/>
        </w:rPr>
      </w:pPr>
    </w:p>
    <w:p w14:paraId="34321D0F">
      <w:pPr>
        <w:autoSpaceDE w:val="0"/>
        <w:autoSpaceDN w:val="0"/>
        <w:jc w:val="center"/>
        <w:rPr>
          <w:rFonts w:ascii="宋体" w:hAnsi="宋体" w:cs="宋体"/>
          <w:b/>
          <w:color w:val="auto"/>
          <w:spacing w:val="6"/>
          <w:sz w:val="32"/>
          <w:szCs w:val="32"/>
          <w:highlight w:val="none"/>
        </w:rPr>
      </w:pPr>
    </w:p>
    <w:p w14:paraId="3E388646">
      <w:pPr>
        <w:autoSpaceDE w:val="0"/>
        <w:autoSpaceDN w:val="0"/>
        <w:jc w:val="center"/>
        <w:rPr>
          <w:rFonts w:ascii="宋体" w:hAnsi="宋体" w:cs="宋体"/>
          <w:b/>
          <w:color w:val="auto"/>
          <w:spacing w:val="6"/>
          <w:sz w:val="32"/>
          <w:szCs w:val="32"/>
          <w:highlight w:val="none"/>
        </w:rPr>
      </w:pPr>
    </w:p>
    <w:p w14:paraId="64D683A0">
      <w:pPr>
        <w:autoSpaceDE w:val="0"/>
        <w:autoSpaceDN w:val="0"/>
        <w:jc w:val="center"/>
        <w:rPr>
          <w:rFonts w:ascii="宋体" w:hAnsi="宋体" w:cs="宋体"/>
          <w:b/>
          <w:color w:val="auto"/>
          <w:spacing w:val="6"/>
          <w:sz w:val="32"/>
          <w:szCs w:val="32"/>
          <w:highlight w:val="none"/>
        </w:rPr>
      </w:pPr>
    </w:p>
    <w:p w14:paraId="3F3D3B89">
      <w:pPr>
        <w:autoSpaceDE w:val="0"/>
        <w:autoSpaceDN w:val="0"/>
        <w:jc w:val="center"/>
        <w:rPr>
          <w:rFonts w:ascii="宋体" w:hAnsi="宋体" w:cs="宋体"/>
          <w:b/>
          <w:color w:val="auto"/>
          <w:spacing w:val="6"/>
          <w:sz w:val="32"/>
          <w:szCs w:val="32"/>
          <w:highlight w:val="none"/>
        </w:rPr>
      </w:pPr>
    </w:p>
    <w:p w14:paraId="1DF79A25">
      <w:pPr>
        <w:autoSpaceDE w:val="0"/>
        <w:autoSpaceDN w:val="0"/>
        <w:jc w:val="center"/>
        <w:rPr>
          <w:rFonts w:ascii="宋体" w:hAnsi="宋体" w:cs="宋体"/>
          <w:b/>
          <w:color w:val="auto"/>
          <w:spacing w:val="6"/>
          <w:sz w:val="32"/>
          <w:szCs w:val="32"/>
          <w:highlight w:val="none"/>
        </w:rPr>
      </w:pPr>
    </w:p>
    <w:p w14:paraId="39FC4E60">
      <w:pPr>
        <w:autoSpaceDE w:val="0"/>
        <w:autoSpaceDN w:val="0"/>
        <w:jc w:val="center"/>
        <w:rPr>
          <w:rFonts w:ascii="宋体" w:hAnsi="宋体" w:cs="宋体"/>
          <w:b/>
          <w:color w:val="auto"/>
          <w:spacing w:val="6"/>
          <w:sz w:val="32"/>
          <w:szCs w:val="32"/>
          <w:highlight w:val="none"/>
        </w:rPr>
      </w:pPr>
    </w:p>
    <w:p w14:paraId="0B0C9043">
      <w:pPr>
        <w:autoSpaceDE w:val="0"/>
        <w:autoSpaceDN w:val="0"/>
        <w:jc w:val="center"/>
        <w:rPr>
          <w:rFonts w:ascii="宋体" w:hAnsi="宋体" w:cs="宋体"/>
          <w:b/>
          <w:color w:val="auto"/>
          <w:spacing w:val="6"/>
          <w:sz w:val="32"/>
          <w:szCs w:val="32"/>
          <w:highlight w:val="none"/>
        </w:rPr>
      </w:pPr>
    </w:p>
    <w:p w14:paraId="6AFB2ACD">
      <w:pPr>
        <w:autoSpaceDE w:val="0"/>
        <w:autoSpaceDN w:val="0"/>
        <w:jc w:val="center"/>
        <w:rPr>
          <w:rFonts w:ascii="宋体" w:hAnsi="宋体" w:cs="宋体"/>
          <w:b/>
          <w:color w:val="auto"/>
          <w:spacing w:val="6"/>
          <w:sz w:val="32"/>
          <w:szCs w:val="32"/>
          <w:highlight w:val="none"/>
        </w:rPr>
      </w:pPr>
    </w:p>
    <w:p w14:paraId="5C987B3F">
      <w:pPr>
        <w:autoSpaceDE w:val="0"/>
        <w:autoSpaceDN w:val="0"/>
        <w:jc w:val="center"/>
        <w:rPr>
          <w:rFonts w:ascii="宋体" w:hAnsi="宋体" w:cs="宋体"/>
          <w:b/>
          <w:color w:val="auto"/>
          <w:spacing w:val="6"/>
          <w:sz w:val="32"/>
          <w:szCs w:val="32"/>
          <w:highlight w:val="none"/>
        </w:rPr>
      </w:pPr>
    </w:p>
    <w:p w14:paraId="1A76DBDE">
      <w:pPr>
        <w:autoSpaceDE w:val="0"/>
        <w:autoSpaceDN w:val="0"/>
        <w:jc w:val="center"/>
        <w:rPr>
          <w:rFonts w:ascii="宋体" w:hAnsi="宋体" w:cs="宋体"/>
          <w:b/>
          <w:color w:val="auto"/>
          <w:spacing w:val="6"/>
          <w:sz w:val="32"/>
          <w:szCs w:val="32"/>
          <w:highlight w:val="none"/>
        </w:rPr>
      </w:pPr>
    </w:p>
    <w:p w14:paraId="09998C71">
      <w:pPr>
        <w:autoSpaceDE w:val="0"/>
        <w:autoSpaceDN w:val="0"/>
        <w:jc w:val="center"/>
        <w:rPr>
          <w:rFonts w:ascii="宋体" w:hAnsi="宋体" w:cs="宋体"/>
          <w:b/>
          <w:color w:val="auto"/>
          <w:spacing w:val="6"/>
          <w:sz w:val="32"/>
          <w:szCs w:val="32"/>
          <w:highlight w:val="none"/>
        </w:rPr>
      </w:pPr>
    </w:p>
    <w:p w14:paraId="7BF83043">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6378E40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0D4ADD2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观澜中学图书馆扩建改造工程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QTCG-CS-2024-043</w:t>
      </w:r>
      <w:r>
        <w:rPr>
          <w:rFonts w:hint="eastAsia" w:ascii="宋体" w:hAnsi="宋体" w:cs="宋体"/>
          <w:color w:val="auto"/>
          <w:sz w:val="24"/>
          <w:highlight w:val="none"/>
        </w:rPr>
        <w:t>】</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 xml:space="preserve">。 </w:t>
      </w:r>
    </w:p>
    <w:p w14:paraId="3EBF3E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9C3612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lang w:val="en-US" w:eastAsia="zh-CN"/>
        </w:rPr>
        <w:t>响应内容</w:t>
      </w:r>
      <w:r>
        <w:rPr>
          <w:rFonts w:hint="eastAsia" w:ascii="宋体" w:hAnsi="宋体" w:cs="宋体"/>
          <w:color w:val="auto"/>
          <w:kern w:val="0"/>
          <w:sz w:val="24"/>
          <w:highlight w:val="none"/>
          <w:lang w:val="zh-CN"/>
        </w:rPr>
        <w:t>而对采购人、采购机构所作的任何合法承诺，包括书面澄清及相应等均对联合投标各方产生约束力。</w:t>
      </w:r>
    </w:p>
    <w:p w14:paraId="6739B8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中，分工如下：</w:t>
      </w:r>
    </w:p>
    <w:p w14:paraId="04709A4C">
      <w:pPr>
        <w:snapToGrid w:val="0"/>
        <w:spacing w:line="360" w:lineRule="auto"/>
        <w:ind w:firstLine="576"/>
        <w:rPr>
          <w:rFonts w:ascii="宋体" w:hAnsi="宋体" w:cs="宋体"/>
          <w:color w:val="auto"/>
          <w:kern w:val="0"/>
          <w:sz w:val="24"/>
          <w:highlight w:val="none"/>
          <w:lang w:val="zh-CN"/>
        </w:rPr>
      </w:pPr>
      <w:bookmarkStart w:id="1194"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66651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A2E0C4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1194"/>
    <w:p w14:paraId="6AC71D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5572E2E">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E08543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6382DC0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2D0DCE3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的其他事宜：</w:t>
      </w:r>
    </w:p>
    <w:p w14:paraId="34FC092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E7EED3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AADC4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5098BF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5B8CE7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95D3E7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F5208BA">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71BC94C6">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5F4011AE">
      <w:pPr>
        <w:pageBreakBefore w:val="0"/>
        <w:widowControl/>
        <w:kinsoku/>
        <w:wordWrap/>
        <w:overflowPunct/>
        <w:topLinePunct w:val="0"/>
        <w:autoSpaceDE/>
        <w:autoSpaceDN/>
        <w:bidi w:val="0"/>
        <w:spacing w:line="312" w:lineRule="auto"/>
        <w:ind w:firstLine="120" w:firstLineChars="50"/>
        <w:jc w:val="left"/>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77FE5FA9">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观澜中学图书馆扩建改造工程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QTCG-CS-2024-043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D622F43">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FF29EE2">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A14E12C">
      <w:pPr>
        <w:pStyle w:val="6"/>
        <w:pageBreakBefore w:val="0"/>
        <w:kinsoku/>
        <w:wordWrap/>
        <w:overflowPunct/>
        <w:topLinePunct w:val="0"/>
        <w:autoSpaceDE/>
        <w:autoSpaceDN/>
        <w:bidi w:val="0"/>
        <w:spacing w:line="312" w:lineRule="auto"/>
        <w:ind w:left="664" w:leftChars="316" w:firstLine="229" w:firstLineChars="95"/>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9CC7651">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13B4976">
      <w:pPr>
        <w:pageBreakBefore w:val="0"/>
        <w:kinsoku/>
        <w:wordWrap/>
        <w:overflowPunct/>
        <w:topLinePunct w:val="0"/>
        <w:autoSpaceDE/>
        <w:autoSpaceDN/>
        <w:bidi w:val="0"/>
        <w:snapToGrid w:val="0"/>
        <w:spacing w:line="312" w:lineRule="auto"/>
        <w:ind w:firstLine="576"/>
        <w:textAlignment w:val="auto"/>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80A51A7">
      <w:pPr>
        <w:pageBreakBefore w:val="0"/>
        <w:kinsoku/>
        <w:wordWrap/>
        <w:overflowPunct/>
        <w:topLinePunct w:val="0"/>
        <w:autoSpaceDE/>
        <w:autoSpaceDN/>
        <w:bidi w:val="0"/>
        <w:spacing w:line="312" w:lineRule="auto"/>
        <w:ind w:firstLine="480" w:firstLineChars="200"/>
        <w:textAlignment w:val="auto"/>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119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1195"/>
    </w:p>
    <w:p w14:paraId="4392C8F4">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A673A79">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highlight w:val="none"/>
          <w:u w:val="single"/>
        </w:rPr>
      </w:pPr>
      <w:r>
        <w:rPr>
          <w:rFonts w:hint="eastAsia" w:ascii="宋体" w:hAnsi="宋体" w:cs="宋体"/>
          <w:color w:val="auto"/>
          <w:highlight w:val="none"/>
          <w:u w:val="single"/>
        </w:rPr>
        <w:t xml:space="preserve">                                                                                  </w:t>
      </w:r>
    </w:p>
    <w:p w14:paraId="2C95986B">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DEBF750">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A3FD451">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D920E85">
      <w:pPr>
        <w:pageBreakBefore w:val="0"/>
        <w:kinsoku/>
        <w:wordWrap/>
        <w:overflowPunct/>
        <w:topLinePunct w:val="0"/>
        <w:autoSpaceDE/>
        <w:autoSpaceDN/>
        <w:bidi w:val="0"/>
        <w:snapToGrid w:val="0"/>
        <w:spacing w:line="312" w:lineRule="auto"/>
        <w:ind w:left="573" w:leftChars="273"/>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7A367A6">
      <w:pPr>
        <w:pageBreakBefore w:val="0"/>
        <w:kinsoku/>
        <w:wordWrap/>
        <w:overflowPunct/>
        <w:topLinePunct w:val="0"/>
        <w:autoSpaceDE/>
        <w:autoSpaceDN/>
        <w:bidi w:val="0"/>
        <w:snapToGrid w:val="0"/>
        <w:spacing w:line="312" w:lineRule="auto"/>
        <w:ind w:left="573" w:leftChars="273"/>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AB733D8">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D7F3068">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FA50D7B">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B7B6F4E">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7BFE1BD8">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1395757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FA773B9">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776213A">
      <w:pPr>
        <w:autoSpaceDE w:val="0"/>
        <w:autoSpaceDN w:val="0"/>
        <w:jc w:val="center"/>
        <w:rPr>
          <w:rFonts w:ascii="宋体" w:hAnsi="宋体" w:cs="宋体"/>
          <w:b/>
          <w:color w:val="auto"/>
          <w:spacing w:val="6"/>
          <w:sz w:val="32"/>
          <w:szCs w:val="32"/>
          <w:highlight w:val="none"/>
        </w:rPr>
      </w:pPr>
    </w:p>
    <w:p w14:paraId="4D2AC183">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67611254">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261756AB">
      <w:pPr>
        <w:spacing w:line="360" w:lineRule="auto"/>
        <w:jc w:val="center"/>
        <w:rPr>
          <w:rFonts w:ascii="宋体" w:hAnsi="宋体" w:cs="宋体"/>
          <w:color w:val="auto"/>
          <w:sz w:val="24"/>
          <w:highlight w:val="none"/>
          <w:u w:val="single"/>
        </w:rPr>
      </w:pPr>
    </w:p>
    <w:p w14:paraId="2E1E8F00">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6D18E2A5">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杭州市钱塘区观澜中学</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观澜中学图书馆扩建改造工程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B6F85F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观澜中学图书馆扩建改造工程</w:t>
      </w:r>
      <w:r>
        <w:rPr>
          <w:rFonts w:hint="eastAsia" w:ascii="宋体" w:hAnsi="宋体" w:cs="宋体"/>
          <w:color w:val="auto"/>
          <w:sz w:val="24"/>
          <w:highlight w:val="none"/>
        </w:rPr>
        <w:t>，属于</w:t>
      </w:r>
      <w:r>
        <w:rPr>
          <w:rFonts w:hint="eastAsia" w:ascii="宋体" w:hAnsi="宋体" w:cs="宋体"/>
          <w:color w:val="auto"/>
          <w:sz w:val="24"/>
          <w:highlight w:val="none"/>
          <w:u w:val="single"/>
          <w:lang w:eastAsia="zh-CN"/>
        </w:rPr>
        <w:t>建筑业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207CD4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1A3471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4364F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4829A0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3AF8DC8">
      <w:pPr>
        <w:spacing w:line="360" w:lineRule="auto"/>
        <w:ind w:firstLine="480" w:firstLineChars="200"/>
        <w:rPr>
          <w:rFonts w:ascii="宋体" w:hAnsi="宋体" w:cs="宋体"/>
          <w:color w:val="auto"/>
          <w:sz w:val="24"/>
          <w:highlight w:val="none"/>
        </w:rPr>
      </w:pPr>
    </w:p>
    <w:p w14:paraId="08480A76">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789EB23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20C5365">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40B8E042">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4A37637A">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167C0739">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5604B397">
      <w:pPr>
        <w:spacing w:line="360" w:lineRule="auto"/>
        <w:jc w:val="center"/>
        <w:rPr>
          <w:rFonts w:ascii="宋体" w:hAnsi="宋体" w:cs="宋体"/>
          <w:b/>
          <w:color w:val="auto"/>
          <w:sz w:val="32"/>
          <w:szCs w:val="32"/>
          <w:highlight w:val="none"/>
        </w:rPr>
      </w:pPr>
    </w:p>
    <w:p w14:paraId="27C56C8B">
      <w:pPr>
        <w:spacing w:line="360" w:lineRule="auto"/>
        <w:jc w:val="center"/>
        <w:rPr>
          <w:rFonts w:ascii="宋体" w:hAnsi="宋体" w:cs="宋体"/>
          <w:b/>
          <w:color w:val="auto"/>
          <w:sz w:val="32"/>
          <w:szCs w:val="32"/>
          <w:highlight w:val="none"/>
        </w:rPr>
      </w:pPr>
    </w:p>
    <w:p w14:paraId="5CDD85E8">
      <w:pPr>
        <w:spacing w:line="360" w:lineRule="auto"/>
        <w:jc w:val="center"/>
        <w:rPr>
          <w:rFonts w:ascii="宋体" w:hAnsi="宋体" w:cs="宋体"/>
          <w:b/>
          <w:color w:val="auto"/>
          <w:sz w:val="32"/>
          <w:szCs w:val="32"/>
          <w:highlight w:val="none"/>
        </w:rPr>
      </w:pPr>
    </w:p>
    <w:p w14:paraId="421E0006">
      <w:pPr>
        <w:spacing w:line="360" w:lineRule="auto"/>
        <w:jc w:val="center"/>
        <w:rPr>
          <w:rFonts w:ascii="宋体" w:hAnsi="宋体" w:cs="宋体"/>
          <w:b/>
          <w:color w:val="auto"/>
          <w:sz w:val="32"/>
          <w:szCs w:val="32"/>
          <w:highlight w:val="none"/>
        </w:rPr>
      </w:pPr>
    </w:p>
    <w:p w14:paraId="48DC2F83">
      <w:pPr>
        <w:spacing w:line="360" w:lineRule="auto"/>
        <w:jc w:val="center"/>
        <w:rPr>
          <w:rFonts w:ascii="宋体" w:hAnsi="宋体" w:cs="宋体"/>
          <w:b/>
          <w:color w:val="auto"/>
          <w:sz w:val="32"/>
          <w:szCs w:val="32"/>
          <w:highlight w:val="none"/>
        </w:rPr>
      </w:pPr>
    </w:p>
    <w:p w14:paraId="5F122323">
      <w:pPr>
        <w:spacing w:line="360" w:lineRule="auto"/>
        <w:jc w:val="center"/>
        <w:rPr>
          <w:rFonts w:ascii="宋体" w:hAnsi="宋体" w:cs="宋体"/>
          <w:b/>
          <w:color w:val="auto"/>
          <w:sz w:val="32"/>
          <w:szCs w:val="32"/>
          <w:highlight w:val="none"/>
        </w:rPr>
      </w:pPr>
    </w:p>
    <w:p w14:paraId="18E32024">
      <w:pPr>
        <w:spacing w:line="360" w:lineRule="auto"/>
        <w:jc w:val="center"/>
        <w:rPr>
          <w:rFonts w:ascii="宋体" w:hAnsi="宋体" w:cs="宋体"/>
          <w:b/>
          <w:color w:val="auto"/>
          <w:sz w:val="32"/>
          <w:szCs w:val="32"/>
          <w:highlight w:val="none"/>
        </w:rPr>
      </w:pPr>
    </w:p>
    <w:p w14:paraId="3888DCB8">
      <w:pPr>
        <w:spacing w:line="360" w:lineRule="auto"/>
        <w:jc w:val="center"/>
        <w:rPr>
          <w:rFonts w:ascii="宋体" w:hAnsi="宋体" w:cs="宋体"/>
          <w:b/>
          <w:color w:val="auto"/>
          <w:sz w:val="32"/>
          <w:szCs w:val="32"/>
          <w:highlight w:val="none"/>
        </w:rPr>
      </w:pPr>
    </w:p>
    <w:p w14:paraId="4EF9885E">
      <w:pPr>
        <w:spacing w:line="360" w:lineRule="auto"/>
        <w:jc w:val="center"/>
        <w:rPr>
          <w:rFonts w:ascii="宋体" w:hAnsi="宋体" w:cs="宋体"/>
          <w:b/>
          <w:color w:val="auto"/>
          <w:sz w:val="32"/>
          <w:szCs w:val="32"/>
          <w:highlight w:val="none"/>
        </w:rPr>
      </w:pPr>
    </w:p>
    <w:p w14:paraId="0DB32824">
      <w:pPr>
        <w:spacing w:line="360" w:lineRule="auto"/>
        <w:jc w:val="center"/>
        <w:rPr>
          <w:rFonts w:ascii="宋体" w:hAnsi="宋体" w:cs="宋体"/>
          <w:b/>
          <w:color w:val="auto"/>
          <w:sz w:val="32"/>
          <w:szCs w:val="32"/>
          <w:highlight w:val="none"/>
        </w:rPr>
      </w:pPr>
    </w:p>
    <w:p w14:paraId="1042953D">
      <w:pPr>
        <w:spacing w:line="360" w:lineRule="auto"/>
        <w:jc w:val="center"/>
        <w:rPr>
          <w:rFonts w:ascii="宋体" w:hAnsi="宋体" w:cs="宋体"/>
          <w:b/>
          <w:color w:val="auto"/>
          <w:sz w:val="32"/>
          <w:szCs w:val="32"/>
          <w:highlight w:val="none"/>
        </w:rPr>
      </w:pPr>
    </w:p>
    <w:p w14:paraId="41F4D066">
      <w:pPr>
        <w:spacing w:line="360" w:lineRule="auto"/>
        <w:jc w:val="center"/>
        <w:rPr>
          <w:rFonts w:ascii="宋体" w:hAnsi="宋体" w:cs="宋体"/>
          <w:b/>
          <w:color w:val="auto"/>
          <w:sz w:val="32"/>
          <w:szCs w:val="32"/>
          <w:highlight w:val="none"/>
        </w:rPr>
      </w:pPr>
    </w:p>
    <w:p w14:paraId="3353FB24">
      <w:pPr>
        <w:spacing w:line="360" w:lineRule="auto"/>
        <w:jc w:val="center"/>
        <w:rPr>
          <w:rFonts w:ascii="宋体" w:hAnsi="宋体" w:cs="宋体"/>
          <w:b/>
          <w:color w:val="auto"/>
          <w:sz w:val="32"/>
          <w:szCs w:val="32"/>
          <w:highlight w:val="none"/>
        </w:rPr>
      </w:pPr>
    </w:p>
    <w:p w14:paraId="7F67816B">
      <w:pPr>
        <w:spacing w:line="360" w:lineRule="auto"/>
        <w:jc w:val="center"/>
        <w:rPr>
          <w:rFonts w:ascii="宋体" w:hAnsi="宋体" w:cs="宋体"/>
          <w:b/>
          <w:color w:val="auto"/>
          <w:sz w:val="32"/>
          <w:szCs w:val="32"/>
          <w:highlight w:val="none"/>
        </w:rPr>
      </w:pPr>
    </w:p>
    <w:p w14:paraId="53135F61">
      <w:pPr>
        <w:spacing w:line="360" w:lineRule="auto"/>
        <w:jc w:val="center"/>
        <w:rPr>
          <w:rFonts w:ascii="宋体" w:hAnsi="宋体" w:cs="宋体"/>
          <w:b/>
          <w:color w:val="auto"/>
          <w:sz w:val="32"/>
          <w:szCs w:val="32"/>
          <w:highlight w:val="none"/>
        </w:rPr>
      </w:pPr>
    </w:p>
    <w:p w14:paraId="4F0FB846">
      <w:pPr>
        <w:spacing w:line="360" w:lineRule="auto"/>
        <w:jc w:val="center"/>
        <w:rPr>
          <w:rFonts w:ascii="宋体" w:hAnsi="宋体" w:cs="宋体"/>
          <w:b/>
          <w:color w:val="auto"/>
          <w:sz w:val="32"/>
          <w:szCs w:val="32"/>
          <w:highlight w:val="none"/>
        </w:rPr>
      </w:pPr>
    </w:p>
    <w:p w14:paraId="17585B91">
      <w:pPr>
        <w:spacing w:line="360" w:lineRule="auto"/>
        <w:jc w:val="center"/>
        <w:rPr>
          <w:rFonts w:ascii="宋体" w:hAnsi="宋体" w:cs="宋体"/>
          <w:b/>
          <w:color w:val="auto"/>
          <w:sz w:val="32"/>
          <w:szCs w:val="32"/>
          <w:highlight w:val="none"/>
        </w:rPr>
      </w:pPr>
    </w:p>
    <w:p w14:paraId="6A186228">
      <w:pPr>
        <w:spacing w:line="360" w:lineRule="auto"/>
        <w:rPr>
          <w:rFonts w:ascii="宋体" w:hAnsi="宋体" w:cs="宋体"/>
          <w:bCs/>
          <w:color w:val="auto"/>
          <w:sz w:val="24"/>
          <w:highlight w:val="none"/>
        </w:rPr>
        <w:sectPr>
          <w:pgSz w:w="11906" w:h="16838"/>
          <w:pgMar w:top="1440" w:right="1080" w:bottom="1440" w:left="1080" w:header="851" w:footer="992" w:gutter="0"/>
          <w:cols w:space="720" w:num="1"/>
          <w:titlePg/>
          <w:docGrid w:linePitch="312" w:charSpace="0"/>
        </w:sectPr>
      </w:pPr>
    </w:p>
    <w:p w14:paraId="6B4B46C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14:paraId="666AFC11">
      <w:pPr>
        <w:spacing w:line="360" w:lineRule="auto"/>
        <w:rPr>
          <w:rFonts w:ascii="宋体" w:hAnsi="宋体" w:cs="宋体"/>
          <w:b/>
          <w:color w:val="auto"/>
          <w:spacing w:val="6"/>
          <w:sz w:val="32"/>
          <w:szCs w:val="32"/>
          <w:highlight w:val="none"/>
        </w:rPr>
      </w:pPr>
    </w:p>
    <w:p w14:paraId="5DDD856B">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14:paraId="4469BF8D">
      <w:pPr>
        <w:pStyle w:val="26"/>
        <w:rPr>
          <w:color w:val="auto"/>
          <w:highlight w:val="none"/>
        </w:rPr>
        <w:sectPr>
          <w:pgSz w:w="11906" w:h="16838"/>
          <w:pgMar w:top="1440" w:right="1080" w:bottom="1440" w:left="1080" w:header="851" w:footer="992" w:gutter="0"/>
          <w:cols w:space="720" w:num="1"/>
          <w:titlePg/>
          <w:docGrid w:linePitch="312" w:charSpace="0"/>
        </w:sectPr>
      </w:pPr>
    </w:p>
    <w:p w14:paraId="7E51085E">
      <w:pPr>
        <w:rPr>
          <w:color w:val="auto"/>
          <w:highlight w:val="none"/>
        </w:rPr>
      </w:pPr>
      <w:r>
        <w:rPr>
          <w:rFonts w:hint="eastAsia" w:ascii="仿宋" w:hAnsi="仿宋" w:eastAsia="仿宋" w:cs="仿宋"/>
          <w:color w:val="auto"/>
          <w:highlight w:val="none"/>
        </w:rPr>
        <w:drawing>
          <wp:inline distT="0" distB="0" distL="114300" distR="114300">
            <wp:extent cx="9091295" cy="5498465"/>
            <wp:effectExtent l="0" t="0" r="1460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stretch>
                      <a:fillRect/>
                    </a:stretch>
                  </pic:blipFill>
                  <pic:spPr>
                    <a:xfrm>
                      <a:off x="0" y="0"/>
                      <a:ext cx="9091295" cy="5498465"/>
                    </a:xfrm>
                    <a:prstGeom prst="rect">
                      <a:avLst/>
                    </a:prstGeom>
                    <a:noFill/>
                    <a:ln>
                      <a:noFill/>
                    </a:ln>
                  </pic:spPr>
                </pic:pic>
              </a:graphicData>
            </a:graphic>
          </wp:inline>
        </w:drawing>
      </w:r>
    </w:p>
    <w:sectPr>
      <w:pgSz w:w="16838" w:h="11906" w:orient="landscape"/>
      <w:pgMar w:top="1080" w:right="1440" w:bottom="1080" w:left="144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modern"/>
    <w:pitch w:val="default"/>
    <w:sig w:usb0="E00002FF" w:usb1="400004FF" w:usb2="00000000" w:usb3="00000000" w:csb0="2000019F" w:csb1="00000000"/>
  </w:font>
  <w:font w:name="微软雅黑">
    <w:panose1 w:val="020B0503020204020204"/>
    <w:charset w:val="86"/>
    <w:family w:val="decorative"/>
    <w:pitch w:val="default"/>
    <w:sig w:usb0="80000287" w:usb1="280F3C52" w:usb2="00000016" w:usb3="00000000" w:csb0="0004001F" w:csb1="00000000"/>
  </w:font>
  <w:font w:name="隶书">
    <w:panose1 w:val="02010509060101010101"/>
    <w:charset w:val="86"/>
    <w:family w:val="swiss"/>
    <w:pitch w:val="default"/>
    <w:sig w:usb0="00000001" w:usb1="080E0000" w:usb2="00000000" w:usb3="00000000" w:csb0="00040000" w:csb1="00000000"/>
  </w:font>
  <w:font w:name="楷体_GB2312">
    <w:altName w:val="楷体"/>
    <w:panose1 w:val="00000000000000000000"/>
    <w:charset w:val="86"/>
    <w:family w:val="swiss"/>
    <w:pitch w:val="default"/>
    <w:sig w:usb0="00000000" w:usb1="00000000" w:usb2="00000000" w:usb3="00000000" w:csb0="00040000" w:csb1="00000000"/>
  </w:font>
  <w:font w:name="Futura Bk">
    <w:altName w:val="Segoe Print"/>
    <w:panose1 w:val="00000000000000000000"/>
    <w:charset w:val="00"/>
    <w:family w:val="decorative"/>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decorative"/>
    <w:pitch w:val="default"/>
    <w:sig w:usb0="E1002EFF" w:usb1="C000605B" w:usb2="00000029" w:usb3="00000000" w:csb0="200101FF" w:csb1="20280000"/>
  </w:font>
  <w:font w:name="MS Sans Serif">
    <w:altName w:val="Segoe Print"/>
    <w:panose1 w:val="00000000000000000000"/>
    <w:charset w:val="00"/>
    <w:family w:val="decorative"/>
    <w:pitch w:val="default"/>
    <w:sig w:usb0="00000000" w:usb1="00000000" w:usb2="00000000" w:usb3="00000000" w:csb0="00000001" w:csb1="00000000"/>
  </w:font>
  <w:font w:name="Lucida Sans">
    <w:panose1 w:val="020B0602030504020204"/>
    <w:charset w:val="00"/>
    <w:family w:val="decorative"/>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decorative"/>
    <w:pitch w:val="default"/>
    <w:sig w:usb0="A10006FF" w:usb1="4000205B" w:usb2="00000010" w:usb3="00000000" w:csb0="2000019F" w:csb1="00000000"/>
  </w:font>
  <w:font w:name="ˎ̥">
    <w:altName w:val="微软雅黑"/>
    <w:panose1 w:val="00000000000000000000"/>
    <w:charset w:val="00"/>
    <w:family w:val="modern"/>
    <w:pitch w:val="default"/>
    <w:sig w:usb0="00000000" w:usb1="00000000" w:usb2="00000000" w:usb3="00000000" w:csb0="00040001" w:csb1="00000000"/>
  </w:font>
  <w:font w:name="幼圆">
    <w:panose1 w:val="02010509060101010101"/>
    <w:charset w:val="86"/>
    <w:family w:val="swiss"/>
    <w:pitch w:val="default"/>
    <w:sig w:usb0="00000001" w:usb1="080E0000" w:usb2="00000000" w:usb3="00000000" w:csb0="00040000" w:csb1="00000000"/>
  </w:font>
  <w:font w:name="Arial Narrow">
    <w:panose1 w:val="020B0606020202030204"/>
    <w:charset w:val="00"/>
    <w:family w:val="decorative"/>
    <w:pitch w:val="default"/>
    <w:sig w:usb0="00000287" w:usb1="00000800" w:usb2="00000000" w:usb3="00000000" w:csb0="2000009F" w:csb1="DFD7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0000000000000000000"/>
    <w:charset w:val="00"/>
    <w:family w:val="decorative"/>
    <w:pitch w:val="default"/>
    <w:sig w:usb0="00000000" w:usb1="00000000" w:usb2="00000000" w:usb3="00000000" w:csb0="00000000" w:csb1="00000000"/>
  </w:font>
  <w:font w:name="Cumberland">
    <w:altName w:val="微软雅黑"/>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decorative"/>
    <w:pitch w:val="default"/>
    <w:sig w:usb0="00000000" w:usb1="00000000" w:usb2="00000000" w:usb3="00000000" w:csb0="000001FB" w:csb1="00000000"/>
  </w:font>
  <w:font w:name="Segoe UI">
    <w:panose1 w:val="020B0502040204020203"/>
    <w:charset w:val="00"/>
    <w:family w:val="decorative"/>
    <w:pitch w:val="default"/>
    <w:sig w:usb0="E10022FF" w:usb1="C000E47F" w:usb2="00000029" w:usb3="00000000" w:csb0="200001DF" w:csb1="20000000"/>
  </w:font>
  <w:font w:name="Latha">
    <w:panose1 w:val="020B0604020202020204"/>
    <w:charset w:val="00"/>
    <w:family w:val="decorative"/>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swiss"/>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decorative"/>
    <w:pitch w:val="default"/>
    <w:sig w:usb0="00000287" w:usb1="00000000" w:usb2="00000000" w:usb3="00000000" w:csb0="2000009F" w:csb1="DFD70000"/>
  </w:font>
  <w:font w:name="Aldine401 BT">
    <w:altName w:val="Segoe Print"/>
    <w:panose1 w:val="00000000000000000000"/>
    <w:charset w:val="00"/>
    <w:family w:val="modern"/>
    <w:pitch w:val="default"/>
    <w:sig w:usb0="00000000" w:usb1="00000000" w:usb2="00000000" w:usb3="00000000" w:csb0="00000011" w:csb1="00000000"/>
  </w:font>
  <w:font w:name=".PingFang SC">
    <w:altName w:val="宋体"/>
    <w:panose1 w:val="02020603050405020304"/>
    <w:charset w:val="86"/>
    <w:family w:val="swiss"/>
    <w:pitch w:val="default"/>
    <w:sig w:usb0="00000000" w:usb1="00000000" w:usb2="00000000" w:usb3="00000000" w:csb0="00000000" w:csb1="00000000"/>
  </w:font>
  <w:font w:name="MS Gothic">
    <w:panose1 w:val="020B0609070205080204"/>
    <w:charset w:val="80"/>
    <w:family w:val="swiss"/>
    <w:pitch w:val="default"/>
    <w:sig w:usb0="E00002FF" w:usb1="6AC7FDFB" w:usb2="00000012" w:usb3="00000000" w:csb0="4002009F" w:csb1="DFD70000"/>
  </w:font>
  <w:font w:name="Wingdings 2">
    <w:panose1 w:val="05020102010507070707"/>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1EB6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4ED45">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3C407">
    <w:pPr>
      <w:pStyle w:val="42"/>
      <w:framePr w:wrap="around" w:vAnchor="text" w:hAnchor="margin" w:xAlign="right" w:y="1"/>
      <w:rPr>
        <w:rStyle w:val="72"/>
      </w:rPr>
    </w:pPr>
    <w:r>
      <w:fldChar w:fldCharType="begin"/>
    </w:r>
    <w:r>
      <w:rPr>
        <w:rStyle w:val="72"/>
      </w:rPr>
      <w:instrText xml:space="preserve">PAGE  </w:instrText>
    </w:r>
    <w:r>
      <w:fldChar w:fldCharType="end"/>
    </w:r>
  </w:p>
  <w:p w14:paraId="2A670040">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33F7A">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1196" w:name="_Toc131845147"/>
    <w:bookmarkStart w:id="1197" w:name="_Toc164085800"/>
    <w:bookmarkStart w:id="1198" w:name="_Toc36110187"/>
    <w:bookmarkStart w:id="1199" w:name="_Toc91899912"/>
    <w:r>
      <w:rPr>
        <w:rFonts w:hint="eastAsia" w:ascii="仿宋_GB2312" w:eastAsia="仿宋_GB2312"/>
        <w:kern w:val="0"/>
        <w:szCs w:val="21"/>
      </w:rPr>
      <w:t xml:space="preserve"> 页</w:t>
    </w:r>
    <w:bookmarkEnd w:id="1196"/>
    <w:bookmarkEnd w:id="1197"/>
    <w:bookmarkEnd w:id="1198"/>
    <w:bookmarkEnd w:id="119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78DB8">
    <w:pPr>
      <w:pStyle w:val="42"/>
      <w:framePr w:wrap="around" w:vAnchor="text" w:hAnchor="margin" w:xAlign="right" w:y="1"/>
      <w:rPr>
        <w:rStyle w:val="72"/>
      </w:rPr>
    </w:pPr>
    <w:r>
      <w:fldChar w:fldCharType="begin"/>
    </w:r>
    <w:r>
      <w:rPr>
        <w:rStyle w:val="72"/>
      </w:rPr>
      <w:instrText xml:space="preserve">PAGE  </w:instrText>
    </w:r>
    <w:r>
      <w:fldChar w:fldCharType="end"/>
    </w:r>
  </w:p>
  <w:p w14:paraId="0F16F020">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724A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3558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171BBC5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AA83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57B59C2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B445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535C7D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CCE5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2FBCFE0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F4C4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1480961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6B6C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37E93FF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40D6B">
    <w:pPr>
      <w:pStyle w:val="43"/>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7D1FF">
    <w:pPr>
      <w:pStyle w:val="4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0C7FB">
    <w:pPr>
      <w:pStyle w:val="4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C29DB">
    <w:pPr>
      <w:pStyle w:val="4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9F784">
    <w:pPr>
      <w:pStyle w:val="43"/>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F4101">
    <w:pPr>
      <w:pStyle w:val="43"/>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1">
    <w:nsid w:val="00000002"/>
    <w:multiLevelType w:val="singleLevel"/>
    <w:tmpl w:val="00000002"/>
    <w:lvl w:ilvl="0" w:tentative="0">
      <w:start w:val="1"/>
      <w:numFmt w:val="decimalEnclosedCircleChinese"/>
      <w:suff w:val="nothing"/>
      <w:lvlText w:val="%1　"/>
      <w:lvlJc w:val="left"/>
      <w:pPr>
        <w:ind w:left="26" w:firstLine="400"/>
      </w:pPr>
      <w:rPr>
        <w:rFonts w:hint="eastAsia" w:ascii="宋体" w:hAnsi="宋体" w:eastAsia="宋体" w:cs="宋体"/>
        <w:lang w:val="en-US"/>
      </w:rPr>
    </w:lvl>
  </w:abstractNum>
  <w:abstractNum w:abstractNumId="2">
    <w:nsid w:val="00000006"/>
    <w:multiLevelType w:val="singleLevel"/>
    <w:tmpl w:val="00000006"/>
    <w:lvl w:ilvl="0" w:tentative="0">
      <w:start w:val="1"/>
      <w:numFmt w:val="decimal"/>
      <w:suff w:val="nothing"/>
      <w:lvlText w:val="（%1）"/>
      <w:lvlJc w:val="left"/>
      <w:pPr>
        <w:tabs>
          <w:tab w:val="left" w:pos="0"/>
        </w:tabs>
        <w:ind w:left="420"/>
      </w:pPr>
      <w:rPr>
        <w:rFonts w:hint="default"/>
      </w:rPr>
    </w:lvl>
  </w:abstractNum>
  <w:abstractNum w:abstractNumId="3">
    <w:nsid w:val="00000007"/>
    <w:multiLevelType w:val="singleLevel"/>
    <w:tmpl w:val="00000007"/>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4">
    <w:nsid w:val="0053208E"/>
    <w:multiLevelType w:val="singleLevel"/>
    <w:tmpl w:val="0053208E"/>
    <w:lvl w:ilvl="0" w:tentative="0">
      <w:start w:val="1"/>
      <w:numFmt w:val="decimal"/>
      <w:suff w:val="nothing"/>
      <w:lvlText w:val="（%1）"/>
      <w:lvlJc w:val="left"/>
      <w:pPr>
        <w:tabs>
          <w:tab w:val="left" w:pos="0"/>
        </w:tabs>
        <w:ind w:left="420"/>
      </w:pPr>
      <w:rPr>
        <w:rFonts w:hint="default"/>
      </w:rPr>
    </w:lvl>
  </w:abstractNum>
  <w:abstractNum w:abstractNumId="5">
    <w:nsid w:val="14D79456"/>
    <w:multiLevelType w:val="singleLevel"/>
    <w:tmpl w:val="14D79456"/>
    <w:lvl w:ilvl="0" w:tentative="0">
      <w:start w:val="5"/>
      <w:numFmt w:val="chineseCounting"/>
      <w:suff w:val="nothing"/>
      <w:lvlText w:val="%1、"/>
      <w:lvlJc w:val="left"/>
      <w:rPr>
        <w:rFonts w:hint="eastAsia"/>
      </w:rPr>
    </w:lvl>
  </w:abstractNum>
  <w:abstractNum w:abstractNumId="6">
    <w:nsid w:val="56E424EE"/>
    <w:multiLevelType w:val="singleLevel"/>
    <w:tmpl w:val="56E424EE"/>
    <w:lvl w:ilvl="0" w:tentative="0">
      <w:start w:val="1"/>
      <w:numFmt w:val="decimal"/>
      <w:suff w:val="nothing"/>
      <w:lvlText w:val="（%1）"/>
      <w:lvlJc w:val="left"/>
    </w:lvl>
  </w:abstractNum>
  <w:abstractNum w:abstractNumId="7">
    <w:nsid w:val="7580D385"/>
    <w:multiLevelType w:val="singleLevel"/>
    <w:tmpl w:val="7580D385"/>
    <w:lvl w:ilvl="0" w:tentative="0">
      <w:start w:val="1"/>
      <w:numFmt w:val="decimal"/>
      <w:suff w:val="nothing"/>
      <w:lvlText w:val="%1、"/>
      <w:lvlJc w:val="left"/>
    </w:lvl>
  </w:abstractNum>
  <w:abstractNum w:abstractNumId="8">
    <w:nsid w:val="7FD61FA2"/>
    <w:multiLevelType w:val="singleLevel"/>
    <w:tmpl w:val="7FD61FA2"/>
    <w:lvl w:ilvl="0" w:tentative="0">
      <w:start w:val="14"/>
      <w:numFmt w:val="chineseCounting"/>
      <w:suff w:val="nothing"/>
      <w:lvlText w:val="%1、"/>
      <w:lvlJc w:val="left"/>
      <w:rPr>
        <w:rFonts w:hint="eastAsia"/>
      </w:rPr>
    </w:lvl>
  </w:abstractNum>
  <w:num w:numId="1">
    <w:abstractNumId w:val="6"/>
  </w:num>
  <w:num w:numId="2">
    <w:abstractNumId w:val="7"/>
  </w:num>
  <w:num w:numId="3">
    <w:abstractNumId w:val="4"/>
  </w:num>
  <w:num w:numId="4">
    <w:abstractNumId w:val="3"/>
  </w:num>
  <w:num w:numId="5">
    <w:abstractNumId w:val="0"/>
  </w:num>
  <w:num w:numId="6">
    <w:abstractNumId w:val="2"/>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mZjBiYjZjMGM5ZTRmMzU0MjIzNDFkNzNiNzUzMzYifQ=="/>
    <w:docVar w:name="KSO_WPS_MARK_KEY" w:val="92c410df-794e-49a1-804b-7547f6c0d46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FE0"/>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A14"/>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3C4"/>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0F92"/>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253ED"/>
    <w:rsid w:val="011F6449"/>
    <w:rsid w:val="01236AFB"/>
    <w:rsid w:val="012F41F1"/>
    <w:rsid w:val="01301C55"/>
    <w:rsid w:val="01426AE8"/>
    <w:rsid w:val="018B55A4"/>
    <w:rsid w:val="018F0382"/>
    <w:rsid w:val="019F7441"/>
    <w:rsid w:val="01B37585"/>
    <w:rsid w:val="01B711E2"/>
    <w:rsid w:val="01D55165"/>
    <w:rsid w:val="01DF6BF8"/>
    <w:rsid w:val="01EC2C57"/>
    <w:rsid w:val="01F61EF2"/>
    <w:rsid w:val="0210580B"/>
    <w:rsid w:val="024975C9"/>
    <w:rsid w:val="02503846"/>
    <w:rsid w:val="025F0711"/>
    <w:rsid w:val="026B2E25"/>
    <w:rsid w:val="02824D4D"/>
    <w:rsid w:val="02A76D3E"/>
    <w:rsid w:val="02DC4B10"/>
    <w:rsid w:val="02DD76CE"/>
    <w:rsid w:val="02F36323"/>
    <w:rsid w:val="02F5619C"/>
    <w:rsid w:val="030806B1"/>
    <w:rsid w:val="0326446A"/>
    <w:rsid w:val="032D5555"/>
    <w:rsid w:val="034443F1"/>
    <w:rsid w:val="034D095E"/>
    <w:rsid w:val="036634D2"/>
    <w:rsid w:val="03807CD1"/>
    <w:rsid w:val="03A04148"/>
    <w:rsid w:val="03BE185C"/>
    <w:rsid w:val="03DD35E4"/>
    <w:rsid w:val="03E67D83"/>
    <w:rsid w:val="04076900"/>
    <w:rsid w:val="041A5A3B"/>
    <w:rsid w:val="042311BA"/>
    <w:rsid w:val="042B157A"/>
    <w:rsid w:val="04333FF8"/>
    <w:rsid w:val="048F763B"/>
    <w:rsid w:val="04904D42"/>
    <w:rsid w:val="049F330E"/>
    <w:rsid w:val="04AA775C"/>
    <w:rsid w:val="04AF1889"/>
    <w:rsid w:val="04BB586B"/>
    <w:rsid w:val="04C64E6C"/>
    <w:rsid w:val="04CB3BFD"/>
    <w:rsid w:val="04F66F48"/>
    <w:rsid w:val="05251E14"/>
    <w:rsid w:val="0526590B"/>
    <w:rsid w:val="058645FB"/>
    <w:rsid w:val="059565ED"/>
    <w:rsid w:val="059A29F4"/>
    <w:rsid w:val="05A16594"/>
    <w:rsid w:val="05A7762D"/>
    <w:rsid w:val="05CF5717"/>
    <w:rsid w:val="05F51BB7"/>
    <w:rsid w:val="060E5941"/>
    <w:rsid w:val="06110FAF"/>
    <w:rsid w:val="061E21DC"/>
    <w:rsid w:val="06314567"/>
    <w:rsid w:val="06493522"/>
    <w:rsid w:val="06493CA7"/>
    <w:rsid w:val="065A6178"/>
    <w:rsid w:val="066F1CF3"/>
    <w:rsid w:val="066F6E3E"/>
    <w:rsid w:val="0671740D"/>
    <w:rsid w:val="06760E07"/>
    <w:rsid w:val="06930BB8"/>
    <w:rsid w:val="06F31702"/>
    <w:rsid w:val="06F3181D"/>
    <w:rsid w:val="07245D42"/>
    <w:rsid w:val="07264C62"/>
    <w:rsid w:val="07666493"/>
    <w:rsid w:val="07676900"/>
    <w:rsid w:val="076E6C10"/>
    <w:rsid w:val="0779354C"/>
    <w:rsid w:val="07811D40"/>
    <w:rsid w:val="0797664C"/>
    <w:rsid w:val="07CC279A"/>
    <w:rsid w:val="07D17DB0"/>
    <w:rsid w:val="07D97EA1"/>
    <w:rsid w:val="07F83335"/>
    <w:rsid w:val="08061376"/>
    <w:rsid w:val="081E0B1B"/>
    <w:rsid w:val="0825634E"/>
    <w:rsid w:val="082C3238"/>
    <w:rsid w:val="08452D77"/>
    <w:rsid w:val="084762C4"/>
    <w:rsid w:val="085966AD"/>
    <w:rsid w:val="086401F8"/>
    <w:rsid w:val="08751CAA"/>
    <w:rsid w:val="08760957"/>
    <w:rsid w:val="087E4C40"/>
    <w:rsid w:val="08A871D0"/>
    <w:rsid w:val="08D66AD6"/>
    <w:rsid w:val="08DA33A3"/>
    <w:rsid w:val="08E80F13"/>
    <w:rsid w:val="09043664"/>
    <w:rsid w:val="09163F38"/>
    <w:rsid w:val="092148A7"/>
    <w:rsid w:val="092403B3"/>
    <w:rsid w:val="09335624"/>
    <w:rsid w:val="093D0A5E"/>
    <w:rsid w:val="0944690F"/>
    <w:rsid w:val="09535675"/>
    <w:rsid w:val="09580ED9"/>
    <w:rsid w:val="095F057D"/>
    <w:rsid w:val="09642282"/>
    <w:rsid w:val="09733572"/>
    <w:rsid w:val="09767D1F"/>
    <w:rsid w:val="09772C16"/>
    <w:rsid w:val="098353B5"/>
    <w:rsid w:val="09A92330"/>
    <w:rsid w:val="09B06B87"/>
    <w:rsid w:val="09C13146"/>
    <w:rsid w:val="09E04166"/>
    <w:rsid w:val="09FB497B"/>
    <w:rsid w:val="0A075AEF"/>
    <w:rsid w:val="0A1C0718"/>
    <w:rsid w:val="0A3E7710"/>
    <w:rsid w:val="0A454A85"/>
    <w:rsid w:val="0A550002"/>
    <w:rsid w:val="0A5B7E63"/>
    <w:rsid w:val="0A617F01"/>
    <w:rsid w:val="0A6C6ACB"/>
    <w:rsid w:val="0A6D4AE7"/>
    <w:rsid w:val="0A703465"/>
    <w:rsid w:val="0A742C74"/>
    <w:rsid w:val="0A927580"/>
    <w:rsid w:val="0AA374A5"/>
    <w:rsid w:val="0AAB7649"/>
    <w:rsid w:val="0ABC5606"/>
    <w:rsid w:val="0AD100C7"/>
    <w:rsid w:val="0AD7498C"/>
    <w:rsid w:val="0ADE1079"/>
    <w:rsid w:val="0B30404E"/>
    <w:rsid w:val="0B4C6C14"/>
    <w:rsid w:val="0B547599"/>
    <w:rsid w:val="0B631A88"/>
    <w:rsid w:val="0B646F99"/>
    <w:rsid w:val="0B683D45"/>
    <w:rsid w:val="0B7A075E"/>
    <w:rsid w:val="0B7F3F11"/>
    <w:rsid w:val="0B884417"/>
    <w:rsid w:val="0B8F5464"/>
    <w:rsid w:val="0BAA5E29"/>
    <w:rsid w:val="0BC07081"/>
    <w:rsid w:val="0BD51E39"/>
    <w:rsid w:val="0BD53BE7"/>
    <w:rsid w:val="0BF6188C"/>
    <w:rsid w:val="0BF73C91"/>
    <w:rsid w:val="0C170175"/>
    <w:rsid w:val="0C2D406F"/>
    <w:rsid w:val="0C5505BD"/>
    <w:rsid w:val="0C571A41"/>
    <w:rsid w:val="0C5C1171"/>
    <w:rsid w:val="0C5E1CBC"/>
    <w:rsid w:val="0C615B50"/>
    <w:rsid w:val="0C8445DA"/>
    <w:rsid w:val="0C87121B"/>
    <w:rsid w:val="0C966D79"/>
    <w:rsid w:val="0CC007F7"/>
    <w:rsid w:val="0CC617AC"/>
    <w:rsid w:val="0CE618DF"/>
    <w:rsid w:val="0CF63E15"/>
    <w:rsid w:val="0CFE707A"/>
    <w:rsid w:val="0D063BDA"/>
    <w:rsid w:val="0D08375F"/>
    <w:rsid w:val="0D184CFB"/>
    <w:rsid w:val="0D2B473A"/>
    <w:rsid w:val="0D477310"/>
    <w:rsid w:val="0D4A7419"/>
    <w:rsid w:val="0D6C5618"/>
    <w:rsid w:val="0D821571"/>
    <w:rsid w:val="0D827401"/>
    <w:rsid w:val="0D84094E"/>
    <w:rsid w:val="0D892CAF"/>
    <w:rsid w:val="0D8A00E9"/>
    <w:rsid w:val="0D8B6C53"/>
    <w:rsid w:val="0D8D589E"/>
    <w:rsid w:val="0D9642F0"/>
    <w:rsid w:val="0DA01C73"/>
    <w:rsid w:val="0DD63300"/>
    <w:rsid w:val="0DF50604"/>
    <w:rsid w:val="0DF702FE"/>
    <w:rsid w:val="0DF84EDC"/>
    <w:rsid w:val="0E060E51"/>
    <w:rsid w:val="0E243D07"/>
    <w:rsid w:val="0E5604B2"/>
    <w:rsid w:val="0E6D5D79"/>
    <w:rsid w:val="0E925DBF"/>
    <w:rsid w:val="0E9D0089"/>
    <w:rsid w:val="0EA3277B"/>
    <w:rsid w:val="0EB22DDA"/>
    <w:rsid w:val="0EB803EE"/>
    <w:rsid w:val="0EF94D4B"/>
    <w:rsid w:val="0EFE6317"/>
    <w:rsid w:val="0F072309"/>
    <w:rsid w:val="0F137227"/>
    <w:rsid w:val="0F4958DC"/>
    <w:rsid w:val="0F4C27CC"/>
    <w:rsid w:val="0F515DF7"/>
    <w:rsid w:val="0F596BA8"/>
    <w:rsid w:val="0F6248D2"/>
    <w:rsid w:val="0F693536"/>
    <w:rsid w:val="0F7B0511"/>
    <w:rsid w:val="0F7B76D9"/>
    <w:rsid w:val="0F7E4C87"/>
    <w:rsid w:val="0F816ACD"/>
    <w:rsid w:val="0F92120F"/>
    <w:rsid w:val="0F9832DB"/>
    <w:rsid w:val="0FBF3FD2"/>
    <w:rsid w:val="0FBF7FF3"/>
    <w:rsid w:val="0FF26B15"/>
    <w:rsid w:val="0FF46D31"/>
    <w:rsid w:val="10176DD9"/>
    <w:rsid w:val="1034443E"/>
    <w:rsid w:val="1053014D"/>
    <w:rsid w:val="10646583"/>
    <w:rsid w:val="10707EFD"/>
    <w:rsid w:val="107D4B15"/>
    <w:rsid w:val="108A3C80"/>
    <w:rsid w:val="10C26171"/>
    <w:rsid w:val="10CD30DE"/>
    <w:rsid w:val="10D34984"/>
    <w:rsid w:val="10D6121D"/>
    <w:rsid w:val="10E82390"/>
    <w:rsid w:val="10E943BC"/>
    <w:rsid w:val="10F33360"/>
    <w:rsid w:val="10FC16EA"/>
    <w:rsid w:val="110F1D40"/>
    <w:rsid w:val="111D38D7"/>
    <w:rsid w:val="11266F33"/>
    <w:rsid w:val="11292A0B"/>
    <w:rsid w:val="11430EC2"/>
    <w:rsid w:val="11553800"/>
    <w:rsid w:val="118963A1"/>
    <w:rsid w:val="11AE585A"/>
    <w:rsid w:val="11BE0EFC"/>
    <w:rsid w:val="11C6522A"/>
    <w:rsid w:val="11E104CC"/>
    <w:rsid w:val="11E20309"/>
    <w:rsid w:val="12203238"/>
    <w:rsid w:val="12255233"/>
    <w:rsid w:val="12271454"/>
    <w:rsid w:val="124B083D"/>
    <w:rsid w:val="12530213"/>
    <w:rsid w:val="127723A9"/>
    <w:rsid w:val="12862074"/>
    <w:rsid w:val="12883966"/>
    <w:rsid w:val="128D49C3"/>
    <w:rsid w:val="129E45B4"/>
    <w:rsid w:val="12D81596"/>
    <w:rsid w:val="13072A44"/>
    <w:rsid w:val="13542B43"/>
    <w:rsid w:val="135F4BE2"/>
    <w:rsid w:val="13806C8C"/>
    <w:rsid w:val="139B1A0A"/>
    <w:rsid w:val="139D25C7"/>
    <w:rsid w:val="13B54A2A"/>
    <w:rsid w:val="13BF3CE4"/>
    <w:rsid w:val="13F37300"/>
    <w:rsid w:val="13F445A5"/>
    <w:rsid w:val="14072DAB"/>
    <w:rsid w:val="141008D8"/>
    <w:rsid w:val="14125FE6"/>
    <w:rsid w:val="146D271E"/>
    <w:rsid w:val="14982588"/>
    <w:rsid w:val="149A5AD9"/>
    <w:rsid w:val="149E54BE"/>
    <w:rsid w:val="14A7619D"/>
    <w:rsid w:val="14B4083D"/>
    <w:rsid w:val="14EC10AF"/>
    <w:rsid w:val="150536C3"/>
    <w:rsid w:val="150C1963"/>
    <w:rsid w:val="151447A0"/>
    <w:rsid w:val="152B4878"/>
    <w:rsid w:val="15342D09"/>
    <w:rsid w:val="1546224D"/>
    <w:rsid w:val="154A6454"/>
    <w:rsid w:val="155471F6"/>
    <w:rsid w:val="15762120"/>
    <w:rsid w:val="158C1DA8"/>
    <w:rsid w:val="15A947E5"/>
    <w:rsid w:val="15DB3250"/>
    <w:rsid w:val="16353C00"/>
    <w:rsid w:val="168D3A3C"/>
    <w:rsid w:val="16A8729C"/>
    <w:rsid w:val="16AA30D4"/>
    <w:rsid w:val="16AB2CAB"/>
    <w:rsid w:val="16B33777"/>
    <w:rsid w:val="16BC70A7"/>
    <w:rsid w:val="16C6339E"/>
    <w:rsid w:val="16CB5E37"/>
    <w:rsid w:val="16D301F3"/>
    <w:rsid w:val="16EB25B6"/>
    <w:rsid w:val="17011D34"/>
    <w:rsid w:val="171A2386"/>
    <w:rsid w:val="172F2D79"/>
    <w:rsid w:val="17380012"/>
    <w:rsid w:val="17557BEF"/>
    <w:rsid w:val="17604F1B"/>
    <w:rsid w:val="177D585E"/>
    <w:rsid w:val="1782031A"/>
    <w:rsid w:val="17D349C1"/>
    <w:rsid w:val="180A2E6A"/>
    <w:rsid w:val="1830729E"/>
    <w:rsid w:val="185A70B9"/>
    <w:rsid w:val="1870062C"/>
    <w:rsid w:val="187A7D80"/>
    <w:rsid w:val="18817102"/>
    <w:rsid w:val="18830A15"/>
    <w:rsid w:val="18852B28"/>
    <w:rsid w:val="188B5321"/>
    <w:rsid w:val="18CA565E"/>
    <w:rsid w:val="18CE3E98"/>
    <w:rsid w:val="18E65685"/>
    <w:rsid w:val="18F55FDC"/>
    <w:rsid w:val="1986007D"/>
    <w:rsid w:val="19932372"/>
    <w:rsid w:val="199930AE"/>
    <w:rsid w:val="19A20DD5"/>
    <w:rsid w:val="19AE03F1"/>
    <w:rsid w:val="19D76D7C"/>
    <w:rsid w:val="1A071A03"/>
    <w:rsid w:val="1A1F16AE"/>
    <w:rsid w:val="1A3B5C77"/>
    <w:rsid w:val="1A6F5CF5"/>
    <w:rsid w:val="1A712403"/>
    <w:rsid w:val="1A984BAD"/>
    <w:rsid w:val="1AB8220E"/>
    <w:rsid w:val="1AC35E60"/>
    <w:rsid w:val="1AE4166C"/>
    <w:rsid w:val="1AF06CFB"/>
    <w:rsid w:val="1AF11B8D"/>
    <w:rsid w:val="1B11359C"/>
    <w:rsid w:val="1B1D4C62"/>
    <w:rsid w:val="1B272E92"/>
    <w:rsid w:val="1B2A271F"/>
    <w:rsid w:val="1B3C6D99"/>
    <w:rsid w:val="1B3F1E98"/>
    <w:rsid w:val="1B4C0363"/>
    <w:rsid w:val="1B4F4E1D"/>
    <w:rsid w:val="1B530544"/>
    <w:rsid w:val="1B5E73AF"/>
    <w:rsid w:val="1B6E16CC"/>
    <w:rsid w:val="1B713184"/>
    <w:rsid w:val="1BA209CF"/>
    <w:rsid w:val="1BB4777D"/>
    <w:rsid w:val="1BD75AB8"/>
    <w:rsid w:val="1BDC2BFF"/>
    <w:rsid w:val="1BFB1448"/>
    <w:rsid w:val="1C0459C2"/>
    <w:rsid w:val="1C1B3B4A"/>
    <w:rsid w:val="1C5C42B0"/>
    <w:rsid w:val="1C7725CD"/>
    <w:rsid w:val="1C88086E"/>
    <w:rsid w:val="1C9B1AA4"/>
    <w:rsid w:val="1D266CE1"/>
    <w:rsid w:val="1D275FCD"/>
    <w:rsid w:val="1D342403"/>
    <w:rsid w:val="1D3963AF"/>
    <w:rsid w:val="1D3D0FE5"/>
    <w:rsid w:val="1D5105C1"/>
    <w:rsid w:val="1D54148D"/>
    <w:rsid w:val="1D570A82"/>
    <w:rsid w:val="1D6A673C"/>
    <w:rsid w:val="1D7B69ED"/>
    <w:rsid w:val="1D905BC0"/>
    <w:rsid w:val="1D9247AE"/>
    <w:rsid w:val="1DB567EC"/>
    <w:rsid w:val="1DC146E5"/>
    <w:rsid w:val="1DF4775D"/>
    <w:rsid w:val="1DF51A98"/>
    <w:rsid w:val="1E0839A8"/>
    <w:rsid w:val="1E322B1A"/>
    <w:rsid w:val="1E3D060F"/>
    <w:rsid w:val="1E3F7D2E"/>
    <w:rsid w:val="1E4134E4"/>
    <w:rsid w:val="1E4F64CB"/>
    <w:rsid w:val="1E5062B3"/>
    <w:rsid w:val="1E523514"/>
    <w:rsid w:val="1E714A66"/>
    <w:rsid w:val="1E722324"/>
    <w:rsid w:val="1E802593"/>
    <w:rsid w:val="1E8A6AB3"/>
    <w:rsid w:val="1E8B6156"/>
    <w:rsid w:val="1EA27958"/>
    <w:rsid w:val="1EA703CC"/>
    <w:rsid w:val="1EB7330C"/>
    <w:rsid w:val="1F071EB1"/>
    <w:rsid w:val="1F0A0FF3"/>
    <w:rsid w:val="1F3B41CE"/>
    <w:rsid w:val="1F3D3B25"/>
    <w:rsid w:val="1F470500"/>
    <w:rsid w:val="1F5771FF"/>
    <w:rsid w:val="1F69785E"/>
    <w:rsid w:val="1F904124"/>
    <w:rsid w:val="1FD41CBC"/>
    <w:rsid w:val="1FE868A9"/>
    <w:rsid w:val="20034907"/>
    <w:rsid w:val="20106F09"/>
    <w:rsid w:val="20121CB2"/>
    <w:rsid w:val="20173E4B"/>
    <w:rsid w:val="202076CF"/>
    <w:rsid w:val="204A7214"/>
    <w:rsid w:val="204C276E"/>
    <w:rsid w:val="204E48BC"/>
    <w:rsid w:val="208921B3"/>
    <w:rsid w:val="20973DEB"/>
    <w:rsid w:val="20B26522"/>
    <w:rsid w:val="20B44310"/>
    <w:rsid w:val="211116EB"/>
    <w:rsid w:val="216133FC"/>
    <w:rsid w:val="21985EFA"/>
    <w:rsid w:val="21AE1E97"/>
    <w:rsid w:val="21CC6C28"/>
    <w:rsid w:val="21CE282C"/>
    <w:rsid w:val="21D56769"/>
    <w:rsid w:val="21DF0E1D"/>
    <w:rsid w:val="21E52EF3"/>
    <w:rsid w:val="21FB5D7B"/>
    <w:rsid w:val="22015E94"/>
    <w:rsid w:val="220A4192"/>
    <w:rsid w:val="220B1C3D"/>
    <w:rsid w:val="220C15E8"/>
    <w:rsid w:val="221A365E"/>
    <w:rsid w:val="221D1D20"/>
    <w:rsid w:val="22334A87"/>
    <w:rsid w:val="22456F79"/>
    <w:rsid w:val="227171AF"/>
    <w:rsid w:val="227B6E3E"/>
    <w:rsid w:val="2295531E"/>
    <w:rsid w:val="22BE6801"/>
    <w:rsid w:val="22D327D6"/>
    <w:rsid w:val="22F32E79"/>
    <w:rsid w:val="233500BF"/>
    <w:rsid w:val="233712A1"/>
    <w:rsid w:val="23377FF7"/>
    <w:rsid w:val="23452FA8"/>
    <w:rsid w:val="234848A5"/>
    <w:rsid w:val="236B425F"/>
    <w:rsid w:val="23836192"/>
    <w:rsid w:val="23901F29"/>
    <w:rsid w:val="239C0061"/>
    <w:rsid w:val="23B908A4"/>
    <w:rsid w:val="23DE179B"/>
    <w:rsid w:val="23E95BEF"/>
    <w:rsid w:val="23FD0064"/>
    <w:rsid w:val="24532A74"/>
    <w:rsid w:val="245375B0"/>
    <w:rsid w:val="24642C0A"/>
    <w:rsid w:val="24760426"/>
    <w:rsid w:val="24A51F50"/>
    <w:rsid w:val="24B22173"/>
    <w:rsid w:val="24B95AD9"/>
    <w:rsid w:val="24BE24DA"/>
    <w:rsid w:val="24C94AE6"/>
    <w:rsid w:val="24CF5825"/>
    <w:rsid w:val="24D663E6"/>
    <w:rsid w:val="24D77F2B"/>
    <w:rsid w:val="24D804D4"/>
    <w:rsid w:val="25042435"/>
    <w:rsid w:val="258B00E2"/>
    <w:rsid w:val="258C4EA7"/>
    <w:rsid w:val="25A917A6"/>
    <w:rsid w:val="25AB0E64"/>
    <w:rsid w:val="25AD693C"/>
    <w:rsid w:val="25BE27CC"/>
    <w:rsid w:val="25C87603"/>
    <w:rsid w:val="25F74A5C"/>
    <w:rsid w:val="260D36F0"/>
    <w:rsid w:val="2628662C"/>
    <w:rsid w:val="262D45DE"/>
    <w:rsid w:val="26524268"/>
    <w:rsid w:val="267776DE"/>
    <w:rsid w:val="26871DC8"/>
    <w:rsid w:val="26A53EF9"/>
    <w:rsid w:val="26A94201"/>
    <w:rsid w:val="26AC274F"/>
    <w:rsid w:val="26D14BAB"/>
    <w:rsid w:val="26DB7EA6"/>
    <w:rsid w:val="26E42C82"/>
    <w:rsid w:val="27044A29"/>
    <w:rsid w:val="27054F28"/>
    <w:rsid w:val="271D34C8"/>
    <w:rsid w:val="27365875"/>
    <w:rsid w:val="273D46C2"/>
    <w:rsid w:val="276142BF"/>
    <w:rsid w:val="276736FF"/>
    <w:rsid w:val="27675BE3"/>
    <w:rsid w:val="276E51C4"/>
    <w:rsid w:val="27783712"/>
    <w:rsid w:val="27907362"/>
    <w:rsid w:val="27B81E42"/>
    <w:rsid w:val="27BA5D13"/>
    <w:rsid w:val="27E5753E"/>
    <w:rsid w:val="281A3657"/>
    <w:rsid w:val="28333E1D"/>
    <w:rsid w:val="28454BD6"/>
    <w:rsid w:val="28455253"/>
    <w:rsid w:val="28551971"/>
    <w:rsid w:val="285B1C53"/>
    <w:rsid w:val="286F78A7"/>
    <w:rsid w:val="289F7086"/>
    <w:rsid w:val="28AF7842"/>
    <w:rsid w:val="28C32028"/>
    <w:rsid w:val="28CA2242"/>
    <w:rsid w:val="28CC490F"/>
    <w:rsid w:val="28DE40AA"/>
    <w:rsid w:val="28EC7A64"/>
    <w:rsid w:val="28EF668C"/>
    <w:rsid w:val="29345E77"/>
    <w:rsid w:val="294C65AD"/>
    <w:rsid w:val="295201CD"/>
    <w:rsid w:val="29620769"/>
    <w:rsid w:val="296E2B85"/>
    <w:rsid w:val="29791BFE"/>
    <w:rsid w:val="29806583"/>
    <w:rsid w:val="298B3C4C"/>
    <w:rsid w:val="29B24C09"/>
    <w:rsid w:val="29C54E43"/>
    <w:rsid w:val="29F26D24"/>
    <w:rsid w:val="29F97C59"/>
    <w:rsid w:val="2A15033F"/>
    <w:rsid w:val="2A1662C1"/>
    <w:rsid w:val="2A1C7367"/>
    <w:rsid w:val="2A2815FA"/>
    <w:rsid w:val="2A28268F"/>
    <w:rsid w:val="2A310451"/>
    <w:rsid w:val="2A35353C"/>
    <w:rsid w:val="2A4144C9"/>
    <w:rsid w:val="2A6D6092"/>
    <w:rsid w:val="2A7D76B4"/>
    <w:rsid w:val="2A7E571E"/>
    <w:rsid w:val="2A9A4101"/>
    <w:rsid w:val="2AE50C92"/>
    <w:rsid w:val="2AE52B6B"/>
    <w:rsid w:val="2AFC349E"/>
    <w:rsid w:val="2B2A7653"/>
    <w:rsid w:val="2B437463"/>
    <w:rsid w:val="2B7807EE"/>
    <w:rsid w:val="2B910285"/>
    <w:rsid w:val="2B9D103D"/>
    <w:rsid w:val="2BA50BF7"/>
    <w:rsid w:val="2BBF00EC"/>
    <w:rsid w:val="2BC37CFD"/>
    <w:rsid w:val="2BCD6736"/>
    <w:rsid w:val="2BD5237F"/>
    <w:rsid w:val="2BDD24F6"/>
    <w:rsid w:val="2BE46963"/>
    <w:rsid w:val="2BE536CE"/>
    <w:rsid w:val="2BE758D9"/>
    <w:rsid w:val="2BE77953"/>
    <w:rsid w:val="2C09049E"/>
    <w:rsid w:val="2C0A653C"/>
    <w:rsid w:val="2C191F85"/>
    <w:rsid w:val="2C5129BE"/>
    <w:rsid w:val="2C57136D"/>
    <w:rsid w:val="2C7B2FE8"/>
    <w:rsid w:val="2C8358CD"/>
    <w:rsid w:val="2CE82D6F"/>
    <w:rsid w:val="2D034FA6"/>
    <w:rsid w:val="2D0B7C88"/>
    <w:rsid w:val="2D1556A6"/>
    <w:rsid w:val="2D1E0AF2"/>
    <w:rsid w:val="2D343236"/>
    <w:rsid w:val="2D683A0A"/>
    <w:rsid w:val="2D850B71"/>
    <w:rsid w:val="2D9054C8"/>
    <w:rsid w:val="2DB006A5"/>
    <w:rsid w:val="2DC5658B"/>
    <w:rsid w:val="2DD15014"/>
    <w:rsid w:val="2DEB6954"/>
    <w:rsid w:val="2DED0E87"/>
    <w:rsid w:val="2DF72DE4"/>
    <w:rsid w:val="2E0220AF"/>
    <w:rsid w:val="2E220883"/>
    <w:rsid w:val="2E2C5491"/>
    <w:rsid w:val="2E382745"/>
    <w:rsid w:val="2E45579B"/>
    <w:rsid w:val="2E496F7F"/>
    <w:rsid w:val="2E4B082A"/>
    <w:rsid w:val="2E5D4E86"/>
    <w:rsid w:val="2E5D790B"/>
    <w:rsid w:val="2E926CEC"/>
    <w:rsid w:val="2E9A3C18"/>
    <w:rsid w:val="2E9C43C4"/>
    <w:rsid w:val="2EB77450"/>
    <w:rsid w:val="2EBB0FEE"/>
    <w:rsid w:val="2EC63002"/>
    <w:rsid w:val="2F0A6B38"/>
    <w:rsid w:val="2F843483"/>
    <w:rsid w:val="2F8F5CD7"/>
    <w:rsid w:val="2F946CCB"/>
    <w:rsid w:val="2FCF11CB"/>
    <w:rsid w:val="2FD25781"/>
    <w:rsid w:val="2FDA5341"/>
    <w:rsid w:val="2FDC745C"/>
    <w:rsid w:val="2FE22DAD"/>
    <w:rsid w:val="2FFD7934"/>
    <w:rsid w:val="30323F26"/>
    <w:rsid w:val="30474D99"/>
    <w:rsid w:val="306453B6"/>
    <w:rsid w:val="30733ACD"/>
    <w:rsid w:val="308C3862"/>
    <w:rsid w:val="309379D8"/>
    <w:rsid w:val="309C0037"/>
    <w:rsid w:val="30A270F7"/>
    <w:rsid w:val="30AD3B19"/>
    <w:rsid w:val="30DF1478"/>
    <w:rsid w:val="30E266E3"/>
    <w:rsid w:val="30EC586F"/>
    <w:rsid w:val="31043373"/>
    <w:rsid w:val="3117675C"/>
    <w:rsid w:val="314D5E4A"/>
    <w:rsid w:val="315F792B"/>
    <w:rsid w:val="319C6071"/>
    <w:rsid w:val="31AC537E"/>
    <w:rsid w:val="31E3679B"/>
    <w:rsid w:val="31E732FD"/>
    <w:rsid w:val="32462F60"/>
    <w:rsid w:val="32517576"/>
    <w:rsid w:val="328B4E7C"/>
    <w:rsid w:val="32A2229A"/>
    <w:rsid w:val="32BE5C2C"/>
    <w:rsid w:val="32D63C1D"/>
    <w:rsid w:val="32FB6478"/>
    <w:rsid w:val="33092F71"/>
    <w:rsid w:val="332410BB"/>
    <w:rsid w:val="33254336"/>
    <w:rsid w:val="33263B3F"/>
    <w:rsid w:val="33286205"/>
    <w:rsid w:val="336963EB"/>
    <w:rsid w:val="33816EEB"/>
    <w:rsid w:val="33A855B9"/>
    <w:rsid w:val="33B65F28"/>
    <w:rsid w:val="33C87A09"/>
    <w:rsid w:val="33D072F4"/>
    <w:rsid w:val="33EB55CD"/>
    <w:rsid w:val="33EC4C02"/>
    <w:rsid w:val="33F37E8B"/>
    <w:rsid w:val="340D2360"/>
    <w:rsid w:val="3410665D"/>
    <w:rsid w:val="34211214"/>
    <w:rsid w:val="342E63AB"/>
    <w:rsid w:val="345E7FB1"/>
    <w:rsid w:val="345F4318"/>
    <w:rsid w:val="34943763"/>
    <w:rsid w:val="34950E68"/>
    <w:rsid w:val="34986E94"/>
    <w:rsid w:val="34AF62C9"/>
    <w:rsid w:val="34B73B25"/>
    <w:rsid w:val="34CB4388"/>
    <w:rsid w:val="34EC3BCC"/>
    <w:rsid w:val="34FA6E12"/>
    <w:rsid w:val="350466DA"/>
    <w:rsid w:val="351053DE"/>
    <w:rsid w:val="352670DE"/>
    <w:rsid w:val="3533663A"/>
    <w:rsid w:val="354D7158"/>
    <w:rsid w:val="35531BEF"/>
    <w:rsid w:val="355E3D62"/>
    <w:rsid w:val="358D5588"/>
    <w:rsid w:val="35911E96"/>
    <w:rsid w:val="35A0047C"/>
    <w:rsid w:val="35EE5A12"/>
    <w:rsid w:val="363A3B40"/>
    <w:rsid w:val="365302AE"/>
    <w:rsid w:val="36607A0A"/>
    <w:rsid w:val="366E227C"/>
    <w:rsid w:val="366F2E0D"/>
    <w:rsid w:val="367B6A5C"/>
    <w:rsid w:val="36A74ADA"/>
    <w:rsid w:val="36AD60D5"/>
    <w:rsid w:val="36B224F9"/>
    <w:rsid w:val="36D05F99"/>
    <w:rsid w:val="36EC0CC9"/>
    <w:rsid w:val="36FA2CD3"/>
    <w:rsid w:val="37046FAB"/>
    <w:rsid w:val="373D2A5F"/>
    <w:rsid w:val="373F410B"/>
    <w:rsid w:val="3799224D"/>
    <w:rsid w:val="37C91FA2"/>
    <w:rsid w:val="37DA5F5D"/>
    <w:rsid w:val="37EE7094"/>
    <w:rsid w:val="38296C89"/>
    <w:rsid w:val="383002EB"/>
    <w:rsid w:val="38586797"/>
    <w:rsid w:val="38965DC0"/>
    <w:rsid w:val="38BC0149"/>
    <w:rsid w:val="38BE13DB"/>
    <w:rsid w:val="38D87D1C"/>
    <w:rsid w:val="3914549F"/>
    <w:rsid w:val="39525B10"/>
    <w:rsid w:val="39636459"/>
    <w:rsid w:val="396B7F6C"/>
    <w:rsid w:val="39736E9C"/>
    <w:rsid w:val="397F0B6A"/>
    <w:rsid w:val="398203AB"/>
    <w:rsid w:val="399A77E0"/>
    <w:rsid w:val="39B417A9"/>
    <w:rsid w:val="39C46EC5"/>
    <w:rsid w:val="39CC2AF9"/>
    <w:rsid w:val="39EE7A9E"/>
    <w:rsid w:val="39FC5695"/>
    <w:rsid w:val="3A006D8E"/>
    <w:rsid w:val="3A0C49AF"/>
    <w:rsid w:val="3A204F94"/>
    <w:rsid w:val="3A292B5E"/>
    <w:rsid w:val="3A3651E5"/>
    <w:rsid w:val="3A744481"/>
    <w:rsid w:val="3A8C7BEF"/>
    <w:rsid w:val="3A906246"/>
    <w:rsid w:val="3A946897"/>
    <w:rsid w:val="3AA30888"/>
    <w:rsid w:val="3ABE0DDE"/>
    <w:rsid w:val="3AD33C5B"/>
    <w:rsid w:val="3B225C51"/>
    <w:rsid w:val="3B2349B7"/>
    <w:rsid w:val="3B263F55"/>
    <w:rsid w:val="3B616CFF"/>
    <w:rsid w:val="3B6259F6"/>
    <w:rsid w:val="3B6C15C2"/>
    <w:rsid w:val="3B976654"/>
    <w:rsid w:val="3BC01EFC"/>
    <w:rsid w:val="3BC0486E"/>
    <w:rsid w:val="3BCA786A"/>
    <w:rsid w:val="3BD31E2F"/>
    <w:rsid w:val="3BD621EB"/>
    <w:rsid w:val="3BF15831"/>
    <w:rsid w:val="3C105946"/>
    <w:rsid w:val="3C1934F8"/>
    <w:rsid w:val="3C1C4D96"/>
    <w:rsid w:val="3C3417FB"/>
    <w:rsid w:val="3C471448"/>
    <w:rsid w:val="3C5F759A"/>
    <w:rsid w:val="3C6C525A"/>
    <w:rsid w:val="3C824F12"/>
    <w:rsid w:val="3C942B7F"/>
    <w:rsid w:val="3C9820D8"/>
    <w:rsid w:val="3CB90837"/>
    <w:rsid w:val="3CC01BC6"/>
    <w:rsid w:val="3CCE23CB"/>
    <w:rsid w:val="3CCF4271"/>
    <w:rsid w:val="3CD17D17"/>
    <w:rsid w:val="3D003C82"/>
    <w:rsid w:val="3D08531B"/>
    <w:rsid w:val="3D130038"/>
    <w:rsid w:val="3D3C7F39"/>
    <w:rsid w:val="3D436353"/>
    <w:rsid w:val="3D440F09"/>
    <w:rsid w:val="3D4504A0"/>
    <w:rsid w:val="3D4E0799"/>
    <w:rsid w:val="3D8734BB"/>
    <w:rsid w:val="3D9A11D4"/>
    <w:rsid w:val="3D9B6799"/>
    <w:rsid w:val="3DA16D89"/>
    <w:rsid w:val="3DA364BE"/>
    <w:rsid w:val="3DB75A1D"/>
    <w:rsid w:val="3DE041CB"/>
    <w:rsid w:val="3DF34F93"/>
    <w:rsid w:val="3E0D48F6"/>
    <w:rsid w:val="3E1868B4"/>
    <w:rsid w:val="3E377251"/>
    <w:rsid w:val="3E42664B"/>
    <w:rsid w:val="3E5A7334"/>
    <w:rsid w:val="3E7570D2"/>
    <w:rsid w:val="3E7B105E"/>
    <w:rsid w:val="3E7B5D6B"/>
    <w:rsid w:val="3E8375FD"/>
    <w:rsid w:val="3E843E66"/>
    <w:rsid w:val="3E8F51FE"/>
    <w:rsid w:val="3E926F87"/>
    <w:rsid w:val="3E9A59DE"/>
    <w:rsid w:val="3EAF4836"/>
    <w:rsid w:val="3EC33DFA"/>
    <w:rsid w:val="3F060E16"/>
    <w:rsid w:val="3F1D1096"/>
    <w:rsid w:val="3F2F0234"/>
    <w:rsid w:val="3F5B40F4"/>
    <w:rsid w:val="3F6363FE"/>
    <w:rsid w:val="3F756B8F"/>
    <w:rsid w:val="3F7D0E0C"/>
    <w:rsid w:val="3F7D11F8"/>
    <w:rsid w:val="3F95482B"/>
    <w:rsid w:val="3FA163E9"/>
    <w:rsid w:val="3FFA644F"/>
    <w:rsid w:val="4019356B"/>
    <w:rsid w:val="40592157"/>
    <w:rsid w:val="406423BE"/>
    <w:rsid w:val="4065070C"/>
    <w:rsid w:val="406E1CAE"/>
    <w:rsid w:val="408E004E"/>
    <w:rsid w:val="409C131D"/>
    <w:rsid w:val="40A0133A"/>
    <w:rsid w:val="40A47108"/>
    <w:rsid w:val="40C31A53"/>
    <w:rsid w:val="40DA7863"/>
    <w:rsid w:val="40EF21F3"/>
    <w:rsid w:val="40FE44B6"/>
    <w:rsid w:val="40FF545D"/>
    <w:rsid w:val="410067C8"/>
    <w:rsid w:val="4116094A"/>
    <w:rsid w:val="416176D3"/>
    <w:rsid w:val="418036D2"/>
    <w:rsid w:val="418F0D2A"/>
    <w:rsid w:val="41B36150"/>
    <w:rsid w:val="41D01505"/>
    <w:rsid w:val="41E81277"/>
    <w:rsid w:val="41F733F4"/>
    <w:rsid w:val="42034730"/>
    <w:rsid w:val="42357F60"/>
    <w:rsid w:val="42474939"/>
    <w:rsid w:val="424C3C57"/>
    <w:rsid w:val="42613FF3"/>
    <w:rsid w:val="42660D96"/>
    <w:rsid w:val="428667D2"/>
    <w:rsid w:val="42921365"/>
    <w:rsid w:val="42923776"/>
    <w:rsid w:val="42CD1CE0"/>
    <w:rsid w:val="42CD5957"/>
    <w:rsid w:val="42D27F5D"/>
    <w:rsid w:val="42E1381E"/>
    <w:rsid w:val="42ED6459"/>
    <w:rsid w:val="42FE58DD"/>
    <w:rsid w:val="43174B3D"/>
    <w:rsid w:val="434B790E"/>
    <w:rsid w:val="43525542"/>
    <w:rsid w:val="4360274F"/>
    <w:rsid w:val="43760F19"/>
    <w:rsid w:val="43864FE1"/>
    <w:rsid w:val="439148A0"/>
    <w:rsid w:val="43977AB6"/>
    <w:rsid w:val="43A3342B"/>
    <w:rsid w:val="43BE6733"/>
    <w:rsid w:val="43C77C27"/>
    <w:rsid w:val="43DE09EE"/>
    <w:rsid w:val="43F004D8"/>
    <w:rsid w:val="44002FAD"/>
    <w:rsid w:val="441C37AA"/>
    <w:rsid w:val="443D1D4E"/>
    <w:rsid w:val="449101DD"/>
    <w:rsid w:val="4499769B"/>
    <w:rsid w:val="44AC3A83"/>
    <w:rsid w:val="44DC1567"/>
    <w:rsid w:val="44DE1391"/>
    <w:rsid w:val="44DE22C0"/>
    <w:rsid w:val="44E4429C"/>
    <w:rsid w:val="451B225C"/>
    <w:rsid w:val="452410C9"/>
    <w:rsid w:val="45317DFB"/>
    <w:rsid w:val="453749EF"/>
    <w:rsid w:val="45533A0C"/>
    <w:rsid w:val="45606E50"/>
    <w:rsid w:val="4562592A"/>
    <w:rsid w:val="456D3CE4"/>
    <w:rsid w:val="4579042C"/>
    <w:rsid w:val="457F0571"/>
    <w:rsid w:val="45851176"/>
    <w:rsid w:val="45912351"/>
    <w:rsid w:val="45C55BC2"/>
    <w:rsid w:val="45C63B94"/>
    <w:rsid w:val="460E7DA5"/>
    <w:rsid w:val="46422483"/>
    <w:rsid w:val="4659254A"/>
    <w:rsid w:val="465B0637"/>
    <w:rsid w:val="465E3F0D"/>
    <w:rsid w:val="466A16E6"/>
    <w:rsid w:val="466E09AE"/>
    <w:rsid w:val="46731A57"/>
    <w:rsid w:val="46893F2B"/>
    <w:rsid w:val="46A57A42"/>
    <w:rsid w:val="46C444E6"/>
    <w:rsid w:val="46C4686E"/>
    <w:rsid w:val="46DA3F91"/>
    <w:rsid w:val="471D6915"/>
    <w:rsid w:val="475B6938"/>
    <w:rsid w:val="477B778F"/>
    <w:rsid w:val="478203EC"/>
    <w:rsid w:val="47B025FA"/>
    <w:rsid w:val="47CA1B4A"/>
    <w:rsid w:val="4809698F"/>
    <w:rsid w:val="4811697D"/>
    <w:rsid w:val="48516FB5"/>
    <w:rsid w:val="487A3E25"/>
    <w:rsid w:val="488B5503"/>
    <w:rsid w:val="48937E21"/>
    <w:rsid w:val="489A0361"/>
    <w:rsid w:val="48B94FF3"/>
    <w:rsid w:val="48E37AAB"/>
    <w:rsid w:val="48EE3617"/>
    <w:rsid w:val="48FB1816"/>
    <w:rsid w:val="48FC21D7"/>
    <w:rsid w:val="48FD4B4C"/>
    <w:rsid w:val="4901555D"/>
    <w:rsid w:val="490A68E0"/>
    <w:rsid w:val="491055FE"/>
    <w:rsid w:val="491237A9"/>
    <w:rsid w:val="495F5B3E"/>
    <w:rsid w:val="496F77D7"/>
    <w:rsid w:val="49724248"/>
    <w:rsid w:val="497654FD"/>
    <w:rsid w:val="497D0896"/>
    <w:rsid w:val="49B616A7"/>
    <w:rsid w:val="49B64211"/>
    <w:rsid w:val="49D41AAC"/>
    <w:rsid w:val="49F6167F"/>
    <w:rsid w:val="4A064FA0"/>
    <w:rsid w:val="4A0B0B6D"/>
    <w:rsid w:val="4A16615C"/>
    <w:rsid w:val="4A3E412A"/>
    <w:rsid w:val="4A4424D7"/>
    <w:rsid w:val="4A4534F8"/>
    <w:rsid w:val="4A626435"/>
    <w:rsid w:val="4A863467"/>
    <w:rsid w:val="4A942560"/>
    <w:rsid w:val="4AB82D0F"/>
    <w:rsid w:val="4AEB7664"/>
    <w:rsid w:val="4AF47CE8"/>
    <w:rsid w:val="4AFD7C19"/>
    <w:rsid w:val="4B01452B"/>
    <w:rsid w:val="4B0567D1"/>
    <w:rsid w:val="4B236AAE"/>
    <w:rsid w:val="4B2F799D"/>
    <w:rsid w:val="4B4B72D8"/>
    <w:rsid w:val="4B5001E7"/>
    <w:rsid w:val="4B5A6554"/>
    <w:rsid w:val="4B707271"/>
    <w:rsid w:val="4B721FAC"/>
    <w:rsid w:val="4B7763FA"/>
    <w:rsid w:val="4B9739F7"/>
    <w:rsid w:val="4BEE2503"/>
    <w:rsid w:val="4BF727EA"/>
    <w:rsid w:val="4BFE1DC3"/>
    <w:rsid w:val="4C1B4BA7"/>
    <w:rsid w:val="4C2125A3"/>
    <w:rsid w:val="4C245A30"/>
    <w:rsid w:val="4C2B503E"/>
    <w:rsid w:val="4C387642"/>
    <w:rsid w:val="4C985EAF"/>
    <w:rsid w:val="4CA9658D"/>
    <w:rsid w:val="4CB6685F"/>
    <w:rsid w:val="4CC367FE"/>
    <w:rsid w:val="4CD805F1"/>
    <w:rsid w:val="4D077F3C"/>
    <w:rsid w:val="4D123355"/>
    <w:rsid w:val="4D2A3B31"/>
    <w:rsid w:val="4D2C26AC"/>
    <w:rsid w:val="4D312C52"/>
    <w:rsid w:val="4D4E28D6"/>
    <w:rsid w:val="4D5812E8"/>
    <w:rsid w:val="4D8214B5"/>
    <w:rsid w:val="4D862070"/>
    <w:rsid w:val="4D881E5D"/>
    <w:rsid w:val="4D905305"/>
    <w:rsid w:val="4D964A72"/>
    <w:rsid w:val="4D9C1254"/>
    <w:rsid w:val="4D9E5B15"/>
    <w:rsid w:val="4DC915A1"/>
    <w:rsid w:val="4DC91F90"/>
    <w:rsid w:val="4E127DA7"/>
    <w:rsid w:val="4E602AF5"/>
    <w:rsid w:val="4E793892"/>
    <w:rsid w:val="4E800872"/>
    <w:rsid w:val="4E870795"/>
    <w:rsid w:val="4E8746E7"/>
    <w:rsid w:val="4EAD497E"/>
    <w:rsid w:val="4EC569ED"/>
    <w:rsid w:val="4ED50EA1"/>
    <w:rsid w:val="4EEC050C"/>
    <w:rsid w:val="4F005E52"/>
    <w:rsid w:val="4F104EC3"/>
    <w:rsid w:val="4F1662AD"/>
    <w:rsid w:val="4F47354A"/>
    <w:rsid w:val="4F911C54"/>
    <w:rsid w:val="4F933B78"/>
    <w:rsid w:val="4FE625E0"/>
    <w:rsid w:val="5021480F"/>
    <w:rsid w:val="505C301C"/>
    <w:rsid w:val="50646C06"/>
    <w:rsid w:val="5073375E"/>
    <w:rsid w:val="50883755"/>
    <w:rsid w:val="50962ECB"/>
    <w:rsid w:val="50A42E38"/>
    <w:rsid w:val="50A4577F"/>
    <w:rsid w:val="50AC11E4"/>
    <w:rsid w:val="50B73D1F"/>
    <w:rsid w:val="50BD5BC9"/>
    <w:rsid w:val="50C11EEE"/>
    <w:rsid w:val="50E97CFC"/>
    <w:rsid w:val="50FA4028"/>
    <w:rsid w:val="510D65B7"/>
    <w:rsid w:val="511157AB"/>
    <w:rsid w:val="51165E00"/>
    <w:rsid w:val="51295EAD"/>
    <w:rsid w:val="51297903"/>
    <w:rsid w:val="512C5624"/>
    <w:rsid w:val="5142540C"/>
    <w:rsid w:val="514E605D"/>
    <w:rsid w:val="516369D5"/>
    <w:rsid w:val="51677464"/>
    <w:rsid w:val="517D5C03"/>
    <w:rsid w:val="517D6662"/>
    <w:rsid w:val="5185160D"/>
    <w:rsid w:val="51863957"/>
    <w:rsid w:val="518832C8"/>
    <w:rsid w:val="51915487"/>
    <w:rsid w:val="519D3C50"/>
    <w:rsid w:val="51A0432A"/>
    <w:rsid w:val="51A40D74"/>
    <w:rsid w:val="51A833F7"/>
    <w:rsid w:val="51A86090"/>
    <w:rsid w:val="51B7396D"/>
    <w:rsid w:val="51B82A14"/>
    <w:rsid w:val="51BD627C"/>
    <w:rsid w:val="51FE3848"/>
    <w:rsid w:val="5212481A"/>
    <w:rsid w:val="522E4CC3"/>
    <w:rsid w:val="5244713B"/>
    <w:rsid w:val="525C20F3"/>
    <w:rsid w:val="52615633"/>
    <w:rsid w:val="5267535B"/>
    <w:rsid w:val="526F4DE4"/>
    <w:rsid w:val="52790F03"/>
    <w:rsid w:val="52977FD4"/>
    <w:rsid w:val="52A25790"/>
    <w:rsid w:val="52A96B6F"/>
    <w:rsid w:val="52B45975"/>
    <w:rsid w:val="52B4767F"/>
    <w:rsid w:val="52B7716F"/>
    <w:rsid w:val="52D94AA4"/>
    <w:rsid w:val="52EA3A62"/>
    <w:rsid w:val="52EF0802"/>
    <w:rsid w:val="52F50BB8"/>
    <w:rsid w:val="52F73A09"/>
    <w:rsid w:val="52FE7ED2"/>
    <w:rsid w:val="53097272"/>
    <w:rsid w:val="531E6161"/>
    <w:rsid w:val="533E2B0B"/>
    <w:rsid w:val="534C1537"/>
    <w:rsid w:val="53544462"/>
    <w:rsid w:val="5385101B"/>
    <w:rsid w:val="53933A15"/>
    <w:rsid w:val="5397158E"/>
    <w:rsid w:val="53AB5AC3"/>
    <w:rsid w:val="53B12890"/>
    <w:rsid w:val="54013861"/>
    <w:rsid w:val="540A4CC2"/>
    <w:rsid w:val="54161C73"/>
    <w:rsid w:val="543C5B7E"/>
    <w:rsid w:val="54487265"/>
    <w:rsid w:val="544D6070"/>
    <w:rsid w:val="54605E1E"/>
    <w:rsid w:val="54B3506A"/>
    <w:rsid w:val="54BD4105"/>
    <w:rsid w:val="54CA0D16"/>
    <w:rsid w:val="54DA0EF3"/>
    <w:rsid w:val="54DD4057"/>
    <w:rsid w:val="54E7490F"/>
    <w:rsid w:val="55065838"/>
    <w:rsid w:val="550764A4"/>
    <w:rsid w:val="550B2BF6"/>
    <w:rsid w:val="550C37A2"/>
    <w:rsid w:val="551F76C9"/>
    <w:rsid w:val="55214EB5"/>
    <w:rsid w:val="552A4A91"/>
    <w:rsid w:val="55364EFD"/>
    <w:rsid w:val="55544A33"/>
    <w:rsid w:val="55582E57"/>
    <w:rsid w:val="555D4828"/>
    <w:rsid w:val="556B350B"/>
    <w:rsid w:val="557A4C8B"/>
    <w:rsid w:val="55886615"/>
    <w:rsid w:val="558931E1"/>
    <w:rsid w:val="55923347"/>
    <w:rsid w:val="55925180"/>
    <w:rsid w:val="55983B1B"/>
    <w:rsid w:val="55A734CB"/>
    <w:rsid w:val="55A8376B"/>
    <w:rsid w:val="55C0052D"/>
    <w:rsid w:val="55CD4B49"/>
    <w:rsid w:val="55DC29B6"/>
    <w:rsid w:val="55DD4241"/>
    <w:rsid w:val="5608544B"/>
    <w:rsid w:val="564451BE"/>
    <w:rsid w:val="56556BF5"/>
    <w:rsid w:val="566B6D1E"/>
    <w:rsid w:val="56900687"/>
    <w:rsid w:val="56C105BC"/>
    <w:rsid w:val="56D81F6E"/>
    <w:rsid w:val="57032A2C"/>
    <w:rsid w:val="570F5219"/>
    <w:rsid w:val="572E78E5"/>
    <w:rsid w:val="572F51E9"/>
    <w:rsid w:val="57565535"/>
    <w:rsid w:val="575A6B72"/>
    <w:rsid w:val="575D12B5"/>
    <w:rsid w:val="57610A87"/>
    <w:rsid w:val="577214FD"/>
    <w:rsid w:val="57742CBE"/>
    <w:rsid w:val="577B1140"/>
    <w:rsid w:val="577B7F21"/>
    <w:rsid w:val="577F181B"/>
    <w:rsid w:val="57921984"/>
    <w:rsid w:val="579737F0"/>
    <w:rsid w:val="579E26AC"/>
    <w:rsid w:val="57AB7B30"/>
    <w:rsid w:val="57AF5251"/>
    <w:rsid w:val="57B26373"/>
    <w:rsid w:val="57B63F04"/>
    <w:rsid w:val="57CD20C2"/>
    <w:rsid w:val="57CF6D09"/>
    <w:rsid w:val="57D675AB"/>
    <w:rsid w:val="57D95FDD"/>
    <w:rsid w:val="57DB56AE"/>
    <w:rsid w:val="57F8095F"/>
    <w:rsid w:val="582D55DD"/>
    <w:rsid w:val="5835390E"/>
    <w:rsid w:val="585C1DFE"/>
    <w:rsid w:val="58917D2F"/>
    <w:rsid w:val="5894085C"/>
    <w:rsid w:val="58AE4F0C"/>
    <w:rsid w:val="58B2640F"/>
    <w:rsid w:val="58B85899"/>
    <w:rsid w:val="58E363A9"/>
    <w:rsid w:val="58E6255C"/>
    <w:rsid w:val="59010851"/>
    <w:rsid w:val="595E1678"/>
    <w:rsid w:val="596D5BD4"/>
    <w:rsid w:val="597D4C6F"/>
    <w:rsid w:val="597E3DD8"/>
    <w:rsid w:val="599C23EA"/>
    <w:rsid w:val="599F0A2F"/>
    <w:rsid w:val="59AA5338"/>
    <w:rsid w:val="59B84D79"/>
    <w:rsid w:val="59E545C2"/>
    <w:rsid w:val="59F80043"/>
    <w:rsid w:val="5A09252F"/>
    <w:rsid w:val="5A0B2778"/>
    <w:rsid w:val="5A2A7C7B"/>
    <w:rsid w:val="5A3E2560"/>
    <w:rsid w:val="5A5D3B6E"/>
    <w:rsid w:val="5A637A76"/>
    <w:rsid w:val="5A6D33BA"/>
    <w:rsid w:val="5A767D30"/>
    <w:rsid w:val="5A792B1F"/>
    <w:rsid w:val="5A874767"/>
    <w:rsid w:val="5AA53ED3"/>
    <w:rsid w:val="5AA85BE2"/>
    <w:rsid w:val="5AAD6F28"/>
    <w:rsid w:val="5AB20948"/>
    <w:rsid w:val="5ABD7AE8"/>
    <w:rsid w:val="5ABE2749"/>
    <w:rsid w:val="5AD63A24"/>
    <w:rsid w:val="5AE51A4D"/>
    <w:rsid w:val="5AEE022E"/>
    <w:rsid w:val="5B0637C0"/>
    <w:rsid w:val="5B2E1A1D"/>
    <w:rsid w:val="5B463948"/>
    <w:rsid w:val="5B50627E"/>
    <w:rsid w:val="5B5A4B3C"/>
    <w:rsid w:val="5B843A1C"/>
    <w:rsid w:val="5B873E3F"/>
    <w:rsid w:val="5BB14242"/>
    <w:rsid w:val="5BB65DFC"/>
    <w:rsid w:val="5BED59B0"/>
    <w:rsid w:val="5C02690E"/>
    <w:rsid w:val="5C196DA7"/>
    <w:rsid w:val="5C2A048C"/>
    <w:rsid w:val="5C4D2220"/>
    <w:rsid w:val="5C5D3D2F"/>
    <w:rsid w:val="5C80234E"/>
    <w:rsid w:val="5C8A680C"/>
    <w:rsid w:val="5C9E132E"/>
    <w:rsid w:val="5CC46711"/>
    <w:rsid w:val="5D0A3484"/>
    <w:rsid w:val="5D0C4701"/>
    <w:rsid w:val="5D0F0395"/>
    <w:rsid w:val="5D221076"/>
    <w:rsid w:val="5D397964"/>
    <w:rsid w:val="5D5A391C"/>
    <w:rsid w:val="5D5E5A9E"/>
    <w:rsid w:val="5D5F10C0"/>
    <w:rsid w:val="5D790E2F"/>
    <w:rsid w:val="5D891B7B"/>
    <w:rsid w:val="5DAD38EE"/>
    <w:rsid w:val="5DFE7762"/>
    <w:rsid w:val="5E006862"/>
    <w:rsid w:val="5E0207B9"/>
    <w:rsid w:val="5E1834A1"/>
    <w:rsid w:val="5E1A28CC"/>
    <w:rsid w:val="5E261785"/>
    <w:rsid w:val="5E3E2A04"/>
    <w:rsid w:val="5E4A7017"/>
    <w:rsid w:val="5E552BBA"/>
    <w:rsid w:val="5E5D506F"/>
    <w:rsid w:val="5E611C10"/>
    <w:rsid w:val="5E7A0F3F"/>
    <w:rsid w:val="5EAA7669"/>
    <w:rsid w:val="5EB97DCB"/>
    <w:rsid w:val="5EFC7377"/>
    <w:rsid w:val="5F010FD3"/>
    <w:rsid w:val="5F06174D"/>
    <w:rsid w:val="5F223BC2"/>
    <w:rsid w:val="5F3A3602"/>
    <w:rsid w:val="5F453A54"/>
    <w:rsid w:val="5F45733B"/>
    <w:rsid w:val="5F4B4EC7"/>
    <w:rsid w:val="5F6277C6"/>
    <w:rsid w:val="5F635BF1"/>
    <w:rsid w:val="5F697D26"/>
    <w:rsid w:val="5F6D0B1D"/>
    <w:rsid w:val="5F8D0B82"/>
    <w:rsid w:val="5FA47678"/>
    <w:rsid w:val="5FCC5339"/>
    <w:rsid w:val="5FDB506F"/>
    <w:rsid w:val="5FE34A5B"/>
    <w:rsid w:val="5FFE1E36"/>
    <w:rsid w:val="60232584"/>
    <w:rsid w:val="605F7CA3"/>
    <w:rsid w:val="60633324"/>
    <w:rsid w:val="6065645C"/>
    <w:rsid w:val="6068521B"/>
    <w:rsid w:val="607330CE"/>
    <w:rsid w:val="60825176"/>
    <w:rsid w:val="609D1752"/>
    <w:rsid w:val="609F2AC4"/>
    <w:rsid w:val="60D20A0C"/>
    <w:rsid w:val="60E509C5"/>
    <w:rsid w:val="60FA2EE8"/>
    <w:rsid w:val="61054A27"/>
    <w:rsid w:val="610A52BC"/>
    <w:rsid w:val="610D059B"/>
    <w:rsid w:val="611D2366"/>
    <w:rsid w:val="61223D68"/>
    <w:rsid w:val="6125059E"/>
    <w:rsid w:val="61421856"/>
    <w:rsid w:val="615227C4"/>
    <w:rsid w:val="61654E3F"/>
    <w:rsid w:val="6182292A"/>
    <w:rsid w:val="619D5782"/>
    <w:rsid w:val="619F7F92"/>
    <w:rsid w:val="61BD067B"/>
    <w:rsid w:val="61CB5846"/>
    <w:rsid w:val="61D218D0"/>
    <w:rsid w:val="61D246F2"/>
    <w:rsid w:val="61D37271"/>
    <w:rsid w:val="61E466C4"/>
    <w:rsid w:val="61ED3E04"/>
    <w:rsid w:val="61F94C26"/>
    <w:rsid w:val="61FE6C86"/>
    <w:rsid w:val="62000E56"/>
    <w:rsid w:val="62002009"/>
    <w:rsid w:val="621243C2"/>
    <w:rsid w:val="62210161"/>
    <w:rsid w:val="622C3B9E"/>
    <w:rsid w:val="624F1172"/>
    <w:rsid w:val="624F3E49"/>
    <w:rsid w:val="62632286"/>
    <w:rsid w:val="626D1570"/>
    <w:rsid w:val="62885958"/>
    <w:rsid w:val="62B31701"/>
    <w:rsid w:val="62B85820"/>
    <w:rsid w:val="62E06D1C"/>
    <w:rsid w:val="62F40B65"/>
    <w:rsid w:val="62FC2CFE"/>
    <w:rsid w:val="62FD1D28"/>
    <w:rsid w:val="63024505"/>
    <w:rsid w:val="630C0804"/>
    <w:rsid w:val="6318774C"/>
    <w:rsid w:val="63283A2B"/>
    <w:rsid w:val="635600A5"/>
    <w:rsid w:val="635B1DB5"/>
    <w:rsid w:val="63711FED"/>
    <w:rsid w:val="63880DDC"/>
    <w:rsid w:val="638D750D"/>
    <w:rsid w:val="63AC6CC0"/>
    <w:rsid w:val="63AD2842"/>
    <w:rsid w:val="63FC06B4"/>
    <w:rsid w:val="64055776"/>
    <w:rsid w:val="6410335F"/>
    <w:rsid w:val="641F5B67"/>
    <w:rsid w:val="64240056"/>
    <w:rsid w:val="643E143A"/>
    <w:rsid w:val="64491666"/>
    <w:rsid w:val="64852BFC"/>
    <w:rsid w:val="648B6EEF"/>
    <w:rsid w:val="64987120"/>
    <w:rsid w:val="64C158BF"/>
    <w:rsid w:val="64CE2EAA"/>
    <w:rsid w:val="64E81443"/>
    <w:rsid w:val="653C3090"/>
    <w:rsid w:val="654146F0"/>
    <w:rsid w:val="65854376"/>
    <w:rsid w:val="658767BE"/>
    <w:rsid w:val="65892531"/>
    <w:rsid w:val="65D525D1"/>
    <w:rsid w:val="65E10333"/>
    <w:rsid w:val="66187ACD"/>
    <w:rsid w:val="66195831"/>
    <w:rsid w:val="662E75B1"/>
    <w:rsid w:val="66342C2E"/>
    <w:rsid w:val="663E784C"/>
    <w:rsid w:val="664A2A65"/>
    <w:rsid w:val="66636F9A"/>
    <w:rsid w:val="668B6A45"/>
    <w:rsid w:val="66AA4EE5"/>
    <w:rsid w:val="66AB21C3"/>
    <w:rsid w:val="66C57C55"/>
    <w:rsid w:val="66DB1226"/>
    <w:rsid w:val="66E14363"/>
    <w:rsid w:val="66F978FF"/>
    <w:rsid w:val="67112C4A"/>
    <w:rsid w:val="672F3F24"/>
    <w:rsid w:val="673E055F"/>
    <w:rsid w:val="674443CC"/>
    <w:rsid w:val="67551CE3"/>
    <w:rsid w:val="67843DCC"/>
    <w:rsid w:val="67A22552"/>
    <w:rsid w:val="67A27113"/>
    <w:rsid w:val="67B22DCC"/>
    <w:rsid w:val="67BE71AA"/>
    <w:rsid w:val="67CF7323"/>
    <w:rsid w:val="67D90273"/>
    <w:rsid w:val="67DE5875"/>
    <w:rsid w:val="67E55852"/>
    <w:rsid w:val="67EB1AB4"/>
    <w:rsid w:val="67F00D02"/>
    <w:rsid w:val="67F9782B"/>
    <w:rsid w:val="67FA1285"/>
    <w:rsid w:val="683D34AF"/>
    <w:rsid w:val="68476448"/>
    <w:rsid w:val="68551F4F"/>
    <w:rsid w:val="685C4125"/>
    <w:rsid w:val="687C10C9"/>
    <w:rsid w:val="68840C16"/>
    <w:rsid w:val="68876EFB"/>
    <w:rsid w:val="68884654"/>
    <w:rsid w:val="688D598D"/>
    <w:rsid w:val="689F444F"/>
    <w:rsid w:val="68A624A0"/>
    <w:rsid w:val="68B96DBB"/>
    <w:rsid w:val="68CA2805"/>
    <w:rsid w:val="68E937A3"/>
    <w:rsid w:val="68F17EB2"/>
    <w:rsid w:val="68FB149A"/>
    <w:rsid w:val="6912439F"/>
    <w:rsid w:val="69295F35"/>
    <w:rsid w:val="693C63AF"/>
    <w:rsid w:val="693E15D3"/>
    <w:rsid w:val="69427553"/>
    <w:rsid w:val="69496B26"/>
    <w:rsid w:val="69627681"/>
    <w:rsid w:val="697510D0"/>
    <w:rsid w:val="6977531D"/>
    <w:rsid w:val="69AA611C"/>
    <w:rsid w:val="69CC2BFF"/>
    <w:rsid w:val="69FD55B8"/>
    <w:rsid w:val="6A0B1C62"/>
    <w:rsid w:val="6A1C386D"/>
    <w:rsid w:val="6A2406C8"/>
    <w:rsid w:val="6A4946F9"/>
    <w:rsid w:val="6A4E6E83"/>
    <w:rsid w:val="6A7D43A3"/>
    <w:rsid w:val="6A7E25F5"/>
    <w:rsid w:val="6A857679"/>
    <w:rsid w:val="6A86139C"/>
    <w:rsid w:val="6A9516EC"/>
    <w:rsid w:val="6A9A1ADF"/>
    <w:rsid w:val="6ABC7372"/>
    <w:rsid w:val="6ADE0BD1"/>
    <w:rsid w:val="6AE81378"/>
    <w:rsid w:val="6AE96859"/>
    <w:rsid w:val="6AF8536B"/>
    <w:rsid w:val="6B147746"/>
    <w:rsid w:val="6B24787C"/>
    <w:rsid w:val="6B546B21"/>
    <w:rsid w:val="6B573233"/>
    <w:rsid w:val="6B5B6274"/>
    <w:rsid w:val="6B935D53"/>
    <w:rsid w:val="6BAD2EF3"/>
    <w:rsid w:val="6BB0686D"/>
    <w:rsid w:val="6BBD0EFB"/>
    <w:rsid w:val="6BEF4116"/>
    <w:rsid w:val="6C196F71"/>
    <w:rsid w:val="6C226FCB"/>
    <w:rsid w:val="6C31226F"/>
    <w:rsid w:val="6C517EC7"/>
    <w:rsid w:val="6C552F0B"/>
    <w:rsid w:val="6C783074"/>
    <w:rsid w:val="6C8C67B7"/>
    <w:rsid w:val="6C9D744C"/>
    <w:rsid w:val="6CEC67F2"/>
    <w:rsid w:val="6D167928"/>
    <w:rsid w:val="6D26299B"/>
    <w:rsid w:val="6D4772EC"/>
    <w:rsid w:val="6D87733D"/>
    <w:rsid w:val="6D9078AF"/>
    <w:rsid w:val="6DAA3FEF"/>
    <w:rsid w:val="6DC0172B"/>
    <w:rsid w:val="6DCB690C"/>
    <w:rsid w:val="6DD41A5B"/>
    <w:rsid w:val="6DE56617"/>
    <w:rsid w:val="6DED00D0"/>
    <w:rsid w:val="6DF43C2E"/>
    <w:rsid w:val="6DF51CA3"/>
    <w:rsid w:val="6DFF3A4C"/>
    <w:rsid w:val="6E0830F2"/>
    <w:rsid w:val="6E107E3E"/>
    <w:rsid w:val="6E331948"/>
    <w:rsid w:val="6E3631E6"/>
    <w:rsid w:val="6E645FA5"/>
    <w:rsid w:val="6E8335BD"/>
    <w:rsid w:val="6E895767"/>
    <w:rsid w:val="6E8E12EF"/>
    <w:rsid w:val="6E972936"/>
    <w:rsid w:val="6E9A79E9"/>
    <w:rsid w:val="6EBA5112"/>
    <w:rsid w:val="6EC277E4"/>
    <w:rsid w:val="6ED446C5"/>
    <w:rsid w:val="6EDC5B3C"/>
    <w:rsid w:val="6F265009"/>
    <w:rsid w:val="6F2A7D94"/>
    <w:rsid w:val="6F4162E7"/>
    <w:rsid w:val="6F493A81"/>
    <w:rsid w:val="6F615F3F"/>
    <w:rsid w:val="6F8331F1"/>
    <w:rsid w:val="6FA86604"/>
    <w:rsid w:val="6FAE1A09"/>
    <w:rsid w:val="6FD75BF8"/>
    <w:rsid w:val="7014337E"/>
    <w:rsid w:val="701E76F2"/>
    <w:rsid w:val="70230F84"/>
    <w:rsid w:val="703717DF"/>
    <w:rsid w:val="70425E72"/>
    <w:rsid w:val="706510B7"/>
    <w:rsid w:val="707723D0"/>
    <w:rsid w:val="70B334A8"/>
    <w:rsid w:val="70BC118D"/>
    <w:rsid w:val="70D13876"/>
    <w:rsid w:val="70F5661B"/>
    <w:rsid w:val="70F97B3E"/>
    <w:rsid w:val="71020631"/>
    <w:rsid w:val="710226DE"/>
    <w:rsid w:val="712463B0"/>
    <w:rsid w:val="71360107"/>
    <w:rsid w:val="713B688E"/>
    <w:rsid w:val="7148279F"/>
    <w:rsid w:val="71A375BB"/>
    <w:rsid w:val="71CE0425"/>
    <w:rsid w:val="71D43752"/>
    <w:rsid w:val="71E7506F"/>
    <w:rsid w:val="71F1796A"/>
    <w:rsid w:val="71FB63D5"/>
    <w:rsid w:val="72133F6A"/>
    <w:rsid w:val="72150831"/>
    <w:rsid w:val="72154626"/>
    <w:rsid w:val="721C7F6D"/>
    <w:rsid w:val="72262B5D"/>
    <w:rsid w:val="72283FF7"/>
    <w:rsid w:val="722E7212"/>
    <w:rsid w:val="723A0474"/>
    <w:rsid w:val="724A6E80"/>
    <w:rsid w:val="725923E4"/>
    <w:rsid w:val="72864BF7"/>
    <w:rsid w:val="729023FC"/>
    <w:rsid w:val="72A03324"/>
    <w:rsid w:val="72A56499"/>
    <w:rsid w:val="72B24E12"/>
    <w:rsid w:val="72DC4B43"/>
    <w:rsid w:val="7315161C"/>
    <w:rsid w:val="73411922"/>
    <w:rsid w:val="739369E5"/>
    <w:rsid w:val="73A429A0"/>
    <w:rsid w:val="73A77042"/>
    <w:rsid w:val="73B250BD"/>
    <w:rsid w:val="73C0646E"/>
    <w:rsid w:val="73C453B0"/>
    <w:rsid w:val="742222F5"/>
    <w:rsid w:val="74420908"/>
    <w:rsid w:val="74476126"/>
    <w:rsid w:val="745E12B7"/>
    <w:rsid w:val="74706664"/>
    <w:rsid w:val="747F3682"/>
    <w:rsid w:val="749C4185"/>
    <w:rsid w:val="74CE0A2B"/>
    <w:rsid w:val="75067759"/>
    <w:rsid w:val="752E6DCD"/>
    <w:rsid w:val="7551380D"/>
    <w:rsid w:val="75600BE5"/>
    <w:rsid w:val="7564475C"/>
    <w:rsid w:val="75805DAD"/>
    <w:rsid w:val="7583797F"/>
    <w:rsid w:val="759E3B4B"/>
    <w:rsid w:val="75B17224"/>
    <w:rsid w:val="75D20F1D"/>
    <w:rsid w:val="75DA2C18"/>
    <w:rsid w:val="75F54412"/>
    <w:rsid w:val="75FA1A63"/>
    <w:rsid w:val="76127132"/>
    <w:rsid w:val="761D08E0"/>
    <w:rsid w:val="765D347C"/>
    <w:rsid w:val="76826699"/>
    <w:rsid w:val="76C87133"/>
    <w:rsid w:val="76CD08D5"/>
    <w:rsid w:val="76DB4B92"/>
    <w:rsid w:val="76E01F41"/>
    <w:rsid w:val="77052AA4"/>
    <w:rsid w:val="770C35E3"/>
    <w:rsid w:val="771334D2"/>
    <w:rsid w:val="77136511"/>
    <w:rsid w:val="77272DD5"/>
    <w:rsid w:val="77302EC9"/>
    <w:rsid w:val="773109EF"/>
    <w:rsid w:val="77340A39"/>
    <w:rsid w:val="77351FD0"/>
    <w:rsid w:val="77472422"/>
    <w:rsid w:val="77617D97"/>
    <w:rsid w:val="777141A8"/>
    <w:rsid w:val="777F31F2"/>
    <w:rsid w:val="7785446F"/>
    <w:rsid w:val="779F3BAA"/>
    <w:rsid w:val="77D1700D"/>
    <w:rsid w:val="77EC04CC"/>
    <w:rsid w:val="77F71C38"/>
    <w:rsid w:val="77FB436F"/>
    <w:rsid w:val="78232A2D"/>
    <w:rsid w:val="78704689"/>
    <w:rsid w:val="78775729"/>
    <w:rsid w:val="7883019C"/>
    <w:rsid w:val="78A42DB0"/>
    <w:rsid w:val="78A551F0"/>
    <w:rsid w:val="78A656AB"/>
    <w:rsid w:val="78B2245C"/>
    <w:rsid w:val="78E172CC"/>
    <w:rsid w:val="78EA1D1F"/>
    <w:rsid w:val="78F80721"/>
    <w:rsid w:val="78FA1BAC"/>
    <w:rsid w:val="79036DC3"/>
    <w:rsid w:val="7904172F"/>
    <w:rsid w:val="790F7E27"/>
    <w:rsid w:val="791B3704"/>
    <w:rsid w:val="792A231A"/>
    <w:rsid w:val="79314269"/>
    <w:rsid w:val="79316829"/>
    <w:rsid w:val="79464653"/>
    <w:rsid w:val="797E66A9"/>
    <w:rsid w:val="798518A4"/>
    <w:rsid w:val="799D3347"/>
    <w:rsid w:val="79A97383"/>
    <w:rsid w:val="79BD1032"/>
    <w:rsid w:val="79E27E8B"/>
    <w:rsid w:val="79F850CE"/>
    <w:rsid w:val="79FD443C"/>
    <w:rsid w:val="7A1D1975"/>
    <w:rsid w:val="7A3E5150"/>
    <w:rsid w:val="7A4670D6"/>
    <w:rsid w:val="7A534B63"/>
    <w:rsid w:val="7A560E98"/>
    <w:rsid w:val="7A615382"/>
    <w:rsid w:val="7A67303B"/>
    <w:rsid w:val="7AAB1D04"/>
    <w:rsid w:val="7ABA4368"/>
    <w:rsid w:val="7AD05746"/>
    <w:rsid w:val="7AE65922"/>
    <w:rsid w:val="7B0E1E12"/>
    <w:rsid w:val="7B257FFD"/>
    <w:rsid w:val="7B343476"/>
    <w:rsid w:val="7B4E6013"/>
    <w:rsid w:val="7B5A2978"/>
    <w:rsid w:val="7B5A7E4C"/>
    <w:rsid w:val="7B667AF9"/>
    <w:rsid w:val="7B7468F8"/>
    <w:rsid w:val="7BEE0103"/>
    <w:rsid w:val="7C0171AF"/>
    <w:rsid w:val="7C046174"/>
    <w:rsid w:val="7C0A0FE4"/>
    <w:rsid w:val="7C254906"/>
    <w:rsid w:val="7C281CA5"/>
    <w:rsid w:val="7C2823C0"/>
    <w:rsid w:val="7C3B0FE1"/>
    <w:rsid w:val="7C590818"/>
    <w:rsid w:val="7C61195D"/>
    <w:rsid w:val="7C661E25"/>
    <w:rsid w:val="7C745605"/>
    <w:rsid w:val="7C7C10F6"/>
    <w:rsid w:val="7C853BEA"/>
    <w:rsid w:val="7C881368"/>
    <w:rsid w:val="7CBA5840"/>
    <w:rsid w:val="7CD60D99"/>
    <w:rsid w:val="7CE27788"/>
    <w:rsid w:val="7CEE0329"/>
    <w:rsid w:val="7D0C32F1"/>
    <w:rsid w:val="7D0F408D"/>
    <w:rsid w:val="7D465B99"/>
    <w:rsid w:val="7D491C6C"/>
    <w:rsid w:val="7D4E2E80"/>
    <w:rsid w:val="7D5429C0"/>
    <w:rsid w:val="7D5C7354"/>
    <w:rsid w:val="7D6E474B"/>
    <w:rsid w:val="7D6E6D43"/>
    <w:rsid w:val="7D883F06"/>
    <w:rsid w:val="7DB57A34"/>
    <w:rsid w:val="7DC35DEC"/>
    <w:rsid w:val="7DE60973"/>
    <w:rsid w:val="7DEF0916"/>
    <w:rsid w:val="7DF804B8"/>
    <w:rsid w:val="7E1E5218"/>
    <w:rsid w:val="7E2F58A0"/>
    <w:rsid w:val="7E454A5A"/>
    <w:rsid w:val="7E490D14"/>
    <w:rsid w:val="7E5D031B"/>
    <w:rsid w:val="7E5D6E0E"/>
    <w:rsid w:val="7E6C679B"/>
    <w:rsid w:val="7E9A4E1F"/>
    <w:rsid w:val="7EA7723A"/>
    <w:rsid w:val="7EF56FBB"/>
    <w:rsid w:val="7F0768EB"/>
    <w:rsid w:val="7F143BEC"/>
    <w:rsid w:val="7F253F27"/>
    <w:rsid w:val="7F715AF2"/>
    <w:rsid w:val="7F7B47F9"/>
    <w:rsid w:val="7F886E69"/>
    <w:rsid w:val="7F8A1B91"/>
    <w:rsid w:val="7FB21DE9"/>
    <w:rsid w:val="7FC55D23"/>
    <w:rsid w:val="7FCB5F7C"/>
    <w:rsid w:val="7FFD5B9C"/>
    <w:rsid w:val="BB7FA927"/>
    <w:rsid w:val="BE4BDA3C"/>
    <w:rsid w:val="F5FFD31F"/>
    <w:rsid w:val="FF4F5B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6"/>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321"/>
    <w:autoRedefine/>
    <w:qFormat/>
    <w:uiPriority w:val="0"/>
    <w:pPr>
      <w:ind w:firstLine="420"/>
    </w:pPr>
    <w:rPr>
      <w:rFonts w:hAnsi="Calibri" w:cs="Times New Roman"/>
      <w:snapToGrid/>
      <w:szCs w:val="20"/>
    </w:rPr>
  </w:style>
  <w:style w:type="paragraph" w:styleId="4">
    <w:name w:val="toc 6"/>
    <w:basedOn w:val="1"/>
    <w:next w:val="1"/>
    <w:autoRedefine/>
    <w:qFormat/>
    <w:uiPriority w:val="0"/>
    <w:pPr>
      <w:ind w:left="2100" w:leftChars="1000"/>
    </w:p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30"/>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203"/>
    <w:autoRedefine/>
    <w:qFormat/>
    <w:uiPriority w:val="0"/>
    <w:pPr>
      <w:shd w:val="clear" w:color="auto" w:fill="000080"/>
    </w:pPr>
  </w:style>
  <w:style w:type="paragraph" w:styleId="22">
    <w:name w:val="annotation text"/>
    <w:basedOn w:val="1"/>
    <w:link w:val="344"/>
    <w:autoRedefine/>
    <w:qFormat/>
    <w:uiPriority w:val="99"/>
    <w:pPr>
      <w:jc w:val="left"/>
    </w:pPr>
  </w:style>
  <w:style w:type="paragraph" w:styleId="23">
    <w:name w:val="Salutation"/>
    <w:basedOn w:val="1"/>
    <w:next w:val="1"/>
    <w:link w:val="298"/>
    <w:autoRedefine/>
    <w:qFormat/>
    <w:uiPriority w:val="0"/>
    <w:rPr>
      <w:rFonts w:ascii="仿宋_GB2312" w:eastAsia="仿宋_GB2312"/>
      <w:sz w:val="28"/>
      <w:szCs w:val="20"/>
    </w:rPr>
  </w:style>
  <w:style w:type="paragraph" w:styleId="24">
    <w:name w:val="Body Text 3"/>
    <w:basedOn w:val="1"/>
    <w:link w:val="330"/>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Indent"/>
    <w:basedOn w:val="1"/>
    <w:next w:val="27"/>
    <w:link w:val="265"/>
    <w:autoRedefine/>
    <w:qFormat/>
    <w:uiPriority w:val="0"/>
    <w:pPr>
      <w:spacing w:line="480" w:lineRule="exact"/>
      <w:ind w:firstLine="480" w:firstLineChars="200"/>
    </w:pPr>
    <w:rPr>
      <w:rFonts w:ascii="宋体" w:hAnsi="宋体"/>
      <w:sz w:val="24"/>
    </w:rPr>
  </w:style>
  <w:style w:type="paragraph" w:styleId="27">
    <w:name w:val="Body Text First Indent 2"/>
    <w:basedOn w:val="26"/>
    <w:link w:val="122"/>
    <w:autoRedefine/>
    <w:qFormat/>
    <w:uiPriority w:val="0"/>
    <w:pPr>
      <w:adjustRightInd/>
      <w:spacing w:after="120" w:line="240" w:lineRule="auto"/>
      <w:ind w:left="420" w:leftChars="200" w:firstLine="210"/>
    </w:pPr>
    <w:rPr>
      <w:sz w:val="21"/>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6"/>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2"/>
    <w:autoRedefine/>
    <w:qFormat/>
    <w:uiPriority w:val="0"/>
    <w:pPr>
      <w:ind w:left="100" w:leftChars="2500"/>
    </w:pPr>
    <w:rPr>
      <w:rFonts w:ascii="宋体"/>
      <w:sz w:val="24"/>
      <w:szCs w:val="21"/>
      <w:lang w:val="zh-CN"/>
    </w:rPr>
  </w:style>
  <w:style w:type="paragraph" w:styleId="39">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2"/>
    <w:autoRedefine/>
    <w:qFormat/>
    <w:uiPriority w:val="0"/>
    <w:rPr>
      <w:lang w:val="zh-CN"/>
    </w:rPr>
  </w:style>
  <w:style w:type="paragraph" w:styleId="41">
    <w:name w:val="Balloon Text"/>
    <w:basedOn w:val="1"/>
    <w:link w:val="189"/>
    <w:autoRedefine/>
    <w:qFormat/>
    <w:uiPriority w:val="0"/>
    <w:rPr>
      <w:sz w:val="18"/>
      <w:szCs w:val="18"/>
    </w:rPr>
  </w:style>
  <w:style w:type="paragraph" w:styleId="42">
    <w:name w:val="footer"/>
    <w:basedOn w:val="1"/>
    <w:link w:val="383"/>
    <w:autoRedefine/>
    <w:qFormat/>
    <w:uiPriority w:val="99"/>
    <w:pPr>
      <w:tabs>
        <w:tab w:val="center" w:pos="4153"/>
        <w:tab w:val="right" w:pos="8306"/>
      </w:tabs>
      <w:snapToGrid w:val="0"/>
      <w:jc w:val="left"/>
    </w:pPr>
    <w:rPr>
      <w:sz w:val="18"/>
      <w:szCs w:val="18"/>
    </w:rPr>
  </w:style>
  <w:style w:type="paragraph" w:styleId="43">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8"/>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5"/>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2"/>
    <w:autoRedefine/>
    <w:qFormat/>
    <w:uiPriority w:val="0"/>
    <w:pPr>
      <w:spacing w:after="120" w:line="480" w:lineRule="auto"/>
    </w:pPr>
  </w:style>
  <w:style w:type="paragraph" w:styleId="58">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97"/>
    <w:autoRedefine/>
    <w:qFormat/>
    <w:uiPriority w:val="0"/>
    <w:rPr>
      <w:b/>
      <w:bCs/>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paragraph" w:customStyle="1" w:styleId="81">
    <w:name w:val="Normal Indent1"/>
    <w:basedOn w:val="1"/>
    <w:autoRedefine/>
    <w:qFormat/>
    <w:uiPriority w:val="0"/>
    <w:pPr>
      <w:ind w:firstLine="420" w:firstLineChars="200"/>
    </w:pPr>
  </w:style>
  <w:style w:type="paragraph" w:customStyle="1" w:styleId="82">
    <w:name w:val="Default"/>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字符"/>
    <w:link w:val="61"/>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27"/>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69"/>
    <w:autoRedefine/>
    <w:qFormat/>
    <w:uiPriority w:val="0"/>
    <w:rPr>
      <w:rFonts w:ascii="Arial" w:hAnsi="Arial" w:eastAsia="黑体" w:cs="Arial"/>
      <w:snapToGrid w:val="0"/>
      <w:kern w:val="0"/>
      <w:szCs w:val="21"/>
    </w:rPr>
  </w:style>
  <w:style w:type="character" w:customStyle="1" w:styleId="126">
    <w:name w:val="纯文本 字符1"/>
    <w:link w:val="35"/>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字符"/>
    <w:link w:val="49"/>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字符"/>
    <w:link w:val="10"/>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6"/>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字符"/>
    <w:link w:val="38"/>
    <w:autoRedefine/>
    <w:qFormat/>
    <w:uiPriority w:val="0"/>
    <w:rPr>
      <w:rFonts w:ascii="宋体"/>
      <w:kern w:val="2"/>
      <w:sz w:val="24"/>
      <w:szCs w:val="21"/>
      <w:lang w:val="zh-CN"/>
    </w:rPr>
  </w:style>
  <w:style w:type="character" w:customStyle="1" w:styleId="183">
    <w:name w:val="标题 9 字符"/>
    <w:link w:val="13"/>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99"/>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字符1"/>
    <w:link w:val="41"/>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18"/>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7"/>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字符"/>
    <w:link w:val="21"/>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69"/>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字符"/>
    <w:link w:val="32"/>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8"/>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字符"/>
    <w:link w:val="19"/>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82"/>
    <w:autoRedefine/>
    <w:qFormat/>
    <w:uiPriority w:val="0"/>
    <w:rPr>
      <w:rFonts w:ascii="仿宋_GB2312"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字符1"/>
    <w:link w:val="26"/>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字符1"/>
    <w:link w:val="5"/>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字符"/>
    <w:link w:val="60"/>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字符"/>
    <w:link w:val="9"/>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字符"/>
    <w:link w:val="23"/>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字符"/>
    <w:link w:val="58"/>
    <w:autoRedefine/>
    <w:qFormat/>
    <w:uiPriority w:val="0"/>
    <w:rPr>
      <w:rFonts w:ascii="黑体" w:hAnsi="Courier New" w:eastAsia="黑体"/>
    </w:rPr>
  </w:style>
  <w:style w:type="character" w:customStyle="1" w:styleId="302">
    <w:name w:val="正文文本 2 字符1"/>
    <w:link w:val="57"/>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8"/>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字符"/>
    <w:link w:val="11"/>
    <w:autoRedefine/>
    <w:qFormat/>
    <w:uiPriority w:val="0"/>
    <w:rPr>
      <w:b/>
      <w:bCs/>
      <w:kern w:val="2"/>
      <w:sz w:val="24"/>
      <w:szCs w:val="24"/>
    </w:rPr>
  </w:style>
  <w:style w:type="character" w:customStyle="1" w:styleId="308">
    <w:name w:val="正文文本缩进 2 字符"/>
    <w:link w:val="39"/>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字符"/>
    <w:link w:val="52"/>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文本首行缩进 字符"/>
    <w:link w:val="3"/>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字符1"/>
    <w:link w:val="8"/>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字符"/>
    <w:link w:val="24"/>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2"/>
    <w:autoRedefine/>
    <w:qFormat/>
    <w:uiPriority w:val="0"/>
    <w:rPr>
      <w:kern w:val="2"/>
      <w:sz w:val="21"/>
      <w:szCs w:val="24"/>
    </w:rPr>
  </w:style>
  <w:style w:type="character" w:customStyle="1" w:styleId="345">
    <w:name w:val="签名 字符"/>
    <w:link w:val="44"/>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2"/>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字符"/>
    <w:link w:val="54"/>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字符2"/>
    <w:link w:val="42"/>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字符2"/>
    <w:link w:val="43"/>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69"/>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18"/>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69"/>
    <w:autoRedefine/>
    <w:qFormat/>
    <w:uiPriority w:val="0"/>
    <w:rPr>
      <w:rFonts w:ascii="Arial" w:hAnsi="Arial" w:eastAsia="黑体" w:cs="Arial"/>
      <w:snapToGrid w:val="0"/>
      <w:kern w:val="0"/>
      <w:szCs w:val="21"/>
    </w:rPr>
  </w:style>
  <w:style w:type="character" w:customStyle="1" w:styleId="432">
    <w:name w:val="hui"/>
    <w:basedOn w:val="69"/>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6"/>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6"/>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5"/>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7"/>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9"/>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7"/>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6"/>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8"/>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5"/>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6"/>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82"/>
    <w:next w:val="82"/>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82"/>
    <w:next w:val="82"/>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8"/>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6"/>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7"/>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6"/>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7"/>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5"/>
    <w:autoRedefine/>
    <w:qFormat/>
    <w:uiPriority w:val="0"/>
    <w:pPr>
      <w:tabs>
        <w:tab w:val="left" w:pos="840"/>
      </w:tabs>
      <w:adjustRightInd/>
      <w:ind w:left="840" w:hanging="420"/>
    </w:pPr>
  </w:style>
  <w:style w:type="paragraph" w:customStyle="1" w:styleId="626">
    <w:name w:val="样式 标题 2标题2H2Heading 2 HiddenHeading 2 CCBSheading 22nd lev..."/>
    <w:basedOn w:val="6"/>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6"/>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6"/>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5"/>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5"/>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6"/>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7"/>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8"/>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7"/>
    <w:next w:val="54"/>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5"/>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21"/>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7"/>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5"/>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autoRedefine/>
    <w:qFormat/>
    <w:uiPriority w:val="0"/>
    <w:pPr>
      <w:tabs>
        <w:tab w:val="left" w:pos="1080"/>
      </w:tabs>
      <w:ind w:left="1080" w:hanging="1080"/>
    </w:pPr>
  </w:style>
  <w:style w:type="paragraph" w:customStyle="1" w:styleId="897">
    <w:name w:val="数字标题1"/>
    <w:basedOn w:val="5"/>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3"/>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字符"/>
    <w:link w:val="40"/>
    <w:autoRedefine/>
    <w:qFormat/>
    <w:uiPriority w:val="0"/>
    <w:rPr>
      <w:kern w:val="2"/>
      <w:sz w:val="21"/>
      <w:szCs w:val="24"/>
      <w:lang w:val="zh-CN"/>
    </w:rPr>
  </w:style>
  <w:style w:type="character" w:customStyle="1" w:styleId="933">
    <w:name w:val="无间隔 字符"/>
    <w:link w:val="483"/>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8"/>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6"/>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6"/>
    <w:autoRedefine/>
    <w:qFormat/>
    <w:uiPriority w:val="0"/>
    <w:pPr>
      <w:tabs>
        <w:tab w:val="left" w:pos="1080"/>
        <w:tab w:val="clear" w:pos="432"/>
      </w:tabs>
      <w:spacing w:before="100" w:line="400" w:lineRule="exact"/>
      <w:ind w:left="432" w:hanging="432"/>
    </w:pPr>
    <w:rPr>
      <w:rFonts w:ascii="Times New Roman" w:hAnsi="Times New Roman" w:eastAsia="黑体" w:cs="宋体"/>
      <w:b w:val="0"/>
      <w:sz w:val="28"/>
      <w:szCs w:val="20"/>
    </w:rPr>
  </w:style>
  <w:style w:type="paragraph" w:customStyle="1" w:styleId="965">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6">
    <w:name w:val="Revision"/>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first-child"/>
    <w:basedOn w:val="69"/>
    <w:autoRedefine/>
    <w:qFormat/>
    <w:uiPriority w:val="0"/>
  </w:style>
  <w:style w:type="character" w:customStyle="1" w:styleId="968">
    <w:name w:val="hover7"/>
    <w:basedOn w:val="69"/>
    <w:autoRedefine/>
    <w:qFormat/>
    <w:uiPriority w:val="0"/>
    <w:rPr>
      <w:shd w:val="clear" w:fill="F3F3F3"/>
    </w:rPr>
  </w:style>
  <w:style w:type="character" w:customStyle="1" w:styleId="969">
    <w:name w:val="hover8"/>
    <w:basedOn w:val="69"/>
    <w:autoRedefine/>
    <w:qFormat/>
    <w:uiPriority w:val="0"/>
    <w:rPr>
      <w:sz w:val="11"/>
      <w:szCs w:val="11"/>
    </w:rPr>
  </w:style>
  <w:style w:type="character" w:customStyle="1" w:styleId="970">
    <w:name w:val="layui-layer-tabnow"/>
    <w:basedOn w:val="69"/>
    <w:autoRedefine/>
    <w:qFormat/>
    <w:uiPriority w:val="0"/>
    <w:rPr>
      <w:bdr w:val="single" w:color="CCCCCC" w:sz="4" w:space="0"/>
      <w:shd w:val="clear" w:fill="FFFFFF"/>
    </w:rPr>
  </w:style>
  <w:style w:type="paragraph" w:customStyle="1" w:styleId="971">
    <w:name w:val="List Paragraph_41d0cc91-dce1-4733-b767-3adef058dad0"/>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103</Pages>
  <Words>5911</Words>
  <Characters>6501</Characters>
  <Lines>407</Lines>
  <Paragraphs>114</Paragraphs>
  <TotalTime>65</TotalTime>
  <ScaleCrop>false</ScaleCrop>
  <LinksUpToDate>false</LinksUpToDate>
  <CharactersWithSpaces>6794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2022-05-07T15:35:00Z</dcterms:created>
  <dc:creator>玥</dc:creator>
  <cp:lastModifiedBy>Hhhmm77</cp:lastModifiedBy>
  <cp:lastPrinted>2024-06-27T06:17:00Z</cp:lastPrinted>
  <dcterms:modified xsi:type="dcterms:W3CDTF">2024-11-14T02:24:22Z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812D66F0049D4DCAB78AFFED31E6C7DF_13</vt:lpwstr>
  </property>
  <property fmtid="{D5CDD505-2E9C-101B-9397-08002B2CF9AE}" pid="5" name="commondata">
    <vt:lpwstr>eyJoZGlkIjoiNGNlMmFkMDQ1NDY0ZmRiM2Q0NjY4NTFjN2IwMTllYjMifQ==</vt:lpwstr>
  </property>
</Properties>
</file>