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F19885">
      <w:pPr>
        <w:rPr>
          <w:rFonts w:hint="eastAsia" w:ascii="宋体" w:hAnsi="宋体" w:cs="宋体"/>
          <w:color w:val="auto"/>
          <w:kern w:val="0"/>
          <w:sz w:val="24"/>
          <w:highlight w:val="none"/>
          <w:u w:val="double"/>
        </w:rPr>
      </w:pPr>
      <w:r>
        <w:rPr>
          <w:rFonts w:hint="eastAsia" w:ascii="宋体" w:hAnsi="宋体" w:cs="宋体"/>
          <w:color w:val="auto"/>
          <w:kern w:val="0"/>
          <w:sz w:val="24"/>
          <w:highlight w:val="none"/>
          <w:u w:val="double"/>
        </w:rPr>
        <w:drawing>
          <wp:inline distT="0" distB="0" distL="114300" distR="114300">
            <wp:extent cx="370205" cy="459740"/>
            <wp:effectExtent l="0" t="0" r="10795" b="16510"/>
            <wp:docPr id="1" name="图片 1" descr="X[71(OMZWMBK@4H0[9_9C)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X[71(OMZWMBK@4H0[9_9C)F"/>
                    <pic:cNvPicPr>
                      <a:picLocks noChangeAspect="1"/>
                    </pic:cNvPicPr>
                  </pic:nvPicPr>
                  <pic:blipFill>
                    <a:blip r:embed="rId12"/>
                    <a:stretch>
                      <a:fillRect/>
                    </a:stretch>
                  </pic:blipFill>
                  <pic:spPr>
                    <a:xfrm>
                      <a:off x="0" y="0"/>
                      <a:ext cx="370205" cy="459740"/>
                    </a:xfrm>
                    <a:prstGeom prst="rect">
                      <a:avLst/>
                    </a:prstGeom>
                    <a:noFill/>
                    <a:ln>
                      <a:noFill/>
                    </a:ln>
                  </pic:spPr>
                </pic:pic>
              </a:graphicData>
            </a:graphic>
          </wp:inline>
        </w:drawing>
      </w:r>
      <w:r>
        <w:rPr>
          <w:rFonts w:hint="eastAsia" w:ascii="宋体" w:hAnsi="宋体" w:cs="宋体"/>
          <w:color w:val="auto"/>
          <w:kern w:val="0"/>
          <w:sz w:val="24"/>
          <w:highlight w:val="none"/>
          <w:u w:val="double"/>
        </w:rPr>
        <w:drawing>
          <wp:inline distT="0" distB="0" distL="114300" distR="114300">
            <wp:extent cx="1913255" cy="271780"/>
            <wp:effectExtent l="0" t="0" r="10795" b="13970"/>
            <wp:docPr id="2" name="图片 2" descr="C]UDA9%T987(U6M`FV}7P6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DA9%T987(U6M`FV}7P6X"/>
                    <pic:cNvPicPr>
                      <a:picLocks noChangeAspect="1"/>
                    </pic:cNvPicPr>
                  </pic:nvPicPr>
                  <pic:blipFill>
                    <a:blip r:embed="rId13"/>
                    <a:stretch>
                      <a:fillRect/>
                    </a:stretch>
                  </pic:blipFill>
                  <pic:spPr>
                    <a:xfrm>
                      <a:off x="0" y="0"/>
                      <a:ext cx="1913255" cy="271780"/>
                    </a:xfrm>
                    <a:prstGeom prst="rect">
                      <a:avLst/>
                    </a:prstGeom>
                    <a:noFill/>
                    <a:ln>
                      <a:noFill/>
                    </a:ln>
                  </pic:spPr>
                </pic:pic>
              </a:graphicData>
            </a:graphic>
          </wp:inline>
        </w:drawing>
      </w:r>
    </w:p>
    <w:p w14:paraId="246C9693">
      <w:pPr>
        <w:autoSpaceDE w:val="0"/>
        <w:autoSpaceDN w:val="0"/>
        <w:spacing w:line="500" w:lineRule="atLeast"/>
        <w:jc w:val="center"/>
        <w:textAlignment w:val="bottom"/>
        <w:rPr>
          <w:rFonts w:hint="eastAsia" w:ascii="宋体" w:hAnsi="宋体" w:cs="宋体"/>
          <w:b/>
          <w:bCs/>
          <w:color w:val="auto"/>
          <w:spacing w:val="120"/>
          <w:sz w:val="72"/>
          <w:szCs w:val="72"/>
          <w:highlight w:val="none"/>
        </w:rPr>
      </w:pPr>
    </w:p>
    <w:p w14:paraId="43F9218A">
      <w:pPr>
        <w:autoSpaceDE w:val="0"/>
        <w:autoSpaceDN w:val="0"/>
        <w:jc w:val="distribute"/>
        <w:textAlignment w:val="bottom"/>
        <w:rPr>
          <w:rFonts w:hint="eastAsia" w:ascii="宋体" w:hAnsi="宋体" w:cs="宋体"/>
          <w:bCs/>
          <w:color w:val="auto"/>
          <w:sz w:val="72"/>
          <w:szCs w:val="72"/>
          <w:highlight w:val="none"/>
        </w:rPr>
      </w:pPr>
      <w:r>
        <w:rPr>
          <w:rFonts w:hint="eastAsia" w:ascii="宋体" w:hAnsi="宋体" w:cs="宋体"/>
          <w:b/>
          <w:bCs/>
          <w:color w:val="auto"/>
          <w:sz w:val="72"/>
          <w:szCs w:val="72"/>
          <w:highlight w:val="none"/>
        </w:rPr>
        <w:t>鹿城区政府分散采购</w:t>
      </w:r>
    </w:p>
    <w:p w14:paraId="0317CF35">
      <w:pPr>
        <w:spacing w:line="400" w:lineRule="atLeast"/>
        <w:jc w:val="center"/>
        <w:rPr>
          <w:rFonts w:hint="eastAsia" w:ascii="宋体" w:hAnsi="宋体" w:cs="宋体"/>
          <w:b/>
          <w:color w:val="auto"/>
          <w:sz w:val="52"/>
          <w:highlight w:val="none"/>
        </w:rPr>
      </w:pPr>
    </w:p>
    <w:p w14:paraId="7779BAD5">
      <w:pPr>
        <w:spacing w:line="400" w:lineRule="atLeast"/>
        <w:jc w:val="center"/>
        <w:rPr>
          <w:rFonts w:hint="eastAsia" w:ascii="宋体" w:hAnsi="宋体" w:cs="宋体"/>
          <w:b/>
          <w:color w:val="auto"/>
          <w:sz w:val="52"/>
          <w:highlight w:val="none"/>
        </w:rPr>
      </w:pPr>
    </w:p>
    <w:p w14:paraId="3CBE1129">
      <w:pPr>
        <w:spacing w:line="400" w:lineRule="atLeast"/>
        <w:jc w:val="center"/>
        <w:rPr>
          <w:rFonts w:hint="eastAsia" w:ascii="宋体" w:hAnsi="宋体" w:cs="宋体"/>
          <w:b/>
          <w:bCs/>
          <w:color w:val="auto"/>
          <w:sz w:val="72"/>
          <w:szCs w:val="72"/>
          <w:highlight w:val="none"/>
        </w:rPr>
      </w:pPr>
      <w:r>
        <w:rPr>
          <w:rFonts w:hint="eastAsia" w:ascii="宋体" w:hAnsi="宋体" w:cs="宋体"/>
          <w:b/>
          <w:bCs/>
          <w:color w:val="auto"/>
          <w:sz w:val="72"/>
          <w:szCs w:val="72"/>
          <w:highlight w:val="none"/>
        </w:rPr>
        <w:t>单一来源采购文件</w:t>
      </w:r>
    </w:p>
    <w:p w14:paraId="7ED0F1E8">
      <w:pPr>
        <w:spacing w:line="400" w:lineRule="atLeast"/>
        <w:jc w:val="center"/>
        <w:rPr>
          <w:rFonts w:hint="eastAsia" w:ascii="宋体" w:hAnsi="宋体" w:cs="宋体"/>
          <w:b/>
          <w:color w:val="auto"/>
          <w:sz w:val="32"/>
          <w:highlight w:val="none"/>
        </w:rPr>
      </w:pPr>
    </w:p>
    <w:p w14:paraId="2A7C26E8">
      <w:pPr>
        <w:jc w:val="center"/>
        <w:rPr>
          <w:rFonts w:hint="eastAsia" w:ascii="宋体" w:hAnsi="宋体" w:cs="宋体"/>
          <w:b/>
          <w:bCs/>
          <w:color w:val="auto"/>
          <w:sz w:val="24"/>
          <w:highlight w:val="none"/>
        </w:rPr>
      </w:pPr>
    </w:p>
    <w:p w14:paraId="05F4BBFC">
      <w:pPr>
        <w:jc w:val="center"/>
        <w:rPr>
          <w:rFonts w:hint="eastAsia" w:ascii="宋体" w:hAnsi="宋体" w:cs="宋体"/>
          <w:b/>
          <w:bCs/>
          <w:color w:val="auto"/>
          <w:sz w:val="24"/>
          <w:highlight w:val="none"/>
        </w:rPr>
      </w:pPr>
    </w:p>
    <w:p w14:paraId="22A9ACF4">
      <w:pPr>
        <w:jc w:val="center"/>
        <w:rPr>
          <w:rFonts w:hint="eastAsia" w:ascii="宋体" w:hAnsi="宋体" w:cs="宋体"/>
          <w:b/>
          <w:bCs/>
          <w:color w:val="auto"/>
          <w:sz w:val="24"/>
          <w:highlight w:val="none"/>
        </w:rPr>
      </w:pPr>
    </w:p>
    <w:p w14:paraId="26A1ACF1">
      <w:pPr>
        <w:jc w:val="center"/>
        <w:rPr>
          <w:rFonts w:hint="eastAsia" w:ascii="宋体" w:hAnsi="宋体" w:cs="宋体"/>
          <w:b/>
          <w:bCs/>
          <w:color w:val="auto"/>
          <w:sz w:val="24"/>
          <w:highlight w:val="none"/>
        </w:rPr>
      </w:pPr>
    </w:p>
    <w:p w14:paraId="49FDC3DF">
      <w:pPr>
        <w:tabs>
          <w:tab w:val="left" w:pos="4860"/>
        </w:tabs>
        <w:spacing w:line="600" w:lineRule="exact"/>
        <w:ind w:right="-1"/>
        <w:jc w:val="left"/>
        <w:rPr>
          <w:rFonts w:hint="eastAsia" w:ascii="宋体" w:hAnsi="宋体" w:eastAsia="宋体" w:cs="宋体"/>
          <w:b/>
          <w:color w:val="auto"/>
          <w:sz w:val="30"/>
          <w:szCs w:val="30"/>
          <w:highlight w:val="none"/>
          <w:lang w:eastAsia="zh-CN"/>
        </w:rPr>
      </w:pPr>
      <w:r>
        <w:rPr>
          <w:rFonts w:hint="eastAsia" w:ascii="宋体" w:hAnsi="宋体" w:cs="宋体"/>
          <w:b/>
          <w:color w:val="auto"/>
          <w:spacing w:val="40"/>
          <w:sz w:val="30"/>
          <w:szCs w:val="30"/>
          <w:highlight w:val="none"/>
        </w:rPr>
        <w:t>采购编号</w:t>
      </w:r>
      <w:r>
        <w:rPr>
          <w:rFonts w:hint="eastAsia" w:ascii="宋体" w:hAnsi="宋体" w:cs="宋体"/>
          <w:b/>
          <w:color w:val="auto"/>
          <w:sz w:val="30"/>
          <w:szCs w:val="30"/>
          <w:highlight w:val="none"/>
        </w:rPr>
        <w:t>：ZJSF-</w:t>
      </w:r>
      <w:r>
        <w:rPr>
          <w:rFonts w:hint="eastAsia" w:ascii="宋体" w:hAnsi="宋体" w:cs="宋体"/>
          <w:b/>
          <w:color w:val="auto"/>
          <w:sz w:val="30"/>
          <w:szCs w:val="30"/>
          <w:highlight w:val="none"/>
          <w:lang w:eastAsia="zh-CN"/>
        </w:rPr>
        <w:t>DY20250213WZF</w:t>
      </w:r>
    </w:p>
    <w:p w14:paraId="77962F7B">
      <w:pPr>
        <w:tabs>
          <w:tab w:val="left" w:pos="4860"/>
        </w:tabs>
        <w:spacing w:line="600" w:lineRule="exact"/>
        <w:ind w:right="-1"/>
        <w:jc w:val="left"/>
        <w:rPr>
          <w:rFonts w:hint="eastAsia" w:ascii="宋体" w:hAnsi="宋体" w:eastAsia="宋体" w:cs="宋体"/>
          <w:b/>
          <w:color w:val="auto"/>
          <w:spacing w:val="-11"/>
          <w:sz w:val="30"/>
          <w:szCs w:val="30"/>
          <w:highlight w:val="none"/>
          <w:lang w:eastAsia="zh-CN"/>
        </w:rPr>
      </w:pPr>
      <w:r>
        <w:rPr>
          <w:rFonts w:hint="eastAsia" w:ascii="宋体" w:hAnsi="宋体" w:cs="宋体"/>
          <w:b/>
          <w:color w:val="auto"/>
          <w:spacing w:val="40"/>
          <w:sz w:val="30"/>
          <w:szCs w:val="30"/>
          <w:highlight w:val="none"/>
        </w:rPr>
        <w:t>采购项目</w:t>
      </w:r>
      <w:r>
        <w:rPr>
          <w:rFonts w:hint="eastAsia" w:ascii="宋体" w:hAnsi="宋体" w:cs="宋体"/>
          <w:b/>
          <w:color w:val="auto"/>
          <w:sz w:val="30"/>
          <w:szCs w:val="30"/>
          <w:highlight w:val="none"/>
        </w:rPr>
        <w:t>：</w:t>
      </w:r>
      <w:r>
        <w:rPr>
          <w:rFonts w:hint="eastAsia" w:ascii="宋体" w:hAnsi="宋体" w:cs="宋体"/>
          <w:b/>
          <w:color w:val="auto"/>
          <w:spacing w:val="-11"/>
          <w:sz w:val="30"/>
          <w:szCs w:val="30"/>
          <w:highlight w:val="none"/>
          <w:lang w:eastAsia="zh-CN"/>
        </w:rPr>
        <w:t>2025年-2026年鹿城区</w:t>
      </w:r>
      <w:bookmarkStart w:id="256" w:name="_GoBack"/>
      <w:r>
        <w:rPr>
          <w:rFonts w:hint="eastAsia" w:ascii="宋体" w:hAnsi="宋体" w:cs="宋体"/>
          <w:b/>
          <w:color w:val="auto"/>
          <w:spacing w:val="-11"/>
          <w:sz w:val="30"/>
          <w:szCs w:val="30"/>
          <w:highlight w:val="none"/>
          <w:lang w:eastAsia="zh-CN"/>
        </w:rPr>
        <w:t>藤桥镇山区农村饮用水县级统管项目</w:t>
      </w:r>
      <w:bookmarkEnd w:id="256"/>
    </w:p>
    <w:p w14:paraId="50FC8AE7">
      <w:pPr>
        <w:tabs>
          <w:tab w:val="left" w:pos="4860"/>
        </w:tabs>
        <w:spacing w:line="600" w:lineRule="exact"/>
        <w:ind w:right="-1"/>
        <w:jc w:val="left"/>
        <w:rPr>
          <w:rFonts w:hint="eastAsia" w:ascii="宋体" w:hAnsi="宋体" w:cs="宋体"/>
          <w:b/>
          <w:color w:val="auto"/>
          <w:spacing w:val="40"/>
          <w:sz w:val="30"/>
          <w:szCs w:val="30"/>
          <w:highlight w:val="none"/>
        </w:rPr>
      </w:pPr>
      <w:r>
        <w:rPr>
          <w:rFonts w:hint="eastAsia" w:ascii="宋体" w:hAnsi="宋体" w:cs="宋体"/>
          <w:b/>
          <w:color w:val="auto"/>
          <w:spacing w:val="40"/>
          <w:sz w:val="30"/>
          <w:szCs w:val="30"/>
          <w:highlight w:val="none"/>
        </w:rPr>
        <w:t>采购方式</w:t>
      </w:r>
      <w:r>
        <w:rPr>
          <w:rFonts w:hint="eastAsia" w:ascii="宋体" w:hAnsi="宋体" w:cs="宋体"/>
          <w:b/>
          <w:color w:val="auto"/>
          <w:sz w:val="30"/>
          <w:szCs w:val="30"/>
          <w:highlight w:val="none"/>
        </w:rPr>
        <w:t>：单一来源</w:t>
      </w:r>
    </w:p>
    <w:p w14:paraId="4256CBC0">
      <w:pPr>
        <w:jc w:val="both"/>
        <w:rPr>
          <w:rFonts w:hint="eastAsia" w:ascii="宋体" w:hAnsi="宋体" w:cs="宋体"/>
          <w:b/>
          <w:bCs/>
          <w:color w:val="auto"/>
          <w:sz w:val="24"/>
          <w:highlight w:val="none"/>
        </w:rPr>
      </w:pPr>
    </w:p>
    <w:p w14:paraId="22E03C72">
      <w:pPr>
        <w:tabs>
          <w:tab w:val="left" w:pos="4860"/>
        </w:tabs>
        <w:spacing w:line="600" w:lineRule="exact"/>
        <w:ind w:right="-1"/>
        <w:jc w:val="left"/>
        <w:rPr>
          <w:rFonts w:hint="eastAsia" w:ascii="宋体" w:hAnsi="宋体" w:cs="宋体"/>
          <w:b/>
          <w:color w:val="auto"/>
          <w:spacing w:val="40"/>
          <w:sz w:val="30"/>
          <w:szCs w:val="30"/>
          <w:highlight w:val="none"/>
        </w:rPr>
      </w:pPr>
      <w:r>
        <w:rPr>
          <w:rFonts w:hint="eastAsia" w:ascii="宋体" w:hAnsi="宋体" w:cs="宋体"/>
          <w:b/>
          <w:color w:val="auto"/>
          <w:spacing w:val="40"/>
          <w:sz w:val="30"/>
          <w:szCs w:val="30"/>
          <w:highlight w:val="none"/>
        </w:rPr>
        <w:t>采  购  人：温州市鹿城区藤桥镇人民政府</w:t>
      </w:r>
    </w:p>
    <w:p w14:paraId="51D366ED">
      <w:pPr>
        <w:tabs>
          <w:tab w:val="left" w:pos="4860"/>
        </w:tabs>
        <w:spacing w:line="600" w:lineRule="exact"/>
        <w:ind w:right="-1"/>
        <w:jc w:val="left"/>
        <w:rPr>
          <w:rFonts w:hint="eastAsia" w:ascii="宋体" w:hAnsi="宋体" w:cs="宋体"/>
          <w:b/>
          <w:color w:val="auto"/>
          <w:spacing w:val="40"/>
          <w:sz w:val="30"/>
          <w:szCs w:val="30"/>
          <w:highlight w:val="none"/>
        </w:rPr>
      </w:pPr>
      <w:r>
        <w:rPr>
          <w:rFonts w:hint="eastAsia" w:ascii="宋体" w:hAnsi="宋体" w:cs="宋体"/>
          <w:b/>
          <w:color w:val="auto"/>
          <w:spacing w:val="40"/>
          <w:sz w:val="30"/>
          <w:szCs w:val="30"/>
          <w:highlight w:val="none"/>
        </w:rPr>
        <w:t>采购代理：浙江省房地产管理咨询有限公司</w:t>
      </w:r>
    </w:p>
    <w:p w14:paraId="4BEAD91F">
      <w:pPr>
        <w:spacing w:line="600" w:lineRule="exact"/>
        <w:jc w:val="center"/>
        <w:rPr>
          <w:rFonts w:hint="eastAsia" w:ascii="宋体" w:hAnsi="宋体" w:cs="宋体"/>
          <w:b/>
          <w:color w:val="auto"/>
          <w:spacing w:val="40"/>
          <w:sz w:val="30"/>
          <w:szCs w:val="30"/>
          <w:highlight w:val="none"/>
        </w:rPr>
      </w:pPr>
    </w:p>
    <w:p w14:paraId="51089073">
      <w:pPr>
        <w:spacing w:line="600" w:lineRule="exact"/>
        <w:jc w:val="center"/>
        <w:rPr>
          <w:rFonts w:hint="eastAsia" w:ascii="宋体" w:hAnsi="宋体" w:cs="宋体"/>
          <w:b/>
          <w:color w:val="auto"/>
          <w:spacing w:val="40"/>
          <w:sz w:val="30"/>
          <w:szCs w:val="30"/>
          <w:highlight w:val="none"/>
        </w:rPr>
      </w:pPr>
      <w:r>
        <w:rPr>
          <w:rFonts w:hint="eastAsia" w:ascii="宋体" w:hAnsi="宋体" w:cs="宋体"/>
          <w:b/>
          <w:color w:val="auto"/>
          <w:spacing w:val="40"/>
          <w:sz w:val="30"/>
          <w:szCs w:val="30"/>
          <w:highlight w:val="none"/>
        </w:rPr>
        <w:t>二〇二</w:t>
      </w:r>
      <w:r>
        <w:rPr>
          <w:rFonts w:hint="eastAsia" w:ascii="宋体" w:hAnsi="宋体" w:cs="宋体"/>
          <w:b/>
          <w:color w:val="auto"/>
          <w:spacing w:val="40"/>
          <w:sz w:val="30"/>
          <w:szCs w:val="30"/>
          <w:highlight w:val="none"/>
          <w:lang w:val="en-US" w:eastAsia="zh-CN"/>
        </w:rPr>
        <w:t>五</w:t>
      </w:r>
      <w:r>
        <w:rPr>
          <w:rFonts w:hint="eastAsia" w:ascii="宋体" w:hAnsi="宋体" w:cs="宋体"/>
          <w:b/>
          <w:color w:val="auto"/>
          <w:spacing w:val="40"/>
          <w:sz w:val="30"/>
          <w:szCs w:val="30"/>
          <w:highlight w:val="none"/>
        </w:rPr>
        <w:t>年</w:t>
      </w:r>
      <w:r>
        <w:rPr>
          <w:rFonts w:hint="eastAsia" w:ascii="宋体" w:hAnsi="宋体" w:cs="宋体"/>
          <w:b/>
          <w:color w:val="auto"/>
          <w:spacing w:val="40"/>
          <w:sz w:val="30"/>
          <w:szCs w:val="30"/>
          <w:highlight w:val="none"/>
          <w:lang w:val="en-US" w:eastAsia="zh-CN"/>
        </w:rPr>
        <w:t>三</w:t>
      </w:r>
      <w:r>
        <w:rPr>
          <w:rFonts w:hint="eastAsia" w:ascii="宋体" w:hAnsi="宋体" w:cs="宋体"/>
          <w:b/>
          <w:color w:val="auto"/>
          <w:spacing w:val="40"/>
          <w:sz w:val="30"/>
          <w:szCs w:val="30"/>
          <w:highlight w:val="none"/>
        </w:rPr>
        <w:t>月</w:t>
      </w:r>
    </w:p>
    <w:p w14:paraId="784E4157">
      <w:pPr>
        <w:spacing w:line="600" w:lineRule="exact"/>
        <w:jc w:val="center"/>
        <w:rPr>
          <w:rFonts w:hint="eastAsia" w:ascii="宋体" w:hAnsi="宋体" w:cs="宋体"/>
          <w:b/>
          <w:color w:val="auto"/>
          <w:spacing w:val="40"/>
          <w:sz w:val="30"/>
          <w:szCs w:val="30"/>
          <w:highlight w:val="none"/>
        </w:rPr>
      </w:pPr>
    </w:p>
    <w:p w14:paraId="7065E962">
      <w:pPr>
        <w:spacing w:line="600" w:lineRule="exact"/>
        <w:jc w:val="center"/>
        <w:rPr>
          <w:rFonts w:hint="eastAsia" w:ascii="宋体" w:hAnsi="宋体" w:cs="宋体"/>
          <w:b/>
          <w:bCs/>
          <w:color w:val="auto"/>
          <w:sz w:val="32"/>
          <w:szCs w:val="32"/>
          <w:highlight w:val="none"/>
        </w:rPr>
        <w:sectPr>
          <w:footerReference r:id="rId5" w:type="first"/>
          <w:headerReference r:id="rId3" w:type="default"/>
          <w:footerReference r:id="rId4" w:type="default"/>
          <w:type w:val="nextColumn"/>
          <w:pgSz w:w="11906" w:h="16838"/>
          <w:pgMar w:top="1440" w:right="1310" w:bottom="1440" w:left="1310" w:header="851" w:footer="992" w:gutter="0"/>
          <w:pgNumType w:start="1"/>
          <w:cols w:space="720" w:num="1"/>
          <w:titlePg/>
          <w:docGrid w:type="lines" w:linePitch="312" w:charSpace="0"/>
        </w:sectPr>
      </w:pPr>
    </w:p>
    <w:p w14:paraId="66F26992">
      <w:pPr>
        <w:spacing w:line="600" w:lineRule="exact"/>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目    录</w:t>
      </w:r>
    </w:p>
    <w:p w14:paraId="7BC7BD54">
      <w:pPr>
        <w:spacing w:line="600" w:lineRule="exact"/>
        <w:jc w:val="center"/>
        <w:rPr>
          <w:rFonts w:hint="eastAsia" w:ascii="宋体" w:hAnsi="宋体" w:cs="宋体"/>
          <w:b/>
          <w:bCs/>
          <w:color w:val="auto"/>
          <w:sz w:val="24"/>
          <w:highlight w:val="none"/>
        </w:rPr>
      </w:pPr>
    </w:p>
    <w:p w14:paraId="3873F39F">
      <w:pPr>
        <w:pStyle w:val="46"/>
        <w:tabs>
          <w:tab w:val="right" w:leader="dot" w:pos="9638"/>
          <w:tab w:val="clear" w:pos="9628"/>
        </w:tabs>
        <w:spacing w:line="360" w:lineRule="auto"/>
        <w:rPr>
          <w:rFonts w:hint="eastAsia" w:ascii="宋体" w:hAnsi="宋体" w:eastAsia="宋体" w:cs="宋体"/>
          <w:color w:val="auto"/>
          <w:highlight w:val="none"/>
        </w:rPr>
      </w:pPr>
      <w:r>
        <w:rPr>
          <w:rFonts w:hint="eastAsia" w:ascii="宋体" w:hAnsi="宋体" w:eastAsia="宋体" w:cs="宋体"/>
          <w:b/>
          <w:bCs w:val="0"/>
          <w:color w:val="auto"/>
          <w:highlight w:val="none"/>
        </w:rPr>
        <w:fldChar w:fldCharType="begin"/>
      </w:r>
      <w:r>
        <w:rPr>
          <w:rFonts w:hint="eastAsia" w:ascii="宋体" w:hAnsi="宋体" w:eastAsia="宋体" w:cs="宋体"/>
          <w:b/>
          <w:bCs w:val="0"/>
          <w:color w:val="auto"/>
          <w:highlight w:val="none"/>
        </w:rPr>
        <w:instrText xml:space="preserve"> TOC \o "1-3" \h \z \u </w:instrText>
      </w:r>
      <w:r>
        <w:rPr>
          <w:rFonts w:hint="eastAsia" w:ascii="宋体" w:hAnsi="宋体" w:eastAsia="宋体" w:cs="宋体"/>
          <w:b/>
          <w:bCs w:val="0"/>
          <w:color w:val="auto"/>
          <w:highlight w:val="none"/>
        </w:rPr>
        <w:fldChar w:fldCharType="separate"/>
      </w: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_Toc6325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36"/>
          <w:highlight w:val="none"/>
          <w:lang w:val="en-US" w:eastAsia="zh-CN"/>
        </w:rPr>
        <w:t>邀请函</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3</w:t>
      </w:r>
      <w:r>
        <w:rPr>
          <w:rFonts w:hint="eastAsia" w:ascii="宋体" w:hAnsi="宋体" w:eastAsia="宋体" w:cs="宋体"/>
          <w:bCs w:val="0"/>
          <w:color w:val="auto"/>
          <w:highlight w:val="none"/>
        </w:rPr>
        <w:fldChar w:fldCharType="end"/>
      </w:r>
    </w:p>
    <w:p w14:paraId="420A3A07">
      <w:pPr>
        <w:pStyle w:val="46"/>
        <w:tabs>
          <w:tab w:val="right" w:leader="dot" w:pos="9638"/>
          <w:tab w:val="clear" w:pos="9628"/>
        </w:tabs>
        <w:rPr>
          <w:rFonts w:hint="eastAsia" w:ascii="宋体" w:hAnsi="宋体" w:eastAsia="宋体" w:cs="宋体"/>
          <w:bCs w:val="0"/>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_Toc31203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36"/>
          <w:highlight w:val="none"/>
        </w:rPr>
        <w:t>第一部分    供应商须知</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_Toc31203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5</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51A51B6F">
      <w:pPr>
        <w:rPr>
          <w:rFonts w:hint="eastAsia" w:ascii="宋体" w:hAnsi="宋体" w:cs="宋体"/>
          <w:bCs/>
          <w:color w:val="auto"/>
          <w:sz w:val="24"/>
          <w:szCs w:val="36"/>
          <w:highlight w:val="none"/>
        </w:rPr>
      </w:pPr>
      <w:r>
        <w:rPr>
          <w:rFonts w:hint="eastAsia" w:ascii="宋体" w:hAnsi="宋体" w:eastAsia="宋体" w:cs="宋体"/>
          <w:bCs/>
          <w:color w:val="auto"/>
          <w:sz w:val="24"/>
          <w:szCs w:val="36"/>
          <w:highlight w:val="none"/>
        </w:rPr>
        <w:fldChar w:fldCharType="begin"/>
      </w:r>
      <w:r>
        <w:rPr>
          <w:rFonts w:hint="eastAsia" w:ascii="宋体" w:hAnsi="宋体" w:eastAsia="宋体" w:cs="宋体"/>
          <w:bCs/>
          <w:color w:val="auto"/>
          <w:sz w:val="24"/>
          <w:szCs w:val="36"/>
          <w:highlight w:val="none"/>
        </w:rPr>
        <w:instrText xml:space="preserve"> HYPERLINK \l _Toc31203 </w:instrText>
      </w:r>
      <w:r>
        <w:rPr>
          <w:rFonts w:hint="eastAsia" w:ascii="宋体" w:hAnsi="宋体" w:eastAsia="宋体" w:cs="宋体"/>
          <w:bCs/>
          <w:color w:val="auto"/>
          <w:sz w:val="24"/>
          <w:szCs w:val="36"/>
          <w:highlight w:val="none"/>
        </w:rPr>
        <w:fldChar w:fldCharType="separate"/>
      </w:r>
      <w:r>
        <w:rPr>
          <w:rFonts w:hint="eastAsia" w:ascii="宋体" w:hAnsi="宋体" w:eastAsia="宋体" w:cs="宋体"/>
          <w:bCs/>
          <w:color w:val="auto"/>
          <w:sz w:val="24"/>
          <w:szCs w:val="36"/>
          <w:highlight w:val="none"/>
        </w:rPr>
        <w:t xml:space="preserve">   </w:t>
      </w:r>
      <w:r>
        <w:rPr>
          <w:rFonts w:hint="eastAsia" w:ascii="宋体" w:hAnsi="宋体" w:cs="宋体"/>
          <w:bCs/>
          <w:color w:val="auto"/>
          <w:sz w:val="24"/>
          <w:szCs w:val="36"/>
          <w:highlight w:val="none"/>
          <w:lang w:val="en-US" w:eastAsia="zh-CN"/>
        </w:rPr>
        <w:t>前附表</w:t>
      </w:r>
      <w:r>
        <w:rPr>
          <w:rFonts w:hint="eastAsia" w:ascii="宋体" w:hAnsi="宋体" w:eastAsia="宋体" w:cs="宋体"/>
          <w:bCs/>
          <w:color w:val="auto"/>
          <w:sz w:val="24"/>
          <w:szCs w:val="36"/>
          <w:highlight w:val="none"/>
        </w:rPr>
        <w:fldChar w:fldCharType="end"/>
      </w:r>
    </w:p>
    <w:p w14:paraId="1CDCD9E9">
      <w:pPr>
        <w:rPr>
          <w:rFonts w:hint="eastAsia"/>
          <w:color w:val="auto"/>
          <w:highlight w:val="none"/>
        </w:rPr>
      </w:pPr>
    </w:p>
    <w:p w14:paraId="3D794596">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_Toc32582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一、  说明</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7</w:t>
      </w:r>
      <w:r>
        <w:rPr>
          <w:rFonts w:hint="eastAsia" w:ascii="宋体" w:hAnsi="宋体" w:eastAsia="宋体" w:cs="宋体"/>
          <w:bCs w:val="0"/>
          <w:color w:val="auto"/>
          <w:highlight w:val="none"/>
        </w:rPr>
        <w:fldChar w:fldCharType="end"/>
      </w:r>
    </w:p>
    <w:p w14:paraId="7DE07CF2">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_Toc14020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二、 单一来源采购文件</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_Toc14020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8</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5EC1C9AF">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_Toc12808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三、 单一来源响应文件的编制</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_Toc12808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8</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69CB9249">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_Toc12533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四、 单一来源响应文件的递交</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_Toc12533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11</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35079E0E">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_Toc8242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五、 谈判和评审</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_Toc8242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12</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2E2451CB">
      <w:pPr>
        <w:pStyle w:val="46"/>
        <w:tabs>
          <w:tab w:val="right" w:leader="dot" w:pos="9638"/>
          <w:tab w:val="clear" w:pos="9628"/>
        </w:tabs>
        <w:rPr>
          <w:rFonts w:hint="eastAsia" w:ascii="宋体" w:hAnsi="宋体" w:eastAsia="宋体" w:cs="宋体"/>
          <w:color w:val="auto"/>
          <w:highlight w:val="none"/>
          <w:lang w:val="en-US" w:eastAsia="zh-CN"/>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_Toc5091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21"/>
          <w:highlight w:val="none"/>
        </w:rPr>
        <w:t>六、 授予合同</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val="0"/>
          <w:color w:val="auto"/>
          <w:highlight w:val="none"/>
        </w:rPr>
        <w:fldChar w:fldCharType="end"/>
      </w:r>
      <w:r>
        <w:rPr>
          <w:rFonts w:hint="eastAsia" w:ascii="宋体" w:hAnsi="宋体" w:eastAsia="宋体" w:cs="宋体"/>
          <w:bCs w:val="0"/>
          <w:color w:val="auto"/>
          <w:highlight w:val="none"/>
          <w:lang w:val="en-US" w:eastAsia="zh-CN"/>
        </w:rPr>
        <w:t>6</w:t>
      </w:r>
    </w:p>
    <w:p w14:paraId="6151B402">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_Toc9287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36"/>
          <w:highlight w:val="none"/>
        </w:rPr>
        <w:t>第二部分   合同主要条款</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_Toc9287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17</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4B004398">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_Toc2848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36"/>
          <w:highlight w:val="none"/>
        </w:rPr>
        <w:t>第三部分   附件</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_Toc2848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20</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5CF54C11">
      <w:pPr>
        <w:pStyle w:val="46"/>
        <w:tabs>
          <w:tab w:val="right" w:leader="dot" w:pos="9638"/>
          <w:tab w:val="clear" w:pos="9628"/>
        </w:tabs>
        <w:rPr>
          <w:rFonts w:hint="eastAsia" w:ascii="宋体" w:hAnsi="宋体" w:eastAsia="宋体" w:cs="宋体"/>
          <w:color w:val="auto"/>
          <w:highlight w:val="none"/>
          <w:shd w:val="pct10" w:color="auto" w:fill="FFFFFF"/>
        </w:rPr>
      </w:pPr>
      <w:r>
        <w:rPr>
          <w:rFonts w:hint="eastAsia" w:ascii="宋体" w:hAnsi="宋体" w:eastAsia="宋体" w:cs="宋体"/>
          <w:bCs w:val="0"/>
          <w:color w:val="auto"/>
          <w:highlight w:val="none"/>
          <w:shd w:val="pct10" w:color="auto" w:fill="FFFFFF"/>
        </w:rPr>
        <w:fldChar w:fldCharType="begin"/>
      </w:r>
      <w:r>
        <w:rPr>
          <w:rFonts w:hint="eastAsia" w:ascii="宋体" w:hAnsi="宋体" w:eastAsia="宋体" w:cs="宋体"/>
          <w:bCs w:val="0"/>
          <w:color w:val="auto"/>
          <w:highlight w:val="none"/>
          <w:shd w:val="pct10" w:color="auto" w:fill="FFFFFF"/>
        </w:rPr>
        <w:instrText xml:space="preserve"> HYPERLINK \l _Toc14377 </w:instrText>
      </w:r>
      <w:r>
        <w:rPr>
          <w:rFonts w:hint="eastAsia" w:ascii="宋体" w:hAnsi="宋体" w:eastAsia="宋体" w:cs="宋体"/>
          <w:bCs w:val="0"/>
          <w:color w:val="auto"/>
          <w:highlight w:val="none"/>
          <w:shd w:val="pct10" w:color="auto" w:fill="FFFFFF"/>
        </w:rPr>
        <w:fldChar w:fldCharType="separate"/>
      </w:r>
      <w:r>
        <w:rPr>
          <w:rFonts w:hint="eastAsia" w:ascii="宋体" w:hAnsi="宋体" w:eastAsia="宋体" w:cs="宋体"/>
          <w:color w:val="auto"/>
          <w:szCs w:val="36"/>
          <w:highlight w:val="none"/>
          <w:shd w:val="pct10" w:color="auto" w:fill="FFFFFF"/>
        </w:rPr>
        <w:t>第四部分   采购内容</w:t>
      </w:r>
      <w:bookmarkStart w:id="0" w:name="_Hlt78552565"/>
      <w:r>
        <w:rPr>
          <w:rFonts w:hint="eastAsia" w:ascii="宋体" w:hAnsi="宋体" w:eastAsia="宋体" w:cs="宋体"/>
          <w:color w:val="auto"/>
          <w:szCs w:val="36"/>
          <w:highlight w:val="none"/>
          <w:shd w:val="pct10" w:color="auto" w:fill="FFFFFF"/>
        </w:rPr>
        <w:t>及</w:t>
      </w:r>
      <w:bookmarkEnd w:id="0"/>
      <w:r>
        <w:rPr>
          <w:rFonts w:hint="eastAsia" w:ascii="宋体" w:hAnsi="宋体" w:eastAsia="宋体" w:cs="宋体"/>
          <w:color w:val="auto"/>
          <w:szCs w:val="36"/>
          <w:highlight w:val="none"/>
          <w:shd w:val="pct10" w:color="auto" w:fill="FFFFFF"/>
        </w:rPr>
        <w:t>要求</w:t>
      </w:r>
      <w:r>
        <w:rPr>
          <w:rFonts w:hint="eastAsia" w:ascii="宋体" w:hAnsi="宋体" w:eastAsia="宋体" w:cs="宋体"/>
          <w:color w:val="auto"/>
          <w:highlight w:val="none"/>
          <w:shd w:val="pct10" w:color="auto" w:fill="FFFFFF"/>
        </w:rPr>
        <w:tab/>
      </w:r>
      <w:r>
        <w:rPr>
          <w:rFonts w:hint="eastAsia" w:ascii="宋体" w:hAnsi="宋体" w:eastAsia="宋体" w:cs="宋体"/>
          <w:color w:val="auto"/>
          <w:highlight w:val="none"/>
          <w:shd w:val="pct10" w:color="auto" w:fill="FFFFFF"/>
        </w:rPr>
        <w:fldChar w:fldCharType="begin"/>
      </w:r>
      <w:r>
        <w:rPr>
          <w:rFonts w:hint="eastAsia" w:ascii="宋体" w:hAnsi="宋体" w:eastAsia="宋体" w:cs="宋体"/>
          <w:color w:val="auto"/>
          <w:highlight w:val="none"/>
          <w:shd w:val="pct10" w:color="auto" w:fill="FFFFFF"/>
        </w:rPr>
        <w:instrText xml:space="preserve"> PAGEREF _Toc14377 \h </w:instrText>
      </w:r>
      <w:r>
        <w:rPr>
          <w:rFonts w:hint="eastAsia" w:ascii="宋体" w:hAnsi="宋体" w:eastAsia="宋体" w:cs="宋体"/>
          <w:color w:val="auto"/>
          <w:highlight w:val="none"/>
          <w:shd w:val="pct10" w:color="auto" w:fill="FFFFFF"/>
        </w:rPr>
        <w:fldChar w:fldCharType="separate"/>
      </w:r>
      <w:r>
        <w:rPr>
          <w:rFonts w:hint="eastAsia" w:ascii="宋体" w:hAnsi="宋体" w:eastAsia="宋体" w:cs="宋体"/>
          <w:color w:val="auto"/>
          <w:highlight w:val="none"/>
          <w:shd w:val="pct10" w:color="auto" w:fill="FFFFFF"/>
        </w:rPr>
        <w:t>31</w:t>
      </w:r>
      <w:r>
        <w:rPr>
          <w:rFonts w:hint="eastAsia" w:ascii="宋体" w:hAnsi="宋体" w:eastAsia="宋体" w:cs="宋体"/>
          <w:color w:val="auto"/>
          <w:highlight w:val="none"/>
          <w:shd w:val="pct10" w:color="auto" w:fill="FFFFFF"/>
        </w:rPr>
        <w:fldChar w:fldCharType="end"/>
      </w:r>
      <w:r>
        <w:rPr>
          <w:rFonts w:hint="eastAsia" w:ascii="宋体" w:hAnsi="宋体" w:eastAsia="宋体" w:cs="宋体"/>
          <w:bCs w:val="0"/>
          <w:color w:val="auto"/>
          <w:highlight w:val="none"/>
          <w:shd w:val="pct10" w:color="auto" w:fill="FFFFFF"/>
        </w:rPr>
        <w:fldChar w:fldCharType="end"/>
      </w:r>
    </w:p>
    <w:p w14:paraId="086A5C46">
      <w:pPr>
        <w:pStyle w:val="46"/>
        <w:tabs>
          <w:tab w:val="right" w:leader="dot" w:pos="9638"/>
          <w:tab w:val="clear" w:pos="9628"/>
        </w:tabs>
        <w:rPr>
          <w:rFonts w:hint="eastAsia" w:ascii="宋体" w:hAnsi="宋体" w:eastAsia="宋体" w:cs="宋体"/>
          <w:color w:val="auto"/>
          <w:highlight w:val="none"/>
        </w:rPr>
      </w:pPr>
      <w:r>
        <w:rPr>
          <w:rFonts w:hint="eastAsia" w:ascii="宋体" w:hAnsi="宋体" w:eastAsia="宋体" w:cs="宋体"/>
          <w:bCs w:val="0"/>
          <w:color w:val="auto"/>
          <w:highlight w:val="none"/>
        </w:rPr>
        <w:fldChar w:fldCharType="begin"/>
      </w:r>
      <w:r>
        <w:rPr>
          <w:rFonts w:hint="eastAsia" w:ascii="宋体" w:hAnsi="宋体" w:eastAsia="宋体" w:cs="宋体"/>
          <w:bCs w:val="0"/>
          <w:color w:val="auto"/>
          <w:highlight w:val="none"/>
        </w:rPr>
        <w:instrText xml:space="preserve"> HYPERLINK \l _Toc24604 </w:instrText>
      </w:r>
      <w:r>
        <w:rPr>
          <w:rFonts w:hint="eastAsia" w:ascii="宋体" w:hAnsi="宋体" w:eastAsia="宋体" w:cs="宋体"/>
          <w:bCs w:val="0"/>
          <w:color w:val="auto"/>
          <w:highlight w:val="none"/>
        </w:rPr>
        <w:fldChar w:fldCharType="separate"/>
      </w:r>
      <w:r>
        <w:rPr>
          <w:rFonts w:hint="eastAsia" w:ascii="宋体" w:hAnsi="宋体" w:eastAsia="宋体" w:cs="宋体"/>
          <w:color w:val="auto"/>
          <w:szCs w:val="36"/>
          <w:highlight w:val="none"/>
        </w:rPr>
        <w:t>第五部分   评审原则及方法</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_Toc24604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46</w:t>
      </w:r>
      <w:r>
        <w:rPr>
          <w:rFonts w:hint="eastAsia" w:ascii="宋体" w:hAnsi="宋体" w:eastAsia="宋体" w:cs="宋体"/>
          <w:color w:val="auto"/>
          <w:highlight w:val="none"/>
        </w:rPr>
        <w:fldChar w:fldCharType="end"/>
      </w:r>
      <w:r>
        <w:rPr>
          <w:rFonts w:hint="eastAsia" w:ascii="宋体" w:hAnsi="宋体" w:eastAsia="宋体" w:cs="宋体"/>
          <w:bCs w:val="0"/>
          <w:color w:val="auto"/>
          <w:highlight w:val="none"/>
        </w:rPr>
        <w:fldChar w:fldCharType="end"/>
      </w:r>
    </w:p>
    <w:p w14:paraId="728FF975">
      <w:pPr>
        <w:pStyle w:val="46"/>
        <w:tabs>
          <w:tab w:val="right" w:leader="dot" w:pos="9638"/>
          <w:tab w:val="clear" w:pos="9628"/>
        </w:tabs>
        <w:rPr>
          <w:rFonts w:hint="eastAsia" w:ascii="宋体" w:hAnsi="宋体" w:eastAsia="宋体" w:cs="宋体"/>
          <w:color w:val="auto"/>
          <w:highlight w:val="none"/>
        </w:rPr>
      </w:pPr>
      <w:r>
        <w:rPr>
          <w:rFonts w:hint="eastAsia" w:ascii="宋体" w:hAnsi="宋体" w:cs="宋体"/>
          <w:bCs/>
          <w:color w:val="auto"/>
          <w:highlight w:val="none"/>
        </w:rPr>
        <w:fldChar w:fldCharType="end"/>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_Toc24996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政府采购政策功能相关说明</w:t>
      </w:r>
      <w:r>
        <w:rPr>
          <w:rFonts w:hint="eastAsia" w:ascii="宋体" w:hAnsi="宋体" w:eastAsia="宋体" w:cs="宋体"/>
          <w:color w:val="auto"/>
          <w:highlight w:val="none"/>
        </w:rPr>
        <w:fldChar w:fldCharType="end"/>
      </w:r>
    </w:p>
    <w:p w14:paraId="3C5903C9">
      <w:pPr>
        <w:spacing w:line="480" w:lineRule="auto"/>
        <w:rPr>
          <w:rFonts w:hint="eastAsia" w:ascii="宋体" w:hAnsi="宋体" w:cs="宋体"/>
          <w:b/>
          <w:bCs/>
          <w:color w:val="auto"/>
          <w:sz w:val="22"/>
          <w:szCs w:val="22"/>
          <w:highlight w:val="none"/>
        </w:rPr>
      </w:pPr>
    </w:p>
    <w:p w14:paraId="1CA12C85">
      <w:pPr>
        <w:spacing w:line="56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注：</w:t>
      </w:r>
      <w:r>
        <w:rPr>
          <w:rFonts w:hint="eastAsia" w:ascii="宋体" w:hAnsi="宋体" w:cs="宋体"/>
          <w:b/>
          <w:bCs/>
          <w:color w:val="auto"/>
          <w:sz w:val="24"/>
          <w:highlight w:val="none"/>
          <w:u w:val="single"/>
        </w:rPr>
        <w:t>单一来源采购文件中部分加“▲”且加下划线的条款，为采购的实质性要求和条件，着重提醒各供应商注意，并认真查看单一来源采购文件中的每一个条款及要求，因误读单一来源采购文件而造成的后果，采购人概不负责。</w:t>
      </w:r>
    </w:p>
    <w:p w14:paraId="3BADFF6A">
      <w:pPr>
        <w:widowControl/>
        <w:jc w:val="center"/>
        <w:rPr>
          <w:rFonts w:hint="eastAsia" w:ascii="宋体" w:hAnsi="宋体" w:cs="宋体"/>
          <w:b/>
          <w:bCs/>
          <w:color w:val="auto"/>
          <w:sz w:val="36"/>
          <w:szCs w:val="36"/>
          <w:highlight w:val="none"/>
        </w:rPr>
      </w:pPr>
      <w:r>
        <w:rPr>
          <w:rFonts w:hint="eastAsia" w:ascii="宋体" w:hAnsi="宋体" w:cs="宋体"/>
          <w:color w:val="auto"/>
          <w:highlight w:val="none"/>
        </w:rPr>
        <w:br w:type="page"/>
      </w:r>
      <w:bookmarkStart w:id="1" w:name="_Toc40954145"/>
      <w:bookmarkStart w:id="2" w:name="_Toc239145349"/>
      <w:bookmarkStart w:id="3" w:name="_Toc221356881"/>
      <w:bookmarkStart w:id="4" w:name="_Toc221356946"/>
      <w:bookmarkStart w:id="5" w:name="_Toc249758859"/>
      <w:bookmarkStart w:id="6" w:name="_Toc246261260"/>
      <w:bookmarkStart w:id="7" w:name="_Toc221356880"/>
      <w:bookmarkStart w:id="8" w:name="_Toc245191309"/>
      <w:bookmarkStart w:id="9" w:name="_Toc262105498"/>
      <w:bookmarkStart w:id="10" w:name="_Toc222114874"/>
      <w:bookmarkStart w:id="11" w:name="_Toc241404197"/>
      <w:bookmarkStart w:id="12" w:name="_Toc223715993"/>
      <w:bookmarkStart w:id="13" w:name="_Toc221374621"/>
      <w:bookmarkStart w:id="14" w:name="_Toc223715992"/>
      <w:bookmarkStart w:id="15" w:name="_Toc221356945"/>
      <w:bookmarkStart w:id="16" w:name="_Toc249758707"/>
      <w:bookmarkStart w:id="17" w:name="_Toc221423613"/>
      <w:bookmarkStart w:id="18" w:name="_Toc222114873"/>
      <w:bookmarkStart w:id="19" w:name="_Toc221374620"/>
      <w:bookmarkStart w:id="20" w:name="_Toc262049413"/>
      <w:bookmarkStart w:id="21" w:name="_Toc221423614"/>
      <w:bookmarkStart w:id="22" w:name="_Toc348800908"/>
      <w:bookmarkStart w:id="23" w:name="_Toc337660883"/>
      <w:bookmarkStart w:id="24" w:name="_Toc245722276"/>
      <w:r>
        <w:rPr>
          <w:rFonts w:hint="eastAsia" w:ascii="宋体" w:hAnsi="宋体" w:cs="宋体"/>
          <w:b/>
          <w:bCs/>
          <w:color w:val="auto"/>
          <w:sz w:val="36"/>
          <w:szCs w:val="36"/>
          <w:highlight w:val="none"/>
        </w:rPr>
        <w:t>邀  请  函</w:t>
      </w:r>
      <w:bookmarkEnd w:id="1"/>
    </w:p>
    <w:p w14:paraId="5D7BF14A">
      <w:pPr>
        <w:snapToGrid w:val="0"/>
        <w:spacing w:line="360" w:lineRule="exact"/>
        <w:rPr>
          <w:rFonts w:hint="eastAsia" w:ascii="宋体" w:hAnsi="宋体" w:cs="宋体"/>
          <w:color w:val="auto"/>
          <w:szCs w:val="21"/>
          <w:highlight w:val="none"/>
          <w:u w:val="single"/>
        </w:rPr>
      </w:pPr>
    </w:p>
    <w:p w14:paraId="784525E1">
      <w:pPr>
        <w:snapToGrid w:val="0"/>
        <w:spacing w:line="360" w:lineRule="exact"/>
        <w:ind w:firstLine="110" w:firstLineChars="50"/>
        <w:rPr>
          <w:rFonts w:hint="eastAsia" w:ascii="宋体" w:hAnsi="宋体" w:cs="宋体"/>
          <w:color w:val="auto"/>
          <w:sz w:val="22"/>
          <w:szCs w:val="22"/>
          <w:highlight w:val="none"/>
        </w:rPr>
      </w:pPr>
      <w:r>
        <w:rPr>
          <w:rFonts w:hint="eastAsia" w:ascii="宋体" w:hAnsi="宋体" w:cs="宋体"/>
          <w:color w:val="auto"/>
          <w:sz w:val="22"/>
          <w:szCs w:val="22"/>
          <w:highlight w:val="none"/>
          <w:u w:val="single"/>
        </w:rPr>
        <w:t>温州市自来水有限公司</w:t>
      </w:r>
      <w:r>
        <w:rPr>
          <w:rFonts w:hint="eastAsia" w:ascii="宋体" w:hAnsi="宋体" w:cs="宋体"/>
          <w:color w:val="auto"/>
          <w:sz w:val="22"/>
          <w:szCs w:val="22"/>
          <w:highlight w:val="none"/>
        </w:rPr>
        <w:t>：</w:t>
      </w:r>
    </w:p>
    <w:p w14:paraId="14C379DF">
      <w:pPr>
        <w:snapToGrid w:val="0"/>
        <w:spacing w:line="3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浙江省房地产管理咨询有限公司受温州市鹿城区藤桥镇人民政府委托，就所需</w:t>
      </w:r>
      <w:r>
        <w:rPr>
          <w:rFonts w:hint="eastAsia" w:ascii="宋体" w:hAnsi="宋体" w:cs="宋体"/>
          <w:color w:val="auto"/>
          <w:kern w:val="0"/>
          <w:sz w:val="22"/>
          <w:szCs w:val="22"/>
          <w:highlight w:val="none"/>
          <w:lang w:eastAsia="zh-CN"/>
        </w:rPr>
        <w:t>2025年-2026年鹿城区藤桥镇山区农村饮用水县级统管项目</w:t>
      </w:r>
      <w:r>
        <w:rPr>
          <w:rFonts w:hint="eastAsia" w:ascii="宋体" w:hAnsi="宋体" w:cs="宋体"/>
          <w:color w:val="auto"/>
          <w:sz w:val="22"/>
          <w:szCs w:val="22"/>
          <w:highlight w:val="none"/>
        </w:rPr>
        <w:t>以单一来源方式进行采购，我们诚恳地邀请贵单位参加报价，并请按单一来源采购文件的要求认真准备按时前来报价。</w:t>
      </w:r>
    </w:p>
    <w:p w14:paraId="59656785">
      <w:pPr>
        <w:snapToGrid w:val="0"/>
        <w:spacing w:line="36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1、采购编号：ZJSF-</w:t>
      </w:r>
      <w:r>
        <w:rPr>
          <w:rFonts w:hint="eastAsia" w:ascii="宋体" w:hAnsi="宋体" w:cs="宋体"/>
          <w:color w:val="auto"/>
          <w:sz w:val="22"/>
          <w:szCs w:val="22"/>
          <w:highlight w:val="none"/>
          <w:lang w:eastAsia="zh-CN"/>
        </w:rPr>
        <w:t>DY20250213WZF</w:t>
      </w:r>
    </w:p>
    <w:p w14:paraId="6AAC59F0">
      <w:pPr>
        <w:snapToGrid w:val="0"/>
        <w:spacing w:line="3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2、采购内容：</w:t>
      </w:r>
      <w:r>
        <w:rPr>
          <w:rFonts w:hint="eastAsia" w:ascii="宋体" w:hAnsi="宋体" w:cs="宋体"/>
          <w:color w:val="auto"/>
          <w:sz w:val="22"/>
          <w:szCs w:val="22"/>
          <w:highlight w:val="none"/>
          <w:lang w:eastAsia="zh-CN"/>
        </w:rPr>
        <w:t>2025年-2026年鹿城区藤桥镇山区农村饮用水县级统管项目</w:t>
      </w:r>
      <w:r>
        <w:rPr>
          <w:rFonts w:hint="eastAsia" w:ascii="宋体" w:hAnsi="宋体" w:cs="宋体"/>
          <w:color w:val="auto"/>
          <w:sz w:val="22"/>
          <w:szCs w:val="22"/>
          <w:highlight w:val="none"/>
        </w:rPr>
        <w:t>（具体采购技术要求见单一来源采购第四部分）</w:t>
      </w:r>
    </w:p>
    <w:p w14:paraId="7F0678AB">
      <w:pPr>
        <w:snapToGrid w:val="0"/>
        <w:spacing w:line="3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w:t>
      </w:r>
      <w:r>
        <w:rPr>
          <w:rFonts w:hint="eastAsia" w:ascii="宋体" w:hAnsi="宋体" w:cs="宋体"/>
          <w:color w:val="auto"/>
          <w:kern w:val="0"/>
          <w:sz w:val="22"/>
          <w:szCs w:val="22"/>
          <w:highlight w:val="none"/>
        </w:rPr>
        <w:t>合同履约期限：暂定自合同签订之日起2年，合同采用1年1签。即在合同期满后如中标人达到招标人各项考核目标（每季度考核结果为80分（含）以上），签订下一年合同。</w:t>
      </w:r>
    </w:p>
    <w:p w14:paraId="422E6F8F">
      <w:pPr>
        <w:snapToGrid w:val="0"/>
        <w:spacing w:line="3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4、采 购 预 算: 3659814元。</w:t>
      </w:r>
    </w:p>
    <w:p w14:paraId="7694C6F7">
      <w:pPr>
        <w:snapToGrid w:val="0"/>
        <w:spacing w:line="360" w:lineRule="exac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5、单一来源采购获取时间：</w:t>
      </w:r>
      <w:r>
        <w:rPr>
          <w:rFonts w:hint="eastAsia" w:ascii="宋体" w:hAnsi="宋体" w:cs="宋体"/>
          <w:color w:val="auto"/>
          <w:kern w:val="0"/>
          <w:sz w:val="22"/>
          <w:szCs w:val="22"/>
          <w:highlight w:val="none"/>
        </w:rPr>
        <w:t>公告发布之日起至单一来源响应文件递交截止时间。</w:t>
      </w:r>
    </w:p>
    <w:p w14:paraId="2F8004E1">
      <w:pPr>
        <w:snapToGrid w:val="0"/>
        <w:spacing w:line="360" w:lineRule="exact"/>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单一来源采购获取方式：</w:t>
      </w:r>
      <w:r>
        <w:rPr>
          <w:rFonts w:hint="eastAsia" w:ascii="宋体" w:hAnsi="宋体" w:cs="宋体"/>
          <w:color w:val="auto"/>
          <w:sz w:val="22"/>
          <w:szCs w:val="22"/>
          <w:highlight w:val="none"/>
        </w:rPr>
        <w:t>潜在供应商登陆政府采购云平台</w:t>
      </w:r>
      <w:r>
        <w:rPr>
          <w:rFonts w:hint="eastAsia" w:ascii="宋体" w:hAnsi="宋体" w:cs="宋体"/>
          <w:color w:val="auto"/>
          <w:kern w:val="0"/>
          <w:sz w:val="22"/>
          <w:szCs w:val="22"/>
          <w:highlight w:val="none"/>
        </w:rPr>
        <w:t>（</w:t>
      </w:r>
      <w:r>
        <w:rPr>
          <w:rFonts w:ascii="宋体" w:hAnsi="宋体" w:cs="宋体"/>
          <w:color w:val="auto"/>
          <w:kern w:val="0"/>
          <w:sz w:val="22"/>
          <w:szCs w:val="22"/>
          <w:highlight w:val="none"/>
        </w:rPr>
        <w:t>https://www.zcygov.cn/</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，在线申请获取采购文件</w:t>
      </w:r>
      <w:r>
        <w:rPr>
          <w:rFonts w:hint="eastAsia" w:ascii="宋体" w:hAnsi="宋体" w:cs="宋体"/>
          <w:bCs/>
          <w:color w:val="auto"/>
          <w:kern w:val="0"/>
          <w:sz w:val="22"/>
          <w:szCs w:val="22"/>
          <w:highlight w:val="none"/>
        </w:rPr>
        <w:t>。</w:t>
      </w:r>
    </w:p>
    <w:p w14:paraId="67784B45">
      <w:pPr>
        <w:snapToGrid w:val="0"/>
        <w:spacing w:line="360" w:lineRule="exact"/>
        <w:rPr>
          <w:rFonts w:hint="eastAsia" w:ascii="宋体" w:hAnsi="宋体" w:cs="宋体"/>
          <w:color w:val="auto"/>
          <w:spacing w:val="40"/>
          <w:sz w:val="22"/>
          <w:szCs w:val="22"/>
          <w:highlight w:val="none"/>
        </w:rPr>
      </w:pPr>
      <w:r>
        <w:rPr>
          <w:rFonts w:hint="eastAsia" w:ascii="宋体" w:hAnsi="宋体" w:cs="宋体"/>
          <w:bCs/>
          <w:color w:val="auto"/>
          <w:sz w:val="22"/>
          <w:szCs w:val="22"/>
          <w:highlight w:val="none"/>
        </w:rPr>
        <w:t>6、单一来源响应文件递交截止时间：</w:t>
      </w:r>
      <w:r>
        <w:rPr>
          <w:rFonts w:hint="eastAsia" w:ascii="宋体" w:hAnsi="宋体" w:cs="宋体"/>
          <w:bCs/>
          <w:color w:val="auto"/>
          <w:sz w:val="22"/>
          <w:szCs w:val="22"/>
          <w:highlight w:val="none"/>
          <w:lang w:eastAsia="zh-CN"/>
        </w:rPr>
        <w:t>2025年3月</w:t>
      </w:r>
      <w:r>
        <w:rPr>
          <w:rFonts w:hint="eastAsia" w:ascii="宋体" w:hAnsi="宋体" w:cs="宋体"/>
          <w:bCs/>
          <w:color w:val="auto"/>
          <w:sz w:val="22"/>
          <w:szCs w:val="22"/>
          <w:highlight w:val="none"/>
          <w:lang w:val="en-US" w:eastAsia="zh-CN"/>
        </w:rPr>
        <w:t>28</w:t>
      </w:r>
      <w:r>
        <w:rPr>
          <w:rFonts w:hint="eastAsia" w:ascii="宋体" w:hAnsi="宋体" w:cs="宋体"/>
          <w:bCs/>
          <w:color w:val="auto"/>
          <w:sz w:val="22"/>
          <w:szCs w:val="22"/>
          <w:highlight w:val="none"/>
          <w:lang w:eastAsia="zh-CN"/>
        </w:rPr>
        <w:t>日14时</w:t>
      </w:r>
      <w:r>
        <w:rPr>
          <w:rFonts w:hint="eastAsia" w:ascii="宋体" w:hAnsi="宋体" w:cs="宋体"/>
          <w:bCs/>
          <w:color w:val="auto"/>
          <w:sz w:val="22"/>
          <w:szCs w:val="22"/>
          <w:highlight w:val="none"/>
          <w:lang w:val="en-US" w:eastAsia="zh-CN"/>
        </w:rPr>
        <w:t>3</w:t>
      </w:r>
      <w:r>
        <w:rPr>
          <w:rFonts w:hint="eastAsia" w:ascii="宋体" w:hAnsi="宋体" w:cs="宋体"/>
          <w:bCs/>
          <w:color w:val="auto"/>
          <w:sz w:val="22"/>
          <w:szCs w:val="22"/>
          <w:highlight w:val="none"/>
          <w:lang w:eastAsia="zh-CN"/>
        </w:rPr>
        <w:t>0分整</w:t>
      </w:r>
      <w:r>
        <w:rPr>
          <w:rFonts w:hint="eastAsia" w:ascii="宋体" w:hAnsi="宋体" w:cs="宋体"/>
          <w:bCs/>
          <w:color w:val="auto"/>
          <w:sz w:val="22"/>
          <w:szCs w:val="22"/>
          <w:highlight w:val="none"/>
        </w:rPr>
        <w:t>；</w:t>
      </w:r>
    </w:p>
    <w:p w14:paraId="0D041271">
      <w:pPr>
        <w:tabs>
          <w:tab w:val="left" w:pos="420"/>
        </w:tabs>
        <w:snapToGrid w:val="0"/>
        <w:spacing w:line="360" w:lineRule="exact"/>
        <w:ind w:firstLine="440" w:firstLineChars="200"/>
        <w:rPr>
          <w:rFonts w:hint="eastAsia" w:ascii="宋体" w:hAnsi="宋体" w:cs="宋体"/>
          <w:color w:val="auto"/>
          <w:spacing w:val="40"/>
          <w:sz w:val="22"/>
          <w:szCs w:val="22"/>
          <w:highlight w:val="none"/>
        </w:rPr>
      </w:pPr>
      <w:r>
        <w:rPr>
          <w:rFonts w:hint="eastAsia" w:ascii="宋体" w:hAnsi="宋体" w:cs="宋体"/>
          <w:bCs/>
          <w:color w:val="auto"/>
          <w:sz w:val="22"/>
          <w:szCs w:val="22"/>
          <w:highlight w:val="none"/>
        </w:rPr>
        <w:t>开标时间：</w:t>
      </w:r>
      <w:r>
        <w:rPr>
          <w:rFonts w:hint="eastAsia" w:ascii="宋体" w:hAnsi="宋体" w:cs="宋体"/>
          <w:bCs/>
          <w:color w:val="auto"/>
          <w:sz w:val="22"/>
          <w:szCs w:val="22"/>
          <w:highlight w:val="none"/>
          <w:lang w:eastAsia="zh-CN"/>
        </w:rPr>
        <w:t>2025年3月</w:t>
      </w:r>
      <w:r>
        <w:rPr>
          <w:rFonts w:hint="eastAsia" w:ascii="宋体" w:hAnsi="宋体" w:cs="宋体"/>
          <w:bCs/>
          <w:color w:val="auto"/>
          <w:sz w:val="22"/>
          <w:szCs w:val="22"/>
          <w:highlight w:val="none"/>
          <w:lang w:val="en-US" w:eastAsia="zh-CN"/>
        </w:rPr>
        <w:t>28</w:t>
      </w:r>
      <w:r>
        <w:rPr>
          <w:rFonts w:hint="eastAsia" w:ascii="宋体" w:hAnsi="宋体" w:cs="宋体"/>
          <w:bCs/>
          <w:color w:val="auto"/>
          <w:sz w:val="22"/>
          <w:szCs w:val="22"/>
          <w:highlight w:val="none"/>
          <w:lang w:eastAsia="zh-CN"/>
        </w:rPr>
        <w:t>日14时</w:t>
      </w:r>
      <w:r>
        <w:rPr>
          <w:rFonts w:hint="eastAsia" w:ascii="宋体" w:hAnsi="宋体" w:cs="宋体"/>
          <w:bCs/>
          <w:color w:val="auto"/>
          <w:sz w:val="22"/>
          <w:szCs w:val="22"/>
          <w:highlight w:val="none"/>
          <w:lang w:val="en-US" w:eastAsia="zh-CN"/>
        </w:rPr>
        <w:t>3</w:t>
      </w:r>
      <w:r>
        <w:rPr>
          <w:rFonts w:hint="eastAsia" w:ascii="宋体" w:hAnsi="宋体" w:cs="宋体"/>
          <w:bCs/>
          <w:color w:val="auto"/>
          <w:sz w:val="22"/>
          <w:szCs w:val="22"/>
          <w:highlight w:val="none"/>
          <w:lang w:eastAsia="zh-CN"/>
        </w:rPr>
        <w:t>0分</w:t>
      </w:r>
      <w:r>
        <w:rPr>
          <w:rFonts w:hint="eastAsia" w:ascii="宋体" w:hAnsi="宋体" w:cs="宋体"/>
          <w:bCs/>
          <w:color w:val="auto"/>
          <w:sz w:val="22"/>
          <w:szCs w:val="22"/>
          <w:highlight w:val="none"/>
        </w:rPr>
        <w:t>分整；</w:t>
      </w:r>
    </w:p>
    <w:p w14:paraId="1144C5CF">
      <w:pPr>
        <w:widowControl/>
        <w:snapToGrid w:val="0"/>
        <w:spacing w:line="360" w:lineRule="exact"/>
        <w:ind w:firstLine="440" w:firstLineChars="200"/>
        <w:jc w:val="left"/>
        <w:rPr>
          <w:rFonts w:hint="eastAsia" w:ascii="宋体" w:hAnsi="宋体" w:cs="宋体"/>
          <w:color w:val="auto"/>
          <w:kern w:val="0"/>
          <w:sz w:val="22"/>
          <w:szCs w:val="22"/>
          <w:highlight w:val="none"/>
        </w:rPr>
      </w:pPr>
      <w:r>
        <w:rPr>
          <w:rFonts w:hint="eastAsia" w:ascii="宋体" w:hAnsi="宋体" w:cs="宋体"/>
          <w:bCs/>
          <w:color w:val="auto"/>
          <w:sz w:val="22"/>
          <w:szCs w:val="22"/>
          <w:highlight w:val="none"/>
        </w:rPr>
        <w:t>开标地点：浙江省房地产管理咨询有限公司评标室（温州市</w:t>
      </w:r>
      <w:r>
        <w:rPr>
          <w:rFonts w:hint="eastAsia" w:ascii="宋体" w:hAnsi="宋体" w:cs="宋体"/>
          <w:bCs/>
          <w:color w:val="auto"/>
          <w:sz w:val="22"/>
          <w:szCs w:val="22"/>
          <w:highlight w:val="none"/>
          <w:lang w:val="en-US" w:eastAsia="zh-CN"/>
        </w:rPr>
        <w:t>鹿城区</w:t>
      </w:r>
      <w:r>
        <w:rPr>
          <w:rFonts w:hint="eastAsia" w:ascii="宋体" w:hAnsi="宋体" w:cs="宋体"/>
          <w:bCs/>
          <w:color w:val="auto"/>
          <w:sz w:val="22"/>
          <w:szCs w:val="22"/>
          <w:highlight w:val="none"/>
        </w:rPr>
        <w:t>新城大道179号中园大厦A幢1202室）/ 政府采购云平台（</w:t>
      </w:r>
      <w:r>
        <w:rPr>
          <w:rFonts w:ascii="宋体" w:hAnsi="宋体" w:cs="宋体"/>
          <w:bCs/>
          <w:color w:val="auto"/>
          <w:sz w:val="22"/>
          <w:szCs w:val="22"/>
          <w:highlight w:val="none"/>
        </w:rPr>
        <w:t>https://www.zcygov.cn/</w:t>
      </w:r>
      <w:r>
        <w:rPr>
          <w:rFonts w:hint="eastAsia" w:ascii="宋体" w:hAnsi="宋体" w:cs="宋体"/>
          <w:bCs/>
          <w:color w:val="auto"/>
          <w:sz w:val="22"/>
          <w:szCs w:val="22"/>
          <w:highlight w:val="none"/>
        </w:rPr>
        <w:t>）在线开标</w:t>
      </w:r>
      <w:r>
        <w:rPr>
          <w:rFonts w:hint="eastAsia" w:ascii="宋体" w:hAnsi="宋体" w:cs="宋体"/>
          <w:color w:val="auto"/>
          <w:kern w:val="0"/>
          <w:sz w:val="22"/>
          <w:szCs w:val="22"/>
          <w:highlight w:val="none"/>
        </w:rPr>
        <w:t>。</w:t>
      </w:r>
    </w:p>
    <w:p w14:paraId="13AAD97D">
      <w:pPr>
        <w:snapToGrid w:val="0"/>
        <w:spacing w:line="360" w:lineRule="exact"/>
        <w:ind w:left="-420"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7、联系方式</w:t>
      </w:r>
    </w:p>
    <w:p w14:paraId="72CBB606">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（1）采购人信息</w:t>
      </w:r>
    </w:p>
    <w:p w14:paraId="4C638DC6">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名称：温州市鹿城区藤桥镇人民政府 </w:t>
      </w:r>
    </w:p>
    <w:p w14:paraId="1F463AE5">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地址： 浙江省温州市鹿城区藤桥镇盛发路41号中关村信息谷·温州创新基地B栋 </w:t>
      </w:r>
    </w:p>
    <w:p w14:paraId="3BB6C539">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传真：/</w:t>
      </w:r>
    </w:p>
    <w:p w14:paraId="0ACFAE41">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项目联系人（询问）：</w:t>
      </w:r>
      <w:r>
        <w:rPr>
          <w:rFonts w:hint="eastAsia" w:cs="宋体"/>
          <w:bCs/>
          <w:color w:val="auto"/>
          <w:sz w:val="22"/>
          <w:szCs w:val="22"/>
          <w:highlight w:val="none"/>
        </w:rPr>
        <w:t xml:space="preserve"> 陈先生</w:t>
      </w:r>
    </w:p>
    <w:p w14:paraId="370F13FD">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项目联系方式（询问）：0577-</w:t>
      </w:r>
      <w:r>
        <w:rPr>
          <w:rFonts w:cs="宋体"/>
          <w:color w:val="auto"/>
          <w:sz w:val="22"/>
          <w:szCs w:val="22"/>
          <w:highlight w:val="none"/>
        </w:rPr>
        <w:t>86480185</w:t>
      </w:r>
    </w:p>
    <w:p w14:paraId="32BE29C7">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质疑联系人： 陈一凡</w:t>
      </w:r>
    </w:p>
    <w:p w14:paraId="154FD717">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质疑联系方式：15067888804</w:t>
      </w:r>
    </w:p>
    <w:p w14:paraId="45A894F0">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（2）采购代理机构信息</w:t>
      </w:r>
    </w:p>
    <w:p w14:paraId="3426DFAA">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名称：浙江省房地产管理咨询有限公司 </w:t>
      </w:r>
    </w:p>
    <w:p w14:paraId="34D24CF1">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地址：温州市</w:t>
      </w:r>
      <w:r>
        <w:rPr>
          <w:rFonts w:hint="eastAsia" w:cs="宋体"/>
          <w:color w:val="auto"/>
          <w:sz w:val="22"/>
          <w:szCs w:val="22"/>
          <w:highlight w:val="none"/>
          <w:lang w:val="en-US" w:eastAsia="zh-CN"/>
        </w:rPr>
        <w:t>鹿城区</w:t>
      </w:r>
      <w:r>
        <w:rPr>
          <w:rFonts w:hint="eastAsia" w:cs="宋体"/>
          <w:color w:val="auto"/>
          <w:sz w:val="22"/>
          <w:szCs w:val="22"/>
          <w:highlight w:val="none"/>
        </w:rPr>
        <w:t>新城大道179号中园大厦A幢1</w:t>
      </w:r>
      <w:r>
        <w:rPr>
          <w:rFonts w:hint="eastAsia" w:cs="宋体"/>
          <w:color w:val="auto"/>
          <w:sz w:val="22"/>
          <w:szCs w:val="22"/>
          <w:highlight w:val="none"/>
          <w:lang w:val="en-US" w:eastAsia="zh-CN"/>
        </w:rPr>
        <w:t>1</w:t>
      </w:r>
      <w:r>
        <w:rPr>
          <w:rFonts w:hint="eastAsia" w:cs="宋体"/>
          <w:color w:val="auto"/>
          <w:sz w:val="22"/>
          <w:szCs w:val="22"/>
          <w:highlight w:val="none"/>
        </w:rPr>
        <w:t>02室 </w:t>
      </w:r>
    </w:p>
    <w:p w14:paraId="2AB54A53">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传真：0577-88338126  </w:t>
      </w:r>
    </w:p>
    <w:p w14:paraId="61D85A65">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项目联系人（询问）：</w:t>
      </w:r>
      <w:r>
        <w:rPr>
          <w:rFonts w:hint="eastAsia" w:cs="宋体"/>
          <w:color w:val="auto"/>
          <w:sz w:val="22"/>
          <w:szCs w:val="22"/>
          <w:highlight w:val="none"/>
          <w:lang w:eastAsia="zh-CN"/>
        </w:rPr>
        <w:t>倪诗蓓</w:t>
      </w:r>
      <w:r>
        <w:rPr>
          <w:rFonts w:hint="eastAsia" w:cs="宋体"/>
          <w:color w:val="auto"/>
          <w:sz w:val="22"/>
          <w:szCs w:val="22"/>
          <w:highlight w:val="none"/>
        </w:rPr>
        <w:t> </w:t>
      </w:r>
    </w:p>
    <w:p w14:paraId="62E3B809">
      <w:pPr>
        <w:pStyle w:val="58"/>
        <w:spacing w:before="0" w:beforeAutospacing="0" w:after="0" w:afterAutospacing="0" w:line="440" w:lineRule="exact"/>
        <w:ind w:firstLine="220" w:firstLineChars="100"/>
        <w:rPr>
          <w:rFonts w:hint="eastAsia" w:eastAsia="宋体" w:cs="宋体"/>
          <w:color w:val="auto"/>
          <w:sz w:val="22"/>
          <w:szCs w:val="22"/>
          <w:highlight w:val="none"/>
          <w:lang w:eastAsia="zh-CN"/>
        </w:rPr>
      </w:pPr>
      <w:r>
        <w:rPr>
          <w:rFonts w:hint="eastAsia" w:cs="宋体"/>
          <w:color w:val="auto"/>
          <w:sz w:val="22"/>
          <w:szCs w:val="22"/>
          <w:highlight w:val="none"/>
        </w:rPr>
        <w:t>项目联系方式（询问）：</w:t>
      </w:r>
      <w:r>
        <w:rPr>
          <w:rFonts w:hint="eastAsia" w:cs="宋体"/>
          <w:bCs/>
          <w:color w:val="auto"/>
          <w:sz w:val="22"/>
          <w:szCs w:val="22"/>
          <w:highlight w:val="none"/>
        </w:rPr>
        <w:t>0577-</w:t>
      </w:r>
      <w:r>
        <w:rPr>
          <w:rFonts w:hint="eastAsia" w:cs="宋体"/>
          <w:bCs/>
          <w:color w:val="auto"/>
          <w:sz w:val="22"/>
          <w:szCs w:val="22"/>
          <w:highlight w:val="none"/>
          <w:lang w:eastAsia="zh-CN"/>
        </w:rPr>
        <w:t>88106655、13705886093</w:t>
      </w:r>
    </w:p>
    <w:p w14:paraId="077B7A94">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质疑联系人：李奖 </w:t>
      </w:r>
    </w:p>
    <w:p w14:paraId="2D26BDE0">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质疑联系方式：13736900051 </w:t>
      </w:r>
    </w:p>
    <w:p w14:paraId="72982084">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（3）同级政府采购监督管理部门</w:t>
      </w:r>
    </w:p>
    <w:p w14:paraId="644E67A1">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名称：温州市鹿城区财政局 </w:t>
      </w:r>
    </w:p>
    <w:p w14:paraId="3294660F">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地址：</w:t>
      </w:r>
      <w:r>
        <w:rPr>
          <w:rFonts w:hint="eastAsia" w:ascii="宋体" w:hAnsi="宋体" w:eastAsia="宋体" w:cs="宋体"/>
          <w:i w:val="0"/>
          <w:iCs w:val="0"/>
          <w:caps w:val="0"/>
          <w:color w:val="auto"/>
          <w:spacing w:val="0"/>
          <w:sz w:val="22"/>
          <w:szCs w:val="22"/>
          <w:highlight w:val="none"/>
        </w:rPr>
        <w:t>温州市鹿城区江滨西路552号</w:t>
      </w:r>
    </w:p>
    <w:p w14:paraId="18942D1D">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传真：/</w:t>
      </w:r>
    </w:p>
    <w:p w14:paraId="462A6109">
      <w:pPr>
        <w:pStyle w:val="58"/>
        <w:spacing w:before="0" w:beforeAutospacing="0" w:after="0" w:afterAutospacing="0" w:line="440" w:lineRule="exact"/>
        <w:ind w:firstLine="220" w:firstLineChars="100"/>
        <w:rPr>
          <w:rFonts w:hint="eastAsia" w:cs="宋体"/>
          <w:bCs/>
          <w:color w:val="auto"/>
          <w:sz w:val="22"/>
          <w:szCs w:val="22"/>
          <w:highlight w:val="none"/>
        </w:rPr>
      </w:pPr>
      <w:r>
        <w:rPr>
          <w:rFonts w:hint="eastAsia" w:cs="宋体"/>
          <w:color w:val="auto"/>
          <w:sz w:val="22"/>
          <w:szCs w:val="22"/>
          <w:highlight w:val="none"/>
        </w:rPr>
        <w:t>联系人 ：黄女士</w:t>
      </w:r>
      <w:r>
        <w:rPr>
          <w:rFonts w:hint="eastAsia" w:ascii="宋体" w:hAnsi="宋体" w:eastAsia="宋体" w:cs="宋体"/>
          <w:i w:val="0"/>
          <w:iCs w:val="0"/>
          <w:caps w:val="0"/>
          <w:color w:val="auto"/>
          <w:spacing w:val="0"/>
          <w:sz w:val="22"/>
          <w:szCs w:val="22"/>
          <w:highlight w:val="none"/>
        </w:rPr>
        <w:t>、朱先生</w:t>
      </w:r>
    </w:p>
    <w:p w14:paraId="4604E596">
      <w:pPr>
        <w:pStyle w:val="58"/>
        <w:spacing w:before="0" w:beforeAutospacing="0" w:after="0" w:afterAutospacing="0" w:line="440" w:lineRule="exact"/>
        <w:ind w:firstLine="220" w:firstLineChars="100"/>
        <w:rPr>
          <w:rFonts w:hint="eastAsia" w:cs="宋体"/>
          <w:bCs/>
          <w:color w:val="auto"/>
          <w:sz w:val="22"/>
          <w:szCs w:val="22"/>
          <w:highlight w:val="none"/>
        </w:rPr>
      </w:pPr>
      <w:r>
        <w:rPr>
          <w:rFonts w:hint="eastAsia" w:cs="宋体"/>
          <w:color w:val="auto"/>
          <w:sz w:val="22"/>
          <w:szCs w:val="22"/>
          <w:highlight w:val="none"/>
        </w:rPr>
        <w:t>监督投诉电话：</w:t>
      </w:r>
      <w:r>
        <w:rPr>
          <w:rFonts w:cs="宋体"/>
          <w:color w:val="auto"/>
          <w:sz w:val="22"/>
          <w:szCs w:val="22"/>
          <w:highlight w:val="none"/>
        </w:rPr>
        <w:t>0577-88359173</w:t>
      </w:r>
    </w:p>
    <w:p w14:paraId="1AFD04FB">
      <w:pPr>
        <w:pStyle w:val="58"/>
        <w:spacing w:before="0" w:beforeAutospacing="0" w:after="0" w:afterAutospacing="0" w:line="440" w:lineRule="exact"/>
        <w:ind w:firstLine="220" w:firstLineChars="100"/>
        <w:rPr>
          <w:rFonts w:hint="eastAsia" w:cs="宋体"/>
          <w:bCs/>
          <w:color w:val="auto"/>
          <w:sz w:val="22"/>
          <w:szCs w:val="22"/>
          <w:highlight w:val="none"/>
        </w:rPr>
      </w:pPr>
    </w:p>
    <w:p w14:paraId="7600EBC9">
      <w:pPr>
        <w:snapToGrid w:val="0"/>
        <w:spacing w:line="360" w:lineRule="exact"/>
        <w:ind w:firstLine="418" w:firstLineChars="190"/>
        <w:jc w:val="right"/>
        <w:rPr>
          <w:rFonts w:hint="eastAsia" w:ascii="宋体" w:hAnsi="宋体" w:cs="宋体"/>
          <w:color w:val="auto"/>
          <w:sz w:val="22"/>
          <w:szCs w:val="22"/>
          <w:highlight w:val="none"/>
        </w:rPr>
      </w:pPr>
      <w:r>
        <w:rPr>
          <w:rFonts w:hint="eastAsia" w:ascii="宋体" w:hAnsi="宋体" w:cs="宋体"/>
          <w:color w:val="auto"/>
          <w:sz w:val="22"/>
          <w:szCs w:val="22"/>
          <w:highlight w:val="none"/>
        </w:rPr>
        <w:t>温州市鹿城区藤桥镇人民政府</w:t>
      </w:r>
    </w:p>
    <w:p w14:paraId="26D4C875">
      <w:pPr>
        <w:snapToGrid w:val="0"/>
        <w:spacing w:line="360" w:lineRule="exact"/>
        <w:ind w:firstLine="418" w:firstLineChars="190"/>
        <w:jc w:val="right"/>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w:t>
      </w:r>
    </w:p>
    <w:p w14:paraId="64FEF804">
      <w:pPr>
        <w:widowControl/>
        <w:wordWrap w:val="0"/>
        <w:snapToGrid w:val="0"/>
        <w:spacing w:line="360" w:lineRule="exact"/>
        <w:ind w:firstLine="440" w:firstLineChars="200"/>
        <w:jc w:val="right"/>
        <w:rPr>
          <w:rFonts w:hint="eastAsia" w:ascii="宋体" w:hAnsi="宋体" w:cs="宋体"/>
          <w:b/>
          <w:bCs/>
          <w:color w:val="auto"/>
          <w:sz w:val="22"/>
          <w:szCs w:val="22"/>
          <w:highlight w:val="none"/>
        </w:rPr>
      </w:pPr>
      <w:r>
        <w:rPr>
          <w:rFonts w:hint="eastAsia" w:ascii="宋体" w:hAnsi="宋体" w:cs="宋体"/>
          <w:color w:val="auto"/>
          <w:sz w:val="22"/>
          <w:szCs w:val="22"/>
          <w:highlight w:val="none"/>
          <w:lang w:eastAsia="zh-CN"/>
        </w:rPr>
        <w:t>2025年3月</w:t>
      </w:r>
      <w:r>
        <w:rPr>
          <w:rFonts w:hint="eastAsia" w:ascii="宋体" w:hAnsi="宋体" w:cs="宋体"/>
          <w:color w:val="auto"/>
          <w:sz w:val="22"/>
          <w:szCs w:val="22"/>
          <w:highlight w:val="none"/>
          <w:lang w:val="en-US" w:eastAsia="zh-CN"/>
        </w:rPr>
        <w:t>24</w:t>
      </w:r>
      <w:r>
        <w:rPr>
          <w:rFonts w:hint="eastAsia" w:ascii="宋体" w:hAnsi="宋体" w:cs="宋体"/>
          <w:color w:val="auto"/>
          <w:sz w:val="22"/>
          <w:szCs w:val="22"/>
          <w:highlight w:val="none"/>
        </w:rPr>
        <w:t>日</w:t>
      </w:r>
    </w:p>
    <w:p w14:paraId="3526EA12">
      <w:pPr>
        <w:pStyle w:val="58"/>
        <w:spacing w:before="0" w:beforeAutospacing="0" w:after="0" w:afterAutospacing="0" w:line="440" w:lineRule="exact"/>
        <w:ind w:firstLine="220" w:firstLineChars="100"/>
        <w:rPr>
          <w:rFonts w:hint="eastAsia" w:cs="宋体"/>
          <w:color w:val="auto"/>
          <w:sz w:val="22"/>
          <w:szCs w:val="22"/>
          <w:highlight w:val="none"/>
        </w:rPr>
      </w:pPr>
    </w:p>
    <w:p w14:paraId="5C519558">
      <w:pPr>
        <w:pStyle w:val="58"/>
        <w:spacing w:before="0" w:beforeAutospacing="0" w:after="0" w:afterAutospacing="0" w:line="440" w:lineRule="exact"/>
        <w:ind w:firstLine="220" w:firstLineChars="100"/>
        <w:rPr>
          <w:rFonts w:hint="eastAsia" w:cs="宋体"/>
          <w:color w:val="auto"/>
          <w:sz w:val="22"/>
          <w:szCs w:val="22"/>
          <w:highlight w:val="none"/>
        </w:rPr>
      </w:pPr>
    </w:p>
    <w:p w14:paraId="58569368">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若对项目采购电子交易系统操作有疑问，可登录政采云（</w:t>
      </w:r>
      <w:r>
        <w:rPr>
          <w:rFonts w:cs="宋体"/>
          <w:color w:val="auto"/>
          <w:sz w:val="22"/>
          <w:szCs w:val="22"/>
          <w:highlight w:val="none"/>
        </w:rPr>
        <w:t>https://www.zcygov.cn/</w:t>
      </w:r>
      <w:r>
        <w:rPr>
          <w:rFonts w:hint="eastAsia" w:cs="宋体"/>
          <w:color w:val="auto"/>
          <w:sz w:val="22"/>
          <w:szCs w:val="22"/>
          <w:highlight w:val="none"/>
        </w:rPr>
        <w:t>），点击右侧咨询小采，获取采小蜜智能服务管家帮助，或拨打政采云服务热线</w:t>
      </w:r>
      <w:r>
        <w:rPr>
          <w:rFonts w:hint="eastAsia" w:cs="宋体"/>
          <w:color w:val="auto"/>
          <w:sz w:val="22"/>
          <w:szCs w:val="22"/>
          <w:highlight w:val="none"/>
          <w:lang w:eastAsia="zh-CN"/>
        </w:rPr>
        <w:t>95763</w:t>
      </w:r>
      <w:r>
        <w:rPr>
          <w:rFonts w:hint="eastAsia" w:cs="宋体"/>
          <w:color w:val="auto"/>
          <w:sz w:val="22"/>
          <w:szCs w:val="22"/>
          <w:highlight w:val="none"/>
        </w:rPr>
        <w:t xml:space="preserve">获取热线服务帮助。    </w:t>
      </w:r>
    </w:p>
    <w:p w14:paraId="677CD0B7">
      <w:pPr>
        <w:pStyle w:val="58"/>
        <w:spacing w:before="0" w:beforeAutospacing="0" w:after="0" w:afterAutospacing="0" w:line="440" w:lineRule="exact"/>
        <w:ind w:firstLine="220" w:firstLineChars="100"/>
        <w:rPr>
          <w:rFonts w:hint="eastAsia" w:cs="宋体"/>
          <w:color w:val="auto"/>
          <w:sz w:val="22"/>
          <w:szCs w:val="22"/>
          <w:highlight w:val="none"/>
        </w:rPr>
      </w:pPr>
      <w:r>
        <w:rPr>
          <w:rFonts w:hint="eastAsia" w:cs="宋体"/>
          <w:color w:val="auto"/>
          <w:sz w:val="22"/>
          <w:szCs w:val="22"/>
          <w:highlight w:val="none"/>
        </w:rPr>
        <w:t>CA问题联系电话（人工）：汇信CA 400-888-4636；天谷CA 400-087-8198。</w:t>
      </w:r>
    </w:p>
    <w:p w14:paraId="4BF0A119">
      <w:pPr>
        <w:pStyle w:val="60"/>
        <w:rPr>
          <w:rFonts w:hint="eastAsia" w:ascii="宋体" w:hAnsi="宋体" w:eastAsia="宋体" w:cs="宋体"/>
          <w:b w:val="0"/>
          <w:bCs w:val="0"/>
          <w:color w:val="auto"/>
          <w:sz w:val="36"/>
          <w:szCs w:val="36"/>
          <w:highlight w:val="none"/>
        </w:rPr>
      </w:pPr>
    </w:p>
    <w:p w14:paraId="495B833F">
      <w:pPr>
        <w:pStyle w:val="60"/>
        <w:rPr>
          <w:rFonts w:hint="eastAsia" w:ascii="宋体" w:hAnsi="宋体" w:eastAsia="宋体" w:cs="宋体"/>
          <w:color w:val="auto"/>
          <w:sz w:val="36"/>
          <w:szCs w:val="36"/>
          <w:highlight w:val="none"/>
        </w:rPr>
      </w:pPr>
      <w:r>
        <w:rPr>
          <w:rFonts w:hint="eastAsia" w:ascii="宋体" w:hAnsi="宋体" w:eastAsia="宋体" w:cs="宋体"/>
          <w:b w:val="0"/>
          <w:bCs w:val="0"/>
          <w:color w:val="auto"/>
          <w:sz w:val="36"/>
          <w:szCs w:val="36"/>
          <w:highlight w:val="none"/>
        </w:rPr>
        <w:br w:type="page"/>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Start w:id="25" w:name="_Toc221374622"/>
      <w:bookmarkStart w:id="26" w:name="_Toc31203"/>
      <w:bookmarkStart w:id="27" w:name="_Toc262105499"/>
      <w:bookmarkStart w:id="28" w:name="_Toc221423615"/>
      <w:bookmarkStart w:id="29" w:name="_Toc246261261"/>
      <w:bookmarkStart w:id="30" w:name="_Toc223715994"/>
      <w:bookmarkStart w:id="31" w:name="_Toc241404198"/>
      <w:bookmarkStart w:id="32" w:name="_Toc245191310"/>
      <w:bookmarkStart w:id="33" w:name="_Toc239145350"/>
      <w:bookmarkStart w:id="34" w:name="_Toc249758708"/>
      <w:bookmarkStart w:id="35" w:name="_Toc245722277"/>
      <w:bookmarkStart w:id="36" w:name="_Toc221356947"/>
      <w:bookmarkStart w:id="37" w:name="_Toc262049414"/>
      <w:bookmarkStart w:id="38" w:name="_Toc249758860"/>
      <w:bookmarkStart w:id="39" w:name="_Toc221356882"/>
      <w:bookmarkStart w:id="40" w:name="_Toc222114875"/>
      <w:r>
        <w:rPr>
          <w:rFonts w:hint="eastAsia" w:ascii="宋体" w:hAnsi="宋体" w:eastAsia="宋体" w:cs="宋体"/>
          <w:color w:val="auto"/>
          <w:sz w:val="36"/>
          <w:szCs w:val="36"/>
          <w:highlight w:val="none"/>
        </w:rPr>
        <w:t>第一部分    供应商须知</w:t>
      </w:r>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2AE03DBB">
      <w:pPr>
        <w:bidi w:val="0"/>
        <w:jc w:val="center"/>
        <w:outlineLvl w:val="1"/>
        <w:rPr>
          <w:rFonts w:hint="eastAsia"/>
          <w:b/>
          <w:bCs/>
          <w:color w:val="auto"/>
          <w:sz w:val="24"/>
          <w:szCs w:val="32"/>
          <w:highlight w:val="none"/>
          <w:lang w:val="en-US" w:eastAsia="zh-CN"/>
        </w:rPr>
      </w:pPr>
      <w:bookmarkStart w:id="41" w:name="_Toc5718"/>
      <w:bookmarkStart w:id="42" w:name="_Toc221374623"/>
      <w:bookmarkStart w:id="43" w:name="_Toc246261262"/>
      <w:bookmarkStart w:id="44" w:name="_Toc245191311"/>
      <w:bookmarkStart w:id="45" w:name="_Toc262049415"/>
      <w:bookmarkStart w:id="46" w:name="_Toc223715995"/>
      <w:bookmarkStart w:id="47" w:name="_Toc32582"/>
      <w:bookmarkStart w:id="48" w:name="_Toc249758861"/>
      <w:bookmarkStart w:id="49" w:name="_Toc222114876"/>
      <w:bookmarkStart w:id="50" w:name="_Toc239145351"/>
      <w:bookmarkStart w:id="51" w:name="_Toc262105500"/>
      <w:bookmarkStart w:id="52" w:name="_Toc245722278"/>
      <w:bookmarkStart w:id="53" w:name="_Toc241404199"/>
      <w:bookmarkStart w:id="54" w:name="_Toc221423616"/>
      <w:bookmarkStart w:id="55" w:name="_Toc221356948"/>
      <w:bookmarkStart w:id="56" w:name="_Toc249758709"/>
      <w:bookmarkStart w:id="57" w:name="_Toc221356883"/>
      <w:r>
        <w:rPr>
          <w:rFonts w:hint="eastAsia"/>
          <w:b/>
          <w:bCs/>
          <w:color w:val="auto"/>
          <w:sz w:val="24"/>
          <w:szCs w:val="32"/>
          <w:highlight w:val="none"/>
          <w:lang w:val="en-US" w:eastAsia="zh-CN"/>
        </w:rPr>
        <w:t>前 附 表</w:t>
      </w:r>
      <w:bookmarkEnd w:id="41"/>
    </w:p>
    <w:tbl>
      <w:tblPr>
        <w:tblStyle w:val="62"/>
        <w:tblW w:w="1029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574"/>
        <w:gridCol w:w="9723"/>
      </w:tblGrid>
      <w:tr w14:paraId="7585C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8" w:space="0"/>
              <w:left w:val="single" w:color="000000" w:sz="8" w:space="0"/>
              <w:bottom w:val="single" w:color="000000" w:sz="2" w:space="0"/>
              <w:right w:val="single" w:color="000000" w:sz="2" w:space="0"/>
            </w:tcBorders>
            <w:noWrap w:val="0"/>
            <w:vAlign w:val="center"/>
          </w:tcPr>
          <w:p w14:paraId="0BF56C37">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新宋体" w:hAnsi="新宋体" w:eastAsia="新宋体" w:cs="新宋体"/>
                <w:color w:val="auto"/>
                <w:sz w:val="22"/>
                <w:szCs w:val="22"/>
                <w:highlight w:val="none"/>
              </w:rPr>
            </w:pPr>
            <w:bookmarkStart w:id="58" w:name="_Hlt75139851"/>
            <w:bookmarkEnd w:id="58"/>
            <w:r>
              <w:rPr>
                <w:rFonts w:hint="eastAsia" w:ascii="新宋体" w:hAnsi="新宋体" w:eastAsia="新宋体"/>
                <w:b/>
                <w:bCs/>
                <w:color w:val="auto"/>
                <w:sz w:val="22"/>
                <w:szCs w:val="22"/>
                <w:highlight w:val="none"/>
              </w:rPr>
              <w:br w:type="page"/>
            </w:r>
            <w:r>
              <w:rPr>
                <w:rFonts w:hint="eastAsia" w:ascii="新宋体" w:hAnsi="新宋体" w:eastAsia="新宋体" w:cs="新宋体"/>
                <w:color w:val="auto"/>
                <w:sz w:val="22"/>
                <w:szCs w:val="22"/>
                <w:highlight w:val="none"/>
              </w:rPr>
              <w:t>条款</w:t>
            </w:r>
          </w:p>
        </w:tc>
        <w:tc>
          <w:tcPr>
            <w:tcW w:w="9723" w:type="dxa"/>
            <w:tcBorders>
              <w:top w:val="single" w:color="000000" w:sz="8" w:space="0"/>
              <w:left w:val="single" w:color="000000" w:sz="2" w:space="0"/>
              <w:bottom w:val="single" w:color="000000" w:sz="2" w:space="0"/>
              <w:right w:val="single" w:color="000000" w:sz="8" w:space="0"/>
            </w:tcBorders>
            <w:noWrap w:val="0"/>
            <w:vAlign w:val="center"/>
          </w:tcPr>
          <w:p w14:paraId="5243B666">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内容规定</w:t>
            </w:r>
          </w:p>
        </w:tc>
      </w:tr>
      <w:tr w14:paraId="24437D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32BD911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w:t>
            </w:r>
          </w:p>
        </w:tc>
        <w:tc>
          <w:tcPr>
            <w:tcW w:w="9723" w:type="dxa"/>
            <w:tcBorders>
              <w:top w:val="single" w:color="000000" w:sz="2" w:space="0"/>
              <w:left w:val="single" w:color="000000" w:sz="2" w:space="0"/>
              <w:bottom w:val="single" w:color="000000" w:sz="2" w:space="0"/>
              <w:right w:val="single" w:color="000000" w:sz="8" w:space="0"/>
            </w:tcBorders>
            <w:noWrap w:val="0"/>
            <w:vAlign w:val="top"/>
          </w:tcPr>
          <w:p w14:paraId="2A6D2E9C">
            <w:pPr>
              <w:keepNext w:val="0"/>
              <w:keepLines w:val="0"/>
              <w:pageBreakBefore w:val="0"/>
              <w:tabs>
                <w:tab w:val="left" w:pos="3780"/>
              </w:tabs>
              <w:kinsoku/>
              <w:wordWrap/>
              <w:overflowPunct/>
              <w:topLinePunct w:val="0"/>
              <w:autoSpaceDE/>
              <w:autoSpaceDN/>
              <w:bidi w:val="0"/>
              <w:adjustRightInd/>
              <w:snapToGrid w:val="0"/>
              <w:spacing w:line="460" w:lineRule="exact"/>
              <w:rPr>
                <w:rFonts w:hint="eastAsia"/>
                <w:color w:val="auto"/>
                <w:highlight w:val="none"/>
              </w:rPr>
            </w:pPr>
            <w:r>
              <w:rPr>
                <w:rFonts w:hint="eastAsia"/>
                <w:b/>
                <w:bCs/>
                <w:color w:val="auto"/>
                <w:highlight w:val="none"/>
              </w:rPr>
              <w:t>一、项目名称：</w:t>
            </w:r>
            <w:r>
              <w:rPr>
                <w:rFonts w:hint="eastAsia"/>
                <w:color w:val="auto"/>
                <w:highlight w:val="none"/>
                <w:lang w:eastAsia="zh-CN"/>
              </w:rPr>
              <w:t>2025年-2026年鹿城区藤桥镇山区农村饮用水县级统管项目</w:t>
            </w:r>
          </w:p>
          <w:p w14:paraId="32613CA6">
            <w:pPr>
              <w:snapToGrid w:val="0"/>
              <w:spacing w:line="460" w:lineRule="exact"/>
              <w:rPr>
                <w:color w:val="auto"/>
                <w:highlight w:val="none"/>
              </w:rPr>
            </w:pPr>
            <w:r>
              <w:rPr>
                <w:rFonts w:hint="eastAsia"/>
                <w:b/>
                <w:bCs/>
                <w:color w:val="auto"/>
                <w:highlight w:val="none"/>
              </w:rPr>
              <w:t>二、采购内容</w:t>
            </w:r>
            <w:r>
              <w:rPr>
                <w:rFonts w:hint="eastAsia"/>
                <w:b/>
                <w:bCs/>
                <w:color w:val="auto"/>
                <w:highlight w:val="none"/>
                <w:lang w:eastAsia="zh-CN"/>
              </w:rPr>
              <w:t>：</w:t>
            </w:r>
            <w:r>
              <w:rPr>
                <w:rFonts w:hint="eastAsia"/>
                <w:color w:val="auto"/>
                <w:highlight w:val="none"/>
                <w:lang w:eastAsia="zh-CN"/>
              </w:rPr>
              <w:t>2025年-2026年鹿城区藤桥镇山区农村饮用水县级统管项目，具体采购技术要求详见单一来源采购第四部分</w:t>
            </w:r>
          </w:p>
          <w:p w14:paraId="193623F7">
            <w:pPr>
              <w:keepNext w:val="0"/>
              <w:keepLines w:val="0"/>
              <w:pageBreakBefore w:val="0"/>
              <w:tabs>
                <w:tab w:val="left" w:pos="3780"/>
              </w:tabs>
              <w:kinsoku/>
              <w:wordWrap/>
              <w:overflowPunct/>
              <w:topLinePunct w:val="0"/>
              <w:autoSpaceDE/>
              <w:autoSpaceDN/>
              <w:bidi w:val="0"/>
              <w:adjustRightInd/>
              <w:snapToGrid w:val="0"/>
              <w:spacing w:line="460" w:lineRule="exact"/>
              <w:rPr>
                <w:rFonts w:hint="default"/>
                <w:color w:val="auto"/>
                <w:highlight w:val="none"/>
                <w:lang w:val="en-US" w:eastAsia="zh-CN"/>
              </w:rPr>
            </w:pPr>
            <w:r>
              <w:rPr>
                <w:rFonts w:hint="eastAsia"/>
                <w:b/>
                <w:bCs/>
                <w:color w:val="auto"/>
                <w:highlight w:val="none"/>
                <w:lang w:val="en-US" w:eastAsia="zh-CN"/>
              </w:rPr>
              <w:t>三、预算金额：</w:t>
            </w:r>
            <w:r>
              <w:rPr>
                <w:rFonts w:hint="eastAsia" w:ascii="宋体" w:hAnsi="宋体" w:cs="宋体"/>
                <w:color w:val="auto"/>
                <w:sz w:val="22"/>
                <w:szCs w:val="22"/>
                <w:highlight w:val="none"/>
              </w:rPr>
              <w:t>3659814元</w:t>
            </w:r>
          </w:p>
        </w:tc>
      </w:tr>
      <w:tr w14:paraId="4B0384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196C2468">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2</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17E7E3C8">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default" w:ascii="新宋体" w:hAnsi="新宋体" w:eastAsia="新宋体" w:cs="新宋体"/>
                <w:color w:val="auto"/>
                <w:sz w:val="22"/>
                <w:szCs w:val="22"/>
                <w:highlight w:val="none"/>
                <w:lang w:val="en-US" w:eastAsia="zh-CN"/>
              </w:rPr>
            </w:pPr>
            <w:r>
              <w:rPr>
                <w:rFonts w:hint="eastAsia"/>
                <w:b/>
                <w:bCs/>
                <w:color w:val="auto"/>
                <w:highlight w:val="none"/>
                <w:lang w:val="en-US" w:eastAsia="zh-CN"/>
              </w:rPr>
              <w:t>服务期：</w:t>
            </w:r>
            <w:r>
              <w:rPr>
                <w:rFonts w:hint="eastAsia" w:ascii="新宋体" w:hAnsi="新宋体" w:eastAsia="新宋体" w:cs="新宋体"/>
                <w:color w:val="auto"/>
                <w:sz w:val="22"/>
                <w:szCs w:val="22"/>
                <w:highlight w:val="none"/>
                <w:lang w:val="en-US" w:eastAsia="zh-CN"/>
              </w:rPr>
              <w:t>2年</w:t>
            </w:r>
          </w:p>
        </w:tc>
      </w:tr>
      <w:tr w14:paraId="2A3B6A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77DDD466">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3</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6214A7FF">
            <w:pPr>
              <w:keepNext w:val="0"/>
              <w:keepLines w:val="0"/>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en-US" w:eastAsia="zh-CN"/>
              </w:rPr>
              <w:t>投标</w:t>
            </w:r>
            <w:r>
              <w:rPr>
                <w:rFonts w:hint="eastAsia" w:ascii="新宋体" w:hAnsi="新宋体" w:eastAsia="新宋体" w:cs="新宋体"/>
                <w:b/>
                <w:bCs/>
                <w:color w:val="auto"/>
                <w:sz w:val="22"/>
                <w:szCs w:val="22"/>
                <w:highlight w:val="none"/>
              </w:rPr>
              <w:t>保证金数额：</w:t>
            </w:r>
            <w:r>
              <w:rPr>
                <w:rFonts w:hint="eastAsia" w:ascii="宋体" w:hAnsi="宋体" w:cs="宋体"/>
                <w:color w:val="auto"/>
                <w:sz w:val="22"/>
                <w:szCs w:val="22"/>
                <w:highlight w:val="none"/>
              </w:rPr>
              <w:t>无须缴纳。</w:t>
            </w:r>
          </w:p>
        </w:tc>
      </w:tr>
      <w:tr w14:paraId="718058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440EB01E">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4</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494E4AB5">
            <w:pPr>
              <w:keepLines w:val="0"/>
              <w:pageBreakBefore w:val="0"/>
              <w:kinsoku/>
              <w:wordWrap/>
              <w:overflowPunct/>
              <w:topLinePunct w:val="0"/>
              <w:autoSpaceDE/>
              <w:autoSpaceDN/>
              <w:bidi w:val="0"/>
              <w:adjustRightInd/>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en-US" w:eastAsia="zh-CN"/>
              </w:rPr>
              <w:t>投标履约</w:t>
            </w:r>
            <w:r>
              <w:rPr>
                <w:rFonts w:hint="eastAsia" w:ascii="新宋体" w:hAnsi="新宋体" w:eastAsia="新宋体" w:cs="新宋体"/>
                <w:b/>
                <w:bCs/>
                <w:color w:val="auto"/>
                <w:sz w:val="22"/>
                <w:szCs w:val="22"/>
                <w:highlight w:val="none"/>
              </w:rPr>
              <w:t>金数额：</w:t>
            </w:r>
            <w:r>
              <w:rPr>
                <w:rFonts w:hint="eastAsia" w:ascii="宋体" w:hAnsi="宋体" w:cs="宋体"/>
                <w:color w:val="auto"/>
                <w:sz w:val="22"/>
                <w:szCs w:val="22"/>
                <w:highlight w:val="none"/>
              </w:rPr>
              <w:t>无须缴纳。</w:t>
            </w:r>
          </w:p>
        </w:tc>
      </w:tr>
      <w:tr w14:paraId="04F748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1CE1FD5B">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5</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494E52FC">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单一来源响应文件的构成：</w:t>
            </w:r>
            <w:r>
              <w:rPr>
                <w:rFonts w:hint="eastAsia" w:ascii="新宋体" w:hAnsi="新宋体" w:eastAsia="新宋体" w:cs="新宋体"/>
                <w:color w:val="auto"/>
                <w:sz w:val="22"/>
                <w:szCs w:val="22"/>
                <w:highlight w:val="none"/>
                <w:lang w:bidi="ar"/>
              </w:rPr>
              <w:t>由“资格文件”、“商务技术文件”和“报价文件”三个部分组成。</w:t>
            </w:r>
          </w:p>
        </w:tc>
      </w:tr>
      <w:tr w14:paraId="77469F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198B1840">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6</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419D35DC">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谈判</w:t>
            </w:r>
            <w:r>
              <w:rPr>
                <w:rFonts w:hint="eastAsia" w:ascii="新宋体" w:hAnsi="新宋体" w:eastAsia="新宋体" w:cs="新宋体"/>
                <w:b/>
                <w:bCs/>
                <w:color w:val="auto"/>
                <w:sz w:val="22"/>
                <w:szCs w:val="22"/>
                <w:highlight w:val="none"/>
                <w:lang w:bidi="ar"/>
              </w:rPr>
              <w:t>文件的编制：</w:t>
            </w:r>
            <w:r>
              <w:rPr>
                <w:rFonts w:hint="eastAsia" w:ascii="新宋体" w:hAnsi="新宋体" w:eastAsia="新宋体" w:cs="新宋体"/>
                <w:color w:val="auto"/>
                <w:sz w:val="22"/>
                <w:szCs w:val="22"/>
                <w:highlight w:val="none"/>
                <w:lang w:bidi="ar"/>
              </w:rPr>
              <w:t>供应商应先安装“政采云电子交易客户端”，并按照本</w:t>
            </w:r>
            <w:r>
              <w:rPr>
                <w:rFonts w:hint="eastAsia" w:ascii="新宋体" w:hAnsi="新宋体" w:eastAsia="新宋体" w:cs="新宋体"/>
                <w:color w:val="auto"/>
                <w:sz w:val="22"/>
                <w:szCs w:val="22"/>
                <w:highlight w:val="none"/>
                <w:lang w:val="en-US" w:eastAsia="zh-CN" w:bidi="ar"/>
              </w:rPr>
              <w:t>谈判</w:t>
            </w:r>
            <w:r>
              <w:rPr>
                <w:rFonts w:hint="eastAsia" w:ascii="新宋体" w:hAnsi="新宋体" w:eastAsia="新宋体" w:cs="新宋体"/>
                <w:color w:val="auto"/>
                <w:sz w:val="22"/>
                <w:szCs w:val="22"/>
                <w:highlight w:val="none"/>
                <w:lang w:bidi="ar"/>
              </w:rPr>
              <w:t>文件和“政府采购云平台”的要求，通过“政采云电子交易客户端”编制并加密</w:t>
            </w:r>
            <w:r>
              <w:rPr>
                <w:rFonts w:hint="eastAsia" w:ascii="新宋体" w:hAnsi="新宋体" w:eastAsia="新宋体" w:cs="新宋体"/>
                <w:color w:val="auto"/>
                <w:sz w:val="22"/>
                <w:szCs w:val="22"/>
                <w:highlight w:val="none"/>
                <w:lang w:val="en-US" w:eastAsia="zh-CN" w:bidi="ar"/>
              </w:rPr>
              <w:t>谈判响应</w:t>
            </w:r>
            <w:r>
              <w:rPr>
                <w:rFonts w:hint="eastAsia" w:ascii="新宋体" w:hAnsi="新宋体" w:eastAsia="新宋体" w:cs="新宋体"/>
                <w:color w:val="auto"/>
                <w:sz w:val="22"/>
                <w:szCs w:val="22"/>
                <w:highlight w:val="none"/>
                <w:lang w:bidi="ar"/>
              </w:rPr>
              <w:t>文件。</w:t>
            </w:r>
          </w:p>
        </w:tc>
      </w:tr>
      <w:tr w14:paraId="7AE655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39F23356">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7</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3968AB6E">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谈判</w:t>
            </w:r>
            <w:r>
              <w:rPr>
                <w:rFonts w:hint="eastAsia" w:ascii="新宋体" w:hAnsi="新宋体" w:eastAsia="新宋体" w:cs="新宋体"/>
                <w:b/>
                <w:bCs/>
                <w:color w:val="auto"/>
                <w:sz w:val="22"/>
                <w:szCs w:val="22"/>
                <w:highlight w:val="none"/>
                <w:lang w:bidi="ar"/>
              </w:rPr>
              <w:t>文件的签章：</w:t>
            </w:r>
            <w:r>
              <w:rPr>
                <w:rFonts w:hint="eastAsia" w:ascii="新宋体" w:hAnsi="新宋体" w:eastAsia="新宋体" w:cs="新宋体"/>
                <w:color w:val="auto"/>
                <w:sz w:val="22"/>
                <w:szCs w:val="22"/>
                <w:highlight w:val="none"/>
                <w:lang w:bidi="ar"/>
              </w:rPr>
              <w:t>电子签章。</w:t>
            </w:r>
          </w:p>
        </w:tc>
      </w:tr>
      <w:tr w14:paraId="7424E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6C98A13A">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8</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7A0DF706">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谈判</w:t>
            </w:r>
            <w:r>
              <w:rPr>
                <w:rFonts w:hint="eastAsia" w:ascii="新宋体" w:hAnsi="新宋体" w:eastAsia="新宋体" w:cs="新宋体"/>
                <w:b/>
                <w:bCs/>
                <w:color w:val="auto"/>
                <w:sz w:val="22"/>
                <w:szCs w:val="22"/>
                <w:highlight w:val="none"/>
                <w:lang w:bidi="ar"/>
              </w:rPr>
              <w:t>文件的形式：</w:t>
            </w:r>
            <w:r>
              <w:rPr>
                <w:rFonts w:hint="eastAsia" w:ascii="新宋体" w:hAnsi="新宋体" w:eastAsia="新宋体" w:cs="新宋体"/>
                <w:color w:val="auto"/>
                <w:sz w:val="22"/>
                <w:szCs w:val="22"/>
                <w:highlight w:val="none"/>
                <w:lang w:bidi="ar"/>
              </w:rPr>
              <w:t>☑电子</w:t>
            </w:r>
            <w:r>
              <w:rPr>
                <w:rFonts w:hint="eastAsia" w:ascii="新宋体" w:hAnsi="新宋体" w:eastAsia="新宋体" w:cs="新宋体"/>
                <w:color w:val="auto"/>
                <w:sz w:val="22"/>
                <w:szCs w:val="22"/>
                <w:highlight w:val="none"/>
                <w:lang w:val="en-US" w:eastAsia="zh-CN" w:bidi="ar"/>
              </w:rPr>
              <w:t>谈判响应</w:t>
            </w:r>
            <w:r>
              <w:rPr>
                <w:rFonts w:hint="eastAsia" w:ascii="新宋体" w:hAnsi="新宋体" w:eastAsia="新宋体" w:cs="新宋体"/>
                <w:color w:val="auto"/>
                <w:sz w:val="22"/>
                <w:szCs w:val="22"/>
                <w:highlight w:val="none"/>
                <w:lang w:bidi="ar"/>
              </w:rPr>
              <w:t>文件（包括“电子加密</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文件”和“备份</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文件”，在</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文件编制完成后同时生成）；</w:t>
            </w:r>
          </w:p>
          <w:p w14:paraId="5936ABCF">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（1）“电子加密</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文件”是指通过“政采云电子交易客户端”完成</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文件编制后生成并加密的数据电文形式的</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w:t>
            </w:r>
          </w:p>
          <w:p w14:paraId="7D31EEE3">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（2）“备份</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响应</w:t>
            </w:r>
            <w:r>
              <w:rPr>
                <w:rFonts w:hint="eastAsia" w:ascii="新宋体" w:hAnsi="新宋体" w:eastAsia="新宋体" w:cs="新宋体"/>
                <w:color w:val="auto"/>
                <w:sz w:val="22"/>
                <w:szCs w:val="22"/>
                <w:highlight w:val="none"/>
                <w:lang w:bidi="ar"/>
              </w:rPr>
              <w:t>文件”是指与“电子加密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文件”同时生成的数据电文形式的电子文件（备份标书），其他方式编制的备份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文件视为无效备份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w:t>
            </w:r>
          </w:p>
        </w:tc>
      </w:tr>
      <w:tr w14:paraId="1D617F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249520F1">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val="en-US" w:eastAsia="zh-CN"/>
              </w:rPr>
              <w:t>9</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2A2ACA21">
            <w:pPr>
              <w:keepNext w:val="0"/>
              <w:keepLines w:val="0"/>
              <w:pageBreakBefore w:val="0"/>
              <w:kinsoku/>
              <w:wordWrap/>
              <w:overflowPunct/>
              <w:topLinePunct w:val="0"/>
              <w:bidi w:val="0"/>
              <w:spacing w:line="460" w:lineRule="exact"/>
              <w:rPr>
                <w:rFonts w:hint="eastAsia" w:ascii="新宋体" w:hAnsi="新宋体" w:eastAsia="新宋体" w:cs="新宋体"/>
                <w:b/>
                <w:bCs/>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谈判响应</w:t>
            </w:r>
            <w:r>
              <w:rPr>
                <w:rFonts w:hint="eastAsia" w:ascii="新宋体" w:hAnsi="新宋体" w:eastAsia="新宋体" w:cs="新宋体"/>
                <w:b/>
                <w:bCs/>
                <w:color w:val="auto"/>
                <w:sz w:val="22"/>
                <w:szCs w:val="22"/>
                <w:highlight w:val="none"/>
                <w:lang w:bidi="ar"/>
              </w:rPr>
              <w:t>文件份数：</w:t>
            </w:r>
          </w:p>
          <w:p w14:paraId="312BE89A">
            <w:pPr>
              <w:keepNext w:val="0"/>
              <w:keepLines w:val="0"/>
              <w:pageBreakBefore w:val="0"/>
              <w:numPr>
                <w:ilvl w:val="0"/>
                <w:numId w:val="1"/>
              </w:numPr>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文件”：在线上传递交</w:t>
            </w:r>
          </w:p>
          <w:p w14:paraId="1305B2AF">
            <w:pPr>
              <w:keepNext w:val="0"/>
              <w:keepLines w:val="0"/>
              <w:pageBreakBefore w:val="0"/>
              <w:numPr>
                <w:ilvl w:val="0"/>
                <w:numId w:val="1"/>
              </w:numPr>
              <w:kinsoku/>
              <w:wordWrap/>
              <w:overflowPunct/>
              <w:topLinePunct w:val="0"/>
              <w:bidi w:val="0"/>
              <w:spacing w:line="460" w:lineRule="exact"/>
              <w:ind w:left="0" w:leftChars="0" w:firstLine="0" w:firstLineChars="0"/>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文件”：密封包装后</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截止时间前递交</w:t>
            </w:r>
          </w:p>
          <w:p w14:paraId="7E684173">
            <w:pPr>
              <w:keepNext w:val="0"/>
              <w:keepLines w:val="0"/>
              <w:pageBreakBefore w:val="0"/>
              <w:numPr>
                <w:ilvl w:val="0"/>
                <w:numId w:val="0"/>
              </w:numPr>
              <w:kinsoku/>
              <w:wordWrap/>
              <w:overflowPunct/>
              <w:topLinePunct w:val="0"/>
              <w:bidi w:val="0"/>
              <w:spacing w:line="460" w:lineRule="exact"/>
              <w:ind w:leftChars="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eastAsia="zh-CN" w:bidi="ar"/>
              </w:rPr>
              <w:t>（</w:t>
            </w:r>
            <w:r>
              <w:rPr>
                <w:rFonts w:hint="eastAsia" w:ascii="新宋体" w:hAnsi="新宋体" w:eastAsia="新宋体" w:cs="新宋体"/>
                <w:b/>
                <w:bCs/>
                <w:color w:val="auto"/>
                <w:sz w:val="22"/>
                <w:szCs w:val="22"/>
                <w:highlight w:val="none"/>
                <w:lang w:val="en-US" w:eastAsia="zh-CN" w:bidi="ar"/>
              </w:rPr>
              <w:t>若不提供备份文件，</w:t>
            </w:r>
            <w:r>
              <w:rPr>
                <w:rFonts w:hint="eastAsia" w:ascii="新宋体" w:hAnsi="新宋体" w:eastAsia="新宋体" w:cs="新宋体"/>
                <w:b/>
                <w:bCs/>
                <w:color w:val="auto"/>
                <w:sz w:val="22"/>
                <w:szCs w:val="22"/>
                <w:highlight w:val="none"/>
                <w:lang w:bidi="ar"/>
              </w:rPr>
              <w:t>电子加密</w:t>
            </w:r>
            <w:r>
              <w:rPr>
                <w:rFonts w:hint="eastAsia" w:ascii="新宋体" w:hAnsi="新宋体" w:eastAsia="新宋体" w:cs="新宋体"/>
                <w:b/>
                <w:bCs/>
                <w:color w:val="auto"/>
                <w:sz w:val="22"/>
                <w:szCs w:val="22"/>
                <w:highlight w:val="none"/>
                <w:lang w:eastAsia="zh-CN" w:bidi="ar"/>
              </w:rPr>
              <w:t>谈判响应</w:t>
            </w:r>
            <w:r>
              <w:rPr>
                <w:rFonts w:hint="eastAsia" w:ascii="新宋体" w:hAnsi="新宋体" w:eastAsia="新宋体" w:cs="新宋体"/>
                <w:b/>
                <w:bCs/>
                <w:color w:val="auto"/>
                <w:sz w:val="22"/>
                <w:szCs w:val="22"/>
                <w:highlight w:val="none"/>
                <w:lang w:bidi="ar"/>
              </w:rPr>
              <w:t>文件</w:t>
            </w:r>
            <w:r>
              <w:rPr>
                <w:rFonts w:hint="eastAsia" w:ascii="新宋体" w:hAnsi="新宋体" w:eastAsia="新宋体" w:cs="新宋体"/>
                <w:b/>
                <w:bCs/>
                <w:color w:val="auto"/>
                <w:sz w:val="22"/>
                <w:szCs w:val="22"/>
                <w:highlight w:val="none"/>
                <w:lang w:val="en-US" w:eastAsia="zh-CN" w:bidi="ar"/>
              </w:rPr>
              <w:t>解密失败，谈判供应商自行负责。</w:t>
            </w:r>
            <w:r>
              <w:rPr>
                <w:rFonts w:hint="eastAsia" w:ascii="新宋体" w:hAnsi="新宋体" w:eastAsia="新宋体" w:cs="新宋体"/>
                <w:b/>
                <w:bCs/>
                <w:color w:val="auto"/>
                <w:sz w:val="22"/>
                <w:szCs w:val="22"/>
                <w:highlight w:val="none"/>
                <w:lang w:eastAsia="zh-CN" w:bidi="ar"/>
              </w:rPr>
              <w:t>）</w:t>
            </w:r>
          </w:p>
          <w:p w14:paraId="5B5E3713">
            <w:pPr>
              <w:tabs>
                <w:tab w:val="left" w:pos="360"/>
              </w:tabs>
              <w:spacing w:line="460" w:lineRule="exact"/>
              <w:rPr>
                <w:rFonts w:hint="eastAsia" w:ascii="新宋体" w:hAnsi="新宋体" w:eastAsia="新宋体" w:cs="新宋体"/>
                <w:b/>
                <w:color w:val="auto"/>
                <w:sz w:val="22"/>
                <w:szCs w:val="22"/>
                <w:highlight w:val="none"/>
                <w:u w:val="single"/>
                <w:lang w:val="en-US" w:eastAsia="zh-CN"/>
              </w:rPr>
            </w:pPr>
            <w:r>
              <w:rPr>
                <w:rFonts w:hint="eastAsia" w:ascii="新宋体" w:hAnsi="新宋体" w:eastAsia="新宋体" w:cs="新宋体"/>
                <w:b/>
                <w:color w:val="auto"/>
                <w:sz w:val="22"/>
                <w:szCs w:val="22"/>
                <w:highlight w:val="none"/>
                <w:u w:val="single"/>
              </w:rPr>
              <w:t>在</w:t>
            </w:r>
            <w:r>
              <w:rPr>
                <w:rFonts w:hint="eastAsia" w:ascii="新宋体" w:hAnsi="新宋体" w:eastAsia="新宋体" w:cs="新宋体"/>
                <w:b/>
                <w:color w:val="auto"/>
                <w:sz w:val="22"/>
                <w:szCs w:val="22"/>
                <w:highlight w:val="none"/>
                <w:u w:val="single"/>
                <w:lang w:eastAsia="zh-CN"/>
              </w:rPr>
              <w:t>谈判响应</w:t>
            </w:r>
            <w:r>
              <w:rPr>
                <w:rFonts w:hint="eastAsia" w:ascii="新宋体" w:hAnsi="新宋体" w:eastAsia="新宋体" w:cs="新宋体"/>
                <w:b/>
                <w:color w:val="auto"/>
                <w:sz w:val="22"/>
                <w:szCs w:val="22"/>
                <w:highlight w:val="none"/>
                <w:u w:val="single"/>
              </w:rPr>
              <w:t>截止时间前递交</w:t>
            </w:r>
            <w:r>
              <w:rPr>
                <w:rFonts w:hint="eastAsia" w:ascii="新宋体" w:hAnsi="新宋体" w:eastAsia="新宋体" w:cs="新宋体"/>
                <w:b/>
                <w:color w:val="auto"/>
                <w:sz w:val="22"/>
                <w:szCs w:val="22"/>
                <w:highlight w:val="none"/>
                <w:u w:val="single"/>
                <w:lang w:eastAsia="zh-CN"/>
              </w:rPr>
              <w:t>，</w:t>
            </w:r>
            <w:r>
              <w:rPr>
                <w:rFonts w:hint="eastAsia" w:ascii="新宋体" w:hAnsi="新宋体" w:eastAsia="新宋体" w:cs="新宋体"/>
                <w:b/>
                <w:color w:val="auto"/>
                <w:sz w:val="22"/>
                <w:szCs w:val="22"/>
                <w:highlight w:val="none"/>
                <w:u w:val="single"/>
                <w:lang w:val="en-US" w:eastAsia="zh-CN"/>
              </w:rPr>
              <w:t>并需采购代理机构确认是否收到。</w:t>
            </w:r>
          </w:p>
          <w:p w14:paraId="4888F598">
            <w:pPr>
              <w:spacing w:line="460" w:lineRule="exact"/>
              <w:rPr>
                <w:rFonts w:hint="eastAsia"/>
                <w:color w:val="auto"/>
                <w:highlight w:val="none"/>
                <w:lang w:eastAsia="zh-CN"/>
              </w:rPr>
            </w:pPr>
            <w:r>
              <w:rPr>
                <w:rFonts w:hint="eastAsia"/>
                <w:color w:val="auto"/>
                <w:highlight w:val="none"/>
              </w:rPr>
              <w:t>地址：</w:t>
            </w:r>
            <w:r>
              <w:rPr>
                <w:rFonts w:hint="eastAsia" w:cs="宋体"/>
                <w:color w:val="auto"/>
                <w:sz w:val="22"/>
                <w:szCs w:val="22"/>
                <w:highlight w:val="none"/>
              </w:rPr>
              <w:t>温州市</w:t>
            </w:r>
            <w:r>
              <w:rPr>
                <w:rFonts w:hint="eastAsia" w:ascii="宋体" w:hAnsi="宋体" w:cs="宋体"/>
                <w:bCs/>
                <w:color w:val="auto"/>
                <w:sz w:val="22"/>
                <w:szCs w:val="22"/>
                <w:highlight w:val="none"/>
                <w:lang w:val="en-US" w:eastAsia="zh-CN"/>
              </w:rPr>
              <w:t>鹿城区</w:t>
            </w:r>
            <w:r>
              <w:rPr>
                <w:rFonts w:hint="eastAsia" w:cs="宋体"/>
                <w:color w:val="auto"/>
                <w:sz w:val="22"/>
                <w:szCs w:val="22"/>
                <w:highlight w:val="none"/>
              </w:rPr>
              <w:t>新城大道179号中园大厦A幢1202室</w:t>
            </w:r>
          </w:p>
          <w:p w14:paraId="295D557F">
            <w:pPr>
              <w:tabs>
                <w:tab w:val="left" w:pos="360"/>
              </w:tabs>
              <w:spacing w:line="460" w:lineRule="exact"/>
              <w:rPr>
                <w:rFonts w:hint="eastAsia" w:ascii="新宋体" w:hAnsi="新宋体" w:eastAsia="宋体" w:cs="新宋体"/>
                <w:color w:val="auto"/>
                <w:sz w:val="22"/>
                <w:szCs w:val="22"/>
                <w:highlight w:val="none"/>
                <w:lang w:val="en-US" w:eastAsia="zh-CN" w:bidi="ar"/>
              </w:rPr>
            </w:pPr>
            <w:r>
              <w:rPr>
                <w:rFonts w:hint="eastAsia"/>
                <w:color w:val="auto"/>
                <w:highlight w:val="none"/>
                <w:lang w:val="en-US" w:eastAsia="zh-CN"/>
              </w:rPr>
              <w:t>联系人：</w:t>
            </w:r>
            <w:r>
              <w:rPr>
                <w:rFonts w:hint="eastAsia" w:cs="宋体"/>
                <w:color w:val="auto"/>
                <w:sz w:val="22"/>
                <w:szCs w:val="22"/>
                <w:highlight w:val="none"/>
              </w:rPr>
              <w:t>李奖</w:t>
            </w:r>
            <w:r>
              <w:rPr>
                <w:rFonts w:hint="eastAsia"/>
                <w:color w:val="auto"/>
                <w:highlight w:val="none"/>
                <w:lang w:val="en-US" w:eastAsia="zh-CN"/>
              </w:rPr>
              <w:t xml:space="preserve">    联系电话</w:t>
            </w:r>
            <w:r>
              <w:rPr>
                <w:rFonts w:hint="eastAsia"/>
                <w:b w:val="0"/>
                <w:bCs w:val="0"/>
                <w:color w:val="auto"/>
                <w:highlight w:val="none"/>
                <w:lang w:val="en-US" w:eastAsia="zh-CN"/>
              </w:rPr>
              <w:t>：</w:t>
            </w:r>
            <w:r>
              <w:rPr>
                <w:rFonts w:hint="eastAsia" w:cs="宋体"/>
                <w:color w:val="auto"/>
                <w:sz w:val="22"/>
                <w:szCs w:val="22"/>
                <w:highlight w:val="none"/>
              </w:rPr>
              <w:t>13736900051</w:t>
            </w:r>
            <w:r>
              <w:rPr>
                <w:rFonts w:hint="eastAsia" w:cs="宋体"/>
                <w:color w:val="auto"/>
                <w:sz w:val="22"/>
                <w:szCs w:val="22"/>
                <w:highlight w:val="none"/>
                <w:lang w:val="en-US" w:eastAsia="zh-CN"/>
              </w:rPr>
              <w:t xml:space="preserve"> </w:t>
            </w:r>
          </w:p>
        </w:tc>
      </w:tr>
      <w:tr w14:paraId="54E7C2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1BB823AF">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0</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23F5D0BA">
            <w:pPr>
              <w:keepNext w:val="0"/>
              <w:keepLines w:val="0"/>
              <w:pageBreakBefore w:val="0"/>
              <w:kinsoku/>
              <w:wordWrap/>
              <w:overflowPunct/>
              <w:topLinePunct w:val="0"/>
              <w:bidi w:val="0"/>
              <w:spacing w:line="460" w:lineRule="exact"/>
              <w:rPr>
                <w:rFonts w:hint="eastAsia" w:ascii="新宋体" w:hAnsi="新宋体" w:eastAsia="新宋体" w:cs="新宋体"/>
                <w:b/>
                <w:bCs/>
                <w:color w:val="auto"/>
                <w:sz w:val="22"/>
                <w:szCs w:val="22"/>
                <w:highlight w:val="none"/>
                <w:lang w:bidi="ar"/>
              </w:rPr>
            </w:pPr>
            <w:r>
              <w:rPr>
                <w:rFonts w:hint="eastAsia" w:ascii="新宋体" w:hAnsi="新宋体" w:eastAsia="新宋体" w:cs="新宋体"/>
                <w:b/>
                <w:bCs/>
                <w:color w:val="auto"/>
                <w:sz w:val="22"/>
                <w:szCs w:val="22"/>
                <w:highlight w:val="none"/>
                <w:lang w:eastAsia="zh-CN" w:bidi="ar"/>
              </w:rPr>
              <w:t>谈判响应</w:t>
            </w:r>
            <w:r>
              <w:rPr>
                <w:rFonts w:hint="eastAsia" w:ascii="新宋体" w:hAnsi="新宋体" w:eastAsia="新宋体" w:cs="新宋体"/>
                <w:b/>
                <w:bCs/>
                <w:color w:val="auto"/>
                <w:sz w:val="22"/>
                <w:szCs w:val="22"/>
                <w:highlight w:val="none"/>
                <w:lang w:bidi="ar"/>
              </w:rPr>
              <w:t>文件的上传和递交：</w:t>
            </w:r>
          </w:p>
          <w:p w14:paraId="629BFE32">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（1）“电子加密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文件”的上传、递交：</w:t>
            </w:r>
          </w:p>
          <w:p w14:paraId="0AB548DD">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a.</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供应商应在</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截止时间前将“电子加密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文件”成功上传递交至“政府采购云平台”，否则</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无效。</w:t>
            </w:r>
          </w:p>
          <w:p w14:paraId="1E682848">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b.“电子加密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文件”成功上传递交后，供应商可自行打印</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文件接收回执。</w:t>
            </w:r>
          </w:p>
          <w:p w14:paraId="73C6FB97">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（2）“备份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文件”的密封包装、递交：</w:t>
            </w:r>
          </w:p>
          <w:p w14:paraId="05BF9490">
            <w:pPr>
              <w:tabs>
                <w:tab w:val="left" w:pos="360"/>
              </w:tabs>
              <w:spacing w:line="460" w:lineRule="exact"/>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color w:val="auto"/>
                <w:sz w:val="22"/>
                <w:szCs w:val="22"/>
                <w:highlight w:val="none"/>
                <w:lang w:bidi="ar"/>
              </w:rPr>
              <w:t>a.</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供应商在“政府采购云平台”完成“电子加密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文件”的上传递交后，</w:t>
            </w:r>
            <w:r>
              <w:rPr>
                <w:rFonts w:hint="eastAsia" w:ascii="新宋体" w:hAnsi="新宋体" w:eastAsia="新宋体" w:cs="新宋体"/>
                <w:b/>
                <w:bCs/>
                <w:color w:val="auto"/>
                <w:sz w:val="22"/>
                <w:szCs w:val="22"/>
                <w:highlight w:val="none"/>
              </w:rPr>
              <w:t>还可以在</w:t>
            </w:r>
            <w:r>
              <w:rPr>
                <w:rFonts w:hint="eastAsia" w:ascii="新宋体" w:hAnsi="新宋体" w:eastAsia="新宋体" w:cs="新宋体"/>
                <w:b/>
                <w:bCs/>
                <w:color w:val="auto"/>
                <w:sz w:val="22"/>
                <w:szCs w:val="22"/>
                <w:highlight w:val="none"/>
                <w:lang w:eastAsia="zh-CN"/>
              </w:rPr>
              <w:t>谈判响应</w:t>
            </w:r>
            <w:r>
              <w:rPr>
                <w:rFonts w:hint="eastAsia" w:ascii="新宋体" w:hAnsi="新宋体" w:eastAsia="新宋体" w:cs="新宋体"/>
                <w:b/>
                <w:bCs/>
                <w:color w:val="auto"/>
                <w:sz w:val="22"/>
                <w:szCs w:val="22"/>
                <w:highlight w:val="none"/>
              </w:rPr>
              <w:t>截止时间前递交以介质（U盘）存储的数据电文形式的“备份</w:t>
            </w:r>
            <w:r>
              <w:rPr>
                <w:rFonts w:hint="eastAsia" w:ascii="新宋体" w:hAnsi="新宋体" w:eastAsia="新宋体" w:cs="新宋体"/>
                <w:b/>
                <w:bCs/>
                <w:color w:val="auto"/>
                <w:sz w:val="22"/>
                <w:szCs w:val="22"/>
                <w:highlight w:val="none"/>
                <w:lang w:eastAsia="zh-CN"/>
              </w:rPr>
              <w:t>谈判响应</w:t>
            </w:r>
            <w:r>
              <w:rPr>
                <w:rFonts w:hint="eastAsia" w:ascii="新宋体" w:hAnsi="新宋体" w:eastAsia="新宋体" w:cs="新宋体"/>
                <w:b/>
                <w:bCs/>
                <w:color w:val="auto"/>
                <w:sz w:val="22"/>
                <w:szCs w:val="22"/>
                <w:highlight w:val="none"/>
              </w:rPr>
              <w:t>文件”</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lang w:val="en-US" w:eastAsia="zh-CN"/>
              </w:rPr>
              <w:t>可以</w:t>
            </w:r>
            <w:r>
              <w:rPr>
                <w:rFonts w:hint="eastAsia" w:ascii="新宋体" w:hAnsi="新宋体" w:eastAsia="新宋体" w:cs="新宋体"/>
                <w:b/>
                <w:bCs/>
                <w:color w:val="auto"/>
                <w:sz w:val="22"/>
                <w:szCs w:val="22"/>
                <w:highlight w:val="none"/>
              </w:rPr>
              <w:t>在</w:t>
            </w:r>
            <w:r>
              <w:rPr>
                <w:rFonts w:hint="eastAsia" w:ascii="新宋体" w:hAnsi="新宋体" w:eastAsia="新宋体" w:cs="新宋体"/>
                <w:b/>
                <w:bCs/>
                <w:color w:val="auto"/>
                <w:sz w:val="22"/>
                <w:szCs w:val="22"/>
                <w:highlight w:val="none"/>
                <w:lang w:eastAsia="zh-CN"/>
              </w:rPr>
              <w:t>谈判响应</w:t>
            </w:r>
            <w:r>
              <w:rPr>
                <w:rFonts w:hint="eastAsia" w:ascii="新宋体" w:hAnsi="新宋体" w:eastAsia="新宋体" w:cs="新宋体"/>
                <w:b/>
                <w:bCs/>
                <w:color w:val="auto"/>
                <w:sz w:val="22"/>
                <w:szCs w:val="22"/>
                <w:highlight w:val="none"/>
              </w:rPr>
              <w:t>截止时间前</w:t>
            </w:r>
            <w:r>
              <w:rPr>
                <w:rFonts w:hint="eastAsia" w:ascii="新宋体" w:hAnsi="新宋体" w:eastAsia="新宋体" w:cs="新宋体"/>
                <w:b/>
                <w:bCs/>
                <w:color w:val="auto"/>
                <w:sz w:val="22"/>
                <w:szCs w:val="22"/>
                <w:highlight w:val="none"/>
                <w:lang w:val="en-US" w:eastAsia="zh-CN"/>
              </w:rPr>
              <w:t>提</w:t>
            </w:r>
            <w:r>
              <w:rPr>
                <w:rFonts w:hint="eastAsia" w:ascii="新宋体" w:hAnsi="新宋体" w:eastAsia="新宋体" w:cs="新宋体"/>
                <w:b/>
                <w:bCs/>
                <w:color w:val="auto"/>
                <w:sz w:val="22"/>
                <w:szCs w:val="22"/>
                <w:highlight w:val="none"/>
              </w:rPr>
              <w:t>交</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lang w:val="en-US" w:eastAsia="zh-CN"/>
              </w:rPr>
              <w:t>并需采购代理机构确认是否收到</w:t>
            </w:r>
            <w:r>
              <w:rPr>
                <w:rFonts w:hint="eastAsia" w:ascii="新宋体" w:hAnsi="新宋体" w:eastAsia="新宋体" w:cs="新宋体"/>
                <w:b/>
                <w:bCs/>
                <w:color w:val="auto"/>
                <w:sz w:val="22"/>
                <w:szCs w:val="22"/>
                <w:highlight w:val="none"/>
                <w:lang w:eastAsia="zh-CN"/>
              </w:rPr>
              <w:t>）。</w:t>
            </w:r>
          </w:p>
          <w:p w14:paraId="58BB599A">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b.“备份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文件”应当密封包装，并在包装上标注项目名称、</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val="en-US" w:eastAsia="zh-CN" w:bidi="ar"/>
              </w:rPr>
              <w:t>供应商</w:t>
            </w:r>
            <w:r>
              <w:rPr>
                <w:rFonts w:hint="eastAsia" w:ascii="新宋体" w:hAnsi="新宋体" w:eastAsia="新宋体" w:cs="新宋体"/>
                <w:color w:val="auto"/>
                <w:sz w:val="22"/>
                <w:szCs w:val="22"/>
                <w:highlight w:val="none"/>
                <w:lang w:bidi="ar"/>
              </w:rPr>
              <w:t>单位名称并加盖公章。没有密封包装或者逾期</w:t>
            </w:r>
            <w:r>
              <w:rPr>
                <w:rFonts w:hint="eastAsia" w:ascii="新宋体" w:hAnsi="新宋体" w:eastAsia="新宋体" w:cs="新宋体"/>
                <w:color w:val="auto"/>
                <w:sz w:val="22"/>
                <w:szCs w:val="22"/>
                <w:highlight w:val="none"/>
                <w:lang w:eastAsia="zh-CN" w:bidi="ar"/>
              </w:rPr>
              <w:t>（</w:t>
            </w:r>
            <w:r>
              <w:rPr>
                <w:rFonts w:hint="eastAsia" w:ascii="新宋体" w:hAnsi="新宋体" w:eastAsia="新宋体" w:cs="新宋体"/>
                <w:color w:val="auto"/>
                <w:sz w:val="22"/>
                <w:szCs w:val="22"/>
                <w:highlight w:val="none"/>
                <w:lang w:bidi="ar"/>
              </w:rPr>
              <w:t>邮寄</w:t>
            </w:r>
            <w:r>
              <w:rPr>
                <w:rFonts w:hint="eastAsia" w:ascii="新宋体" w:hAnsi="新宋体" w:eastAsia="新宋体" w:cs="新宋体"/>
                <w:color w:val="auto"/>
                <w:sz w:val="22"/>
                <w:szCs w:val="22"/>
                <w:highlight w:val="none"/>
                <w:lang w:eastAsia="zh-CN" w:bidi="ar"/>
              </w:rPr>
              <w:t>）</w:t>
            </w:r>
            <w:r>
              <w:rPr>
                <w:rFonts w:hint="eastAsia" w:ascii="新宋体" w:hAnsi="新宋体" w:eastAsia="新宋体" w:cs="新宋体"/>
                <w:color w:val="auto"/>
                <w:sz w:val="22"/>
                <w:szCs w:val="22"/>
                <w:highlight w:val="none"/>
                <w:lang w:bidi="ar"/>
              </w:rPr>
              <w:t>送达至</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地点的“备份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文件”将不予接收；</w:t>
            </w:r>
          </w:p>
          <w:p w14:paraId="7DF70168">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c.通过“政府采购云平台”成功上传递交的“电子加密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文件”已按时解密的，“备份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文件”自动失效。</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截止时间前，</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供应商仅递交了“备份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文件”而未将“电子加密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文件”成功上传至“政府采购云平台”的，</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无效。</w:t>
            </w:r>
          </w:p>
        </w:tc>
      </w:tr>
      <w:tr w14:paraId="17947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2A5ABA10">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1</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7ADE802B">
            <w:pPr>
              <w:keepNext w:val="0"/>
              <w:keepLines w:val="0"/>
              <w:pageBreakBefore w:val="0"/>
              <w:kinsoku/>
              <w:wordWrap/>
              <w:overflowPunct/>
              <w:topLinePunct w:val="0"/>
              <w:bidi w:val="0"/>
              <w:spacing w:line="460" w:lineRule="exact"/>
              <w:rPr>
                <w:rFonts w:hint="eastAsia" w:ascii="新宋体" w:hAnsi="新宋体" w:eastAsia="新宋体" w:cs="新宋体"/>
                <w:b/>
                <w:bCs/>
                <w:color w:val="auto"/>
                <w:sz w:val="22"/>
                <w:szCs w:val="22"/>
                <w:highlight w:val="none"/>
                <w:lang w:bidi="ar"/>
              </w:rPr>
            </w:pPr>
            <w:r>
              <w:rPr>
                <w:rFonts w:hint="eastAsia" w:ascii="新宋体" w:hAnsi="新宋体" w:eastAsia="新宋体" w:cs="新宋体"/>
                <w:b/>
                <w:bCs/>
                <w:color w:val="auto"/>
                <w:sz w:val="22"/>
                <w:szCs w:val="22"/>
                <w:highlight w:val="none"/>
                <w:lang w:bidi="ar"/>
              </w:rPr>
              <w:t>电子加密</w:t>
            </w:r>
            <w:r>
              <w:rPr>
                <w:rFonts w:hint="eastAsia" w:ascii="新宋体" w:hAnsi="新宋体" w:eastAsia="新宋体" w:cs="新宋体"/>
                <w:b/>
                <w:bCs/>
                <w:color w:val="auto"/>
                <w:sz w:val="22"/>
                <w:szCs w:val="22"/>
                <w:highlight w:val="none"/>
                <w:lang w:eastAsia="zh-CN" w:bidi="ar"/>
              </w:rPr>
              <w:t>谈判响应</w:t>
            </w:r>
            <w:r>
              <w:rPr>
                <w:rFonts w:hint="eastAsia" w:ascii="新宋体" w:hAnsi="新宋体" w:eastAsia="新宋体" w:cs="新宋体"/>
                <w:b/>
                <w:bCs/>
                <w:color w:val="auto"/>
                <w:sz w:val="22"/>
                <w:szCs w:val="22"/>
                <w:highlight w:val="none"/>
                <w:lang w:bidi="ar"/>
              </w:rPr>
              <w:t>文件的解密和异常情况处理：</w:t>
            </w:r>
          </w:p>
          <w:p w14:paraId="756C0E7C">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（1）开标后，采购组织机构将向</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供应商发出“电子加密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文件”的解密通知，</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供应商代表应当在接到解密通知后自行完成“电子加密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文件”的在线解密。</w:t>
            </w:r>
          </w:p>
          <w:p w14:paraId="1D32882E">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（2）通过“政府采购云平台”成功上传递交的“电子加密</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文件”无法按时解密，</w:t>
            </w:r>
            <w:r>
              <w:rPr>
                <w:rFonts w:hint="eastAsia" w:ascii="新宋体" w:hAnsi="新宋体" w:eastAsia="新宋体" w:cs="新宋体"/>
                <w:color w:val="auto"/>
                <w:sz w:val="22"/>
                <w:szCs w:val="22"/>
                <w:highlight w:val="none"/>
                <w:lang w:eastAsia="zh-CN" w:bidi="ar"/>
              </w:rPr>
              <w:t>谈判</w:t>
            </w:r>
            <w:r>
              <w:rPr>
                <w:rFonts w:hint="eastAsia" w:ascii="新宋体" w:hAnsi="新宋体" w:eastAsia="新宋体" w:cs="新宋体"/>
                <w:color w:val="auto"/>
                <w:sz w:val="22"/>
                <w:szCs w:val="22"/>
                <w:highlight w:val="none"/>
                <w:lang w:bidi="ar"/>
              </w:rPr>
              <w:t>供应商如按规定递交了“备份</w:t>
            </w:r>
            <w:r>
              <w:rPr>
                <w:rFonts w:hint="eastAsia" w:ascii="新宋体" w:hAnsi="新宋体" w:eastAsia="新宋体" w:cs="新宋体"/>
                <w:color w:val="auto"/>
                <w:sz w:val="22"/>
                <w:szCs w:val="22"/>
                <w:highlight w:val="none"/>
                <w:lang w:eastAsia="zh-CN" w:bidi="ar"/>
              </w:rPr>
              <w:t>谈判响应</w:t>
            </w:r>
            <w:r>
              <w:rPr>
                <w:rFonts w:hint="eastAsia" w:ascii="新宋体" w:hAnsi="新宋体" w:eastAsia="新宋体" w:cs="新宋体"/>
                <w:color w:val="auto"/>
                <w:sz w:val="22"/>
                <w:szCs w:val="22"/>
                <w:highlight w:val="none"/>
                <w:lang w:bidi="ar"/>
              </w:rPr>
              <w:t>文件”的，以“备份谈判响应文件”为依据（由采购组织机构按“政府采购云平台”操作规范将“备份谈判响应文件”上传至“政府采购云平台”，上传成功后，“电子加密谈判响应文件”自动失效），否则视为谈判响应文件撤回。</w:t>
            </w:r>
          </w:p>
          <w:p w14:paraId="2FCBDB3C">
            <w:pPr>
              <w:keepNext w:val="0"/>
              <w:keepLines w:val="0"/>
              <w:pageBreakBefore w:val="0"/>
              <w:kinsoku/>
              <w:wordWrap/>
              <w:overflowPunct/>
              <w:topLinePunct w:val="0"/>
              <w:bidi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（3）</w:t>
            </w:r>
            <w:r>
              <w:rPr>
                <w:rFonts w:hint="eastAsia" w:ascii="新宋体" w:hAnsi="新宋体" w:eastAsia="新宋体" w:cs="新宋体"/>
                <w:color w:val="auto"/>
                <w:sz w:val="22"/>
                <w:szCs w:val="22"/>
                <w:highlight w:val="none"/>
                <w:lang w:val="en-US" w:eastAsia="zh-CN" w:bidi="ar"/>
              </w:rPr>
              <w:t>谈判响应文件递交</w:t>
            </w:r>
            <w:r>
              <w:rPr>
                <w:rFonts w:hint="eastAsia" w:ascii="新宋体" w:hAnsi="新宋体" w:eastAsia="新宋体" w:cs="新宋体"/>
                <w:color w:val="auto"/>
                <w:sz w:val="22"/>
                <w:szCs w:val="22"/>
                <w:highlight w:val="none"/>
                <w:lang w:bidi="ar"/>
              </w:rPr>
              <w:t>截止时间前，谈判供应商仅递交了“备份谈判响应文件”而未将电子加密谈判响应文件上传至“政府采购云平台”的，</w:t>
            </w:r>
            <w:r>
              <w:rPr>
                <w:rFonts w:hint="eastAsia" w:ascii="新宋体" w:hAnsi="新宋体" w:eastAsia="新宋体" w:cs="新宋体"/>
                <w:color w:val="auto"/>
                <w:sz w:val="22"/>
                <w:szCs w:val="22"/>
                <w:highlight w:val="none"/>
                <w:lang w:val="en-US" w:eastAsia="zh-CN" w:bidi="ar"/>
              </w:rPr>
              <w:t>谈判</w:t>
            </w:r>
            <w:r>
              <w:rPr>
                <w:rFonts w:hint="eastAsia" w:ascii="新宋体" w:hAnsi="新宋体" w:eastAsia="新宋体" w:cs="新宋体"/>
                <w:color w:val="auto"/>
                <w:sz w:val="22"/>
                <w:szCs w:val="22"/>
                <w:highlight w:val="none"/>
                <w:lang w:bidi="ar"/>
              </w:rPr>
              <w:t>无效。</w:t>
            </w:r>
          </w:p>
        </w:tc>
      </w:tr>
      <w:tr w14:paraId="1A77FC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7453E610">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2</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775B411E">
            <w:pPr>
              <w:keepNext w:val="0"/>
              <w:keepLines w:val="0"/>
              <w:pageBreakBefore w:val="0"/>
              <w:kinsoku/>
              <w:wordWrap/>
              <w:overflowPunct/>
              <w:topLinePunct w:val="0"/>
              <w:bidi w:val="0"/>
              <w:spacing w:line="460" w:lineRule="exact"/>
              <w:rPr>
                <w:rFonts w:hint="default" w:ascii="新宋体" w:hAnsi="新宋体" w:eastAsia="新宋体" w:cs="新宋体"/>
                <w:color w:val="auto"/>
                <w:sz w:val="22"/>
                <w:szCs w:val="22"/>
                <w:highlight w:val="none"/>
                <w:lang w:val="en-US" w:eastAsia="zh-CN" w:bidi="ar"/>
              </w:rPr>
            </w:pPr>
            <w:r>
              <w:rPr>
                <w:rFonts w:hint="eastAsia" w:ascii="新宋体" w:hAnsi="新宋体" w:eastAsia="新宋体" w:cs="新宋体"/>
                <w:b/>
                <w:bCs/>
                <w:color w:val="auto"/>
                <w:sz w:val="22"/>
                <w:szCs w:val="22"/>
                <w:highlight w:val="none"/>
                <w:lang w:val="en-US" w:eastAsia="zh-CN" w:bidi="ar"/>
              </w:rPr>
              <w:t>谈判响应截止时间：</w:t>
            </w:r>
            <w:r>
              <w:rPr>
                <w:rFonts w:hint="eastAsia" w:ascii="新宋体" w:hAnsi="新宋体" w:eastAsia="新宋体" w:cs="新宋体"/>
                <w:b w:val="0"/>
                <w:bCs w:val="0"/>
                <w:color w:val="auto"/>
                <w:sz w:val="22"/>
                <w:szCs w:val="22"/>
                <w:highlight w:val="none"/>
                <w:lang w:val="en-US" w:eastAsia="zh-CN"/>
              </w:rPr>
              <w:t>详见邀请函</w:t>
            </w:r>
            <w:r>
              <w:rPr>
                <w:rFonts w:hint="eastAsia" w:ascii="新宋体" w:hAnsi="新宋体" w:eastAsia="新宋体" w:cs="新宋体"/>
                <w:b w:val="0"/>
                <w:bCs w:val="0"/>
                <w:color w:val="auto"/>
                <w:sz w:val="22"/>
                <w:szCs w:val="22"/>
                <w:highlight w:val="none"/>
                <w:lang w:val="en-US" w:eastAsia="zh-CN"/>
              </w:rPr>
              <w:tab/>
            </w:r>
          </w:p>
          <w:p w14:paraId="111D40F7">
            <w:pPr>
              <w:keepNext w:val="0"/>
              <w:keepLines w:val="0"/>
              <w:pageBreakBefore w:val="0"/>
              <w:kinsoku/>
              <w:wordWrap/>
              <w:overflowPunct/>
              <w:topLinePunct w:val="0"/>
              <w:bidi w:val="0"/>
              <w:spacing w:line="460" w:lineRule="exact"/>
              <w:rPr>
                <w:rFonts w:hint="eastAsia"/>
                <w:color w:val="auto"/>
                <w:highlight w:val="none"/>
              </w:rPr>
            </w:pPr>
            <w:r>
              <w:rPr>
                <w:rFonts w:hint="eastAsia" w:ascii="新宋体" w:hAnsi="新宋体" w:eastAsia="新宋体" w:cs="新宋体"/>
                <w:b/>
                <w:bCs/>
                <w:color w:val="auto"/>
                <w:sz w:val="22"/>
                <w:szCs w:val="22"/>
                <w:highlight w:val="none"/>
                <w:lang w:bidi="ar"/>
              </w:rPr>
              <w:t>谈判响应地点</w:t>
            </w:r>
            <w:r>
              <w:rPr>
                <w:rFonts w:hint="eastAsia" w:ascii="新宋体" w:hAnsi="新宋体" w:eastAsia="新宋体" w:cs="新宋体"/>
                <w:b/>
                <w:bCs/>
                <w:color w:val="auto"/>
                <w:sz w:val="22"/>
                <w:szCs w:val="22"/>
                <w:highlight w:val="none"/>
                <w:lang w:eastAsia="zh-CN" w:bidi="ar"/>
              </w:rPr>
              <w:t>（</w:t>
            </w:r>
            <w:r>
              <w:rPr>
                <w:rFonts w:hint="eastAsia" w:ascii="新宋体" w:hAnsi="新宋体" w:eastAsia="新宋体" w:cs="新宋体"/>
                <w:b/>
                <w:bCs/>
                <w:color w:val="auto"/>
                <w:sz w:val="22"/>
                <w:szCs w:val="22"/>
                <w:highlight w:val="none"/>
                <w:lang w:val="en-US" w:eastAsia="zh-CN" w:bidi="ar"/>
              </w:rPr>
              <w:t>网址</w:t>
            </w:r>
            <w:r>
              <w:rPr>
                <w:rFonts w:hint="eastAsia" w:ascii="新宋体" w:hAnsi="新宋体" w:eastAsia="新宋体" w:cs="新宋体"/>
                <w:b/>
                <w:bCs/>
                <w:color w:val="auto"/>
                <w:sz w:val="22"/>
                <w:szCs w:val="22"/>
                <w:highlight w:val="none"/>
                <w:lang w:eastAsia="zh-CN" w:bidi="ar"/>
              </w:rPr>
              <w:t>）</w:t>
            </w:r>
            <w:r>
              <w:rPr>
                <w:rFonts w:hint="eastAsia" w:ascii="新宋体" w:hAnsi="新宋体" w:eastAsia="新宋体" w:cs="新宋体"/>
                <w:b/>
                <w:bCs/>
                <w:color w:val="auto"/>
                <w:sz w:val="22"/>
                <w:szCs w:val="22"/>
                <w:highlight w:val="none"/>
                <w:lang w:bidi="ar"/>
              </w:rPr>
              <w:t>：</w:t>
            </w:r>
            <w:r>
              <w:rPr>
                <w:rFonts w:hint="eastAsia" w:ascii="新宋体" w:hAnsi="新宋体" w:eastAsia="新宋体" w:cs="新宋体"/>
                <w:b w:val="0"/>
                <w:bCs w:val="0"/>
                <w:color w:val="auto"/>
                <w:sz w:val="22"/>
                <w:szCs w:val="22"/>
                <w:highlight w:val="none"/>
                <w:lang w:val="en-US" w:eastAsia="zh-CN"/>
              </w:rPr>
              <w:t>温州市鹿城区新城大道179号中园大厦A幢1202室（政采云https://zfcg.czt.zj.gov.cn/）</w:t>
            </w:r>
            <w:r>
              <w:rPr>
                <w:rFonts w:hint="eastAsia" w:ascii="宋体" w:hAnsi="宋体" w:eastAsia="宋体" w:cs="宋体"/>
                <w:color w:val="auto"/>
                <w:sz w:val="22"/>
                <w:szCs w:val="22"/>
                <w:highlight w:val="none"/>
              </w:rPr>
              <w:t> </w:t>
            </w:r>
          </w:p>
        </w:tc>
      </w:tr>
      <w:tr w14:paraId="51B546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auto" w:sz="4" w:space="0"/>
              <w:right w:val="single" w:color="000000" w:sz="2" w:space="0"/>
            </w:tcBorders>
            <w:noWrap w:val="0"/>
            <w:vAlign w:val="center"/>
          </w:tcPr>
          <w:p w14:paraId="7BE7BC2C">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3</w:t>
            </w:r>
          </w:p>
        </w:tc>
        <w:tc>
          <w:tcPr>
            <w:tcW w:w="9723" w:type="dxa"/>
            <w:tcBorders>
              <w:top w:val="single" w:color="000000" w:sz="2" w:space="0"/>
              <w:left w:val="single" w:color="000000" w:sz="2" w:space="0"/>
              <w:bottom w:val="single" w:color="auto" w:sz="4" w:space="0"/>
              <w:right w:val="single" w:color="000000" w:sz="8" w:space="0"/>
            </w:tcBorders>
            <w:noWrap w:val="0"/>
            <w:vAlign w:val="center"/>
          </w:tcPr>
          <w:p w14:paraId="1E1C0A52">
            <w:pPr>
              <w:keepNext w:val="0"/>
              <w:keepLines w:val="0"/>
              <w:pageBreakBefore w:val="0"/>
              <w:widowControl/>
              <w:kinsoku/>
              <w:wordWrap/>
              <w:overflowPunct/>
              <w:topLinePunct w:val="0"/>
              <w:bidi w:val="0"/>
              <w:snapToGrid w:val="0"/>
              <w:spacing w:line="460" w:lineRule="exact"/>
              <w:jc w:val="left"/>
              <w:rPr>
                <w:rFonts w:hint="eastAsia" w:ascii="新宋体" w:hAnsi="新宋体" w:eastAsia="新宋体" w:cs="新宋体"/>
                <w:color w:val="auto"/>
                <w:sz w:val="22"/>
                <w:szCs w:val="22"/>
                <w:highlight w:val="none"/>
                <w:lang w:bidi="ar"/>
              </w:rPr>
            </w:pPr>
            <w:r>
              <w:rPr>
                <w:rFonts w:hint="eastAsia" w:ascii="新宋体" w:hAnsi="新宋体" w:eastAsia="新宋体" w:cs="新宋体"/>
                <w:b/>
                <w:bCs/>
                <w:color w:val="auto"/>
                <w:sz w:val="22"/>
                <w:szCs w:val="22"/>
                <w:highlight w:val="none"/>
                <w:lang w:bidi="ar"/>
              </w:rPr>
              <w:t>谈判响应</w:t>
            </w:r>
            <w:r>
              <w:rPr>
                <w:rFonts w:hint="eastAsia" w:ascii="新宋体" w:hAnsi="新宋体" w:eastAsia="新宋体" w:cs="新宋体"/>
                <w:b/>
                <w:bCs/>
                <w:color w:val="auto"/>
                <w:sz w:val="22"/>
                <w:szCs w:val="22"/>
                <w:highlight w:val="none"/>
                <w:lang w:val="en-US" w:eastAsia="zh-CN" w:bidi="ar"/>
              </w:rPr>
              <w:t>文件开启</w:t>
            </w:r>
            <w:r>
              <w:rPr>
                <w:rFonts w:hint="eastAsia" w:ascii="新宋体" w:hAnsi="新宋体" w:eastAsia="新宋体" w:cs="新宋体"/>
                <w:b/>
                <w:bCs/>
                <w:color w:val="auto"/>
                <w:sz w:val="22"/>
                <w:szCs w:val="22"/>
                <w:highlight w:val="none"/>
                <w:lang w:bidi="ar"/>
              </w:rPr>
              <w:t>时间和地点：</w:t>
            </w:r>
            <w:r>
              <w:rPr>
                <w:rFonts w:hint="eastAsia" w:ascii="新宋体" w:hAnsi="新宋体" w:eastAsia="新宋体" w:cs="新宋体"/>
                <w:color w:val="auto"/>
                <w:sz w:val="22"/>
                <w:szCs w:val="22"/>
                <w:highlight w:val="none"/>
                <w:lang w:bidi="ar"/>
              </w:rPr>
              <w:t>同谈判响应截止时间与地点</w:t>
            </w:r>
          </w:p>
        </w:tc>
      </w:tr>
      <w:tr w14:paraId="4ACD1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auto" w:sz="4" w:space="0"/>
              <w:left w:val="single" w:color="000000" w:sz="8" w:space="0"/>
              <w:bottom w:val="single" w:color="auto" w:sz="4" w:space="0"/>
              <w:right w:val="single" w:color="000000" w:sz="2" w:space="0"/>
            </w:tcBorders>
            <w:noWrap w:val="0"/>
            <w:vAlign w:val="center"/>
          </w:tcPr>
          <w:p w14:paraId="52C86068">
            <w:pPr>
              <w:keepNext w:val="0"/>
              <w:keepLines w:val="0"/>
              <w:pageBreakBefore w:val="0"/>
              <w:kinsoku/>
              <w:wordWrap/>
              <w:overflowPunct/>
              <w:topLinePunct w:val="0"/>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4</w:t>
            </w:r>
          </w:p>
        </w:tc>
        <w:tc>
          <w:tcPr>
            <w:tcW w:w="9723" w:type="dxa"/>
            <w:tcBorders>
              <w:top w:val="single" w:color="auto" w:sz="4" w:space="0"/>
              <w:left w:val="single" w:color="000000" w:sz="2" w:space="0"/>
              <w:bottom w:val="single" w:color="auto" w:sz="4" w:space="0"/>
              <w:right w:val="single" w:color="000000" w:sz="8" w:space="0"/>
            </w:tcBorders>
            <w:noWrap w:val="0"/>
            <w:vAlign w:val="center"/>
          </w:tcPr>
          <w:p w14:paraId="533DCD90">
            <w:pPr>
              <w:keepNext w:val="0"/>
              <w:keepLines w:val="0"/>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lang w:bidi="ar"/>
              </w:rPr>
            </w:pPr>
            <w:r>
              <w:rPr>
                <w:rFonts w:hint="eastAsia" w:ascii="新宋体" w:hAnsi="新宋体" w:eastAsia="新宋体" w:cs="新宋体"/>
                <w:color w:val="auto"/>
                <w:sz w:val="22"/>
                <w:szCs w:val="22"/>
                <w:highlight w:val="none"/>
                <w:lang w:bidi="ar"/>
              </w:rPr>
              <w:t>带“▲”条款系指实质性要求条款。</w:t>
            </w:r>
          </w:p>
        </w:tc>
      </w:tr>
      <w:tr w14:paraId="327605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auto" w:sz="4" w:space="0"/>
              <w:left w:val="single" w:color="000000" w:sz="8" w:space="0"/>
              <w:bottom w:val="single" w:color="auto" w:sz="4" w:space="0"/>
              <w:right w:val="single" w:color="000000" w:sz="2" w:space="0"/>
            </w:tcBorders>
            <w:noWrap w:val="0"/>
            <w:vAlign w:val="center"/>
          </w:tcPr>
          <w:p w14:paraId="05A44212">
            <w:pPr>
              <w:keepNext w:val="0"/>
              <w:keepLines w:val="0"/>
              <w:pageBreakBefore w:val="0"/>
              <w:widowControl/>
              <w:kinsoku/>
              <w:wordWrap/>
              <w:overflowPunct/>
              <w:topLinePunct w:val="0"/>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lang w:bidi="ar"/>
              </w:rPr>
              <w:t>1</w:t>
            </w:r>
            <w:r>
              <w:rPr>
                <w:rFonts w:hint="eastAsia" w:ascii="新宋体" w:hAnsi="新宋体" w:eastAsia="新宋体" w:cs="新宋体"/>
                <w:b/>
                <w:bCs/>
                <w:color w:val="auto"/>
                <w:kern w:val="0"/>
                <w:sz w:val="22"/>
                <w:szCs w:val="22"/>
                <w:highlight w:val="none"/>
                <w:lang w:val="en-US" w:eastAsia="zh-CN" w:bidi="ar"/>
              </w:rPr>
              <w:t>5</w:t>
            </w:r>
          </w:p>
        </w:tc>
        <w:tc>
          <w:tcPr>
            <w:tcW w:w="9723" w:type="dxa"/>
            <w:tcBorders>
              <w:top w:val="single" w:color="auto" w:sz="4" w:space="0"/>
              <w:left w:val="single" w:color="000000" w:sz="2" w:space="0"/>
              <w:bottom w:val="single" w:color="auto" w:sz="4" w:space="0"/>
              <w:right w:val="single" w:color="000000" w:sz="8" w:space="0"/>
            </w:tcBorders>
            <w:noWrap w:val="0"/>
            <w:vAlign w:val="center"/>
          </w:tcPr>
          <w:p w14:paraId="5F549079">
            <w:pPr>
              <w:keepNext w:val="0"/>
              <w:keepLines w:val="0"/>
              <w:pageBreakBefore w:val="0"/>
              <w:widowControl/>
              <w:kinsoku/>
              <w:wordWrap/>
              <w:overflowPunct/>
              <w:topLinePunct w:val="0"/>
              <w:bidi w:val="0"/>
              <w:snapToGrid w:val="0"/>
              <w:spacing w:line="460" w:lineRule="exact"/>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kern w:val="10"/>
                <w:sz w:val="22"/>
                <w:szCs w:val="22"/>
                <w:highlight w:val="none"/>
              </w:rPr>
              <w:t>供应商需在浙江政府采购网https://zfcg.czt.zj.gov.cn/进行免费注册，具体详见浙江政府采购网供应商注册要求。</w:t>
            </w:r>
          </w:p>
        </w:tc>
      </w:tr>
      <w:tr w14:paraId="1661F4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jc w:val="center"/>
        </w:trPr>
        <w:tc>
          <w:tcPr>
            <w:tcW w:w="574" w:type="dxa"/>
            <w:tcBorders>
              <w:top w:val="single" w:color="000000" w:sz="2" w:space="0"/>
              <w:left w:val="single" w:color="000000" w:sz="8" w:space="0"/>
              <w:bottom w:val="single" w:color="000000" w:sz="2" w:space="0"/>
              <w:right w:val="single" w:color="000000" w:sz="2" w:space="0"/>
            </w:tcBorders>
            <w:noWrap w:val="0"/>
            <w:vAlign w:val="center"/>
          </w:tcPr>
          <w:p w14:paraId="362D569F">
            <w:pPr>
              <w:keepNext w:val="0"/>
              <w:keepLines w:val="0"/>
              <w:pageBreakBefore w:val="0"/>
              <w:widowControl/>
              <w:kinsoku/>
              <w:wordWrap/>
              <w:overflowPunct/>
              <w:topLinePunct w:val="0"/>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lang w:bidi="ar"/>
              </w:rPr>
              <w:t>1</w:t>
            </w:r>
            <w:r>
              <w:rPr>
                <w:rFonts w:hint="eastAsia" w:ascii="新宋体" w:hAnsi="新宋体" w:eastAsia="新宋体" w:cs="新宋体"/>
                <w:b/>
                <w:bCs/>
                <w:color w:val="auto"/>
                <w:kern w:val="0"/>
                <w:sz w:val="22"/>
                <w:szCs w:val="22"/>
                <w:highlight w:val="none"/>
                <w:lang w:val="en-US" w:eastAsia="zh-CN" w:bidi="ar"/>
              </w:rPr>
              <w:t>6</w:t>
            </w:r>
          </w:p>
        </w:tc>
        <w:tc>
          <w:tcPr>
            <w:tcW w:w="9723" w:type="dxa"/>
            <w:tcBorders>
              <w:top w:val="single" w:color="000000" w:sz="2" w:space="0"/>
              <w:left w:val="single" w:color="000000" w:sz="2" w:space="0"/>
              <w:bottom w:val="single" w:color="000000" w:sz="2" w:space="0"/>
              <w:right w:val="single" w:color="000000" w:sz="8" w:space="0"/>
            </w:tcBorders>
            <w:noWrap w:val="0"/>
            <w:vAlign w:val="center"/>
          </w:tcPr>
          <w:p w14:paraId="3F82B0F3">
            <w:pPr>
              <w:keepNext w:val="0"/>
              <w:keepLines w:val="0"/>
              <w:pageBreakBefore w:val="0"/>
              <w:kinsoku/>
              <w:wordWrap/>
              <w:overflowPunct/>
              <w:topLinePunct w:val="0"/>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根据《关于在政府采购活动中查询及使用信用记录有关问题的通知》财库[2016]125号的规定：</w:t>
            </w:r>
          </w:p>
          <w:p w14:paraId="5DB67FB9">
            <w:pPr>
              <w:keepNext w:val="0"/>
              <w:keepLines w:val="0"/>
              <w:pageBreakBefore w:val="0"/>
              <w:kinsoku/>
              <w:wordWrap/>
              <w:overflowPunct/>
              <w:topLinePunct w:val="0"/>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1）采购人或采购代理机构将对本项目供应商的信用记录进行查询。查询渠道为信用中国网站（www.creditchina.gov.cn）、中国政府采购网（www.ccgp.gov.cn）；</w:t>
            </w:r>
          </w:p>
          <w:p w14:paraId="44C93630">
            <w:pPr>
              <w:keepNext w:val="0"/>
              <w:keepLines w:val="0"/>
              <w:pageBreakBefore w:val="0"/>
              <w:kinsoku/>
              <w:wordWrap/>
              <w:overflowPunct/>
              <w:topLinePunct w:val="0"/>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2）截止时点：提交单一来源</w:t>
            </w:r>
            <w:r>
              <w:rPr>
                <w:rFonts w:hint="eastAsia" w:ascii="新宋体" w:hAnsi="新宋体" w:eastAsia="新宋体" w:cs="新宋体"/>
                <w:color w:val="auto"/>
                <w:sz w:val="22"/>
                <w:szCs w:val="22"/>
                <w:highlight w:val="none"/>
                <w:lang w:eastAsia="zh-CN"/>
              </w:rPr>
              <w:t>响应文件</w:t>
            </w:r>
            <w:r>
              <w:rPr>
                <w:rFonts w:hint="eastAsia" w:ascii="新宋体" w:hAnsi="新宋体" w:eastAsia="新宋体" w:cs="新宋体"/>
                <w:color w:val="auto"/>
                <w:sz w:val="22"/>
                <w:szCs w:val="22"/>
                <w:highlight w:val="none"/>
              </w:rPr>
              <w:t>（响应文件）截止</w:t>
            </w:r>
            <w:r>
              <w:rPr>
                <w:rFonts w:hint="eastAsia" w:ascii="新宋体" w:hAnsi="新宋体" w:eastAsia="新宋体" w:cs="新宋体"/>
                <w:color w:val="auto"/>
                <w:sz w:val="22"/>
                <w:szCs w:val="22"/>
                <w:highlight w:val="none"/>
                <w:lang w:val="en-US" w:eastAsia="zh-CN"/>
              </w:rPr>
              <w:t>日当天</w:t>
            </w:r>
            <w:r>
              <w:rPr>
                <w:rFonts w:hint="eastAsia" w:ascii="新宋体" w:hAnsi="新宋体" w:eastAsia="新宋体" w:cs="新宋体"/>
                <w:color w:val="auto"/>
                <w:sz w:val="22"/>
                <w:szCs w:val="22"/>
                <w:highlight w:val="none"/>
              </w:rPr>
              <w:t>；</w:t>
            </w:r>
          </w:p>
          <w:p w14:paraId="3EB54D1C">
            <w:pPr>
              <w:keepNext w:val="0"/>
              <w:keepLines w:val="0"/>
              <w:pageBreakBefore w:val="0"/>
              <w:kinsoku/>
              <w:wordWrap/>
              <w:overflowPunct/>
              <w:topLinePunct w:val="0"/>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（3）查询记录和证据的留存：信用信息查询记录和证据以网页截图等方式留存。</w:t>
            </w:r>
          </w:p>
          <w:p w14:paraId="075C136B">
            <w:pPr>
              <w:keepNext w:val="0"/>
              <w:keepLines w:val="0"/>
              <w:pageBreakBefore w:val="0"/>
              <w:kinsoku/>
              <w:wordWrap/>
              <w:overflowPunct/>
              <w:topLinePunct w:val="0"/>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w:t>
            </w:r>
            <w:r>
              <w:rPr>
                <w:rFonts w:hint="eastAsia" w:ascii="新宋体" w:hAnsi="新宋体" w:eastAsia="新宋体" w:cs="新宋体"/>
                <w:color w:val="auto"/>
                <w:sz w:val="22"/>
                <w:szCs w:val="22"/>
                <w:highlight w:val="none"/>
                <w:lang w:val="en-US" w:eastAsia="zh-CN"/>
              </w:rPr>
              <w:t>谈判</w:t>
            </w:r>
            <w:r>
              <w:rPr>
                <w:rFonts w:hint="eastAsia" w:ascii="新宋体" w:hAnsi="新宋体" w:eastAsia="新宋体" w:cs="新宋体"/>
                <w:color w:val="auto"/>
                <w:sz w:val="22"/>
                <w:szCs w:val="22"/>
                <w:highlight w:val="none"/>
              </w:rPr>
              <w:t>将被拒绝。</w:t>
            </w:r>
          </w:p>
          <w:p w14:paraId="1E6D4C06">
            <w:pPr>
              <w:keepNext w:val="0"/>
              <w:keepLines w:val="0"/>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5）联合体成员任意一方存在不良信用记录的，视同联合体存在不良信用记录。</w:t>
            </w:r>
          </w:p>
        </w:tc>
      </w:tr>
    </w:tbl>
    <w:p w14:paraId="32FF3ABD">
      <w:pPr>
        <w:spacing w:before="0" w:after="0" w:line="240" w:lineRule="auto"/>
        <w:jc w:val="left"/>
        <w:outlineLvl w:val="9"/>
        <w:rPr>
          <w:rFonts w:hint="eastAsia" w:ascii="宋体" w:hAnsi="宋体" w:cs="宋体"/>
          <w:b/>
          <w:bCs/>
          <w:color w:val="auto"/>
          <w:szCs w:val="21"/>
          <w:highlight w:val="none"/>
        </w:rPr>
      </w:pPr>
    </w:p>
    <w:p w14:paraId="619A1F88">
      <w:pPr>
        <w:spacing w:before="0" w:after="0" w:line="240" w:lineRule="auto"/>
        <w:jc w:val="left"/>
        <w:outlineLvl w:val="9"/>
        <w:rPr>
          <w:rFonts w:hint="eastAsia" w:ascii="宋体" w:hAnsi="宋体" w:cs="宋体"/>
          <w:b/>
          <w:bCs/>
          <w:color w:val="auto"/>
          <w:szCs w:val="21"/>
          <w:highlight w:val="none"/>
        </w:rPr>
      </w:pPr>
    </w:p>
    <w:p w14:paraId="1BB0BF52">
      <w:pPr>
        <w:spacing w:before="200" w:after="200" w:line="360" w:lineRule="auto"/>
        <w:jc w:val="center"/>
        <w:outlineLvl w:val="0"/>
        <w:rPr>
          <w:rFonts w:hint="eastAsia" w:ascii="宋体" w:hAnsi="宋体" w:cs="宋体"/>
          <w:b/>
          <w:bCs/>
          <w:color w:val="auto"/>
          <w:szCs w:val="21"/>
          <w:highlight w:val="none"/>
        </w:rPr>
      </w:pPr>
      <w:r>
        <w:rPr>
          <w:rFonts w:hint="eastAsia" w:ascii="宋体" w:hAnsi="宋体" w:cs="宋体"/>
          <w:b/>
          <w:bCs/>
          <w:color w:val="auto"/>
          <w:szCs w:val="21"/>
          <w:highlight w:val="none"/>
        </w:rPr>
        <w:t>一、  说明</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761DE2C4">
      <w:pPr>
        <w:tabs>
          <w:tab w:val="left" w:pos="540"/>
          <w:tab w:val="left" w:pos="90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 本次采购是按照《中华人民共和国政府采购法》、</w:t>
      </w:r>
      <w:r>
        <w:rPr>
          <w:rFonts w:hint="eastAsia" w:ascii="宋体" w:hAnsi="宋体" w:cs="宋体"/>
          <w:color w:val="auto"/>
          <w:kern w:val="0"/>
          <w:sz w:val="22"/>
          <w:szCs w:val="22"/>
          <w:highlight w:val="none"/>
        </w:rPr>
        <w:t>《中华人民共和国政府采购法实施条例》、</w:t>
      </w:r>
      <w:r>
        <w:rPr>
          <w:rFonts w:hint="eastAsia" w:ascii="宋体" w:hAnsi="宋体" w:cs="宋体"/>
          <w:color w:val="auto"/>
          <w:sz w:val="22"/>
          <w:szCs w:val="22"/>
          <w:highlight w:val="none"/>
        </w:rPr>
        <w:t>和《关于进一步规范政府采购活动的若干意见》等法律及有关法规组织和实施的。</w:t>
      </w:r>
    </w:p>
    <w:p w14:paraId="7CABB58D">
      <w:pPr>
        <w:tabs>
          <w:tab w:val="left" w:pos="540"/>
          <w:tab w:val="left" w:pos="900"/>
        </w:tabs>
        <w:spacing w:line="460" w:lineRule="exact"/>
        <w:rPr>
          <w:rFonts w:hint="eastAsia" w:ascii="宋体" w:hAnsi="宋体" w:cs="宋体"/>
          <w:b/>
          <w:color w:val="auto"/>
          <w:sz w:val="22"/>
          <w:szCs w:val="22"/>
          <w:highlight w:val="none"/>
          <w:u w:val="single"/>
        </w:rPr>
      </w:pPr>
      <w:bookmarkStart w:id="59" w:name="_Toc246261263"/>
      <w:bookmarkStart w:id="60" w:name="_Toc245722279"/>
      <w:bookmarkStart w:id="61" w:name="_Toc262049416"/>
      <w:bookmarkStart w:id="62" w:name="_Toc241404200"/>
      <w:bookmarkStart w:id="63" w:name="_Toc222114877"/>
      <w:bookmarkStart w:id="64" w:name="_Toc262105501"/>
      <w:bookmarkStart w:id="65" w:name="_Toc245191312"/>
      <w:bookmarkStart w:id="66" w:name="_Toc221356949"/>
      <w:bookmarkStart w:id="67" w:name="_Toc239145352"/>
      <w:bookmarkStart w:id="68" w:name="_Toc221356884"/>
      <w:bookmarkStart w:id="69" w:name="_Toc249758862"/>
      <w:bookmarkStart w:id="70" w:name="_Toc249758710"/>
      <w:bookmarkStart w:id="71" w:name="_Toc221374624"/>
      <w:bookmarkStart w:id="72" w:name="_Toc221423617"/>
      <w:bookmarkStart w:id="73" w:name="_Toc223715996"/>
      <w:r>
        <w:rPr>
          <w:rFonts w:hint="eastAsia" w:ascii="宋体" w:hAnsi="宋体" w:cs="宋体"/>
          <w:b/>
          <w:color w:val="auto"/>
          <w:sz w:val="22"/>
          <w:szCs w:val="22"/>
          <w:highlight w:val="none"/>
        </w:rPr>
        <w:t>2. 合格供应商的要求：▲（1）</w:t>
      </w:r>
      <w:r>
        <w:rPr>
          <w:rFonts w:hint="eastAsia" w:ascii="宋体" w:hAnsi="宋体" w:cs="宋体"/>
          <w:b/>
          <w:color w:val="auto"/>
          <w:sz w:val="22"/>
          <w:szCs w:val="22"/>
          <w:highlight w:val="none"/>
          <w:u w:val="single"/>
        </w:rPr>
        <w:t>满足《中华人民共和国政府采购法》第二十二条的规定；未被“信用中国”（www.creditchina.gov.cn)、中国政府采购网（www.ccgp.gov.cn）列入失信被执行人、重大税收违法案件当事人名单、政府采购严重违法失信行为记录名单。（2）落实政府采购政策需满足的资格要求：无。（3）本项目的特定资格要求：无。（4）</w:t>
      </w:r>
      <w:r>
        <w:rPr>
          <w:rFonts w:hint="eastAsia" w:ascii="宋体" w:hAnsi="宋体" w:cs="宋体"/>
          <w:b/>
          <w:color w:val="auto"/>
          <w:highlight w:val="none"/>
          <w:u w:val="single"/>
        </w:rPr>
        <w:t>本项目不接受联合体投标。</w:t>
      </w:r>
    </w:p>
    <w:p w14:paraId="51729DB5">
      <w:pPr>
        <w:tabs>
          <w:tab w:val="left" w:pos="540"/>
          <w:tab w:val="left" w:pos="90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 供应商代表</w:t>
      </w:r>
    </w:p>
    <w:p w14:paraId="44134A38">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指全权代表供应商参加谈判活动并签署单一来源响应文件的人。如果供应商代表不是法定代表人（负责人），须持有《法定代表人（负责人）授权书》。</w:t>
      </w:r>
    </w:p>
    <w:p w14:paraId="24054D62">
      <w:pPr>
        <w:numPr>
          <w:ilvl w:val="0"/>
          <w:numId w:val="2"/>
        </w:numPr>
        <w:tabs>
          <w:tab w:val="left" w:pos="540"/>
          <w:tab w:val="left" w:pos="90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谈判费用</w:t>
      </w:r>
    </w:p>
    <w:p w14:paraId="0196A037">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供应商应承担所有与准备和参加谈判有关费用，不论谈判的结果如何，采购人和采购代理机构均无义务和责任承担这些费用。</w:t>
      </w:r>
    </w:p>
    <w:p w14:paraId="3202C96E">
      <w:pPr>
        <w:tabs>
          <w:tab w:val="left" w:pos="540"/>
          <w:tab w:val="left" w:pos="90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5.供应商信用查询</w:t>
      </w:r>
    </w:p>
    <w:p w14:paraId="0190B85E">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采购人或采购代理机构将对本项目供应商的信用信息进行资料核验。对列入失信被执行人、重大税收违法案件当事人名单、政府采购严重违法失信行为记录名单及其他不符合《中华人民共和国政府采购法》第二十二条规定条件的供应商，将拒绝其参与本次政府采购活动。</w:t>
      </w:r>
    </w:p>
    <w:p w14:paraId="6545B61E">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2）查询渠道为</w:t>
      </w:r>
      <w:r>
        <w:rPr>
          <w:rFonts w:hint="eastAsia" w:ascii="宋体" w:hAnsi="宋体" w:cs="宋体"/>
          <w:b/>
          <w:color w:val="auto"/>
          <w:sz w:val="22"/>
          <w:szCs w:val="22"/>
          <w:highlight w:val="none"/>
          <w:u w:val="single"/>
        </w:rPr>
        <w:t>信用中国网站（www.creditchina.gov.cn）、中国政府采购网（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"http://www.ccgp.gov.cn" </w:instrText>
      </w:r>
      <w:r>
        <w:rPr>
          <w:rFonts w:hint="eastAsia" w:ascii="宋体" w:hAnsi="宋体" w:cs="宋体"/>
          <w:color w:val="auto"/>
          <w:highlight w:val="none"/>
        </w:rPr>
        <w:fldChar w:fldCharType="separate"/>
      </w:r>
      <w:r>
        <w:rPr>
          <w:rFonts w:hint="eastAsia" w:ascii="宋体" w:hAnsi="宋体" w:cs="宋体"/>
          <w:b/>
          <w:color w:val="auto"/>
          <w:highlight w:val="none"/>
          <w:u w:val="single"/>
        </w:rPr>
        <w:t>www.ccgp.gov.cn</w:t>
      </w:r>
      <w:r>
        <w:rPr>
          <w:rFonts w:hint="eastAsia" w:ascii="宋体" w:hAnsi="宋体" w:cs="宋体"/>
          <w:b/>
          <w:color w:val="auto"/>
          <w:highlight w:val="none"/>
          <w:u w:val="single"/>
        </w:rPr>
        <w:fldChar w:fldCharType="end"/>
      </w:r>
      <w:r>
        <w:rPr>
          <w:rFonts w:hint="eastAsia" w:ascii="宋体" w:hAnsi="宋体" w:cs="宋体"/>
          <w:b/>
          <w:color w:val="auto"/>
          <w:sz w:val="22"/>
          <w:szCs w:val="22"/>
          <w:highlight w:val="none"/>
          <w:u w:val="single"/>
        </w:rPr>
        <w:t>）</w:t>
      </w:r>
      <w:r>
        <w:rPr>
          <w:rFonts w:hint="eastAsia" w:ascii="宋体" w:hAnsi="宋体" w:cs="宋体"/>
          <w:color w:val="auto"/>
          <w:sz w:val="22"/>
          <w:szCs w:val="22"/>
          <w:highlight w:val="none"/>
        </w:rPr>
        <w:t>。</w:t>
      </w:r>
    </w:p>
    <w:p w14:paraId="15F77674">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3）谈判截止日当日网站显示的信用信息将作为资格审查的依据。</w:t>
      </w:r>
    </w:p>
    <w:p w14:paraId="10657BFE">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4）联合体成员存在上述不良信用记录的，视同联合体存在不良信用记录(此款适用于接受联合体谈判的项目)。</w:t>
      </w:r>
    </w:p>
    <w:p w14:paraId="4138ED42">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5）信用信息截止时点为单一来源响应文件递交截止日当天。</w:t>
      </w:r>
    </w:p>
    <w:p w14:paraId="674E4779">
      <w:pPr>
        <w:spacing w:before="200" w:after="200" w:line="360" w:lineRule="auto"/>
        <w:jc w:val="center"/>
        <w:outlineLvl w:val="0"/>
        <w:rPr>
          <w:rFonts w:hint="eastAsia" w:ascii="宋体" w:hAnsi="宋体" w:cs="宋体"/>
          <w:b/>
          <w:bCs/>
          <w:color w:val="auto"/>
          <w:szCs w:val="21"/>
          <w:highlight w:val="none"/>
        </w:rPr>
      </w:pPr>
      <w:bookmarkStart w:id="74" w:name="_Toc14020"/>
      <w:r>
        <w:rPr>
          <w:rFonts w:hint="eastAsia" w:ascii="宋体" w:hAnsi="宋体" w:cs="宋体"/>
          <w:b/>
          <w:bCs/>
          <w:color w:val="auto"/>
          <w:szCs w:val="21"/>
          <w:highlight w:val="none"/>
        </w:rPr>
        <w:t xml:space="preserve">二、 </w:t>
      </w:r>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r>
        <w:rPr>
          <w:rFonts w:hint="eastAsia" w:ascii="宋体" w:hAnsi="宋体" w:cs="宋体"/>
          <w:b/>
          <w:bCs/>
          <w:color w:val="auto"/>
          <w:szCs w:val="21"/>
          <w:highlight w:val="none"/>
        </w:rPr>
        <w:t>单一来源采购文件</w:t>
      </w:r>
      <w:bookmarkEnd w:id="74"/>
    </w:p>
    <w:p w14:paraId="47C6282E">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 单一来源采购文件由单一来源采购文件目录所列内容及相关资料组成。</w:t>
      </w:r>
    </w:p>
    <w:p w14:paraId="59034107">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 单一来源采购文件的澄清</w:t>
      </w:r>
    </w:p>
    <w:p w14:paraId="4B8E2E98">
      <w:pPr>
        <w:tabs>
          <w:tab w:val="left" w:pos="540"/>
        </w:tabs>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供应商对单一来源采购文件如有疑点或未尽事宜要求澄清，或认为有必要进行说明或交流，供应商可以以书面形式（包括信函、传真、下同）向采购人提出质疑，采购人将用书面形式予以答复。如有必要，可将不说明问题来源的答复发给各有关供应商或召开答疑会。如果标书答疑期内未收到有关疑问，视为供应商完全同意单一来源采购文件所有条款，且对于单一来源采购文件相关表述以及未尽事宜如有争议，以采购人解释为准。</w:t>
      </w:r>
    </w:p>
    <w:p w14:paraId="6D6BF82C">
      <w:pPr>
        <w:numPr>
          <w:ilvl w:val="0"/>
          <w:numId w:val="3"/>
        </w:num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单一来源采购文件的修改</w:t>
      </w:r>
    </w:p>
    <w:p w14:paraId="2B1D68EE">
      <w:pPr>
        <w:tabs>
          <w:tab w:val="left" w:pos="360"/>
        </w:tabs>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3.1 在单一来源响应文件递交截止期前，采购人无论是出于何种原因，均可对单一来源采购文件用补充文件的方式进行修改，并在</w:t>
      </w:r>
      <w:r>
        <w:rPr>
          <w:rFonts w:hint="eastAsia" w:ascii="宋体" w:hAnsi="宋体" w:cs="宋体"/>
          <w:bCs/>
          <w:color w:val="auto"/>
          <w:sz w:val="22"/>
          <w:szCs w:val="22"/>
          <w:highlight w:val="none"/>
        </w:rPr>
        <w:t>浙江政府采购网（</w:t>
      </w:r>
      <w:r>
        <w:rPr>
          <w:rFonts w:ascii="宋体" w:hAnsi="宋体" w:cs="宋体"/>
          <w:bCs/>
          <w:color w:val="auto"/>
          <w:sz w:val="22"/>
          <w:szCs w:val="22"/>
          <w:highlight w:val="none"/>
        </w:rPr>
        <w:t>https://www.zcygov.cn/</w:t>
      </w:r>
      <w:r>
        <w:rPr>
          <w:rFonts w:hint="eastAsia" w:ascii="宋体" w:hAnsi="宋体" w:cs="宋体"/>
          <w:bCs/>
          <w:color w:val="auto"/>
          <w:sz w:val="22"/>
          <w:szCs w:val="22"/>
          <w:highlight w:val="none"/>
        </w:rPr>
        <w:t>）</w:t>
      </w:r>
      <w:r>
        <w:rPr>
          <w:rFonts w:hint="eastAsia" w:ascii="宋体" w:hAnsi="宋体" w:cs="宋体"/>
          <w:color w:val="auto"/>
          <w:sz w:val="22"/>
          <w:szCs w:val="22"/>
          <w:highlight w:val="none"/>
        </w:rPr>
        <w:t>上发布更正公告。该澄清和修改的内容为单一来源采购文件的组成部分。采购人可以视采购具体情况作出延长单一来源响应文件递交截止时间和谈判时间的决定，并将变更时间书面通知所有单一来源采购文件收受人，并在</w:t>
      </w:r>
      <w:r>
        <w:rPr>
          <w:rFonts w:hint="eastAsia" w:ascii="宋体" w:hAnsi="宋体" w:cs="宋体"/>
          <w:bCs/>
          <w:color w:val="auto"/>
          <w:sz w:val="22"/>
          <w:szCs w:val="22"/>
          <w:highlight w:val="none"/>
        </w:rPr>
        <w:t>浙江政府采购网（</w:t>
      </w:r>
      <w:r>
        <w:rPr>
          <w:rFonts w:ascii="宋体" w:hAnsi="宋体" w:cs="宋体"/>
          <w:bCs/>
          <w:color w:val="auto"/>
          <w:sz w:val="22"/>
          <w:szCs w:val="22"/>
          <w:highlight w:val="none"/>
        </w:rPr>
        <w:t>https://www.zcygov.cn/</w:t>
      </w:r>
      <w:r>
        <w:rPr>
          <w:rFonts w:hint="eastAsia" w:ascii="宋体" w:hAnsi="宋体" w:cs="宋体"/>
          <w:bCs/>
          <w:color w:val="auto"/>
          <w:sz w:val="22"/>
          <w:szCs w:val="22"/>
          <w:highlight w:val="none"/>
        </w:rPr>
        <w:t>）</w:t>
      </w:r>
      <w:r>
        <w:rPr>
          <w:rFonts w:hint="eastAsia" w:ascii="宋体" w:hAnsi="宋体" w:cs="宋体"/>
          <w:color w:val="auto"/>
          <w:sz w:val="22"/>
          <w:szCs w:val="22"/>
          <w:highlight w:val="none"/>
        </w:rPr>
        <w:t>上发布变更公告。</w:t>
      </w:r>
    </w:p>
    <w:p w14:paraId="5BC09E78">
      <w:pPr>
        <w:tabs>
          <w:tab w:val="left" w:pos="360"/>
        </w:tabs>
        <w:spacing w:line="460" w:lineRule="exact"/>
        <w:ind w:firstLine="440" w:firstLineChars="200"/>
        <w:rPr>
          <w:rFonts w:hint="eastAsia" w:ascii="宋体" w:hAnsi="宋体" w:cs="宋体"/>
          <w:color w:val="auto"/>
          <w:sz w:val="22"/>
          <w:szCs w:val="22"/>
          <w:highlight w:val="none"/>
        </w:rPr>
      </w:pPr>
      <w:r>
        <w:rPr>
          <w:rFonts w:hint="eastAsia" w:ascii="宋体" w:hAnsi="宋体" w:cs="宋体"/>
          <w:bCs/>
          <w:color w:val="auto"/>
          <w:sz w:val="22"/>
          <w:szCs w:val="22"/>
          <w:highlight w:val="none"/>
        </w:rPr>
        <w:t>3.2 单一来源采购文件如有补充更正均见浙江政府采购网（https://www.zcygov.cn/）。供应商须自行查看是否有补充更正文件，并按补充更正文件要求谈判，否则责任自负</w:t>
      </w:r>
      <w:r>
        <w:rPr>
          <w:rFonts w:hint="eastAsia" w:ascii="宋体" w:hAnsi="宋体" w:cs="宋体"/>
          <w:color w:val="auto"/>
          <w:sz w:val="22"/>
          <w:szCs w:val="22"/>
          <w:highlight w:val="none"/>
        </w:rPr>
        <w:t>。</w:t>
      </w:r>
    </w:p>
    <w:p w14:paraId="4317DDFA">
      <w:pPr>
        <w:spacing w:before="200" w:after="200" w:line="360" w:lineRule="auto"/>
        <w:jc w:val="center"/>
        <w:outlineLvl w:val="0"/>
        <w:rPr>
          <w:rFonts w:hint="eastAsia" w:ascii="宋体" w:hAnsi="宋体" w:cs="宋体"/>
          <w:b/>
          <w:bCs/>
          <w:color w:val="auto"/>
          <w:szCs w:val="21"/>
          <w:highlight w:val="none"/>
        </w:rPr>
      </w:pPr>
      <w:bookmarkStart w:id="75" w:name="_Toc221374625"/>
      <w:bookmarkStart w:id="76" w:name="_Toc223715997"/>
      <w:bookmarkStart w:id="77" w:name="_Toc249758711"/>
      <w:bookmarkStart w:id="78" w:name="_Toc221423618"/>
      <w:bookmarkStart w:id="79" w:name="_Toc222114878"/>
      <w:bookmarkStart w:id="80" w:name="_Toc262049417"/>
      <w:bookmarkStart w:id="81" w:name="_Toc241404201"/>
      <w:bookmarkStart w:id="82" w:name="_Toc239145353"/>
      <w:bookmarkStart w:id="83" w:name="_Toc221356885"/>
      <w:bookmarkStart w:id="84" w:name="_Toc12808"/>
      <w:bookmarkStart w:id="85" w:name="_Toc246261264"/>
      <w:bookmarkStart w:id="86" w:name="_Toc221356950"/>
      <w:bookmarkStart w:id="87" w:name="_Toc262105502"/>
      <w:bookmarkStart w:id="88" w:name="_Toc245722280"/>
      <w:bookmarkStart w:id="89" w:name="_Toc249758863"/>
      <w:bookmarkStart w:id="90" w:name="_Toc245191313"/>
      <w:r>
        <w:rPr>
          <w:rFonts w:hint="eastAsia" w:ascii="宋体" w:hAnsi="宋体" w:cs="宋体"/>
          <w:b/>
          <w:bCs/>
          <w:color w:val="auto"/>
          <w:szCs w:val="21"/>
          <w:highlight w:val="none"/>
        </w:rPr>
        <w:t>三、 单一来源响应文件的编制</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7E3CAD6D">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 供应商应认真阅读单一来源采购文件中所有事项格式、条款和技术规范等。</w:t>
      </w:r>
      <w:r>
        <w:rPr>
          <w:rFonts w:hint="eastAsia" w:ascii="宋体" w:hAnsi="宋体" w:cs="宋体"/>
          <w:b/>
          <w:color w:val="auto"/>
          <w:sz w:val="22"/>
          <w:szCs w:val="22"/>
          <w:highlight w:val="none"/>
        </w:rPr>
        <w:t>供应商没有按照单一来源采购文件要求提交全部资料，或者没有对单一来源采购文件各个方面做出实质性响应，导致谈判被拒绝的风险由供应商自行承担。</w:t>
      </w:r>
    </w:p>
    <w:p w14:paraId="1E1426FC">
      <w:pPr>
        <w:tabs>
          <w:tab w:val="left" w:pos="540"/>
        </w:tabs>
        <w:spacing w:line="46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2. 供应商法律责任</w:t>
      </w:r>
    </w:p>
    <w:p w14:paraId="1AC84D48">
      <w:pPr>
        <w:tabs>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rPr>
        <w:t>2.1 ▲</w:t>
      </w:r>
      <w:r>
        <w:rPr>
          <w:rFonts w:hint="eastAsia" w:ascii="宋体" w:hAnsi="宋体" w:cs="宋体"/>
          <w:b/>
          <w:color w:val="auto"/>
          <w:sz w:val="22"/>
          <w:szCs w:val="22"/>
          <w:highlight w:val="none"/>
          <w:u w:val="single"/>
        </w:rPr>
        <w:t>供应商应保证所提供文件资料的真实性，所有文件资料必须是针对本次谈判的。如发现供应商提供了虚假文件资料，其谈判将被拒绝，并自行承担相应的法律责任。</w:t>
      </w:r>
    </w:p>
    <w:p w14:paraId="405FE5A7">
      <w:pPr>
        <w:tabs>
          <w:tab w:val="left" w:pos="540"/>
        </w:tabs>
        <w:spacing w:line="46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3. 单一来源响应文件的构成</w:t>
      </w:r>
    </w:p>
    <w:p w14:paraId="5A5ABC84">
      <w:pPr>
        <w:tabs>
          <w:tab w:val="left" w:pos="36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3.1 单一来源响应文件由资格文件、商务技术文件、报价文件三部分构成：</w:t>
      </w:r>
    </w:p>
    <w:p w14:paraId="57DB525A">
      <w:pPr>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（1）资格文件</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7"/>
        <w:gridCol w:w="7906"/>
        <w:gridCol w:w="1511"/>
      </w:tblGrid>
      <w:tr w14:paraId="2F9B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37" w:type="dxa"/>
            <w:noWrap w:val="0"/>
            <w:vAlign w:val="center"/>
          </w:tcPr>
          <w:p w14:paraId="422BB341">
            <w:pPr>
              <w:overflowPunct w:val="0"/>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906" w:type="dxa"/>
            <w:noWrap w:val="0"/>
            <w:vAlign w:val="center"/>
          </w:tcPr>
          <w:p w14:paraId="0D8DEC03">
            <w:pPr>
              <w:overflowPunct w:val="0"/>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内 容</w:t>
            </w:r>
          </w:p>
        </w:tc>
        <w:tc>
          <w:tcPr>
            <w:tcW w:w="1511" w:type="dxa"/>
            <w:noWrap w:val="0"/>
            <w:vAlign w:val="center"/>
          </w:tcPr>
          <w:p w14:paraId="603668AE">
            <w:pPr>
              <w:overflowPunct w:val="0"/>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备注</w:t>
            </w:r>
          </w:p>
        </w:tc>
      </w:tr>
      <w:tr w14:paraId="251C7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37" w:type="dxa"/>
            <w:noWrap w:val="0"/>
            <w:vAlign w:val="center"/>
          </w:tcPr>
          <w:p w14:paraId="6566BDEF">
            <w:pPr>
              <w:overflowPunct w:val="0"/>
              <w:jc w:val="center"/>
              <w:rPr>
                <w:rFonts w:hint="eastAsia" w:ascii="宋体" w:hAnsi="宋体" w:cs="宋体"/>
                <w:bCs/>
                <w:color w:val="auto"/>
                <w:sz w:val="22"/>
                <w:szCs w:val="22"/>
                <w:highlight w:val="none"/>
              </w:rPr>
            </w:pPr>
            <w:r>
              <w:rPr>
                <w:rFonts w:hint="eastAsia" w:ascii="宋体" w:hAnsi="宋体" w:cs="宋体"/>
                <w:bCs/>
                <w:color w:val="auto"/>
                <w:szCs w:val="21"/>
                <w:highlight w:val="none"/>
              </w:rPr>
              <w:t>1</w:t>
            </w:r>
          </w:p>
        </w:tc>
        <w:tc>
          <w:tcPr>
            <w:tcW w:w="7906" w:type="dxa"/>
            <w:noWrap w:val="0"/>
            <w:vAlign w:val="center"/>
          </w:tcPr>
          <w:p w14:paraId="5AF2A4EE">
            <w:pPr>
              <w:rPr>
                <w:rFonts w:hint="eastAsia" w:ascii="宋体" w:hAnsi="宋体" w:cs="宋体"/>
                <w:bCs/>
                <w:color w:val="auto"/>
                <w:sz w:val="22"/>
                <w:szCs w:val="22"/>
                <w:highlight w:val="none"/>
              </w:rPr>
            </w:pPr>
            <w:r>
              <w:rPr>
                <w:rFonts w:hint="eastAsia" w:ascii="宋体" w:hAnsi="宋体" w:cs="宋体"/>
                <w:color w:val="auto"/>
                <w:szCs w:val="21"/>
                <w:highlight w:val="none"/>
              </w:rPr>
              <w:t>法定代表人（负责人）声明书或法定代表人（负责人）授权委托书（如法定代表人（负责人）为谈判供应商代表时，授权委托书可不提供）</w:t>
            </w:r>
          </w:p>
        </w:tc>
        <w:tc>
          <w:tcPr>
            <w:tcW w:w="1511" w:type="dxa"/>
            <w:vMerge w:val="restart"/>
            <w:noWrap w:val="0"/>
            <w:vAlign w:val="center"/>
          </w:tcPr>
          <w:p w14:paraId="5DAFEA0A">
            <w:pPr>
              <w:rPr>
                <w:rFonts w:hint="eastAsia" w:ascii="宋体" w:hAnsi="宋体" w:cs="宋体"/>
                <w:bCs/>
                <w:color w:val="auto"/>
                <w:szCs w:val="21"/>
                <w:highlight w:val="none"/>
              </w:rPr>
            </w:pPr>
            <w:r>
              <w:rPr>
                <w:rFonts w:hint="eastAsia" w:ascii="宋体" w:hAnsi="宋体" w:cs="宋体"/>
                <w:bCs/>
                <w:color w:val="auto"/>
                <w:sz w:val="22"/>
                <w:szCs w:val="22"/>
                <w:highlight w:val="none"/>
              </w:rPr>
              <w:t>附件一</w:t>
            </w:r>
          </w:p>
          <w:p w14:paraId="0316C1A5">
            <w:pPr>
              <w:jc w:val="center"/>
              <w:rPr>
                <w:rFonts w:hint="eastAsia" w:ascii="宋体" w:hAnsi="宋体" w:cs="宋体"/>
                <w:bCs/>
                <w:color w:val="auto"/>
                <w:sz w:val="22"/>
                <w:szCs w:val="22"/>
                <w:highlight w:val="none"/>
              </w:rPr>
            </w:pPr>
          </w:p>
        </w:tc>
      </w:tr>
      <w:tr w14:paraId="4F72A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37" w:type="dxa"/>
            <w:noWrap w:val="0"/>
            <w:vAlign w:val="center"/>
          </w:tcPr>
          <w:p w14:paraId="046AE408">
            <w:pPr>
              <w:overflowPunct w:val="0"/>
              <w:jc w:val="center"/>
              <w:rPr>
                <w:rFonts w:hint="eastAsia" w:ascii="宋体" w:hAnsi="宋体" w:cs="宋体"/>
                <w:bCs/>
                <w:color w:val="auto"/>
                <w:sz w:val="22"/>
                <w:szCs w:val="22"/>
                <w:highlight w:val="none"/>
              </w:rPr>
            </w:pPr>
            <w:r>
              <w:rPr>
                <w:rFonts w:hint="eastAsia" w:ascii="宋体" w:hAnsi="宋体" w:cs="宋体"/>
                <w:bCs/>
                <w:color w:val="auto"/>
                <w:szCs w:val="21"/>
                <w:highlight w:val="none"/>
              </w:rPr>
              <w:t>2</w:t>
            </w:r>
          </w:p>
        </w:tc>
        <w:tc>
          <w:tcPr>
            <w:tcW w:w="7906" w:type="dxa"/>
            <w:noWrap w:val="0"/>
            <w:vAlign w:val="center"/>
          </w:tcPr>
          <w:p w14:paraId="4916582B">
            <w:pPr>
              <w:rPr>
                <w:rFonts w:hint="eastAsia" w:ascii="宋体" w:hAnsi="宋体" w:cs="宋体"/>
                <w:bCs/>
                <w:color w:val="auto"/>
                <w:sz w:val="22"/>
                <w:szCs w:val="22"/>
                <w:highlight w:val="none"/>
              </w:rPr>
            </w:pPr>
            <w:r>
              <w:rPr>
                <w:rFonts w:hint="eastAsia" w:ascii="宋体" w:hAnsi="宋体" w:cs="宋体"/>
                <w:color w:val="auto"/>
                <w:sz w:val="22"/>
                <w:szCs w:val="22"/>
                <w:highlight w:val="none"/>
              </w:rPr>
              <w:t>投标供应商参与政府采购活动投标资格声明函</w:t>
            </w:r>
          </w:p>
        </w:tc>
        <w:tc>
          <w:tcPr>
            <w:tcW w:w="1511" w:type="dxa"/>
            <w:vMerge w:val="continue"/>
            <w:noWrap w:val="0"/>
            <w:vAlign w:val="center"/>
          </w:tcPr>
          <w:p w14:paraId="542CC185">
            <w:pPr>
              <w:jc w:val="center"/>
              <w:rPr>
                <w:rFonts w:hint="eastAsia" w:ascii="宋体" w:hAnsi="宋体" w:cs="宋体"/>
                <w:bCs/>
                <w:color w:val="auto"/>
                <w:sz w:val="22"/>
                <w:szCs w:val="22"/>
                <w:highlight w:val="none"/>
              </w:rPr>
            </w:pPr>
          </w:p>
        </w:tc>
      </w:tr>
      <w:tr w14:paraId="25A1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37" w:type="dxa"/>
            <w:noWrap w:val="0"/>
            <w:vAlign w:val="center"/>
          </w:tcPr>
          <w:p w14:paraId="6B31E232">
            <w:pPr>
              <w:overflowPunct w:val="0"/>
              <w:jc w:val="center"/>
              <w:rPr>
                <w:rFonts w:hint="eastAsia" w:ascii="宋体" w:hAnsi="宋体" w:cs="宋体"/>
                <w:bCs/>
                <w:color w:val="auto"/>
                <w:sz w:val="22"/>
                <w:szCs w:val="22"/>
                <w:highlight w:val="none"/>
              </w:rPr>
            </w:pPr>
            <w:r>
              <w:rPr>
                <w:rFonts w:hint="eastAsia" w:ascii="宋体" w:hAnsi="宋体" w:cs="宋体"/>
                <w:bCs/>
                <w:color w:val="auto"/>
                <w:szCs w:val="21"/>
                <w:highlight w:val="none"/>
              </w:rPr>
              <w:t>3</w:t>
            </w:r>
          </w:p>
        </w:tc>
        <w:tc>
          <w:tcPr>
            <w:tcW w:w="7906" w:type="dxa"/>
            <w:noWrap w:val="0"/>
            <w:vAlign w:val="center"/>
          </w:tcPr>
          <w:p w14:paraId="0EA9A4C6">
            <w:pPr>
              <w:rPr>
                <w:rFonts w:hint="eastAsia" w:ascii="宋体" w:hAnsi="宋体" w:cs="宋体"/>
                <w:bCs/>
                <w:color w:val="auto"/>
                <w:sz w:val="22"/>
                <w:szCs w:val="22"/>
                <w:highlight w:val="none"/>
              </w:rPr>
            </w:pPr>
            <w:r>
              <w:rPr>
                <w:rFonts w:hint="eastAsia" w:ascii="宋体" w:hAnsi="宋体" w:cs="宋体"/>
                <w:bCs/>
                <w:color w:val="auto"/>
                <w:szCs w:val="21"/>
                <w:highlight w:val="none"/>
              </w:rPr>
              <w:t>营业执照(或事业法人登记证书或其它工商等登记证明材料)</w:t>
            </w:r>
          </w:p>
        </w:tc>
        <w:tc>
          <w:tcPr>
            <w:tcW w:w="1511" w:type="dxa"/>
            <w:vMerge w:val="continue"/>
            <w:noWrap w:val="0"/>
            <w:vAlign w:val="center"/>
          </w:tcPr>
          <w:p w14:paraId="0E034D7A">
            <w:pPr>
              <w:jc w:val="center"/>
              <w:rPr>
                <w:rFonts w:hint="eastAsia" w:ascii="宋体" w:hAnsi="宋体" w:cs="宋体"/>
                <w:color w:val="auto"/>
                <w:sz w:val="22"/>
                <w:szCs w:val="22"/>
                <w:highlight w:val="none"/>
              </w:rPr>
            </w:pPr>
          </w:p>
        </w:tc>
      </w:tr>
      <w:tr w14:paraId="08533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37" w:type="dxa"/>
            <w:noWrap w:val="0"/>
            <w:vAlign w:val="center"/>
          </w:tcPr>
          <w:p w14:paraId="37DADA4A">
            <w:pPr>
              <w:overflowPunct w:val="0"/>
              <w:jc w:val="center"/>
              <w:rPr>
                <w:rFonts w:hint="eastAsia" w:ascii="宋体" w:hAnsi="宋体" w:cs="宋体"/>
                <w:bCs/>
                <w:color w:val="auto"/>
                <w:szCs w:val="21"/>
                <w:highlight w:val="none"/>
              </w:rPr>
            </w:pPr>
            <w:r>
              <w:rPr>
                <w:rFonts w:hint="eastAsia" w:ascii="宋体" w:hAnsi="宋体" w:cs="宋体"/>
                <w:bCs/>
                <w:color w:val="auto"/>
                <w:szCs w:val="21"/>
                <w:highlight w:val="none"/>
              </w:rPr>
              <w:t>4</w:t>
            </w:r>
          </w:p>
        </w:tc>
        <w:tc>
          <w:tcPr>
            <w:tcW w:w="7906" w:type="dxa"/>
            <w:noWrap w:val="0"/>
            <w:vAlign w:val="center"/>
          </w:tcPr>
          <w:p w14:paraId="340124DC">
            <w:pPr>
              <w:rPr>
                <w:rFonts w:hint="eastAsia" w:ascii="宋体" w:hAnsi="宋体" w:cs="宋体"/>
                <w:bCs/>
                <w:color w:val="auto"/>
                <w:sz w:val="22"/>
                <w:szCs w:val="22"/>
                <w:highlight w:val="none"/>
              </w:rPr>
            </w:pPr>
            <w:r>
              <w:rPr>
                <w:rFonts w:hint="eastAsia" w:ascii="宋体" w:hAnsi="宋体" w:cs="宋体"/>
                <w:color w:val="auto"/>
                <w:szCs w:val="21"/>
                <w:highlight w:val="none"/>
              </w:rPr>
              <w:t>谈判供应商“信用中国”(www.creditchina.gov.cn)；“中国政府采购网”（http://www.ccgp.gov.cn/）信用记录网页截图（采购公告发布之日至响应截止时间前）</w:t>
            </w:r>
          </w:p>
        </w:tc>
        <w:tc>
          <w:tcPr>
            <w:tcW w:w="1511" w:type="dxa"/>
            <w:vMerge w:val="continue"/>
            <w:noWrap w:val="0"/>
            <w:vAlign w:val="center"/>
          </w:tcPr>
          <w:p w14:paraId="24D5882E">
            <w:pPr>
              <w:jc w:val="center"/>
              <w:rPr>
                <w:rFonts w:hint="eastAsia" w:ascii="宋体" w:hAnsi="宋体" w:cs="宋体"/>
                <w:color w:val="auto"/>
                <w:sz w:val="22"/>
                <w:szCs w:val="22"/>
                <w:highlight w:val="none"/>
              </w:rPr>
            </w:pPr>
          </w:p>
        </w:tc>
      </w:tr>
    </w:tbl>
    <w:p w14:paraId="1A5EBA06">
      <w:pPr>
        <w:spacing w:line="43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备注：</w:t>
      </w:r>
    </w:p>
    <w:p w14:paraId="79106394">
      <w:pPr>
        <w:spacing w:line="360" w:lineRule="auto"/>
        <w:ind w:firstLine="422" w:firstLineChars="200"/>
        <w:rPr>
          <w:rFonts w:hint="eastAsia" w:ascii="宋体" w:hAnsi="宋体" w:cs="宋体"/>
          <w:color w:val="auto"/>
          <w:szCs w:val="21"/>
          <w:highlight w:val="none"/>
        </w:rPr>
      </w:pPr>
      <w:r>
        <w:rPr>
          <w:rFonts w:hint="eastAsia" w:ascii="宋体" w:hAnsi="宋体" w:cs="宋体"/>
          <w:b/>
          <w:bCs/>
          <w:color w:val="auto"/>
          <w:szCs w:val="21"/>
          <w:highlight w:val="none"/>
        </w:rPr>
        <w:t>▲</w:t>
      </w:r>
      <w:r>
        <w:rPr>
          <w:rFonts w:hint="eastAsia" w:ascii="宋体" w:hAnsi="宋体" w:cs="宋体"/>
          <w:b/>
          <w:color w:val="auto"/>
          <w:szCs w:val="21"/>
          <w:highlight w:val="none"/>
          <w:u w:val="single"/>
        </w:rPr>
        <w:t>以上所需的各种材料若系复印件、扫描件，须加盖谈判供应商有效的公章（CA电子签章）。</w:t>
      </w:r>
    </w:p>
    <w:p w14:paraId="312F4119">
      <w:pPr>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（2）商务技术文件</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590"/>
        <w:gridCol w:w="1529"/>
      </w:tblGrid>
      <w:tr w14:paraId="305B1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64917E72">
            <w:pPr>
              <w:spacing w:line="43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5DBBB831">
            <w:pPr>
              <w:spacing w:line="43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内容</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6E7F74BC">
            <w:pPr>
              <w:spacing w:line="43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备 注</w:t>
            </w:r>
          </w:p>
        </w:tc>
      </w:tr>
      <w:tr w14:paraId="1A2BE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4C750491">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3E8F60FF">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谈判函</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005175FA">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附件四</w:t>
            </w:r>
          </w:p>
        </w:tc>
      </w:tr>
      <w:tr w14:paraId="5DC5B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63B4864C">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256380FC">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技术规格、商务条款偏离表</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6ABA72C8">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附件五</w:t>
            </w:r>
          </w:p>
        </w:tc>
      </w:tr>
      <w:tr w14:paraId="5D839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3893FCF0">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4E86E195">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资信证明文件（本部分供应商根据自身实际情况提供）</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1F4EDA45">
            <w:pPr>
              <w:spacing w:line="430" w:lineRule="exact"/>
              <w:jc w:val="center"/>
              <w:rPr>
                <w:rFonts w:hint="eastAsia" w:ascii="宋体" w:hAnsi="宋体" w:cs="宋体"/>
                <w:color w:val="auto"/>
                <w:sz w:val="22"/>
                <w:szCs w:val="22"/>
                <w:highlight w:val="none"/>
              </w:rPr>
            </w:pPr>
          </w:p>
        </w:tc>
      </w:tr>
      <w:tr w14:paraId="0C422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0ADC40CF">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3886285E">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参与本次项目的人员情况介绍</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6A33893C">
            <w:pPr>
              <w:spacing w:line="430" w:lineRule="exact"/>
              <w:jc w:val="center"/>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附件</w:t>
            </w:r>
            <w:r>
              <w:rPr>
                <w:rFonts w:hint="eastAsia" w:ascii="宋体" w:hAnsi="宋体" w:cs="宋体"/>
                <w:color w:val="auto"/>
                <w:sz w:val="22"/>
                <w:szCs w:val="22"/>
                <w:highlight w:val="none"/>
                <w:lang w:val="en-US" w:eastAsia="zh-CN"/>
              </w:rPr>
              <w:t>六</w:t>
            </w:r>
          </w:p>
        </w:tc>
      </w:tr>
      <w:tr w14:paraId="2F734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5C12F1D0">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a</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266DD0BB">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项目负责人资历表</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0A346B8B">
            <w:pPr>
              <w:spacing w:line="430" w:lineRule="exact"/>
              <w:jc w:val="center"/>
              <w:rPr>
                <w:rFonts w:hint="eastAsia" w:ascii="宋体" w:hAnsi="宋体" w:cs="宋体"/>
                <w:color w:val="auto"/>
                <w:sz w:val="22"/>
                <w:szCs w:val="22"/>
                <w:highlight w:val="none"/>
              </w:rPr>
            </w:pPr>
          </w:p>
        </w:tc>
      </w:tr>
      <w:tr w14:paraId="00CD0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32B5A827">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b</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370AE124">
            <w:p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项目组人员配置一览表</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33B45EF3">
            <w:pPr>
              <w:spacing w:line="430" w:lineRule="exact"/>
              <w:jc w:val="center"/>
              <w:rPr>
                <w:rFonts w:hint="eastAsia" w:ascii="宋体" w:hAnsi="宋体" w:cs="宋体"/>
                <w:color w:val="auto"/>
                <w:sz w:val="22"/>
                <w:szCs w:val="22"/>
                <w:highlight w:val="none"/>
              </w:rPr>
            </w:pPr>
          </w:p>
        </w:tc>
      </w:tr>
      <w:tr w14:paraId="32D71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76F693C5">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7590" w:type="dxa"/>
            <w:tcBorders>
              <w:top w:val="single" w:color="auto" w:sz="4" w:space="0"/>
              <w:left w:val="single" w:color="auto" w:sz="4" w:space="0"/>
              <w:bottom w:val="single" w:color="auto" w:sz="4" w:space="0"/>
              <w:right w:val="single" w:color="auto" w:sz="4" w:space="0"/>
            </w:tcBorders>
            <w:noWrap w:val="0"/>
            <w:vAlign w:val="top"/>
          </w:tcPr>
          <w:p w14:paraId="7EC1E526">
            <w:pPr>
              <w:spacing w:line="400" w:lineRule="exact"/>
              <w:rPr>
                <w:rFonts w:hint="eastAsia" w:ascii="宋体" w:hAnsi="宋体" w:cs="宋体"/>
                <w:color w:val="auto"/>
                <w:sz w:val="22"/>
                <w:szCs w:val="22"/>
                <w:highlight w:val="none"/>
              </w:rPr>
            </w:pPr>
            <w:r>
              <w:rPr>
                <w:rFonts w:hint="eastAsia" w:ascii="宋体" w:hAnsi="宋体" w:cs="宋体"/>
                <w:b/>
                <w:color w:val="auto"/>
                <w:sz w:val="22"/>
                <w:szCs w:val="22"/>
                <w:highlight w:val="none"/>
                <w:u w:val="single"/>
              </w:rPr>
              <w:t>针对本次项目采购需求提出的详细实施方案</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6D916C74">
            <w:pPr>
              <w:spacing w:line="430" w:lineRule="exact"/>
              <w:jc w:val="center"/>
              <w:rPr>
                <w:rFonts w:hint="eastAsia" w:ascii="宋体" w:hAnsi="宋体" w:cs="宋体"/>
                <w:color w:val="auto"/>
                <w:sz w:val="22"/>
                <w:szCs w:val="22"/>
                <w:highlight w:val="none"/>
              </w:rPr>
            </w:pPr>
          </w:p>
        </w:tc>
      </w:tr>
      <w:tr w14:paraId="5E9DF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0"/>
            <w:vAlign w:val="center"/>
          </w:tcPr>
          <w:p w14:paraId="4D9D663C">
            <w:pPr>
              <w:spacing w:line="43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7590" w:type="dxa"/>
            <w:tcBorders>
              <w:top w:val="single" w:color="auto" w:sz="4" w:space="0"/>
              <w:left w:val="single" w:color="auto" w:sz="4" w:space="0"/>
              <w:bottom w:val="single" w:color="auto" w:sz="4" w:space="0"/>
              <w:right w:val="single" w:color="auto" w:sz="4" w:space="0"/>
            </w:tcBorders>
            <w:noWrap w:val="0"/>
            <w:vAlign w:val="center"/>
          </w:tcPr>
          <w:p w14:paraId="652B1BDC">
            <w:pPr>
              <w:rPr>
                <w:rFonts w:hint="eastAsia" w:ascii="宋体" w:hAnsi="宋体" w:cs="宋体"/>
                <w:bCs/>
                <w:color w:val="auto"/>
                <w:sz w:val="22"/>
                <w:szCs w:val="22"/>
                <w:highlight w:val="none"/>
              </w:rPr>
            </w:pPr>
            <w:r>
              <w:rPr>
                <w:rFonts w:hint="eastAsia" w:ascii="宋体" w:hAnsi="宋体" w:cs="宋体"/>
                <w:color w:val="auto"/>
                <w:sz w:val="22"/>
                <w:szCs w:val="22"/>
                <w:highlight w:val="none"/>
              </w:rPr>
              <w:t>结合单一来源采购文件评分细则供应商认为需要提供的其他技术资料</w:t>
            </w:r>
          </w:p>
        </w:tc>
        <w:tc>
          <w:tcPr>
            <w:tcW w:w="1529" w:type="dxa"/>
            <w:tcBorders>
              <w:top w:val="single" w:color="auto" w:sz="4" w:space="0"/>
              <w:left w:val="single" w:color="auto" w:sz="4" w:space="0"/>
              <w:bottom w:val="single" w:color="auto" w:sz="4" w:space="0"/>
              <w:right w:val="single" w:color="auto" w:sz="4" w:space="0"/>
            </w:tcBorders>
            <w:noWrap w:val="0"/>
            <w:vAlign w:val="center"/>
          </w:tcPr>
          <w:p w14:paraId="3932FB59">
            <w:pPr>
              <w:jc w:val="center"/>
              <w:rPr>
                <w:rFonts w:hint="eastAsia" w:ascii="宋体" w:hAnsi="宋体" w:cs="宋体"/>
                <w:color w:val="auto"/>
                <w:sz w:val="22"/>
                <w:szCs w:val="22"/>
                <w:highlight w:val="none"/>
              </w:rPr>
            </w:pPr>
          </w:p>
        </w:tc>
      </w:tr>
    </w:tbl>
    <w:p w14:paraId="7C3AD6A6">
      <w:pPr>
        <w:spacing w:line="430" w:lineRule="exact"/>
        <w:rPr>
          <w:rFonts w:hint="eastAsia" w:ascii="宋体" w:hAnsi="宋体" w:cs="宋体"/>
          <w:bCs/>
          <w:color w:val="auto"/>
          <w:sz w:val="22"/>
          <w:szCs w:val="22"/>
          <w:highlight w:val="none"/>
        </w:rPr>
      </w:pPr>
      <w:r>
        <w:rPr>
          <w:rFonts w:hint="eastAsia" w:ascii="宋体" w:hAnsi="宋体" w:cs="宋体"/>
          <w:b/>
          <w:color w:val="auto"/>
          <w:sz w:val="22"/>
          <w:szCs w:val="22"/>
          <w:highlight w:val="none"/>
        </w:rPr>
        <w:t>说明：</w:t>
      </w:r>
    </w:p>
    <w:p w14:paraId="2FEF136F">
      <w:pPr>
        <w:tabs>
          <w:tab w:val="left" w:pos="5355"/>
        </w:tabs>
        <w:spacing w:line="43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1）供应商可根据单一来源采购文件中的采购内容及要求，提供供应商认为需要提供的文件和资料。</w:t>
      </w:r>
    </w:p>
    <w:p w14:paraId="2095AF1F">
      <w:pPr>
        <w:tabs>
          <w:tab w:val="left" w:pos="5355"/>
        </w:tabs>
        <w:spacing w:line="43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供应商可在单一来源响应文件中对单一来源采购文件中的技术要求选用替代标准、补充或更改，但这些替代标准及补充更改必须相当于或优于单一来源采购文件中提出的相应技术要求，并使采购人满意。同时在技术偏离表中作出详细说明。</w:t>
      </w:r>
    </w:p>
    <w:p w14:paraId="0437BFBC">
      <w:pPr>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（3） 报价文件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6"/>
        <w:gridCol w:w="6789"/>
        <w:gridCol w:w="1679"/>
      </w:tblGrid>
      <w:tr w14:paraId="5259B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6" w:type="dxa"/>
            <w:noWrap w:val="0"/>
            <w:vAlign w:val="center"/>
          </w:tcPr>
          <w:p w14:paraId="7BBD3AC6">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序号</w:t>
            </w:r>
          </w:p>
        </w:tc>
        <w:tc>
          <w:tcPr>
            <w:tcW w:w="6789" w:type="dxa"/>
            <w:noWrap w:val="0"/>
            <w:vAlign w:val="center"/>
          </w:tcPr>
          <w:p w14:paraId="307FE404">
            <w:pPr>
              <w:spacing w:line="43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内容</w:t>
            </w:r>
          </w:p>
        </w:tc>
        <w:tc>
          <w:tcPr>
            <w:tcW w:w="1679" w:type="dxa"/>
            <w:noWrap w:val="0"/>
            <w:vAlign w:val="center"/>
          </w:tcPr>
          <w:p w14:paraId="27356E64">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备注</w:t>
            </w:r>
          </w:p>
        </w:tc>
      </w:tr>
      <w:tr w14:paraId="6A689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6" w:type="dxa"/>
            <w:noWrap w:val="0"/>
            <w:vAlign w:val="center"/>
          </w:tcPr>
          <w:p w14:paraId="2B3DB477">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w:t>
            </w:r>
          </w:p>
        </w:tc>
        <w:tc>
          <w:tcPr>
            <w:tcW w:w="6789" w:type="dxa"/>
            <w:noWrap w:val="0"/>
            <w:vAlign w:val="center"/>
          </w:tcPr>
          <w:p w14:paraId="216DB110">
            <w:pPr>
              <w:spacing w:line="43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谈判报价一览表</w:t>
            </w:r>
          </w:p>
        </w:tc>
        <w:tc>
          <w:tcPr>
            <w:tcW w:w="1679" w:type="dxa"/>
            <w:noWrap w:val="0"/>
            <w:vAlign w:val="center"/>
          </w:tcPr>
          <w:p w14:paraId="0A1138ED">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附件二</w:t>
            </w:r>
          </w:p>
        </w:tc>
      </w:tr>
      <w:tr w14:paraId="0253E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6" w:type="dxa"/>
            <w:noWrap w:val="0"/>
            <w:vAlign w:val="center"/>
          </w:tcPr>
          <w:p w14:paraId="74F5B2F5">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w:t>
            </w:r>
          </w:p>
        </w:tc>
        <w:tc>
          <w:tcPr>
            <w:tcW w:w="6789" w:type="dxa"/>
            <w:noWrap w:val="0"/>
            <w:vAlign w:val="center"/>
          </w:tcPr>
          <w:p w14:paraId="21A0EB28">
            <w:pPr>
              <w:spacing w:line="43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谈判分项报价表</w:t>
            </w:r>
          </w:p>
        </w:tc>
        <w:tc>
          <w:tcPr>
            <w:tcW w:w="1679" w:type="dxa"/>
            <w:noWrap w:val="0"/>
            <w:vAlign w:val="center"/>
          </w:tcPr>
          <w:p w14:paraId="7AA6DA34">
            <w:pPr>
              <w:spacing w:line="43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附件三</w:t>
            </w:r>
          </w:p>
        </w:tc>
      </w:tr>
    </w:tbl>
    <w:p w14:paraId="4651F77D">
      <w:pPr>
        <w:tabs>
          <w:tab w:val="left" w:pos="36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3.2 电子单一来源响应文件形式</w:t>
      </w:r>
    </w:p>
    <w:p w14:paraId="06435747">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1）单一来源响应文件为电子单一来源响应文件。单一来源响应文件均由资格文件、商务技术文件、报价文件组成。供应商应通过“政采云电子交易客户端”，并按“政采云供应商项目采购-电子招投标操作指南”及本采购文件要求制作、加密并递交。</w:t>
      </w:r>
    </w:p>
    <w:p w14:paraId="64F56255">
      <w:pPr>
        <w:tabs>
          <w:tab w:val="left" w:pos="900"/>
        </w:tabs>
        <w:spacing w:line="43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2）“电子单一来源响应文件”是指通过“政采云电子交易客户端”完成单一来源响应文件编制后生成并加密的数据电文形式的加密标书,加密标书文件后缀格式为.jmbs；</w:t>
      </w:r>
    </w:p>
    <w:p w14:paraId="1B34A256">
      <w:pPr>
        <w:tabs>
          <w:tab w:val="left" w:pos="900"/>
        </w:tabs>
        <w:spacing w:line="43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3）“备份单一来源响应文件”是指与“加密标书”同时生成的数据电文形式的电子文件（备份标书），备份标书文件后缀格式为.bfbs,其他方式编制的备份响应文件视为无效备份响应文件。；</w:t>
      </w:r>
    </w:p>
    <w:p w14:paraId="2B79BA55">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4）公章签署的规定：电子单一来源响应文件中所须加盖公章部分均采用CA电子签章。</w:t>
      </w:r>
      <w:r>
        <w:rPr>
          <w:rFonts w:hint="eastAsia" w:ascii="宋体" w:hAnsi="宋体" w:cs="宋体"/>
          <w:b/>
          <w:bCs/>
          <w:color w:val="auto"/>
          <w:sz w:val="22"/>
          <w:szCs w:val="22"/>
          <w:highlight w:val="none"/>
        </w:rPr>
        <w:t>电子签章操作指南详见《政府采购项目电子交易管理操作指南-供应商》。</w:t>
      </w:r>
    </w:p>
    <w:p w14:paraId="0D52DE77">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5）法定代表人（负责人）签署的规定：</w:t>
      </w:r>
    </w:p>
    <w:p w14:paraId="114C61EB">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① 如供应商已办理法人CA电子签章的，则法定代表人（负责人）签署的地方可用CA电子签章进行签署；</w:t>
      </w:r>
    </w:p>
    <w:p w14:paraId="4785F2E5">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② 如供应商未办理法人CA电子签章的，单一来源响应文件中要求供应商法定代表人（负责人）签署的地方，须供应商制作成word版本先打印出来，由法定代表人（负责人）签署后再上传PDF.</w:t>
      </w:r>
    </w:p>
    <w:p w14:paraId="2D88BD44">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6）授权代表签署的规定：</w:t>
      </w:r>
    </w:p>
    <w:p w14:paraId="031782F8">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① 如供应商已办理授权代表CA电子签章的，则授权代表签署的地方可用CA电子签章进行签署；</w:t>
      </w:r>
    </w:p>
    <w:p w14:paraId="5E6CA435">
      <w:pPr>
        <w:tabs>
          <w:tab w:val="left" w:pos="900"/>
        </w:tabs>
        <w:spacing w:line="43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② 如供应商未办理授权代表CA电子签章的，单一来源响应文件中要求供应商授权代表签署的地方，须供应商制作成word版本先打印出来，由授权代表签署后再上传PDF。</w:t>
      </w:r>
    </w:p>
    <w:p w14:paraId="0B8C6596">
      <w:pPr>
        <w:tabs>
          <w:tab w:val="left" w:pos="36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3.3 备份单一来源响应文件</w:t>
      </w:r>
    </w:p>
    <w:p w14:paraId="134B04B8">
      <w:pPr>
        <w:tabs>
          <w:tab w:val="left" w:pos="530"/>
          <w:tab w:val="left" w:pos="709"/>
          <w:tab w:val="left" w:pos="900"/>
        </w:tabs>
        <w:spacing w:line="430" w:lineRule="exact"/>
        <w:ind w:firstLine="420" w:firstLineChars="200"/>
        <w:rPr>
          <w:rStyle w:val="72"/>
          <w:rFonts w:hint="eastAsia" w:ascii="宋体" w:hAnsi="宋体" w:cs="宋体"/>
          <w:bCs/>
          <w:color w:val="auto"/>
          <w:sz w:val="22"/>
          <w:szCs w:val="22"/>
          <w:highlight w:val="none"/>
        </w:rPr>
      </w:pPr>
      <w:r>
        <w:rPr>
          <w:rFonts w:hint="eastAsia" w:ascii="宋体" w:hAnsi="宋体" w:cs="宋体"/>
          <w:color w:val="auto"/>
          <w:highlight w:val="none"/>
        </w:rPr>
        <w:t>1）</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mailto:供应商在制作电子标书时，标书生成后有两份，一份为加密标书（用于供应商投标上传），一份为备份标书，其中加密标书文件后缀格式为.jmbs；备份标书文件后缀格式为.bfbs；供应商在系统里上传好加密标书后，应在投标截止时间前将备份标书发送至代理机构邮箱471870577@qq.com。" </w:instrText>
      </w:r>
      <w:r>
        <w:rPr>
          <w:rFonts w:hint="eastAsia" w:ascii="宋体" w:hAnsi="宋体" w:cs="宋体"/>
          <w:color w:val="auto"/>
          <w:highlight w:val="none"/>
        </w:rPr>
        <w:fldChar w:fldCharType="separate"/>
      </w:r>
      <w:r>
        <w:rPr>
          <w:rStyle w:val="72"/>
          <w:rFonts w:hint="eastAsia" w:ascii="宋体" w:hAnsi="宋体" w:cs="宋体"/>
          <w:color w:val="auto"/>
          <w:sz w:val="22"/>
          <w:szCs w:val="22"/>
          <w:highlight w:val="none"/>
        </w:rPr>
        <w:t>供应商在系统里上传好加密标书后，可以（建议）在单一来源响应文件递交截止时间前将系统生成的备份标书（后缀格式为.bfbs）</w:t>
      </w:r>
      <w:r>
        <w:rPr>
          <w:rStyle w:val="72"/>
          <w:rFonts w:hint="eastAsia" w:ascii="宋体" w:hAnsi="宋体" w:cs="宋体"/>
          <w:color w:val="auto"/>
          <w:sz w:val="22"/>
          <w:szCs w:val="22"/>
          <w:highlight w:val="none"/>
          <w:lang w:val="en-US" w:eastAsia="zh-CN"/>
        </w:rPr>
        <w:t>提交给</w:t>
      </w:r>
      <w:r>
        <w:rPr>
          <w:rStyle w:val="72"/>
          <w:rFonts w:hint="eastAsia" w:ascii="宋体" w:hAnsi="宋体" w:cs="宋体"/>
          <w:color w:val="auto"/>
          <w:sz w:val="22"/>
          <w:szCs w:val="22"/>
          <w:highlight w:val="none"/>
        </w:rPr>
        <w:t>采购代理机构</w:t>
      </w:r>
      <w:r>
        <w:rPr>
          <w:rStyle w:val="72"/>
          <w:rFonts w:hint="eastAsia" w:ascii="宋体" w:hAnsi="宋体" w:cs="宋体"/>
          <w:color w:val="auto"/>
          <w:sz w:val="22"/>
          <w:szCs w:val="22"/>
          <w:highlight w:val="none"/>
          <w:lang w:val="en-US" w:eastAsia="zh-CN"/>
        </w:rPr>
        <w:t>或</w:t>
      </w:r>
      <w:r>
        <w:rPr>
          <w:rStyle w:val="72"/>
          <w:rFonts w:hint="eastAsia" w:ascii="宋体" w:hAnsi="宋体" w:cs="宋体"/>
          <w:color w:val="auto"/>
          <w:sz w:val="22"/>
          <w:szCs w:val="22"/>
          <w:highlight w:val="none"/>
        </w:rPr>
        <w:t>以电子邮件形式传送至采购代理机构邮箱</w:t>
      </w:r>
      <w:r>
        <w:rPr>
          <w:rStyle w:val="72"/>
          <w:rFonts w:hint="eastAsia" w:ascii="宋体" w:hAnsi="宋体" w:cs="宋体"/>
          <w:color w:val="auto"/>
          <w:sz w:val="22"/>
          <w:szCs w:val="22"/>
          <w:highlight w:val="none"/>
          <w:lang w:eastAsia="zh-CN"/>
        </w:rPr>
        <w:t>80867223</w:t>
      </w:r>
      <w:r>
        <w:rPr>
          <w:rStyle w:val="72"/>
          <w:rFonts w:hint="eastAsia" w:ascii="宋体" w:hAnsi="宋体" w:cs="宋体"/>
          <w:color w:val="auto"/>
          <w:sz w:val="22"/>
          <w:szCs w:val="22"/>
          <w:highlight w:val="none"/>
        </w:rPr>
        <w:t>@qq.com。</w:t>
      </w:r>
      <w:r>
        <w:rPr>
          <w:rFonts w:hint="eastAsia" w:ascii="宋体" w:hAnsi="宋体" w:cs="宋体"/>
          <w:color w:val="auto"/>
          <w:sz w:val="22"/>
          <w:szCs w:val="22"/>
          <w:highlight w:val="none"/>
        </w:rPr>
        <w:fldChar w:fldCharType="end"/>
      </w:r>
      <w:r>
        <w:rPr>
          <w:rStyle w:val="72"/>
          <w:rFonts w:hint="eastAsia" w:ascii="宋体" w:hAnsi="宋体" w:cs="宋体"/>
          <w:color w:val="auto"/>
          <w:sz w:val="22"/>
          <w:szCs w:val="22"/>
          <w:highlight w:val="none"/>
        </w:rPr>
        <w:t>传送的备份标书需打包压缩并加密，加密密码由供应商自行保管；</w:t>
      </w:r>
    </w:p>
    <w:p w14:paraId="0B103A7D">
      <w:pPr>
        <w:tabs>
          <w:tab w:val="left" w:pos="530"/>
          <w:tab w:val="left" w:pos="709"/>
          <w:tab w:val="left" w:pos="900"/>
        </w:tabs>
        <w:spacing w:line="430" w:lineRule="exact"/>
        <w:ind w:firstLine="440" w:firstLineChars="200"/>
        <w:rPr>
          <w:rStyle w:val="72"/>
          <w:rFonts w:hint="eastAsia" w:ascii="宋体" w:hAnsi="宋体" w:cs="宋体"/>
          <w:color w:val="auto"/>
          <w:sz w:val="22"/>
          <w:szCs w:val="22"/>
          <w:highlight w:val="none"/>
        </w:rPr>
      </w:pPr>
      <w:r>
        <w:rPr>
          <w:rStyle w:val="72"/>
          <w:rFonts w:hint="eastAsia" w:ascii="宋体" w:hAnsi="宋体" w:cs="宋体"/>
          <w:color w:val="auto"/>
          <w:sz w:val="22"/>
          <w:szCs w:val="22"/>
          <w:highlight w:val="none"/>
        </w:rPr>
        <w:t>2）当通过“政府采购云平台”上传递交的“电子单一来源响应文件”无法按时解密且供应商递交了“备份单一来源响应文件”时，供应商可提供加密密码，由采购代理机构对压缩文件进行解压后，将备份单一来源响应文件为依据上传至政采云系统。 当通过“政府采购云平台”上传递交的“电子投标文件”已按时解密的，“备份单一来源响应文件”自动失效。供应商仅递交备份单一来源响应文件的，报价无效。</w:t>
      </w:r>
    </w:p>
    <w:p w14:paraId="5290A77D">
      <w:pPr>
        <w:tabs>
          <w:tab w:val="left" w:pos="530"/>
          <w:tab w:val="left" w:pos="709"/>
          <w:tab w:val="left" w:pos="900"/>
        </w:tabs>
        <w:spacing w:line="430" w:lineRule="exact"/>
        <w:ind w:firstLine="440" w:firstLineChars="200"/>
        <w:rPr>
          <w:rStyle w:val="72"/>
          <w:rFonts w:hint="eastAsia" w:ascii="宋体" w:hAnsi="宋体" w:cs="宋体"/>
          <w:bCs/>
          <w:color w:val="auto"/>
          <w:sz w:val="22"/>
          <w:szCs w:val="22"/>
          <w:highlight w:val="none"/>
        </w:rPr>
      </w:pPr>
      <w:r>
        <w:rPr>
          <w:rStyle w:val="72"/>
          <w:rFonts w:hint="eastAsia" w:ascii="宋体" w:hAnsi="宋体" w:cs="宋体"/>
          <w:color w:val="auto"/>
          <w:sz w:val="22"/>
          <w:szCs w:val="22"/>
          <w:highlight w:val="none"/>
        </w:rPr>
        <w:t>3）供应商需保证上传的电子响应文件与提交的备份响应文件必须同时生成且内容完全一致；</w:t>
      </w:r>
    </w:p>
    <w:p w14:paraId="6EF4E99C">
      <w:pPr>
        <w:tabs>
          <w:tab w:val="left" w:pos="360"/>
        </w:tabs>
        <w:spacing w:line="460" w:lineRule="exact"/>
        <w:ind w:firstLine="440" w:firstLineChars="200"/>
        <w:rPr>
          <w:rFonts w:hint="eastAsia" w:ascii="宋体" w:hAnsi="宋体" w:cs="宋体"/>
          <w:b/>
          <w:color w:val="auto"/>
          <w:sz w:val="22"/>
          <w:szCs w:val="22"/>
          <w:highlight w:val="none"/>
          <w:u w:val="single"/>
        </w:rPr>
      </w:pPr>
      <w:r>
        <w:rPr>
          <w:rFonts w:hint="eastAsia" w:ascii="宋体" w:hAnsi="宋体" w:cs="宋体"/>
          <w:color w:val="auto"/>
          <w:sz w:val="22"/>
          <w:szCs w:val="22"/>
          <w:highlight w:val="none"/>
        </w:rPr>
        <w:t>3.4 供应商应当在响应截止时间前完成电子单一来源响应文件的传输递交，并可以补充、修改或者撤回电子单一来源响应文件。补充或者修改电子单一来源响应文件的，应当先行撤回原文件，补充、修改后重新传输递交。</w:t>
      </w:r>
    </w:p>
    <w:p w14:paraId="3A1CC84E">
      <w:pPr>
        <w:tabs>
          <w:tab w:val="left" w:pos="36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rPr>
        <w:t xml:space="preserve">3.5 </w:t>
      </w:r>
      <w:r>
        <w:rPr>
          <w:rFonts w:hint="eastAsia" w:ascii="宋体" w:hAnsi="宋体" w:cs="宋体"/>
          <w:b/>
          <w:color w:val="auto"/>
          <w:sz w:val="22"/>
          <w:szCs w:val="22"/>
          <w:highlight w:val="none"/>
          <w:u w:val="single"/>
        </w:rPr>
        <w:t>▲响应截止时间前未完成传输的，视为撤回单一来源响应文件。响应截止时间后送达的响应文件，将被政采云平台拒收。</w:t>
      </w:r>
    </w:p>
    <w:p w14:paraId="0DF2814A">
      <w:pPr>
        <w:tabs>
          <w:tab w:val="left" w:pos="360"/>
        </w:tabs>
        <w:spacing w:line="460" w:lineRule="exact"/>
        <w:ind w:firstLine="482" w:firstLineChars="200"/>
        <w:rPr>
          <w:rFonts w:hint="eastAsia" w:ascii="宋体" w:hAnsi="宋体" w:cs="宋体"/>
          <w:b/>
          <w:color w:val="auto"/>
          <w:sz w:val="22"/>
          <w:szCs w:val="22"/>
          <w:highlight w:val="none"/>
        </w:rPr>
      </w:pPr>
      <w:r>
        <w:rPr>
          <w:rFonts w:hint="eastAsia" w:ascii="宋体" w:hAnsi="宋体" w:cs="宋体"/>
          <w:b/>
          <w:bCs/>
          <w:color w:val="auto"/>
          <w:sz w:val="24"/>
          <w:highlight w:val="none"/>
        </w:rPr>
        <w:t>3.6▲</w:t>
      </w:r>
      <w:r>
        <w:rPr>
          <w:rFonts w:hint="eastAsia" w:ascii="宋体" w:hAnsi="宋体" w:cs="宋体"/>
          <w:b/>
          <w:color w:val="auto"/>
          <w:sz w:val="22"/>
          <w:szCs w:val="22"/>
          <w:highlight w:val="none"/>
          <w:u w:val="single"/>
        </w:rPr>
        <w:t>供应商务必按时自行解密，规定时间内解密失败且经异常处理但政采云电子交易系统仍未能识别备份单一来源响应文件的单一来源响应文件作无效响应处理。</w:t>
      </w:r>
    </w:p>
    <w:p w14:paraId="26E357CC">
      <w:pPr>
        <w:tabs>
          <w:tab w:val="left" w:pos="360"/>
        </w:tabs>
        <w:spacing w:line="460" w:lineRule="exact"/>
        <w:ind w:firstLine="442" w:firstLineChars="200"/>
        <w:rPr>
          <w:rFonts w:hint="eastAsia" w:ascii="宋体" w:hAnsi="宋体" w:cs="宋体"/>
          <w:color w:val="auto"/>
          <w:sz w:val="22"/>
          <w:szCs w:val="22"/>
          <w:highlight w:val="none"/>
        </w:rPr>
      </w:pPr>
      <w:r>
        <w:rPr>
          <w:rFonts w:hint="eastAsia" w:ascii="宋体" w:hAnsi="宋体" w:cs="宋体"/>
          <w:b/>
          <w:color w:val="auto"/>
          <w:kern w:val="0"/>
          <w:sz w:val="22"/>
          <w:szCs w:val="22"/>
          <w:highlight w:val="none"/>
        </w:rPr>
        <w:t>3.7 ▲</w:t>
      </w:r>
      <w:r>
        <w:rPr>
          <w:rFonts w:hint="eastAsia" w:ascii="宋体" w:hAnsi="宋体" w:cs="宋体"/>
          <w:b/>
          <w:color w:val="auto"/>
          <w:sz w:val="22"/>
          <w:szCs w:val="22"/>
          <w:highlight w:val="none"/>
          <w:u w:val="single"/>
        </w:rPr>
        <w:t>本项目要求供应商提供的联系方式（手机号码、联系邮箱、联系地址），均以法定代表人（负责人）声明书或法定代表人（负责人）授权委托书上注明的联系方式为准，供应商必须保障其联系方式保持畅通。</w:t>
      </w:r>
    </w:p>
    <w:p w14:paraId="4C339BC7">
      <w:pPr>
        <w:tabs>
          <w:tab w:val="left" w:pos="540"/>
        </w:tabs>
        <w:spacing w:line="46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4. 报价</w:t>
      </w:r>
    </w:p>
    <w:p w14:paraId="692DF11E">
      <w:pPr>
        <w:tabs>
          <w:tab w:val="left" w:pos="54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 xml:space="preserve">4.1 </w:t>
      </w:r>
      <w:r>
        <w:rPr>
          <w:rFonts w:hint="eastAsia" w:ascii="宋体" w:hAnsi="宋体" w:cs="宋体"/>
          <w:b/>
          <w:color w:val="auto"/>
          <w:kern w:val="0"/>
          <w:sz w:val="22"/>
          <w:szCs w:val="22"/>
          <w:highlight w:val="none"/>
        </w:rPr>
        <w:t xml:space="preserve"> ▲</w:t>
      </w:r>
      <w:r>
        <w:rPr>
          <w:rFonts w:hint="eastAsia" w:ascii="宋体" w:hAnsi="宋体" w:cs="宋体"/>
          <w:b/>
          <w:color w:val="auto"/>
          <w:sz w:val="22"/>
          <w:szCs w:val="22"/>
          <w:highlight w:val="none"/>
          <w:u w:val="single"/>
        </w:rPr>
        <w:t>报价是指为完成本项目所需的全部费用即消毒药剂、混凝剂采购、维修养护、信息化管理、运行管理、文本编制、</w:t>
      </w:r>
      <w:r>
        <w:rPr>
          <w:rFonts w:hint="eastAsia" w:ascii="宋体" w:hAnsi="宋体" w:cs="宋体"/>
          <w:b/>
          <w:color w:val="auto"/>
          <w:sz w:val="22"/>
          <w:szCs w:val="22"/>
          <w:highlight w:val="none"/>
          <w:u w:val="single"/>
          <w:lang w:eastAsia="zh-CN"/>
        </w:rPr>
        <w:t>水电费（包括供水站电费）</w:t>
      </w:r>
      <w:r>
        <w:rPr>
          <w:rFonts w:hint="eastAsia" w:ascii="宋体" w:hAnsi="宋体" w:cs="宋体"/>
          <w:b/>
          <w:color w:val="auto"/>
          <w:sz w:val="22"/>
          <w:szCs w:val="22"/>
          <w:highlight w:val="none"/>
          <w:u w:val="single"/>
        </w:rPr>
        <w:t>、通讯费、人员工资、奖金、加班费、人身意外保险、食宿与交通、管理费用、税费、利润、招标代理服务费等完成合同所需的一切本身和不可或缺的所有工作开支等各项全部费用并承担一切风险责任。供应商应根据上述因素自行考虑含入总价。</w:t>
      </w:r>
    </w:p>
    <w:p w14:paraId="3F6F348C">
      <w:pPr>
        <w:tabs>
          <w:tab w:val="left" w:pos="540"/>
        </w:tabs>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4.2 供应商必须按第三部分附件的谈判报价一览表、谈判分项报价表（统一格式）的内容填写报价及其他事项，并由法定代表人（负责人）或授权代表签署。</w:t>
      </w:r>
    </w:p>
    <w:p w14:paraId="0505EB57">
      <w:pPr>
        <w:tabs>
          <w:tab w:val="left" w:pos="540"/>
        </w:tabs>
        <w:spacing w:line="460" w:lineRule="exact"/>
        <w:ind w:firstLine="440" w:firstLineChars="200"/>
        <w:rPr>
          <w:rFonts w:hint="eastAsia" w:ascii="宋体" w:hAnsi="宋体" w:cs="宋体"/>
          <w:b/>
          <w:color w:val="auto"/>
          <w:sz w:val="22"/>
          <w:szCs w:val="22"/>
          <w:highlight w:val="none"/>
        </w:rPr>
      </w:pPr>
      <w:r>
        <w:rPr>
          <w:rFonts w:hint="eastAsia" w:ascii="宋体" w:hAnsi="宋体" w:cs="宋体"/>
          <w:color w:val="auto"/>
          <w:sz w:val="22"/>
          <w:szCs w:val="22"/>
          <w:highlight w:val="none"/>
        </w:rPr>
        <w:t>4.3本项目以人民币报价。</w:t>
      </w:r>
    </w:p>
    <w:p w14:paraId="5450B0E2">
      <w:pPr>
        <w:tabs>
          <w:tab w:val="left" w:pos="540"/>
        </w:tabs>
        <w:spacing w:line="460" w:lineRule="exact"/>
        <w:ind w:firstLine="442" w:firstLineChars="200"/>
        <w:rPr>
          <w:rFonts w:hint="eastAsia" w:ascii="宋体" w:hAnsi="宋体" w:cs="宋体"/>
          <w:color w:val="auto"/>
          <w:sz w:val="22"/>
          <w:szCs w:val="22"/>
          <w:highlight w:val="none"/>
        </w:rPr>
      </w:pPr>
      <w:r>
        <w:rPr>
          <w:rFonts w:hint="eastAsia" w:ascii="宋体" w:hAnsi="宋体" w:cs="宋体"/>
          <w:b/>
          <w:color w:val="auto"/>
          <w:sz w:val="22"/>
          <w:szCs w:val="22"/>
          <w:highlight w:val="none"/>
        </w:rPr>
        <w:t>4.4 采购人不接受任何选择报价，对每一项货物/服务只允许一个报价。</w:t>
      </w:r>
    </w:p>
    <w:p w14:paraId="6916666A">
      <w:pPr>
        <w:tabs>
          <w:tab w:val="left" w:pos="540"/>
        </w:tabs>
        <w:spacing w:line="460" w:lineRule="exact"/>
        <w:ind w:firstLine="440" w:firstLineChars="200"/>
        <w:rPr>
          <w:rFonts w:hint="eastAsia" w:ascii="宋体" w:hAnsi="宋体" w:cs="宋体"/>
          <w:b/>
          <w:color w:val="auto"/>
          <w:sz w:val="22"/>
          <w:szCs w:val="22"/>
          <w:highlight w:val="none"/>
        </w:rPr>
      </w:pPr>
      <w:r>
        <w:rPr>
          <w:rFonts w:hint="eastAsia" w:ascii="宋体" w:hAnsi="宋体" w:cs="宋体"/>
          <w:color w:val="auto"/>
          <w:sz w:val="22"/>
          <w:szCs w:val="22"/>
          <w:highlight w:val="none"/>
        </w:rPr>
        <w:t>4.5 采购人要求分类报价是为了方便评标，但在任何情况下不限制采购人以其认为最合适的条款、条件签订合同的权利。</w:t>
      </w:r>
    </w:p>
    <w:p w14:paraId="2167C8B4">
      <w:pPr>
        <w:tabs>
          <w:tab w:val="left" w:pos="54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4.6 供应商所报的总价在合同执行过程中是固定不变的，不得以任何理由予以变更。任何包含总价调整的要求，将被认为是非实质性响应而予以拒绝。</w:t>
      </w:r>
    </w:p>
    <w:p w14:paraId="4FFD351C">
      <w:pPr>
        <w:tabs>
          <w:tab w:val="left" w:pos="54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4.7 最低报价不能作为成交的保证。</w:t>
      </w:r>
    </w:p>
    <w:p w14:paraId="77880D00">
      <w:pPr>
        <w:tabs>
          <w:tab w:val="left" w:pos="540"/>
        </w:tabs>
        <w:spacing w:line="46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5. 投标保证金</w:t>
      </w:r>
    </w:p>
    <w:p w14:paraId="76A7A98F">
      <w:pPr>
        <w:tabs>
          <w:tab w:val="left" w:pos="360"/>
        </w:tabs>
        <w:spacing w:line="430" w:lineRule="exact"/>
        <w:ind w:left="72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本项目无须缴纳投标保证金。</w:t>
      </w:r>
    </w:p>
    <w:p w14:paraId="467DDA3C">
      <w:pPr>
        <w:tabs>
          <w:tab w:val="left" w:pos="540"/>
        </w:tabs>
        <w:spacing w:line="460" w:lineRule="exact"/>
        <w:rPr>
          <w:rFonts w:hint="eastAsia" w:ascii="宋体" w:hAnsi="宋体" w:cs="宋体"/>
          <w:b/>
          <w:color w:val="auto"/>
          <w:sz w:val="22"/>
          <w:szCs w:val="22"/>
          <w:highlight w:val="none"/>
        </w:rPr>
      </w:pPr>
      <w:r>
        <w:rPr>
          <w:rFonts w:hint="eastAsia" w:ascii="宋体" w:hAnsi="宋体" w:cs="宋体"/>
          <w:bCs/>
          <w:color w:val="auto"/>
          <w:sz w:val="22"/>
          <w:szCs w:val="22"/>
          <w:highlight w:val="none"/>
        </w:rPr>
        <w:t>6.投标有效期</w:t>
      </w:r>
    </w:p>
    <w:p w14:paraId="78789CE8">
      <w:pPr>
        <w:tabs>
          <w:tab w:val="left" w:pos="540"/>
        </w:tabs>
        <w:spacing w:line="460" w:lineRule="exac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6.1 自开标之日起</w:t>
      </w:r>
      <w:r>
        <w:rPr>
          <w:rFonts w:hint="eastAsia" w:ascii="宋体" w:hAnsi="宋体" w:cs="宋体"/>
          <w:b/>
          <w:color w:val="auto"/>
          <w:sz w:val="22"/>
          <w:szCs w:val="22"/>
          <w:highlight w:val="none"/>
          <w:u w:val="single"/>
        </w:rPr>
        <w:t xml:space="preserve"> 90</w:t>
      </w:r>
      <w:r>
        <w:rPr>
          <w:rFonts w:hint="eastAsia" w:ascii="宋体" w:hAnsi="宋体" w:cs="宋体"/>
          <w:b/>
          <w:color w:val="auto"/>
          <w:sz w:val="22"/>
          <w:szCs w:val="22"/>
          <w:highlight w:val="none"/>
        </w:rPr>
        <w:t>天内报价应保持有效。投标有效期短于这个规定期限的投标将视为非响应性报价而予以拒绝。</w:t>
      </w:r>
    </w:p>
    <w:p w14:paraId="5EF7F6BA">
      <w:pPr>
        <w:tabs>
          <w:tab w:val="left" w:pos="540"/>
        </w:tabs>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6.2 特殊情况下，在原响应有效期截止前，采购人可与供应商协商延长采购有效期，这种要求和答复均以书面形式进行。供应商可拒绝接受延期要求。同意延长采购有效期的供应商不得修改单一来源响应文件。</w:t>
      </w:r>
    </w:p>
    <w:p w14:paraId="5770F475">
      <w:pPr>
        <w:spacing w:before="200" w:after="200" w:line="360" w:lineRule="auto"/>
        <w:jc w:val="center"/>
        <w:outlineLvl w:val="0"/>
        <w:rPr>
          <w:rFonts w:hint="eastAsia" w:ascii="宋体" w:hAnsi="宋体" w:cs="宋体"/>
          <w:b/>
          <w:bCs/>
          <w:color w:val="auto"/>
          <w:szCs w:val="21"/>
          <w:highlight w:val="none"/>
        </w:rPr>
      </w:pPr>
      <w:bookmarkStart w:id="91" w:name="_Toc221356951"/>
      <w:bookmarkStart w:id="92" w:name="_Toc249758712"/>
      <w:bookmarkStart w:id="93" w:name="_Toc223715998"/>
      <w:bookmarkStart w:id="94" w:name="_Toc262105503"/>
      <w:bookmarkStart w:id="95" w:name="_Toc246261265"/>
      <w:bookmarkStart w:id="96" w:name="_Toc221356887"/>
      <w:bookmarkStart w:id="97" w:name="_Toc40954151"/>
      <w:bookmarkStart w:id="98" w:name="_Toc241404202"/>
      <w:bookmarkStart w:id="99" w:name="_Toc245191314"/>
      <w:bookmarkStart w:id="100" w:name="_Toc222114879"/>
      <w:bookmarkStart w:id="101" w:name="_Toc12533"/>
      <w:bookmarkStart w:id="102" w:name="_Toc221374626"/>
      <w:bookmarkStart w:id="103" w:name="_Toc262049418"/>
      <w:bookmarkStart w:id="104" w:name="_Toc221423619"/>
      <w:bookmarkStart w:id="105" w:name="_Toc245722281"/>
      <w:bookmarkStart w:id="106" w:name="_Toc249758864"/>
      <w:bookmarkStart w:id="107" w:name="_Toc239145354"/>
      <w:r>
        <w:rPr>
          <w:rFonts w:hint="eastAsia" w:ascii="宋体" w:hAnsi="宋体" w:cs="宋体"/>
          <w:b/>
          <w:bCs/>
          <w:color w:val="auto"/>
          <w:szCs w:val="21"/>
          <w:highlight w:val="none"/>
        </w:rPr>
        <w:t>四、 单一来源响应文件的递交</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14:paraId="305EB3C7">
      <w:pPr>
        <w:tabs>
          <w:tab w:val="left" w:pos="540"/>
        </w:tabs>
        <w:spacing w:line="460" w:lineRule="exact"/>
        <w:rPr>
          <w:rFonts w:hint="eastAsia" w:ascii="宋体" w:hAnsi="宋体" w:cs="宋体"/>
          <w:b/>
          <w:color w:val="auto"/>
          <w:sz w:val="22"/>
          <w:szCs w:val="22"/>
          <w:highlight w:val="none"/>
        </w:rPr>
      </w:pPr>
      <w:bookmarkStart w:id="108" w:name="_Toc262105504"/>
      <w:bookmarkStart w:id="109" w:name="_Toc245722282"/>
      <w:bookmarkStart w:id="110" w:name="_Toc221356952"/>
      <w:bookmarkStart w:id="111" w:name="_Toc221374627"/>
      <w:bookmarkStart w:id="112" w:name="_Toc221356888"/>
      <w:bookmarkStart w:id="113" w:name="_Toc262049419"/>
      <w:bookmarkStart w:id="114" w:name="_Toc241404203"/>
      <w:bookmarkStart w:id="115" w:name="_Toc239145355"/>
      <w:bookmarkStart w:id="116" w:name="_Toc249758713"/>
      <w:bookmarkStart w:id="117" w:name="_Toc221423620"/>
      <w:bookmarkStart w:id="118" w:name="_Toc249758865"/>
      <w:bookmarkStart w:id="119" w:name="_Toc223715999"/>
      <w:bookmarkStart w:id="120" w:name="_Toc245191315"/>
      <w:bookmarkStart w:id="121" w:name="_Toc222114880"/>
      <w:bookmarkStart w:id="122" w:name="_Toc246261266"/>
      <w:r>
        <w:rPr>
          <w:rFonts w:hint="eastAsia" w:ascii="宋体" w:hAnsi="宋体" w:cs="宋体"/>
          <w:bCs/>
          <w:color w:val="auto"/>
          <w:sz w:val="22"/>
          <w:szCs w:val="22"/>
          <w:highlight w:val="none"/>
        </w:rPr>
        <w:t>1. 单一来源响应文件的递交</w:t>
      </w:r>
    </w:p>
    <w:p w14:paraId="5FD1791B">
      <w:pPr>
        <w:tabs>
          <w:tab w:val="left" w:pos="360"/>
          <w:tab w:val="left" w:pos="540"/>
        </w:tabs>
        <w:spacing w:line="460" w:lineRule="exact"/>
        <w:ind w:firstLine="440" w:firstLineChars="200"/>
        <w:rPr>
          <w:rFonts w:hint="eastAsia" w:ascii="宋体" w:hAnsi="宋体" w:cs="宋体"/>
          <w:b/>
          <w:color w:val="auto"/>
          <w:sz w:val="22"/>
          <w:szCs w:val="22"/>
          <w:highlight w:val="none"/>
          <w:u w:val="single"/>
        </w:rPr>
      </w:pPr>
      <w:r>
        <w:rPr>
          <w:rFonts w:hint="eastAsia" w:ascii="宋体" w:hAnsi="宋体" w:cs="宋体"/>
          <w:color w:val="auto"/>
          <w:sz w:val="22"/>
          <w:szCs w:val="22"/>
          <w:highlight w:val="none"/>
        </w:rPr>
        <w:t>1.1 本项目实行网上投标。供应商应准备电子单一来源响应文件：电子单一来源响应文件按政采云平台项目采购-电子招投标操作指南及本采购文件要求递交。单一来源响应文件均由资格文件、商务技术文件、报价文件组成。</w:t>
      </w:r>
    </w:p>
    <w:p w14:paraId="0AE03FD3">
      <w:pPr>
        <w:tabs>
          <w:tab w:val="left" w:pos="360"/>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rPr>
        <w:t xml:space="preserve">1.2 </w:t>
      </w:r>
      <w:r>
        <w:rPr>
          <w:rFonts w:hint="eastAsia" w:ascii="宋体" w:hAnsi="宋体" w:cs="宋体"/>
          <w:b/>
          <w:color w:val="auto"/>
          <w:sz w:val="22"/>
          <w:szCs w:val="22"/>
          <w:highlight w:val="none"/>
          <w:u w:val="single"/>
        </w:rPr>
        <w:t xml:space="preserve">▲供应商务必按时自行解密，规定时间内解密失败且经异常处理但政采云电子交易系统仍未能识别备份单一来源响应文件的单一来源响应文件作无效响应处理。 </w:t>
      </w:r>
    </w:p>
    <w:p w14:paraId="60D13795">
      <w:pPr>
        <w:tabs>
          <w:tab w:val="left" w:pos="540"/>
        </w:tabs>
        <w:spacing w:line="46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2. 单一来源响应文件的修改和撤回</w:t>
      </w:r>
    </w:p>
    <w:p w14:paraId="352EAA47">
      <w:pPr>
        <w:tabs>
          <w:tab w:val="left" w:pos="540"/>
        </w:tabs>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2.1 供应商应当在响应截止时间前完成电子单一来源响应文件的传输递交，并可以补充、修改或者撤回电子单一来源响应文件。补充或者修改电子单一来源响应文件的，应当先行撤回原文件，补充、修改后重新传输递交。</w:t>
      </w:r>
    </w:p>
    <w:p w14:paraId="61701A2F">
      <w:pPr>
        <w:tabs>
          <w:tab w:val="left" w:pos="540"/>
        </w:tabs>
        <w:spacing w:line="460" w:lineRule="exact"/>
        <w:ind w:firstLine="442" w:firstLineChars="200"/>
        <w:rPr>
          <w:rFonts w:hint="eastAsia" w:ascii="宋体" w:hAnsi="宋体" w:cs="宋体"/>
          <w:color w:val="auto"/>
          <w:sz w:val="22"/>
          <w:szCs w:val="22"/>
          <w:highlight w:val="none"/>
        </w:rPr>
      </w:pPr>
      <w:r>
        <w:rPr>
          <w:rFonts w:hint="eastAsia" w:ascii="宋体" w:hAnsi="宋体" w:cs="宋体"/>
          <w:b/>
          <w:color w:val="auto"/>
          <w:sz w:val="22"/>
          <w:szCs w:val="22"/>
          <w:highlight w:val="none"/>
        </w:rPr>
        <w:t xml:space="preserve">2.2 </w:t>
      </w:r>
      <w:r>
        <w:rPr>
          <w:rFonts w:hint="eastAsia" w:ascii="宋体" w:hAnsi="宋体" w:cs="宋体"/>
          <w:b/>
          <w:color w:val="auto"/>
          <w:sz w:val="22"/>
          <w:szCs w:val="22"/>
          <w:highlight w:val="none"/>
          <w:u w:val="single"/>
        </w:rPr>
        <w:t>▲响应截止时间前未完成传输的，视为撤回单一来源响应文件。响应截止时间后送达的响应文件，将被政采云平台拒收。</w:t>
      </w:r>
    </w:p>
    <w:p w14:paraId="3969020E">
      <w:pPr>
        <w:tabs>
          <w:tab w:val="left" w:pos="540"/>
        </w:tabs>
        <w:spacing w:line="46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 xml:space="preserve">3. </w:t>
      </w:r>
      <w:r>
        <w:rPr>
          <w:rFonts w:hint="eastAsia" w:ascii="宋体" w:hAnsi="宋体" w:cs="宋体"/>
          <w:b/>
          <w:color w:val="auto"/>
          <w:sz w:val="22"/>
          <w:szCs w:val="22"/>
          <w:highlight w:val="none"/>
          <w:u w:val="single"/>
        </w:rPr>
        <w:t>▲</w:t>
      </w:r>
      <w:r>
        <w:rPr>
          <w:rFonts w:hint="eastAsia" w:ascii="宋体" w:hAnsi="宋体" w:cs="宋体"/>
          <w:b/>
          <w:bCs/>
          <w:color w:val="auto"/>
          <w:sz w:val="22"/>
          <w:szCs w:val="22"/>
          <w:highlight w:val="none"/>
          <w:u w:val="single"/>
        </w:rPr>
        <w:t>发生下列情况之一的单一来源响应文件将不予受理</w:t>
      </w:r>
      <w:r>
        <w:rPr>
          <w:rFonts w:hint="eastAsia" w:ascii="宋体" w:hAnsi="宋体" w:cs="宋体"/>
          <w:bCs/>
          <w:color w:val="auto"/>
          <w:sz w:val="22"/>
          <w:szCs w:val="22"/>
          <w:highlight w:val="none"/>
        </w:rPr>
        <w:t>：</w:t>
      </w:r>
    </w:p>
    <w:p w14:paraId="520A93BB">
      <w:pPr>
        <w:tabs>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3.1 在响应截止时间以后上传的单一来源响应文件；</w:t>
      </w:r>
    </w:p>
    <w:p w14:paraId="0CDC4412">
      <w:pPr>
        <w:tabs>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3.2 仅递交了“备份单一来源响应文件”而未将电子加密单一来源响应文件上传至“政府采购云平台”的；</w:t>
      </w:r>
    </w:p>
    <w:p w14:paraId="5E933BFB">
      <w:pPr>
        <w:tabs>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 xml:space="preserve">3.3 未在规定时间解密，或者，解密失败且经异常处理政采云系统仍未能识别的； </w:t>
      </w:r>
    </w:p>
    <w:p w14:paraId="004DFC33">
      <w:pPr>
        <w:tabs>
          <w:tab w:val="left" w:pos="540"/>
        </w:tabs>
        <w:spacing w:line="46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3.4 以纸质形式提交的；</w:t>
      </w:r>
    </w:p>
    <w:p w14:paraId="19AE87A7">
      <w:pPr>
        <w:spacing w:before="200" w:after="200" w:line="360" w:lineRule="auto"/>
        <w:jc w:val="center"/>
        <w:outlineLvl w:val="0"/>
        <w:rPr>
          <w:rFonts w:hint="eastAsia" w:ascii="宋体" w:hAnsi="宋体" w:cs="宋体"/>
          <w:b/>
          <w:bCs/>
          <w:color w:val="auto"/>
          <w:szCs w:val="21"/>
          <w:highlight w:val="none"/>
        </w:rPr>
      </w:pPr>
      <w:bookmarkStart w:id="123" w:name="_Toc40954152"/>
      <w:bookmarkStart w:id="124" w:name="_Toc8242"/>
      <w:r>
        <w:rPr>
          <w:rFonts w:hint="eastAsia" w:ascii="宋体" w:hAnsi="宋体" w:cs="宋体"/>
          <w:b/>
          <w:bCs/>
          <w:color w:val="auto"/>
          <w:szCs w:val="21"/>
          <w:highlight w:val="none"/>
        </w:rPr>
        <w:t xml:space="preserve">五、 </w:t>
      </w:r>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r>
        <w:rPr>
          <w:rFonts w:hint="eastAsia" w:ascii="宋体" w:hAnsi="宋体" w:cs="宋体"/>
          <w:b/>
          <w:bCs/>
          <w:color w:val="auto"/>
          <w:szCs w:val="21"/>
          <w:highlight w:val="none"/>
        </w:rPr>
        <w:t>谈判和评审</w:t>
      </w:r>
      <w:bookmarkEnd w:id="124"/>
    </w:p>
    <w:p w14:paraId="1FBD40DA">
      <w:pPr>
        <w:tabs>
          <w:tab w:val="left" w:pos="540"/>
        </w:tabs>
        <w:spacing w:line="44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1. 谈判小组</w:t>
      </w:r>
    </w:p>
    <w:p w14:paraId="17B81FDC">
      <w:pPr>
        <w:tabs>
          <w:tab w:val="left" w:pos="540"/>
        </w:tabs>
        <w:spacing w:line="440" w:lineRule="exact"/>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采购人按照《中华人民共和国政府采购法》等有关法律、法规的规定组建谈判小组，谈判小组成员由采购人代表和有关技术、经济等方面的专家组成，成员人数为3人（含）以上单数，除采购人代表外的专家将在评标专家库中随机抽取产生。</w:t>
      </w:r>
    </w:p>
    <w:p w14:paraId="111F9960">
      <w:pPr>
        <w:numPr>
          <w:ilvl w:val="0"/>
          <w:numId w:val="4"/>
        </w:numPr>
        <w:tabs>
          <w:tab w:val="left" w:pos="540"/>
        </w:tabs>
        <w:spacing w:line="44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评标过程的保密性</w:t>
      </w:r>
    </w:p>
    <w:p w14:paraId="76D2DE40">
      <w:pPr>
        <w:spacing w:line="44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开标后直至向成交人授予合同时止，凡与评审有关的资料均不得向供应商及与评标无关人员透露。如果供应商在评标过程中试图向采购人和谈判小组施加影响，其响应文件将被拒绝。</w:t>
      </w:r>
    </w:p>
    <w:p w14:paraId="6C3C62C1">
      <w:pPr>
        <w:numPr>
          <w:ilvl w:val="0"/>
          <w:numId w:val="4"/>
        </w:numPr>
        <w:tabs>
          <w:tab w:val="left" w:pos="540"/>
        </w:tabs>
        <w:spacing w:line="44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谈判、评审</w:t>
      </w:r>
    </w:p>
    <w:p w14:paraId="3B0D41FF">
      <w:pPr>
        <w:tabs>
          <w:tab w:val="left" w:pos="540"/>
          <w:tab w:val="left" w:pos="709"/>
        </w:tabs>
        <w:spacing w:line="440" w:lineRule="exact"/>
        <w:ind w:firstLine="440" w:firstLineChars="200"/>
        <w:rPr>
          <w:rFonts w:hint="eastAsia" w:ascii="宋体" w:hAnsi="宋体" w:cs="宋体"/>
          <w:bCs/>
          <w:color w:val="auto"/>
          <w:sz w:val="22"/>
          <w:szCs w:val="22"/>
          <w:highlight w:val="none"/>
        </w:rPr>
      </w:pPr>
      <w:r>
        <w:rPr>
          <w:rFonts w:hint="eastAsia" w:ascii="宋体" w:hAnsi="宋体" w:cs="宋体"/>
          <w:color w:val="auto"/>
          <w:kern w:val="0"/>
          <w:sz w:val="22"/>
          <w:szCs w:val="22"/>
          <w:highlight w:val="none"/>
        </w:rPr>
        <w:t>3.1 按采购文件规定的时间、地点开启供应商的单一来源响应文件。</w:t>
      </w:r>
      <w:r>
        <w:rPr>
          <w:rFonts w:hint="eastAsia" w:ascii="宋体" w:hAnsi="宋体" w:cs="宋体"/>
          <w:bCs/>
          <w:color w:val="auto"/>
          <w:kern w:val="0"/>
          <w:sz w:val="22"/>
          <w:szCs w:val="22"/>
          <w:highlight w:val="none"/>
        </w:rPr>
        <w:t>供应商无须参加现场开标会议，请自行登录政采云平台关注开标信息</w:t>
      </w:r>
      <w:r>
        <w:rPr>
          <w:rFonts w:hint="eastAsia" w:ascii="宋体" w:hAnsi="宋体" w:cs="宋体"/>
          <w:bCs/>
          <w:color w:val="auto"/>
          <w:sz w:val="22"/>
          <w:szCs w:val="22"/>
          <w:highlight w:val="none"/>
        </w:rPr>
        <w:t>。</w:t>
      </w:r>
    </w:p>
    <w:p w14:paraId="01A42D65">
      <w:pPr>
        <w:tabs>
          <w:tab w:val="left" w:pos="540"/>
        </w:tabs>
        <w:spacing w:line="44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3.2 谈判分三个阶段进行</w:t>
      </w:r>
    </w:p>
    <w:p w14:paraId="702D6638">
      <w:pPr>
        <w:spacing w:line="400" w:lineRule="exact"/>
        <w:ind w:firstLine="422"/>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 xml:space="preserve">3.2.1 谈判第一阶段 </w:t>
      </w:r>
    </w:p>
    <w:p w14:paraId="68A7CAFE">
      <w:pPr>
        <w:spacing w:line="400" w:lineRule="exact"/>
        <w:ind w:firstLine="440" w:firstLineChars="200"/>
        <w:rPr>
          <w:rFonts w:hint="eastAsia" w:ascii="宋体" w:hAnsi="宋体" w:cs="宋体"/>
          <w:bCs/>
          <w:color w:val="auto"/>
          <w:sz w:val="22"/>
          <w:szCs w:val="22"/>
          <w:highlight w:val="none"/>
          <w:lang w:val="zh-CN"/>
        </w:rPr>
      </w:pPr>
      <w:r>
        <w:rPr>
          <w:rFonts w:hint="eastAsia" w:ascii="宋体" w:hAnsi="宋体" w:cs="宋体"/>
          <w:bCs/>
          <w:color w:val="auto"/>
          <w:sz w:val="22"/>
          <w:szCs w:val="22"/>
          <w:highlight w:val="none"/>
        </w:rPr>
        <w:t>（1）响应</w:t>
      </w:r>
      <w:r>
        <w:rPr>
          <w:rFonts w:hint="eastAsia" w:ascii="宋体" w:hAnsi="宋体" w:cs="宋体"/>
          <w:bCs/>
          <w:color w:val="auto"/>
          <w:sz w:val="22"/>
          <w:szCs w:val="22"/>
          <w:highlight w:val="none"/>
          <w:lang w:val="zh-CN"/>
        </w:rPr>
        <w:t>截止时间后，采购组织机构将向各供应商发出解密通知，各供应商代表应当在接到解密通知后登录政采云平台，对电子响应文件进行在线解密（解密响应文件必须插入CA），在线解密电子磋商响应文件时间为接到解密通知后</w:t>
      </w:r>
      <w:r>
        <w:rPr>
          <w:rFonts w:hint="eastAsia" w:ascii="宋体" w:hAnsi="宋体" w:cs="宋体"/>
          <w:bCs/>
          <w:color w:val="auto"/>
          <w:sz w:val="22"/>
          <w:szCs w:val="22"/>
          <w:highlight w:val="none"/>
        </w:rPr>
        <w:t>30</w:t>
      </w:r>
      <w:r>
        <w:rPr>
          <w:rFonts w:hint="eastAsia" w:ascii="宋体" w:hAnsi="宋体" w:cs="宋体"/>
          <w:bCs/>
          <w:color w:val="auto"/>
          <w:sz w:val="22"/>
          <w:szCs w:val="22"/>
          <w:highlight w:val="none"/>
          <w:lang w:val="zh-CN"/>
        </w:rPr>
        <w:t>分钟内。</w:t>
      </w:r>
    </w:p>
    <w:p w14:paraId="1D467880">
      <w:pPr>
        <w:spacing w:line="400" w:lineRule="exact"/>
        <w:ind w:firstLine="440" w:firstLineChars="200"/>
        <w:rPr>
          <w:rFonts w:hint="eastAsia"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w:t>
      </w:r>
      <w:r>
        <w:rPr>
          <w:rFonts w:hint="eastAsia" w:ascii="宋体" w:hAnsi="宋体" w:cs="宋体"/>
          <w:bCs/>
          <w:color w:val="auto"/>
          <w:sz w:val="22"/>
          <w:szCs w:val="22"/>
          <w:highlight w:val="none"/>
        </w:rPr>
        <w:t>2</w:t>
      </w:r>
      <w:r>
        <w:rPr>
          <w:rFonts w:hint="eastAsia" w:ascii="宋体" w:hAnsi="宋体" w:cs="宋体"/>
          <w:bCs/>
          <w:color w:val="auto"/>
          <w:sz w:val="22"/>
          <w:szCs w:val="22"/>
          <w:highlight w:val="none"/>
          <w:lang w:val="zh-CN"/>
        </w:rPr>
        <w:t>）异常处理：</w:t>
      </w:r>
      <w:r>
        <w:rPr>
          <w:rFonts w:hint="eastAsia" w:ascii="宋体" w:hAnsi="宋体" w:cs="宋体"/>
          <w:bCs/>
          <w:color w:val="auto"/>
          <w:sz w:val="22"/>
          <w:szCs w:val="22"/>
          <w:highlight w:val="none"/>
          <w:u w:val="single"/>
        </w:rPr>
        <w:t>如政采云上电子响应文件出现解密失败情况，供应商可根据自身意愿确认是否将备份标书压缩包的解密密码传送至采购代理机构邮箱</w:t>
      </w:r>
      <w:r>
        <w:rPr>
          <w:rFonts w:hint="eastAsia" w:ascii="宋体" w:hAnsi="宋体" w:cs="宋体"/>
          <w:bCs/>
          <w:color w:val="auto"/>
          <w:sz w:val="22"/>
          <w:szCs w:val="22"/>
          <w:highlight w:val="none"/>
          <w:u w:val="single"/>
          <w:lang w:eastAsia="zh-CN"/>
        </w:rPr>
        <w:t>80867223</w:t>
      </w:r>
      <w:r>
        <w:rPr>
          <w:rFonts w:hint="eastAsia" w:ascii="宋体" w:hAnsi="宋体" w:cs="宋体"/>
          <w:bCs/>
          <w:color w:val="auto"/>
          <w:sz w:val="22"/>
          <w:szCs w:val="22"/>
          <w:highlight w:val="none"/>
          <w:u w:val="single"/>
        </w:rPr>
        <w:t>@qq.com,采购代理机构收到解密密码后通过【异常处理】的端口对供应商的备份响应文件进行上传（上传成功后，“电子响应文件”自动失效），不能成功上传的视为响应文件撤回）。</w:t>
      </w:r>
    </w:p>
    <w:p w14:paraId="3F03C85D">
      <w:pPr>
        <w:spacing w:line="40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（3）供应商有以下情形之一的，政府采购云平台将默认供应商自动放弃：</w:t>
      </w:r>
    </w:p>
    <w:p w14:paraId="3509C954">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 供应商未按规定上传电子响应文件的；</w:t>
      </w:r>
    </w:p>
    <w:p w14:paraId="11AB4145">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 在解密期限内供应商电子响应文件解密失败，且经异常处理后政采云电子交易系统仍未能解决的。</w:t>
      </w:r>
    </w:p>
    <w:p w14:paraId="03D43431">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1）电子响应文件解密结束后，开启各供应商的标书信息，由采购人或采购代理机构依法对供应商的资格进行审查，经资格审查确认通过的电子响应文件由谈判小组进行进入符合性审查和商务技术响应文件评审，资格审查确认未通过的电子响应文件将被拒绝，其谈判不进入下一步评审。</w:t>
      </w:r>
    </w:p>
    <w:p w14:paraId="6EE1BCB7">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（2）第一阶段结束。</w:t>
      </w:r>
    </w:p>
    <w:p w14:paraId="5FC85F5C">
      <w:pPr>
        <w:spacing w:line="400" w:lineRule="exact"/>
        <w:ind w:firstLine="422"/>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 xml:space="preserve">3.2.2谈判第二阶段  </w:t>
      </w:r>
    </w:p>
    <w:p w14:paraId="5B5398F3">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（1）符合性审查：由谈判小组对各供应商的电子响应文件的有效性、完整性和对竞争性单一来源采购文件的响应程度进行符合性审查，并在“政采云系统-符合性评审”中录入供应商的符合性审查情况；</w:t>
      </w:r>
    </w:p>
    <w:p w14:paraId="2A255A97">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（2）商务技术响应文件的评审</w:t>
      </w:r>
    </w:p>
    <w:p w14:paraId="63FF19CE">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符合性审查结束后，谈判小组所有成员将遵循“公开、公平、公正”的原则，采用相同的程序和标准，所有成员对供应商的商务技术响应文件进行评审；</w:t>
      </w:r>
    </w:p>
    <w:p w14:paraId="334C6409">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（3）第二阶段结束。</w:t>
      </w:r>
    </w:p>
    <w:p w14:paraId="4A9F6362">
      <w:pPr>
        <w:pStyle w:val="27"/>
        <w:spacing w:line="40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 xml:space="preserve">3.2.3 谈判第三阶段  </w:t>
      </w:r>
    </w:p>
    <w:p w14:paraId="29A3B175">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（1）符合性审查、商务技术响应文件的评审结束后，开启通过符合性审查、商务技术响应文件评审有效供应商的报价响应文件；</w:t>
      </w:r>
    </w:p>
    <w:p w14:paraId="770C1709">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（2）谈判小组根据项目情况组织多轮报价；</w:t>
      </w:r>
    </w:p>
    <w:p w14:paraId="6722E9C7">
      <w:pPr>
        <w:spacing w:line="40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（3）进行多轮报价：</w:t>
      </w:r>
    </w:p>
    <w:p w14:paraId="6FA8C588">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①由采购代理机构在系统里开启新一轮报价，供应商须在“报价时限”内登录政采云系统完成在线报价，具体操作流程详见</w:t>
      </w:r>
      <w:r>
        <w:rPr>
          <w:rFonts w:hint="eastAsia" w:ascii="宋体" w:hAnsi="宋体" w:cs="宋体"/>
          <w:b/>
          <w:bCs/>
          <w:color w:val="auto"/>
          <w:kern w:val="0"/>
          <w:sz w:val="22"/>
          <w:szCs w:val="22"/>
          <w:highlight w:val="none"/>
          <w:lang w:val="zh-CN"/>
        </w:rPr>
        <w:t>《政府采购项目电子交易管理操作指南-供应商》（</w:t>
      </w:r>
      <w:r>
        <w:rPr>
          <w:rFonts w:hint="eastAsia" w:ascii="宋体" w:hAnsi="宋体" w:cs="宋体"/>
          <w:b/>
          <w:bCs/>
          <w:color w:val="auto"/>
          <w:kern w:val="0"/>
          <w:sz w:val="22"/>
          <w:szCs w:val="22"/>
          <w:highlight w:val="none"/>
        </w:rPr>
        <w:t>供应商自行去政采云系统上进行下载</w:t>
      </w:r>
      <w:r>
        <w:rPr>
          <w:rFonts w:hint="eastAsia" w:ascii="宋体" w:hAnsi="宋体" w:cs="宋体"/>
          <w:b/>
          <w:bCs/>
          <w:color w:val="auto"/>
          <w:kern w:val="0"/>
          <w:sz w:val="22"/>
          <w:szCs w:val="22"/>
          <w:highlight w:val="none"/>
          <w:lang w:val="zh-CN"/>
        </w:rPr>
        <w:t>）</w:t>
      </w:r>
    </w:p>
    <w:p w14:paraId="5A218A8A">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多轮报价的异常处理：在“报价时限”内，若供应商发现因CA等原因无法报价时，应采用线下形式将报价资料递交给采购代理机构，由采购代理机构在系统上对其进行异常处理，供应商必须按以下操作要求进行：</w:t>
      </w:r>
    </w:p>
    <w:p w14:paraId="24FB29BD">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（一）根据竞争性单一来源采购文件中提供的《新一轮报价函》格式</w:t>
      </w:r>
      <w:r>
        <w:rPr>
          <w:rFonts w:hint="eastAsia" w:ascii="宋体" w:hAnsi="宋体" w:cs="宋体"/>
          <w:b/>
          <w:bCs/>
          <w:color w:val="auto"/>
          <w:sz w:val="22"/>
          <w:szCs w:val="22"/>
          <w:highlight w:val="none"/>
        </w:rPr>
        <w:t>（附件</w:t>
      </w:r>
      <w:r>
        <w:rPr>
          <w:rFonts w:hint="eastAsia" w:ascii="宋体" w:hAnsi="宋体" w:cs="宋体"/>
          <w:b/>
          <w:bCs/>
          <w:color w:val="auto"/>
          <w:sz w:val="22"/>
          <w:szCs w:val="22"/>
          <w:highlight w:val="none"/>
          <w:lang w:val="en-US" w:eastAsia="zh-CN"/>
        </w:rPr>
        <w:t>七</w:t>
      </w:r>
      <w:r>
        <w:rPr>
          <w:rFonts w:hint="eastAsia" w:ascii="宋体" w:hAnsi="宋体" w:cs="宋体"/>
          <w:b/>
          <w:bCs/>
          <w:color w:val="auto"/>
          <w:sz w:val="22"/>
          <w:szCs w:val="22"/>
          <w:highlight w:val="none"/>
        </w:rPr>
        <w:t>）</w:t>
      </w:r>
      <w:r>
        <w:rPr>
          <w:rFonts w:hint="eastAsia" w:ascii="宋体" w:hAnsi="宋体" w:cs="宋体"/>
          <w:bCs/>
          <w:color w:val="auto"/>
          <w:sz w:val="22"/>
          <w:szCs w:val="22"/>
          <w:highlight w:val="none"/>
        </w:rPr>
        <w:t>，由法定代表人（负责人）或其在响应文件中委派的授权代表按格式规定填写好报价信息并签字后，将报价函生成PDF格式；</w:t>
      </w:r>
    </w:p>
    <w:p w14:paraId="3B3D04C9">
      <w:pPr>
        <w:pStyle w:val="27"/>
        <w:autoSpaceDE w:val="0"/>
        <w:autoSpaceDN w:val="0"/>
        <w:adjustRightInd w:val="0"/>
        <w:spacing w:line="400" w:lineRule="exact"/>
        <w:ind w:firstLineChars="200"/>
        <w:jc w:val="left"/>
        <w:rPr>
          <w:rStyle w:val="72"/>
          <w:rFonts w:hint="eastAsia" w:ascii="宋体" w:hAnsi="宋体" w:cs="宋体"/>
          <w:bCs/>
          <w:color w:val="auto"/>
          <w:sz w:val="22"/>
          <w:szCs w:val="22"/>
          <w:highlight w:val="none"/>
        </w:rPr>
      </w:pPr>
      <w:r>
        <w:rPr>
          <w:rFonts w:hint="eastAsia" w:ascii="宋体" w:hAnsi="宋体" w:cs="宋体"/>
          <w:color w:val="auto"/>
          <w:highlight w:val="none"/>
        </w:rPr>
        <w:t>（二）</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"mailto:在报价时限内将PDF格式的报价函通过其在投标文件中预留的邮箱发送至代理机构邮箱471870577@qq.com；" </w:instrText>
      </w:r>
      <w:r>
        <w:rPr>
          <w:rFonts w:hint="eastAsia" w:ascii="宋体" w:hAnsi="宋体" w:cs="宋体"/>
          <w:color w:val="auto"/>
          <w:highlight w:val="none"/>
        </w:rPr>
        <w:fldChar w:fldCharType="separate"/>
      </w:r>
      <w:r>
        <w:rPr>
          <w:rStyle w:val="72"/>
          <w:rFonts w:hint="eastAsia" w:ascii="宋体" w:hAnsi="宋体" w:cs="宋体"/>
          <w:bCs/>
          <w:color w:val="auto"/>
          <w:sz w:val="22"/>
          <w:szCs w:val="22"/>
          <w:highlight w:val="none"/>
        </w:rPr>
        <w:t>在报价时限内，将PDF格式的</w:t>
      </w:r>
      <w:r>
        <w:rPr>
          <w:rFonts w:hint="eastAsia" w:ascii="宋体" w:hAnsi="宋体" w:cs="宋体"/>
          <w:bCs/>
          <w:color w:val="auto"/>
          <w:sz w:val="22"/>
          <w:szCs w:val="22"/>
          <w:highlight w:val="none"/>
        </w:rPr>
        <w:t>《新一轮报价函》</w:t>
      </w:r>
      <w:r>
        <w:rPr>
          <w:rStyle w:val="72"/>
          <w:rFonts w:hint="eastAsia" w:ascii="宋体" w:hAnsi="宋体" w:cs="宋体"/>
          <w:bCs/>
          <w:color w:val="auto"/>
          <w:sz w:val="22"/>
          <w:szCs w:val="22"/>
          <w:highlight w:val="none"/>
        </w:rPr>
        <w:t>通过其在响应文件中预留的邮箱传送至采购代理机构邮箱</w:t>
      </w:r>
      <w:r>
        <w:rPr>
          <w:rStyle w:val="72"/>
          <w:rFonts w:hint="eastAsia" w:ascii="宋体" w:hAnsi="宋体" w:cs="宋体"/>
          <w:bCs/>
          <w:color w:val="auto"/>
          <w:sz w:val="22"/>
          <w:szCs w:val="22"/>
          <w:highlight w:val="none"/>
          <w:lang w:eastAsia="zh-CN"/>
        </w:rPr>
        <w:t>80867223</w:t>
      </w:r>
      <w:r>
        <w:rPr>
          <w:rStyle w:val="72"/>
          <w:rFonts w:hint="eastAsia" w:ascii="宋体" w:hAnsi="宋体" w:cs="宋体"/>
          <w:bCs/>
          <w:color w:val="auto"/>
          <w:sz w:val="22"/>
          <w:szCs w:val="22"/>
          <w:highlight w:val="none"/>
        </w:rPr>
        <w:t>@qq.com；</w:t>
      </w:r>
      <w:r>
        <w:rPr>
          <w:rFonts w:hint="eastAsia" w:ascii="宋体" w:hAnsi="宋体" w:cs="宋体"/>
          <w:bCs/>
          <w:color w:val="auto"/>
          <w:sz w:val="22"/>
          <w:szCs w:val="22"/>
          <w:highlight w:val="none"/>
        </w:rPr>
        <w:fldChar w:fldCharType="end"/>
      </w:r>
    </w:p>
    <w:p w14:paraId="4753B7CA">
      <w:pPr>
        <w:pStyle w:val="27"/>
        <w:autoSpaceDE w:val="0"/>
        <w:autoSpaceDN w:val="0"/>
        <w:adjustRightInd w:val="0"/>
        <w:spacing w:line="400" w:lineRule="exact"/>
        <w:ind w:firstLine="440" w:firstLineChars="200"/>
        <w:jc w:val="left"/>
        <w:rPr>
          <w:rStyle w:val="72"/>
          <w:rFonts w:hint="eastAsia" w:ascii="宋体" w:hAnsi="宋体" w:cs="宋体"/>
          <w:b/>
          <w:bCs/>
          <w:color w:val="auto"/>
          <w:sz w:val="22"/>
          <w:szCs w:val="22"/>
          <w:highlight w:val="none"/>
          <w:u w:val="single"/>
        </w:rPr>
      </w:pPr>
      <w:r>
        <w:rPr>
          <w:rStyle w:val="72"/>
          <w:rFonts w:hint="eastAsia" w:ascii="宋体" w:hAnsi="宋体" w:cs="宋体"/>
          <w:bCs/>
          <w:color w:val="auto"/>
          <w:sz w:val="22"/>
          <w:szCs w:val="22"/>
          <w:highlight w:val="none"/>
        </w:rPr>
        <w:t>（三）</w:t>
      </w:r>
      <w:r>
        <w:rPr>
          <w:rStyle w:val="72"/>
          <w:rFonts w:hint="eastAsia" w:ascii="宋体" w:hAnsi="宋体" w:cs="宋体"/>
          <w:b/>
          <w:bCs/>
          <w:color w:val="auto"/>
          <w:sz w:val="22"/>
          <w:szCs w:val="22"/>
          <w:highlight w:val="none"/>
          <w:u w:val="single"/>
        </w:rPr>
        <w:t>异常处理时出现以下情形之一的，均视为供应商未参与本轮报价，报价以供应商上一轮有效的报价为准：</w:t>
      </w:r>
    </w:p>
    <w:p w14:paraId="12AFBF6D">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1）</w:t>
      </w:r>
      <w:r>
        <w:rPr>
          <w:rFonts w:hint="eastAsia" w:ascii="宋体" w:hAnsi="宋体" w:cs="宋体"/>
          <w:bCs/>
          <w:color w:val="auto"/>
          <w:sz w:val="22"/>
          <w:szCs w:val="22"/>
          <w:highlight w:val="none"/>
          <w:u w:val="single"/>
        </w:rPr>
        <w:t>《新一轮报价函》未采用竞争性单一来源采购文件中所提供的格式的；</w:t>
      </w:r>
    </w:p>
    <w:p w14:paraId="49078CDE">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2）</w:t>
      </w:r>
      <w:r>
        <w:rPr>
          <w:rFonts w:hint="eastAsia" w:ascii="宋体" w:hAnsi="宋体" w:cs="宋体"/>
          <w:bCs/>
          <w:color w:val="auto"/>
          <w:sz w:val="22"/>
          <w:szCs w:val="22"/>
          <w:highlight w:val="none"/>
          <w:u w:val="single"/>
        </w:rPr>
        <w:t>《新一轮报价函》不是由供应商法定代表人（负责人）或其在响应文件中委派的授权代表签署的；</w:t>
      </w:r>
    </w:p>
    <w:p w14:paraId="34461D60">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3）</w:t>
      </w:r>
      <w:r>
        <w:rPr>
          <w:rFonts w:hint="eastAsia" w:ascii="宋体" w:hAnsi="宋体" w:cs="宋体"/>
          <w:bCs/>
          <w:color w:val="auto"/>
          <w:sz w:val="22"/>
          <w:szCs w:val="22"/>
          <w:highlight w:val="none"/>
          <w:u w:val="single"/>
        </w:rPr>
        <w:t>《新一轮报价函》未通过供应商在响应文件中预留的邮箱传送的；</w:t>
      </w:r>
    </w:p>
    <w:p w14:paraId="3145D766">
      <w:pPr>
        <w:pStyle w:val="27"/>
        <w:autoSpaceDE w:val="0"/>
        <w:autoSpaceDN w:val="0"/>
        <w:adjustRightInd w:val="0"/>
        <w:spacing w:line="400" w:lineRule="exact"/>
        <w:ind w:firstLine="440" w:firstLineChars="200"/>
        <w:jc w:val="left"/>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4）</w:t>
      </w:r>
      <w:r>
        <w:rPr>
          <w:rFonts w:hint="eastAsia" w:ascii="宋体" w:hAnsi="宋体" w:cs="宋体"/>
          <w:bCs/>
          <w:color w:val="auto"/>
          <w:sz w:val="22"/>
          <w:szCs w:val="22"/>
          <w:highlight w:val="none"/>
          <w:u w:val="single"/>
        </w:rPr>
        <w:t>采购代理机构未在报价时限内收到供应商的《新一轮报价函》的；</w:t>
      </w:r>
    </w:p>
    <w:p w14:paraId="727FC467">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（1）多轮报价结束后，在“政采云平台”系统平台上公布符合性审查及多轮报价等有关内容情况；</w:t>
      </w:r>
    </w:p>
    <w:p w14:paraId="6E902E7E">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（2）谈判小组进入报价评审页面，对各供应商报价的合理性、准确性等进行报价评审；</w:t>
      </w:r>
    </w:p>
    <w:p w14:paraId="00900A32">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（3）报价评审结束后，谈判小组将在系统上对各供应商的报价情况进行汇总，并填写比较和评价内容；</w:t>
      </w:r>
    </w:p>
    <w:p w14:paraId="5712A85B">
      <w:pPr>
        <w:spacing w:line="400" w:lineRule="exact"/>
        <w:ind w:firstLine="440" w:firstLineChars="200"/>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（4）评审结束后，在“政采云平台”系统平台上公布成交（成交）候选供应商名单，及采购人最终确定成交或成交供应商名单的时间和公告方式等</w:t>
      </w:r>
      <w:r>
        <w:rPr>
          <w:rFonts w:hint="eastAsia" w:ascii="宋体" w:hAnsi="宋体" w:cs="宋体"/>
          <w:bCs/>
          <w:color w:val="auto"/>
          <w:sz w:val="22"/>
          <w:szCs w:val="22"/>
          <w:highlight w:val="none"/>
          <w:lang w:eastAsia="zh-CN"/>
        </w:rPr>
        <w:t>。</w:t>
      </w:r>
    </w:p>
    <w:p w14:paraId="78B4FCD7">
      <w:pPr>
        <w:overflowPunct w:val="0"/>
        <w:spacing w:line="440" w:lineRule="exact"/>
        <w:ind w:left="11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特别说明：1、政采云公司如对电子化开标及评审程序有调整的，按调整后的程序操作。</w:t>
      </w:r>
    </w:p>
    <w:p w14:paraId="78AE1CA0">
      <w:pPr>
        <w:overflowPunct w:val="0"/>
        <w:spacing w:line="440" w:lineRule="exact"/>
        <w:ind w:firstLine="1281" w:firstLineChars="58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2、目前政府采购全流程电子化交易，供应商须在规定时间内自行解密。</w:t>
      </w:r>
    </w:p>
    <w:p w14:paraId="79A117DE">
      <w:pPr>
        <w:tabs>
          <w:tab w:val="left" w:pos="540"/>
          <w:tab w:val="left" w:pos="709"/>
        </w:tabs>
        <w:spacing w:line="44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3.3 ▲</w:t>
      </w:r>
      <w:r>
        <w:rPr>
          <w:rFonts w:hint="eastAsia" w:ascii="宋体" w:hAnsi="宋体" w:cs="宋体"/>
          <w:b/>
          <w:bCs/>
          <w:color w:val="auto"/>
          <w:sz w:val="22"/>
          <w:szCs w:val="22"/>
          <w:highlight w:val="none"/>
          <w:u w:val="single"/>
        </w:rPr>
        <w:t>在对供应商的单一来源响应文件进行综合评审时，单一来源响应文件有下列情况之一的，经谈判小组认定后按无效标处理</w:t>
      </w:r>
      <w:r>
        <w:rPr>
          <w:rFonts w:hint="eastAsia" w:ascii="宋体" w:hAnsi="宋体" w:cs="宋体"/>
          <w:b/>
          <w:bCs/>
          <w:color w:val="auto"/>
          <w:sz w:val="22"/>
          <w:szCs w:val="22"/>
          <w:highlight w:val="none"/>
        </w:rPr>
        <w:t>：</w:t>
      </w:r>
    </w:p>
    <w:p w14:paraId="353D6300">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（1）电子单一来源响应文件未按规定进行CA签章；</w:t>
      </w:r>
    </w:p>
    <w:p w14:paraId="2524B263">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（2）单一来源响应文件中要求供应商法人或授权代表签字的地方无法定代表人（负责人）签字或其授权代表签字的；</w:t>
      </w:r>
    </w:p>
    <w:p w14:paraId="0701BA63">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（3）不具备采购文件中规定的资格要求的；</w:t>
      </w:r>
    </w:p>
    <w:p w14:paraId="1BA1A614">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（4）报价超过采购文件中规定的预算金额或者最高限价的；</w:t>
      </w:r>
    </w:p>
    <w:p w14:paraId="1A18953B">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（5）单一来源响应文件含有采购人不能接受的附加条件的；</w:t>
      </w:r>
    </w:p>
    <w:p w14:paraId="0E926C61">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（6）同时出现两种及以上不一致价格且修正后供应商不确认报价的；</w:t>
      </w:r>
    </w:p>
    <w:p w14:paraId="30CFE8D2">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（7）报价明显低于其他通过符合性审查供应商的报价，且在评标现场合理的时间内不能证明其报价合理性的；</w:t>
      </w:r>
    </w:p>
    <w:p w14:paraId="4EB6FF9F">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kern w:val="0"/>
          <w:sz w:val="22"/>
          <w:szCs w:val="22"/>
          <w:highlight w:val="none"/>
          <w:u w:val="single"/>
        </w:rPr>
        <w:t>（8）</w:t>
      </w:r>
      <w:r>
        <w:rPr>
          <w:rFonts w:hint="eastAsia" w:ascii="宋体" w:hAnsi="宋体" w:cs="宋体"/>
          <w:b/>
          <w:bCs/>
          <w:color w:val="auto"/>
          <w:kern w:val="0"/>
          <w:sz w:val="22"/>
          <w:szCs w:val="22"/>
          <w:highlight w:val="none"/>
          <w:u w:val="single"/>
        </w:rPr>
        <w:t>授权代表</w:t>
      </w:r>
      <w:r>
        <w:rPr>
          <w:rFonts w:hint="eastAsia" w:ascii="宋体" w:hAnsi="宋体" w:cs="宋体"/>
          <w:b/>
          <w:color w:val="auto"/>
          <w:kern w:val="0"/>
          <w:sz w:val="22"/>
          <w:szCs w:val="22"/>
          <w:highlight w:val="none"/>
          <w:u w:val="single"/>
        </w:rPr>
        <w:t>无法定代表人（负责人）合法、有效委托的；</w:t>
      </w:r>
    </w:p>
    <w:p w14:paraId="32DC49F6">
      <w:pPr>
        <w:spacing w:line="44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kern w:val="0"/>
          <w:sz w:val="22"/>
          <w:szCs w:val="22"/>
          <w:highlight w:val="none"/>
          <w:u w:val="single"/>
        </w:rPr>
        <w:t>（9）</w:t>
      </w:r>
      <w:r>
        <w:rPr>
          <w:rFonts w:hint="eastAsia" w:ascii="宋体" w:hAnsi="宋体" w:cs="宋体"/>
          <w:b/>
          <w:color w:val="auto"/>
          <w:sz w:val="22"/>
          <w:szCs w:val="22"/>
          <w:highlight w:val="none"/>
          <w:u w:val="single"/>
        </w:rPr>
        <w:t>规定时间内解密失败且经异常处理但政采云电子交易系统仍未能识别备份单一来源响应文件的；</w:t>
      </w:r>
    </w:p>
    <w:p w14:paraId="010FFC72">
      <w:pPr>
        <w:spacing w:line="440" w:lineRule="exact"/>
        <w:ind w:firstLine="442" w:firstLineChars="200"/>
        <w:rPr>
          <w:rFonts w:hint="eastAsia" w:ascii="宋体" w:hAnsi="宋体" w:cs="宋体"/>
          <w:b/>
          <w:color w:val="auto"/>
          <w:kern w:val="0"/>
          <w:sz w:val="22"/>
          <w:szCs w:val="22"/>
          <w:highlight w:val="none"/>
          <w:u w:val="single"/>
        </w:rPr>
      </w:pPr>
      <w:r>
        <w:rPr>
          <w:rFonts w:hint="eastAsia" w:ascii="宋体" w:hAnsi="宋体" w:cs="宋体"/>
          <w:b/>
          <w:color w:val="auto"/>
          <w:sz w:val="22"/>
          <w:szCs w:val="22"/>
          <w:highlight w:val="none"/>
          <w:u w:val="single"/>
        </w:rPr>
        <w:t>（10）</w:t>
      </w:r>
      <w:r>
        <w:rPr>
          <w:rFonts w:hint="eastAsia" w:ascii="宋体" w:hAnsi="宋体" w:cs="宋体"/>
          <w:b/>
          <w:color w:val="auto"/>
          <w:kern w:val="0"/>
          <w:sz w:val="22"/>
          <w:szCs w:val="22"/>
          <w:highlight w:val="none"/>
          <w:u w:val="single"/>
        </w:rPr>
        <w:t>谈判小组认定不符合法律、法规和采购文件中规定的其他实质性要求的。</w:t>
      </w:r>
    </w:p>
    <w:p w14:paraId="0E8133D2">
      <w:pPr>
        <w:tabs>
          <w:tab w:val="left" w:pos="540"/>
          <w:tab w:val="left" w:pos="709"/>
        </w:tabs>
        <w:spacing w:line="44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3.4 “报价文件”开启后，由谈判小组对供应商的商务报价进行核查，核查时发现报价内容不清楚可要求供应商书面澄清，计算上的错误，可按下面方法修正：</w:t>
      </w:r>
    </w:p>
    <w:p w14:paraId="6DF42F12">
      <w:pPr>
        <w:tabs>
          <w:tab w:val="left" w:pos="720"/>
        </w:tabs>
        <w:spacing w:line="440" w:lineRule="exact"/>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单一来源响应文件中上传的价格和系统中报价一览表里填写的价格不一致的，以供应商上传的报价文件为准；单一来源响应文件中开标一览表内容与单一来源响应文件中相应内容不一致的，以开标一览表为准；单一来源响应文件的大写金额和小写金额不一致的，以大写金额为准；单价金额小数点或者百分比有明显错位的，以开标一览表的总价为准，并修改单价；总价金额与按单价汇总金额不一致的，以单价金额计算结果为准。</w:t>
      </w:r>
    </w:p>
    <w:p w14:paraId="2F690B17">
      <w:pPr>
        <w:tabs>
          <w:tab w:val="left" w:pos="720"/>
        </w:tabs>
        <w:spacing w:line="440" w:lineRule="exact"/>
        <w:ind w:firstLine="442" w:firstLineChars="200"/>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（2）如果供应商不接受对其价格错误进行修正，其报价无效。</w:t>
      </w:r>
    </w:p>
    <w:p w14:paraId="7BD1E60F">
      <w:pPr>
        <w:tabs>
          <w:tab w:val="left" w:pos="720"/>
        </w:tabs>
        <w:spacing w:line="440" w:lineRule="exact"/>
        <w:ind w:firstLine="442" w:firstLineChars="200"/>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（3）如供应商为小微企业或监狱企业，享受政策支持的，则采购机构将在政采云系统-政策价格认定中对其进行修正（未按规定递交相关证明材料或经谈判小组认定其不具备享受政策支持资格的，不予修正）</w:t>
      </w:r>
    </w:p>
    <w:p w14:paraId="6614FA5F">
      <w:pPr>
        <w:tabs>
          <w:tab w:val="left" w:pos="540"/>
          <w:tab w:val="left" w:pos="709"/>
        </w:tabs>
        <w:spacing w:line="44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3.5 在详细评标之前，谈判小组要审查单一来源响应文件是否实质上响应了采购文件的要求。实质上响应的投标应该是与采购文件要求的全部条款、条件和规格基本相符。没有重大偏离。</w:t>
      </w:r>
      <w:r>
        <w:rPr>
          <w:rFonts w:hint="eastAsia" w:ascii="宋体" w:hAnsi="宋体" w:cs="宋体"/>
          <w:b/>
          <w:bCs/>
          <w:color w:val="auto"/>
          <w:sz w:val="22"/>
          <w:szCs w:val="22"/>
          <w:highlight w:val="none"/>
        </w:rPr>
        <w:t>谈判小组决定报价的响应性只根据单一来源响应文件本身的内容，而不寻求外部的证据。</w:t>
      </w:r>
    </w:p>
    <w:p w14:paraId="45A9577C">
      <w:pPr>
        <w:tabs>
          <w:tab w:val="left" w:pos="540"/>
          <w:tab w:val="left" w:pos="709"/>
        </w:tabs>
        <w:spacing w:line="440" w:lineRule="exact"/>
        <w:ind w:firstLine="442" w:firstLineChars="200"/>
        <w:rPr>
          <w:rFonts w:hint="eastAsia" w:ascii="宋体" w:hAnsi="宋体" w:cs="宋体"/>
          <w:b/>
          <w:bCs/>
          <w:color w:val="auto"/>
          <w:sz w:val="22"/>
          <w:szCs w:val="22"/>
          <w:highlight w:val="none"/>
          <w:u w:val="single"/>
        </w:rPr>
      </w:pPr>
      <w:r>
        <w:rPr>
          <w:rFonts w:hint="eastAsia" w:ascii="宋体" w:hAnsi="宋体" w:cs="宋体"/>
          <w:b/>
          <w:bCs/>
          <w:color w:val="auto"/>
          <w:sz w:val="22"/>
          <w:szCs w:val="22"/>
          <w:highlight w:val="none"/>
        </w:rPr>
        <w:t xml:space="preserve">3.6 </w:t>
      </w:r>
      <w:r>
        <w:rPr>
          <w:rFonts w:hint="eastAsia" w:ascii="宋体" w:hAnsi="宋体" w:cs="宋体"/>
          <w:b/>
          <w:bCs/>
          <w:color w:val="auto"/>
          <w:sz w:val="22"/>
          <w:szCs w:val="22"/>
          <w:highlight w:val="none"/>
          <w:u w:val="single"/>
        </w:rPr>
        <w:t>▲本项目采用政采云电子招投标开标及评审程序，如因政采云平台原因无法读取或电子开评标无法正常进行，采购机构将情况上报行业监管部门同意后，重新组织采购活动。</w:t>
      </w:r>
    </w:p>
    <w:p w14:paraId="3C9261C7">
      <w:pPr>
        <w:tabs>
          <w:tab w:val="left" w:pos="540"/>
        </w:tabs>
        <w:spacing w:line="44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4. 单一来源响应文件的澄清</w:t>
      </w:r>
    </w:p>
    <w:p w14:paraId="12EA65A3">
      <w:pPr>
        <w:tabs>
          <w:tab w:val="left" w:pos="540"/>
        </w:tabs>
        <w:spacing w:line="440" w:lineRule="exact"/>
        <w:ind w:firstLine="440" w:firstLineChars="200"/>
        <w:rPr>
          <w:rFonts w:hint="eastAsia" w:ascii="宋体" w:hAnsi="宋体" w:cs="宋体"/>
          <w:b/>
          <w:color w:val="auto"/>
          <w:sz w:val="22"/>
          <w:szCs w:val="22"/>
          <w:highlight w:val="none"/>
        </w:rPr>
      </w:pPr>
      <w:r>
        <w:rPr>
          <w:rFonts w:hint="eastAsia" w:ascii="宋体" w:hAnsi="宋体" w:cs="宋体"/>
          <w:bCs/>
          <w:color w:val="auto"/>
          <w:sz w:val="22"/>
          <w:szCs w:val="22"/>
          <w:highlight w:val="none"/>
        </w:rPr>
        <w:t>4.1 在评标期间，谈判小组可以对单一来源响应文件中含义不明确、对同类问题表述不一致或者有明显文字和计算错误的内容作必要的澄清、说明或补正。澄清、说明或补将采用在政采云系统上向供应商发起询标函的方式进行。供应商须在“截止时间”内登录政采云系统（路径：用户中心—项目采购—询标澄清）根据标项回复询标函，具体操作流程详见《政府采购项目电子交易管理操作指南-供应商》。澄清内容不得超出单一来源响应文件的范围或者改变单一来源响应文件的实质性内容。拒不按要求对其单一来源响应文件进行澄清，说明或补正的供应商，谈判小组可以否决其响应文件。</w:t>
      </w:r>
    </w:p>
    <w:p w14:paraId="4DCF4BC7">
      <w:pPr>
        <w:tabs>
          <w:tab w:val="left" w:pos="540"/>
        </w:tabs>
        <w:spacing w:line="44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4.2 供应商代表须在电脑前及时在线关注评审动态，并确保其在联系方式无误且保持畅通，因供应商自身原因没有及时关注评审动态或其联系方式错误或无法接通，导致其未能在规定时间内完成询标澄清事宜的，由此造成的后果由供应商自行承担。</w:t>
      </w:r>
    </w:p>
    <w:p w14:paraId="5A083D39">
      <w:pPr>
        <w:tabs>
          <w:tab w:val="left" w:pos="540"/>
        </w:tabs>
        <w:spacing w:line="440" w:lineRule="exact"/>
        <w:ind w:firstLine="442" w:firstLineChars="200"/>
        <w:rPr>
          <w:rFonts w:hint="eastAsia" w:ascii="宋体" w:hAnsi="宋体" w:cs="宋体"/>
          <w:color w:val="auto"/>
          <w:sz w:val="22"/>
          <w:szCs w:val="22"/>
          <w:highlight w:val="none"/>
        </w:rPr>
      </w:pPr>
      <w:r>
        <w:rPr>
          <w:rFonts w:hint="eastAsia" w:ascii="宋体" w:hAnsi="宋体" w:cs="宋体"/>
          <w:b/>
          <w:bCs/>
          <w:color w:val="auto"/>
          <w:sz w:val="22"/>
          <w:szCs w:val="22"/>
          <w:highlight w:val="none"/>
        </w:rPr>
        <w:t>4.3 若供应商在询标澄清环节，由于CA等原因无法进行线上操作时，应在规定时限内由授权代表将线下材料通过其在单一来源响应文件中预留的邮箱（</w:t>
      </w:r>
      <w:r>
        <w:rPr>
          <w:rFonts w:hint="eastAsia" w:ascii="宋体" w:hAnsi="宋体" w:cs="宋体"/>
          <w:b/>
          <w:color w:val="auto"/>
          <w:kern w:val="0"/>
          <w:sz w:val="22"/>
          <w:szCs w:val="22"/>
          <w:highlight w:val="none"/>
          <w:u w:val="single"/>
        </w:rPr>
        <w:t>▲</w:t>
      </w:r>
      <w:r>
        <w:rPr>
          <w:rFonts w:hint="eastAsia" w:ascii="宋体" w:hAnsi="宋体" w:cs="宋体"/>
          <w:b/>
          <w:bCs/>
          <w:color w:val="auto"/>
          <w:sz w:val="22"/>
          <w:szCs w:val="22"/>
          <w:highlight w:val="none"/>
          <w:u w:val="single"/>
        </w:rPr>
        <w:t>必须由指定预留邮箱发送，否则澄清邮件不予认可</w:t>
      </w:r>
      <w:r>
        <w:rPr>
          <w:rFonts w:hint="eastAsia" w:ascii="宋体" w:hAnsi="宋体" w:cs="宋体"/>
          <w:b/>
          <w:bCs/>
          <w:color w:val="auto"/>
          <w:sz w:val="22"/>
          <w:szCs w:val="22"/>
          <w:highlight w:val="none"/>
        </w:rPr>
        <w:t>）传送至代理机构邮箱</w:t>
      </w:r>
      <w:r>
        <w:rPr>
          <w:rFonts w:hint="eastAsia" w:ascii="宋体" w:hAnsi="宋体" w:cs="宋体"/>
          <w:b/>
          <w:bCs/>
          <w:color w:val="auto"/>
          <w:sz w:val="22"/>
          <w:szCs w:val="22"/>
          <w:highlight w:val="none"/>
          <w:lang w:eastAsia="zh-CN"/>
        </w:rPr>
        <w:t>80867223</w:t>
      </w:r>
      <w:r>
        <w:rPr>
          <w:rFonts w:hint="eastAsia" w:ascii="宋体" w:hAnsi="宋体" w:cs="宋体"/>
          <w:b/>
          <w:bCs/>
          <w:color w:val="auto"/>
          <w:sz w:val="22"/>
          <w:szCs w:val="22"/>
          <w:highlight w:val="none"/>
        </w:rPr>
        <w:t>@qq.com。</w:t>
      </w:r>
    </w:p>
    <w:p w14:paraId="7CE97377">
      <w:pPr>
        <w:tabs>
          <w:tab w:val="left" w:pos="540"/>
        </w:tabs>
        <w:spacing w:line="440" w:lineRule="exact"/>
        <w:ind w:firstLine="442" w:firstLineChars="200"/>
        <w:rPr>
          <w:rFonts w:hint="eastAsia" w:ascii="宋体" w:hAnsi="宋体" w:cs="宋体"/>
          <w:b/>
          <w:color w:val="auto"/>
          <w:sz w:val="22"/>
          <w:szCs w:val="22"/>
          <w:highlight w:val="none"/>
          <w:u w:val="single"/>
        </w:rPr>
      </w:pPr>
      <w:r>
        <w:rPr>
          <w:rFonts w:hint="eastAsia" w:ascii="宋体" w:hAnsi="宋体" w:cs="宋体"/>
          <w:b/>
          <w:color w:val="auto"/>
          <w:kern w:val="0"/>
          <w:sz w:val="22"/>
          <w:szCs w:val="22"/>
          <w:highlight w:val="none"/>
          <w:u w:val="single"/>
        </w:rPr>
        <w:t>4.4 ▲</w:t>
      </w:r>
      <w:r>
        <w:rPr>
          <w:rFonts w:hint="eastAsia" w:ascii="宋体" w:hAnsi="宋体" w:cs="宋体"/>
          <w:b/>
          <w:color w:val="auto"/>
          <w:sz w:val="22"/>
          <w:szCs w:val="22"/>
          <w:highlight w:val="none"/>
          <w:u w:val="single"/>
        </w:rPr>
        <w:t>经澄清后，若偏差仍存在，且不可接受，供应商则被认为是“没有实质性响应采购文件要求”，其响应文件不进入下一步评审。</w:t>
      </w:r>
    </w:p>
    <w:p w14:paraId="1AFD802C">
      <w:pPr>
        <w:tabs>
          <w:tab w:val="left" w:pos="540"/>
        </w:tabs>
        <w:spacing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5.可中止电子交易活动的情形</w:t>
      </w:r>
    </w:p>
    <w:p w14:paraId="5AE10E66">
      <w:pPr>
        <w:spacing w:line="400" w:lineRule="exact"/>
        <w:ind w:firstLine="420"/>
        <w:rPr>
          <w:rFonts w:hint="eastAsia" w:ascii="宋体" w:hAnsi="宋体" w:cs="宋体"/>
          <w:b/>
          <w:bCs/>
          <w:color w:val="auto"/>
          <w:sz w:val="22"/>
          <w:szCs w:val="22"/>
          <w:highlight w:val="none"/>
          <w:u w:val="single"/>
        </w:rPr>
      </w:pPr>
      <w:r>
        <w:rPr>
          <w:rFonts w:hint="eastAsia" w:ascii="宋体" w:hAnsi="宋体" w:cs="宋体"/>
          <w:color w:val="auto"/>
          <w:kern w:val="0"/>
          <w:sz w:val="22"/>
          <w:szCs w:val="22"/>
          <w:highlight w:val="none"/>
        </w:rPr>
        <w:t>▲</w:t>
      </w:r>
      <w:r>
        <w:rPr>
          <w:rFonts w:hint="eastAsia" w:ascii="宋体" w:hAnsi="宋体" w:cs="宋体"/>
          <w:b/>
          <w:bCs/>
          <w:color w:val="auto"/>
          <w:sz w:val="22"/>
          <w:szCs w:val="22"/>
          <w:highlight w:val="none"/>
          <w:u w:val="single"/>
        </w:rPr>
        <w:t>采购过程中出现以下情形，导致电子交易平台无法正常运行，或者无法保证电子交易的公平、公正和安全时，采购组织机构可中止电子交易活动：</w:t>
      </w:r>
    </w:p>
    <w:p w14:paraId="39A09F8D">
      <w:pPr>
        <w:pStyle w:val="514"/>
        <w:numPr>
          <w:ilvl w:val="0"/>
          <w:numId w:val="5"/>
        </w:numPr>
        <w:spacing w:line="40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rPr>
        <w:t>电子交易平台发生故障而无法登录访问的；</w:t>
      </w:r>
    </w:p>
    <w:p w14:paraId="6785DEA4">
      <w:pPr>
        <w:pStyle w:val="514"/>
        <w:numPr>
          <w:ilvl w:val="0"/>
          <w:numId w:val="5"/>
        </w:numPr>
        <w:spacing w:line="40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rPr>
        <w:t>电子交易平台应用或数据库出现错误，不能进行正常操作的；</w:t>
      </w:r>
    </w:p>
    <w:p w14:paraId="7D7654E4">
      <w:pPr>
        <w:pStyle w:val="514"/>
        <w:numPr>
          <w:ilvl w:val="0"/>
          <w:numId w:val="5"/>
        </w:numPr>
        <w:spacing w:line="40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rPr>
        <w:t>电子交易平台发现严重安全漏洞，有潜在泄密危险的；</w:t>
      </w:r>
    </w:p>
    <w:p w14:paraId="54122378">
      <w:pPr>
        <w:pStyle w:val="514"/>
        <w:numPr>
          <w:ilvl w:val="0"/>
          <w:numId w:val="5"/>
        </w:numPr>
        <w:spacing w:line="40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rPr>
        <w:t>病毒发作导致不能进行正常操作的；</w:t>
      </w:r>
    </w:p>
    <w:p w14:paraId="339DB309">
      <w:pPr>
        <w:pStyle w:val="514"/>
        <w:numPr>
          <w:ilvl w:val="0"/>
          <w:numId w:val="5"/>
        </w:numPr>
        <w:spacing w:line="40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rPr>
        <w:t>其他无法保证电子交易的公平、公正和安全的情况。</w:t>
      </w:r>
    </w:p>
    <w:p w14:paraId="6ACBC022">
      <w:pPr>
        <w:spacing w:line="400" w:lineRule="exact"/>
        <w:ind w:firstLine="440" w:firstLineChars="200"/>
        <w:rPr>
          <w:rFonts w:hint="eastAsia" w:ascii="宋体" w:hAnsi="宋体" w:cs="宋体"/>
          <w:bCs/>
          <w:color w:val="auto"/>
          <w:sz w:val="22"/>
          <w:szCs w:val="22"/>
          <w:highlight w:val="none"/>
        </w:rPr>
      </w:pPr>
      <w:r>
        <w:rPr>
          <w:rFonts w:hint="eastAsia" w:ascii="宋体" w:hAnsi="宋体" w:cs="宋体"/>
          <w:bCs/>
          <w:color w:val="auto"/>
          <w:sz w:val="22"/>
          <w:szCs w:val="22"/>
          <w:highlight w:val="none"/>
        </w:rPr>
        <w:t>出现前款规定情形，不影响采购公平、公正性的，采购组织机构可以待上述情形消除后继续组织电子交易活动；影响或可能影响采购公平、公正性的，应当重新采购未详尽事宜，遵照有关法律法规执行。</w:t>
      </w:r>
    </w:p>
    <w:p w14:paraId="5C2A2186">
      <w:pPr>
        <w:tabs>
          <w:tab w:val="left" w:pos="540"/>
        </w:tabs>
        <w:spacing w:line="44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6.评标细则详见“评标原则及方法”。</w:t>
      </w:r>
    </w:p>
    <w:p w14:paraId="72AB3CE0">
      <w:pPr>
        <w:spacing w:before="200" w:after="200" w:line="360" w:lineRule="auto"/>
        <w:jc w:val="center"/>
        <w:outlineLvl w:val="0"/>
        <w:rPr>
          <w:rFonts w:hint="eastAsia" w:ascii="宋体" w:hAnsi="宋体" w:cs="宋体"/>
          <w:b/>
          <w:bCs/>
          <w:color w:val="auto"/>
          <w:szCs w:val="21"/>
          <w:highlight w:val="none"/>
        </w:rPr>
      </w:pPr>
      <w:bookmarkStart w:id="125" w:name="_Toc262105505"/>
      <w:bookmarkStart w:id="126" w:name="_Toc249758866"/>
      <w:bookmarkStart w:id="127" w:name="_Toc241404204"/>
      <w:bookmarkStart w:id="128" w:name="_Toc222114881"/>
      <w:bookmarkStart w:id="129" w:name="_Toc221356889"/>
      <w:bookmarkStart w:id="130" w:name="_Toc262049420"/>
      <w:bookmarkStart w:id="131" w:name="_Toc245191316"/>
      <w:bookmarkStart w:id="132" w:name="_Toc221423621"/>
      <w:bookmarkStart w:id="133" w:name="_Toc246261267"/>
      <w:bookmarkStart w:id="134" w:name="_Toc40954153"/>
      <w:bookmarkStart w:id="135" w:name="_Toc239145356"/>
      <w:bookmarkStart w:id="136" w:name="_Toc249758714"/>
      <w:bookmarkStart w:id="137" w:name="_Toc221356953"/>
      <w:bookmarkStart w:id="138" w:name="_Toc245722283"/>
      <w:bookmarkStart w:id="139" w:name="_Toc5091"/>
      <w:bookmarkStart w:id="140" w:name="_Toc223716000"/>
      <w:bookmarkStart w:id="141" w:name="_Toc221374628"/>
      <w:r>
        <w:rPr>
          <w:rFonts w:hint="eastAsia" w:ascii="宋体" w:hAnsi="宋体" w:cs="宋体"/>
          <w:b/>
          <w:bCs/>
          <w:color w:val="auto"/>
          <w:szCs w:val="21"/>
          <w:highlight w:val="none"/>
        </w:rPr>
        <w:t>六、 授予合同</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p w14:paraId="497439FE">
      <w:pPr>
        <w:spacing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1. 最终审查</w:t>
      </w:r>
    </w:p>
    <w:p w14:paraId="730886BC">
      <w:pPr>
        <w:tabs>
          <w:tab w:val="left" w:pos="540"/>
        </w:tabs>
        <w:spacing w:line="400" w:lineRule="exact"/>
        <w:ind w:firstLine="440" w:firstLineChars="200"/>
        <w:rPr>
          <w:rFonts w:hint="eastAsia" w:ascii="宋体" w:hAnsi="宋体" w:cs="宋体"/>
          <w:bCs/>
          <w:color w:val="auto"/>
          <w:sz w:val="22"/>
          <w:szCs w:val="22"/>
          <w:highlight w:val="none"/>
        </w:rPr>
      </w:pPr>
      <w:r>
        <w:rPr>
          <w:rFonts w:hint="eastAsia" w:ascii="宋体" w:hAnsi="宋体" w:cs="宋体"/>
          <w:color w:val="auto"/>
          <w:kern w:val="0"/>
          <w:sz w:val="22"/>
          <w:szCs w:val="22"/>
          <w:highlight w:val="none"/>
        </w:rPr>
        <w:t>1.1 谈判小组推荐的成交候选人经采购人确认后在浙江政府采购网上公示，供应商对评标结果如有异议，可在规定时间内以书面形式向采购人进行署名投诉或提出质疑，但需对投诉或质疑内容的真实性承担法律责任。成交公告期限为1个工作日，公示期结束后，采购人将根据谈判小组提交的书面评标报告和评审结果最后确定成交人</w:t>
      </w:r>
      <w:r>
        <w:rPr>
          <w:rFonts w:hint="eastAsia" w:ascii="宋体" w:hAnsi="宋体" w:cs="宋体"/>
          <w:bCs/>
          <w:color w:val="auto"/>
          <w:sz w:val="22"/>
          <w:szCs w:val="22"/>
          <w:highlight w:val="none"/>
        </w:rPr>
        <w:t>。</w:t>
      </w:r>
    </w:p>
    <w:p w14:paraId="56A7BA9F">
      <w:pPr>
        <w:spacing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2. 成交通知书</w:t>
      </w:r>
    </w:p>
    <w:p w14:paraId="294B1F30">
      <w:pPr>
        <w:tabs>
          <w:tab w:val="left" w:pos="540"/>
        </w:tabs>
        <w:spacing w:line="400" w:lineRule="exact"/>
        <w:ind w:firstLine="440" w:firstLineChars="200"/>
        <w:rPr>
          <w:rFonts w:hint="eastAsia" w:ascii="宋体" w:hAnsi="宋体" w:cs="宋体"/>
          <w:color w:val="auto"/>
          <w:sz w:val="22"/>
          <w:szCs w:val="22"/>
          <w:highlight w:val="none"/>
        </w:rPr>
      </w:pPr>
      <w:r>
        <w:rPr>
          <w:rFonts w:hint="eastAsia" w:ascii="宋体" w:hAnsi="宋体" w:cs="宋体"/>
          <w:bCs/>
          <w:color w:val="auto"/>
          <w:sz w:val="22"/>
          <w:szCs w:val="22"/>
          <w:highlight w:val="none"/>
        </w:rPr>
        <w:t xml:space="preserve">2.1 成交人确定后，采购人将向成交人发出成交通知书。 </w:t>
      </w:r>
    </w:p>
    <w:p w14:paraId="656A2693">
      <w:pPr>
        <w:tabs>
          <w:tab w:val="left" w:pos="540"/>
        </w:tabs>
        <w:spacing w:line="40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2.2 成交通知书是合同的一个组成部分,对采购人和成交人均具有同等法律效力。</w:t>
      </w:r>
    </w:p>
    <w:p w14:paraId="72F8C19E">
      <w:pPr>
        <w:spacing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3. 签订合同</w:t>
      </w:r>
    </w:p>
    <w:p w14:paraId="500DDA45">
      <w:pPr>
        <w:spacing w:line="400" w:lineRule="exact"/>
        <w:ind w:left="-27" w:firstLine="440" w:firstLineChars="200"/>
        <w:rPr>
          <w:rFonts w:hint="eastAsia" w:ascii="宋体" w:hAnsi="宋体" w:cs="宋体"/>
          <w:b/>
          <w:color w:val="auto"/>
          <w:spacing w:val="6"/>
          <w:sz w:val="22"/>
          <w:szCs w:val="22"/>
          <w:highlight w:val="none"/>
        </w:rPr>
      </w:pPr>
      <w:r>
        <w:rPr>
          <w:rFonts w:hint="eastAsia" w:ascii="宋体" w:hAnsi="宋体" w:cs="宋体"/>
          <w:color w:val="auto"/>
          <w:sz w:val="22"/>
          <w:szCs w:val="22"/>
          <w:highlight w:val="none"/>
        </w:rPr>
        <w:t>3.1 成交人应按成交通知书规定的时间、地点与采购人签订合同。</w:t>
      </w:r>
    </w:p>
    <w:p w14:paraId="02DA81C4">
      <w:pPr>
        <w:tabs>
          <w:tab w:val="left" w:pos="540"/>
        </w:tabs>
        <w:spacing w:line="400" w:lineRule="exact"/>
        <w:ind w:firstLine="466" w:firstLineChars="200"/>
        <w:rPr>
          <w:rFonts w:hint="eastAsia" w:ascii="宋体" w:hAnsi="宋体" w:cs="宋体"/>
          <w:color w:val="auto"/>
          <w:sz w:val="22"/>
          <w:szCs w:val="22"/>
          <w:highlight w:val="none"/>
        </w:rPr>
      </w:pPr>
      <w:r>
        <w:rPr>
          <w:rFonts w:hint="eastAsia" w:ascii="宋体" w:hAnsi="宋体" w:cs="宋体"/>
          <w:b/>
          <w:color w:val="auto"/>
          <w:spacing w:val="6"/>
          <w:sz w:val="22"/>
          <w:szCs w:val="22"/>
          <w:highlight w:val="none"/>
        </w:rPr>
        <w:t>3.2 在签订合同前，采购人有权在成交总价不变的前提下要求成交人对商务报价中的不平衡报价和缺漏项进行调整，如果成交人无合理理由拒绝调整，其成交资格将被取消，且将导致其它进一步的赔偿和处罚。成交人因不可抗力或自身原因不能履行采购合同的，采购人可以与排位在成交人之后的第一位的成交候选人签订政府采购合同。</w:t>
      </w:r>
    </w:p>
    <w:p w14:paraId="1753AC3F">
      <w:pPr>
        <w:tabs>
          <w:tab w:val="left" w:pos="540"/>
        </w:tabs>
        <w:spacing w:line="40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3.3 采购文件、更正文件（如有）、成交人的单一来源响应文件、评标过程中有关澄清文件及经供应商和评委双方签字的询标纪要和成交通知书均作为合同附件。</w:t>
      </w:r>
    </w:p>
    <w:p w14:paraId="4C29B887">
      <w:pPr>
        <w:tabs>
          <w:tab w:val="left" w:pos="540"/>
        </w:tabs>
        <w:spacing w:line="40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3.4 拒签合同的违约责任</w:t>
      </w:r>
    </w:p>
    <w:p w14:paraId="1285A91B">
      <w:pPr>
        <w:spacing w:line="400" w:lineRule="exact"/>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成交人接到成交通知书后，在规定时间内借故否认已经承诺的条件而拒签合同的，以违约处理。</w:t>
      </w:r>
    </w:p>
    <w:p w14:paraId="7BBB1212">
      <w:pPr>
        <w:tabs>
          <w:tab w:val="left" w:pos="540"/>
        </w:tabs>
        <w:spacing w:line="400" w:lineRule="exact"/>
        <w:ind w:firstLine="440" w:firstLineChars="200"/>
        <w:rPr>
          <w:rFonts w:hint="eastAsia" w:ascii="宋体" w:hAnsi="宋体" w:cs="宋体"/>
          <w:b/>
          <w:color w:val="auto"/>
          <w:sz w:val="22"/>
          <w:szCs w:val="22"/>
          <w:highlight w:val="none"/>
          <w:u w:val="single"/>
        </w:rPr>
      </w:pPr>
      <w:r>
        <w:rPr>
          <w:rFonts w:hint="eastAsia" w:ascii="宋体" w:hAnsi="宋体" w:cs="宋体"/>
          <w:color w:val="auto"/>
          <w:kern w:val="0"/>
          <w:sz w:val="22"/>
          <w:szCs w:val="22"/>
          <w:highlight w:val="none"/>
        </w:rPr>
        <w:t>3.5▲</w:t>
      </w:r>
      <w:r>
        <w:rPr>
          <w:rFonts w:hint="eastAsia" w:ascii="宋体" w:hAnsi="宋体" w:cs="宋体"/>
          <w:b/>
          <w:color w:val="auto"/>
          <w:sz w:val="22"/>
          <w:szCs w:val="22"/>
          <w:highlight w:val="none"/>
          <w:u w:val="single"/>
        </w:rPr>
        <w:t>成交供应商应在合同签订后五个工作日内提交一份合同文本扫描件报采购代理机构备案。</w:t>
      </w:r>
    </w:p>
    <w:p w14:paraId="10C03159">
      <w:pPr>
        <w:numPr>
          <w:ilvl w:val="0"/>
          <w:numId w:val="4"/>
        </w:numPr>
        <w:spacing w:line="400" w:lineRule="exact"/>
        <w:rPr>
          <w:rFonts w:hint="eastAsia" w:ascii="宋体" w:hAnsi="宋体" w:cs="宋体"/>
          <w:color w:val="auto"/>
          <w:spacing w:val="6"/>
          <w:sz w:val="22"/>
          <w:szCs w:val="22"/>
          <w:highlight w:val="none"/>
        </w:rPr>
      </w:pPr>
      <w:r>
        <w:rPr>
          <w:rFonts w:hint="eastAsia" w:ascii="宋体" w:hAnsi="宋体" w:cs="宋体"/>
          <w:bCs/>
          <w:color w:val="auto"/>
          <w:sz w:val="22"/>
          <w:szCs w:val="22"/>
          <w:highlight w:val="none"/>
        </w:rPr>
        <w:t>履约保证金</w:t>
      </w:r>
    </w:p>
    <w:p w14:paraId="6B96642F">
      <w:pPr>
        <w:tabs>
          <w:tab w:val="left" w:pos="540"/>
        </w:tabs>
        <w:spacing w:line="400" w:lineRule="exact"/>
        <w:ind w:firstLine="440" w:firstLineChars="200"/>
        <w:rPr>
          <w:rFonts w:hint="eastAsia" w:ascii="宋体" w:hAnsi="宋体" w:cs="宋体"/>
          <w:color w:val="auto"/>
          <w:spacing w:val="6"/>
          <w:sz w:val="22"/>
          <w:szCs w:val="22"/>
          <w:highlight w:val="none"/>
        </w:rPr>
      </w:pPr>
      <w:r>
        <w:rPr>
          <w:rFonts w:hint="eastAsia" w:ascii="宋体" w:hAnsi="宋体" w:cs="宋体"/>
          <w:color w:val="auto"/>
          <w:sz w:val="22"/>
          <w:szCs w:val="22"/>
          <w:highlight w:val="none"/>
        </w:rPr>
        <w:t>4.1 本项目不要求提供履约保证金。</w:t>
      </w:r>
    </w:p>
    <w:p w14:paraId="67C82620">
      <w:pPr>
        <w:spacing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5. 采购代理服务费</w:t>
      </w:r>
    </w:p>
    <w:p w14:paraId="6C48A18F">
      <w:pPr>
        <w:tabs>
          <w:tab w:val="left" w:pos="540"/>
        </w:tabs>
        <w:spacing w:line="400" w:lineRule="exact"/>
        <w:ind w:firstLine="442" w:firstLineChars="200"/>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5.1 本次采购代理服务费根据《招标代理服务收费管理暂行办法》（计价格[2002]1980号）文件服务类计算，按贰万</w:t>
      </w:r>
      <w:r>
        <w:rPr>
          <w:rFonts w:hint="eastAsia" w:ascii="宋体" w:hAnsi="宋体" w:cs="宋体"/>
          <w:b/>
          <w:color w:val="auto"/>
          <w:kern w:val="0"/>
          <w:sz w:val="22"/>
          <w:szCs w:val="22"/>
          <w:highlight w:val="none"/>
          <w:lang w:eastAsia="zh-CN"/>
        </w:rPr>
        <w:t>肆</w:t>
      </w:r>
      <w:r>
        <w:rPr>
          <w:rFonts w:hint="eastAsia" w:ascii="宋体" w:hAnsi="宋体" w:cs="宋体"/>
          <w:b/>
          <w:color w:val="auto"/>
          <w:kern w:val="0"/>
          <w:sz w:val="22"/>
          <w:szCs w:val="22"/>
          <w:highlight w:val="none"/>
        </w:rPr>
        <w:t>仟元（¥：2</w:t>
      </w:r>
      <w:r>
        <w:rPr>
          <w:rFonts w:hint="eastAsia" w:ascii="宋体" w:hAnsi="宋体" w:cs="宋体"/>
          <w:b/>
          <w:color w:val="auto"/>
          <w:kern w:val="0"/>
          <w:sz w:val="22"/>
          <w:szCs w:val="22"/>
          <w:highlight w:val="none"/>
          <w:lang w:eastAsia="zh-CN"/>
        </w:rPr>
        <w:t>4</w:t>
      </w:r>
      <w:r>
        <w:rPr>
          <w:rFonts w:hint="eastAsia" w:ascii="宋体" w:hAnsi="宋体" w:cs="宋体"/>
          <w:b/>
          <w:color w:val="auto"/>
          <w:kern w:val="0"/>
          <w:sz w:val="22"/>
          <w:szCs w:val="22"/>
          <w:highlight w:val="none"/>
        </w:rPr>
        <w:t>000）固定计取向成交人收取，成交人在领取成交通知书之前支付给采购代理机构。</w:t>
      </w:r>
    </w:p>
    <w:p w14:paraId="21F10011">
      <w:pPr>
        <w:tabs>
          <w:tab w:val="left" w:pos="540"/>
        </w:tabs>
        <w:spacing w:line="400" w:lineRule="exact"/>
        <w:ind w:firstLine="442" w:firstLineChars="200"/>
        <w:rPr>
          <w:rFonts w:hint="eastAsia" w:ascii="宋体" w:hAnsi="宋体" w:cs="宋体"/>
          <w:color w:val="auto"/>
          <w:spacing w:val="6"/>
          <w:sz w:val="22"/>
          <w:szCs w:val="22"/>
          <w:highlight w:val="none"/>
        </w:rPr>
      </w:pPr>
      <w:r>
        <w:rPr>
          <w:rFonts w:hint="eastAsia" w:ascii="宋体" w:hAnsi="宋体" w:cs="宋体"/>
          <w:b/>
          <w:color w:val="auto"/>
          <w:kern w:val="0"/>
          <w:sz w:val="22"/>
          <w:szCs w:val="22"/>
          <w:highlight w:val="none"/>
        </w:rPr>
        <w:t xml:space="preserve">5.2 </w:t>
      </w:r>
      <w:r>
        <w:rPr>
          <w:rFonts w:hint="eastAsia" w:ascii="宋体" w:hAnsi="宋体" w:cs="宋体"/>
          <w:color w:val="auto"/>
          <w:spacing w:val="6"/>
          <w:sz w:val="22"/>
          <w:szCs w:val="22"/>
          <w:highlight w:val="none"/>
        </w:rPr>
        <w:t>采购代理服务费可以是现金、支票或汇票。</w:t>
      </w:r>
    </w:p>
    <w:p w14:paraId="6C820930">
      <w:pPr>
        <w:pStyle w:val="5"/>
        <w:rPr>
          <w:rFonts w:hint="eastAsia" w:ascii="宋体" w:hAnsi="宋体" w:eastAsia="宋体" w:cs="宋体"/>
          <w:color w:val="auto"/>
          <w:sz w:val="36"/>
          <w:szCs w:val="36"/>
          <w:highlight w:val="none"/>
        </w:rPr>
      </w:pPr>
      <w:r>
        <w:rPr>
          <w:rFonts w:hint="eastAsia" w:ascii="宋体" w:hAnsi="宋体" w:eastAsia="宋体" w:cs="宋体"/>
          <w:color w:val="auto"/>
          <w:sz w:val="22"/>
          <w:szCs w:val="22"/>
          <w:highlight w:val="none"/>
        </w:rPr>
        <w:br w:type="page"/>
      </w:r>
      <w:bookmarkStart w:id="142" w:name="_Toc262049421"/>
      <w:bookmarkStart w:id="143" w:name="_Toc262105506"/>
      <w:bookmarkStart w:id="144" w:name="_Toc221356890"/>
      <w:bookmarkStart w:id="145" w:name="_Toc223716001"/>
      <w:bookmarkStart w:id="146" w:name="_Toc241404205"/>
      <w:bookmarkStart w:id="147" w:name="_Toc221356954"/>
      <w:bookmarkStart w:id="148" w:name="_Toc9287"/>
      <w:bookmarkStart w:id="149" w:name="_Toc245722284"/>
      <w:bookmarkStart w:id="150" w:name="_Toc222114882"/>
      <w:bookmarkStart w:id="151" w:name="_Toc246261268"/>
      <w:bookmarkStart w:id="152" w:name="_Toc221374629"/>
      <w:bookmarkStart w:id="153" w:name="_Toc249758715"/>
      <w:bookmarkStart w:id="154" w:name="_Toc249758867"/>
      <w:bookmarkStart w:id="155" w:name="_Toc239145357"/>
      <w:bookmarkStart w:id="156" w:name="_Toc245191317"/>
      <w:bookmarkStart w:id="157" w:name="_Toc221423622"/>
      <w:r>
        <w:rPr>
          <w:rFonts w:hint="eastAsia" w:ascii="宋体" w:hAnsi="宋体" w:eastAsia="宋体" w:cs="宋体"/>
          <w:color w:val="auto"/>
          <w:sz w:val="36"/>
          <w:szCs w:val="36"/>
          <w:highlight w:val="none"/>
        </w:rPr>
        <w:t>第二部分   合同主要条款</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p>
    <w:p w14:paraId="3DF79493">
      <w:pPr>
        <w:rPr>
          <w:rFonts w:hint="eastAsia" w:ascii="宋体" w:hAnsi="宋体" w:cs="宋体"/>
          <w:color w:val="auto"/>
          <w:highlight w:val="none"/>
        </w:rPr>
      </w:pPr>
    </w:p>
    <w:p w14:paraId="44FAF727">
      <w:pPr>
        <w:jc w:val="center"/>
        <w:rPr>
          <w:rFonts w:hint="eastAsia" w:ascii="宋体" w:hAnsi="宋体" w:cs="宋体"/>
          <w:color w:val="auto"/>
          <w:highlight w:val="none"/>
        </w:rPr>
      </w:pPr>
      <w:bookmarkStart w:id="158" w:name="_Toc221423624"/>
      <w:bookmarkStart w:id="159" w:name="_Toc241404207"/>
      <w:bookmarkStart w:id="160" w:name="_Toc222114884"/>
      <w:bookmarkStart w:id="161" w:name="_Toc221356892"/>
      <w:bookmarkStart w:id="162" w:name="_Toc249758718"/>
      <w:bookmarkStart w:id="163" w:name="_Toc262105509"/>
      <w:bookmarkStart w:id="164" w:name="_Toc239145359"/>
      <w:bookmarkStart w:id="165" w:name="_Toc249758719"/>
      <w:bookmarkStart w:id="166" w:name="_Toc249758870"/>
      <w:bookmarkStart w:id="167" w:name="_Toc262049424"/>
      <w:bookmarkStart w:id="168" w:name="_Toc223716003"/>
      <w:bookmarkStart w:id="169" w:name="_Toc245191319"/>
      <w:bookmarkStart w:id="170" w:name="_Toc246261270"/>
      <w:bookmarkStart w:id="171" w:name="_Toc245722286"/>
      <w:bookmarkStart w:id="172" w:name="_Toc221374631"/>
      <w:bookmarkStart w:id="173" w:name="_Toc221356956"/>
      <w:r>
        <w:rPr>
          <w:rFonts w:hint="eastAsia" w:ascii="宋体" w:hAnsi="宋体" w:cs="宋体"/>
          <w:b/>
          <w:color w:val="auto"/>
          <w:sz w:val="30"/>
          <w:highlight w:val="none"/>
        </w:rPr>
        <w:t>（本合同为合同样稿，最终稿由双方协商后确定）</w:t>
      </w:r>
    </w:p>
    <w:p w14:paraId="5BB4FEA0">
      <w:pPr>
        <w:rPr>
          <w:rFonts w:hint="eastAsia" w:ascii="宋体" w:hAnsi="宋体" w:cs="宋体"/>
          <w:color w:val="auto"/>
          <w:highlight w:val="none"/>
        </w:rPr>
      </w:pPr>
    </w:p>
    <w:p w14:paraId="71C98924">
      <w:pPr>
        <w:jc w:val="center"/>
        <w:rPr>
          <w:rFonts w:hint="eastAsia" w:ascii="宋体" w:hAnsi="宋体" w:cs="宋体"/>
          <w:color w:val="auto"/>
          <w:highlight w:val="none"/>
        </w:rPr>
      </w:pPr>
      <w:r>
        <w:rPr>
          <w:rFonts w:hint="eastAsia" w:ascii="宋体" w:hAnsi="宋体" w:cs="宋体"/>
          <w:color w:val="auto"/>
          <w:highlight w:val="none"/>
        </w:rPr>
        <w:t>（具体以实际签订的合同内容为准）</w:t>
      </w:r>
    </w:p>
    <w:p w14:paraId="28649C5E">
      <w:pPr>
        <w:spacing w:line="380" w:lineRule="exact"/>
        <w:ind w:firstLine="211"/>
        <w:rPr>
          <w:rFonts w:ascii="宋体" w:hAnsi="宋体" w:cs="Arial"/>
          <w:color w:val="auto"/>
          <w:szCs w:val="21"/>
          <w:highlight w:val="none"/>
        </w:rPr>
      </w:pPr>
      <w:r>
        <w:rPr>
          <w:rFonts w:hint="eastAsia" w:ascii="宋体" w:hAnsi="宋体"/>
          <w:b/>
          <w:color w:val="auto"/>
          <w:szCs w:val="21"/>
          <w:highlight w:val="none"/>
        </w:rPr>
        <w:t>甲方：</w:t>
      </w:r>
      <w:r>
        <w:rPr>
          <w:rFonts w:ascii="宋体" w:hAnsi="宋体" w:cs="Arial"/>
          <w:color w:val="auto"/>
          <w:szCs w:val="21"/>
          <w:highlight w:val="none"/>
        </w:rPr>
        <w:t xml:space="preserve"> </w:t>
      </w:r>
    </w:p>
    <w:p w14:paraId="737B8C5D">
      <w:pPr>
        <w:spacing w:line="380" w:lineRule="exact"/>
        <w:ind w:firstLine="211"/>
        <w:rPr>
          <w:rFonts w:ascii="宋体" w:hAnsi="宋体" w:cs="Arial"/>
          <w:color w:val="auto"/>
          <w:szCs w:val="21"/>
          <w:highlight w:val="none"/>
        </w:rPr>
      </w:pPr>
      <w:r>
        <w:rPr>
          <w:rFonts w:hint="eastAsia" w:ascii="宋体" w:hAnsi="宋体"/>
          <w:b/>
          <w:color w:val="auto"/>
          <w:szCs w:val="21"/>
          <w:highlight w:val="none"/>
        </w:rPr>
        <w:t>联系地址：</w:t>
      </w:r>
      <w:r>
        <w:rPr>
          <w:rFonts w:ascii="宋体" w:hAnsi="宋体" w:cs="Arial"/>
          <w:color w:val="auto"/>
          <w:szCs w:val="21"/>
          <w:highlight w:val="none"/>
        </w:rPr>
        <w:t xml:space="preserve"> </w:t>
      </w:r>
    </w:p>
    <w:p w14:paraId="1B958E73">
      <w:pPr>
        <w:spacing w:line="380" w:lineRule="exact"/>
        <w:ind w:firstLine="211"/>
        <w:rPr>
          <w:rFonts w:ascii="宋体" w:hAnsi="宋体" w:cs="Arial"/>
          <w:color w:val="auto"/>
          <w:szCs w:val="21"/>
          <w:highlight w:val="none"/>
        </w:rPr>
      </w:pPr>
      <w:r>
        <w:rPr>
          <w:rFonts w:hint="eastAsia" w:ascii="宋体" w:hAnsi="宋体"/>
          <w:b/>
          <w:color w:val="auto"/>
          <w:szCs w:val="21"/>
          <w:highlight w:val="none"/>
        </w:rPr>
        <w:t>联系人：</w:t>
      </w:r>
    </w:p>
    <w:p w14:paraId="5134363F">
      <w:pPr>
        <w:spacing w:line="380" w:lineRule="exact"/>
        <w:ind w:firstLine="211"/>
        <w:rPr>
          <w:rFonts w:ascii="宋体" w:hAnsi="宋体"/>
          <w:b/>
          <w:color w:val="auto"/>
          <w:szCs w:val="21"/>
          <w:highlight w:val="none"/>
        </w:rPr>
      </w:pPr>
      <w:r>
        <w:rPr>
          <w:rFonts w:hint="eastAsia" w:ascii="宋体" w:hAnsi="宋体"/>
          <w:b/>
          <w:color w:val="auto"/>
          <w:szCs w:val="21"/>
          <w:highlight w:val="none"/>
        </w:rPr>
        <w:t>电话：</w:t>
      </w:r>
    </w:p>
    <w:p w14:paraId="557D9792">
      <w:pPr>
        <w:spacing w:line="380" w:lineRule="exact"/>
        <w:ind w:firstLine="211"/>
        <w:rPr>
          <w:rFonts w:ascii="宋体" w:hAnsi="宋体"/>
          <w:b/>
          <w:color w:val="auto"/>
          <w:szCs w:val="21"/>
          <w:highlight w:val="none"/>
        </w:rPr>
      </w:pPr>
      <w:r>
        <w:rPr>
          <w:rFonts w:ascii="宋体" w:hAnsi="宋体"/>
          <w:b/>
          <w:color w:val="auto"/>
          <w:szCs w:val="21"/>
          <w:highlight w:val="none"/>
        </w:rPr>
        <w:t>乙</w:t>
      </w:r>
      <w:r>
        <w:rPr>
          <w:rFonts w:hint="eastAsia" w:ascii="宋体" w:hAnsi="宋体"/>
          <w:b/>
          <w:color w:val="auto"/>
          <w:szCs w:val="21"/>
          <w:highlight w:val="none"/>
        </w:rPr>
        <w:t>方：</w:t>
      </w:r>
      <w:r>
        <w:rPr>
          <w:rFonts w:hint="eastAsia" w:ascii="宋体" w:hAnsi="宋体" w:cs="Arial"/>
          <w:color w:val="auto"/>
          <w:szCs w:val="21"/>
          <w:highlight w:val="none"/>
        </w:rPr>
        <w:t xml:space="preserve"> </w:t>
      </w:r>
    </w:p>
    <w:p w14:paraId="3A9273A3">
      <w:pPr>
        <w:spacing w:line="380" w:lineRule="exact"/>
        <w:ind w:firstLine="211"/>
        <w:rPr>
          <w:rFonts w:ascii="宋体" w:hAnsi="宋体" w:cs="Arial"/>
          <w:color w:val="auto"/>
          <w:szCs w:val="21"/>
          <w:highlight w:val="none"/>
        </w:rPr>
      </w:pPr>
      <w:r>
        <w:rPr>
          <w:rFonts w:hint="eastAsia" w:ascii="宋体" w:hAnsi="宋体"/>
          <w:b/>
          <w:color w:val="auto"/>
          <w:szCs w:val="21"/>
          <w:highlight w:val="none"/>
        </w:rPr>
        <w:t>联系地址：</w:t>
      </w:r>
      <w:r>
        <w:rPr>
          <w:rFonts w:hint="eastAsia" w:ascii="宋体" w:hAnsi="宋体" w:cs="Arial"/>
          <w:color w:val="auto"/>
          <w:szCs w:val="21"/>
          <w:highlight w:val="none"/>
        </w:rPr>
        <w:t xml:space="preserve"> </w:t>
      </w:r>
    </w:p>
    <w:p w14:paraId="2110F4EE">
      <w:pPr>
        <w:spacing w:line="380" w:lineRule="exact"/>
        <w:ind w:firstLine="211"/>
        <w:rPr>
          <w:rFonts w:ascii="宋体" w:hAnsi="宋体"/>
          <w:b/>
          <w:color w:val="auto"/>
          <w:szCs w:val="21"/>
          <w:highlight w:val="none"/>
        </w:rPr>
      </w:pPr>
      <w:r>
        <w:rPr>
          <w:rFonts w:hint="eastAsia" w:ascii="宋体" w:hAnsi="宋体"/>
          <w:b/>
          <w:color w:val="auto"/>
          <w:szCs w:val="21"/>
          <w:highlight w:val="none"/>
        </w:rPr>
        <w:t>联系人：</w:t>
      </w:r>
      <w:r>
        <w:rPr>
          <w:rFonts w:hint="eastAsia" w:ascii="宋体" w:hAnsi="宋体" w:cs="Arial"/>
          <w:color w:val="auto"/>
          <w:szCs w:val="21"/>
          <w:highlight w:val="none"/>
        </w:rPr>
        <w:t xml:space="preserve"> </w:t>
      </w:r>
    </w:p>
    <w:p w14:paraId="599A9EF2">
      <w:pPr>
        <w:spacing w:line="380" w:lineRule="exact"/>
        <w:ind w:firstLine="211"/>
        <w:rPr>
          <w:rFonts w:ascii="宋体" w:hAnsi="宋体" w:cs="Arial"/>
          <w:color w:val="auto"/>
          <w:szCs w:val="21"/>
          <w:highlight w:val="none"/>
        </w:rPr>
      </w:pPr>
      <w:r>
        <w:rPr>
          <w:rFonts w:hint="eastAsia" w:ascii="宋体" w:hAnsi="宋体"/>
          <w:b/>
          <w:color w:val="auto"/>
          <w:szCs w:val="21"/>
          <w:highlight w:val="none"/>
        </w:rPr>
        <w:t>电话：</w:t>
      </w:r>
    </w:p>
    <w:p w14:paraId="6DC978B8">
      <w:pPr>
        <w:spacing w:line="276" w:lineRule="auto"/>
        <w:rPr>
          <w:rFonts w:ascii="宋体" w:hAnsi="宋体" w:cs="仿宋"/>
          <w:b/>
          <w:color w:val="auto"/>
          <w:kern w:val="0"/>
          <w:sz w:val="22"/>
          <w:szCs w:val="22"/>
          <w:highlight w:val="none"/>
        </w:rPr>
      </w:pPr>
    </w:p>
    <w:p w14:paraId="586C760B">
      <w:pPr>
        <w:spacing w:line="276" w:lineRule="auto"/>
        <w:ind w:firstLine="440" w:firstLineChars="200"/>
        <w:rPr>
          <w:rFonts w:ascii="宋体" w:hAnsi="宋体" w:cs="仿宋"/>
          <w:color w:val="auto"/>
          <w:kern w:val="0"/>
          <w:sz w:val="22"/>
          <w:szCs w:val="22"/>
          <w:highlight w:val="none"/>
        </w:rPr>
      </w:pPr>
      <w:r>
        <w:rPr>
          <w:rFonts w:hint="eastAsia" w:ascii="宋体" w:hAnsi="宋体" w:cs="仿宋"/>
          <w:color w:val="auto"/>
          <w:kern w:val="0"/>
          <w:sz w:val="22"/>
          <w:szCs w:val="22"/>
          <w:highlight w:val="none"/>
        </w:rPr>
        <w:t>甲、乙双方根据《中华人民共和国民法典》及相关法律规定，经友好协商，就</w:t>
      </w:r>
      <w:r>
        <w:rPr>
          <w:rFonts w:hint="eastAsia" w:ascii="宋体" w:hAnsi="宋体" w:cs="仿宋"/>
          <w:color w:val="auto"/>
          <w:kern w:val="0"/>
          <w:sz w:val="22"/>
          <w:szCs w:val="22"/>
          <w:highlight w:val="none"/>
          <w:u w:val="single"/>
          <w:lang w:eastAsia="zh-CN"/>
        </w:rPr>
        <w:t>2025年-2026年鹿城区藤桥镇山区农村饮用水县级统管项目</w:t>
      </w:r>
      <w:r>
        <w:rPr>
          <w:rFonts w:hint="eastAsia" w:ascii="宋体" w:hAnsi="宋体" w:cs="仿宋"/>
          <w:color w:val="auto"/>
          <w:kern w:val="0"/>
          <w:sz w:val="22"/>
          <w:szCs w:val="22"/>
          <w:highlight w:val="none"/>
        </w:rPr>
        <w:t>达成共识，自愿签订本合同并信守下列条款，以便共同严格履行。</w:t>
      </w:r>
    </w:p>
    <w:p w14:paraId="0D0AEA63">
      <w:pPr>
        <w:spacing w:line="276" w:lineRule="auto"/>
        <w:outlineLvl w:val="0"/>
        <w:rPr>
          <w:rFonts w:hint="eastAsia" w:ascii="宋体" w:hAnsi="宋体" w:eastAsia="宋体" w:cs="仿宋"/>
          <w:color w:val="auto"/>
          <w:kern w:val="0"/>
          <w:sz w:val="22"/>
          <w:szCs w:val="22"/>
          <w:highlight w:val="none"/>
          <w:lang w:eastAsia="zh-CN"/>
        </w:rPr>
      </w:pPr>
      <w:r>
        <w:rPr>
          <w:rFonts w:hint="eastAsia" w:ascii="宋体" w:hAnsi="宋体" w:cs="仿宋"/>
          <w:b/>
          <w:color w:val="auto"/>
          <w:kern w:val="0"/>
          <w:sz w:val="22"/>
          <w:szCs w:val="22"/>
          <w:highlight w:val="none"/>
        </w:rPr>
        <w:t>一、项目名称：</w:t>
      </w:r>
      <w:r>
        <w:rPr>
          <w:rFonts w:hint="eastAsia" w:ascii="宋体" w:hAnsi="宋体" w:cs="仿宋"/>
          <w:color w:val="auto"/>
          <w:kern w:val="0"/>
          <w:sz w:val="22"/>
          <w:szCs w:val="22"/>
          <w:highlight w:val="none"/>
          <w:lang w:eastAsia="zh-CN"/>
        </w:rPr>
        <w:t>2025年-2026年鹿城区藤桥镇山区农村饮用水县级统管项目</w:t>
      </w:r>
    </w:p>
    <w:p w14:paraId="62CACB97">
      <w:pPr>
        <w:spacing w:line="276" w:lineRule="auto"/>
        <w:outlineLvl w:val="0"/>
        <w:rPr>
          <w:rFonts w:ascii="宋体" w:hAnsi="宋体" w:cs="仿宋"/>
          <w:color w:val="auto"/>
          <w:kern w:val="0"/>
          <w:sz w:val="22"/>
          <w:szCs w:val="22"/>
          <w:highlight w:val="none"/>
        </w:rPr>
      </w:pPr>
      <w:r>
        <w:rPr>
          <w:rFonts w:hint="eastAsia" w:ascii="宋体" w:hAnsi="宋体" w:cs="仿宋"/>
          <w:b/>
          <w:color w:val="auto"/>
          <w:kern w:val="0"/>
          <w:sz w:val="22"/>
          <w:szCs w:val="22"/>
          <w:highlight w:val="none"/>
        </w:rPr>
        <w:t>二、项目建设内容：</w:t>
      </w:r>
      <w:r>
        <w:rPr>
          <w:rFonts w:ascii="宋体" w:hAnsi="宋体" w:cs="仿宋"/>
          <w:color w:val="auto"/>
          <w:kern w:val="0"/>
          <w:sz w:val="22"/>
          <w:szCs w:val="22"/>
          <w:highlight w:val="none"/>
        </w:rPr>
        <w:t>本项目</w:t>
      </w:r>
      <w:r>
        <w:rPr>
          <w:rFonts w:hint="eastAsia" w:ascii="宋体" w:hAnsi="宋体" w:cs="仿宋"/>
          <w:color w:val="auto"/>
          <w:kern w:val="0"/>
          <w:sz w:val="22"/>
          <w:szCs w:val="22"/>
          <w:highlight w:val="none"/>
        </w:rPr>
        <w:t>总体负责藤桥镇农村饮用水运营维护项目</w:t>
      </w:r>
      <w:r>
        <w:rPr>
          <w:rFonts w:ascii="宋体" w:hAnsi="宋体" w:cs="仿宋"/>
          <w:color w:val="auto"/>
          <w:kern w:val="0"/>
          <w:sz w:val="22"/>
          <w:szCs w:val="22"/>
          <w:highlight w:val="none"/>
        </w:rPr>
        <w:t>，主要包括：</w:t>
      </w:r>
      <w:r>
        <w:rPr>
          <w:rFonts w:hint="eastAsia" w:ascii="宋体" w:hAnsi="宋体" w:cs="仿宋"/>
          <w:color w:val="auto"/>
          <w:kern w:val="0"/>
          <w:sz w:val="22"/>
          <w:szCs w:val="22"/>
          <w:highlight w:val="none"/>
        </w:rPr>
        <w:t>藤桥镇12个自然村17个供水站点，包括供水站点的膜处理工艺设备、在线水质监测设备、运行调度、水质检测、水源地设施、原水管道、村级管网维护等</w:t>
      </w:r>
      <w:r>
        <w:rPr>
          <w:rFonts w:ascii="宋体" w:hAnsi="宋体" w:cs="仿宋"/>
          <w:color w:val="auto"/>
          <w:kern w:val="0"/>
          <w:sz w:val="22"/>
          <w:szCs w:val="22"/>
          <w:highlight w:val="none"/>
        </w:rPr>
        <w:t>。</w:t>
      </w:r>
    </w:p>
    <w:p w14:paraId="58ADD60F">
      <w:pPr>
        <w:spacing w:line="276" w:lineRule="auto"/>
        <w:jc w:val="left"/>
        <w:outlineLvl w:val="0"/>
        <w:rPr>
          <w:rFonts w:ascii="宋体" w:hAnsi="宋体" w:cs="仿宋"/>
          <w:color w:val="auto"/>
          <w:kern w:val="0"/>
          <w:sz w:val="22"/>
          <w:szCs w:val="22"/>
          <w:highlight w:val="none"/>
        </w:rPr>
      </w:pPr>
      <w:r>
        <w:rPr>
          <w:rFonts w:ascii="宋体" w:hAnsi="宋体" w:cs="仿宋"/>
          <w:b/>
          <w:color w:val="auto"/>
          <w:kern w:val="0"/>
          <w:sz w:val="22"/>
          <w:szCs w:val="22"/>
          <w:highlight w:val="none"/>
        </w:rPr>
        <w:t>三、</w:t>
      </w:r>
      <w:r>
        <w:rPr>
          <w:rFonts w:hint="eastAsia" w:ascii="宋体" w:hAnsi="宋体" w:cs="仿宋"/>
          <w:b/>
          <w:color w:val="auto"/>
          <w:kern w:val="0"/>
          <w:sz w:val="22"/>
          <w:szCs w:val="22"/>
          <w:highlight w:val="none"/>
        </w:rPr>
        <w:t>项目建设周期：</w:t>
      </w:r>
      <w:r>
        <w:rPr>
          <w:rFonts w:hint="eastAsia" w:ascii="宋体" w:hAnsi="宋体" w:cs="仿宋"/>
          <w:color w:val="auto"/>
          <w:kern w:val="0"/>
          <w:sz w:val="22"/>
          <w:szCs w:val="22"/>
          <w:highlight w:val="none"/>
        </w:rPr>
        <w:t>乙方运营管理期限暂定自合同签订之日起2年，合同采用1年1签。即在合同期满后如中标人达到招标人各项考核目标（每季度考核结果为80分（含）以上），签订下一年合同。</w:t>
      </w:r>
    </w:p>
    <w:p w14:paraId="21F3292A">
      <w:pPr>
        <w:spacing w:line="276" w:lineRule="auto"/>
        <w:outlineLvl w:val="0"/>
        <w:rPr>
          <w:rFonts w:ascii="宋体" w:hAnsi="宋体" w:cs="仿宋"/>
          <w:b/>
          <w:color w:val="auto"/>
          <w:kern w:val="0"/>
          <w:sz w:val="22"/>
          <w:szCs w:val="22"/>
          <w:highlight w:val="none"/>
        </w:rPr>
      </w:pPr>
      <w:r>
        <w:rPr>
          <w:rFonts w:hint="eastAsia" w:ascii="宋体" w:hAnsi="宋体" w:cs="仿宋"/>
          <w:b/>
          <w:color w:val="auto"/>
          <w:kern w:val="0"/>
          <w:sz w:val="22"/>
          <w:szCs w:val="22"/>
          <w:highlight w:val="none"/>
        </w:rPr>
        <w:t>四、运维管理工作要求：</w:t>
      </w:r>
    </w:p>
    <w:p w14:paraId="1FF8CC53">
      <w:pPr>
        <w:adjustRightInd w:val="0"/>
        <w:snapToGrid w:val="0"/>
        <w:spacing w:line="288"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1、甲方按合同约定对项目管理工作质量进行检查和考核，主要是查阅组织管理、安全运行管理、工程面貌等各类资料和查看工程状况。</w:t>
      </w:r>
    </w:p>
    <w:p w14:paraId="3892D082">
      <w:pPr>
        <w:adjustRightInd w:val="0"/>
        <w:snapToGrid w:val="0"/>
        <w:spacing w:line="288"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2、饮用水设备做到正常运行和维护保养，满足使用要求。</w:t>
      </w:r>
    </w:p>
    <w:p w14:paraId="105035FF">
      <w:pPr>
        <w:adjustRightInd w:val="0"/>
        <w:snapToGrid w:val="0"/>
        <w:spacing w:line="288"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3、供水站管护运行工作实施不定期抽查和考核相结合的检查制度。不定期抽查以及省、市有关检查和暗访发现的问题，作为考核该项目赋分的重要依据；考核由甲方随机确定，每 3个月考核一次，半年度考核总分取每季度考核平均分为考核总分。</w:t>
      </w:r>
      <w:r>
        <w:rPr>
          <w:rFonts w:hint="eastAsia" w:ascii="宋体" w:hAnsi="宋体" w:cs="宋体"/>
          <w:color w:val="auto"/>
          <w:sz w:val="22"/>
          <w:szCs w:val="22"/>
          <w:highlight w:val="none"/>
          <w:lang w:eastAsia="zh-CN"/>
        </w:rPr>
        <w:t>半年考核分在90分（含）以上，全额委托管理费用进度款。90分以下进度款=全额委托管理费用进度款-（90%-考核得分率）*100*0.5(总进度款不得大于合同总金额,单位：万元)。</w:t>
      </w:r>
      <w:r>
        <w:rPr>
          <w:rFonts w:hint="eastAsia" w:ascii="宋体" w:hAnsi="宋体" w:cs="宋体"/>
          <w:color w:val="auto"/>
          <w:sz w:val="22"/>
          <w:szCs w:val="22"/>
          <w:highlight w:val="none"/>
        </w:rPr>
        <w:t>考核细则详见项目管理考核细则（采购文件第四部分第六项）附件1。</w:t>
      </w:r>
    </w:p>
    <w:p w14:paraId="2DF10599">
      <w:pPr>
        <w:adjustRightInd w:val="0"/>
        <w:snapToGrid w:val="0"/>
        <w:spacing w:line="288" w:lineRule="auto"/>
        <w:ind w:firstLine="440" w:firstLineChars="200"/>
        <w:rPr>
          <w:rFonts w:ascii="仿宋_GB2312" w:eastAsia="仿宋_GB2312"/>
          <w:color w:val="auto"/>
          <w:sz w:val="22"/>
          <w:szCs w:val="22"/>
          <w:highlight w:val="none"/>
        </w:rPr>
      </w:pPr>
      <w:r>
        <w:rPr>
          <w:rFonts w:hint="eastAsia" w:ascii="宋体" w:hAnsi="宋体" w:cs="宋体"/>
          <w:color w:val="auto"/>
          <w:sz w:val="22"/>
          <w:szCs w:val="22"/>
          <w:highlight w:val="none"/>
        </w:rPr>
        <w:t>4、日常抽查或考核时发现乙方的运管工作质量不合格的，甲方应发出整改通知，针对问题及时跟踪，监督整改落实，乙方按要求立即采取整改措施，直至达到合同要求。</w:t>
      </w:r>
    </w:p>
    <w:p w14:paraId="75D693BE">
      <w:pPr>
        <w:spacing w:line="276" w:lineRule="auto"/>
        <w:outlineLvl w:val="0"/>
        <w:rPr>
          <w:rFonts w:ascii="宋体" w:hAnsi="宋体" w:cs="仿宋"/>
          <w:b/>
          <w:color w:val="auto"/>
          <w:kern w:val="0"/>
          <w:sz w:val="22"/>
          <w:szCs w:val="22"/>
          <w:highlight w:val="none"/>
        </w:rPr>
      </w:pPr>
      <w:r>
        <w:rPr>
          <w:rFonts w:hint="eastAsia" w:ascii="宋体" w:hAnsi="宋体" w:cs="仿宋"/>
          <w:b/>
          <w:color w:val="auto"/>
          <w:kern w:val="0"/>
          <w:sz w:val="22"/>
          <w:szCs w:val="22"/>
          <w:highlight w:val="none"/>
        </w:rPr>
        <w:t>五、运维服务主要职责要求：</w:t>
      </w:r>
    </w:p>
    <w:p w14:paraId="49917BCA">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1、乙方主要工作职责包含以下内容：</w:t>
      </w:r>
    </w:p>
    <w:p w14:paraId="29FC5858">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（1）人员配备。</w:t>
      </w:r>
      <w:r>
        <w:rPr>
          <w:rFonts w:hint="eastAsia" w:ascii="宋体" w:hAnsi="宋体" w:cs="宋体"/>
          <w:color w:val="auto"/>
          <w:sz w:val="22"/>
          <w:szCs w:val="22"/>
          <w:highlight w:val="none"/>
        </w:rPr>
        <w:t>根据</w:t>
      </w:r>
      <w:r>
        <w:rPr>
          <w:rFonts w:hint="eastAsia" w:ascii="宋体" w:hAnsi="宋体" w:cs="仿宋"/>
          <w:color w:val="auto"/>
          <w:kern w:val="0"/>
          <w:sz w:val="22"/>
          <w:szCs w:val="22"/>
          <w:highlight w:val="none"/>
        </w:rPr>
        <w:t>《生活饮用水卫生标准》(GB 5749-2022)、《浙江省农村供水保障办法》（政府令第400号)</w:t>
      </w:r>
      <w:r>
        <w:rPr>
          <w:rFonts w:hint="eastAsia" w:ascii="宋体" w:hAnsi="宋体" w:cs="仿宋"/>
          <w:color w:val="auto"/>
          <w:kern w:val="0"/>
          <w:sz w:val="22"/>
          <w:szCs w:val="22"/>
          <w:highlight w:val="none"/>
          <w:lang w:val="en-US" w:eastAsia="zh-CN"/>
        </w:rPr>
        <w:t>等相关文件</w:t>
      </w:r>
      <w:r>
        <w:rPr>
          <w:rFonts w:hint="eastAsia" w:ascii="宋体" w:hAnsi="宋体" w:cs="仿宋"/>
          <w:color w:val="auto"/>
          <w:kern w:val="0"/>
          <w:sz w:val="22"/>
          <w:szCs w:val="22"/>
          <w:highlight w:val="none"/>
        </w:rPr>
        <w:t>，结合各农村饮用水工程实际，实行逐级统管机制，中标单位需配备总统管负责人1人、设备维护人员2人、水质采样及检测人员1人，台账管理人员1人，调度监控平台24小时值守人员4人；组建原水、清水管网维护队伍，配备管网维护人员4人，属地村居管护人员17人，人员配备可根据实际情况适时调整。确定上述人员后，需于每个农村饮用水工程点进行公示，受社会监督，便于饮水问题反馈。</w:t>
      </w:r>
    </w:p>
    <w:p w14:paraId="2865098F">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（2）安全文明生产。负责运维项目员工的上岗培训和安全生产培训，保证安全生产、文明生产。</w:t>
      </w:r>
    </w:p>
    <w:p w14:paraId="241D3DC2">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（3）供水站点运行。负责供水站点膜处理工艺设备、在线水质监测仪表的日常维护保养，确保设备正常运行；出厂水水质符合国家饮用水标准；</w:t>
      </w:r>
    </w:p>
    <w:p w14:paraId="3221D773">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出厂水、管网水水质标准</w:t>
      </w:r>
    </w:p>
    <w:p w14:paraId="2F2DD7A3">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水质指标</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出厂水</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管网水</w:t>
      </w:r>
    </w:p>
    <w:p w14:paraId="508CBA3D">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浊度</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≤1.0ntu</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≤1.0ntu</w:t>
      </w:r>
    </w:p>
    <w:p w14:paraId="3DB41D4B">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余氯</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0.3-2.0mg/l</w:t>
      </w:r>
      <w:r>
        <w:rPr>
          <w:rFonts w:hint="eastAsia" w:ascii="宋体" w:hAnsi="宋体" w:cs="仿宋"/>
          <w:color w:val="auto"/>
          <w:kern w:val="0"/>
          <w:sz w:val="22"/>
          <w:szCs w:val="22"/>
          <w:highlight w:val="none"/>
        </w:rPr>
        <w:tab/>
      </w:r>
      <w:r>
        <w:rPr>
          <w:rFonts w:hint="eastAsia" w:ascii="宋体" w:hAnsi="宋体" w:cs="仿宋"/>
          <w:color w:val="auto"/>
          <w:kern w:val="0"/>
          <w:sz w:val="22"/>
          <w:szCs w:val="22"/>
          <w:highlight w:val="none"/>
        </w:rPr>
        <w:t>≥</w:t>
      </w:r>
      <w:r>
        <w:rPr>
          <w:rFonts w:hint="eastAsia" w:ascii="宋体" w:hAnsi="宋体" w:cs="仿宋"/>
          <w:color w:val="auto"/>
          <w:kern w:val="0"/>
          <w:sz w:val="22"/>
          <w:szCs w:val="22"/>
          <w:highlight w:val="none"/>
          <w:lang w:val="en-US" w:eastAsia="zh-CN"/>
        </w:rPr>
        <w:t>0.0</w:t>
      </w:r>
      <w:r>
        <w:rPr>
          <w:rFonts w:hint="eastAsia" w:ascii="宋体" w:hAnsi="宋体" w:cs="仿宋"/>
          <w:color w:val="auto"/>
          <w:kern w:val="0"/>
          <w:sz w:val="22"/>
          <w:szCs w:val="22"/>
          <w:highlight w:val="none"/>
        </w:rPr>
        <w:t>5mg/l</w:t>
      </w:r>
    </w:p>
    <w:p w14:paraId="7FC9C74C">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PH</w:t>
      </w:r>
      <w:r>
        <w:rPr>
          <w:rFonts w:ascii="宋体" w:hAnsi="宋体" w:cs="仿宋"/>
          <w:color w:val="auto"/>
          <w:kern w:val="0"/>
          <w:sz w:val="22"/>
          <w:szCs w:val="22"/>
          <w:highlight w:val="none"/>
        </w:rPr>
        <w:tab/>
      </w:r>
      <w:r>
        <w:rPr>
          <w:rFonts w:ascii="宋体" w:hAnsi="宋体" w:cs="仿宋"/>
          <w:color w:val="auto"/>
          <w:kern w:val="0"/>
          <w:sz w:val="22"/>
          <w:szCs w:val="22"/>
          <w:highlight w:val="none"/>
        </w:rPr>
        <w:t>6.5-8.5</w:t>
      </w:r>
      <w:r>
        <w:rPr>
          <w:rFonts w:ascii="宋体" w:hAnsi="宋体" w:cs="仿宋"/>
          <w:color w:val="auto"/>
          <w:kern w:val="0"/>
          <w:sz w:val="22"/>
          <w:szCs w:val="22"/>
          <w:highlight w:val="none"/>
        </w:rPr>
        <w:tab/>
      </w:r>
      <w:r>
        <w:rPr>
          <w:rFonts w:ascii="宋体" w:hAnsi="宋体" w:cs="仿宋"/>
          <w:color w:val="auto"/>
          <w:kern w:val="0"/>
          <w:sz w:val="22"/>
          <w:szCs w:val="22"/>
          <w:highlight w:val="none"/>
        </w:rPr>
        <w:t>6.5-8.5</w:t>
      </w:r>
    </w:p>
    <w:p w14:paraId="31BC61CC">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（4）水质检测。定期做好原水、出厂水、管网水的水质检测工作。本工程总共17个供水站点，按供水规模划分为IV型、V型供水站。</w:t>
      </w:r>
      <w:r>
        <w:rPr>
          <w:rFonts w:hint="eastAsia" w:ascii="宋体" w:hAnsi="宋体" w:cs="宋体"/>
          <w:color w:val="auto"/>
          <w:sz w:val="22"/>
          <w:szCs w:val="22"/>
          <w:highlight w:val="none"/>
        </w:rPr>
        <w:t>项目</w:t>
      </w:r>
      <w:r>
        <w:rPr>
          <w:rFonts w:hint="eastAsia" w:ascii="宋体" w:hAnsi="宋体" w:cs="宋体"/>
          <w:color w:val="auto"/>
          <w:sz w:val="22"/>
          <w:szCs w:val="22"/>
          <w:highlight w:val="none"/>
          <w:lang w:val="en-US" w:eastAsia="zh-CN"/>
        </w:rPr>
        <w:t>要求</w:t>
      </w:r>
      <w:r>
        <w:rPr>
          <w:rFonts w:hint="eastAsia" w:ascii="宋体" w:hAnsi="宋体" w:cs="宋体"/>
          <w:color w:val="auto"/>
          <w:sz w:val="22"/>
          <w:szCs w:val="22"/>
          <w:highlight w:val="none"/>
        </w:rPr>
        <w:t>按照</w:t>
      </w:r>
      <w:r>
        <w:rPr>
          <w:rFonts w:hint="eastAsia" w:ascii="宋体" w:hAnsi="宋体" w:cs="仿宋"/>
          <w:color w:val="auto"/>
          <w:kern w:val="0"/>
          <w:sz w:val="22"/>
          <w:szCs w:val="22"/>
          <w:highlight w:val="none"/>
        </w:rPr>
        <w:t>《生活饮用水卫生标准》(GB 5749-2022)、《浙江省农村供水保障办法》（政府令第400号)等文件</w:t>
      </w:r>
      <w:r>
        <w:rPr>
          <w:rFonts w:hint="eastAsia" w:ascii="宋体" w:hAnsi="宋体" w:cs="宋体"/>
          <w:color w:val="auto"/>
          <w:sz w:val="22"/>
          <w:szCs w:val="22"/>
          <w:highlight w:val="none"/>
        </w:rPr>
        <w:t>要求。</w:t>
      </w:r>
      <w:r>
        <w:rPr>
          <w:rFonts w:hint="eastAsia" w:ascii="宋体" w:hAnsi="宋体" w:cs="仿宋"/>
          <w:color w:val="auto"/>
          <w:kern w:val="0"/>
          <w:sz w:val="22"/>
          <w:szCs w:val="22"/>
          <w:highlight w:val="none"/>
        </w:rPr>
        <w:t>相应检测项目委托单位必须具备国家水质监测实验室资质，出具报告并加盖公章；</w:t>
      </w:r>
    </w:p>
    <w:p w14:paraId="44D019D6">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（5）数字化建设。负责调度中心的设备、监控软件的维护，安排人员实行24小时值守，保证调度、监控平台正常运行。</w:t>
      </w:r>
    </w:p>
    <w:p w14:paraId="7CD3E197">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浊度、余氯、PH值、流量数据准确传送至省九龙治水平台和鹿城区水利全域数字化管护平台。</w:t>
      </w:r>
    </w:p>
    <w:p w14:paraId="3E83BAC4">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（6）药剂采购和储存。负责采购、存储符合国家卫生标准，保证供水站点日常运行所需消毒药剂和在线水质监测仪表试剂等；</w:t>
      </w:r>
    </w:p>
    <w:p w14:paraId="4CA750C7">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（7）水源地设施及清水池维护。每年定期负责组织人员对水源地及清水池进行清理</w:t>
      </w:r>
      <w:r>
        <w:rPr>
          <w:rFonts w:hint="eastAsia" w:ascii="宋体" w:hAnsi="宋体" w:cs="仿宋"/>
          <w:color w:val="auto"/>
          <w:kern w:val="0"/>
          <w:sz w:val="22"/>
          <w:szCs w:val="22"/>
          <w:highlight w:val="none"/>
          <w:lang w:val="en-US" w:eastAsia="zh-CN"/>
        </w:rPr>
        <w:t>合计不少于4次</w:t>
      </w:r>
      <w:r>
        <w:rPr>
          <w:rFonts w:hint="eastAsia" w:ascii="宋体" w:hAnsi="宋体" w:cs="仿宋"/>
          <w:color w:val="auto"/>
          <w:kern w:val="0"/>
          <w:sz w:val="22"/>
          <w:szCs w:val="22"/>
          <w:highlight w:val="none"/>
        </w:rPr>
        <w:t>；</w:t>
      </w:r>
    </w:p>
    <w:p w14:paraId="2E5D99A4">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（8）原水、村级供水管网日常维护及巡查。组建原水及清水管网维护队伍及时对管道进行维护，保证村民正常用水；</w:t>
      </w:r>
    </w:p>
    <w:p w14:paraId="3B89C2A9">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定期对管网进行巡查，中标人在巡查中发现村民私接原水、清水管及破坏用水设施，影响供水安全的行为应及时予以制止并向招标方报告；</w:t>
      </w:r>
    </w:p>
    <w:p w14:paraId="2998FC22">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为保障设备设施正常，安全运行，中标方根据运行情况和巡查结果及时向甲方提出管网更新、安全投入建议；</w:t>
      </w:r>
    </w:p>
    <w:p w14:paraId="52B04E65">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（9）台账管理。做好生产运行台账管理，包括各项操作规程和管理制度、工程巡查和维修养护记录、水质检测报告、生产运行报表、财务资料、人员管理、突发事件及投诉处理等运行管理资料；</w:t>
      </w:r>
    </w:p>
    <w:p w14:paraId="32C36581">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（10）配合执行和落实上级部门下达的规范化水厂、美丽水厂、标准化水厂的创建及各项检查等任务。</w:t>
      </w:r>
    </w:p>
    <w:p w14:paraId="45FFFFC3">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2、其他</w:t>
      </w:r>
    </w:p>
    <w:p w14:paraId="34289B50">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（1）自签订合同之日起30日内实现所有设备设施全面正常运行、出水达标；</w:t>
      </w:r>
    </w:p>
    <w:p w14:paraId="61C2CF06">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（2）中标方需保证供水站点正常运行，因水源枯竭、旱情、台风暴雨等不可抗力等因素造成供水站点超滤膜处理设备无法正常运行，出厂水、管网水浊度、余氯、PH值无法达标，不纳入考核；</w:t>
      </w:r>
    </w:p>
    <w:p w14:paraId="234DCEAA">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（3）供水压力需满足现有村民日常生活需要，因枯水期、旱情、村级管网漏耗严重、村民私接用水造成的供水压力不足，不纳入考核；</w:t>
      </w:r>
    </w:p>
    <w:p w14:paraId="556D6E0D">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4）调度管理需满足省数字化建设要求，省九龙治水平台数据及时更新录入和维护。网络故障造成数据上传不及时、数据丢失、监控故障等，中标方应立即查明原因，及时向网络运营商报修。在因网络运营商原因无法满足数字化要求，不纳入考核；</w:t>
      </w:r>
    </w:p>
    <w:p w14:paraId="5782DCE4">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（5）因不可抗力造成的水源地、供水站、清水池、管网等设备设施损坏，无法满足供水要求，由中标方提出申请，经招标方同意后恢复，此项费用不在本次采购范围之内，另行申请结算；</w:t>
      </w:r>
    </w:p>
    <w:p w14:paraId="62E4D0C0">
      <w:pPr>
        <w:spacing w:line="276" w:lineRule="auto"/>
        <w:ind w:firstLine="440" w:firstLineChars="200"/>
        <w:rPr>
          <w:rFonts w:ascii="宋体" w:hAnsi="宋体" w:cs="仿宋"/>
          <w:color w:val="auto"/>
          <w:kern w:val="0"/>
          <w:sz w:val="22"/>
          <w:szCs w:val="22"/>
          <w:highlight w:val="none"/>
        </w:rPr>
      </w:pPr>
      <w:r>
        <w:rPr>
          <w:rFonts w:hint="eastAsia" w:ascii="宋体" w:hAnsi="宋体" w:cs="仿宋"/>
          <w:color w:val="auto"/>
          <w:kern w:val="0"/>
          <w:sz w:val="22"/>
          <w:szCs w:val="22"/>
          <w:highlight w:val="none"/>
        </w:rPr>
        <w:t>（6）村级供水管网、水表等设备设施由于建设年限长、材质老化，造成漏损严重无法满足供水要求，此项更新费用不在本次采购范围之内，另行申请结算；</w:t>
      </w:r>
    </w:p>
    <w:p w14:paraId="3287C0F7">
      <w:pPr>
        <w:spacing w:line="276" w:lineRule="auto"/>
        <w:outlineLvl w:val="0"/>
        <w:rPr>
          <w:rFonts w:ascii="宋体" w:hAnsi="宋体" w:cs="仿宋"/>
          <w:b/>
          <w:color w:val="auto"/>
          <w:kern w:val="0"/>
          <w:sz w:val="22"/>
          <w:szCs w:val="22"/>
          <w:highlight w:val="none"/>
        </w:rPr>
      </w:pPr>
      <w:r>
        <w:rPr>
          <w:rFonts w:hint="eastAsia" w:ascii="宋体" w:hAnsi="宋体" w:cs="仿宋"/>
          <w:b/>
          <w:color w:val="auto"/>
          <w:kern w:val="0"/>
          <w:sz w:val="22"/>
          <w:szCs w:val="22"/>
          <w:highlight w:val="none"/>
        </w:rPr>
        <w:t>六、运维管理执行标准及要求：</w:t>
      </w:r>
    </w:p>
    <w:p w14:paraId="5008638E">
      <w:pPr>
        <w:spacing w:line="276" w:lineRule="auto"/>
        <w:ind w:firstLine="440" w:firstLineChars="200"/>
        <w:rPr>
          <w:rFonts w:ascii="宋体" w:hAnsi="宋体" w:cs="仿宋"/>
          <w:color w:val="auto"/>
          <w:kern w:val="0"/>
          <w:sz w:val="22"/>
          <w:szCs w:val="22"/>
          <w:highlight w:val="none"/>
        </w:rPr>
      </w:pPr>
      <w:r>
        <w:rPr>
          <w:rFonts w:hint="eastAsia" w:ascii="宋体" w:hAnsi="宋体" w:cs="仿宋"/>
          <w:color w:val="auto"/>
          <w:kern w:val="0"/>
          <w:sz w:val="22"/>
          <w:szCs w:val="22"/>
          <w:highlight w:val="none"/>
        </w:rPr>
        <w:t>统管运维工作按《生活饮用水卫生标准》(GB 5749-2022)、《浙江省农村供水保障办法》（政府令第400号)等相关文件的要求来执行。</w:t>
      </w:r>
    </w:p>
    <w:p w14:paraId="385D60CF">
      <w:pPr>
        <w:spacing w:line="276" w:lineRule="auto"/>
        <w:ind w:firstLine="440" w:firstLineChars="200"/>
        <w:rPr>
          <w:rFonts w:ascii="宋体" w:hAnsi="宋体" w:cs="仿宋"/>
          <w:color w:val="auto"/>
          <w:kern w:val="0"/>
          <w:sz w:val="22"/>
          <w:szCs w:val="22"/>
          <w:highlight w:val="none"/>
        </w:rPr>
      </w:pPr>
    </w:p>
    <w:p w14:paraId="593AD808">
      <w:pPr>
        <w:spacing w:line="276" w:lineRule="auto"/>
        <w:outlineLvl w:val="0"/>
        <w:rPr>
          <w:rFonts w:ascii="宋体" w:hAnsi="宋体" w:cs="仿宋"/>
          <w:b/>
          <w:color w:val="auto"/>
          <w:kern w:val="0"/>
          <w:sz w:val="22"/>
          <w:szCs w:val="22"/>
          <w:highlight w:val="none"/>
        </w:rPr>
      </w:pPr>
      <w:r>
        <w:rPr>
          <w:rFonts w:hint="eastAsia" w:ascii="宋体" w:hAnsi="宋体" w:cs="仿宋"/>
          <w:b/>
          <w:color w:val="auto"/>
          <w:kern w:val="0"/>
          <w:sz w:val="22"/>
          <w:szCs w:val="22"/>
          <w:highlight w:val="none"/>
        </w:rPr>
        <w:t>七、项目总价款及支付方式</w:t>
      </w:r>
    </w:p>
    <w:p w14:paraId="35BEB711">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1.</w:t>
      </w:r>
      <w:r>
        <w:rPr>
          <w:rFonts w:hint="eastAsia" w:ascii="宋体" w:hAnsi="宋体" w:cs="仿宋"/>
          <w:color w:val="auto"/>
          <w:kern w:val="0"/>
          <w:sz w:val="22"/>
          <w:szCs w:val="22"/>
          <w:highlight w:val="none"/>
        </w:rPr>
        <w:t>本合同项目总额为：人民币（大写）</w:t>
      </w:r>
      <w:r>
        <w:rPr>
          <w:rFonts w:hint="eastAsia" w:ascii="宋体" w:hAnsi="宋体" w:cs="仿宋"/>
          <w:color w:val="auto"/>
          <w:kern w:val="0"/>
          <w:sz w:val="22"/>
          <w:szCs w:val="22"/>
          <w:highlight w:val="none"/>
          <w:u w:val="single"/>
        </w:rPr>
        <w:t xml:space="preserve">     </w:t>
      </w:r>
      <w:r>
        <w:rPr>
          <w:rFonts w:hint="eastAsia" w:ascii="宋体" w:hAnsi="宋体" w:cs="仿宋"/>
          <w:color w:val="auto"/>
          <w:kern w:val="0"/>
          <w:sz w:val="22"/>
          <w:szCs w:val="22"/>
          <w:highlight w:val="none"/>
        </w:rPr>
        <w:t>元整（￥：</w:t>
      </w:r>
      <w:r>
        <w:rPr>
          <w:rFonts w:hint="eastAsia" w:ascii="宋体" w:hAnsi="宋体" w:cs="仿宋"/>
          <w:color w:val="auto"/>
          <w:kern w:val="0"/>
          <w:sz w:val="22"/>
          <w:szCs w:val="22"/>
          <w:highlight w:val="none"/>
          <w:u w:val="single"/>
        </w:rPr>
        <w:t xml:space="preserve">   </w:t>
      </w:r>
      <w:r>
        <w:rPr>
          <w:rFonts w:hint="eastAsia" w:ascii="宋体" w:hAnsi="宋体" w:cs="仿宋"/>
          <w:color w:val="auto"/>
          <w:kern w:val="0"/>
          <w:sz w:val="22"/>
          <w:szCs w:val="22"/>
          <w:highlight w:val="none"/>
        </w:rPr>
        <w:t>元）。</w:t>
      </w:r>
    </w:p>
    <w:p w14:paraId="12A6F3E9">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2.</w:t>
      </w:r>
      <w:r>
        <w:rPr>
          <w:rFonts w:hint="eastAsia" w:ascii="宋体" w:hAnsi="宋体" w:cs="仿宋"/>
          <w:color w:val="auto"/>
          <w:kern w:val="0"/>
          <w:sz w:val="22"/>
          <w:szCs w:val="22"/>
          <w:highlight w:val="none"/>
        </w:rPr>
        <w:t>合同时间：20</w:t>
      </w:r>
      <w:r>
        <w:rPr>
          <w:rFonts w:hint="eastAsia" w:ascii="宋体" w:hAnsi="宋体" w:cs="仿宋"/>
          <w:color w:val="auto"/>
          <w:kern w:val="0"/>
          <w:sz w:val="22"/>
          <w:szCs w:val="22"/>
          <w:highlight w:val="none"/>
          <w:lang w:val="en-US" w:eastAsia="zh-CN"/>
        </w:rPr>
        <w:t xml:space="preserve">  </w:t>
      </w:r>
      <w:r>
        <w:rPr>
          <w:rFonts w:hint="eastAsia" w:ascii="宋体" w:hAnsi="宋体" w:cs="仿宋"/>
          <w:color w:val="auto"/>
          <w:kern w:val="0"/>
          <w:sz w:val="22"/>
          <w:szCs w:val="22"/>
          <w:highlight w:val="none"/>
        </w:rPr>
        <w:t>年   月   日至20</w:t>
      </w:r>
      <w:r>
        <w:rPr>
          <w:rFonts w:hint="eastAsia" w:ascii="宋体" w:hAnsi="宋体" w:cs="仿宋"/>
          <w:color w:val="auto"/>
          <w:kern w:val="0"/>
          <w:sz w:val="22"/>
          <w:szCs w:val="22"/>
          <w:highlight w:val="none"/>
          <w:lang w:val="en-US" w:eastAsia="zh-CN"/>
        </w:rPr>
        <w:t xml:space="preserve">  </w:t>
      </w:r>
      <w:r>
        <w:rPr>
          <w:rFonts w:hint="eastAsia" w:ascii="宋体" w:hAnsi="宋体" w:cs="仿宋"/>
          <w:color w:val="auto"/>
          <w:kern w:val="0"/>
          <w:sz w:val="22"/>
          <w:szCs w:val="22"/>
          <w:highlight w:val="none"/>
        </w:rPr>
        <w:t>年    月    日，共12个月；</w:t>
      </w:r>
    </w:p>
    <w:p w14:paraId="57B4B8A1">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3.</w:t>
      </w:r>
      <w:r>
        <w:rPr>
          <w:rFonts w:hint="eastAsia" w:ascii="宋体" w:hAnsi="宋体" w:cs="仿宋"/>
          <w:color w:val="auto"/>
          <w:kern w:val="0"/>
          <w:sz w:val="22"/>
          <w:szCs w:val="22"/>
          <w:highlight w:val="none"/>
        </w:rPr>
        <w:t>合同总价包含：消毒药剂、混凝剂采购、维修养护、信息化管理、运行管理、文本编制、</w:t>
      </w:r>
      <w:r>
        <w:rPr>
          <w:rFonts w:hint="eastAsia" w:ascii="宋体" w:hAnsi="宋体" w:cs="仿宋"/>
          <w:color w:val="auto"/>
          <w:kern w:val="0"/>
          <w:sz w:val="22"/>
          <w:szCs w:val="22"/>
          <w:highlight w:val="none"/>
          <w:lang w:eastAsia="zh-CN"/>
        </w:rPr>
        <w:t>水电费（包括供水站电费）</w:t>
      </w:r>
      <w:r>
        <w:rPr>
          <w:rFonts w:hint="eastAsia" w:ascii="宋体" w:hAnsi="宋体" w:cs="仿宋"/>
          <w:color w:val="auto"/>
          <w:kern w:val="0"/>
          <w:sz w:val="22"/>
          <w:szCs w:val="22"/>
          <w:highlight w:val="none"/>
        </w:rPr>
        <w:t>、通讯费、人员工资、奖金、加班费、人身意外保险、食宿与交通、管理费用、税费、利润、</w:t>
      </w:r>
      <w:r>
        <w:rPr>
          <w:rFonts w:hint="eastAsia"/>
          <w:color w:val="auto"/>
          <w:highlight w:val="none"/>
        </w:rPr>
        <w:t>招标代理服务费等</w:t>
      </w:r>
      <w:r>
        <w:rPr>
          <w:rFonts w:hint="eastAsia" w:ascii="宋体" w:hAnsi="宋体" w:cs="仿宋"/>
          <w:color w:val="auto"/>
          <w:kern w:val="0"/>
          <w:sz w:val="22"/>
          <w:szCs w:val="22"/>
          <w:highlight w:val="none"/>
        </w:rPr>
        <w:t>完成合同所需的一切本身和不可或缺的所有工作开支等各项全部费用并承担一切风险责任。</w:t>
      </w:r>
    </w:p>
    <w:p w14:paraId="35C50A82">
      <w:pPr>
        <w:spacing w:line="276" w:lineRule="auto"/>
        <w:ind w:firstLine="440" w:firstLineChars="200"/>
        <w:rPr>
          <w:rFonts w:hint="eastAsia" w:ascii="宋体" w:hAnsi="宋体" w:cs="仿宋"/>
          <w:color w:val="auto"/>
          <w:kern w:val="0"/>
          <w:sz w:val="22"/>
          <w:szCs w:val="22"/>
          <w:highlight w:val="none"/>
        </w:rPr>
      </w:pPr>
      <w:r>
        <w:rPr>
          <w:rFonts w:ascii="宋体" w:hAnsi="宋体" w:cs="仿宋"/>
          <w:color w:val="auto"/>
          <w:kern w:val="0"/>
          <w:sz w:val="22"/>
          <w:szCs w:val="22"/>
          <w:highlight w:val="none"/>
        </w:rPr>
        <w:t>4.</w:t>
      </w:r>
      <w:r>
        <w:rPr>
          <w:rFonts w:hint="eastAsia" w:ascii="宋体" w:hAnsi="宋体" w:cs="仿宋"/>
          <w:color w:val="auto"/>
          <w:kern w:val="0"/>
          <w:sz w:val="22"/>
          <w:szCs w:val="22"/>
          <w:highlight w:val="none"/>
        </w:rPr>
        <w:t>付款方式：</w:t>
      </w:r>
    </w:p>
    <w:p w14:paraId="5CF8B69B">
      <w:pPr>
        <w:spacing w:line="276" w:lineRule="auto"/>
        <w:ind w:left="105" w:leftChars="50" w:firstLine="331" w:firstLineChars="150"/>
        <w:rPr>
          <w:rFonts w:hint="eastAsia" w:ascii="宋体" w:hAnsi="宋体" w:eastAsia="宋体" w:cs="仿宋"/>
          <w:b/>
          <w:bCs/>
          <w:color w:val="auto"/>
          <w:kern w:val="0"/>
          <w:sz w:val="22"/>
          <w:szCs w:val="22"/>
          <w:highlight w:val="none"/>
        </w:rPr>
      </w:pPr>
      <w:r>
        <w:rPr>
          <w:rFonts w:hint="eastAsia" w:ascii="宋体" w:hAnsi="宋体" w:eastAsia="宋体" w:cs="仿宋"/>
          <w:b/>
          <w:bCs/>
          <w:color w:val="auto"/>
          <w:kern w:val="0"/>
          <w:sz w:val="22"/>
          <w:szCs w:val="22"/>
          <w:highlight w:val="none"/>
        </w:rPr>
        <w:t>本合同管理费用分三期支付，由甲方支付给乙方。</w:t>
      </w:r>
      <w:r>
        <w:rPr>
          <w:rFonts w:hint="eastAsia" w:ascii="宋体" w:hAnsi="宋体" w:eastAsia="宋体" w:cs="仿宋"/>
          <w:b/>
          <w:bCs/>
          <w:color w:val="auto"/>
          <w:kern w:val="0"/>
          <w:sz w:val="22"/>
          <w:szCs w:val="22"/>
          <w:highlight w:val="none"/>
          <w:lang w:val="ru-RU" w:eastAsia="zh-CN"/>
        </w:rPr>
        <w:t>合同签订生效以及具备实施条件后7个工作日内</w:t>
      </w:r>
      <w:r>
        <w:rPr>
          <w:rFonts w:hint="eastAsia" w:ascii="宋体" w:hAnsi="宋体" w:eastAsia="宋体" w:cs="仿宋"/>
          <w:b/>
          <w:bCs/>
          <w:color w:val="auto"/>
          <w:kern w:val="0"/>
          <w:sz w:val="22"/>
          <w:szCs w:val="22"/>
          <w:highlight w:val="none"/>
        </w:rPr>
        <w:t>甲方</w:t>
      </w:r>
      <w:r>
        <w:rPr>
          <w:rFonts w:hint="eastAsia" w:ascii="宋体" w:hAnsi="宋体" w:eastAsia="宋体" w:cs="仿宋"/>
          <w:b/>
          <w:bCs/>
          <w:color w:val="auto"/>
          <w:kern w:val="0"/>
          <w:sz w:val="22"/>
          <w:szCs w:val="22"/>
          <w:highlight w:val="none"/>
          <w:lang w:val="ru-RU" w:eastAsia="zh-CN"/>
        </w:rPr>
        <w:t>支付合同总金额</w:t>
      </w:r>
      <w:r>
        <w:rPr>
          <w:rFonts w:hint="eastAsia" w:ascii="宋体" w:hAnsi="宋体" w:eastAsia="宋体" w:cs="仿宋"/>
          <w:b/>
          <w:bCs/>
          <w:color w:val="auto"/>
          <w:kern w:val="0"/>
          <w:sz w:val="22"/>
          <w:szCs w:val="22"/>
          <w:highlight w:val="none"/>
          <w:lang w:val="en-US" w:eastAsia="zh-CN"/>
        </w:rPr>
        <w:t>3</w:t>
      </w:r>
      <w:r>
        <w:rPr>
          <w:rFonts w:hint="eastAsia" w:ascii="宋体" w:hAnsi="宋体" w:eastAsia="宋体" w:cs="仿宋"/>
          <w:b/>
          <w:bCs/>
          <w:color w:val="auto"/>
          <w:kern w:val="0"/>
          <w:sz w:val="22"/>
          <w:szCs w:val="22"/>
          <w:highlight w:val="none"/>
          <w:lang w:val="ru-RU" w:eastAsia="zh-CN"/>
        </w:rPr>
        <w:t>0%的预付款，</w:t>
      </w:r>
      <w:r>
        <w:rPr>
          <w:rFonts w:hint="eastAsia" w:ascii="宋体" w:hAnsi="宋体" w:eastAsia="宋体" w:cs="仿宋"/>
          <w:b/>
          <w:bCs/>
          <w:color w:val="auto"/>
          <w:kern w:val="0"/>
          <w:sz w:val="22"/>
          <w:szCs w:val="22"/>
          <w:highlight w:val="none"/>
          <w:lang w:val="en-US" w:eastAsia="zh-CN"/>
        </w:rPr>
        <w:t>服务6个月后支付</w:t>
      </w:r>
      <w:r>
        <w:rPr>
          <w:rFonts w:hint="eastAsia" w:ascii="宋体" w:hAnsi="宋体" w:eastAsia="宋体" w:cs="仿宋"/>
          <w:b/>
          <w:bCs/>
          <w:color w:val="auto"/>
          <w:kern w:val="0"/>
          <w:sz w:val="22"/>
          <w:szCs w:val="22"/>
          <w:highlight w:val="none"/>
          <w:lang w:val="ru-RU" w:eastAsia="zh-CN"/>
        </w:rPr>
        <w:t>合同总金额</w:t>
      </w:r>
      <w:r>
        <w:rPr>
          <w:rFonts w:hint="eastAsia" w:ascii="宋体" w:hAnsi="宋体" w:eastAsia="宋体" w:cs="仿宋"/>
          <w:b/>
          <w:bCs/>
          <w:color w:val="auto"/>
          <w:kern w:val="0"/>
          <w:sz w:val="22"/>
          <w:szCs w:val="22"/>
          <w:highlight w:val="none"/>
          <w:lang w:val="en-US" w:eastAsia="zh-CN"/>
        </w:rPr>
        <w:t>40%的</w:t>
      </w:r>
      <w:r>
        <w:rPr>
          <w:rFonts w:hint="eastAsia" w:ascii="宋体" w:hAnsi="宋体" w:eastAsia="宋体" w:cs="仿宋"/>
          <w:b/>
          <w:bCs/>
          <w:color w:val="auto"/>
          <w:kern w:val="0"/>
          <w:sz w:val="22"/>
          <w:szCs w:val="22"/>
          <w:highlight w:val="none"/>
        </w:rPr>
        <w:t>进度款</w:t>
      </w:r>
      <w:r>
        <w:rPr>
          <w:rFonts w:hint="eastAsia" w:ascii="宋体" w:hAnsi="宋体" w:eastAsia="宋体" w:cs="仿宋"/>
          <w:b/>
          <w:bCs/>
          <w:color w:val="auto"/>
          <w:kern w:val="0"/>
          <w:sz w:val="22"/>
          <w:szCs w:val="22"/>
          <w:highlight w:val="none"/>
          <w:lang w:eastAsia="zh-CN"/>
        </w:rPr>
        <w:t>，</w:t>
      </w:r>
      <w:r>
        <w:rPr>
          <w:rFonts w:hint="eastAsia" w:ascii="宋体" w:hAnsi="宋体" w:eastAsia="宋体" w:cs="仿宋"/>
          <w:b/>
          <w:bCs/>
          <w:color w:val="auto"/>
          <w:kern w:val="0"/>
          <w:sz w:val="22"/>
          <w:szCs w:val="22"/>
          <w:highlight w:val="none"/>
          <w:lang w:val="en-US" w:eastAsia="zh-CN"/>
        </w:rPr>
        <w:t>服务完成后支付</w:t>
      </w:r>
      <w:r>
        <w:rPr>
          <w:rFonts w:hint="eastAsia" w:ascii="宋体" w:hAnsi="宋体" w:eastAsia="宋体" w:cs="仿宋"/>
          <w:b/>
          <w:bCs/>
          <w:color w:val="auto"/>
          <w:kern w:val="0"/>
          <w:sz w:val="22"/>
          <w:szCs w:val="22"/>
          <w:highlight w:val="none"/>
          <w:lang w:val="ru-RU" w:eastAsia="zh-CN"/>
        </w:rPr>
        <w:t>合同总金额</w:t>
      </w:r>
      <w:r>
        <w:rPr>
          <w:rFonts w:hint="eastAsia" w:ascii="宋体" w:hAnsi="宋体" w:eastAsia="宋体" w:cs="仿宋"/>
          <w:b/>
          <w:bCs/>
          <w:color w:val="auto"/>
          <w:kern w:val="0"/>
          <w:sz w:val="22"/>
          <w:szCs w:val="22"/>
          <w:highlight w:val="none"/>
          <w:lang w:val="en-US" w:eastAsia="zh-CN"/>
        </w:rPr>
        <w:t>30%的</w:t>
      </w:r>
      <w:r>
        <w:rPr>
          <w:rFonts w:hint="eastAsia" w:ascii="宋体" w:hAnsi="宋体" w:eastAsia="宋体" w:cs="仿宋"/>
          <w:b/>
          <w:bCs/>
          <w:color w:val="auto"/>
          <w:kern w:val="0"/>
          <w:sz w:val="22"/>
          <w:szCs w:val="22"/>
          <w:highlight w:val="none"/>
        </w:rPr>
        <w:t>进度款</w:t>
      </w:r>
      <w:r>
        <w:rPr>
          <w:rFonts w:hint="eastAsia" w:ascii="宋体" w:hAnsi="宋体" w:eastAsia="宋体" w:cs="仿宋"/>
          <w:b/>
          <w:bCs/>
          <w:color w:val="auto"/>
          <w:kern w:val="0"/>
          <w:sz w:val="22"/>
          <w:szCs w:val="22"/>
          <w:highlight w:val="none"/>
          <w:lang w:eastAsia="zh-CN"/>
        </w:rPr>
        <w:t>，</w:t>
      </w:r>
      <w:r>
        <w:rPr>
          <w:rFonts w:hint="eastAsia" w:ascii="宋体" w:hAnsi="宋体" w:eastAsia="宋体" w:cs="仿宋"/>
          <w:b/>
          <w:bCs/>
          <w:color w:val="auto"/>
          <w:kern w:val="0"/>
          <w:sz w:val="22"/>
          <w:szCs w:val="22"/>
          <w:highlight w:val="none"/>
        </w:rPr>
        <w:t>两期进度款根据半年考核结果情况，甲方</w:t>
      </w:r>
      <w:r>
        <w:rPr>
          <w:rFonts w:hint="eastAsia" w:ascii="宋体" w:hAnsi="宋体" w:eastAsia="宋体" w:cs="仿宋"/>
          <w:b/>
          <w:bCs/>
          <w:color w:val="auto"/>
          <w:kern w:val="0"/>
          <w:sz w:val="22"/>
          <w:szCs w:val="22"/>
          <w:highlight w:val="none"/>
          <w:lang w:val="en-US" w:eastAsia="zh-CN"/>
        </w:rPr>
        <w:t>在</w:t>
      </w:r>
      <w:r>
        <w:rPr>
          <w:rFonts w:hint="eastAsia" w:ascii="宋体" w:hAnsi="宋体" w:eastAsia="宋体" w:cs="仿宋"/>
          <w:b/>
          <w:bCs/>
          <w:color w:val="auto"/>
          <w:kern w:val="0"/>
          <w:sz w:val="22"/>
          <w:szCs w:val="22"/>
          <w:highlight w:val="none"/>
        </w:rPr>
        <w:t>一个月内向乙方支付半年委托管理费用进度款。</w:t>
      </w:r>
    </w:p>
    <w:p w14:paraId="11DFF0F7">
      <w:pPr>
        <w:spacing w:line="276" w:lineRule="auto"/>
        <w:ind w:left="105" w:leftChars="50" w:firstLine="331" w:firstLineChars="150"/>
        <w:rPr>
          <w:rFonts w:hint="eastAsia" w:ascii="宋体" w:hAnsi="宋体" w:eastAsia="宋体" w:cs="仿宋"/>
          <w:b/>
          <w:bCs/>
          <w:color w:val="auto"/>
          <w:kern w:val="0"/>
          <w:sz w:val="22"/>
          <w:szCs w:val="22"/>
          <w:highlight w:val="none"/>
        </w:rPr>
      </w:pPr>
      <w:r>
        <w:rPr>
          <w:rFonts w:hint="eastAsia" w:ascii="宋体" w:hAnsi="宋体" w:eastAsia="宋体" w:cs="仿宋"/>
          <w:b/>
          <w:bCs/>
          <w:color w:val="auto"/>
          <w:kern w:val="0"/>
          <w:sz w:val="22"/>
          <w:szCs w:val="22"/>
          <w:highlight w:val="none"/>
        </w:rPr>
        <w:t>半年考核分在90分（含）以上，</w:t>
      </w:r>
      <w:r>
        <w:rPr>
          <w:rFonts w:hint="eastAsia" w:ascii="宋体" w:hAnsi="宋体" w:eastAsia="宋体" w:cs="仿宋"/>
          <w:b/>
          <w:bCs/>
          <w:color w:val="auto"/>
          <w:kern w:val="0"/>
          <w:sz w:val="22"/>
          <w:szCs w:val="22"/>
          <w:highlight w:val="none"/>
          <w:lang w:val="en-US" w:eastAsia="zh-CN"/>
        </w:rPr>
        <w:t>全额</w:t>
      </w:r>
      <w:r>
        <w:rPr>
          <w:rFonts w:hint="eastAsia" w:ascii="宋体" w:hAnsi="宋体" w:eastAsia="宋体" w:cs="仿宋"/>
          <w:b/>
          <w:bCs/>
          <w:color w:val="auto"/>
          <w:kern w:val="0"/>
          <w:sz w:val="22"/>
          <w:szCs w:val="22"/>
          <w:highlight w:val="none"/>
        </w:rPr>
        <w:t>委托管理费用进度款。90分以下进度款=</w:t>
      </w:r>
      <w:r>
        <w:rPr>
          <w:rFonts w:hint="eastAsia" w:ascii="宋体" w:hAnsi="宋体" w:eastAsia="宋体" w:cs="仿宋"/>
          <w:b/>
          <w:bCs/>
          <w:color w:val="auto"/>
          <w:kern w:val="0"/>
          <w:sz w:val="22"/>
          <w:szCs w:val="22"/>
          <w:highlight w:val="none"/>
          <w:lang w:val="en-US" w:eastAsia="zh-CN"/>
        </w:rPr>
        <w:t>全额</w:t>
      </w:r>
      <w:r>
        <w:rPr>
          <w:rFonts w:hint="eastAsia" w:ascii="宋体" w:hAnsi="宋体" w:eastAsia="宋体" w:cs="仿宋"/>
          <w:b/>
          <w:bCs/>
          <w:color w:val="auto"/>
          <w:kern w:val="0"/>
          <w:sz w:val="22"/>
          <w:szCs w:val="22"/>
          <w:highlight w:val="none"/>
        </w:rPr>
        <w:t>委托管理费用进度款-（90%-考核得分率）*100*0.5(总进度款不得大于合同总金额,单位：万元)。</w:t>
      </w:r>
    </w:p>
    <w:p w14:paraId="612A5B3F">
      <w:pPr>
        <w:spacing w:line="276" w:lineRule="auto"/>
        <w:ind w:left="105" w:leftChars="50" w:firstLine="330" w:firstLineChars="150"/>
        <w:rPr>
          <w:rFonts w:ascii="宋体" w:hAnsi="宋体" w:cs="仿宋"/>
          <w:color w:val="auto"/>
          <w:kern w:val="0"/>
          <w:sz w:val="22"/>
          <w:szCs w:val="22"/>
          <w:highlight w:val="none"/>
        </w:rPr>
      </w:pPr>
      <w:r>
        <w:rPr>
          <w:rFonts w:hint="eastAsia" w:ascii="宋体" w:hAnsi="宋体" w:cs="仿宋"/>
          <w:color w:val="auto"/>
          <w:kern w:val="0"/>
          <w:sz w:val="22"/>
          <w:szCs w:val="22"/>
          <w:highlight w:val="none"/>
        </w:rPr>
        <w:t>5</w:t>
      </w:r>
      <w:r>
        <w:rPr>
          <w:rFonts w:ascii="宋体" w:hAnsi="宋体" w:cs="仿宋"/>
          <w:color w:val="auto"/>
          <w:kern w:val="0"/>
          <w:sz w:val="22"/>
          <w:szCs w:val="22"/>
          <w:highlight w:val="none"/>
        </w:rPr>
        <w:t>.</w:t>
      </w:r>
      <w:r>
        <w:rPr>
          <w:rFonts w:hint="eastAsia" w:ascii="宋体" w:hAnsi="宋体" w:cs="仿宋"/>
          <w:color w:val="auto"/>
          <w:kern w:val="0"/>
          <w:sz w:val="22"/>
          <w:szCs w:val="22"/>
          <w:highlight w:val="none"/>
        </w:rPr>
        <w:t>甲方</w:t>
      </w:r>
      <w:r>
        <w:rPr>
          <w:rFonts w:ascii="宋体" w:hAnsi="宋体" w:cs="仿宋"/>
          <w:color w:val="auto"/>
          <w:kern w:val="0"/>
          <w:sz w:val="22"/>
          <w:szCs w:val="22"/>
          <w:highlight w:val="none"/>
        </w:rPr>
        <w:t>在每次向乙方付款前，乙方应向甲方开具等额的增值税</w:t>
      </w:r>
      <w:r>
        <w:rPr>
          <w:rFonts w:hint="eastAsia" w:ascii="宋体" w:hAnsi="宋体" w:cs="仿宋"/>
          <w:color w:val="auto"/>
          <w:kern w:val="0"/>
          <w:sz w:val="22"/>
          <w:szCs w:val="22"/>
          <w:highlight w:val="none"/>
        </w:rPr>
        <w:t>普通</w:t>
      </w:r>
      <w:r>
        <w:rPr>
          <w:rFonts w:ascii="宋体" w:hAnsi="宋体" w:cs="仿宋"/>
          <w:color w:val="auto"/>
          <w:kern w:val="0"/>
          <w:sz w:val="22"/>
          <w:szCs w:val="22"/>
          <w:highlight w:val="none"/>
        </w:rPr>
        <w:t>发票，如乙方未开具的则甲方有权拒付相应费用且不构成违约。</w:t>
      </w:r>
    </w:p>
    <w:p w14:paraId="2BFF95BC">
      <w:pPr>
        <w:spacing w:line="276" w:lineRule="auto"/>
        <w:ind w:left="105" w:leftChars="50" w:firstLine="330" w:firstLineChars="15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6</w:t>
      </w:r>
      <w:r>
        <w:rPr>
          <w:rFonts w:ascii="宋体" w:hAnsi="宋体" w:cs="仿宋"/>
          <w:color w:val="auto"/>
          <w:kern w:val="0"/>
          <w:sz w:val="22"/>
          <w:szCs w:val="22"/>
          <w:highlight w:val="none"/>
        </w:rPr>
        <w:t>.本合同价格已包含了为完成本项目约定的建设任务过程中所有可能发生的费用包括但不限于税金、人员住宿费、交通费、伙食费、培训费</w:t>
      </w:r>
      <w:r>
        <w:rPr>
          <w:rFonts w:hint="eastAsia" w:ascii="宋体" w:hAnsi="宋体" w:cs="仿宋"/>
          <w:color w:val="auto"/>
          <w:kern w:val="0"/>
          <w:sz w:val="22"/>
          <w:szCs w:val="22"/>
          <w:highlight w:val="none"/>
        </w:rPr>
        <w:t>。</w:t>
      </w:r>
    </w:p>
    <w:p w14:paraId="36168244">
      <w:pPr>
        <w:spacing w:line="276" w:lineRule="auto"/>
        <w:outlineLvl w:val="0"/>
        <w:rPr>
          <w:rFonts w:ascii="宋体" w:hAnsi="宋体" w:cs="仿宋"/>
          <w:b/>
          <w:color w:val="auto"/>
          <w:kern w:val="0"/>
          <w:sz w:val="22"/>
          <w:szCs w:val="22"/>
          <w:highlight w:val="none"/>
        </w:rPr>
      </w:pPr>
      <w:r>
        <w:rPr>
          <w:rFonts w:hint="eastAsia" w:ascii="宋体" w:hAnsi="宋体" w:cs="仿宋"/>
          <w:b/>
          <w:color w:val="auto"/>
          <w:kern w:val="0"/>
          <w:sz w:val="22"/>
          <w:szCs w:val="22"/>
          <w:highlight w:val="none"/>
        </w:rPr>
        <w:t>八、各方责任</w:t>
      </w:r>
    </w:p>
    <w:p w14:paraId="209150A8">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甲方职责：甲方为工程委托管理单位，按协议规定向乙方支付项目管理款，并负责协调地方关系等使农饮水工程正常运行；督促、考核乙方相关农饮水运行管理工作。</w:t>
      </w:r>
    </w:p>
    <w:p w14:paraId="0B76462A">
      <w:pPr>
        <w:spacing w:line="276" w:lineRule="auto"/>
        <w:ind w:firstLine="440" w:firstLineChars="200"/>
        <w:rPr>
          <w:rFonts w:hint="eastAsia" w:ascii="宋体" w:hAnsi="宋体" w:cs="仿宋"/>
          <w:color w:val="auto"/>
          <w:kern w:val="0"/>
          <w:sz w:val="22"/>
          <w:szCs w:val="22"/>
          <w:highlight w:val="none"/>
        </w:rPr>
      </w:pPr>
      <w:r>
        <w:rPr>
          <w:rFonts w:hint="eastAsia" w:ascii="宋体" w:hAnsi="宋体" w:cs="仿宋"/>
          <w:color w:val="auto"/>
          <w:kern w:val="0"/>
          <w:sz w:val="22"/>
          <w:szCs w:val="22"/>
          <w:highlight w:val="none"/>
        </w:rPr>
        <w:t>乙方职责：乙方为项目运行管理单位，按合同要求做好采购药剂、规范运行、设备管护、水质监测、安全生产等管理，保障每个供水站正常运行；负责统管人员和管护人员的培训、日常管理、考勤考核，发放工资、奖金等；在协议委托管理工作内容范围内产生的安全责任由乙方自行承担；做好生产管理运行台账资料；服从甲方、丙方及有关职能部门的管理、检测和监督工作。为保障安全设备设施正常，向甲方提出安全投入建议。</w:t>
      </w:r>
    </w:p>
    <w:p w14:paraId="3546098C">
      <w:pPr>
        <w:spacing w:line="276" w:lineRule="auto"/>
        <w:ind w:firstLine="440" w:firstLineChars="200"/>
        <w:rPr>
          <w:rFonts w:ascii="宋体" w:hAnsi="宋体" w:cs="仿宋"/>
          <w:color w:val="auto"/>
          <w:kern w:val="0"/>
          <w:sz w:val="22"/>
          <w:szCs w:val="22"/>
          <w:highlight w:val="none"/>
        </w:rPr>
      </w:pPr>
    </w:p>
    <w:p w14:paraId="41FBA0E2">
      <w:pPr>
        <w:spacing w:line="276" w:lineRule="auto"/>
        <w:outlineLvl w:val="0"/>
        <w:rPr>
          <w:rFonts w:ascii="宋体" w:hAnsi="宋体" w:cs="仿宋"/>
          <w:b/>
          <w:bCs/>
          <w:color w:val="auto"/>
          <w:kern w:val="0"/>
          <w:sz w:val="22"/>
          <w:szCs w:val="22"/>
          <w:highlight w:val="none"/>
        </w:rPr>
      </w:pPr>
      <w:r>
        <w:rPr>
          <w:rFonts w:hint="eastAsia" w:ascii="宋体" w:hAnsi="宋体" w:cs="仿宋"/>
          <w:b/>
          <w:bCs/>
          <w:color w:val="auto"/>
          <w:kern w:val="0"/>
          <w:sz w:val="22"/>
          <w:szCs w:val="22"/>
          <w:highlight w:val="none"/>
        </w:rPr>
        <w:t>九 、其他</w:t>
      </w:r>
    </w:p>
    <w:p w14:paraId="70DAD8E9">
      <w:pPr>
        <w:spacing w:line="276" w:lineRule="auto"/>
        <w:ind w:firstLine="440" w:firstLineChars="200"/>
        <w:rPr>
          <w:rFonts w:ascii="宋体" w:hAnsi="宋体" w:cs="仿宋"/>
          <w:color w:val="auto"/>
          <w:kern w:val="0"/>
          <w:sz w:val="22"/>
          <w:szCs w:val="22"/>
          <w:highlight w:val="none"/>
        </w:rPr>
      </w:pPr>
      <w:r>
        <w:rPr>
          <w:rFonts w:hint="eastAsia" w:ascii="宋体" w:hAnsi="宋体" w:cs="仿宋"/>
          <w:color w:val="auto"/>
          <w:kern w:val="0"/>
          <w:sz w:val="22"/>
          <w:szCs w:val="22"/>
          <w:highlight w:val="none"/>
        </w:rPr>
        <w:t>1</w:t>
      </w:r>
      <w:r>
        <w:rPr>
          <w:rFonts w:ascii="宋体" w:hAnsi="宋体" w:cs="仿宋"/>
          <w:color w:val="auto"/>
          <w:kern w:val="0"/>
          <w:sz w:val="22"/>
          <w:szCs w:val="22"/>
          <w:highlight w:val="none"/>
        </w:rPr>
        <w:t>.</w:t>
      </w:r>
      <w:r>
        <w:rPr>
          <w:rFonts w:hint="eastAsia" w:ascii="宋体" w:hAnsi="宋体" w:cs="仿宋"/>
          <w:color w:val="auto"/>
          <w:kern w:val="0"/>
          <w:sz w:val="22"/>
          <w:szCs w:val="22"/>
          <w:highlight w:val="none"/>
        </w:rPr>
        <w:t>本合同及其附件自双方法定代表人或授权代表签字并加盖公章之日起生效；</w:t>
      </w:r>
    </w:p>
    <w:p w14:paraId="2EF90564">
      <w:pPr>
        <w:spacing w:line="276" w:lineRule="auto"/>
        <w:ind w:firstLine="440" w:firstLineChars="200"/>
        <w:rPr>
          <w:rFonts w:ascii="宋体" w:hAnsi="宋体" w:cs="仿宋"/>
          <w:color w:val="auto"/>
          <w:kern w:val="0"/>
          <w:sz w:val="22"/>
          <w:szCs w:val="22"/>
          <w:highlight w:val="none"/>
        </w:rPr>
      </w:pPr>
      <w:r>
        <w:rPr>
          <w:rFonts w:hint="eastAsia" w:ascii="宋体" w:hAnsi="宋体" w:cs="仿宋"/>
          <w:color w:val="auto"/>
          <w:kern w:val="0"/>
          <w:sz w:val="22"/>
          <w:szCs w:val="22"/>
          <w:highlight w:val="none"/>
        </w:rPr>
        <w:t>2</w:t>
      </w:r>
      <w:r>
        <w:rPr>
          <w:rFonts w:ascii="宋体" w:hAnsi="宋体" w:cs="仿宋"/>
          <w:color w:val="auto"/>
          <w:kern w:val="0"/>
          <w:sz w:val="22"/>
          <w:szCs w:val="22"/>
          <w:highlight w:val="none"/>
        </w:rPr>
        <w:t>.</w:t>
      </w:r>
      <w:r>
        <w:rPr>
          <w:rFonts w:hint="eastAsia" w:ascii="宋体" w:hAnsi="宋体" w:cs="仿宋"/>
          <w:color w:val="auto"/>
          <w:kern w:val="0"/>
          <w:sz w:val="22"/>
          <w:szCs w:val="22"/>
          <w:highlight w:val="none"/>
        </w:rPr>
        <w:t>本合同的变更必须由双方协商一致，并以书面形式确定；本合同未尽事宜，由甲、乙双方协商后签订补充协议，与本合同具有同等法律效力；</w:t>
      </w:r>
    </w:p>
    <w:p w14:paraId="268D994D">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3.</w:t>
      </w:r>
      <w:r>
        <w:rPr>
          <w:rFonts w:hint="eastAsia" w:ascii="宋体" w:hAnsi="宋体" w:cs="仿宋"/>
          <w:color w:val="auto"/>
          <w:kern w:val="0"/>
          <w:sz w:val="22"/>
          <w:szCs w:val="22"/>
          <w:highlight w:val="none"/>
        </w:rPr>
        <w:t>采购文件、响应文件以及本合同履行过程中形成的会议纪要、流程图、演示说明等均属于本合同的组成部分；</w:t>
      </w:r>
    </w:p>
    <w:p w14:paraId="11499B6B">
      <w:pPr>
        <w:spacing w:line="276" w:lineRule="auto"/>
        <w:ind w:firstLine="440" w:firstLineChars="200"/>
        <w:rPr>
          <w:rFonts w:ascii="宋体" w:hAnsi="宋体" w:cs="仿宋"/>
          <w:color w:val="auto"/>
          <w:kern w:val="0"/>
          <w:sz w:val="22"/>
          <w:szCs w:val="22"/>
          <w:highlight w:val="none"/>
        </w:rPr>
      </w:pPr>
      <w:r>
        <w:rPr>
          <w:rFonts w:ascii="宋体" w:hAnsi="宋体" w:cs="仿宋"/>
          <w:color w:val="auto"/>
          <w:kern w:val="0"/>
          <w:sz w:val="22"/>
          <w:szCs w:val="22"/>
          <w:highlight w:val="none"/>
        </w:rPr>
        <w:t>4.</w:t>
      </w:r>
      <w:r>
        <w:rPr>
          <w:rFonts w:hint="eastAsia" w:ascii="宋体" w:hAnsi="宋体" w:cs="仿宋"/>
          <w:color w:val="auto"/>
          <w:kern w:val="0"/>
          <w:sz w:val="22"/>
          <w:szCs w:val="22"/>
          <w:highlight w:val="none"/>
        </w:rPr>
        <w:t>本合同及其附件一式陆份，甲方叁份，乙方叁份，具有同等法律效力。</w:t>
      </w:r>
    </w:p>
    <w:p w14:paraId="0DF5D59C">
      <w:pPr>
        <w:rPr>
          <w:rFonts w:ascii="宋体" w:hAnsi="宋体"/>
          <w:color w:val="auto"/>
          <w:sz w:val="22"/>
          <w:szCs w:val="22"/>
          <w:highlight w:val="none"/>
        </w:rPr>
      </w:pPr>
    </w:p>
    <w:p w14:paraId="4EAAAB1A">
      <w:pPr>
        <w:spacing w:line="380" w:lineRule="exact"/>
        <w:rPr>
          <w:rFonts w:ascii="宋体" w:hAnsi="宋体"/>
          <w:b/>
          <w:color w:val="auto"/>
          <w:sz w:val="22"/>
          <w:szCs w:val="22"/>
          <w:highlight w:val="none"/>
        </w:rPr>
      </w:pPr>
      <w:r>
        <w:rPr>
          <w:rFonts w:ascii="宋体" w:hAnsi="宋体"/>
          <w:b/>
          <w:color w:val="auto"/>
          <w:sz w:val="22"/>
          <w:szCs w:val="22"/>
          <w:highlight w:val="none"/>
        </w:rPr>
        <w:t>甲方</w:t>
      </w:r>
      <w:r>
        <w:rPr>
          <w:rFonts w:hint="eastAsia" w:ascii="宋体" w:hAnsi="宋体"/>
          <w:b/>
          <w:color w:val="auto"/>
          <w:sz w:val="22"/>
          <w:szCs w:val="22"/>
          <w:highlight w:val="none"/>
        </w:rPr>
        <w:t>（</w:t>
      </w:r>
      <w:r>
        <w:rPr>
          <w:rFonts w:ascii="宋体" w:hAnsi="宋体"/>
          <w:b/>
          <w:color w:val="auto"/>
          <w:sz w:val="22"/>
          <w:szCs w:val="22"/>
          <w:highlight w:val="none"/>
        </w:rPr>
        <w:t>盖章)</w:t>
      </w:r>
      <w:r>
        <w:rPr>
          <w:rFonts w:hint="eastAsia" w:ascii="宋体" w:hAnsi="宋体"/>
          <w:b/>
          <w:color w:val="auto"/>
          <w:sz w:val="22"/>
          <w:szCs w:val="22"/>
          <w:highlight w:val="none"/>
        </w:rPr>
        <w:t xml:space="preserve">：                  </w:t>
      </w:r>
      <w:r>
        <w:rPr>
          <w:rFonts w:ascii="宋体" w:hAnsi="宋体"/>
          <w:b/>
          <w:color w:val="auto"/>
          <w:sz w:val="22"/>
          <w:szCs w:val="22"/>
          <w:highlight w:val="none"/>
        </w:rPr>
        <w:t xml:space="preserve">     </w:t>
      </w:r>
      <w:r>
        <w:rPr>
          <w:rFonts w:hint="eastAsia" w:ascii="宋体" w:hAnsi="宋体"/>
          <w:b/>
          <w:color w:val="auto"/>
          <w:sz w:val="22"/>
          <w:szCs w:val="22"/>
          <w:highlight w:val="none"/>
        </w:rPr>
        <w:t xml:space="preserve">        </w:t>
      </w:r>
      <w:r>
        <w:rPr>
          <w:rFonts w:ascii="宋体" w:hAnsi="宋体"/>
          <w:b/>
          <w:color w:val="auto"/>
          <w:sz w:val="22"/>
          <w:szCs w:val="22"/>
          <w:highlight w:val="none"/>
        </w:rPr>
        <w:t xml:space="preserve"> 乙方</w:t>
      </w:r>
      <w:r>
        <w:rPr>
          <w:rFonts w:hint="eastAsia" w:ascii="宋体" w:hAnsi="宋体"/>
          <w:b/>
          <w:color w:val="auto"/>
          <w:sz w:val="22"/>
          <w:szCs w:val="22"/>
          <w:highlight w:val="none"/>
        </w:rPr>
        <w:t>（</w:t>
      </w:r>
      <w:r>
        <w:rPr>
          <w:rFonts w:ascii="宋体" w:hAnsi="宋体"/>
          <w:b/>
          <w:color w:val="auto"/>
          <w:sz w:val="22"/>
          <w:szCs w:val="22"/>
          <w:highlight w:val="none"/>
        </w:rPr>
        <w:t>盖章</w:t>
      </w:r>
      <w:r>
        <w:rPr>
          <w:rFonts w:hint="eastAsia" w:ascii="宋体" w:hAnsi="宋体"/>
          <w:b/>
          <w:color w:val="auto"/>
          <w:sz w:val="22"/>
          <w:szCs w:val="22"/>
          <w:highlight w:val="none"/>
        </w:rPr>
        <w:t>）</w:t>
      </w:r>
      <w:r>
        <w:rPr>
          <w:rFonts w:ascii="宋体" w:hAnsi="宋体"/>
          <w:b/>
          <w:color w:val="auto"/>
          <w:sz w:val="22"/>
          <w:szCs w:val="22"/>
          <w:highlight w:val="none"/>
        </w:rPr>
        <w:t xml:space="preserve">： </w:t>
      </w:r>
    </w:p>
    <w:p w14:paraId="7EE09DC1">
      <w:pPr>
        <w:spacing w:line="380" w:lineRule="exact"/>
        <w:rPr>
          <w:rFonts w:ascii="宋体" w:hAnsi="宋体"/>
          <w:b/>
          <w:color w:val="auto"/>
          <w:sz w:val="22"/>
          <w:szCs w:val="22"/>
          <w:highlight w:val="none"/>
        </w:rPr>
      </w:pPr>
    </w:p>
    <w:p w14:paraId="7DB35EB3">
      <w:pPr>
        <w:spacing w:line="380" w:lineRule="exact"/>
        <w:rPr>
          <w:rFonts w:hint="eastAsia" w:ascii="宋体" w:hAnsi="宋体"/>
          <w:b/>
          <w:color w:val="auto"/>
          <w:sz w:val="22"/>
          <w:szCs w:val="22"/>
          <w:highlight w:val="none"/>
        </w:rPr>
      </w:pPr>
      <w:r>
        <w:rPr>
          <w:rFonts w:ascii="宋体" w:hAnsi="宋体"/>
          <w:b/>
          <w:color w:val="auto"/>
          <w:sz w:val="22"/>
          <w:szCs w:val="22"/>
          <w:highlight w:val="none"/>
        </w:rPr>
        <w:t>法定代表人</w:t>
      </w:r>
      <w:r>
        <w:rPr>
          <w:rFonts w:hint="eastAsia" w:ascii="宋体" w:hAnsi="宋体"/>
          <w:b/>
          <w:color w:val="auto"/>
          <w:sz w:val="22"/>
          <w:szCs w:val="22"/>
          <w:highlight w:val="none"/>
          <w:lang w:val="en-US" w:eastAsia="zh-CN"/>
        </w:rPr>
        <w:t>或</w:t>
      </w:r>
      <w:r>
        <w:rPr>
          <w:rFonts w:ascii="宋体" w:hAnsi="宋体"/>
          <w:b/>
          <w:color w:val="auto"/>
          <w:sz w:val="22"/>
          <w:szCs w:val="22"/>
          <w:highlight w:val="none"/>
        </w:rPr>
        <w:t>负责人签字</w:t>
      </w:r>
      <w:r>
        <w:rPr>
          <w:rFonts w:hint="eastAsia" w:ascii="宋体" w:hAnsi="宋体"/>
          <w:b/>
          <w:color w:val="auto"/>
          <w:sz w:val="22"/>
          <w:szCs w:val="22"/>
          <w:highlight w:val="none"/>
        </w:rPr>
        <w:t xml:space="preserve">：                     </w:t>
      </w:r>
      <w:r>
        <w:rPr>
          <w:rFonts w:ascii="宋体" w:hAnsi="宋体"/>
          <w:b/>
          <w:color w:val="auto"/>
          <w:sz w:val="22"/>
          <w:szCs w:val="22"/>
          <w:highlight w:val="none"/>
        </w:rPr>
        <w:t>法定代表人</w:t>
      </w:r>
      <w:r>
        <w:rPr>
          <w:rFonts w:hint="eastAsia" w:ascii="宋体" w:hAnsi="宋体"/>
          <w:b/>
          <w:color w:val="auto"/>
          <w:sz w:val="22"/>
          <w:szCs w:val="22"/>
          <w:highlight w:val="none"/>
          <w:lang w:val="en-US" w:eastAsia="zh-CN"/>
        </w:rPr>
        <w:t>或</w:t>
      </w:r>
      <w:r>
        <w:rPr>
          <w:rFonts w:ascii="宋体" w:hAnsi="宋体"/>
          <w:b/>
          <w:color w:val="auto"/>
          <w:sz w:val="22"/>
          <w:szCs w:val="22"/>
          <w:highlight w:val="none"/>
        </w:rPr>
        <w:t>负责人签字</w:t>
      </w:r>
      <w:r>
        <w:rPr>
          <w:rFonts w:hint="eastAsia" w:ascii="宋体" w:hAnsi="宋体"/>
          <w:b/>
          <w:color w:val="auto"/>
          <w:sz w:val="22"/>
          <w:szCs w:val="22"/>
          <w:highlight w:val="none"/>
        </w:rPr>
        <w:t>：</w:t>
      </w:r>
    </w:p>
    <w:p w14:paraId="6DDDA398">
      <w:pPr>
        <w:pStyle w:val="2"/>
        <w:rPr>
          <w:color w:val="auto"/>
          <w:highlight w:val="none"/>
        </w:rPr>
      </w:pPr>
    </w:p>
    <w:p w14:paraId="68FC5CB0">
      <w:pPr>
        <w:spacing w:line="380" w:lineRule="exact"/>
        <w:rPr>
          <w:rFonts w:hint="eastAsia" w:ascii="宋体" w:hAnsi="宋体" w:eastAsia="宋体" w:cs="Times New Roman"/>
          <w:b/>
          <w:color w:val="auto"/>
          <w:sz w:val="22"/>
          <w:szCs w:val="22"/>
          <w:highlight w:val="none"/>
        </w:rPr>
      </w:pPr>
      <w:r>
        <w:rPr>
          <w:rFonts w:ascii="宋体" w:hAnsi="宋体" w:eastAsia="宋体" w:cs="Times New Roman"/>
          <w:b/>
          <w:color w:val="auto"/>
          <w:sz w:val="22"/>
          <w:szCs w:val="22"/>
          <w:highlight w:val="none"/>
        </w:rPr>
        <w:t>日</w:t>
      </w:r>
      <w:r>
        <w:rPr>
          <w:rFonts w:hint="eastAsia" w:ascii="宋体" w:hAnsi="宋体" w:eastAsia="宋体" w:cs="Times New Roman"/>
          <w:b/>
          <w:color w:val="auto"/>
          <w:sz w:val="22"/>
          <w:szCs w:val="22"/>
          <w:highlight w:val="none"/>
        </w:rPr>
        <w:t xml:space="preserve">  </w:t>
      </w:r>
      <w:r>
        <w:rPr>
          <w:rFonts w:ascii="宋体" w:hAnsi="宋体" w:eastAsia="宋体" w:cs="Times New Roman"/>
          <w:b/>
          <w:color w:val="auto"/>
          <w:sz w:val="22"/>
          <w:szCs w:val="22"/>
          <w:highlight w:val="none"/>
        </w:rPr>
        <w:t>期：</w:t>
      </w:r>
      <w:r>
        <w:rPr>
          <w:rFonts w:hint="eastAsia" w:ascii="宋体" w:hAnsi="宋体" w:eastAsia="宋体" w:cs="Times New Roman"/>
          <w:b/>
          <w:color w:val="auto"/>
          <w:sz w:val="22"/>
          <w:szCs w:val="22"/>
          <w:highlight w:val="none"/>
        </w:rPr>
        <w:t xml:space="preserve">202  年  月  日                      </w:t>
      </w:r>
      <w:r>
        <w:rPr>
          <w:rFonts w:ascii="宋体" w:hAnsi="宋体" w:eastAsia="宋体" w:cs="Times New Roman"/>
          <w:b/>
          <w:color w:val="auto"/>
          <w:sz w:val="22"/>
          <w:szCs w:val="22"/>
          <w:highlight w:val="none"/>
        </w:rPr>
        <w:t>日</w:t>
      </w:r>
      <w:r>
        <w:rPr>
          <w:rFonts w:hint="eastAsia" w:ascii="宋体" w:hAnsi="宋体" w:eastAsia="宋体" w:cs="Times New Roman"/>
          <w:b/>
          <w:color w:val="auto"/>
          <w:sz w:val="22"/>
          <w:szCs w:val="22"/>
          <w:highlight w:val="none"/>
        </w:rPr>
        <w:t xml:space="preserve">  </w:t>
      </w:r>
      <w:r>
        <w:rPr>
          <w:rFonts w:ascii="宋体" w:hAnsi="宋体" w:eastAsia="宋体" w:cs="Times New Roman"/>
          <w:b/>
          <w:color w:val="auto"/>
          <w:sz w:val="22"/>
          <w:szCs w:val="22"/>
          <w:highlight w:val="none"/>
        </w:rPr>
        <w:t>期：</w:t>
      </w:r>
      <w:r>
        <w:rPr>
          <w:rFonts w:hint="eastAsia" w:ascii="宋体" w:hAnsi="宋体" w:eastAsia="宋体" w:cs="Times New Roman"/>
          <w:b/>
          <w:color w:val="auto"/>
          <w:sz w:val="22"/>
          <w:szCs w:val="22"/>
          <w:highlight w:val="none"/>
        </w:rPr>
        <w:t>202  年  月  日</w:t>
      </w:r>
    </w:p>
    <w:p w14:paraId="7493ED03">
      <w:pPr>
        <w:pStyle w:val="26"/>
        <w:rPr>
          <w:rFonts w:hint="eastAsia"/>
          <w:color w:val="auto"/>
          <w:highlight w:val="none"/>
        </w:rPr>
      </w:pPr>
    </w:p>
    <w:p w14:paraId="5FD3B544">
      <w:pPr>
        <w:pStyle w:val="26"/>
        <w:rPr>
          <w:rFonts w:hint="eastAsia"/>
          <w:color w:val="auto"/>
          <w:highlight w:val="none"/>
        </w:rPr>
      </w:pPr>
    </w:p>
    <w:p w14:paraId="04389FD1">
      <w:pPr>
        <w:pStyle w:val="27"/>
        <w:ind w:firstLine="210"/>
        <w:rPr>
          <w:rFonts w:hint="eastAsia"/>
          <w:color w:val="auto"/>
          <w:highlight w:val="none"/>
        </w:rPr>
      </w:pPr>
    </w:p>
    <w:p w14:paraId="392BEAD8">
      <w:pPr>
        <w:pStyle w:val="28"/>
        <w:rPr>
          <w:rFonts w:hint="eastAsia"/>
          <w:color w:val="auto"/>
          <w:highlight w:val="none"/>
        </w:rPr>
      </w:pPr>
    </w:p>
    <w:p w14:paraId="35966C86">
      <w:pPr>
        <w:pStyle w:val="5"/>
        <w:rPr>
          <w:rFonts w:hint="eastAsia" w:ascii="宋体" w:hAnsi="宋体" w:eastAsia="宋体" w:cs="宋体"/>
          <w:color w:val="auto"/>
          <w:sz w:val="36"/>
          <w:szCs w:val="36"/>
          <w:highlight w:val="none"/>
        </w:rPr>
      </w:pPr>
      <w:bookmarkStart w:id="174" w:name="_Toc2848"/>
      <w:r>
        <w:rPr>
          <w:rFonts w:hint="eastAsia" w:ascii="宋体" w:hAnsi="宋体" w:eastAsia="宋体" w:cs="宋体"/>
          <w:color w:val="auto"/>
          <w:sz w:val="36"/>
          <w:szCs w:val="36"/>
          <w:highlight w:val="none"/>
        </w:rPr>
        <w:t>第三部分   附件</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5BBDB9A5">
      <w:pPr>
        <w:spacing w:line="460" w:lineRule="exact"/>
        <w:jc w:val="center"/>
        <w:rPr>
          <w:rFonts w:hint="eastAsia" w:ascii="宋体" w:hAnsi="宋体" w:eastAsia="宋体" w:cs="宋体"/>
          <w:b/>
          <w:bCs/>
          <w:color w:val="auto"/>
          <w:sz w:val="22"/>
          <w:szCs w:val="22"/>
          <w:highlight w:val="none"/>
          <w:lang w:val="en-US" w:eastAsia="zh-CN"/>
        </w:rPr>
      </w:pPr>
      <w:r>
        <w:rPr>
          <w:rFonts w:hint="eastAsia" w:ascii="宋体" w:hAnsi="宋体" w:cs="宋体"/>
          <w:b/>
          <w:bCs/>
          <w:color w:val="auto"/>
          <w:sz w:val="28"/>
          <w:szCs w:val="28"/>
          <w:highlight w:val="none"/>
        </w:rPr>
        <w:t>资格审查</w:t>
      </w:r>
      <w:r>
        <w:rPr>
          <w:rFonts w:hint="eastAsia" w:ascii="宋体" w:hAnsi="宋体" w:cs="宋体"/>
          <w:b/>
          <w:bCs/>
          <w:color w:val="auto"/>
          <w:sz w:val="28"/>
          <w:szCs w:val="28"/>
          <w:highlight w:val="none"/>
          <w:lang w:val="en-US" w:eastAsia="zh-CN"/>
        </w:rPr>
        <w:t>资料</w:t>
      </w:r>
    </w:p>
    <w:p w14:paraId="088BD661">
      <w:pPr>
        <w:spacing w:line="46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附件一</w:t>
      </w:r>
    </w:p>
    <w:p w14:paraId="255E4E73">
      <w:pPr>
        <w:spacing w:line="460" w:lineRule="exact"/>
        <w:jc w:val="center"/>
        <w:rPr>
          <w:rFonts w:hint="eastAsia" w:ascii="宋体" w:hAnsi="宋体" w:cs="宋体"/>
          <w:b/>
          <w:bCs/>
          <w:color w:val="auto"/>
          <w:sz w:val="28"/>
          <w:szCs w:val="28"/>
          <w:highlight w:val="none"/>
        </w:rPr>
      </w:pPr>
    </w:p>
    <w:p w14:paraId="1BD2050C">
      <w:pPr>
        <w:spacing w:line="460" w:lineRule="exact"/>
        <w:jc w:val="center"/>
        <w:rPr>
          <w:rFonts w:hint="eastAsia" w:ascii="宋体" w:hAnsi="宋体" w:cs="宋体"/>
          <w:color w:val="auto"/>
          <w:sz w:val="28"/>
          <w:szCs w:val="28"/>
          <w:highlight w:val="none"/>
        </w:rPr>
      </w:pPr>
    </w:p>
    <w:p w14:paraId="412BB077">
      <w:pPr>
        <w:spacing w:line="380" w:lineRule="exact"/>
        <w:jc w:val="center"/>
        <w:rPr>
          <w:rFonts w:hint="eastAsia" w:ascii="宋体" w:hAnsi="宋体" w:cs="宋体"/>
          <w:b/>
          <w:color w:val="auto"/>
          <w:sz w:val="24"/>
          <w:highlight w:val="none"/>
        </w:rPr>
      </w:pPr>
      <w:r>
        <w:rPr>
          <w:rFonts w:hint="eastAsia" w:ascii="宋体" w:hAnsi="宋体" w:cs="宋体"/>
          <w:b/>
          <w:color w:val="auto"/>
          <w:sz w:val="24"/>
          <w:highlight w:val="none"/>
        </w:rPr>
        <w:t>（1）-1法定代表人（负责人）声明书</w:t>
      </w:r>
    </w:p>
    <w:p w14:paraId="492C406A">
      <w:pPr>
        <w:spacing w:line="400" w:lineRule="exact"/>
        <w:rPr>
          <w:rFonts w:hint="eastAsia" w:ascii="宋体" w:hAnsi="宋体" w:cs="宋体"/>
          <w:color w:val="auto"/>
          <w:highlight w:val="none"/>
        </w:rPr>
      </w:pPr>
    </w:p>
    <w:p w14:paraId="1ADC5BC1">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温州市鹿城区藤桥镇人民政府：</w:t>
      </w:r>
    </w:p>
    <w:p w14:paraId="20967967">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w:t>
      </w:r>
    </w:p>
    <w:p w14:paraId="3BB0CB4B">
      <w:pPr>
        <w:spacing w:line="460" w:lineRule="exact"/>
        <w:rPr>
          <w:rFonts w:hint="eastAsia" w:ascii="宋体" w:hAnsi="宋体" w:cs="宋体"/>
          <w:color w:val="auto"/>
          <w:sz w:val="22"/>
          <w:szCs w:val="22"/>
          <w:highlight w:val="none"/>
          <w:u w:val="single"/>
        </w:rPr>
      </w:pPr>
    </w:p>
    <w:p w14:paraId="281E3463">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本人</w:t>
      </w:r>
      <w:r>
        <w:rPr>
          <w:rFonts w:hint="eastAsia" w:ascii="宋体" w:hAnsi="宋体" w:cs="宋体"/>
          <w:color w:val="auto"/>
          <w:sz w:val="22"/>
          <w:szCs w:val="22"/>
          <w:highlight w:val="none"/>
          <w:u w:val="single"/>
        </w:rPr>
        <w:t>（法定代表人（负责人）姓名）</w:t>
      </w:r>
      <w:r>
        <w:rPr>
          <w:rFonts w:hint="eastAsia" w:ascii="宋体" w:hAnsi="宋体" w:cs="宋体"/>
          <w:color w:val="auto"/>
          <w:sz w:val="22"/>
          <w:szCs w:val="22"/>
          <w:highlight w:val="none"/>
        </w:rPr>
        <w:t>为</w:t>
      </w: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的法定代表人（负责人）。我公司参加贵处组织的</w:t>
      </w:r>
      <w:r>
        <w:rPr>
          <w:rFonts w:hint="eastAsia" w:ascii="宋体" w:hAnsi="宋体" w:cs="宋体"/>
          <w:color w:val="auto"/>
          <w:sz w:val="22"/>
          <w:szCs w:val="22"/>
          <w:highlight w:val="none"/>
          <w:u w:val="single"/>
        </w:rPr>
        <w:t>（采购项目名称、采购编号）</w:t>
      </w:r>
      <w:r>
        <w:rPr>
          <w:rFonts w:hint="eastAsia" w:ascii="宋体" w:hAnsi="宋体" w:cs="宋体"/>
          <w:color w:val="auto"/>
          <w:sz w:val="22"/>
          <w:szCs w:val="22"/>
          <w:highlight w:val="none"/>
        </w:rPr>
        <w:t>的采购活动，由我本人全权代表我方处理采购活动中的一切事宜。联系方式如下：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58B0F3A5">
      <w:pPr>
        <w:spacing w:line="400" w:lineRule="exact"/>
        <w:rPr>
          <w:rFonts w:hint="eastAsia" w:ascii="宋体" w:hAnsi="宋体" w:cs="宋体"/>
          <w:color w:val="auto"/>
          <w:highlight w:val="none"/>
        </w:rPr>
      </w:pPr>
    </w:p>
    <w:p w14:paraId="078C1C5D">
      <w:pPr>
        <w:spacing w:line="400" w:lineRule="exact"/>
        <w:rPr>
          <w:rFonts w:hint="eastAsia" w:ascii="宋体" w:hAnsi="宋体" w:cs="宋体"/>
          <w:color w:val="auto"/>
          <w:highlight w:val="none"/>
        </w:rPr>
      </w:pPr>
    </w:p>
    <w:p w14:paraId="3DD588F4">
      <w:pPr>
        <w:spacing w:line="400" w:lineRule="exact"/>
        <w:rPr>
          <w:rFonts w:hint="eastAsia" w:ascii="宋体" w:hAnsi="宋体" w:cs="宋体"/>
          <w:color w:val="auto"/>
          <w:highlight w:val="none"/>
        </w:rPr>
      </w:pPr>
    </w:p>
    <w:p w14:paraId="0CD09798">
      <w:pPr>
        <w:spacing w:line="460" w:lineRule="exact"/>
        <w:ind w:firstLine="3971" w:firstLineChars="1805"/>
        <w:rPr>
          <w:rFonts w:hint="eastAsia" w:ascii="宋体" w:hAnsi="宋体" w:cs="宋体"/>
          <w:color w:val="auto"/>
          <w:sz w:val="22"/>
          <w:szCs w:val="22"/>
          <w:highlight w:val="none"/>
        </w:rPr>
      </w:pPr>
    </w:p>
    <w:p w14:paraId="49C20C60">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47609B8A">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40363390">
      <w:pPr>
        <w:spacing w:line="460" w:lineRule="exact"/>
        <w:rPr>
          <w:rFonts w:hint="eastAsia" w:ascii="宋体" w:hAnsi="宋体" w:cs="宋体"/>
          <w:color w:val="auto"/>
          <w:sz w:val="22"/>
          <w:szCs w:val="22"/>
          <w:highlight w:val="none"/>
        </w:rPr>
      </w:pPr>
    </w:p>
    <w:p w14:paraId="2458DA24">
      <w:pPr>
        <w:widowControl/>
        <w:jc w:val="left"/>
        <w:rPr>
          <w:rFonts w:hint="eastAsia" w:ascii="宋体" w:hAnsi="宋体" w:cs="宋体"/>
          <w:color w:val="auto"/>
          <w:szCs w:val="21"/>
          <w:highlight w:val="none"/>
        </w:rPr>
      </w:pPr>
    </w:p>
    <w:p w14:paraId="1C3C26B6">
      <w:pPr>
        <w:widowControl/>
        <w:jc w:val="left"/>
        <w:rPr>
          <w:rFonts w:hint="eastAsia" w:ascii="宋体" w:hAnsi="宋体" w:cs="宋体"/>
          <w:color w:val="auto"/>
          <w:szCs w:val="21"/>
          <w:highlight w:val="none"/>
        </w:rPr>
      </w:pPr>
    </w:p>
    <w:p w14:paraId="7DC6F2AB">
      <w:pPr>
        <w:widowControl/>
        <w:jc w:val="left"/>
        <w:rPr>
          <w:rFonts w:hint="eastAsia" w:ascii="宋体" w:hAnsi="宋体" w:cs="宋体"/>
          <w:color w:val="auto"/>
          <w:szCs w:val="21"/>
          <w:highlight w:val="none"/>
        </w:rPr>
      </w:pPr>
      <w:r>
        <w:rPr>
          <w:rFonts w:hint="eastAsia" w:ascii="宋体" w:hAnsi="宋体" w:cs="宋体"/>
          <w:b/>
          <w:color w:val="auto"/>
          <w:sz w:val="22"/>
          <w:szCs w:val="22"/>
          <w:highlight w:val="none"/>
        </w:rPr>
        <w:t>附：法定代表人（负责人）身份证正反面复印件</w:t>
      </w:r>
      <w:r>
        <w:rPr>
          <w:rFonts w:hint="eastAsia" w:ascii="宋体" w:hAnsi="宋体" w:cs="宋体"/>
          <w:color w:val="auto"/>
          <w:szCs w:val="21"/>
          <w:highlight w:val="none"/>
        </w:rPr>
        <w:br w:type="page"/>
      </w:r>
    </w:p>
    <w:p w14:paraId="3803464F">
      <w:pPr>
        <w:spacing w:line="380" w:lineRule="exact"/>
        <w:jc w:val="center"/>
        <w:rPr>
          <w:rFonts w:hint="eastAsia" w:ascii="宋体" w:hAnsi="宋体" w:cs="宋体"/>
          <w:b/>
          <w:color w:val="auto"/>
          <w:sz w:val="28"/>
          <w:szCs w:val="28"/>
          <w:highlight w:val="none"/>
        </w:rPr>
      </w:pPr>
    </w:p>
    <w:p w14:paraId="0CA962AD">
      <w:pPr>
        <w:spacing w:line="380" w:lineRule="exact"/>
        <w:jc w:val="center"/>
        <w:rPr>
          <w:rFonts w:hint="eastAsia" w:ascii="宋体" w:hAnsi="宋体" w:cs="宋体"/>
          <w:b/>
          <w:color w:val="auto"/>
          <w:sz w:val="24"/>
          <w:highlight w:val="none"/>
        </w:rPr>
      </w:pPr>
      <w:r>
        <w:rPr>
          <w:rFonts w:hint="eastAsia" w:ascii="宋体" w:hAnsi="宋体" w:cs="宋体"/>
          <w:b/>
          <w:color w:val="auto"/>
          <w:sz w:val="24"/>
          <w:highlight w:val="none"/>
        </w:rPr>
        <w:t>（1）-2法定代表人（负责人）授权</w:t>
      </w:r>
      <w:r>
        <w:rPr>
          <w:rFonts w:hint="eastAsia" w:ascii="宋体" w:hAnsi="宋体" w:cs="宋体"/>
          <w:b/>
          <w:color w:val="auto"/>
          <w:sz w:val="24"/>
          <w:highlight w:val="none"/>
          <w:lang w:val="en-US" w:eastAsia="zh-CN"/>
        </w:rPr>
        <w:t>委托</w:t>
      </w:r>
      <w:r>
        <w:rPr>
          <w:rFonts w:hint="eastAsia" w:ascii="宋体" w:hAnsi="宋体" w:cs="宋体"/>
          <w:b/>
          <w:color w:val="auto"/>
          <w:sz w:val="24"/>
          <w:highlight w:val="none"/>
        </w:rPr>
        <w:t>书</w:t>
      </w:r>
    </w:p>
    <w:p w14:paraId="345AA709">
      <w:pPr>
        <w:spacing w:line="400" w:lineRule="exact"/>
        <w:jc w:val="center"/>
        <w:rPr>
          <w:rFonts w:hint="eastAsia" w:ascii="宋体" w:hAnsi="宋体" w:cs="宋体"/>
          <w:b/>
          <w:bCs/>
          <w:color w:val="auto"/>
          <w:sz w:val="28"/>
          <w:szCs w:val="28"/>
          <w:highlight w:val="none"/>
        </w:rPr>
      </w:pPr>
    </w:p>
    <w:p w14:paraId="403B6E9B">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温州市鹿城区藤桥镇人民政府：</w:t>
      </w:r>
    </w:p>
    <w:p w14:paraId="1B6C6F51">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w:t>
      </w:r>
    </w:p>
    <w:p w14:paraId="0E76BD73">
      <w:pPr>
        <w:spacing w:line="460" w:lineRule="exact"/>
        <w:rPr>
          <w:rFonts w:hint="eastAsia" w:ascii="宋体" w:hAnsi="宋体" w:cs="宋体"/>
          <w:color w:val="auto"/>
          <w:sz w:val="22"/>
          <w:szCs w:val="22"/>
          <w:highlight w:val="none"/>
          <w:u w:val="single"/>
        </w:rPr>
      </w:pPr>
    </w:p>
    <w:p w14:paraId="315BABFE">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 xml:space="preserve">法定代表人（负责人） </w:t>
      </w:r>
      <w:r>
        <w:rPr>
          <w:rFonts w:hint="eastAsia" w:ascii="宋体" w:hAnsi="宋体" w:cs="宋体"/>
          <w:color w:val="auto"/>
          <w:sz w:val="22"/>
          <w:szCs w:val="22"/>
          <w:highlight w:val="none"/>
          <w:u w:val="single"/>
        </w:rPr>
        <w:t>（法定代表人（负责人）姓名）</w:t>
      </w:r>
      <w:r>
        <w:rPr>
          <w:rFonts w:hint="eastAsia" w:ascii="宋体" w:hAnsi="宋体" w:cs="宋体"/>
          <w:color w:val="auto"/>
          <w:sz w:val="22"/>
          <w:szCs w:val="22"/>
          <w:highlight w:val="none"/>
        </w:rPr>
        <w:t xml:space="preserve"> 授权</w:t>
      </w:r>
      <w:r>
        <w:rPr>
          <w:rFonts w:hint="eastAsia" w:ascii="宋体" w:hAnsi="宋体" w:cs="宋体"/>
          <w:color w:val="auto"/>
          <w:sz w:val="22"/>
          <w:szCs w:val="22"/>
          <w:highlight w:val="none"/>
          <w:u w:val="single"/>
        </w:rPr>
        <w:t>（全权代表姓名）</w:t>
      </w:r>
      <w:r>
        <w:rPr>
          <w:rFonts w:hint="eastAsia" w:ascii="宋体" w:hAnsi="宋体" w:cs="宋体"/>
          <w:color w:val="auto"/>
          <w:sz w:val="22"/>
          <w:szCs w:val="22"/>
          <w:highlight w:val="none"/>
        </w:rPr>
        <w:t>为本项目全权代表，参加贵处组织的</w:t>
      </w:r>
      <w:r>
        <w:rPr>
          <w:rFonts w:hint="eastAsia" w:ascii="宋体" w:hAnsi="宋体" w:cs="宋体"/>
          <w:color w:val="auto"/>
          <w:sz w:val="22"/>
          <w:szCs w:val="22"/>
          <w:highlight w:val="none"/>
          <w:u w:val="single"/>
        </w:rPr>
        <w:t>（项目名称、项目编号）</w:t>
      </w:r>
      <w:r>
        <w:rPr>
          <w:rFonts w:hint="eastAsia" w:ascii="宋体" w:hAnsi="宋体" w:cs="宋体"/>
          <w:color w:val="auto"/>
          <w:sz w:val="22"/>
          <w:szCs w:val="22"/>
          <w:highlight w:val="none"/>
        </w:rPr>
        <w:t>的采购活动，全权代表我方处理采购活动中的一切事宜。联系方式如下：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3C0E4685">
      <w:pPr>
        <w:spacing w:line="460" w:lineRule="exact"/>
        <w:ind w:firstLine="220" w:firstLineChars="100"/>
        <w:rPr>
          <w:rFonts w:hint="eastAsia" w:ascii="宋体" w:hAnsi="宋体" w:cs="宋体"/>
          <w:color w:val="auto"/>
          <w:sz w:val="22"/>
          <w:szCs w:val="22"/>
          <w:highlight w:val="none"/>
        </w:rPr>
      </w:pPr>
    </w:p>
    <w:p w14:paraId="4B6540F2">
      <w:pPr>
        <w:spacing w:line="460" w:lineRule="exact"/>
        <w:ind w:firstLine="550" w:firstLineChars="250"/>
        <w:rPr>
          <w:rFonts w:hint="eastAsia" w:ascii="宋体" w:hAnsi="宋体" w:cs="宋体"/>
          <w:color w:val="auto"/>
          <w:sz w:val="22"/>
          <w:szCs w:val="22"/>
          <w:highlight w:val="none"/>
        </w:rPr>
      </w:pPr>
    </w:p>
    <w:p w14:paraId="54460515">
      <w:pPr>
        <w:spacing w:line="460" w:lineRule="exact"/>
        <w:ind w:firstLine="2955"/>
        <w:rPr>
          <w:rFonts w:hint="eastAsia" w:ascii="宋体" w:hAnsi="宋体" w:cs="宋体"/>
          <w:color w:val="auto"/>
          <w:sz w:val="22"/>
          <w:szCs w:val="22"/>
          <w:highlight w:val="none"/>
        </w:rPr>
      </w:pPr>
    </w:p>
    <w:p w14:paraId="5C7F9B32">
      <w:pPr>
        <w:spacing w:line="460" w:lineRule="exact"/>
        <w:ind w:firstLine="2955"/>
        <w:rPr>
          <w:rFonts w:hint="eastAsia" w:ascii="宋体" w:hAnsi="宋体" w:cs="宋体"/>
          <w:color w:val="auto"/>
          <w:sz w:val="22"/>
          <w:szCs w:val="22"/>
          <w:highlight w:val="none"/>
        </w:rPr>
      </w:pPr>
    </w:p>
    <w:p w14:paraId="0E697962">
      <w:pPr>
        <w:spacing w:line="460" w:lineRule="exact"/>
        <w:ind w:firstLine="3971" w:firstLineChars="1805"/>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 (签字或盖章)：</w:t>
      </w:r>
    </w:p>
    <w:p w14:paraId="208393CA">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1774AB66">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0BD7DF6C">
      <w:pPr>
        <w:spacing w:line="460" w:lineRule="exact"/>
        <w:rPr>
          <w:rFonts w:hint="eastAsia" w:ascii="宋体" w:hAnsi="宋体" w:cs="宋体"/>
          <w:color w:val="auto"/>
          <w:sz w:val="22"/>
          <w:szCs w:val="22"/>
          <w:highlight w:val="none"/>
        </w:rPr>
      </w:pPr>
    </w:p>
    <w:p w14:paraId="6D8E871D">
      <w:pPr>
        <w:spacing w:line="460" w:lineRule="exact"/>
        <w:rPr>
          <w:rFonts w:hint="eastAsia" w:ascii="宋体" w:hAnsi="宋体" w:cs="宋体"/>
          <w:color w:val="auto"/>
          <w:sz w:val="22"/>
          <w:szCs w:val="22"/>
          <w:highlight w:val="none"/>
        </w:rPr>
      </w:pPr>
    </w:p>
    <w:p w14:paraId="2B510357">
      <w:pPr>
        <w:spacing w:line="460" w:lineRule="exact"/>
        <w:rPr>
          <w:rFonts w:hint="eastAsia" w:ascii="宋体" w:hAnsi="宋体" w:cs="宋体"/>
          <w:color w:val="auto"/>
          <w:sz w:val="22"/>
          <w:szCs w:val="22"/>
          <w:highlight w:val="none"/>
        </w:rPr>
      </w:pPr>
      <w:r>
        <w:rPr>
          <w:rFonts w:hint="eastAsia" w:ascii="宋体" w:hAnsi="宋体" w:cs="宋体"/>
          <w:b/>
          <w:color w:val="auto"/>
          <w:sz w:val="22"/>
          <w:szCs w:val="22"/>
          <w:highlight w:val="none"/>
        </w:rPr>
        <w:t>附：法定代表人（负责人）及授权代表的身份证正反面复印件</w:t>
      </w:r>
    </w:p>
    <w:p w14:paraId="3641194B">
      <w:pPr>
        <w:spacing w:line="460" w:lineRule="exact"/>
        <w:rPr>
          <w:rFonts w:hint="eastAsia" w:ascii="宋体" w:hAnsi="宋体" w:cs="宋体"/>
          <w:color w:val="auto"/>
          <w:sz w:val="22"/>
          <w:szCs w:val="22"/>
          <w:highlight w:val="none"/>
        </w:rPr>
      </w:pPr>
    </w:p>
    <w:p w14:paraId="150F9EF8">
      <w:pPr>
        <w:widowControl/>
        <w:jc w:val="left"/>
        <w:rPr>
          <w:rFonts w:hint="eastAsia" w:ascii="宋体" w:hAnsi="宋体" w:cs="宋体"/>
          <w:b/>
          <w:bCs/>
          <w:color w:val="auto"/>
          <w:highlight w:val="none"/>
        </w:rPr>
      </w:pPr>
    </w:p>
    <w:p w14:paraId="5750AD47">
      <w:pPr>
        <w:widowControl/>
        <w:jc w:val="left"/>
        <w:rPr>
          <w:rFonts w:hint="eastAsia" w:ascii="宋体" w:hAnsi="宋体" w:cs="宋体"/>
          <w:b/>
          <w:bCs/>
          <w:color w:val="auto"/>
          <w:highlight w:val="none"/>
        </w:rPr>
      </w:pPr>
    </w:p>
    <w:p w14:paraId="32696890">
      <w:pPr>
        <w:widowControl/>
        <w:jc w:val="left"/>
        <w:rPr>
          <w:rFonts w:hint="eastAsia" w:ascii="宋体" w:hAnsi="宋体" w:cs="宋体"/>
          <w:b/>
          <w:bCs/>
          <w:color w:val="auto"/>
          <w:highlight w:val="none"/>
        </w:rPr>
      </w:pPr>
    </w:p>
    <w:p w14:paraId="5FCAD5B9">
      <w:pPr>
        <w:widowControl/>
        <w:jc w:val="left"/>
        <w:rPr>
          <w:rFonts w:hint="eastAsia" w:ascii="宋体" w:hAnsi="宋体" w:cs="宋体"/>
          <w:b/>
          <w:bCs/>
          <w:color w:val="auto"/>
          <w:highlight w:val="none"/>
        </w:rPr>
      </w:pPr>
    </w:p>
    <w:p w14:paraId="07A9897E">
      <w:pPr>
        <w:widowControl/>
        <w:jc w:val="left"/>
        <w:rPr>
          <w:rFonts w:hint="eastAsia" w:ascii="宋体" w:hAnsi="宋体" w:cs="宋体"/>
          <w:b/>
          <w:bCs/>
          <w:color w:val="auto"/>
          <w:highlight w:val="none"/>
        </w:rPr>
      </w:pPr>
    </w:p>
    <w:p w14:paraId="6981A21C">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说明：</w:t>
      </w:r>
    </w:p>
    <w:p w14:paraId="4FA4C924">
      <w:pPr>
        <w:spacing w:line="460" w:lineRule="exact"/>
        <w:rPr>
          <w:rFonts w:hint="eastAsia" w:ascii="宋体" w:hAnsi="宋体" w:cs="宋体"/>
          <w:color w:val="auto"/>
          <w:sz w:val="22"/>
          <w:szCs w:val="22"/>
          <w:highlight w:val="none"/>
        </w:rPr>
      </w:pPr>
      <w:r>
        <w:rPr>
          <w:rFonts w:hint="eastAsia" w:ascii="宋体" w:hAnsi="宋体" w:cs="宋体"/>
          <w:b/>
          <w:color w:val="auto"/>
          <w:sz w:val="22"/>
          <w:szCs w:val="22"/>
          <w:highlight w:val="none"/>
        </w:rPr>
        <w:t>1、若供应商代表为法定代表人，应提供声明书（1）-1并提交法定代表人（负责人）身份证正反面复印件；</w:t>
      </w:r>
    </w:p>
    <w:p w14:paraId="0B1F4EA5">
      <w:pPr>
        <w:spacing w:line="460" w:lineRule="exact"/>
        <w:rPr>
          <w:rFonts w:hint="eastAsia" w:ascii="宋体" w:hAnsi="宋体" w:cs="宋体"/>
          <w:color w:val="auto"/>
          <w:sz w:val="22"/>
          <w:szCs w:val="22"/>
          <w:highlight w:val="none"/>
        </w:rPr>
      </w:pPr>
      <w:r>
        <w:rPr>
          <w:rFonts w:hint="eastAsia" w:ascii="宋体" w:hAnsi="宋体" w:cs="宋体"/>
          <w:b/>
          <w:color w:val="auto"/>
          <w:sz w:val="22"/>
          <w:szCs w:val="22"/>
          <w:highlight w:val="none"/>
        </w:rPr>
        <w:t>2、若供应商代表为法定代表人授权的委托代理人，应提供授权</w:t>
      </w:r>
      <w:r>
        <w:rPr>
          <w:rFonts w:hint="eastAsia" w:ascii="宋体" w:hAnsi="宋体" w:cs="宋体"/>
          <w:b/>
          <w:color w:val="auto"/>
          <w:sz w:val="22"/>
          <w:szCs w:val="22"/>
          <w:highlight w:val="none"/>
          <w:lang w:val="en-US" w:eastAsia="zh-CN"/>
        </w:rPr>
        <w:t>委托</w:t>
      </w:r>
      <w:r>
        <w:rPr>
          <w:rFonts w:hint="eastAsia" w:ascii="宋体" w:hAnsi="宋体" w:cs="宋体"/>
          <w:b/>
          <w:color w:val="auto"/>
          <w:sz w:val="22"/>
          <w:szCs w:val="22"/>
          <w:highlight w:val="none"/>
        </w:rPr>
        <w:t>书（1）-2，并附法定代表人（负责人）及授权代表的身份证正反面复印件。</w:t>
      </w:r>
    </w:p>
    <w:p w14:paraId="1F0902C9">
      <w:pPr>
        <w:spacing w:line="460" w:lineRule="exact"/>
        <w:rPr>
          <w:rFonts w:hint="eastAsia" w:ascii="宋体" w:hAnsi="宋体" w:cs="宋体"/>
          <w:color w:val="auto"/>
          <w:sz w:val="22"/>
          <w:szCs w:val="22"/>
          <w:highlight w:val="none"/>
        </w:rPr>
      </w:pPr>
    </w:p>
    <w:p w14:paraId="429568AA">
      <w:pPr>
        <w:spacing w:line="380" w:lineRule="exact"/>
        <w:jc w:val="center"/>
        <w:rPr>
          <w:rFonts w:hint="eastAsia" w:ascii="宋体" w:hAnsi="宋体" w:cs="宋体"/>
          <w:b/>
          <w:bCs/>
          <w:color w:val="auto"/>
          <w:sz w:val="32"/>
          <w:highlight w:val="none"/>
        </w:rPr>
      </w:pPr>
      <w:r>
        <w:rPr>
          <w:rFonts w:hint="eastAsia" w:ascii="宋体" w:hAnsi="宋体" w:cs="宋体"/>
          <w:b/>
          <w:bCs/>
          <w:color w:val="auto"/>
          <w:sz w:val="32"/>
          <w:highlight w:val="none"/>
        </w:rPr>
        <w:br w:type="page"/>
      </w:r>
    </w:p>
    <w:p w14:paraId="023011CD">
      <w:pPr>
        <w:spacing w:line="380" w:lineRule="exact"/>
        <w:jc w:val="center"/>
        <w:rPr>
          <w:rFonts w:hint="eastAsia" w:ascii="宋体" w:hAnsi="宋体" w:cs="宋体"/>
          <w:b/>
          <w:bCs/>
          <w:color w:val="auto"/>
          <w:sz w:val="32"/>
          <w:highlight w:val="none"/>
        </w:rPr>
      </w:pPr>
    </w:p>
    <w:p w14:paraId="73AFA74E">
      <w:pPr>
        <w:spacing w:line="380" w:lineRule="exact"/>
        <w:jc w:val="center"/>
        <w:rPr>
          <w:rFonts w:hint="eastAsia" w:ascii="宋体" w:hAnsi="宋体" w:cs="宋体"/>
          <w:b/>
          <w:color w:val="auto"/>
          <w:sz w:val="24"/>
          <w:szCs w:val="24"/>
          <w:highlight w:val="none"/>
        </w:rPr>
      </w:pPr>
      <w:r>
        <w:rPr>
          <w:rFonts w:hint="eastAsia" w:ascii="宋体" w:hAnsi="宋体" w:cs="宋体"/>
          <w:b/>
          <w:color w:val="auto"/>
          <w:sz w:val="24"/>
          <w:highlight w:val="none"/>
        </w:rPr>
        <w:t>（2）</w:t>
      </w:r>
      <w:r>
        <w:rPr>
          <w:rFonts w:hint="eastAsia" w:ascii="宋体" w:hAnsi="宋体" w:cs="宋体"/>
          <w:b/>
          <w:color w:val="auto"/>
          <w:sz w:val="24"/>
          <w:szCs w:val="24"/>
          <w:highlight w:val="none"/>
        </w:rPr>
        <w:t>投标供应商参与政府采购活动投标资格声明函</w:t>
      </w:r>
    </w:p>
    <w:p w14:paraId="5D474FBE">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温州市鹿城区藤桥镇人民政府：</w:t>
      </w:r>
    </w:p>
    <w:p w14:paraId="57C7A3C6">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w:t>
      </w:r>
    </w:p>
    <w:p w14:paraId="5A628F6F">
      <w:pPr>
        <w:spacing w:line="360" w:lineRule="auto"/>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我方此次参加本项目采购活动，郑重承诺：</w:t>
      </w:r>
    </w:p>
    <w:p w14:paraId="4E91ACF9">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（一）满足《中华人民共和国政府采购法》第二十二条第一款规定的条件：</w:t>
      </w:r>
    </w:p>
    <w:p w14:paraId="0B8BF8F7">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1、具有独立承担民事责任的能力；</w:t>
      </w:r>
    </w:p>
    <w:p w14:paraId="144A4BAF">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2、具有良好的商业信誉和健全的财务会计制度； </w:t>
      </w:r>
    </w:p>
    <w:p w14:paraId="2A9ABF63">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3、具有履行合同所必需的设备和专业技术能力；</w:t>
      </w:r>
    </w:p>
    <w:p w14:paraId="19B6F3EA">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4、有依法缴纳税收和社会保障资金的良好记录；</w:t>
      </w:r>
    </w:p>
    <w:p w14:paraId="4CAD7B03">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5、参加政府采购活动前三年内，在经营活动中没有重大违法记录；</w:t>
      </w:r>
    </w:p>
    <w:p w14:paraId="4FC1E81D">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6、具有法律、行政法规规定的其他条件。</w:t>
      </w:r>
    </w:p>
    <w:p w14:paraId="381AAF2A">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（二）未被信用中国（www.creditchina.gov.cn)、中国政府采购网（www.ccgp.gov.cn）列入失信被执行人、重大税收违法案件当事人名单、政府采购严重违法失信行为记录名单。</w:t>
      </w:r>
    </w:p>
    <w:p w14:paraId="42557447">
      <w:pPr>
        <w:spacing w:line="360" w:lineRule="auto"/>
        <w:rPr>
          <w:rFonts w:hint="eastAsia" w:ascii="宋体" w:hAnsi="宋体" w:cs="宋体"/>
          <w:color w:val="auto"/>
          <w:sz w:val="22"/>
          <w:szCs w:val="22"/>
          <w:highlight w:val="none"/>
        </w:rPr>
      </w:pPr>
    </w:p>
    <w:p w14:paraId="06D5953F">
      <w:pPr>
        <w:spacing w:line="360" w:lineRule="auto"/>
        <w:rPr>
          <w:rFonts w:hint="eastAsia" w:ascii="宋体" w:hAnsi="宋体" w:cs="宋体"/>
          <w:color w:val="auto"/>
          <w:sz w:val="22"/>
          <w:szCs w:val="22"/>
          <w:highlight w:val="none"/>
        </w:rPr>
      </w:pPr>
    </w:p>
    <w:p w14:paraId="25C19B42">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说明：</w:t>
      </w:r>
    </w:p>
    <w:p w14:paraId="1AEAE74E">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1、重大违法记录指因违法经营受到刑事处罚或者责令停产停业、吊销许可证或者执照、较大数额罚款等行政处罚，不包括因违法经营被禁止在一定期限内参加政府采购活动，但期限已经届满的情形。</w:t>
      </w:r>
    </w:p>
    <w:p w14:paraId="5DDC8DFF">
      <w:pPr>
        <w:spacing w:line="360" w:lineRule="auto"/>
        <w:jc w:val="center"/>
        <w:rPr>
          <w:rFonts w:hint="eastAsia" w:ascii="宋体" w:hAnsi="宋体" w:cs="宋体"/>
          <w:color w:val="auto"/>
          <w:sz w:val="22"/>
          <w:szCs w:val="22"/>
          <w:highlight w:val="none"/>
        </w:rPr>
      </w:pPr>
    </w:p>
    <w:p w14:paraId="649F0D21">
      <w:pPr>
        <w:spacing w:line="360" w:lineRule="auto"/>
        <w:jc w:val="center"/>
        <w:rPr>
          <w:rFonts w:hint="eastAsia" w:ascii="宋体" w:hAnsi="宋体" w:cs="宋体"/>
          <w:color w:val="auto"/>
          <w:sz w:val="22"/>
          <w:szCs w:val="22"/>
          <w:highlight w:val="none"/>
        </w:rPr>
      </w:pPr>
    </w:p>
    <w:p w14:paraId="743ED9D4">
      <w:pPr>
        <w:widowControl/>
        <w:adjustRightInd w:val="0"/>
        <w:snapToGrid w:val="0"/>
        <w:spacing w:line="440" w:lineRule="exact"/>
        <w:ind w:firstLine="440" w:firstLineChars="200"/>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供应商名称（盖章） ：</w:t>
      </w:r>
    </w:p>
    <w:p w14:paraId="636FC83C">
      <w:pPr>
        <w:widowControl/>
        <w:adjustRightInd w:val="0"/>
        <w:snapToGrid w:val="0"/>
        <w:spacing w:line="440" w:lineRule="exact"/>
        <w:ind w:firstLine="440" w:firstLineChars="200"/>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en-US" w:eastAsia="zh-CN"/>
        </w:rPr>
        <w:t xml:space="preserve">                         </w:t>
      </w:r>
      <w:r>
        <w:rPr>
          <w:rFonts w:hint="eastAsia" w:ascii="宋体" w:hAnsi="宋体" w:cs="宋体"/>
          <w:color w:val="auto"/>
          <w:kern w:val="0"/>
          <w:sz w:val="22"/>
          <w:szCs w:val="22"/>
          <w:highlight w:val="none"/>
        </w:rPr>
        <w:t>法定代表人（负责人）或授权代表（签字或盖章）：</w:t>
      </w:r>
    </w:p>
    <w:p w14:paraId="3552AE16">
      <w:pPr>
        <w:widowControl/>
        <w:adjustRightInd w:val="0"/>
        <w:snapToGrid w:val="0"/>
        <w:spacing w:line="440" w:lineRule="exact"/>
        <w:ind w:firstLine="440" w:firstLineChars="200"/>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14:paraId="18E7F0A5">
      <w:pPr>
        <w:spacing w:line="380" w:lineRule="exact"/>
        <w:jc w:val="center"/>
        <w:rPr>
          <w:rFonts w:hint="eastAsia" w:ascii="宋体" w:hAnsi="宋体" w:cs="宋体"/>
          <w:b/>
          <w:color w:val="auto"/>
          <w:sz w:val="24"/>
          <w:highlight w:val="none"/>
        </w:rPr>
      </w:pPr>
    </w:p>
    <w:p w14:paraId="6CEDE076">
      <w:pPr>
        <w:spacing w:line="240" w:lineRule="auto"/>
        <w:jc w:val="left"/>
        <w:rPr>
          <w:rFonts w:hint="eastAsia" w:ascii="宋体" w:hAnsi="宋体" w:cs="宋体"/>
          <w:b/>
          <w:color w:val="auto"/>
          <w:sz w:val="24"/>
          <w:highlight w:val="none"/>
        </w:rPr>
      </w:pPr>
      <w:r>
        <w:rPr>
          <w:rFonts w:hint="eastAsia" w:ascii="宋体" w:hAnsi="宋体" w:cs="宋体"/>
          <w:b/>
          <w:color w:val="auto"/>
          <w:sz w:val="24"/>
          <w:highlight w:val="none"/>
        </w:rPr>
        <w:br w:type="page"/>
      </w:r>
    </w:p>
    <w:p w14:paraId="713991BC">
      <w:pPr>
        <w:spacing w:line="380" w:lineRule="exact"/>
        <w:jc w:val="center"/>
        <w:rPr>
          <w:rFonts w:hint="eastAsia" w:ascii="宋体" w:hAnsi="宋体" w:cs="宋体"/>
          <w:b/>
          <w:color w:val="auto"/>
          <w:sz w:val="24"/>
          <w:highlight w:val="none"/>
        </w:rPr>
      </w:pPr>
    </w:p>
    <w:p w14:paraId="2FBC45A5">
      <w:pPr>
        <w:spacing w:line="380" w:lineRule="exact"/>
        <w:jc w:val="center"/>
        <w:rPr>
          <w:rFonts w:hint="eastAsia" w:ascii="宋体" w:hAnsi="宋体" w:cs="宋体"/>
          <w:b/>
          <w:bCs/>
          <w:color w:val="auto"/>
          <w:sz w:val="24"/>
          <w:highlight w:val="none"/>
        </w:rPr>
      </w:pP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w:t>
      </w:r>
      <w:r>
        <w:rPr>
          <w:rFonts w:hint="eastAsia" w:ascii="宋体" w:hAnsi="宋体" w:cs="宋体"/>
          <w:b/>
          <w:bCs/>
          <w:color w:val="auto"/>
          <w:sz w:val="24"/>
          <w:highlight w:val="none"/>
        </w:rPr>
        <w:t>营业执照(或事业法人登记证书或其它工商等登记证明材料)；</w:t>
      </w:r>
    </w:p>
    <w:p w14:paraId="158316ED">
      <w:pPr>
        <w:spacing w:line="460" w:lineRule="exact"/>
        <w:rPr>
          <w:rFonts w:hint="eastAsia" w:ascii="宋体" w:hAnsi="宋体" w:cs="宋体"/>
          <w:b/>
          <w:bCs/>
          <w:color w:val="auto"/>
          <w:sz w:val="24"/>
          <w:highlight w:val="none"/>
        </w:rPr>
      </w:pPr>
      <w:r>
        <w:rPr>
          <w:rFonts w:hint="eastAsia" w:ascii="宋体" w:hAnsi="宋体" w:cs="宋体"/>
          <w:b/>
          <w:bCs/>
          <w:color w:val="auto"/>
          <w:sz w:val="24"/>
          <w:highlight w:val="none"/>
        </w:rPr>
        <w:t>说明：</w:t>
      </w:r>
    </w:p>
    <w:p w14:paraId="1FF71791">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供应商为企业的，提供有效的营业执照复印件；供应商为事业单位的，提供有效的事业单位法人证书复印件；供应商为社会团体的，提供有效的社会团体法人登记证书复印件；供应商为合伙企业、个体工商户的，提供有效的营业执照复印件；供应商为非企业专业服务机构的，提供有效的执业许可证等证明材料复印件；供应商为自然人的，提供有效的自然人身份证件复印件；其他供应商应按照有关法律、法规和规章规定，提供有效的相应具体证照复印件。</w:t>
      </w:r>
    </w:p>
    <w:p w14:paraId="6658D557">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2、供应商提供的相应证明材料复印件均应符合：内容完整、清晰、整洁，并由供应商加盖其单位公章。</w:t>
      </w:r>
    </w:p>
    <w:p w14:paraId="6A5C61BF">
      <w:pPr>
        <w:spacing w:line="38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3、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谈判响应文件中提供相关材料），证明其具备实际承担责任的能力和法定的缔结合同能力，可以独立参加采购活动，由单位负责人签署相关文件材料</w:t>
      </w:r>
      <w:r>
        <w:rPr>
          <w:rFonts w:hint="eastAsia" w:ascii="宋体" w:hAnsi="宋体" w:cs="宋体"/>
          <w:color w:val="auto"/>
          <w:sz w:val="22"/>
          <w:szCs w:val="22"/>
          <w:highlight w:val="none"/>
          <w:lang w:eastAsia="zh-CN"/>
        </w:rPr>
        <w:t>。</w:t>
      </w:r>
    </w:p>
    <w:p w14:paraId="3D84EE67">
      <w:pPr>
        <w:spacing w:line="380" w:lineRule="exact"/>
        <w:rPr>
          <w:rFonts w:hint="eastAsia" w:ascii="宋体" w:hAnsi="宋体" w:cs="宋体"/>
          <w:bCs/>
          <w:color w:val="auto"/>
          <w:sz w:val="22"/>
          <w:szCs w:val="22"/>
          <w:highlight w:val="none"/>
        </w:rPr>
      </w:pPr>
    </w:p>
    <w:p w14:paraId="609E856D">
      <w:pPr>
        <w:spacing w:line="380" w:lineRule="exact"/>
        <w:rPr>
          <w:rFonts w:hint="eastAsia" w:ascii="宋体" w:hAnsi="宋体" w:cs="宋体"/>
          <w:b/>
          <w:bCs/>
          <w:color w:val="auto"/>
          <w:sz w:val="22"/>
          <w:szCs w:val="22"/>
          <w:highlight w:val="none"/>
        </w:rPr>
      </w:pPr>
    </w:p>
    <w:p w14:paraId="63AB29EE">
      <w:pPr>
        <w:spacing w:line="380" w:lineRule="exact"/>
        <w:rPr>
          <w:rFonts w:hint="eastAsia" w:ascii="宋体" w:hAnsi="宋体" w:cs="宋体"/>
          <w:b/>
          <w:bCs/>
          <w:color w:val="auto"/>
          <w:sz w:val="22"/>
          <w:szCs w:val="22"/>
          <w:highlight w:val="none"/>
        </w:rPr>
      </w:pPr>
    </w:p>
    <w:p w14:paraId="2E1F0B05">
      <w:pPr>
        <w:spacing w:line="380" w:lineRule="exact"/>
        <w:rPr>
          <w:rFonts w:hint="eastAsia" w:ascii="宋体" w:hAnsi="宋体" w:cs="宋体"/>
          <w:b/>
          <w:bCs/>
          <w:color w:val="auto"/>
          <w:sz w:val="22"/>
          <w:szCs w:val="22"/>
          <w:highlight w:val="none"/>
        </w:rPr>
      </w:pPr>
    </w:p>
    <w:p w14:paraId="2AC5F8E7">
      <w:pPr>
        <w:pStyle w:val="35"/>
        <w:snapToGrid w:val="0"/>
        <w:spacing w:line="460" w:lineRule="atLeast"/>
        <w:ind w:left="720" w:hanging="720"/>
        <w:rPr>
          <w:rFonts w:hint="eastAsia" w:hAnsi="宋体" w:cs="宋体"/>
          <w:b/>
          <w:color w:val="auto"/>
          <w:kern w:val="2"/>
          <w:sz w:val="24"/>
          <w:szCs w:val="24"/>
          <w:highlight w:val="none"/>
        </w:rPr>
      </w:pPr>
    </w:p>
    <w:p w14:paraId="14BFD7E5">
      <w:pPr>
        <w:widowControl/>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4</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谈判供应商“信用中国”(www.creditchina.gov.cn)；“中国政府采购网”（http://www.ccgp.gov.cn/）信用记录网页截图（采购公告发布之日至响应截止时间前）</w:t>
      </w:r>
    </w:p>
    <w:p w14:paraId="7C290260">
      <w:pPr>
        <w:spacing w:line="460" w:lineRule="exact"/>
        <w:jc w:val="center"/>
        <w:rPr>
          <w:rFonts w:hint="eastAsia" w:ascii="宋体" w:hAnsi="宋体" w:cs="宋体"/>
          <w:b/>
          <w:bCs/>
          <w:color w:val="auto"/>
          <w:sz w:val="28"/>
          <w:szCs w:val="28"/>
          <w:highlight w:val="none"/>
        </w:rPr>
      </w:pPr>
    </w:p>
    <w:p w14:paraId="5DF04B1A">
      <w:pPr>
        <w:spacing w:line="240" w:lineRule="auto"/>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br w:type="page"/>
      </w:r>
    </w:p>
    <w:p w14:paraId="3D83EBCD">
      <w:pPr>
        <w:spacing w:line="38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 xml:space="preserve">附件二 </w:t>
      </w:r>
    </w:p>
    <w:p w14:paraId="46205A52">
      <w:pPr>
        <w:spacing w:line="460" w:lineRule="exact"/>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谈判报价一览表</w:t>
      </w:r>
    </w:p>
    <w:p w14:paraId="540D178E">
      <w:pPr>
        <w:spacing w:line="380" w:lineRule="exact"/>
        <w:jc w:val="center"/>
        <w:rPr>
          <w:rFonts w:hint="eastAsia" w:ascii="宋体" w:hAnsi="宋体" w:cs="宋体"/>
          <w:b/>
          <w:bCs/>
          <w:color w:val="auto"/>
          <w:sz w:val="28"/>
          <w:highlight w:val="none"/>
        </w:rPr>
      </w:pPr>
    </w:p>
    <w:p w14:paraId="7CAB26AD">
      <w:pPr>
        <w:spacing w:line="380" w:lineRule="exact"/>
        <w:ind w:right="349" w:rightChars="166"/>
        <w:rPr>
          <w:rFonts w:hint="eastAsia" w:ascii="宋体" w:hAnsi="宋体" w:cs="宋体"/>
          <w:b/>
          <w:color w:val="auto"/>
          <w:sz w:val="22"/>
          <w:highlight w:val="none"/>
        </w:rPr>
      </w:pPr>
      <w:r>
        <w:rPr>
          <w:rFonts w:hint="eastAsia" w:ascii="宋体" w:hAnsi="宋体" w:cs="宋体"/>
          <w:b/>
          <w:color w:val="auto"/>
          <w:sz w:val="22"/>
          <w:highlight w:val="none"/>
        </w:rPr>
        <w:t xml:space="preserve">                                                             单位：人民币元</w:t>
      </w:r>
    </w:p>
    <w:tbl>
      <w:tblPr>
        <w:tblStyle w:val="62"/>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298"/>
        <w:gridCol w:w="2010"/>
        <w:gridCol w:w="7"/>
        <w:gridCol w:w="4443"/>
      </w:tblGrid>
      <w:tr w14:paraId="10933A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8" w:hRule="exact"/>
        </w:trPr>
        <w:tc>
          <w:tcPr>
            <w:tcW w:w="710" w:type="dxa"/>
            <w:noWrap w:val="0"/>
            <w:vAlign w:val="center"/>
          </w:tcPr>
          <w:p w14:paraId="260C5C4F">
            <w:pPr>
              <w:spacing w:line="460" w:lineRule="exact"/>
              <w:jc w:val="center"/>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序号</w:t>
            </w:r>
          </w:p>
        </w:tc>
        <w:tc>
          <w:tcPr>
            <w:tcW w:w="4315" w:type="dxa"/>
            <w:gridSpan w:val="3"/>
            <w:noWrap w:val="0"/>
            <w:vAlign w:val="center"/>
          </w:tcPr>
          <w:p w14:paraId="7459E63D">
            <w:pPr>
              <w:spacing w:line="460" w:lineRule="exact"/>
              <w:jc w:val="center"/>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采购项目名称</w:t>
            </w:r>
          </w:p>
        </w:tc>
        <w:tc>
          <w:tcPr>
            <w:tcW w:w="4443" w:type="dxa"/>
            <w:noWrap w:val="0"/>
            <w:vAlign w:val="center"/>
          </w:tcPr>
          <w:p w14:paraId="0F73199C">
            <w:pPr>
              <w:spacing w:line="460" w:lineRule="exact"/>
              <w:jc w:val="center"/>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项目负责人</w:t>
            </w:r>
          </w:p>
        </w:tc>
      </w:tr>
      <w:tr w14:paraId="370389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10" w:type="dxa"/>
            <w:noWrap w:val="0"/>
            <w:vAlign w:val="center"/>
          </w:tcPr>
          <w:p w14:paraId="4786BAB3">
            <w:pPr>
              <w:spacing w:line="460" w:lineRule="exact"/>
              <w:jc w:val="center"/>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1</w:t>
            </w:r>
          </w:p>
        </w:tc>
        <w:tc>
          <w:tcPr>
            <w:tcW w:w="4315" w:type="dxa"/>
            <w:gridSpan w:val="3"/>
            <w:noWrap w:val="0"/>
            <w:vAlign w:val="center"/>
          </w:tcPr>
          <w:p w14:paraId="651B2798">
            <w:pPr>
              <w:spacing w:line="460" w:lineRule="exact"/>
              <w:jc w:val="center"/>
              <w:rPr>
                <w:rFonts w:hint="eastAsia" w:ascii="宋体" w:hAnsi="宋体" w:eastAsia="宋体" w:cs="宋体"/>
                <w:snapToGrid w:val="0"/>
                <w:color w:val="auto"/>
                <w:kern w:val="0"/>
                <w:sz w:val="22"/>
                <w:szCs w:val="22"/>
                <w:highlight w:val="none"/>
                <w:lang w:eastAsia="zh-CN"/>
              </w:rPr>
            </w:pPr>
            <w:r>
              <w:rPr>
                <w:rFonts w:hint="eastAsia" w:ascii="宋体" w:hAnsi="宋体" w:cs="宋体"/>
                <w:snapToGrid w:val="0"/>
                <w:color w:val="auto"/>
                <w:kern w:val="0"/>
                <w:sz w:val="22"/>
                <w:szCs w:val="22"/>
                <w:highlight w:val="none"/>
                <w:lang w:eastAsia="zh-CN"/>
              </w:rPr>
              <w:t>2025年-2026年鹿城区藤桥镇山区农村饮用水县级统管项目</w:t>
            </w:r>
          </w:p>
        </w:tc>
        <w:tc>
          <w:tcPr>
            <w:tcW w:w="4443" w:type="dxa"/>
            <w:noWrap w:val="0"/>
            <w:vAlign w:val="center"/>
          </w:tcPr>
          <w:p w14:paraId="4901C294">
            <w:pPr>
              <w:spacing w:line="460" w:lineRule="exact"/>
              <w:jc w:val="center"/>
              <w:rPr>
                <w:rFonts w:hint="eastAsia" w:ascii="宋体" w:hAnsi="宋体" w:cs="宋体"/>
                <w:snapToGrid w:val="0"/>
                <w:color w:val="auto"/>
                <w:kern w:val="0"/>
                <w:sz w:val="22"/>
                <w:szCs w:val="22"/>
                <w:highlight w:val="none"/>
              </w:rPr>
            </w:pPr>
          </w:p>
        </w:tc>
      </w:tr>
      <w:tr w14:paraId="0CAC11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52" w:hRule="atLeast"/>
        </w:trPr>
        <w:tc>
          <w:tcPr>
            <w:tcW w:w="3008" w:type="dxa"/>
            <w:gridSpan w:val="2"/>
            <w:vMerge w:val="restart"/>
            <w:noWrap w:val="0"/>
            <w:vAlign w:val="center"/>
          </w:tcPr>
          <w:p w14:paraId="16A2BCFF">
            <w:pPr>
              <w:spacing w:line="460" w:lineRule="exact"/>
              <w:jc w:val="center"/>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谈判报价</w:t>
            </w:r>
          </w:p>
        </w:tc>
        <w:tc>
          <w:tcPr>
            <w:tcW w:w="2010" w:type="dxa"/>
            <w:noWrap w:val="0"/>
            <w:vAlign w:val="center"/>
          </w:tcPr>
          <w:p w14:paraId="1DB87D60">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lang w:val="en-US" w:eastAsia="zh-CN"/>
              </w:rPr>
              <w:t>每</w:t>
            </w:r>
            <w:r>
              <w:rPr>
                <w:rFonts w:hint="eastAsia" w:ascii="宋体" w:hAnsi="宋体" w:cs="宋体"/>
                <w:b/>
                <w:snapToGrid w:val="0"/>
                <w:color w:val="auto"/>
                <w:kern w:val="0"/>
                <w:sz w:val="22"/>
                <w:szCs w:val="22"/>
                <w:highlight w:val="none"/>
              </w:rPr>
              <w:t>年报价</w:t>
            </w:r>
          </w:p>
        </w:tc>
        <w:tc>
          <w:tcPr>
            <w:tcW w:w="4450" w:type="dxa"/>
            <w:gridSpan w:val="2"/>
            <w:noWrap w:val="0"/>
            <w:vAlign w:val="center"/>
          </w:tcPr>
          <w:p w14:paraId="1FA971C6">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 xml:space="preserve">大写：    </w:t>
            </w:r>
          </w:p>
          <w:p w14:paraId="5A0BE5BD">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小写（￥）：</w:t>
            </w:r>
          </w:p>
        </w:tc>
      </w:tr>
      <w:tr w14:paraId="1E9A0B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3008" w:type="dxa"/>
            <w:gridSpan w:val="2"/>
            <w:vMerge w:val="continue"/>
            <w:noWrap w:val="0"/>
            <w:vAlign w:val="center"/>
          </w:tcPr>
          <w:p w14:paraId="62E6AC17">
            <w:pPr>
              <w:spacing w:line="460" w:lineRule="exact"/>
              <w:jc w:val="center"/>
              <w:rPr>
                <w:rFonts w:hint="eastAsia" w:ascii="宋体" w:hAnsi="宋体" w:cs="宋体"/>
                <w:b/>
                <w:snapToGrid w:val="0"/>
                <w:color w:val="auto"/>
                <w:kern w:val="0"/>
                <w:sz w:val="22"/>
                <w:szCs w:val="22"/>
                <w:highlight w:val="none"/>
              </w:rPr>
            </w:pPr>
          </w:p>
        </w:tc>
        <w:tc>
          <w:tcPr>
            <w:tcW w:w="2010" w:type="dxa"/>
            <w:noWrap w:val="0"/>
            <w:vAlign w:val="center"/>
          </w:tcPr>
          <w:p w14:paraId="6CC65605">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合计总报价</w:t>
            </w:r>
            <w:r>
              <w:rPr>
                <w:rFonts w:hint="eastAsia" w:ascii="宋体" w:hAnsi="宋体" w:cs="宋体"/>
                <w:b/>
                <w:snapToGrid w:val="0"/>
                <w:color w:val="auto"/>
                <w:kern w:val="0"/>
                <w:sz w:val="22"/>
                <w:szCs w:val="22"/>
                <w:highlight w:val="none"/>
                <w:lang w:eastAsia="zh-CN"/>
              </w:rPr>
              <w:t>（</w:t>
            </w:r>
            <w:r>
              <w:rPr>
                <w:rFonts w:hint="eastAsia" w:ascii="宋体" w:hAnsi="宋体" w:cs="宋体"/>
                <w:b/>
                <w:snapToGrid w:val="0"/>
                <w:color w:val="auto"/>
                <w:kern w:val="0"/>
                <w:sz w:val="22"/>
                <w:szCs w:val="22"/>
                <w:highlight w:val="none"/>
                <w:lang w:val="en-US" w:eastAsia="zh-CN"/>
              </w:rPr>
              <w:t>2年</w:t>
            </w:r>
            <w:r>
              <w:rPr>
                <w:rFonts w:hint="eastAsia" w:ascii="宋体" w:hAnsi="宋体" w:cs="宋体"/>
                <w:b/>
                <w:snapToGrid w:val="0"/>
                <w:color w:val="auto"/>
                <w:kern w:val="0"/>
                <w:sz w:val="22"/>
                <w:szCs w:val="22"/>
                <w:highlight w:val="none"/>
                <w:lang w:eastAsia="zh-CN"/>
              </w:rPr>
              <w:t>）</w:t>
            </w:r>
          </w:p>
        </w:tc>
        <w:tc>
          <w:tcPr>
            <w:tcW w:w="4450" w:type="dxa"/>
            <w:gridSpan w:val="2"/>
            <w:noWrap w:val="0"/>
            <w:vAlign w:val="center"/>
          </w:tcPr>
          <w:p w14:paraId="01D8D163">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 xml:space="preserve">大写：    </w:t>
            </w:r>
          </w:p>
          <w:p w14:paraId="262DABB6">
            <w:pPr>
              <w:spacing w:line="460" w:lineRule="exact"/>
              <w:rPr>
                <w:rFonts w:hint="eastAsia" w:ascii="宋体" w:hAnsi="宋体" w:cs="宋体"/>
                <w:b/>
                <w:snapToGrid w:val="0"/>
                <w:color w:val="auto"/>
                <w:kern w:val="0"/>
                <w:sz w:val="22"/>
                <w:szCs w:val="22"/>
                <w:highlight w:val="none"/>
              </w:rPr>
            </w:pPr>
            <w:r>
              <w:rPr>
                <w:rFonts w:hint="eastAsia" w:ascii="宋体" w:hAnsi="宋体" w:cs="宋体"/>
                <w:b/>
                <w:snapToGrid w:val="0"/>
                <w:color w:val="auto"/>
                <w:kern w:val="0"/>
                <w:sz w:val="22"/>
                <w:szCs w:val="22"/>
                <w:highlight w:val="none"/>
              </w:rPr>
              <w:t>小写（￥）：</w:t>
            </w:r>
          </w:p>
        </w:tc>
      </w:tr>
    </w:tbl>
    <w:p w14:paraId="1875C1D6">
      <w:pPr>
        <w:spacing w:line="460" w:lineRule="exact"/>
        <w:rPr>
          <w:rFonts w:hint="eastAsia" w:ascii="宋体" w:hAnsi="宋体" w:cs="宋体"/>
          <w:color w:val="auto"/>
          <w:sz w:val="22"/>
          <w:szCs w:val="22"/>
          <w:highlight w:val="none"/>
        </w:rPr>
      </w:pPr>
    </w:p>
    <w:p w14:paraId="76DB3EC3">
      <w:pPr>
        <w:spacing w:line="380" w:lineRule="exact"/>
        <w:ind w:right="349" w:rightChars="166" w:firstLine="331" w:firstLineChars="150"/>
        <w:rPr>
          <w:rFonts w:hint="eastAsia" w:ascii="宋体" w:hAnsi="宋体" w:cs="宋体"/>
          <w:b/>
          <w:color w:val="auto"/>
          <w:sz w:val="22"/>
          <w:highlight w:val="none"/>
        </w:rPr>
      </w:pPr>
    </w:p>
    <w:p w14:paraId="2B8605C4">
      <w:pPr>
        <w:spacing w:line="380" w:lineRule="exact"/>
        <w:ind w:left="532" w:leftChars="-66" w:hanging="671" w:hangingChars="304"/>
        <w:rPr>
          <w:rFonts w:hint="eastAsia" w:ascii="宋体" w:hAnsi="宋体" w:cs="宋体"/>
          <w:b/>
          <w:color w:val="auto"/>
          <w:sz w:val="22"/>
          <w:highlight w:val="none"/>
        </w:rPr>
      </w:pPr>
      <w:r>
        <w:rPr>
          <w:rFonts w:hint="eastAsia" w:ascii="宋体" w:hAnsi="宋体" w:cs="宋体"/>
          <w:b/>
          <w:color w:val="auto"/>
          <w:sz w:val="22"/>
          <w:highlight w:val="none"/>
        </w:rPr>
        <w:t>说明：</w:t>
      </w:r>
    </w:p>
    <w:p w14:paraId="033F5FFE">
      <w:pPr>
        <w:spacing w:line="380" w:lineRule="exact"/>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 xml:space="preserve">1、《谈判报价一览表》中“谈判报价”合计总报价应与与附件三《谈判分项报价表》中“谈判总报价”相一致。 </w:t>
      </w:r>
    </w:p>
    <w:p w14:paraId="4EB95462">
      <w:pPr>
        <w:spacing w:line="380" w:lineRule="exact"/>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2、不按要求提供谈判报价一览表的单一来源响应文件将被视为未实质性响应单一来源采购文件。</w:t>
      </w:r>
    </w:p>
    <w:p w14:paraId="193149C7">
      <w:pPr>
        <w:spacing w:line="380" w:lineRule="exact"/>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3、谈判报价包括即完成将完成本项目消毒药剂、混凝剂采购、维修养护、信息化管理、运行管理、文本编制、水电费（包括供水站电费）、通讯费、人员工资、奖金、加班费、人身意外保险、食宿与交通、管理费用、税费、利润、招标代理服务费等完成合同所需的一切本身和不可或缺的所有工作开支等各项全部费用并承担一切风险责任。</w:t>
      </w:r>
    </w:p>
    <w:p w14:paraId="2BA4BF81">
      <w:pPr>
        <w:pStyle w:val="26"/>
        <w:rPr>
          <w:rFonts w:hint="eastAsia"/>
          <w:color w:val="auto"/>
          <w:highlight w:val="none"/>
        </w:rPr>
      </w:pPr>
      <w:r>
        <w:rPr>
          <w:rFonts w:hint="eastAsia" w:ascii="宋体" w:hAnsi="宋体" w:eastAsia="宋体" w:cs="宋体"/>
          <w:b/>
          <w:color w:val="auto"/>
          <w:kern w:val="2"/>
          <w:sz w:val="22"/>
          <w:szCs w:val="22"/>
          <w:highlight w:val="none"/>
          <w:u w:val="single"/>
          <w:lang w:val="en-US" w:eastAsia="zh-CN" w:bidi="ar-SA"/>
        </w:rPr>
        <w:t>4、本项目实行投标总价一次性包干制，因此投标供应商需充分考虑报价内容及其他风险因素。</w:t>
      </w:r>
    </w:p>
    <w:p w14:paraId="275B0126">
      <w:pPr>
        <w:spacing w:line="380" w:lineRule="exact"/>
        <w:ind w:firstLine="660" w:firstLineChars="300"/>
        <w:rPr>
          <w:rFonts w:hint="eastAsia" w:ascii="宋体" w:hAnsi="宋体" w:cs="宋体"/>
          <w:color w:val="auto"/>
          <w:sz w:val="22"/>
          <w:szCs w:val="22"/>
          <w:highlight w:val="none"/>
        </w:rPr>
      </w:pPr>
    </w:p>
    <w:p w14:paraId="00B22F11">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0B38405E">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法定代表人（负责人）或授权代表（签字或盖章）：</w:t>
      </w:r>
    </w:p>
    <w:p w14:paraId="5D6A810D">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日 期：  年  月  日</w:t>
      </w:r>
    </w:p>
    <w:p w14:paraId="2A624701">
      <w:pPr>
        <w:spacing w:line="460" w:lineRule="exact"/>
        <w:rPr>
          <w:rFonts w:hint="eastAsia" w:ascii="宋体" w:hAnsi="宋体" w:cs="宋体"/>
          <w:b/>
          <w:bCs/>
          <w:color w:val="auto"/>
          <w:sz w:val="22"/>
          <w:szCs w:val="22"/>
          <w:highlight w:val="none"/>
        </w:rPr>
      </w:pPr>
      <w:r>
        <w:rPr>
          <w:rFonts w:hint="eastAsia" w:ascii="宋体" w:hAnsi="宋体" w:cs="宋体"/>
          <w:color w:val="auto"/>
          <w:sz w:val="22"/>
          <w:szCs w:val="22"/>
          <w:highlight w:val="none"/>
        </w:rPr>
        <w:br w:type="page"/>
      </w:r>
      <w:r>
        <w:rPr>
          <w:rFonts w:hint="eastAsia" w:ascii="宋体" w:hAnsi="宋体" w:cs="宋体"/>
          <w:b/>
          <w:bCs/>
          <w:color w:val="auto"/>
          <w:sz w:val="22"/>
          <w:szCs w:val="22"/>
          <w:highlight w:val="none"/>
        </w:rPr>
        <w:t>附件三</w:t>
      </w:r>
    </w:p>
    <w:p w14:paraId="1896533F">
      <w:pPr>
        <w:spacing w:line="380" w:lineRule="exact"/>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谈判分项报价表</w:t>
      </w:r>
    </w:p>
    <w:p w14:paraId="1E6B0E1E">
      <w:pPr>
        <w:spacing w:line="380" w:lineRule="exact"/>
        <w:jc w:val="center"/>
        <w:rPr>
          <w:rFonts w:hint="eastAsia" w:ascii="宋体" w:hAnsi="宋体" w:cs="宋体"/>
          <w:b/>
          <w:bCs/>
          <w:color w:val="auto"/>
          <w:sz w:val="28"/>
          <w:szCs w:val="28"/>
          <w:highlight w:val="none"/>
        </w:rPr>
      </w:pPr>
    </w:p>
    <w:tbl>
      <w:tblPr>
        <w:tblStyle w:val="62"/>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3318"/>
        <w:gridCol w:w="3969"/>
        <w:gridCol w:w="1808"/>
      </w:tblGrid>
      <w:tr w14:paraId="76E6CF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blHeader/>
        </w:trPr>
        <w:tc>
          <w:tcPr>
            <w:tcW w:w="759" w:type="dxa"/>
            <w:noWrap w:val="0"/>
            <w:vAlign w:val="center"/>
          </w:tcPr>
          <w:p w14:paraId="22CD58A1">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序号</w:t>
            </w:r>
          </w:p>
        </w:tc>
        <w:tc>
          <w:tcPr>
            <w:tcW w:w="3318" w:type="dxa"/>
            <w:noWrap w:val="0"/>
            <w:vAlign w:val="center"/>
          </w:tcPr>
          <w:p w14:paraId="6CDDC0E8">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项目内容</w:t>
            </w:r>
          </w:p>
        </w:tc>
        <w:tc>
          <w:tcPr>
            <w:tcW w:w="3969" w:type="dxa"/>
            <w:noWrap w:val="0"/>
            <w:vAlign w:val="center"/>
          </w:tcPr>
          <w:p w14:paraId="237D7C12">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报价（元）</w:t>
            </w:r>
          </w:p>
          <w:p w14:paraId="31A96972">
            <w:pPr>
              <w:jc w:val="center"/>
              <w:rPr>
                <w:rFonts w:hint="eastAsia" w:ascii="宋体" w:hAnsi="宋体" w:cs="宋体"/>
                <w:color w:val="auto"/>
                <w:sz w:val="22"/>
                <w:szCs w:val="22"/>
                <w:highlight w:val="none"/>
                <w:lang w:val="en-GB"/>
              </w:rPr>
            </w:pPr>
          </w:p>
        </w:tc>
        <w:tc>
          <w:tcPr>
            <w:tcW w:w="1808" w:type="dxa"/>
            <w:noWrap w:val="0"/>
            <w:vAlign w:val="center"/>
          </w:tcPr>
          <w:p w14:paraId="529BAD8D">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备注</w:t>
            </w:r>
          </w:p>
        </w:tc>
      </w:tr>
      <w:tr w14:paraId="386A581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195FC2E6">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34597841">
            <w:pPr>
              <w:jc w:val="center"/>
              <w:rPr>
                <w:rFonts w:hint="eastAsia" w:ascii="宋体" w:hAnsi="宋体" w:cs="宋体"/>
                <w:color w:val="auto"/>
                <w:sz w:val="22"/>
                <w:szCs w:val="22"/>
                <w:highlight w:val="none"/>
                <w:lang w:val="en-GB"/>
              </w:rPr>
            </w:pPr>
          </w:p>
        </w:tc>
        <w:tc>
          <w:tcPr>
            <w:tcW w:w="3969" w:type="dxa"/>
            <w:noWrap w:val="0"/>
            <w:vAlign w:val="center"/>
          </w:tcPr>
          <w:p w14:paraId="2CE8E80A">
            <w:pPr>
              <w:jc w:val="center"/>
              <w:rPr>
                <w:rFonts w:hint="eastAsia" w:ascii="宋体" w:hAnsi="宋体" w:cs="宋体"/>
                <w:color w:val="auto"/>
                <w:sz w:val="22"/>
                <w:szCs w:val="22"/>
                <w:highlight w:val="none"/>
                <w:lang w:val="en-GB"/>
              </w:rPr>
            </w:pPr>
          </w:p>
        </w:tc>
        <w:tc>
          <w:tcPr>
            <w:tcW w:w="1808" w:type="dxa"/>
            <w:noWrap w:val="0"/>
            <w:vAlign w:val="center"/>
          </w:tcPr>
          <w:p w14:paraId="2985EE49">
            <w:pPr>
              <w:jc w:val="center"/>
              <w:rPr>
                <w:rFonts w:hint="eastAsia" w:ascii="宋体" w:hAnsi="宋体" w:cs="宋体"/>
                <w:color w:val="auto"/>
                <w:sz w:val="22"/>
                <w:szCs w:val="22"/>
                <w:highlight w:val="none"/>
                <w:lang w:val="en-GB"/>
              </w:rPr>
            </w:pPr>
          </w:p>
        </w:tc>
      </w:tr>
      <w:tr w14:paraId="528279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1FFDBA78">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05B9E85A">
            <w:pPr>
              <w:jc w:val="center"/>
              <w:rPr>
                <w:rFonts w:hint="eastAsia" w:ascii="宋体" w:hAnsi="宋体" w:cs="宋体"/>
                <w:color w:val="auto"/>
                <w:sz w:val="22"/>
                <w:szCs w:val="22"/>
                <w:highlight w:val="none"/>
                <w:lang w:val="en-GB"/>
              </w:rPr>
            </w:pPr>
          </w:p>
        </w:tc>
        <w:tc>
          <w:tcPr>
            <w:tcW w:w="3969" w:type="dxa"/>
            <w:noWrap w:val="0"/>
            <w:vAlign w:val="center"/>
          </w:tcPr>
          <w:p w14:paraId="1A35622B">
            <w:pPr>
              <w:rPr>
                <w:rFonts w:hint="eastAsia" w:ascii="宋体" w:hAnsi="宋体" w:cs="宋体"/>
                <w:color w:val="auto"/>
                <w:sz w:val="22"/>
                <w:szCs w:val="22"/>
                <w:highlight w:val="none"/>
                <w:lang w:val="en-GB"/>
              </w:rPr>
            </w:pPr>
          </w:p>
        </w:tc>
        <w:tc>
          <w:tcPr>
            <w:tcW w:w="1808" w:type="dxa"/>
            <w:noWrap w:val="0"/>
            <w:vAlign w:val="center"/>
          </w:tcPr>
          <w:p w14:paraId="0380D505">
            <w:pPr>
              <w:jc w:val="center"/>
              <w:rPr>
                <w:rFonts w:hint="eastAsia" w:ascii="宋体" w:hAnsi="宋体" w:cs="宋体"/>
                <w:color w:val="auto"/>
                <w:sz w:val="22"/>
                <w:szCs w:val="22"/>
                <w:highlight w:val="none"/>
                <w:lang w:val="en-GB"/>
              </w:rPr>
            </w:pPr>
          </w:p>
        </w:tc>
      </w:tr>
      <w:tr w14:paraId="751BA1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7358932E">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5CEA831E">
            <w:pPr>
              <w:jc w:val="center"/>
              <w:rPr>
                <w:rFonts w:hint="eastAsia" w:ascii="宋体" w:hAnsi="宋体" w:cs="宋体"/>
                <w:color w:val="auto"/>
                <w:sz w:val="22"/>
                <w:szCs w:val="22"/>
                <w:highlight w:val="none"/>
                <w:lang w:val="en-GB"/>
              </w:rPr>
            </w:pPr>
          </w:p>
        </w:tc>
        <w:tc>
          <w:tcPr>
            <w:tcW w:w="3969" w:type="dxa"/>
            <w:noWrap w:val="0"/>
            <w:vAlign w:val="center"/>
          </w:tcPr>
          <w:p w14:paraId="68A9264F">
            <w:pPr>
              <w:jc w:val="center"/>
              <w:rPr>
                <w:rFonts w:hint="eastAsia" w:ascii="宋体" w:hAnsi="宋体" w:cs="宋体"/>
                <w:color w:val="auto"/>
                <w:sz w:val="22"/>
                <w:szCs w:val="22"/>
                <w:highlight w:val="none"/>
                <w:lang w:val="en-GB"/>
              </w:rPr>
            </w:pPr>
          </w:p>
        </w:tc>
        <w:tc>
          <w:tcPr>
            <w:tcW w:w="1808" w:type="dxa"/>
            <w:noWrap w:val="0"/>
            <w:vAlign w:val="center"/>
          </w:tcPr>
          <w:p w14:paraId="4C598D07">
            <w:pPr>
              <w:jc w:val="center"/>
              <w:rPr>
                <w:rFonts w:hint="eastAsia" w:ascii="宋体" w:hAnsi="宋体" w:cs="宋体"/>
                <w:color w:val="auto"/>
                <w:sz w:val="22"/>
                <w:szCs w:val="22"/>
                <w:highlight w:val="none"/>
                <w:lang w:val="en-GB"/>
              </w:rPr>
            </w:pPr>
          </w:p>
        </w:tc>
      </w:tr>
      <w:tr w14:paraId="16CC40A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5AA8F2B4">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60C5C0EC">
            <w:pPr>
              <w:jc w:val="center"/>
              <w:rPr>
                <w:rFonts w:hint="eastAsia" w:ascii="宋体" w:hAnsi="宋体" w:cs="宋体"/>
                <w:color w:val="auto"/>
                <w:sz w:val="22"/>
                <w:szCs w:val="22"/>
                <w:highlight w:val="none"/>
                <w:lang w:val="en-GB"/>
              </w:rPr>
            </w:pPr>
          </w:p>
        </w:tc>
        <w:tc>
          <w:tcPr>
            <w:tcW w:w="3969" w:type="dxa"/>
            <w:noWrap w:val="0"/>
            <w:vAlign w:val="center"/>
          </w:tcPr>
          <w:p w14:paraId="375C92A4">
            <w:pPr>
              <w:jc w:val="center"/>
              <w:rPr>
                <w:rFonts w:hint="eastAsia" w:ascii="宋体" w:hAnsi="宋体" w:cs="宋体"/>
                <w:color w:val="auto"/>
                <w:sz w:val="22"/>
                <w:szCs w:val="22"/>
                <w:highlight w:val="none"/>
                <w:lang w:val="en-GB"/>
              </w:rPr>
            </w:pPr>
          </w:p>
        </w:tc>
        <w:tc>
          <w:tcPr>
            <w:tcW w:w="1808" w:type="dxa"/>
            <w:noWrap w:val="0"/>
            <w:vAlign w:val="center"/>
          </w:tcPr>
          <w:p w14:paraId="52507FBB">
            <w:pPr>
              <w:jc w:val="center"/>
              <w:rPr>
                <w:rFonts w:hint="eastAsia" w:ascii="宋体" w:hAnsi="宋体" w:cs="宋体"/>
                <w:color w:val="auto"/>
                <w:sz w:val="22"/>
                <w:szCs w:val="22"/>
                <w:highlight w:val="none"/>
                <w:lang w:val="en-GB"/>
              </w:rPr>
            </w:pPr>
          </w:p>
        </w:tc>
      </w:tr>
      <w:tr w14:paraId="30D46C9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68FD5241">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45017331">
            <w:pPr>
              <w:jc w:val="center"/>
              <w:rPr>
                <w:rFonts w:hint="eastAsia" w:ascii="宋体" w:hAnsi="宋体" w:cs="宋体"/>
                <w:color w:val="auto"/>
                <w:sz w:val="22"/>
                <w:szCs w:val="22"/>
                <w:highlight w:val="none"/>
                <w:lang w:val="en-GB"/>
              </w:rPr>
            </w:pPr>
          </w:p>
        </w:tc>
        <w:tc>
          <w:tcPr>
            <w:tcW w:w="3969" w:type="dxa"/>
            <w:noWrap w:val="0"/>
            <w:vAlign w:val="center"/>
          </w:tcPr>
          <w:p w14:paraId="0EC52E59">
            <w:pPr>
              <w:jc w:val="center"/>
              <w:rPr>
                <w:rFonts w:hint="eastAsia" w:ascii="宋体" w:hAnsi="宋体" w:cs="宋体"/>
                <w:color w:val="auto"/>
                <w:sz w:val="22"/>
                <w:szCs w:val="22"/>
                <w:highlight w:val="none"/>
                <w:lang w:val="en-GB"/>
              </w:rPr>
            </w:pPr>
          </w:p>
        </w:tc>
        <w:tc>
          <w:tcPr>
            <w:tcW w:w="1808" w:type="dxa"/>
            <w:noWrap w:val="0"/>
            <w:vAlign w:val="center"/>
          </w:tcPr>
          <w:p w14:paraId="07AA7E09">
            <w:pPr>
              <w:jc w:val="center"/>
              <w:rPr>
                <w:rFonts w:hint="eastAsia" w:ascii="宋体" w:hAnsi="宋体" w:cs="宋体"/>
                <w:color w:val="auto"/>
                <w:sz w:val="22"/>
                <w:szCs w:val="22"/>
                <w:highlight w:val="none"/>
                <w:lang w:val="en-GB"/>
              </w:rPr>
            </w:pPr>
          </w:p>
        </w:tc>
      </w:tr>
      <w:tr w14:paraId="62F7096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20835D83">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60ADA63B">
            <w:pPr>
              <w:jc w:val="center"/>
              <w:rPr>
                <w:rFonts w:hint="eastAsia" w:ascii="宋体" w:hAnsi="宋体" w:cs="宋体"/>
                <w:color w:val="auto"/>
                <w:sz w:val="22"/>
                <w:szCs w:val="22"/>
                <w:highlight w:val="none"/>
                <w:lang w:val="en-GB"/>
              </w:rPr>
            </w:pPr>
          </w:p>
        </w:tc>
        <w:tc>
          <w:tcPr>
            <w:tcW w:w="3969" w:type="dxa"/>
            <w:noWrap w:val="0"/>
            <w:vAlign w:val="center"/>
          </w:tcPr>
          <w:p w14:paraId="096E67BD">
            <w:pPr>
              <w:jc w:val="center"/>
              <w:rPr>
                <w:rFonts w:hint="eastAsia" w:ascii="宋体" w:hAnsi="宋体" w:cs="宋体"/>
                <w:color w:val="auto"/>
                <w:sz w:val="22"/>
                <w:szCs w:val="22"/>
                <w:highlight w:val="none"/>
                <w:lang w:val="en-GB"/>
              </w:rPr>
            </w:pPr>
          </w:p>
        </w:tc>
        <w:tc>
          <w:tcPr>
            <w:tcW w:w="1808" w:type="dxa"/>
            <w:noWrap w:val="0"/>
            <w:vAlign w:val="center"/>
          </w:tcPr>
          <w:p w14:paraId="1C507232">
            <w:pPr>
              <w:jc w:val="center"/>
              <w:rPr>
                <w:rFonts w:hint="eastAsia" w:ascii="宋体" w:hAnsi="宋体" w:cs="宋体"/>
                <w:color w:val="auto"/>
                <w:sz w:val="22"/>
                <w:szCs w:val="22"/>
                <w:highlight w:val="none"/>
                <w:lang w:val="en-GB"/>
              </w:rPr>
            </w:pPr>
          </w:p>
        </w:tc>
      </w:tr>
      <w:tr w14:paraId="5C119CC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35963E6B">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46DD0CBC">
            <w:pPr>
              <w:jc w:val="center"/>
              <w:rPr>
                <w:rFonts w:hint="eastAsia" w:ascii="宋体" w:hAnsi="宋体" w:cs="宋体"/>
                <w:color w:val="auto"/>
                <w:sz w:val="22"/>
                <w:szCs w:val="22"/>
                <w:highlight w:val="none"/>
                <w:lang w:val="en-GB"/>
              </w:rPr>
            </w:pPr>
          </w:p>
        </w:tc>
        <w:tc>
          <w:tcPr>
            <w:tcW w:w="3969" w:type="dxa"/>
            <w:noWrap w:val="0"/>
            <w:vAlign w:val="center"/>
          </w:tcPr>
          <w:p w14:paraId="45EC4263">
            <w:pPr>
              <w:jc w:val="center"/>
              <w:rPr>
                <w:rFonts w:hint="eastAsia" w:ascii="宋体" w:hAnsi="宋体" w:cs="宋体"/>
                <w:color w:val="auto"/>
                <w:sz w:val="22"/>
                <w:szCs w:val="22"/>
                <w:highlight w:val="none"/>
                <w:lang w:val="en-GB"/>
              </w:rPr>
            </w:pPr>
          </w:p>
        </w:tc>
        <w:tc>
          <w:tcPr>
            <w:tcW w:w="1808" w:type="dxa"/>
            <w:noWrap w:val="0"/>
            <w:vAlign w:val="center"/>
          </w:tcPr>
          <w:p w14:paraId="71FC6FF5">
            <w:pPr>
              <w:jc w:val="center"/>
              <w:rPr>
                <w:rFonts w:hint="eastAsia" w:ascii="宋体" w:hAnsi="宋体" w:cs="宋体"/>
                <w:color w:val="auto"/>
                <w:sz w:val="22"/>
                <w:szCs w:val="22"/>
                <w:highlight w:val="none"/>
                <w:lang w:val="en-GB"/>
              </w:rPr>
            </w:pPr>
          </w:p>
        </w:tc>
      </w:tr>
      <w:tr w14:paraId="375E112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2F1D4084">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2A7794F3">
            <w:pPr>
              <w:jc w:val="center"/>
              <w:rPr>
                <w:rFonts w:hint="eastAsia" w:ascii="宋体" w:hAnsi="宋体" w:cs="宋体"/>
                <w:color w:val="auto"/>
                <w:sz w:val="22"/>
                <w:szCs w:val="22"/>
                <w:highlight w:val="none"/>
                <w:lang w:val="en-GB"/>
              </w:rPr>
            </w:pPr>
          </w:p>
        </w:tc>
        <w:tc>
          <w:tcPr>
            <w:tcW w:w="3969" w:type="dxa"/>
            <w:noWrap w:val="0"/>
            <w:vAlign w:val="center"/>
          </w:tcPr>
          <w:p w14:paraId="4EFB3E9A">
            <w:pPr>
              <w:jc w:val="center"/>
              <w:rPr>
                <w:rFonts w:hint="eastAsia" w:ascii="宋体" w:hAnsi="宋体" w:cs="宋体"/>
                <w:color w:val="auto"/>
                <w:sz w:val="22"/>
                <w:szCs w:val="22"/>
                <w:highlight w:val="none"/>
                <w:lang w:val="en-GB"/>
              </w:rPr>
            </w:pPr>
          </w:p>
        </w:tc>
        <w:tc>
          <w:tcPr>
            <w:tcW w:w="1808" w:type="dxa"/>
            <w:noWrap w:val="0"/>
            <w:vAlign w:val="center"/>
          </w:tcPr>
          <w:p w14:paraId="0FE88E85">
            <w:pPr>
              <w:jc w:val="center"/>
              <w:rPr>
                <w:rFonts w:hint="eastAsia" w:ascii="宋体" w:hAnsi="宋体" w:cs="宋体"/>
                <w:color w:val="auto"/>
                <w:sz w:val="22"/>
                <w:szCs w:val="22"/>
                <w:highlight w:val="none"/>
                <w:lang w:val="en-GB"/>
              </w:rPr>
            </w:pPr>
          </w:p>
        </w:tc>
      </w:tr>
      <w:tr w14:paraId="7EFED6C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468CC51F">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6F9605C6">
            <w:pPr>
              <w:rPr>
                <w:rFonts w:hint="eastAsia" w:ascii="宋体" w:hAnsi="宋体" w:cs="宋体"/>
                <w:color w:val="auto"/>
                <w:sz w:val="22"/>
                <w:szCs w:val="22"/>
                <w:highlight w:val="none"/>
                <w:lang w:val="en-GB"/>
              </w:rPr>
            </w:pPr>
          </w:p>
        </w:tc>
        <w:tc>
          <w:tcPr>
            <w:tcW w:w="3969" w:type="dxa"/>
            <w:noWrap w:val="0"/>
            <w:vAlign w:val="center"/>
          </w:tcPr>
          <w:p w14:paraId="71F6C955">
            <w:pPr>
              <w:jc w:val="center"/>
              <w:rPr>
                <w:rFonts w:hint="eastAsia" w:ascii="宋体" w:hAnsi="宋体" w:cs="宋体"/>
                <w:color w:val="auto"/>
                <w:sz w:val="22"/>
                <w:szCs w:val="22"/>
                <w:highlight w:val="none"/>
                <w:lang w:val="en-GB"/>
              </w:rPr>
            </w:pPr>
          </w:p>
        </w:tc>
        <w:tc>
          <w:tcPr>
            <w:tcW w:w="1808" w:type="dxa"/>
            <w:noWrap w:val="0"/>
            <w:vAlign w:val="center"/>
          </w:tcPr>
          <w:p w14:paraId="2C609C52">
            <w:pPr>
              <w:jc w:val="center"/>
              <w:rPr>
                <w:rFonts w:hint="eastAsia" w:ascii="宋体" w:hAnsi="宋体" w:cs="宋体"/>
                <w:color w:val="auto"/>
                <w:sz w:val="22"/>
                <w:szCs w:val="22"/>
                <w:highlight w:val="none"/>
                <w:lang w:val="en-GB"/>
              </w:rPr>
            </w:pPr>
          </w:p>
        </w:tc>
      </w:tr>
      <w:tr w14:paraId="2E0D31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3C7788A5">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5D23A7A5">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w:t>
            </w:r>
          </w:p>
        </w:tc>
        <w:tc>
          <w:tcPr>
            <w:tcW w:w="3969" w:type="dxa"/>
            <w:noWrap w:val="0"/>
            <w:vAlign w:val="center"/>
          </w:tcPr>
          <w:p w14:paraId="5F10FFB4">
            <w:pPr>
              <w:jc w:val="center"/>
              <w:rPr>
                <w:rFonts w:hint="eastAsia" w:ascii="宋体" w:hAnsi="宋体" w:cs="宋体"/>
                <w:color w:val="auto"/>
                <w:sz w:val="22"/>
                <w:szCs w:val="22"/>
                <w:highlight w:val="none"/>
                <w:lang w:val="en-GB"/>
              </w:rPr>
            </w:pPr>
          </w:p>
        </w:tc>
        <w:tc>
          <w:tcPr>
            <w:tcW w:w="1808" w:type="dxa"/>
            <w:noWrap w:val="0"/>
            <w:vAlign w:val="center"/>
          </w:tcPr>
          <w:p w14:paraId="1C90CA92">
            <w:pPr>
              <w:jc w:val="center"/>
              <w:rPr>
                <w:rFonts w:hint="eastAsia" w:ascii="宋体" w:hAnsi="宋体" w:cs="宋体"/>
                <w:color w:val="auto"/>
                <w:sz w:val="22"/>
                <w:szCs w:val="22"/>
                <w:highlight w:val="none"/>
                <w:lang w:val="en-GB"/>
              </w:rPr>
            </w:pPr>
          </w:p>
        </w:tc>
      </w:tr>
      <w:tr w14:paraId="5D0CB56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1CA424FF">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774C1408">
            <w:pPr>
              <w:jc w:val="center"/>
              <w:rPr>
                <w:rFonts w:hint="eastAsia" w:ascii="宋体" w:hAnsi="宋体" w:cs="宋体"/>
                <w:color w:val="auto"/>
                <w:sz w:val="22"/>
                <w:szCs w:val="22"/>
                <w:highlight w:val="none"/>
              </w:rPr>
            </w:pPr>
          </w:p>
        </w:tc>
        <w:tc>
          <w:tcPr>
            <w:tcW w:w="3969" w:type="dxa"/>
            <w:noWrap w:val="0"/>
            <w:vAlign w:val="center"/>
          </w:tcPr>
          <w:p w14:paraId="341D3800">
            <w:pPr>
              <w:jc w:val="center"/>
              <w:rPr>
                <w:rFonts w:hint="eastAsia" w:ascii="宋体" w:hAnsi="宋体" w:cs="宋体"/>
                <w:color w:val="auto"/>
                <w:sz w:val="22"/>
                <w:szCs w:val="22"/>
                <w:highlight w:val="none"/>
                <w:lang w:val="en-GB"/>
              </w:rPr>
            </w:pPr>
          </w:p>
        </w:tc>
        <w:tc>
          <w:tcPr>
            <w:tcW w:w="1808" w:type="dxa"/>
            <w:noWrap w:val="0"/>
            <w:vAlign w:val="center"/>
          </w:tcPr>
          <w:p w14:paraId="20D19835">
            <w:pPr>
              <w:jc w:val="center"/>
              <w:rPr>
                <w:rFonts w:hint="eastAsia" w:ascii="宋体" w:hAnsi="宋体" w:cs="宋体"/>
                <w:color w:val="auto"/>
                <w:sz w:val="22"/>
                <w:szCs w:val="22"/>
                <w:highlight w:val="none"/>
                <w:lang w:val="en-GB"/>
              </w:rPr>
            </w:pPr>
          </w:p>
        </w:tc>
      </w:tr>
      <w:tr w14:paraId="47BD600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759" w:type="dxa"/>
            <w:noWrap w:val="0"/>
            <w:vAlign w:val="center"/>
          </w:tcPr>
          <w:p w14:paraId="24AE223D">
            <w:pPr>
              <w:numPr>
                <w:ilvl w:val="0"/>
                <w:numId w:val="6"/>
              </w:numPr>
              <w:jc w:val="right"/>
              <w:rPr>
                <w:rFonts w:hint="eastAsia" w:ascii="宋体" w:hAnsi="宋体" w:cs="宋体"/>
                <w:color w:val="auto"/>
                <w:sz w:val="22"/>
                <w:szCs w:val="22"/>
                <w:highlight w:val="none"/>
                <w:lang w:val="en-GB"/>
              </w:rPr>
            </w:pPr>
          </w:p>
        </w:tc>
        <w:tc>
          <w:tcPr>
            <w:tcW w:w="3318" w:type="dxa"/>
            <w:noWrap w:val="0"/>
            <w:vAlign w:val="center"/>
          </w:tcPr>
          <w:p w14:paraId="497EE1B2">
            <w:pPr>
              <w:jc w:val="center"/>
              <w:rPr>
                <w:rFonts w:hint="eastAsia" w:ascii="宋体" w:hAnsi="宋体" w:cs="宋体"/>
                <w:color w:val="auto"/>
                <w:sz w:val="22"/>
                <w:szCs w:val="22"/>
                <w:highlight w:val="none"/>
                <w:lang w:val="en-GB"/>
              </w:rPr>
            </w:pPr>
            <w:r>
              <w:rPr>
                <w:rFonts w:hint="eastAsia" w:ascii="宋体" w:hAnsi="宋体" w:cs="宋体"/>
                <w:color w:val="auto"/>
                <w:sz w:val="22"/>
                <w:szCs w:val="22"/>
                <w:highlight w:val="none"/>
                <w:lang w:val="en-GB"/>
              </w:rPr>
              <w:t>谈判</w:t>
            </w:r>
            <w:r>
              <w:rPr>
                <w:rFonts w:hint="eastAsia" w:ascii="宋体" w:hAnsi="宋体" w:cs="宋体"/>
                <w:color w:val="auto"/>
                <w:sz w:val="22"/>
                <w:szCs w:val="22"/>
                <w:highlight w:val="none"/>
              </w:rPr>
              <w:t>总</w:t>
            </w:r>
            <w:r>
              <w:rPr>
                <w:rFonts w:hint="eastAsia" w:ascii="宋体" w:hAnsi="宋体" w:cs="宋体"/>
                <w:color w:val="auto"/>
                <w:sz w:val="22"/>
                <w:szCs w:val="22"/>
                <w:highlight w:val="none"/>
                <w:lang w:val="en-GB"/>
              </w:rPr>
              <w:t>报价</w:t>
            </w:r>
          </w:p>
        </w:tc>
        <w:tc>
          <w:tcPr>
            <w:tcW w:w="5777" w:type="dxa"/>
            <w:gridSpan w:val="2"/>
            <w:noWrap w:val="0"/>
            <w:vAlign w:val="center"/>
          </w:tcPr>
          <w:p w14:paraId="010CD9C5">
            <w:pPr>
              <w:jc w:val="center"/>
              <w:rPr>
                <w:rFonts w:hint="eastAsia" w:ascii="宋体" w:hAnsi="宋体" w:cs="宋体"/>
                <w:color w:val="auto"/>
                <w:sz w:val="22"/>
                <w:szCs w:val="22"/>
                <w:highlight w:val="none"/>
              </w:rPr>
            </w:pPr>
          </w:p>
        </w:tc>
      </w:tr>
    </w:tbl>
    <w:p w14:paraId="076A7F8D">
      <w:pPr>
        <w:spacing w:line="360" w:lineRule="auto"/>
        <w:rPr>
          <w:rFonts w:hint="eastAsia" w:ascii="宋体" w:hAnsi="宋体" w:cs="宋体"/>
          <w:color w:val="auto"/>
          <w:kern w:val="0"/>
          <w:szCs w:val="21"/>
          <w:highlight w:val="none"/>
        </w:rPr>
      </w:pPr>
    </w:p>
    <w:p w14:paraId="2CACCD10">
      <w:pPr>
        <w:spacing w:line="360" w:lineRule="exact"/>
        <w:rPr>
          <w:rFonts w:hint="eastAsia" w:ascii="宋体" w:hAnsi="宋体" w:cs="宋体"/>
          <w:b/>
          <w:color w:val="auto"/>
          <w:sz w:val="22"/>
          <w:szCs w:val="22"/>
          <w:highlight w:val="none"/>
        </w:rPr>
      </w:pPr>
      <w:r>
        <w:rPr>
          <w:rFonts w:hint="eastAsia" w:ascii="宋体" w:hAnsi="宋体" w:cs="宋体"/>
          <w:b/>
          <w:bCs/>
          <w:color w:val="auto"/>
          <w:sz w:val="22"/>
          <w:szCs w:val="22"/>
          <w:highlight w:val="none"/>
        </w:rPr>
        <w:t>说明：</w:t>
      </w:r>
      <w:r>
        <w:rPr>
          <w:rFonts w:hint="eastAsia" w:ascii="宋体" w:hAnsi="宋体" w:cs="宋体"/>
          <w:b/>
          <w:color w:val="auto"/>
          <w:sz w:val="22"/>
          <w:szCs w:val="22"/>
          <w:highlight w:val="none"/>
        </w:rPr>
        <w:t>1、此表内谈判总报价应与附件二中“报价一览表”谈判报价相一致。</w:t>
      </w:r>
    </w:p>
    <w:p w14:paraId="7902AB5F">
      <w:pPr>
        <w:spacing w:line="36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2、</w:t>
      </w:r>
      <w:r>
        <w:rPr>
          <w:rFonts w:hint="eastAsia" w:ascii="宋体" w:hAnsi="宋体" w:cs="宋体"/>
          <w:b/>
          <w:bCs/>
          <w:color w:val="auto"/>
          <w:sz w:val="22"/>
          <w:szCs w:val="22"/>
          <w:highlight w:val="none"/>
        </w:rPr>
        <w:t>▲</w:t>
      </w:r>
      <w:r>
        <w:rPr>
          <w:rFonts w:hint="eastAsia" w:ascii="宋体" w:hAnsi="宋体" w:cs="宋体"/>
          <w:b/>
          <w:color w:val="auto"/>
          <w:sz w:val="22"/>
          <w:szCs w:val="22"/>
          <w:highlight w:val="none"/>
          <w:u w:val="single"/>
        </w:rPr>
        <w:t>不提供“谈判分项报价表”的</w:t>
      </w:r>
      <w:r>
        <w:rPr>
          <w:rFonts w:hint="eastAsia" w:ascii="宋体" w:hAnsi="宋体" w:cs="宋体"/>
          <w:b/>
          <w:color w:val="auto"/>
          <w:sz w:val="22"/>
          <w:szCs w:val="22"/>
          <w:highlight w:val="none"/>
          <w:u w:val="single"/>
          <w:lang w:val="en-GB"/>
        </w:rPr>
        <w:t>谈判</w:t>
      </w:r>
      <w:r>
        <w:rPr>
          <w:rFonts w:hint="eastAsia" w:ascii="宋体" w:hAnsi="宋体" w:cs="宋体"/>
          <w:b/>
          <w:color w:val="auto"/>
          <w:sz w:val="22"/>
          <w:szCs w:val="22"/>
          <w:highlight w:val="none"/>
          <w:u w:val="single"/>
        </w:rPr>
        <w:t>总</w:t>
      </w:r>
      <w:r>
        <w:rPr>
          <w:rFonts w:hint="eastAsia" w:ascii="宋体" w:hAnsi="宋体" w:cs="宋体"/>
          <w:b/>
          <w:color w:val="auto"/>
          <w:sz w:val="22"/>
          <w:szCs w:val="22"/>
          <w:highlight w:val="none"/>
          <w:u w:val="single"/>
          <w:lang w:val="en-GB"/>
        </w:rPr>
        <w:t>报价</w:t>
      </w:r>
      <w:r>
        <w:rPr>
          <w:rFonts w:hint="eastAsia" w:ascii="宋体" w:hAnsi="宋体" w:cs="宋体"/>
          <w:b/>
          <w:color w:val="auto"/>
          <w:sz w:val="22"/>
          <w:szCs w:val="22"/>
          <w:highlight w:val="none"/>
          <w:u w:val="single"/>
        </w:rPr>
        <w:t>，视为没有实质性响应单一来源采购文件要求。</w:t>
      </w:r>
    </w:p>
    <w:p w14:paraId="75636BA3">
      <w:pPr>
        <w:spacing w:line="360" w:lineRule="exact"/>
        <w:ind w:left="325" w:hanging="325" w:hangingChars="147"/>
        <w:rPr>
          <w:rFonts w:hint="eastAsia" w:ascii="宋体" w:hAnsi="宋体" w:cs="宋体"/>
          <w:b/>
          <w:color w:val="auto"/>
          <w:sz w:val="22"/>
          <w:szCs w:val="22"/>
          <w:highlight w:val="none"/>
        </w:rPr>
      </w:pPr>
      <w:r>
        <w:rPr>
          <w:rFonts w:hint="eastAsia" w:ascii="宋体" w:hAnsi="宋体" w:cs="宋体"/>
          <w:b/>
          <w:color w:val="auto"/>
          <w:sz w:val="22"/>
          <w:szCs w:val="22"/>
          <w:highlight w:val="none"/>
        </w:rPr>
        <w:t>3、如果免费请在该备注栏内注明“免”，如果含在产品（服务）价格中则填“含”，如无此项内容则填“无”，不留空白。</w:t>
      </w:r>
    </w:p>
    <w:p w14:paraId="235771D0">
      <w:pPr>
        <w:spacing w:line="360" w:lineRule="auto"/>
        <w:ind w:firstLine="420" w:firstLineChars="200"/>
        <w:rPr>
          <w:rFonts w:hint="eastAsia" w:ascii="宋体" w:hAnsi="宋体" w:cs="宋体"/>
          <w:color w:val="auto"/>
          <w:szCs w:val="21"/>
          <w:highlight w:val="none"/>
        </w:rPr>
      </w:pPr>
    </w:p>
    <w:p w14:paraId="6F7DFA4F">
      <w:pPr>
        <w:spacing w:line="380" w:lineRule="exact"/>
        <w:ind w:firstLine="420" w:firstLineChars="200"/>
        <w:rPr>
          <w:rFonts w:hint="eastAsia" w:ascii="宋体" w:hAnsi="宋体" w:cs="宋体"/>
          <w:color w:val="auto"/>
          <w:szCs w:val="21"/>
          <w:highlight w:val="none"/>
        </w:rPr>
      </w:pPr>
    </w:p>
    <w:p w14:paraId="78B87ECD">
      <w:pPr>
        <w:spacing w:line="380" w:lineRule="exact"/>
        <w:ind w:left="2722" w:leftChars="1028" w:hanging="563" w:hangingChars="256"/>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5018C519">
      <w:pPr>
        <w:spacing w:line="380" w:lineRule="exact"/>
        <w:ind w:left="2722" w:leftChars="1028" w:hanging="563" w:hangingChars="256"/>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法定代表人（负责人）或授权代表（签字或盖章）           ：</w:t>
      </w:r>
    </w:p>
    <w:p w14:paraId="05EF4631">
      <w:pPr>
        <w:spacing w:line="380" w:lineRule="exact"/>
        <w:ind w:left="2722" w:leftChars="1028" w:hanging="563" w:hangingChars="256"/>
        <w:jc w:val="left"/>
        <w:rPr>
          <w:rFonts w:hint="eastAsia" w:ascii="宋体" w:hAnsi="宋体" w:cs="宋体"/>
          <w:b/>
          <w:bCs/>
          <w:color w:val="auto"/>
          <w:sz w:val="22"/>
          <w:szCs w:val="22"/>
          <w:highlight w:val="none"/>
        </w:rPr>
      </w:pPr>
      <w:r>
        <w:rPr>
          <w:rFonts w:hint="eastAsia" w:ascii="宋体" w:hAnsi="宋体" w:cs="宋体"/>
          <w:color w:val="auto"/>
          <w:sz w:val="22"/>
          <w:szCs w:val="22"/>
          <w:highlight w:val="none"/>
        </w:rPr>
        <w:t>日期：</w:t>
      </w:r>
    </w:p>
    <w:p w14:paraId="54A278E4">
      <w:pPr>
        <w:spacing w:line="460" w:lineRule="exact"/>
        <w:rPr>
          <w:rFonts w:hint="eastAsia" w:ascii="宋体" w:hAnsi="宋体" w:cs="宋体"/>
          <w:b/>
          <w:bCs/>
          <w:color w:val="auto"/>
          <w:sz w:val="22"/>
          <w:szCs w:val="22"/>
          <w:highlight w:val="none"/>
        </w:rPr>
      </w:pPr>
      <w:r>
        <w:rPr>
          <w:rFonts w:hint="eastAsia" w:ascii="宋体" w:hAnsi="宋体" w:cs="宋体"/>
          <w:b/>
          <w:bCs/>
          <w:color w:val="auto"/>
          <w:szCs w:val="21"/>
          <w:highlight w:val="none"/>
        </w:rPr>
        <w:br w:type="page"/>
      </w:r>
      <w:r>
        <w:rPr>
          <w:rFonts w:hint="eastAsia" w:ascii="宋体" w:hAnsi="宋体" w:cs="宋体"/>
          <w:b/>
          <w:bCs/>
          <w:color w:val="auto"/>
          <w:sz w:val="22"/>
          <w:szCs w:val="22"/>
          <w:highlight w:val="none"/>
        </w:rPr>
        <w:t>附件四</w:t>
      </w:r>
      <w:bookmarkStart w:id="175" w:name="_Toc221356957"/>
      <w:bookmarkStart w:id="176" w:name="_Toc241404208"/>
      <w:bookmarkStart w:id="177" w:name="_Toc223716004"/>
      <w:bookmarkStart w:id="178" w:name="_Toc221356894"/>
      <w:bookmarkStart w:id="179" w:name="_Toc221423625"/>
      <w:bookmarkStart w:id="180" w:name="_Toc221374632"/>
      <w:bookmarkStart w:id="181" w:name="_Toc246261271"/>
      <w:bookmarkStart w:id="182" w:name="_Toc245722287"/>
      <w:bookmarkStart w:id="183" w:name="_Toc239145360"/>
      <w:bookmarkStart w:id="184" w:name="_Toc222114885"/>
      <w:bookmarkStart w:id="185" w:name="_Toc245191320"/>
    </w:p>
    <w:p w14:paraId="55FDE19E">
      <w:pPr>
        <w:spacing w:line="460" w:lineRule="exact"/>
        <w:rPr>
          <w:rFonts w:hint="eastAsia" w:ascii="宋体" w:hAnsi="宋体" w:cs="宋体"/>
          <w:b/>
          <w:bCs/>
          <w:color w:val="auto"/>
          <w:highlight w:val="none"/>
        </w:rPr>
      </w:pPr>
    </w:p>
    <w:p w14:paraId="4D15B562">
      <w:pPr>
        <w:spacing w:line="460" w:lineRule="exact"/>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谈 判 函</w:t>
      </w:r>
    </w:p>
    <w:p w14:paraId="1DF89CD9">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温州市鹿城区藤桥镇人民政府：</w:t>
      </w:r>
    </w:p>
    <w:p w14:paraId="54B0BB14">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浙江省房地产管理咨询有限公司：</w:t>
      </w:r>
    </w:p>
    <w:p w14:paraId="5580E735">
      <w:pPr>
        <w:spacing w:line="42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根据贵方为</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项目（采购编号：        ）的投标邀请，我方</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（供应商名称）作为供应商正式授权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（授权代表全名，职务）代表我方处理有关本谈判的一切事宜。</w:t>
      </w:r>
    </w:p>
    <w:p w14:paraId="4A5FD3D1">
      <w:pPr>
        <w:pStyle w:val="17"/>
        <w:spacing w:line="360" w:lineRule="exact"/>
        <w:ind w:firstLine="440" w:firstLineChars="200"/>
        <w:rPr>
          <w:rFonts w:hint="eastAsia" w:ascii="宋体" w:hAnsi="宋体" w:cs="宋体"/>
          <w:color w:val="auto"/>
          <w:sz w:val="22"/>
          <w:highlight w:val="none"/>
        </w:rPr>
      </w:pPr>
      <w:r>
        <w:rPr>
          <w:rFonts w:hint="eastAsia" w:ascii="宋体" w:hAnsi="宋体" w:cs="宋体"/>
          <w:color w:val="auto"/>
          <w:sz w:val="22"/>
          <w:szCs w:val="22"/>
          <w:highlight w:val="none"/>
        </w:rPr>
        <w:t>在此提交的单一来源响应文件中，包括如下内</w:t>
      </w:r>
      <w:r>
        <w:rPr>
          <w:rFonts w:hint="eastAsia" w:ascii="宋体" w:hAnsi="宋体" w:cs="宋体"/>
          <w:color w:val="auto"/>
          <w:sz w:val="22"/>
          <w:highlight w:val="none"/>
        </w:rPr>
        <w:t>容：</w:t>
      </w:r>
    </w:p>
    <w:p w14:paraId="0C829FF8">
      <w:pPr>
        <w:spacing w:line="36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1、按“供应商须知”要求编制的单一来源响应文件资格文件；</w:t>
      </w:r>
    </w:p>
    <w:p w14:paraId="3AFF3D0C">
      <w:pPr>
        <w:spacing w:line="36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2、按“供应商须知”要求编制的单一来源响应文件商务技术文件；</w:t>
      </w:r>
    </w:p>
    <w:p w14:paraId="177052AF">
      <w:pPr>
        <w:spacing w:line="36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3、按“供应商须知”要求编制的单一来源响应文件报价文件；</w:t>
      </w:r>
    </w:p>
    <w:p w14:paraId="3DAC7019">
      <w:pPr>
        <w:spacing w:line="36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我方己完全明白单一来源采购文件的所有条款要求，并重申以下几点：</w:t>
      </w:r>
    </w:p>
    <w:p w14:paraId="20FD41B5">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本单一来源响应文件的有效期自谈判截止日起  90 天内有效，如成交，有效期将延至合同终止日为止；</w:t>
      </w:r>
    </w:p>
    <w:p w14:paraId="1056AA2F">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我方已详细研究了单一来源采购文件的所有内容包括修改书（如有）和所有已提供的参考资料以及有关附件，我方完全理解并同意放弃在此方面提出含糊意见或误解的一切权力；</w:t>
      </w:r>
    </w:p>
    <w:p w14:paraId="2971F783">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我方郑重承诺所提供的“信用中国网站”、“中国政府采购网”信用查询证明文件真实有效；</w:t>
      </w:r>
    </w:p>
    <w:p w14:paraId="254EC501">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我方在参加本项目前三年内</w:t>
      </w:r>
      <w:r>
        <w:rPr>
          <w:rFonts w:hint="eastAsia" w:ascii="宋体" w:hAnsi="宋体" w:cs="宋体"/>
          <w:color w:val="auto"/>
          <w:sz w:val="22"/>
          <w:highlight w:val="none"/>
          <w:u w:val="single"/>
        </w:rPr>
        <w:t>（被通报或者处罚的违法行为有：               ）</w:t>
      </w:r>
      <w:r>
        <w:rPr>
          <w:rFonts w:hint="eastAsia" w:ascii="宋体" w:hAnsi="宋体" w:cs="宋体"/>
          <w:color w:val="auto"/>
          <w:sz w:val="22"/>
          <w:highlight w:val="none"/>
        </w:rPr>
        <w:t>或（</w:t>
      </w:r>
      <w:r>
        <w:rPr>
          <w:rFonts w:hint="eastAsia" w:ascii="宋体" w:hAnsi="宋体" w:cs="宋体"/>
          <w:color w:val="auto"/>
          <w:sz w:val="22"/>
          <w:highlight w:val="none"/>
          <w:u w:val="single"/>
        </w:rPr>
        <w:t>没有因违法经营受到刑事处罚或者责令停产停业、吊销许可证或者执照、较大数额罚款等行政处罚或处罚）</w:t>
      </w:r>
      <w:r>
        <w:rPr>
          <w:rFonts w:hint="eastAsia" w:ascii="宋体" w:hAnsi="宋体" w:cs="宋体"/>
          <w:color w:val="auto"/>
          <w:sz w:val="22"/>
          <w:highlight w:val="none"/>
        </w:rPr>
        <w:t>或</w:t>
      </w:r>
      <w:r>
        <w:rPr>
          <w:rFonts w:hint="eastAsia" w:ascii="宋体" w:hAnsi="宋体" w:cs="宋体"/>
          <w:color w:val="auto"/>
          <w:sz w:val="22"/>
          <w:highlight w:val="none"/>
          <w:u w:val="single"/>
        </w:rPr>
        <w:t>（在  至  期间禁止参加政府采购活动但是期限届满，须附相关证明文件）</w:t>
      </w:r>
      <w:r>
        <w:rPr>
          <w:rFonts w:hint="eastAsia" w:ascii="宋体" w:hAnsi="宋体" w:cs="宋体"/>
          <w:color w:val="auto"/>
          <w:sz w:val="22"/>
          <w:highlight w:val="none"/>
        </w:rPr>
        <w:t>；</w:t>
      </w:r>
    </w:p>
    <w:p w14:paraId="6E44BF59">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我方同意提供按照贵方可能要求的与谈判有关的一切数据或资料；</w:t>
      </w:r>
    </w:p>
    <w:p w14:paraId="02FF8EA9">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我方理解贵方不一定接受最低报价。</w:t>
      </w:r>
      <w:r>
        <w:rPr>
          <w:rFonts w:hint="eastAsia" w:ascii="宋体" w:hAnsi="宋体" w:cs="宋体"/>
          <w:color w:val="auto"/>
          <w:sz w:val="22"/>
          <w:highlight w:val="none"/>
        </w:rPr>
        <w:tab/>
      </w:r>
    </w:p>
    <w:p w14:paraId="0BABB5A0">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我方如果成交，将保证履行单一来源采购文件以及单一来源采购文件修改书（如有）中的全部责任和义务，按质、按量、按期完成《合同书》中的全部任务。</w:t>
      </w:r>
    </w:p>
    <w:p w14:paraId="7804F40D">
      <w:pPr>
        <w:pStyle w:val="514"/>
        <w:numPr>
          <w:ilvl w:val="1"/>
          <w:numId w:val="7"/>
        </w:numPr>
        <w:spacing w:line="360" w:lineRule="exact"/>
        <w:ind w:left="567" w:hanging="283" w:firstLineChars="0"/>
        <w:rPr>
          <w:rFonts w:hint="eastAsia" w:ascii="宋体" w:hAnsi="宋体" w:cs="宋体"/>
          <w:color w:val="auto"/>
          <w:sz w:val="22"/>
          <w:highlight w:val="none"/>
        </w:rPr>
      </w:pPr>
      <w:r>
        <w:rPr>
          <w:rFonts w:hint="eastAsia" w:ascii="宋体" w:hAnsi="宋体" w:cs="宋体"/>
          <w:color w:val="auto"/>
          <w:sz w:val="22"/>
          <w:highlight w:val="none"/>
        </w:rPr>
        <w:t>所有与本谈判有关的函件请发往下列地址：</w:t>
      </w:r>
    </w:p>
    <w:p w14:paraId="12C3773F">
      <w:pPr>
        <w:spacing w:line="36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地址：</w:t>
      </w:r>
      <w:r>
        <w:rPr>
          <w:rFonts w:hint="eastAsia" w:ascii="宋体" w:hAnsi="宋体" w:cs="宋体"/>
          <w:color w:val="auto"/>
          <w:sz w:val="22"/>
          <w:szCs w:val="22"/>
          <w:highlight w:val="none"/>
          <w:u w:val="single"/>
        </w:rPr>
        <w:t xml:space="preserve">           　　</w:t>
      </w:r>
    </w:p>
    <w:p w14:paraId="56A6AA4A">
      <w:pPr>
        <w:spacing w:line="36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电话：</w:t>
      </w:r>
      <w:r>
        <w:rPr>
          <w:rFonts w:hint="eastAsia" w:ascii="宋体" w:hAnsi="宋体" w:cs="宋体"/>
          <w:color w:val="auto"/>
          <w:sz w:val="22"/>
          <w:szCs w:val="22"/>
          <w:highlight w:val="none"/>
          <w:u w:val="single"/>
        </w:rPr>
        <w:t xml:space="preserve">           　　</w:t>
      </w:r>
    </w:p>
    <w:p w14:paraId="79528E3B">
      <w:pPr>
        <w:spacing w:line="360" w:lineRule="exact"/>
        <w:ind w:firstLine="435"/>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 xml:space="preserve">   传真：</w:t>
      </w:r>
      <w:r>
        <w:rPr>
          <w:rFonts w:hint="eastAsia" w:ascii="宋体" w:hAnsi="宋体" w:cs="宋体"/>
          <w:color w:val="auto"/>
          <w:sz w:val="22"/>
          <w:szCs w:val="22"/>
          <w:highlight w:val="none"/>
          <w:u w:val="single"/>
        </w:rPr>
        <w:t xml:space="preserve">           　　</w:t>
      </w:r>
    </w:p>
    <w:p w14:paraId="4078C8E3">
      <w:pPr>
        <w:spacing w:line="360" w:lineRule="exact"/>
        <w:ind w:firstLine="770" w:firstLineChars="350"/>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电子邮件：</w:t>
      </w:r>
      <w:r>
        <w:rPr>
          <w:rFonts w:hint="eastAsia" w:ascii="宋体" w:hAnsi="宋体" w:cs="宋体"/>
          <w:color w:val="auto"/>
          <w:sz w:val="22"/>
          <w:szCs w:val="22"/>
          <w:highlight w:val="none"/>
          <w:u w:val="single"/>
        </w:rPr>
        <w:t xml:space="preserve">           　　</w:t>
      </w:r>
    </w:p>
    <w:p w14:paraId="7CEEF6CD">
      <w:pPr>
        <w:spacing w:line="420" w:lineRule="exact"/>
        <w:ind w:firstLine="435"/>
        <w:rPr>
          <w:rFonts w:hint="eastAsia" w:ascii="宋体" w:hAnsi="宋体" w:cs="宋体"/>
          <w:color w:val="auto"/>
          <w:sz w:val="22"/>
          <w:szCs w:val="22"/>
          <w:highlight w:val="none"/>
        </w:rPr>
      </w:pPr>
    </w:p>
    <w:p w14:paraId="732641CC">
      <w:pPr>
        <w:spacing w:line="42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供应商名称（盖章）：</w:t>
      </w:r>
    </w:p>
    <w:p w14:paraId="03D8A538">
      <w:pPr>
        <w:spacing w:line="42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法定代表人（负责人）或授权代表（签字或盖章）：</w:t>
      </w:r>
    </w:p>
    <w:p w14:paraId="140168CC">
      <w:pPr>
        <w:spacing w:line="460" w:lineRule="exact"/>
        <w:ind w:firstLine="435"/>
        <w:rPr>
          <w:rFonts w:hint="eastAsia" w:ascii="宋体" w:hAnsi="宋体" w:cs="宋体"/>
          <w:color w:val="auto"/>
          <w:sz w:val="22"/>
          <w:szCs w:val="22"/>
          <w:highlight w:val="none"/>
          <w:u w:val="single"/>
        </w:rPr>
        <w:sectPr>
          <w:footerReference r:id="rId9" w:type="first"/>
          <w:headerReference r:id="rId6" w:type="default"/>
          <w:footerReference r:id="rId7" w:type="default"/>
          <w:footerReference r:id="rId8" w:type="even"/>
          <w:type w:val="nextColumn"/>
          <w:pgSz w:w="11906" w:h="16838"/>
          <w:pgMar w:top="1134" w:right="1134" w:bottom="1134" w:left="1134" w:header="851" w:footer="851" w:gutter="0"/>
          <w:cols w:space="720" w:num="1"/>
          <w:titlePg/>
          <w:docGrid w:linePitch="312" w:charSpace="0"/>
        </w:sectPr>
      </w:pPr>
      <w:r>
        <w:rPr>
          <w:rFonts w:hint="eastAsia" w:ascii="宋体" w:hAnsi="宋体" w:cs="宋体"/>
          <w:color w:val="auto"/>
          <w:sz w:val="22"/>
          <w:szCs w:val="22"/>
          <w:highlight w:val="none"/>
        </w:rPr>
        <w:t xml:space="preserve">                                   日期：  年   月   日</w:t>
      </w:r>
    </w:p>
    <w:p w14:paraId="0D758EC1">
      <w:pPr>
        <w:spacing w:line="460" w:lineRule="exact"/>
        <w:rPr>
          <w:rFonts w:hint="eastAsia" w:ascii="宋体" w:hAnsi="宋体" w:cs="宋体"/>
          <w:color w:val="auto"/>
          <w:highlight w:val="none"/>
        </w:rPr>
      </w:pPr>
      <w:r>
        <w:rPr>
          <w:rFonts w:hint="eastAsia" w:ascii="宋体" w:hAnsi="宋体" w:cs="宋体"/>
          <w:b/>
          <w:bCs/>
          <w:color w:val="auto"/>
          <w:sz w:val="22"/>
          <w:szCs w:val="22"/>
          <w:highlight w:val="none"/>
        </w:rPr>
        <w:t>附件五</w:t>
      </w:r>
    </w:p>
    <w:p w14:paraId="29C69BAB">
      <w:pPr>
        <w:spacing w:line="460" w:lineRule="exact"/>
        <w:rPr>
          <w:rFonts w:hint="eastAsia" w:ascii="宋体" w:hAnsi="宋体" w:cs="宋体"/>
          <w:b/>
          <w:color w:val="auto"/>
          <w:sz w:val="22"/>
          <w:szCs w:val="22"/>
          <w:highlight w:val="none"/>
        </w:rPr>
      </w:pPr>
    </w:p>
    <w:p w14:paraId="7A97F9A5">
      <w:pPr>
        <w:spacing w:line="460" w:lineRule="exact"/>
        <w:ind w:firstLine="437"/>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技术规格、商务条款偏离表</w:t>
      </w:r>
    </w:p>
    <w:p w14:paraId="77543321">
      <w:pPr>
        <w:spacing w:line="38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供应商名称：                                          采购编号：</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14:paraId="28D0D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noWrap w:val="0"/>
            <w:vAlign w:val="top"/>
          </w:tcPr>
          <w:p w14:paraId="0B58E971">
            <w:pPr>
              <w:spacing w:line="380" w:lineRule="exact"/>
              <w:jc w:val="center"/>
              <w:rPr>
                <w:rFonts w:hint="eastAsia" w:ascii="宋体" w:hAnsi="宋体" w:cs="宋体"/>
                <w:color w:val="auto"/>
                <w:sz w:val="22"/>
                <w:szCs w:val="22"/>
                <w:highlight w:val="none"/>
              </w:rPr>
            </w:pPr>
          </w:p>
        </w:tc>
        <w:tc>
          <w:tcPr>
            <w:tcW w:w="1364" w:type="dxa"/>
            <w:noWrap w:val="0"/>
            <w:vAlign w:val="center"/>
          </w:tcPr>
          <w:p w14:paraId="3684CA89">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2097" w:type="dxa"/>
            <w:noWrap w:val="0"/>
            <w:vAlign w:val="center"/>
          </w:tcPr>
          <w:p w14:paraId="4C494042">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单一来源采购文件</w:t>
            </w:r>
          </w:p>
          <w:p w14:paraId="722D481A">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条目号</w:t>
            </w:r>
          </w:p>
        </w:tc>
        <w:tc>
          <w:tcPr>
            <w:tcW w:w="1992" w:type="dxa"/>
            <w:noWrap w:val="0"/>
            <w:vAlign w:val="center"/>
          </w:tcPr>
          <w:p w14:paraId="6CD2BEE0">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单一来源采购文件</w:t>
            </w:r>
          </w:p>
          <w:p w14:paraId="1EEFFA5A">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规范要求</w:t>
            </w:r>
          </w:p>
        </w:tc>
        <w:tc>
          <w:tcPr>
            <w:tcW w:w="1866" w:type="dxa"/>
            <w:noWrap w:val="0"/>
            <w:vAlign w:val="center"/>
          </w:tcPr>
          <w:p w14:paraId="241B7908">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单一来源响应文件</w:t>
            </w:r>
          </w:p>
          <w:p w14:paraId="1A13AB5F">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对应规范</w:t>
            </w:r>
          </w:p>
        </w:tc>
        <w:tc>
          <w:tcPr>
            <w:tcW w:w="1592" w:type="dxa"/>
            <w:noWrap w:val="0"/>
            <w:vAlign w:val="center"/>
          </w:tcPr>
          <w:p w14:paraId="55BEB47A">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说明</w:t>
            </w:r>
          </w:p>
        </w:tc>
      </w:tr>
      <w:tr w14:paraId="007F5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noWrap w:val="0"/>
            <w:vAlign w:val="center"/>
          </w:tcPr>
          <w:p w14:paraId="3A138DF6">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技</w:t>
            </w:r>
          </w:p>
          <w:p w14:paraId="75FB7F4A">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术</w:t>
            </w:r>
          </w:p>
          <w:p w14:paraId="6C1A4082">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规</w:t>
            </w:r>
          </w:p>
          <w:p w14:paraId="445939E6">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格</w:t>
            </w:r>
          </w:p>
        </w:tc>
        <w:tc>
          <w:tcPr>
            <w:tcW w:w="1364" w:type="dxa"/>
            <w:noWrap w:val="0"/>
            <w:vAlign w:val="center"/>
          </w:tcPr>
          <w:p w14:paraId="188DD3BE">
            <w:pPr>
              <w:spacing w:line="380" w:lineRule="exact"/>
              <w:jc w:val="center"/>
              <w:rPr>
                <w:rFonts w:hint="eastAsia" w:ascii="宋体" w:hAnsi="宋体" w:cs="宋体"/>
                <w:color w:val="auto"/>
                <w:sz w:val="22"/>
                <w:szCs w:val="22"/>
                <w:highlight w:val="none"/>
              </w:rPr>
            </w:pPr>
          </w:p>
        </w:tc>
        <w:tc>
          <w:tcPr>
            <w:tcW w:w="2097" w:type="dxa"/>
            <w:noWrap w:val="0"/>
            <w:vAlign w:val="center"/>
          </w:tcPr>
          <w:p w14:paraId="7E18CB43">
            <w:pPr>
              <w:spacing w:line="380" w:lineRule="exact"/>
              <w:jc w:val="center"/>
              <w:rPr>
                <w:rFonts w:hint="eastAsia" w:ascii="宋体" w:hAnsi="宋体" w:cs="宋体"/>
                <w:color w:val="auto"/>
                <w:sz w:val="22"/>
                <w:szCs w:val="22"/>
                <w:highlight w:val="none"/>
              </w:rPr>
            </w:pPr>
          </w:p>
        </w:tc>
        <w:tc>
          <w:tcPr>
            <w:tcW w:w="1992" w:type="dxa"/>
            <w:noWrap w:val="0"/>
            <w:vAlign w:val="center"/>
          </w:tcPr>
          <w:p w14:paraId="643600C1">
            <w:pPr>
              <w:spacing w:line="380" w:lineRule="exact"/>
              <w:jc w:val="center"/>
              <w:rPr>
                <w:rFonts w:hint="eastAsia" w:ascii="宋体" w:hAnsi="宋体" w:cs="宋体"/>
                <w:color w:val="auto"/>
                <w:sz w:val="22"/>
                <w:szCs w:val="22"/>
                <w:highlight w:val="none"/>
              </w:rPr>
            </w:pPr>
          </w:p>
        </w:tc>
        <w:tc>
          <w:tcPr>
            <w:tcW w:w="1866" w:type="dxa"/>
            <w:noWrap w:val="0"/>
            <w:vAlign w:val="center"/>
          </w:tcPr>
          <w:p w14:paraId="670295EE">
            <w:pPr>
              <w:spacing w:line="380" w:lineRule="exact"/>
              <w:jc w:val="center"/>
              <w:rPr>
                <w:rFonts w:hint="eastAsia" w:ascii="宋体" w:hAnsi="宋体" w:cs="宋体"/>
                <w:color w:val="auto"/>
                <w:sz w:val="22"/>
                <w:szCs w:val="22"/>
                <w:highlight w:val="none"/>
              </w:rPr>
            </w:pPr>
          </w:p>
        </w:tc>
        <w:tc>
          <w:tcPr>
            <w:tcW w:w="1592" w:type="dxa"/>
            <w:noWrap w:val="0"/>
            <w:vAlign w:val="center"/>
          </w:tcPr>
          <w:p w14:paraId="6B2CA92C">
            <w:pPr>
              <w:spacing w:line="380" w:lineRule="exact"/>
              <w:jc w:val="center"/>
              <w:rPr>
                <w:rFonts w:hint="eastAsia" w:ascii="宋体" w:hAnsi="宋体" w:cs="宋体"/>
                <w:color w:val="auto"/>
                <w:sz w:val="22"/>
                <w:szCs w:val="22"/>
                <w:highlight w:val="none"/>
              </w:rPr>
            </w:pPr>
          </w:p>
        </w:tc>
      </w:tr>
      <w:tr w14:paraId="18A3B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26666BD6">
            <w:pPr>
              <w:spacing w:line="380" w:lineRule="exact"/>
              <w:ind w:firstLine="220" w:firstLineChars="100"/>
              <w:rPr>
                <w:rFonts w:hint="eastAsia" w:ascii="宋体" w:hAnsi="宋体" w:cs="宋体"/>
                <w:color w:val="auto"/>
                <w:sz w:val="22"/>
                <w:szCs w:val="22"/>
                <w:highlight w:val="none"/>
              </w:rPr>
            </w:pPr>
          </w:p>
        </w:tc>
        <w:tc>
          <w:tcPr>
            <w:tcW w:w="1364" w:type="dxa"/>
            <w:noWrap w:val="0"/>
            <w:vAlign w:val="center"/>
          </w:tcPr>
          <w:p w14:paraId="3E72B478">
            <w:pPr>
              <w:spacing w:line="380" w:lineRule="exact"/>
              <w:jc w:val="center"/>
              <w:rPr>
                <w:rFonts w:hint="eastAsia" w:ascii="宋体" w:hAnsi="宋体" w:cs="宋体"/>
                <w:color w:val="auto"/>
                <w:sz w:val="22"/>
                <w:szCs w:val="22"/>
                <w:highlight w:val="none"/>
              </w:rPr>
            </w:pPr>
          </w:p>
        </w:tc>
        <w:tc>
          <w:tcPr>
            <w:tcW w:w="2097" w:type="dxa"/>
            <w:noWrap w:val="0"/>
            <w:vAlign w:val="center"/>
          </w:tcPr>
          <w:p w14:paraId="610C1D78">
            <w:pPr>
              <w:spacing w:line="380" w:lineRule="exact"/>
              <w:jc w:val="center"/>
              <w:rPr>
                <w:rFonts w:hint="eastAsia" w:ascii="宋体" w:hAnsi="宋体" w:cs="宋体"/>
                <w:color w:val="auto"/>
                <w:sz w:val="22"/>
                <w:szCs w:val="22"/>
                <w:highlight w:val="none"/>
              </w:rPr>
            </w:pPr>
          </w:p>
        </w:tc>
        <w:tc>
          <w:tcPr>
            <w:tcW w:w="1992" w:type="dxa"/>
            <w:noWrap w:val="0"/>
            <w:vAlign w:val="center"/>
          </w:tcPr>
          <w:p w14:paraId="21C8810C">
            <w:pPr>
              <w:spacing w:line="380" w:lineRule="exact"/>
              <w:jc w:val="center"/>
              <w:rPr>
                <w:rFonts w:hint="eastAsia" w:ascii="宋体" w:hAnsi="宋体" w:cs="宋体"/>
                <w:color w:val="auto"/>
                <w:sz w:val="22"/>
                <w:szCs w:val="22"/>
                <w:highlight w:val="none"/>
              </w:rPr>
            </w:pPr>
          </w:p>
        </w:tc>
        <w:tc>
          <w:tcPr>
            <w:tcW w:w="1866" w:type="dxa"/>
            <w:noWrap w:val="0"/>
            <w:vAlign w:val="center"/>
          </w:tcPr>
          <w:p w14:paraId="38703907">
            <w:pPr>
              <w:spacing w:line="380" w:lineRule="exact"/>
              <w:jc w:val="center"/>
              <w:rPr>
                <w:rFonts w:hint="eastAsia" w:ascii="宋体" w:hAnsi="宋体" w:cs="宋体"/>
                <w:color w:val="auto"/>
                <w:sz w:val="22"/>
                <w:szCs w:val="22"/>
                <w:highlight w:val="none"/>
              </w:rPr>
            </w:pPr>
          </w:p>
        </w:tc>
        <w:tc>
          <w:tcPr>
            <w:tcW w:w="1592" w:type="dxa"/>
            <w:noWrap w:val="0"/>
            <w:vAlign w:val="center"/>
          </w:tcPr>
          <w:p w14:paraId="618A4F34">
            <w:pPr>
              <w:spacing w:line="380" w:lineRule="exact"/>
              <w:jc w:val="center"/>
              <w:rPr>
                <w:rFonts w:hint="eastAsia" w:ascii="宋体" w:hAnsi="宋体" w:cs="宋体"/>
                <w:color w:val="auto"/>
                <w:sz w:val="22"/>
                <w:szCs w:val="22"/>
                <w:highlight w:val="none"/>
              </w:rPr>
            </w:pPr>
          </w:p>
        </w:tc>
      </w:tr>
      <w:tr w14:paraId="244C4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6BB21685">
            <w:pPr>
              <w:spacing w:line="380" w:lineRule="exact"/>
              <w:jc w:val="center"/>
              <w:rPr>
                <w:rFonts w:hint="eastAsia" w:ascii="宋体" w:hAnsi="宋体" w:cs="宋体"/>
                <w:color w:val="auto"/>
                <w:sz w:val="22"/>
                <w:szCs w:val="22"/>
                <w:highlight w:val="none"/>
              </w:rPr>
            </w:pPr>
          </w:p>
        </w:tc>
        <w:tc>
          <w:tcPr>
            <w:tcW w:w="1364" w:type="dxa"/>
            <w:noWrap w:val="0"/>
            <w:vAlign w:val="center"/>
          </w:tcPr>
          <w:p w14:paraId="31ADBC0B">
            <w:pPr>
              <w:spacing w:line="380" w:lineRule="exact"/>
              <w:jc w:val="center"/>
              <w:rPr>
                <w:rFonts w:hint="eastAsia" w:ascii="宋体" w:hAnsi="宋体" w:cs="宋体"/>
                <w:color w:val="auto"/>
                <w:sz w:val="22"/>
                <w:szCs w:val="22"/>
                <w:highlight w:val="none"/>
              </w:rPr>
            </w:pPr>
          </w:p>
        </w:tc>
        <w:tc>
          <w:tcPr>
            <w:tcW w:w="2097" w:type="dxa"/>
            <w:noWrap w:val="0"/>
            <w:vAlign w:val="center"/>
          </w:tcPr>
          <w:p w14:paraId="05AA3839">
            <w:pPr>
              <w:spacing w:line="380" w:lineRule="exact"/>
              <w:jc w:val="center"/>
              <w:rPr>
                <w:rFonts w:hint="eastAsia" w:ascii="宋体" w:hAnsi="宋体" w:cs="宋体"/>
                <w:color w:val="auto"/>
                <w:sz w:val="22"/>
                <w:szCs w:val="22"/>
                <w:highlight w:val="none"/>
              </w:rPr>
            </w:pPr>
          </w:p>
        </w:tc>
        <w:tc>
          <w:tcPr>
            <w:tcW w:w="1992" w:type="dxa"/>
            <w:noWrap w:val="0"/>
            <w:vAlign w:val="center"/>
          </w:tcPr>
          <w:p w14:paraId="15CF4DB3">
            <w:pPr>
              <w:spacing w:line="380" w:lineRule="exact"/>
              <w:jc w:val="center"/>
              <w:rPr>
                <w:rFonts w:hint="eastAsia" w:ascii="宋体" w:hAnsi="宋体" w:cs="宋体"/>
                <w:color w:val="auto"/>
                <w:sz w:val="22"/>
                <w:szCs w:val="22"/>
                <w:highlight w:val="none"/>
              </w:rPr>
            </w:pPr>
          </w:p>
        </w:tc>
        <w:tc>
          <w:tcPr>
            <w:tcW w:w="1866" w:type="dxa"/>
            <w:noWrap w:val="0"/>
            <w:vAlign w:val="center"/>
          </w:tcPr>
          <w:p w14:paraId="33D9DEF6">
            <w:pPr>
              <w:spacing w:line="380" w:lineRule="exact"/>
              <w:jc w:val="center"/>
              <w:rPr>
                <w:rFonts w:hint="eastAsia" w:ascii="宋体" w:hAnsi="宋体" w:cs="宋体"/>
                <w:color w:val="auto"/>
                <w:sz w:val="22"/>
                <w:szCs w:val="22"/>
                <w:highlight w:val="none"/>
              </w:rPr>
            </w:pPr>
          </w:p>
        </w:tc>
        <w:tc>
          <w:tcPr>
            <w:tcW w:w="1592" w:type="dxa"/>
            <w:noWrap w:val="0"/>
            <w:vAlign w:val="center"/>
          </w:tcPr>
          <w:p w14:paraId="1B0C4FD8">
            <w:pPr>
              <w:spacing w:line="380" w:lineRule="exact"/>
              <w:jc w:val="center"/>
              <w:rPr>
                <w:rFonts w:hint="eastAsia" w:ascii="宋体" w:hAnsi="宋体" w:cs="宋体"/>
                <w:color w:val="auto"/>
                <w:sz w:val="22"/>
                <w:szCs w:val="22"/>
                <w:highlight w:val="none"/>
              </w:rPr>
            </w:pPr>
          </w:p>
        </w:tc>
      </w:tr>
      <w:tr w14:paraId="1119C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736F1423">
            <w:pPr>
              <w:spacing w:line="380" w:lineRule="exact"/>
              <w:jc w:val="center"/>
              <w:rPr>
                <w:rFonts w:hint="eastAsia" w:ascii="宋体" w:hAnsi="宋体" w:cs="宋体"/>
                <w:color w:val="auto"/>
                <w:sz w:val="22"/>
                <w:szCs w:val="22"/>
                <w:highlight w:val="none"/>
              </w:rPr>
            </w:pPr>
          </w:p>
        </w:tc>
        <w:tc>
          <w:tcPr>
            <w:tcW w:w="1364" w:type="dxa"/>
            <w:noWrap w:val="0"/>
            <w:vAlign w:val="center"/>
          </w:tcPr>
          <w:p w14:paraId="2DD4CCC9">
            <w:pPr>
              <w:spacing w:line="380" w:lineRule="exact"/>
              <w:jc w:val="center"/>
              <w:rPr>
                <w:rFonts w:hint="eastAsia" w:ascii="宋体" w:hAnsi="宋体" w:cs="宋体"/>
                <w:color w:val="auto"/>
                <w:sz w:val="22"/>
                <w:szCs w:val="22"/>
                <w:highlight w:val="none"/>
              </w:rPr>
            </w:pPr>
          </w:p>
        </w:tc>
        <w:tc>
          <w:tcPr>
            <w:tcW w:w="2097" w:type="dxa"/>
            <w:noWrap w:val="0"/>
            <w:vAlign w:val="center"/>
          </w:tcPr>
          <w:p w14:paraId="5907E2D3">
            <w:pPr>
              <w:spacing w:line="380" w:lineRule="exact"/>
              <w:jc w:val="center"/>
              <w:rPr>
                <w:rFonts w:hint="eastAsia" w:ascii="宋体" w:hAnsi="宋体" w:cs="宋体"/>
                <w:color w:val="auto"/>
                <w:sz w:val="22"/>
                <w:szCs w:val="22"/>
                <w:highlight w:val="none"/>
              </w:rPr>
            </w:pPr>
          </w:p>
        </w:tc>
        <w:tc>
          <w:tcPr>
            <w:tcW w:w="1992" w:type="dxa"/>
            <w:noWrap w:val="0"/>
            <w:vAlign w:val="center"/>
          </w:tcPr>
          <w:p w14:paraId="53599886">
            <w:pPr>
              <w:spacing w:line="380" w:lineRule="exact"/>
              <w:jc w:val="center"/>
              <w:rPr>
                <w:rFonts w:hint="eastAsia" w:ascii="宋体" w:hAnsi="宋体" w:cs="宋体"/>
                <w:color w:val="auto"/>
                <w:sz w:val="22"/>
                <w:szCs w:val="22"/>
                <w:highlight w:val="none"/>
              </w:rPr>
            </w:pPr>
          </w:p>
        </w:tc>
        <w:tc>
          <w:tcPr>
            <w:tcW w:w="1866" w:type="dxa"/>
            <w:noWrap w:val="0"/>
            <w:vAlign w:val="center"/>
          </w:tcPr>
          <w:p w14:paraId="3A53CB61">
            <w:pPr>
              <w:spacing w:line="380" w:lineRule="exact"/>
              <w:jc w:val="center"/>
              <w:rPr>
                <w:rFonts w:hint="eastAsia" w:ascii="宋体" w:hAnsi="宋体" w:cs="宋体"/>
                <w:color w:val="auto"/>
                <w:sz w:val="22"/>
                <w:szCs w:val="22"/>
                <w:highlight w:val="none"/>
              </w:rPr>
            </w:pPr>
          </w:p>
        </w:tc>
        <w:tc>
          <w:tcPr>
            <w:tcW w:w="1592" w:type="dxa"/>
            <w:noWrap w:val="0"/>
            <w:vAlign w:val="center"/>
          </w:tcPr>
          <w:p w14:paraId="3A109CBE">
            <w:pPr>
              <w:spacing w:line="380" w:lineRule="exact"/>
              <w:jc w:val="center"/>
              <w:rPr>
                <w:rFonts w:hint="eastAsia" w:ascii="宋体" w:hAnsi="宋体" w:cs="宋体"/>
                <w:color w:val="auto"/>
                <w:sz w:val="22"/>
                <w:szCs w:val="22"/>
                <w:highlight w:val="none"/>
              </w:rPr>
            </w:pPr>
          </w:p>
        </w:tc>
      </w:tr>
      <w:tr w14:paraId="72134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572ECEF9">
            <w:pPr>
              <w:spacing w:line="380" w:lineRule="exact"/>
              <w:jc w:val="center"/>
              <w:rPr>
                <w:rFonts w:hint="eastAsia" w:ascii="宋体" w:hAnsi="宋体" w:cs="宋体"/>
                <w:color w:val="auto"/>
                <w:sz w:val="22"/>
                <w:szCs w:val="22"/>
                <w:highlight w:val="none"/>
              </w:rPr>
            </w:pPr>
          </w:p>
        </w:tc>
        <w:tc>
          <w:tcPr>
            <w:tcW w:w="1364" w:type="dxa"/>
            <w:noWrap w:val="0"/>
            <w:vAlign w:val="center"/>
          </w:tcPr>
          <w:p w14:paraId="4ACFF4E4">
            <w:pPr>
              <w:spacing w:line="380" w:lineRule="exact"/>
              <w:jc w:val="center"/>
              <w:rPr>
                <w:rFonts w:hint="eastAsia" w:ascii="宋体" w:hAnsi="宋体" w:cs="宋体"/>
                <w:color w:val="auto"/>
                <w:sz w:val="22"/>
                <w:szCs w:val="22"/>
                <w:highlight w:val="none"/>
              </w:rPr>
            </w:pPr>
          </w:p>
        </w:tc>
        <w:tc>
          <w:tcPr>
            <w:tcW w:w="2097" w:type="dxa"/>
            <w:noWrap w:val="0"/>
            <w:vAlign w:val="center"/>
          </w:tcPr>
          <w:p w14:paraId="69B09F4F">
            <w:pPr>
              <w:spacing w:line="380" w:lineRule="exact"/>
              <w:jc w:val="center"/>
              <w:rPr>
                <w:rFonts w:hint="eastAsia" w:ascii="宋体" w:hAnsi="宋体" w:cs="宋体"/>
                <w:color w:val="auto"/>
                <w:sz w:val="22"/>
                <w:szCs w:val="22"/>
                <w:highlight w:val="none"/>
              </w:rPr>
            </w:pPr>
          </w:p>
        </w:tc>
        <w:tc>
          <w:tcPr>
            <w:tcW w:w="1992" w:type="dxa"/>
            <w:noWrap w:val="0"/>
            <w:vAlign w:val="center"/>
          </w:tcPr>
          <w:p w14:paraId="7771EE5A">
            <w:pPr>
              <w:spacing w:line="380" w:lineRule="exact"/>
              <w:jc w:val="center"/>
              <w:rPr>
                <w:rFonts w:hint="eastAsia" w:ascii="宋体" w:hAnsi="宋体" w:cs="宋体"/>
                <w:color w:val="auto"/>
                <w:sz w:val="22"/>
                <w:szCs w:val="22"/>
                <w:highlight w:val="none"/>
              </w:rPr>
            </w:pPr>
          </w:p>
        </w:tc>
        <w:tc>
          <w:tcPr>
            <w:tcW w:w="1866" w:type="dxa"/>
            <w:noWrap w:val="0"/>
            <w:vAlign w:val="center"/>
          </w:tcPr>
          <w:p w14:paraId="2FBB5403">
            <w:pPr>
              <w:spacing w:line="380" w:lineRule="exact"/>
              <w:jc w:val="center"/>
              <w:rPr>
                <w:rFonts w:hint="eastAsia" w:ascii="宋体" w:hAnsi="宋体" w:cs="宋体"/>
                <w:color w:val="auto"/>
                <w:sz w:val="22"/>
                <w:szCs w:val="22"/>
                <w:highlight w:val="none"/>
              </w:rPr>
            </w:pPr>
          </w:p>
        </w:tc>
        <w:tc>
          <w:tcPr>
            <w:tcW w:w="1592" w:type="dxa"/>
            <w:noWrap w:val="0"/>
            <w:vAlign w:val="center"/>
          </w:tcPr>
          <w:p w14:paraId="62DB8B05">
            <w:pPr>
              <w:spacing w:line="380" w:lineRule="exact"/>
              <w:jc w:val="center"/>
              <w:rPr>
                <w:rFonts w:hint="eastAsia" w:ascii="宋体" w:hAnsi="宋体" w:cs="宋体"/>
                <w:color w:val="auto"/>
                <w:sz w:val="22"/>
                <w:szCs w:val="22"/>
                <w:highlight w:val="none"/>
              </w:rPr>
            </w:pPr>
          </w:p>
        </w:tc>
      </w:tr>
      <w:tr w14:paraId="3EF7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noWrap w:val="0"/>
            <w:vAlign w:val="center"/>
          </w:tcPr>
          <w:p w14:paraId="4FCB4AE4">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商</w:t>
            </w:r>
          </w:p>
          <w:p w14:paraId="147C19D0">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务</w:t>
            </w:r>
          </w:p>
          <w:p w14:paraId="7EE6CC21">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条</w:t>
            </w:r>
          </w:p>
          <w:p w14:paraId="601402B3">
            <w:pPr>
              <w:spacing w:line="38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款</w:t>
            </w:r>
          </w:p>
        </w:tc>
        <w:tc>
          <w:tcPr>
            <w:tcW w:w="1364" w:type="dxa"/>
            <w:noWrap w:val="0"/>
            <w:vAlign w:val="center"/>
          </w:tcPr>
          <w:p w14:paraId="6799E03C">
            <w:pPr>
              <w:spacing w:line="380" w:lineRule="exact"/>
              <w:jc w:val="center"/>
              <w:rPr>
                <w:rFonts w:hint="eastAsia" w:ascii="宋体" w:hAnsi="宋体" w:cs="宋体"/>
                <w:color w:val="auto"/>
                <w:sz w:val="22"/>
                <w:szCs w:val="22"/>
                <w:highlight w:val="none"/>
              </w:rPr>
            </w:pPr>
          </w:p>
        </w:tc>
        <w:tc>
          <w:tcPr>
            <w:tcW w:w="2097" w:type="dxa"/>
            <w:noWrap w:val="0"/>
            <w:vAlign w:val="center"/>
          </w:tcPr>
          <w:p w14:paraId="6BF63038">
            <w:pPr>
              <w:spacing w:line="380" w:lineRule="exact"/>
              <w:jc w:val="center"/>
              <w:rPr>
                <w:rFonts w:hint="eastAsia" w:ascii="宋体" w:hAnsi="宋体" w:cs="宋体"/>
                <w:color w:val="auto"/>
                <w:sz w:val="22"/>
                <w:szCs w:val="22"/>
                <w:highlight w:val="none"/>
              </w:rPr>
            </w:pPr>
          </w:p>
        </w:tc>
        <w:tc>
          <w:tcPr>
            <w:tcW w:w="1992" w:type="dxa"/>
            <w:noWrap w:val="0"/>
            <w:vAlign w:val="center"/>
          </w:tcPr>
          <w:p w14:paraId="1A393A0E">
            <w:pPr>
              <w:spacing w:line="380" w:lineRule="exact"/>
              <w:jc w:val="center"/>
              <w:rPr>
                <w:rFonts w:hint="eastAsia" w:ascii="宋体" w:hAnsi="宋体" w:cs="宋体"/>
                <w:color w:val="auto"/>
                <w:sz w:val="22"/>
                <w:szCs w:val="22"/>
                <w:highlight w:val="none"/>
              </w:rPr>
            </w:pPr>
          </w:p>
        </w:tc>
        <w:tc>
          <w:tcPr>
            <w:tcW w:w="1866" w:type="dxa"/>
            <w:noWrap w:val="0"/>
            <w:vAlign w:val="center"/>
          </w:tcPr>
          <w:p w14:paraId="31F03A89">
            <w:pPr>
              <w:spacing w:line="380" w:lineRule="exact"/>
              <w:jc w:val="center"/>
              <w:rPr>
                <w:rFonts w:hint="eastAsia" w:ascii="宋体" w:hAnsi="宋体" w:cs="宋体"/>
                <w:color w:val="auto"/>
                <w:sz w:val="22"/>
                <w:szCs w:val="22"/>
                <w:highlight w:val="none"/>
              </w:rPr>
            </w:pPr>
          </w:p>
        </w:tc>
        <w:tc>
          <w:tcPr>
            <w:tcW w:w="1592" w:type="dxa"/>
            <w:noWrap w:val="0"/>
            <w:vAlign w:val="center"/>
          </w:tcPr>
          <w:p w14:paraId="3062952A">
            <w:pPr>
              <w:spacing w:line="380" w:lineRule="exact"/>
              <w:jc w:val="center"/>
              <w:rPr>
                <w:rFonts w:hint="eastAsia" w:ascii="宋体" w:hAnsi="宋体" w:cs="宋体"/>
                <w:color w:val="auto"/>
                <w:sz w:val="22"/>
                <w:szCs w:val="22"/>
                <w:highlight w:val="none"/>
              </w:rPr>
            </w:pPr>
          </w:p>
        </w:tc>
      </w:tr>
      <w:tr w14:paraId="078ED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611DCA28">
            <w:pPr>
              <w:spacing w:line="380" w:lineRule="exact"/>
              <w:jc w:val="center"/>
              <w:rPr>
                <w:rFonts w:hint="eastAsia" w:ascii="宋体" w:hAnsi="宋体" w:cs="宋体"/>
                <w:color w:val="auto"/>
                <w:sz w:val="22"/>
                <w:szCs w:val="22"/>
                <w:highlight w:val="none"/>
              </w:rPr>
            </w:pPr>
          </w:p>
        </w:tc>
        <w:tc>
          <w:tcPr>
            <w:tcW w:w="1364" w:type="dxa"/>
            <w:noWrap w:val="0"/>
            <w:vAlign w:val="center"/>
          </w:tcPr>
          <w:p w14:paraId="5DB70325">
            <w:pPr>
              <w:spacing w:line="380" w:lineRule="exact"/>
              <w:jc w:val="center"/>
              <w:rPr>
                <w:rFonts w:hint="eastAsia" w:ascii="宋体" w:hAnsi="宋体" w:cs="宋体"/>
                <w:color w:val="auto"/>
                <w:sz w:val="22"/>
                <w:szCs w:val="22"/>
                <w:highlight w:val="none"/>
              </w:rPr>
            </w:pPr>
          </w:p>
        </w:tc>
        <w:tc>
          <w:tcPr>
            <w:tcW w:w="2097" w:type="dxa"/>
            <w:noWrap w:val="0"/>
            <w:vAlign w:val="center"/>
          </w:tcPr>
          <w:p w14:paraId="28AEBFF4">
            <w:pPr>
              <w:spacing w:line="380" w:lineRule="exact"/>
              <w:jc w:val="center"/>
              <w:rPr>
                <w:rFonts w:hint="eastAsia" w:ascii="宋体" w:hAnsi="宋体" w:cs="宋体"/>
                <w:color w:val="auto"/>
                <w:sz w:val="22"/>
                <w:szCs w:val="22"/>
                <w:highlight w:val="none"/>
              </w:rPr>
            </w:pPr>
          </w:p>
        </w:tc>
        <w:tc>
          <w:tcPr>
            <w:tcW w:w="1992" w:type="dxa"/>
            <w:noWrap w:val="0"/>
            <w:vAlign w:val="center"/>
          </w:tcPr>
          <w:p w14:paraId="73361FF9">
            <w:pPr>
              <w:spacing w:line="380" w:lineRule="exact"/>
              <w:jc w:val="center"/>
              <w:rPr>
                <w:rFonts w:hint="eastAsia" w:ascii="宋体" w:hAnsi="宋体" w:cs="宋体"/>
                <w:color w:val="auto"/>
                <w:sz w:val="22"/>
                <w:szCs w:val="22"/>
                <w:highlight w:val="none"/>
              </w:rPr>
            </w:pPr>
          </w:p>
        </w:tc>
        <w:tc>
          <w:tcPr>
            <w:tcW w:w="1866" w:type="dxa"/>
            <w:noWrap w:val="0"/>
            <w:vAlign w:val="center"/>
          </w:tcPr>
          <w:p w14:paraId="133C5691">
            <w:pPr>
              <w:spacing w:line="380" w:lineRule="exact"/>
              <w:jc w:val="center"/>
              <w:rPr>
                <w:rFonts w:hint="eastAsia" w:ascii="宋体" w:hAnsi="宋体" w:cs="宋体"/>
                <w:color w:val="auto"/>
                <w:sz w:val="22"/>
                <w:szCs w:val="22"/>
                <w:highlight w:val="none"/>
              </w:rPr>
            </w:pPr>
          </w:p>
        </w:tc>
        <w:tc>
          <w:tcPr>
            <w:tcW w:w="1592" w:type="dxa"/>
            <w:noWrap w:val="0"/>
            <w:vAlign w:val="center"/>
          </w:tcPr>
          <w:p w14:paraId="7C603F8D">
            <w:pPr>
              <w:spacing w:line="380" w:lineRule="exact"/>
              <w:jc w:val="center"/>
              <w:rPr>
                <w:rFonts w:hint="eastAsia" w:ascii="宋体" w:hAnsi="宋体" w:cs="宋体"/>
                <w:color w:val="auto"/>
                <w:sz w:val="22"/>
                <w:szCs w:val="22"/>
                <w:highlight w:val="none"/>
              </w:rPr>
            </w:pPr>
          </w:p>
        </w:tc>
      </w:tr>
      <w:tr w14:paraId="3F83E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3DA20613">
            <w:pPr>
              <w:spacing w:line="380" w:lineRule="exact"/>
              <w:jc w:val="center"/>
              <w:rPr>
                <w:rFonts w:hint="eastAsia" w:ascii="宋体" w:hAnsi="宋体" w:cs="宋体"/>
                <w:color w:val="auto"/>
                <w:sz w:val="22"/>
                <w:szCs w:val="22"/>
                <w:highlight w:val="none"/>
              </w:rPr>
            </w:pPr>
          </w:p>
        </w:tc>
        <w:tc>
          <w:tcPr>
            <w:tcW w:w="1364" w:type="dxa"/>
            <w:noWrap w:val="0"/>
            <w:vAlign w:val="center"/>
          </w:tcPr>
          <w:p w14:paraId="38C90703">
            <w:pPr>
              <w:spacing w:line="380" w:lineRule="exact"/>
              <w:jc w:val="center"/>
              <w:rPr>
                <w:rFonts w:hint="eastAsia" w:ascii="宋体" w:hAnsi="宋体" w:cs="宋体"/>
                <w:color w:val="auto"/>
                <w:sz w:val="22"/>
                <w:szCs w:val="22"/>
                <w:highlight w:val="none"/>
              </w:rPr>
            </w:pPr>
          </w:p>
        </w:tc>
        <w:tc>
          <w:tcPr>
            <w:tcW w:w="2097" w:type="dxa"/>
            <w:noWrap w:val="0"/>
            <w:vAlign w:val="center"/>
          </w:tcPr>
          <w:p w14:paraId="5099516B">
            <w:pPr>
              <w:spacing w:line="380" w:lineRule="exact"/>
              <w:jc w:val="center"/>
              <w:rPr>
                <w:rFonts w:hint="eastAsia" w:ascii="宋体" w:hAnsi="宋体" w:cs="宋体"/>
                <w:color w:val="auto"/>
                <w:sz w:val="22"/>
                <w:szCs w:val="22"/>
                <w:highlight w:val="none"/>
              </w:rPr>
            </w:pPr>
          </w:p>
        </w:tc>
        <w:tc>
          <w:tcPr>
            <w:tcW w:w="1992" w:type="dxa"/>
            <w:noWrap w:val="0"/>
            <w:vAlign w:val="center"/>
          </w:tcPr>
          <w:p w14:paraId="26161DD4">
            <w:pPr>
              <w:spacing w:line="380" w:lineRule="exact"/>
              <w:jc w:val="center"/>
              <w:rPr>
                <w:rFonts w:hint="eastAsia" w:ascii="宋体" w:hAnsi="宋体" w:cs="宋体"/>
                <w:color w:val="auto"/>
                <w:sz w:val="22"/>
                <w:szCs w:val="22"/>
                <w:highlight w:val="none"/>
              </w:rPr>
            </w:pPr>
          </w:p>
        </w:tc>
        <w:tc>
          <w:tcPr>
            <w:tcW w:w="1866" w:type="dxa"/>
            <w:noWrap w:val="0"/>
            <w:vAlign w:val="center"/>
          </w:tcPr>
          <w:p w14:paraId="21B54D5B">
            <w:pPr>
              <w:spacing w:line="380" w:lineRule="exact"/>
              <w:jc w:val="center"/>
              <w:rPr>
                <w:rFonts w:hint="eastAsia" w:ascii="宋体" w:hAnsi="宋体" w:cs="宋体"/>
                <w:color w:val="auto"/>
                <w:sz w:val="22"/>
                <w:szCs w:val="22"/>
                <w:highlight w:val="none"/>
              </w:rPr>
            </w:pPr>
          </w:p>
        </w:tc>
        <w:tc>
          <w:tcPr>
            <w:tcW w:w="1592" w:type="dxa"/>
            <w:noWrap w:val="0"/>
            <w:vAlign w:val="center"/>
          </w:tcPr>
          <w:p w14:paraId="3575513D">
            <w:pPr>
              <w:spacing w:line="380" w:lineRule="exact"/>
              <w:jc w:val="center"/>
              <w:rPr>
                <w:rFonts w:hint="eastAsia" w:ascii="宋体" w:hAnsi="宋体" w:cs="宋体"/>
                <w:color w:val="auto"/>
                <w:sz w:val="22"/>
                <w:szCs w:val="22"/>
                <w:highlight w:val="none"/>
              </w:rPr>
            </w:pPr>
          </w:p>
        </w:tc>
      </w:tr>
      <w:tr w14:paraId="11DB9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0DDD5DF8">
            <w:pPr>
              <w:spacing w:line="380" w:lineRule="exact"/>
              <w:jc w:val="center"/>
              <w:rPr>
                <w:rFonts w:hint="eastAsia" w:ascii="宋体" w:hAnsi="宋体" w:cs="宋体"/>
                <w:color w:val="auto"/>
                <w:sz w:val="22"/>
                <w:szCs w:val="22"/>
                <w:highlight w:val="none"/>
              </w:rPr>
            </w:pPr>
          </w:p>
        </w:tc>
        <w:tc>
          <w:tcPr>
            <w:tcW w:w="1364" w:type="dxa"/>
            <w:noWrap w:val="0"/>
            <w:vAlign w:val="center"/>
          </w:tcPr>
          <w:p w14:paraId="5B85183D">
            <w:pPr>
              <w:spacing w:line="380" w:lineRule="exact"/>
              <w:jc w:val="center"/>
              <w:rPr>
                <w:rFonts w:hint="eastAsia" w:ascii="宋体" w:hAnsi="宋体" w:cs="宋体"/>
                <w:color w:val="auto"/>
                <w:sz w:val="22"/>
                <w:szCs w:val="22"/>
                <w:highlight w:val="none"/>
              </w:rPr>
            </w:pPr>
          </w:p>
        </w:tc>
        <w:tc>
          <w:tcPr>
            <w:tcW w:w="2097" w:type="dxa"/>
            <w:noWrap w:val="0"/>
            <w:vAlign w:val="center"/>
          </w:tcPr>
          <w:p w14:paraId="6D99FB5C">
            <w:pPr>
              <w:spacing w:line="380" w:lineRule="exact"/>
              <w:jc w:val="center"/>
              <w:rPr>
                <w:rFonts w:hint="eastAsia" w:ascii="宋体" w:hAnsi="宋体" w:cs="宋体"/>
                <w:color w:val="auto"/>
                <w:sz w:val="22"/>
                <w:szCs w:val="22"/>
                <w:highlight w:val="none"/>
              </w:rPr>
            </w:pPr>
          </w:p>
        </w:tc>
        <w:tc>
          <w:tcPr>
            <w:tcW w:w="1992" w:type="dxa"/>
            <w:noWrap w:val="0"/>
            <w:vAlign w:val="center"/>
          </w:tcPr>
          <w:p w14:paraId="48E07F51">
            <w:pPr>
              <w:spacing w:line="380" w:lineRule="exact"/>
              <w:jc w:val="center"/>
              <w:rPr>
                <w:rFonts w:hint="eastAsia" w:ascii="宋体" w:hAnsi="宋体" w:cs="宋体"/>
                <w:color w:val="auto"/>
                <w:sz w:val="22"/>
                <w:szCs w:val="22"/>
                <w:highlight w:val="none"/>
              </w:rPr>
            </w:pPr>
          </w:p>
        </w:tc>
        <w:tc>
          <w:tcPr>
            <w:tcW w:w="1866" w:type="dxa"/>
            <w:noWrap w:val="0"/>
            <w:vAlign w:val="center"/>
          </w:tcPr>
          <w:p w14:paraId="7E31AC40">
            <w:pPr>
              <w:spacing w:line="380" w:lineRule="exact"/>
              <w:jc w:val="center"/>
              <w:rPr>
                <w:rFonts w:hint="eastAsia" w:ascii="宋体" w:hAnsi="宋体" w:cs="宋体"/>
                <w:color w:val="auto"/>
                <w:sz w:val="22"/>
                <w:szCs w:val="22"/>
                <w:highlight w:val="none"/>
              </w:rPr>
            </w:pPr>
          </w:p>
        </w:tc>
        <w:tc>
          <w:tcPr>
            <w:tcW w:w="1592" w:type="dxa"/>
            <w:noWrap w:val="0"/>
            <w:vAlign w:val="center"/>
          </w:tcPr>
          <w:p w14:paraId="51353FB0">
            <w:pPr>
              <w:spacing w:line="380" w:lineRule="exact"/>
              <w:jc w:val="center"/>
              <w:rPr>
                <w:rFonts w:hint="eastAsia" w:ascii="宋体" w:hAnsi="宋体" w:cs="宋体"/>
                <w:color w:val="auto"/>
                <w:sz w:val="22"/>
                <w:szCs w:val="22"/>
                <w:highlight w:val="none"/>
              </w:rPr>
            </w:pPr>
          </w:p>
        </w:tc>
      </w:tr>
      <w:tr w14:paraId="4EE26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noWrap w:val="0"/>
            <w:vAlign w:val="top"/>
          </w:tcPr>
          <w:p w14:paraId="215BA8B1">
            <w:pPr>
              <w:spacing w:line="380" w:lineRule="exact"/>
              <w:jc w:val="center"/>
              <w:rPr>
                <w:rFonts w:hint="eastAsia" w:ascii="宋体" w:hAnsi="宋体" w:cs="宋体"/>
                <w:color w:val="auto"/>
                <w:sz w:val="22"/>
                <w:szCs w:val="22"/>
                <w:highlight w:val="none"/>
              </w:rPr>
            </w:pPr>
          </w:p>
        </w:tc>
        <w:tc>
          <w:tcPr>
            <w:tcW w:w="1364" w:type="dxa"/>
            <w:noWrap w:val="0"/>
            <w:vAlign w:val="center"/>
          </w:tcPr>
          <w:p w14:paraId="40D8024C">
            <w:pPr>
              <w:spacing w:line="380" w:lineRule="exact"/>
              <w:jc w:val="center"/>
              <w:rPr>
                <w:rFonts w:hint="eastAsia" w:ascii="宋体" w:hAnsi="宋体" w:cs="宋体"/>
                <w:color w:val="auto"/>
                <w:sz w:val="22"/>
                <w:szCs w:val="22"/>
                <w:highlight w:val="none"/>
              </w:rPr>
            </w:pPr>
          </w:p>
        </w:tc>
        <w:tc>
          <w:tcPr>
            <w:tcW w:w="2097" w:type="dxa"/>
            <w:noWrap w:val="0"/>
            <w:vAlign w:val="center"/>
          </w:tcPr>
          <w:p w14:paraId="6060DFD9">
            <w:pPr>
              <w:spacing w:line="380" w:lineRule="exact"/>
              <w:jc w:val="center"/>
              <w:rPr>
                <w:rFonts w:hint="eastAsia" w:ascii="宋体" w:hAnsi="宋体" w:cs="宋体"/>
                <w:color w:val="auto"/>
                <w:sz w:val="22"/>
                <w:szCs w:val="22"/>
                <w:highlight w:val="none"/>
              </w:rPr>
            </w:pPr>
          </w:p>
        </w:tc>
        <w:tc>
          <w:tcPr>
            <w:tcW w:w="1992" w:type="dxa"/>
            <w:noWrap w:val="0"/>
            <w:vAlign w:val="center"/>
          </w:tcPr>
          <w:p w14:paraId="3DB54D14">
            <w:pPr>
              <w:spacing w:line="380" w:lineRule="exact"/>
              <w:jc w:val="center"/>
              <w:rPr>
                <w:rFonts w:hint="eastAsia" w:ascii="宋体" w:hAnsi="宋体" w:cs="宋体"/>
                <w:color w:val="auto"/>
                <w:sz w:val="22"/>
                <w:szCs w:val="22"/>
                <w:highlight w:val="none"/>
              </w:rPr>
            </w:pPr>
          </w:p>
        </w:tc>
        <w:tc>
          <w:tcPr>
            <w:tcW w:w="1866" w:type="dxa"/>
            <w:noWrap w:val="0"/>
            <w:vAlign w:val="center"/>
          </w:tcPr>
          <w:p w14:paraId="26826B6B">
            <w:pPr>
              <w:spacing w:line="380" w:lineRule="exact"/>
              <w:jc w:val="center"/>
              <w:rPr>
                <w:rFonts w:hint="eastAsia" w:ascii="宋体" w:hAnsi="宋体" w:cs="宋体"/>
                <w:color w:val="auto"/>
                <w:sz w:val="22"/>
                <w:szCs w:val="22"/>
                <w:highlight w:val="none"/>
              </w:rPr>
            </w:pPr>
          </w:p>
        </w:tc>
        <w:tc>
          <w:tcPr>
            <w:tcW w:w="1592" w:type="dxa"/>
            <w:noWrap w:val="0"/>
            <w:vAlign w:val="center"/>
          </w:tcPr>
          <w:p w14:paraId="12725E29">
            <w:pPr>
              <w:spacing w:line="380" w:lineRule="exact"/>
              <w:jc w:val="center"/>
              <w:rPr>
                <w:rFonts w:hint="eastAsia" w:ascii="宋体" w:hAnsi="宋体" w:cs="宋体"/>
                <w:color w:val="auto"/>
                <w:sz w:val="22"/>
                <w:szCs w:val="22"/>
                <w:highlight w:val="none"/>
              </w:rPr>
            </w:pPr>
          </w:p>
        </w:tc>
      </w:tr>
    </w:tbl>
    <w:p w14:paraId="6FACE618">
      <w:pPr>
        <w:spacing w:line="38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注：</w:t>
      </w:r>
      <w:r>
        <w:rPr>
          <w:rFonts w:hint="eastAsia" w:ascii="宋体" w:hAnsi="宋体" w:cs="宋体"/>
          <w:b/>
          <w:color w:val="auto"/>
          <w:highlight w:val="none"/>
        </w:rPr>
        <w:t>不填写此表视为完全响应单一来源采购文件内容。</w:t>
      </w:r>
    </w:p>
    <w:p w14:paraId="375F77EA">
      <w:pPr>
        <w:spacing w:line="380" w:lineRule="exact"/>
        <w:ind w:firstLine="4417" w:firstLineChars="2000"/>
        <w:rPr>
          <w:rFonts w:hint="eastAsia" w:ascii="宋体" w:hAnsi="宋体" w:cs="宋体"/>
          <w:b/>
          <w:color w:val="auto"/>
          <w:sz w:val="22"/>
          <w:szCs w:val="22"/>
          <w:highlight w:val="none"/>
        </w:rPr>
      </w:pPr>
    </w:p>
    <w:p w14:paraId="04BCFB11">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3D18A39D">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法定代表人（负责人）或授权代表（签字或盖章）：</w:t>
      </w:r>
    </w:p>
    <w:p w14:paraId="11D99A00">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日期：  年   月   日</w:t>
      </w:r>
    </w:p>
    <w:p w14:paraId="0B5AC59B">
      <w:pPr>
        <w:spacing w:line="400" w:lineRule="exact"/>
        <w:rPr>
          <w:rFonts w:hint="eastAsia" w:ascii="宋体" w:hAnsi="宋体" w:cs="宋体"/>
          <w:color w:val="auto"/>
          <w:sz w:val="22"/>
          <w:szCs w:val="22"/>
          <w:highlight w:val="none"/>
        </w:rPr>
      </w:pPr>
    </w:p>
    <w:p w14:paraId="3C3F8097">
      <w:pPr>
        <w:spacing w:line="460" w:lineRule="exact"/>
        <w:rPr>
          <w:rFonts w:ascii="宋体" w:hAnsi="宋体" w:cs="宋体"/>
          <w:b/>
          <w:color w:val="auto"/>
          <w:sz w:val="22"/>
          <w:szCs w:val="22"/>
          <w:highlight w:val="none"/>
        </w:rPr>
      </w:pPr>
      <w:r>
        <w:rPr>
          <w:rFonts w:hint="eastAsia" w:ascii="宋体" w:hAnsi="宋体" w:cs="宋体"/>
          <w:color w:val="auto"/>
          <w:highlight w:val="none"/>
        </w:rPr>
        <w:br w:type="page"/>
      </w:r>
    </w:p>
    <w:p w14:paraId="3801D153">
      <w:pPr>
        <w:rPr>
          <w:rFonts w:hint="eastAsia" w:ascii="宋体" w:hAnsi="宋体" w:eastAsia="宋体" w:cs="宋体"/>
          <w:b/>
          <w:color w:val="auto"/>
          <w:sz w:val="22"/>
          <w:highlight w:val="none"/>
          <w:lang w:eastAsia="zh-CN"/>
        </w:rPr>
      </w:pPr>
      <w:r>
        <w:rPr>
          <w:rFonts w:hint="eastAsia" w:ascii="宋体" w:hAnsi="宋体" w:cs="宋体"/>
          <w:b/>
          <w:color w:val="auto"/>
          <w:sz w:val="22"/>
          <w:szCs w:val="22"/>
          <w:highlight w:val="none"/>
        </w:rPr>
        <w:t>附件</w:t>
      </w:r>
      <w:r>
        <w:rPr>
          <w:rFonts w:hint="eastAsia" w:ascii="宋体" w:hAnsi="宋体" w:cs="宋体"/>
          <w:b/>
          <w:color w:val="auto"/>
          <w:sz w:val="22"/>
          <w:szCs w:val="22"/>
          <w:highlight w:val="none"/>
          <w:lang w:val="en-US" w:eastAsia="zh-CN"/>
        </w:rPr>
        <w:t>六</w:t>
      </w:r>
    </w:p>
    <w:p w14:paraId="2AFA41A1">
      <w:pPr>
        <w:spacing w:line="380" w:lineRule="exact"/>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参与本次项目的人员情况介绍</w:t>
      </w:r>
    </w:p>
    <w:p w14:paraId="26B6BD8B">
      <w:pPr>
        <w:spacing w:line="38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（一）项目负责人资历表</w:t>
      </w:r>
    </w:p>
    <w:tbl>
      <w:tblPr>
        <w:tblStyle w:val="62"/>
        <w:tblW w:w="0" w:type="auto"/>
        <w:jc w:val="center"/>
        <w:tblLayout w:type="fixed"/>
        <w:tblCellMar>
          <w:top w:w="0" w:type="dxa"/>
          <w:left w:w="108" w:type="dxa"/>
          <w:bottom w:w="0" w:type="dxa"/>
          <w:right w:w="108" w:type="dxa"/>
        </w:tblCellMar>
      </w:tblPr>
      <w:tblGrid>
        <w:gridCol w:w="779"/>
        <w:gridCol w:w="873"/>
        <w:gridCol w:w="893"/>
        <w:gridCol w:w="820"/>
        <w:gridCol w:w="993"/>
        <w:gridCol w:w="883"/>
        <w:gridCol w:w="371"/>
        <w:gridCol w:w="337"/>
        <w:gridCol w:w="773"/>
        <w:gridCol w:w="542"/>
        <w:gridCol w:w="903"/>
        <w:gridCol w:w="1687"/>
      </w:tblGrid>
      <w:tr w14:paraId="28784574">
        <w:tblPrEx>
          <w:tblCellMar>
            <w:top w:w="0" w:type="dxa"/>
            <w:left w:w="108" w:type="dxa"/>
            <w:bottom w:w="0" w:type="dxa"/>
            <w:right w:w="108" w:type="dxa"/>
          </w:tblCellMar>
        </w:tblPrEx>
        <w:trPr>
          <w:trHeight w:val="680" w:hRule="atLeast"/>
          <w:jc w:val="center"/>
        </w:trPr>
        <w:tc>
          <w:tcPr>
            <w:tcW w:w="9854" w:type="dxa"/>
            <w:gridSpan w:val="12"/>
            <w:tcBorders>
              <w:top w:val="single" w:color="000000" w:sz="12" w:space="0"/>
              <w:left w:val="single" w:color="000000" w:sz="12" w:space="0"/>
              <w:bottom w:val="single" w:color="000000" w:sz="6" w:space="0"/>
              <w:right w:val="single" w:color="000000" w:sz="12" w:space="0"/>
            </w:tcBorders>
            <w:noWrap w:val="0"/>
            <w:vAlign w:val="center"/>
          </w:tcPr>
          <w:p w14:paraId="5C883517">
            <w:pPr>
              <w:pStyle w:val="498"/>
              <w:jc w:val="center"/>
              <w:rPr>
                <w:rFonts w:hint="eastAsia" w:ascii="宋体" w:hAnsi="宋体" w:cs="宋体"/>
                <w:color w:val="auto"/>
                <w:sz w:val="22"/>
                <w:szCs w:val="22"/>
                <w:highlight w:val="none"/>
              </w:rPr>
            </w:pPr>
            <w:bookmarkStart w:id="186" w:name="_Toc309996259"/>
            <w:bookmarkStart w:id="187" w:name="_Toc309048448"/>
            <w:r>
              <w:rPr>
                <w:rFonts w:hint="eastAsia" w:ascii="宋体" w:hAnsi="宋体" w:cs="宋体"/>
                <w:color w:val="auto"/>
                <w:sz w:val="22"/>
                <w:szCs w:val="22"/>
                <w:highlight w:val="none"/>
              </w:rPr>
              <w:t>1．一般情况</w:t>
            </w:r>
            <w:bookmarkEnd w:id="186"/>
            <w:bookmarkEnd w:id="187"/>
          </w:p>
        </w:tc>
      </w:tr>
      <w:tr w14:paraId="554B2150">
        <w:tblPrEx>
          <w:tblCellMar>
            <w:top w:w="0" w:type="dxa"/>
            <w:left w:w="108" w:type="dxa"/>
            <w:bottom w:w="0" w:type="dxa"/>
            <w:right w:w="108" w:type="dxa"/>
          </w:tblCellMar>
        </w:tblPrEx>
        <w:trPr>
          <w:trHeight w:val="694"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14:paraId="74FF7A2C">
            <w:pPr>
              <w:pStyle w:val="498"/>
              <w:jc w:val="center"/>
              <w:rPr>
                <w:rFonts w:hint="eastAsia" w:ascii="宋体" w:hAnsi="宋体" w:cs="宋体"/>
                <w:color w:val="auto"/>
                <w:sz w:val="22"/>
                <w:szCs w:val="22"/>
                <w:highlight w:val="none"/>
              </w:rPr>
            </w:pPr>
            <w:bookmarkStart w:id="188" w:name="_Toc309048449"/>
            <w:bookmarkStart w:id="189" w:name="_Toc309996260"/>
            <w:r>
              <w:rPr>
                <w:rFonts w:hint="eastAsia" w:ascii="宋体" w:hAnsi="宋体" w:cs="宋体"/>
                <w:color w:val="auto"/>
                <w:sz w:val="22"/>
                <w:szCs w:val="22"/>
                <w:highlight w:val="none"/>
              </w:rPr>
              <w:t>姓名</w:t>
            </w:r>
            <w:bookmarkEnd w:id="188"/>
            <w:bookmarkEnd w:id="189"/>
          </w:p>
        </w:tc>
        <w:tc>
          <w:tcPr>
            <w:tcW w:w="873" w:type="dxa"/>
            <w:tcBorders>
              <w:top w:val="single" w:color="000000" w:sz="6" w:space="0"/>
              <w:left w:val="single" w:color="000000" w:sz="4" w:space="0"/>
              <w:bottom w:val="single" w:color="000000" w:sz="6" w:space="0"/>
              <w:right w:val="single" w:color="000000" w:sz="4" w:space="0"/>
            </w:tcBorders>
            <w:noWrap w:val="0"/>
            <w:vAlign w:val="center"/>
          </w:tcPr>
          <w:p w14:paraId="479F6204">
            <w:pPr>
              <w:pStyle w:val="498"/>
              <w:jc w:val="center"/>
              <w:rPr>
                <w:rFonts w:hint="eastAsia" w:ascii="宋体" w:hAnsi="宋体" w:cs="宋体"/>
                <w:color w:val="auto"/>
                <w:sz w:val="22"/>
                <w:szCs w:val="22"/>
                <w:highlight w:val="none"/>
              </w:rPr>
            </w:pPr>
          </w:p>
        </w:tc>
        <w:tc>
          <w:tcPr>
            <w:tcW w:w="893" w:type="dxa"/>
            <w:tcBorders>
              <w:top w:val="single" w:color="000000" w:sz="6" w:space="0"/>
              <w:left w:val="single" w:color="000000" w:sz="4" w:space="0"/>
              <w:bottom w:val="single" w:color="000000" w:sz="6" w:space="0"/>
              <w:right w:val="single" w:color="000000" w:sz="4" w:space="0"/>
            </w:tcBorders>
            <w:noWrap w:val="0"/>
            <w:vAlign w:val="center"/>
          </w:tcPr>
          <w:p w14:paraId="63197E15">
            <w:pPr>
              <w:pStyle w:val="498"/>
              <w:jc w:val="center"/>
              <w:rPr>
                <w:rFonts w:hint="eastAsia" w:ascii="宋体" w:hAnsi="宋体" w:cs="宋体"/>
                <w:color w:val="auto"/>
                <w:sz w:val="22"/>
                <w:szCs w:val="22"/>
                <w:highlight w:val="none"/>
              </w:rPr>
            </w:pPr>
            <w:bookmarkStart w:id="190" w:name="_Toc309048450"/>
            <w:bookmarkStart w:id="191" w:name="_Toc309996261"/>
            <w:r>
              <w:rPr>
                <w:rFonts w:hint="eastAsia" w:ascii="宋体" w:hAnsi="宋体" w:cs="宋体"/>
                <w:color w:val="auto"/>
                <w:sz w:val="22"/>
                <w:szCs w:val="22"/>
                <w:highlight w:val="none"/>
              </w:rPr>
              <w:t>性别</w:t>
            </w:r>
            <w:bookmarkEnd w:id="190"/>
            <w:bookmarkEnd w:id="191"/>
          </w:p>
        </w:tc>
        <w:tc>
          <w:tcPr>
            <w:tcW w:w="820" w:type="dxa"/>
            <w:tcBorders>
              <w:top w:val="single" w:color="000000" w:sz="6" w:space="0"/>
              <w:left w:val="single" w:color="000000" w:sz="4" w:space="0"/>
              <w:bottom w:val="single" w:color="000000" w:sz="6" w:space="0"/>
              <w:right w:val="single" w:color="000000" w:sz="4" w:space="0"/>
            </w:tcBorders>
            <w:noWrap w:val="0"/>
            <w:vAlign w:val="center"/>
          </w:tcPr>
          <w:p w14:paraId="6B4EA744">
            <w:pPr>
              <w:pStyle w:val="498"/>
              <w:jc w:val="center"/>
              <w:rPr>
                <w:rFonts w:hint="eastAsia" w:ascii="宋体" w:hAnsi="宋体" w:cs="宋体"/>
                <w:color w:val="auto"/>
                <w:sz w:val="22"/>
                <w:szCs w:val="22"/>
                <w:highlight w:val="none"/>
              </w:rPr>
            </w:pPr>
          </w:p>
        </w:tc>
        <w:tc>
          <w:tcPr>
            <w:tcW w:w="993" w:type="dxa"/>
            <w:tcBorders>
              <w:top w:val="single" w:color="000000" w:sz="6" w:space="0"/>
              <w:left w:val="single" w:color="000000" w:sz="4" w:space="0"/>
              <w:bottom w:val="single" w:color="000000" w:sz="6" w:space="0"/>
              <w:right w:val="single" w:color="000000" w:sz="4" w:space="0"/>
            </w:tcBorders>
            <w:noWrap w:val="0"/>
            <w:vAlign w:val="center"/>
          </w:tcPr>
          <w:p w14:paraId="625694AE">
            <w:pPr>
              <w:pStyle w:val="498"/>
              <w:jc w:val="center"/>
              <w:rPr>
                <w:rFonts w:hint="eastAsia" w:ascii="宋体" w:hAnsi="宋体" w:cs="宋体"/>
                <w:color w:val="auto"/>
                <w:sz w:val="22"/>
                <w:szCs w:val="22"/>
                <w:highlight w:val="none"/>
              </w:rPr>
            </w:pPr>
            <w:bookmarkStart w:id="192" w:name="_Toc309996262"/>
            <w:bookmarkStart w:id="193" w:name="_Toc309048451"/>
            <w:r>
              <w:rPr>
                <w:rFonts w:hint="eastAsia" w:ascii="宋体" w:hAnsi="宋体" w:cs="宋体"/>
                <w:color w:val="auto"/>
                <w:sz w:val="22"/>
                <w:szCs w:val="22"/>
                <w:highlight w:val="none"/>
              </w:rPr>
              <w:t>年龄</w:t>
            </w:r>
            <w:bookmarkEnd w:id="192"/>
            <w:bookmarkEnd w:id="193"/>
          </w:p>
        </w:tc>
        <w:tc>
          <w:tcPr>
            <w:tcW w:w="883" w:type="dxa"/>
            <w:tcBorders>
              <w:top w:val="single" w:color="000000" w:sz="6" w:space="0"/>
              <w:left w:val="single" w:color="000000" w:sz="4" w:space="0"/>
              <w:bottom w:val="single" w:color="000000" w:sz="6" w:space="0"/>
              <w:right w:val="single" w:color="000000" w:sz="4" w:space="0"/>
            </w:tcBorders>
            <w:noWrap w:val="0"/>
            <w:vAlign w:val="center"/>
          </w:tcPr>
          <w:p w14:paraId="48AA9D2A">
            <w:pPr>
              <w:pStyle w:val="498"/>
              <w:jc w:val="center"/>
              <w:rPr>
                <w:rFonts w:hint="eastAsia" w:ascii="宋体" w:hAnsi="宋体" w:cs="宋体"/>
                <w:color w:val="auto"/>
                <w:sz w:val="22"/>
                <w:szCs w:val="22"/>
                <w:highlight w:val="none"/>
              </w:rPr>
            </w:pPr>
          </w:p>
        </w:tc>
        <w:tc>
          <w:tcPr>
            <w:tcW w:w="708" w:type="dxa"/>
            <w:gridSpan w:val="2"/>
            <w:tcBorders>
              <w:top w:val="single" w:color="000000" w:sz="6" w:space="0"/>
              <w:left w:val="single" w:color="000000" w:sz="4" w:space="0"/>
              <w:bottom w:val="single" w:color="000000" w:sz="6" w:space="0"/>
              <w:right w:val="single" w:color="000000" w:sz="4" w:space="0"/>
            </w:tcBorders>
            <w:noWrap w:val="0"/>
            <w:vAlign w:val="center"/>
          </w:tcPr>
          <w:p w14:paraId="3FD33EC9">
            <w:pPr>
              <w:pStyle w:val="498"/>
              <w:jc w:val="center"/>
              <w:rPr>
                <w:rFonts w:hint="eastAsia" w:ascii="宋体" w:hAnsi="宋体" w:cs="宋体"/>
                <w:color w:val="auto"/>
                <w:sz w:val="22"/>
                <w:szCs w:val="22"/>
                <w:highlight w:val="none"/>
              </w:rPr>
            </w:pPr>
            <w:bookmarkStart w:id="194" w:name="_Toc309996263"/>
            <w:bookmarkStart w:id="195" w:name="_Toc309048452"/>
            <w:r>
              <w:rPr>
                <w:rFonts w:hint="eastAsia" w:ascii="宋体" w:hAnsi="宋体" w:cs="宋体"/>
                <w:color w:val="auto"/>
                <w:sz w:val="22"/>
                <w:szCs w:val="22"/>
                <w:highlight w:val="none"/>
              </w:rPr>
              <w:t>学位</w:t>
            </w:r>
            <w:bookmarkEnd w:id="194"/>
            <w:bookmarkEnd w:id="195"/>
          </w:p>
        </w:tc>
        <w:tc>
          <w:tcPr>
            <w:tcW w:w="773" w:type="dxa"/>
            <w:tcBorders>
              <w:top w:val="single" w:color="000000" w:sz="6" w:space="0"/>
              <w:left w:val="single" w:color="000000" w:sz="4" w:space="0"/>
              <w:bottom w:val="single" w:color="000000" w:sz="6" w:space="0"/>
              <w:right w:val="single" w:color="000000" w:sz="4" w:space="0"/>
            </w:tcBorders>
            <w:noWrap w:val="0"/>
            <w:vAlign w:val="center"/>
          </w:tcPr>
          <w:p w14:paraId="31ED6BFC">
            <w:pPr>
              <w:pStyle w:val="498"/>
              <w:jc w:val="center"/>
              <w:rPr>
                <w:rFonts w:hint="eastAsia" w:ascii="宋体" w:hAnsi="宋体" w:cs="宋体"/>
                <w:color w:val="auto"/>
                <w:sz w:val="22"/>
                <w:szCs w:val="22"/>
                <w:highlight w:val="none"/>
              </w:rPr>
            </w:pPr>
          </w:p>
        </w:tc>
        <w:tc>
          <w:tcPr>
            <w:tcW w:w="1445" w:type="dxa"/>
            <w:gridSpan w:val="2"/>
            <w:tcBorders>
              <w:top w:val="single" w:color="000000" w:sz="6" w:space="0"/>
              <w:left w:val="single" w:color="000000" w:sz="4" w:space="0"/>
              <w:bottom w:val="single" w:color="000000" w:sz="6" w:space="0"/>
              <w:right w:val="single" w:color="000000" w:sz="4" w:space="0"/>
            </w:tcBorders>
            <w:noWrap w:val="0"/>
            <w:vAlign w:val="center"/>
          </w:tcPr>
          <w:p w14:paraId="4A8EDA7F">
            <w:pPr>
              <w:pStyle w:val="498"/>
              <w:jc w:val="center"/>
              <w:rPr>
                <w:rFonts w:hint="eastAsia" w:ascii="宋体" w:hAnsi="宋体" w:cs="宋体"/>
                <w:color w:val="auto"/>
                <w:sz w:val="22"/>
                <w:szCs w:val="22"/>
                <w:highlight w:val="none"/>
              </w:rPr>
            </w:pPr>
            <w:bookmarkStart w:id="196" w:name="_Toc309048453"/>
            <w:bookmarkStart w:id="197" w:name="_Toc309996264"/>
            <w:r>
              <w:rPr>
                <w:rFonts w:hint="eastAsia" w:ascii="宋体" w:hAnsi="宋体" w:cs="宋体"/>
                <w:color w:val="auto"/>
                <w:sz w:val="22"/>
                <w:szCs w:val="22"/>
                <w:highlight w:val="none"/>
              </w:rPr>
              <w:t>身份证号码</w:t>
            </w:r>
            <w:bookmarkEnd w:id="196"/>
            <w:bookmarkEnd w:id="197"/>
          </w:p>
        </w:tc>
        <w:tc>
          <w:tcPr>
            <w:tcW w:w="1687" w:type="dxa"/>
            <w:tcBorders>
              <w:top w:val="single" w:color="000000" w:sz="6" w:space="0"/>
              <w:left w:val="single" w:color="000000" w:sz="4" w:space="0"/>
              <w:bottom w:val="single" w:color="000000" w:sz="6" w:space="0"/>
              <w:right w:val="single" w:color="000000" w:sz="12" w:space="0"/>
            </w:tcBorders>
            <w:noWrap w:val="0"/>
            <w:vAlign w:val="center"/>
          </w:tcPr>
          <w:p w14:paraId="1C43C84B">
            <w:pPr>
              <w:pStyle w:val="498"/>
              <w:jc w:val="center"/>
              <w:rPr>
                <w:rFonts w:hint="eastAsia" w:ascii="宋体" w:hAnsi="宋体" w:cs="宋体"/>
                <w:color w:val="auto"/>
                <w:sz w:val="22"/>
                <w:szCs w:val="22"/>
                <w:highlight w:val="none"/>
              </w:rPr>
            </w:pPr>
          </w:p>
        </w:tc>
      </w:tr>
      <w:tr w14:paraId="211B2C6D">
        <w:tblPrEx>
          <w:tblCellMar>
            <w:top w:w="0" w:type="dxa"/>
            <w:left w:w="108" w:type="dxa"/>
            <w:bottom w:w="0" w:type="dxa"/>
            <w:right w:w="108" w:type="dxa"/>
          </w:tblCellMar>
        </w:tblPrEx>
        <w:trPr>
          <w:trHeight w:val="694" w:hRule="atLeast"/>
          <w:jc w:val="center"/>
        </w:trPr>
        <w:tc>
          <w:tcPr>
            <w:tcW w:w="1652" w:type="dxa"/>
            <w:gridSpan w:val="2"/>
            <w:tcBorders>
              <w:top w:val="single" w:color="000000" w:sz="6" w:space="0"/>
              <w:left w:val="single" w:color="000000" w:sz="12" w:space="0"/>
              <w:bottom w:val="single" w:color="000000" w:sz="6" w:space="0"/>
              <w:right w:val="single" w:color="000000" w:sz="4" w:space="0"/>
            </w:tcBorders>
            <w:noWrap w:val="0"/>
            <w:vAlign w:val="center"/>
          </w:tcPr>
          <w:p w14:paraId="652C5026">
            <w:pPr>
              <w:pStyle w:val="498"/>
              <w:jc w:val="center"/>
              <w:rPr>
                <w:rFonts w:hint="eastAsia" w:ascii="宋体" w:hAnsi="宋体" w:cs="宋体"/>
                <w:color w:val="auto"/>
                <w:sz w:val="22"/>
                <w:szCs w:val="22"/>
                <w:highlight w:val="none"/>
              </w:rPr>
            </w:pPr>
            <w:bookmarkStart w:id="198" w:name="_Toc309048454"/>
            <w:bookmarkStart w:id="199" w:name="_Toc309996265"/>
            <w:r>
              <w:rPr>
                <w:rFonts w:hint="eastAsia" w:ascii="宋体" w:hAnsi="宋体" w:cs="宋体"/>
                <w:color w:val="auto"/>
                <w:sz w:val="22"/>
                <w:szCs w:val="22"/>
                <w:highlight w:val="none"/>
              </w:rPr>
              <w:t>职称</w:t>
            </w:r>
            <w:bookmarkEnd w:id="198"/>
            <w:bookmarkEnd w:id="199"/>
          </w:p>
        </w:tc>
        <w:tc>
          <w:tcPr>
            <w:tcW w:w="2706" w:type="dxa"/>
            <w:gridSpan w:val="3"/>
            <w:tcBorders>
              <w:top w:val="single" w:color="000000" w:sz="6" w:space="0"/>
              <w:left w:val="single" w:color="000000" w:sz="4" w:space="0"/>
              <w:bottom w:val="single" w:color="000000" w:sz="6" w:space="0"/>
              <w:right w:val="single" w:color="000000" w:sz="4" w:space="0"/>
            </w:tcBorders>
            <w:noWrap w:val="0"/>
            <w:vAlign w:val="center"/>
          </w:tcPr>
          <w:p w14:paraId="40028D56">
            <w:pPr>
              <w:pStyle w:val="498"/>
              <w:jc w:val="center"/>
              <w:rPr>
                <w:rFonts w:hint="eastAsia" w:ascii="宋体" w:hAnsi="宋体" w:cs="宋体"/>
                <w:color w:val="auto"/>
                <w:sz w:val="22"/>
                <w:szCs w:val="22"/>
                <w:highlight w:val="none"/>
              </w:rPr>
            </w:pPr>
          </w:p>
        </w:tc>
        <w:tc>
          <w:tcPr>
            <w:tcW w:w="3809" w:type="dxa"/>
            <w:gridSpan w:val="6"/>
            <w:tcBorders>
              <w:top w:val="single" w:color="000000" w:sz="6" w:space="0"/>
              <w:left w:val="single" w:color="000000" w:sz="4" w:space="0"/>
              <w:bottom w:val="single" w:color="000000" w:sz="6" w:space="0"/>
              <w:right w:val="single" w:color="auto" w:sz="4" w:space="0"/>
            </w:tcBorders>
            <w:noWrap w:val="0"/>
            <w:vAlign w:val="center"/>
          </w:tcPr>
          <w:p w14:paraId="7F5AC6EF">
            <w:pPr>
              <w:pStyle w:val="498"/>
              <w:jc w:val="center"/>
              <w:rPr>
                <w:rFonts w:hint="eastAsia" w:ascii="宋体" w:hAnsi="宋体" w:cs="宋体"/>
                <w:color w:val="auto"/>
                <w:sz w:val="22"/>
                <w:szCs w:val="22"/>
                <w:highlight w:val="none"/>
              </w:rPr>
            </w:pPr>
            <w:bookmarkStart w:id="200" w:name="_Toc309996267"/>
            <w:bookmarkStart w:id="201" w:name="_Toc309048456"/>
            <w:r>
              <w:rPr>
                <w:rFonts w:hint="eastAsia" w:ascii="宋体" w:hAnsi="宋体" w:cs="宋体"/>
                <w:color w:val="auto"/>
                <w:sz w:val="22"/>
                <w:szCs w:val="22"/>
                <w:highlight w:val="none"/>
              </w:rPr>
              <w:t>在本合同中拟任职</w:t>
            </w:r>
            <w:bookmarkEnd w:id="200"/>
            <w:bookmarkEnd w:id="201"/>
          </w:p>
        </w:tc>
        <w:tc>
          <w:tcPr>
            <w:tcW w:w="1687" w:type="dxa"/>
            <w:tcBorders>
              <w:top w:val="single" w:color="000000" w:sz="6" w:space="0"/>
              <w:left w:val="single" w:color="auto" w:sz="4" w:space="0"/>
              <w:bottom w:val="single" w:color="000000" w:sz="6" w:space="0"/>
              <w:right w:val="single" w:color="000000" w:sz="12" w:space="0"/>
            </w:tcBorders>
            <w:noWrap w:val="0"/>
            <w:vAlign w:val="center"/>
          </w:tcPr>
          <w:p w14:paraId="3A81486A">
            <w:pPr>
              <w:pStyle w:val="498"/>
              <w:jc w:val="center"/>
              <w:rPr>
                <w:rFonts w:hint="eastAsia" w:ascii="宋体" w:hAnsi="宋体" w:cs="宋体"/>
                <w:color w:val="auto"/>
                <w:sz w:val="22"/>
                <w:szCs w:val="22"/>
                <w:highlight w:val="none"/>
              </w:rPr>
            </w:pPr>
          </w:p>
        </w:tc>
      </w:tr>
      <w:tr w14:paraId="2FAB6C63">
        <w:tblPrEx>
          <w:tblCellMar>
            <w:top w:w="0" w:type="dxa"/>
            <w:left w:w="108" w:type="dxa"/>
            <w:bottom w:w="0" w:type="dxa"/>
            <w:right w:w="108" w:type="dxa"/>
          </w:tblCellMar>
        </w:tblPrEx>
        <w:trPr>
          <w:trHeight w:val="698"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14:paraId="5AB0E32A">
            <w:pPr>
              <w:pStyle w:val="498"/>
              <w:jc w:val="center"/>
              <w:rPr>
                <w:rFonts w:hint="eastAsia" w:ascii="宋体" w:hAnsi="宋体" w:cs="宋体"/>
                <w:color w:val="auto"/>
                <w:sz w:val="22"/>
                <w:szCs w:val="22"/>
                <w:highlight w:val="none"/>
              </w:rPr>
            </w:pPr>
            <w:bookmarkStart w:id="202" w:name="_Toc309996268"/>
            <w:bookmarkStart w:id="203" w:name="_Toc309048457"/>
            <w:r>
              <w:rPr>
                <w:rFonts w:hint="eastAsia" w:ascii="宋体" w:hAnsi="宋体" w:cs="宋体"/>
                <w:color w:val="auto"/>
                <w:sz w:val="22"/>
                <w:szCs w:val="22"/>
                <w:highlight w:val="none"/>
              </w:rPr>
              <w:t>学历</w:t>
            </w:r>
            <w:bookmarkEnd w:id="202"/>
            <w:bookmarkEnd w:id="203"/>
          </w:p>
        </w:tc>
        <w:tc>
          <w:tcPr>
            <w:tcW w:w="9075" w:type="dxa"/>
            <w:gridSpan w:val="11"/>
            <w:tcBorders>
              <w:top w:val="single" w:color="000000" w:sz="6" w:space="0"/>
              <w:left w:val="single" w:color="000000" w:sz="4" w:space="0"/>
              <w:bottom w:val="single" w:color="000000" w:sz="6" w:space="0"/>
              <w:right w:val="single" w:color="000000" w:sz="12" w:space="0"/>
            </w:tcBorders>
            <w:noWrap w:val="0"/>
            <w:vAlign w:val="center"/>
          </w:tcPr>
          <w:p w14:paraId="3F3498BC">
            <w:pPr>
              <w:pStyle w:val="498"/>
              <w:jc w:val="center"/>
              <w:rPr>
                <w:rFonts w:hint="eastAsia" w:ascii="宋体" w:hAnsi="宋体" w:cs="宋体"/>
                <w:color w:val="auto"/>
                <w:sz w:val="22"/>
                <w:szCs w:val="22"/>
                <w:highlight w:val="none"/>
              </w:rPr>
            </w:pPr>
            <w:bookmarkStart w:id="204" w:name="_Toc309048458"/>
            <w:bookmarkStart w:id="205" w:name="_Toc309996269"/>
            <w:r>
              <w:rPr>
                <w:rFonts w:hint="eastAsia" w:ascii="宋体" w:hAnsi="宋体" w:cs="宋体"/>
                <w:color w:val="auto"/>
                <w:sz w:val="22"/>
                <w:szCs w:val="22"/>
                <w:highlight w:val="none"/>
              </w:rPr>
              <w:t>年毕业于            （学校）                 （专业）</w:t>
            </w:r>
            <w:bookmarkEnd w:id="204"/>
            <w:bookmarkEnd w:id="205"/>
          </w:p>
        </w:tc>
      </w:tr>
      <w:tr w14:paraId="04F51EF8">
        <w:tblPrEx>
          <w:tblCellMar>
            <w:top w:w="0" w:type="dxa"/>
            <w:left w:w="108" w:type="dxa"/>
            <w:bottom w:w="0" w:type="dxa"/>
            <w:right w:w="108" w:type="dxa"/>
          </w:tblCellMar>
        </w:tblPrEx>
        <w:trPr>
          <w:trHeight w:val="694"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14:paraId="6E1CF6D2">
            <w:pPr>
              <w:pStyle w:val="498"/>
              <w:jc w:val="center"/>
              <w:rPr>
                <w:rFonts w:hint="eastAsia" w:ascii="宋体" w:hAnsi="宋体" w:cs="宋体"/>
                <w:color w:val="auto"/>
                <w:sz w:val="22"/>
                <w:szCs w:val="22"/>
                <w:highlight w:val="none"/>
              </w:rPr>
            </w:pPr>
            <w:bookmarkStart w:id="206" w:name="_Toc309996270"/>
            <w:bookmarkStart w:id="207" w:name="_Toc309048459"/>
            <w:r>
              <w:rPr>
                <w:rFonts w:hint="eastAsia" w:ascii="宋体" w:hAnsi="宋体" w:cs="宋体"/>
                <w:color w:val="auto"/>
                <w:sz w:val="22"/>
                <w:szCs w:val="22"/>
                <w:highlight w:val="none"/>
              </w:rPr>
              <w:t>2．经历</w:t>
            </w:r>
            <w:bookmarkEnd w:id="206"/>
            <w:bookmarkEnd w:id="207"/>
          </w:p>
        </w:tc>
      </w:tr>
      <w:tr w14:paraId="129A6BF2">
        <w:tblPrEx>
          <w:tblCellMar>
            <w:top w:w="0" w:type="dxa"/>
            <w:left w:w="108" w:type="dxa"/>
            <w:bottom w:w="0" w:type="dxa"/>
            <w:right w:w="108" w:type="dxa"/>
          </w:tblCellMar>
        </w:tblPrEx>
        <w:trPr>
          <w:trHeight w:val="698"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14:paraId="3161D334">
            <w:pPr>
              <w:pStyle w:val="498"/>
              <w:jc w:val="center"/>
              <w:rPr>
                <w:rFonts w:hint="eastAsia" w:ascii="宋体" w:hAnsi="宋体" w:cs="宋体"/>
                <w:color w:val="auto"/>
                <w:sz w:val="22"/>
                <w:szCs w:val="22"/>
                <w:highlight w:val="none"/>
              </w:rPr>
            </w:pPr>
            <w:bookmarkStart w:id="208" w:name="_Toc309048460"/>
            <w:bookmarkStart w:id="209" w:name="_Toc309996271"/>
            <w:r>
              <w:rPr>
                <w:rFonts w:hint="eastAsia" w:ascii="宋体" w:hAnsi="宋体" w:cs="宋体"/>
                <w:color w:val="auto"/>
                <w:sz w:val="22"/>
                <w:szCs w:val="22"/>
                <w:highlight w:val="none"/>
              </w:rPr>
              <w:t>时间</w:t>
            </w:r>
            <w:bookmarkEnd w:id="208"/>
            <w:bookmarkEnd w:id="209"/>
          </w:p>
        </w:tc>
        <w:tc>
          <w:tcPr>
            <w:tcW w:w="4833" w:type="dxa"/>
            <w:gridSpan w:val="6"/>
            <w:tcBorders>
              <w:top w:val="single" w:color="000000" w:sz="6" w:space="0"/>
              <w:left w:val="single" w:color="000000" w:sz="4" w:space="0"/>
              <w:bottom w:val="single" w:color="000000" w:sz="6" w:space="0"/>
              <w:right w:val="single" w:color="000000" w:sz="4" w:space="0"/>
            </w:tcBorders>
            <w:noWrap w:val="0"/>
            <w:vAlign w:val="center"/>
          </w:tcPr>
          <w:p w14:paraId="1653A109">
            <w:pPr>
              <w:pStyle w:val="498"/>
              <w:jc w:val="center"/>
              <w:rPr>
                <w:rFonts w:hint="eastAsia" w:ascii="宋体" w:hAnsi="宋体" w:cs="宋体"/>
                <w:color w:val="auto"/>
                <w:sz w:val="22"/>
                <w:szCs w:val="22"/>
                <w:highlight w:val="none"/>
              </w:rPr>
            </w:pPr>
            <w:bookmarkStart w:id="210" w:name="_Toc309048461"/>
            <w:bookmarkStart w:id="211" w:name="_Toc309996272"/>
            <w:r>
              <w:rPr>
                <w:rFonts w:hint="eastAsia" w:ascii="宋体" w:hAnsi="宋体" w:cs="宋体"/>
                <w:color w:val="auto"/>
                <w:sz w:val="22"/>
                <w:szCs w:val="22"/>
                <w:highlight w:val="none"/>
              </w:rPr>
              <w:t>负责过的主要业绩（类型和金额）</w:t>
            </w:r>
            <w:bookmarkEnd w:id="210"/>
            <w:bookmarkEnd w:id="211"/>
          </w:p>
        </w:tc>
        <w:tc>
          <w:tcPr>
            <w:tcW w:w="1652" w:type="dxa"/>
            <w:gridSpan w:val="3"/>
            <w:tcBorders>
              <w:top w:val="single" w:color="000000" w:sz="6" w:space="0"/>
              <w:left w:val="single" w:color="000000" w:sz="4" w:space="0"/>
              <w:bottom w:val="single" w:color="000000" w:sz="6" w:space="0"/>
              <w:right w:val="single" w:color="000000" w:sz="4" w:space="0"/>
            </w:tcBorders>
            <w:noWrap w:val="0"/>
            <w:vAlign w:val="center"/>
          </w:tcPr>
          <w:p w14:paraId="474A3E5E">
            <w:pPr>
              <w:pStyle w:val="498"/>
              <w:jc w:val="center"/>
              <w:rPr>
                <w:rFonts w:hint="eastAsia" w:ascii="宋体" w:hAnsi="宋体" w:cs="宋体"/>
                <w:color w:val="auto"/>
                <w:sz w:val="22"/>
                <w:szCs w:val="22"/>
                <w:highlight w:val="none"/>
              </w:rPr>
            </w:pPr>
            <w:bookmarkStart w:id="212" w:name="_Toc309996273"/>
            <w:bookmarkStart w:id="213" w:name="_Toc309048462"/>
            <w:r>
              <w:rPr>
                <w:rFonts w:hint="eastAsia" w:ascii="宋体" w:hAnsi="宋体" w:cs="宋体"/>
                <w:color w:val="auto"/>
                <w:sz w:val="22"/>
                <w:szCs w:val="22"/>
                <w:highlight w:val="none"/>
              </w:rPr>
              <w:t>该项目中任职</w:t>
            </w:r>
            <w:bookmarkEnd w:id="212"/>
            <w:bookmarkEnd w:id="213"/>
          </w:p>
        </w:tc>
        <w:tc>
          <w:tcPr>
            <w:tcW w:w="2590" w:type="dxa"/>
            <w:gridSpan w:val="2"/>
            <w:tcBorders>
              <w:top w:val="single" w:color="000000" w:sz="6" w:space="0"/>
              <w:left w:val="single" w:color="000000" w:sz="4" w:space="0"/>
              <w:bottom w:val="single" w:color="000000" w:sz="6" w:space="0"/>
              <w:right w:val="single" w:color="000000" w:sz="12" w:space="0"/>
            </w:tcBorders>
            <w:noWrap w:val="0"/>
            <w:vAlign w:val="center"/>
          </w:tcPr>
          <w:p w14:paraId="08B2BD3A">
            <w:pPr>
              <w:pStyle w:val="498"/>
              <w:jc w:val="center"/>
              <w:rPr>
                <w:rFonts w:hint="eastAsia" w:ascii="宋体" w:hAnsi="宋体" w:cs="宋体"/>
                <w:color w:val="auto"/>
                <w:sz w:val="22"/>
                <w:szCs w:val="22"/>
                <w:highlight w:val="none"/>
              </w:rPr>
            </w:pPr>
            <w:bookmarkStart w:id="214" w:name="_Toc309996274"/>
            <w:bookmarkStart w:id="215" w:name="_Toc309048463"/>
            <w:r>
              <w:rPr>
                <w:rFonts w:hint="eastAsia" w:ascii="宋体" w:hAnsi="宋体" w:cs="宋体"/>
                <w:color w:val="auto"/>
                <w:sz w:val="22"/>
                <w:szCs w:val="22"/>
                <w:highlight w:val="none"/>
              </w:rPr>
              <w:t>业主单位及联系电话</w:t>
            </w:r>
            <w:bookmarkEnd w:id="214"/>
            <w:bookmarkEnd w:id="215"/>
          </w:p>
        </w:tc>
      </w:tr>
      <w:tr w14:paraId="3A32A2F8">
        <w:tblPrEx>
          <w:tblCellMar>
            <w:top w:w="0" w:type="dxa"/>
            <w:left w:w="108" w:type="dxa"/>
            <w:bottom w:w="0" w:type="dxa"/>
            <w:right w:w="108" w:type="dxa"/>
          </w:tblCellMar>
        </w:tblPrEx>
        <w:trPr>
          <w:trHeight w:val="1349"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14:paraId="5A23960E">
            <w:pPr>
              <w:pStyle w:val="498"/>
              <w:jc w:val="center"/>
              <w:rPr>
                <w:rFonts w:hint="eastAsia" w:ascii="宋体" w:hAnsi="宋体" w:cs="宋体"/>
                <w:color w:val="auto"/>
                <w:sz w:val="22"/>
                <w:szCs w:val="22"/>
                <w:highlight w:val="none"/>
              </w:rPr>
            </w:pPr>
          </w:p>
        </w:tc>
        <w:tc>
          <w:tcPr>
            <w:tcW w:w="4833" w:type="dxa"/>
            <w:gridSpan w:val="6"/>
            <w:tcBorders>
              <w:top w:val="single" w:color="000000" w:sz="6" w:space="0"/>
              <w:left w:val="single" w:color="000000" w:sz="4" w:space="0"/>
              <w:bottom w:val="single" w:color="000000" w:sz="6" w:space="0"/>
              <w:right w:val="single" w:color="000000" w:sz="4" w:space="0"/>
            </w:tcBorders>
            <w:noWrap w:val="0"/>
            <w:vAlign w:val="center"/>
          </w:tcPr>
          <w:p w14:paraId="66CB02EE">
            <w:pPr>
              <w:pStyle w:val="498"/>
              <w:jc w:val="center"/>
              <w:rPr>
                <w:rFonts w:hint="eastAsia" w:ascii="宋体" w:hAnsi="宋体" w:cs="宋体"/>
                <w:color w:val="auto"/>
                <w:sz w:val="22"/>
                <w:szCs w:val="22"/>
                <w:highlight w:val="none"/>
              </w:rPr>
            </w:pPr>
          </w:p>
        </w:tc>
        <w:tc>
          <w:tcPr>
            <w:tcW w:w="1652" w:type="dxa"/>
            <w:gridSpan w:val="3"/>
            <w:tcBorders>
              <w:top w:val="single" w:color="000000" w:sz="6" w:space="0"/>
              <w:left w:val="single" w:color="000000" w:sz="4" w:space="0"/>
              <w:bottom w:val="single" w:color="000000" w:sz="6" w:space="0"/>
              <w:right w:val="single" w:color="000000" w:sz="4" w:space="0"/>
            </w:tcBorders>
            <w:noWrap w:val="0"/>
            <w:vAlign w:val="center"/>
          </w:tcPr>
          <w:p w14:paraId="1CD1C4F7">
            <w:pPr>
              <w:pStyle w:val="498"/>
              <w:jc w:val="center"/>
              <w:rPr>
                <w:rFonts w:hint="eastAsia" w:ascii="宋体" w:hAnsi="宋体" w:cs="宋体"/>
                <w:color w:val="auto"/>
                <w:sz w:val="22"/>
                <w:szCs w:val="22"/>
                <w:highlight w:val="none"/>
              </w:rPr>
            </w:pPr>
          </w:p>
        </w:tc>
        <w:tc>
          <w:tcPr>
            <w:tcW w:w="2590" w:type="dxa"/>
            <w:gridSpan w:val="2"/>
            <w:tcBorders>
              <w:top w:val="single" w:color="000000" w:sz="6" w:space="0"/>
              <w:left w:val="single" w:color="000000" w:sz="4" w:space="0"/>
              <w:bottom w:val="single" w:color="000000" w:sz="6" w:space="0"/>
              <w:right w:val="single" w:color="000000" w:sz="12" w:space="0"/>
            </w:tcBorders>
            <w:noWrap w:val="0"/>
            <w:vAlign w:val="center"/>
          </w:tcPr>
          <w:p w14:paraId="152D6D4B">
            <w:pPr>
              <w:pStyle w:val="498"/>
              <w:jc w:val="center"/>
              <w:rPr>
                <w:rFonts w:hint="eastAsia" w:ascii="宋体" w:hAnsi="宋体" w:cs="宋体"/>
                <w:color w:val="auto"/>
                <w:sz w:val="22"/>
                <w:szCs w:val="22"/>
                <w:highlight w:val="none"/>
              </w:rPr>
            </w:pPr>
          </w:p>
        </w:tc>
      </w:tr>
      <w:tr w14:paraId="167101D9">
        <w:tblPrEx>
          <w:tblCellMar>
            <w:top w:w="0" w:type="dxa"/>
            <w:left w:w="108" w:type="dxa"/>
            <w:bottom w:w="0" w:type="dxa"/>
            <w:right w:w="108" w:type="dxa"/>
          </w:tblCellMar>
        </w:tblPrEx>
        <w:trPr>
          <w:trHeight w:val="513"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14:paraId="410D8475">
            <w:pPr>
              <w:pStyle w:val="498"/>
              <w:jc w:val="center"/>
              <w:rPr>
                <w:rFonts w:hint="eastAsia" w:ascii="宋体" w:hAnsi="宋体" w:cs="宋体"/>
                <w:color w:val="auto"/>
                <w:sz w:val="22"/>
                <w:szCs w:val="22"/>
                <w:highlight w:val="none"/>
              </w:rPr>
            </w:pPr>
            <w:bookmarkStart w:id="216" w:name="_Toc309996275"/>
            <w:bookmarkStart w:id="217" w:name="_Toc309048464"/>
            <w:r>
              <w:rPr>
                <w:rFonts w:hint="eastAsia" w:ascii="宋体" w:hAnsi="宋体" w:cs="宋体"/>
                <w:color w:val="auto"/>
                <w:sz w:val="22"/>
                <w:szCs w:val="22"/>
                <w:highlight w:val="none"/>
              </w:rPr>
              <w:t>3．获奖情况</w:t>
            </w:r>
            <w:bookmarkEnd w:id="216"/>
            <w:bookmarkEnd w:id="217"/>
          </w:p>
        </w:tc>
      </w:tr>
      <w:tr w14:paraId="7317065E">
        <w:tblPrEx>
          <w:tblCellMar>
            <w:top w:w="0" w:type="dxa"/>
            <w:left w:w="108" w:type="dxa"/>
            <w:bottom w:w="0" w:type="dxa"/>
            <w:right w:w="108" w:type="dxa"/>
          </w:tblCellMar>
        </w:tblPrEx>
        <w:trPr>
          <w:trHeight w:val="1397"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14:paraId="4B00DD6D">
            <w:pPr>
              <w:pStyle w:val="498"/>
              <w:jc w:val="center"/>
              <w:rPr>
                <w:rFonts w:hint="eastAsia" w:ascii="宋体" w:hAnsi="宋体" w:cs="宋体"/>
                <w:color w:val="auto"/>
                <w:sz w:val="22"/>
                <w:szCs w:val="22"/>
                <w:highlight w:val="none"/>
              </w:rPr>
            </w:pPr>
          </w:p>
        </w:tc>
      </w:tr>
      <w:tr w14:paraId="59311E8E">
        <w:tblPrEx>
          <w:tblCellMar>
            <w:top w:w="0" w:type="dxa"/>
            <w:left w:w="108" w:type="dxa"/>
            <w:bottom w:w="0" w:type="dxa"/>
            <w:right w:w="108" w:type="dxa"/>
          </w:tblCellMar>
        </w:tblPrEx>
        <w:trPr>
          <w:trHeight w:val="694"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14:paraId="54DAF61B">
            <w:pPr>
              <w:pStyle w:val="498"/>
              <w:jc w:val="center"/>
              <w:rPr>
                <w:rFonts w:hint="eastAsia" w:ascii="宋体" w:hAnsi="宋体" w:cs="宋体"/>
                <w:color w:val="auto"/>
                <w:sz w:val="22"/>
                <w:szCs w:val="22"/>
                <w:highlight w:val="none"/>
              </w:rPr>
            </w:pPr>
            <w:bookmarkStart w:id="218" w:name="_Toc309996276"/>
            <w:bookmarkStart w:id="219" w:name="_Toc309048465"/>
            <w:r>
              <w:rPr>
                <w:rFonts w:hint="eastAsia" w:ascii="宋体" w:hAnsi="宋体" w:cs="宋体"/>
                <w:color w:val="auto"/>
                <w:sz w:val="22"/>
                <w:szCs w:val="22"/>
                <w:highlight w:val="none"/>
              </w:rPr>
              <w:t>4．目前承担的任务</w:t>
            </w:r>
            <w:bookmarkEnd w:id="218"/>
            <w:bookmarkEnd w:id="219"/>
          </w:p>
        </w:tc>
      </w:tr>
      <w:tr w14:paraId="643460E1">
        <w:tblPrEx>
          <w:tblCellMar>
            <w:top w:w="0" w:type="dxa"/>
            <w:left w:w="108" w:type="dxa"/>
            <w:bottom w:w="0" w:type="dxa"/>
            <w:right w:w="108" w:type="dxa"/>
          </w:tblCellMar>
        </w:tblPrEx>
        <w:trPr>
          <w:trHeight w:val="1459" w:hRule="atLeast"/>
          <w:jc w:val="center"/>
        </w:trPr>
        <w:tc>
          <w:tcPr>
            <w:tcW w:w="9854" w:type="dxa"/>
            <w:gridSpan w:val="12"/>
            <w:tcBorders>
              <w:top w:val="single" w:color="000000" w:sz="6" w:space="0"/>
              <w:left w:val="single" w:color="000000" w:sz="12" w:space="0"/>
              <w:bottom w:val="single" w:color="000000" w:sz="12" w:space="0"/>
              <w:right w:val="single" w:color="000000" w:sz="12" w:space="0"/>
            </w:tcBorders>
            <w:noWrap w:val="0"/>
            <w:vAlign w:val="center"/>
          </w:tcPr>
          <w:p w14:paraId="14B9BF15">
            <w:pPr>
              <w:pStyle w:val="498"/>
              <w:jc w:val="center"/>
              <w:rPr>
                <w:rFonts w:hint="eastAsia" w:ascii="宋体" w:hAnsi="宋体" w:cs="宋体"/>
                <w:color w:val="auto"/>
                <w:sz w:val="22"/>
                <w:szCs w:val="22"/>
                <w:highlight w:val="none"/>
              </w:rPr>
            </w:pPr>
          </w:p>
        </w:tc>
      </w:tr>
    </w:tbl>
    <w:p w14:paraId="7A798D08">
      <w:pPr>
        <w:spacing w:line="38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注：</w:t>
      </w:r>
    </w:p>
    <w:p w14:paraId="3CF5436D">
      <w:pPr>
        <w:spacing w:line="380" w:lineRule="exact"/>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 “</w:t>
      </w:r>
      <w:r>
        <w:rPr>
          <w:rFonts w:hint="eastAsia" w:ascii="宋体" w:hAnsi="宋体" w:cs="宋体"/>
          <w:color w:val="auto"/>
          <w:sz w:val="22"/>
          <w:szCs w:val="22"/>
          <w:highlight w:val="none"/>
        </w:rPr>
        <w:t>负责过的主要项目”中的业绩须</w:t>
      </w:r>
      <w:r>
        <w:rPr>
          <w:rFonts w:hint="eastAsia" w:ascii="宋体" w:hAnsi="宋体" w:cs="宋体"/>
          <w:color w:val="auto"/>
          <w:kern w:val="0"/>
          <w:sz w:val="22"/>
          <w:szCs w:val="22"/>
          <w:highlight w:val="none"/>
        </w:rPr>
        <w:t>提供相关业绩证明材料的复印件。</w:t>
      </w:r>
    </w:p>
    <w:p w14:paraId="5BE0CC6F">
      <w:pPr>
        <w:spacing w:line="38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br w:type="page"/>
      </w:r>
      <w:r>
        <w:rPr>
          <w:rFonts w:hint="eastAsia" w:ascii="宋体" w:hAnsi="宋体" w:cs="宋体"/>
          <w:b/>
          <w:color w:val="auto"/>
          <w:sz w:val="22"/>
          <w:szCs w:val="22"/>
          <w:highlight w:val="none"/>
        </w:rPr>
        <w:t>（二）项目组人员配置一览表</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14:paraId="48BB23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noWrap w:val="0"/>
            <w:vAlign w:val="center"/>
          </w:tcPr>
          <w:p w14:paraId="706A65AA">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序号</w:t>
            </w:r>
          </w:p>
        </w:tc>
        <w:tc>
          <w:tcPr>
            <w:tcW w:w="958" w:type="dxa"/>
            <w:noWrap w:val="0"/>
            <w:vAlign w:val="center"/>
          </w:tcPr>
          <w:p w14:paraId="509BCB0E">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姓名</w:t>
            </w:r>
          </w:p>
        </w:tc>
        <w:tc>
          <w:tcPr>
            <w:tcW w:w="958" w:type="dxa"/>
            <w:noWrap w:val="0"/>
            <w:vAlign w:val="center"/>
          </w:tcPr>
          <w:p w14:paraId="4C5F075A">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性别</w:t>
            </w:r>
          </w:p>
        </w:tc>
        <w:tc>
          <w:tcPr>
            <w:tcW w:w="767" w:type="dxa"/>
            <w:noWrap w:val="0"/>
            <w:vAlign w:val="center"/>
          </w:tcPr>
          <w:p w14:paraId="5210A6DE">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年龄</w:t>
            </w:r>
          </w:p>
        </w:tc>
        <w:tc>
          <w:tcPr>
            <w:tcW w:w="767" w:type="dxa"/>
            <w:noWrap w:val="0"/>
            <w:vAlign w:val="center"/>
          </w:tcPr>
          <w:p w14:paraId="2B76D94A">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学历</w:t>
            </w:r>
          </w:p>
        </w:tc>
        <w:tc>
          <w:tcPr>
            <w:tcW w:w="1340" w:type="dxa"/>
            <w:noWrap w:val="0"/>
            <w:vAlign w:val="center"/>
          </w:tcPr>
          <w:p w14:paraId="6E8D643A">
            <w:pPr>
              <w:spacing w:line="280" w:lineRule="exact"/>
              <w:jc w:val="center"/>
              <w:rPr>
                <w:rFonts w:hint="eastAsia" w:ascii="宋体" w:hAnsi="宋体" w:cs="宋体"/>
                <w:color w:val="auto"/>
                <w:sz w:val="22"/>
                <w:highlight w:val="none"/>
              </w:rPr>
            </w:pPr>
            <w:r>
              <w:rPr>
                <w:rFonts w:hint="eastAsia" w:ascii="宋体" w:hAnsi="宋体" w:cs="宋体"/>
                <w:color w:val="auto"/>
                <w:sz w:val="22"/>
                <w:highlight w:val="none"/>
              </w:rPr>
              <w:t>职称/职务</w:t>
            </w:r>
          </w:p>
        </w:tc>
        <w:tc>
          <w:tcPr>
            <w:tcW w:w="1326" w:type="dxa"/>
            <w:noWrap w:val="0"/>
            <w:vAlign w:val="center"/>
          </w:tcPr>
          <w:p w14:paraId="61FF7764">
            <w:pPr>
              <w:spacing w:line="280" w:lineRule="exact"/>
              <w:jc w:val="center"/>
              <w:rPr>
                <w:rFonts w:hint="eastAsia" w:ascii="宋体" w:hAnsi="宋体" w:cs="宋体"/>
                <w:color w:val="auto"/>
                <w:sz w:val="22"/>
                <w:highlight w:val="none"/>
              </w:rPr>
            </w:pPr>
            <w:r>
              <w:rPr>
                <w:rFonts w:hint="eastAsia" w:ascii="宋体" w:hAnsi="宋体" w:cs="宋体"/>
                <w:color w:val="auto"/>
                <w:highlight w:val="none"/>
              </w:rPr>
              <w:t>本项目中的岗位</w:t>
            </w:r>
          </w:p>
        </w:tc>
        <w:tc>
          <w:tcPr>
            <w:tcW w:w="1825" w:type="dxa"/>
            <w:noWrap w:val="0"/>
            <w:vAlign w:val="center"/>
          </w:tcPr>
          <w:p w14:paraId="41540BAD">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从事专业年限</w:t>
            </w:r>
          </w:p>
        </w:tc>
        <w:tc>
          <w:tcPr>
            <w:tcW w:w="1147" w:type="dxa"/>
            <w:noWrap w:val="0"/>
            <w:vAlign w:val="center"/>
          </w:tcPr>
          <w:p w14:paraId="3970F8DD">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备注</w:t>
            </w:r>
          </w:p>
        </w:tc>
      </w:tr>
      <w:tr w14:paraId="7E6A90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C78BF2B">
            <w:pPr>
              <w:spacing w:line="360" w:lineRule="auto"/>
              <w:jc w:val="center"/>
              <w:rPr>
                <w:rFonts w:hint="eastAsia" w:ascii="宋体" w:hAnsi="宋体" w:cs="宋体"/>
                <w:color w:val="auto"/>
                <w:sz w:val="22"/>
                <w:highlight w:val="none"/>
              </w:rPr>
            </w:pPr>
          </w:p>
        </w:tc>
        <w:tc>
          <w:tcPr>
            <w:tcW w:w="958" w:type="dxa"/>
            <w:noWrap w:val="0"/>
            <w:vAlign w:val="center"/>
          </w:tcPr>
          <w:p w14:paraId="4E00919A">
            <w:pPr>
              <w:spacing w:line="360" w:lineRule="auto"/>
              <w:jc w:val="center"/>
              <w:rPr>
                <w:rFonts w:hint="eastAsia" w:ascii="宋体" w:hAnsi="宋体" w:cs="宋体"/>
                <w:color w:val="auto"/>
                <w:sz w:val="22"/>
                <w:highlight w:val="none"/>
              </w:rPr>
            </w:pPr>
          </w:p>
        </w:tc>
        <w:tc>
          <w:tcPr>
            <w:tcW w:w="958" w:type="dxa"/>
            <w:noWrap w:val="0"/>
            <w:vAlign w:val="center"/>
          </w:tcPr>
          <w:p w14:paraId="53EF35A9">
            <w:pPr>
              <w:spacing w:line="360" w:lineRule="auto"/>
              <w:jc w:val="center"/>
              <w:rPr>
                <w:rFonts w:hint="eastAsia" w:ascii="宋体" w:hAnsi="宋体" w:cs="宋体"/>
                <w:color w:val="auto"/>
                <w:sz w:val="22"/>
                <w:highlight w:val="none"/>
              </w:rPr>
            </w:pPr>
          </w:p>
        </w:tc>
        <w:tc>
          <w:tcPr>
            <w:tcW w:w="767" w:type="dxa"/>
            <w:noWrap w:val="0"/>
            <w:vAlign w:val="center"/>
          </w:tcPr>
          <w:p w14:paraId="7918E59C">
            <w:pPr>
              <w:spacing w:line="360" w:lineRule="auto"/>
              <w:jc w:val="center"/>
              <w:rPr>
                <w:rFonts w:hint="eastAsia" w:ascii="宋体" w:hAnsi="宋体" w:cs="宋体"/>
                <w:color w:val="auto"/>
                <w:sz w:val="22"/>
                <w:highlight w:val="none"/>
              </w:rPr>
            </w:pPr>
          </w:p>
        </w:tc>
        <w:tc>
          <w:tcPr>
            <w:tcW w:w="767" w:type="dxa"/>
            <w:noWrap w:val="0"/>
            <w:vAlign w:val="center"/>
          </w:tcPr>
          <w:p w14:paraId="5C372524">
            <w:pPr>
              <w:spacing w:line="360" w:lineRule="auto"/>
              <w:jc w:val="center"/>
              <w:rPr>
                <w:rFonts w:hint="eastAsia" w:ascii="宋体" w:hAnsi="宋体" w:cs="宋体"/>
                <w:color w:val="auto"/>
                <w:sz w:val="22"/>
                <w:highlight w:val="none"/>
              </w:rPr>
            </w:pPr>
          </w:p>
        </w:tc>
        <w:tc>
          <w:tcPr>
            <w:tcW w:w="1340" w:type="dxa"/>
            <w:noWrap w:val="0"/>
            <w:vAlign w:val="center"/>
          </w:tcPr>
          <w:p w14:paraId="4C1C88D5">
            <w:pPr>
              <w:spacing w:line="360" w:lineRule="auto"/>
              <w:jc w:val="center"/>
              <w:rPr>
                <w:rFonts w:hint="eastAsia" w:ascii="宋体" w:hAnsi="宋体" w:cs="宋体"/>
                <w:color w:val="auto"/>
                <w:sz w:val="22"/>
                <w:highlight w:val="none"/>
              </w:rPr>
            </w:pPr>
          </w:p>
        </w:tc>
        <w:tc>
          <w:tcPr>
            <w:tcW w:w="1326" w:type="dxa"/>
            <w:noWrap w:val="0"/>
            <w:vAlign w:val="center"/>
          </w:tcPr>
          <w:p w14:paraId="586E6DE2">
            <w:pPr>
              <w:spacing w:line="360" w:lineRule="auto"/>
              <w:jc w:val="center"/>
              <w:rPr>
                <w:rFonts w:hint="eastAsia" w:ascii="宋体" w:hAnsi="宋体" w:cs="宋体"/>
                <w:color w:val="auto"/>
                <w:sz w:val="22"/>
                <w:highlight w:val="none"/>
              </w:rPr>
            </w:pPr>
          </w:p>
        </w:tc>
        <w:tc>
          <w:tcPr>
            <w:tcW w:w="1825" w:type="dxa"/>
            <w:noWrap w:val="0"/>
            <w:vAlign w:val="top"/>
          </w:tcPr>
          <w:p w14:paraId="64B368FB">
            <w:pPr>
              <w:spacing w:line="360" w:lineRule="auto"/>
              <w:jc w:val="center"/>
              <w:rPr>
                <w:rFonts w:hint="eastAsia" w:ascii="宋体" w:hAnsi="宋体" w:cs="宋体"/>
                <w:color w:val="auto"/>
                <w:sz w:val="22"/>
                <w:highlight w:val="none"/>
              </w:rPr>
            </w:pPr>
          </w:p>
        </w:tc>
        <w:tc>
          <w:tcPr>
            <w:tcW w:w="1147" w:type="dxa"/>
            <w:noWrap w:val="0"/>
            <w:vAlign w:val="center"/>
          </w:tcPr>
          <w:p w14:paraId="2B162FDA">
            <w:pPr>
              <w:spacing w:line="360" w:lineRule="auto"/>
              <w:jc w:val="center"/>
              <w:rPr>
                <w:rFonts w:hint="eastAsia" w:ascii="宋体" w:hAnsi="宋体" w:cs="宋体"/>
                <w:color w:val="auto"/>
                <w:sz w:val="22"/>
                <w:highlight w:val="none"/>
              </w:rPr>
            </w:pPr>
          </w:p>
        </w:tc>
      </w:tr>
      <w:tr w14:paraId="38E632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553CAE4">
            <w:pPr>
              <w:spacing w:line="360" w:lineRule="auto"/>
              <w:jc w:val="center"/>
              <w:rPr>
                <w:rFonts w:hint="eastAsia" w:ascii="宋体" w:hAnsi="宋体" w:cs="宋体"/>
                <w:color w:val="auto"/>
                <w:sz w:val="22"/>
                <w:highlight w:val="none"/>
              </w:rPr>
            </w:pPr>
          </w:p>
        </w:tc>
        <w:tc>
          <w:tcPr>
            <w:tcW w:w="958" w:type="dxa"/>
            <w:noWrap w:val="0"/>
            <w:vAlign w:val="center"/>
          </w:tcPr>
          <w:p w14:paraId="221B3C4A">
            <w:pPr>
              <w:spacing w:line="360" w:lineRule="auto"/>
              <w:jc w:val="center"/>
              <w:rPr>
                <w:rFonts w:hint="eastAsia" w:ascii="宋体" w:hAnsi="宋体" w:cs="宋体"/>
                <w:color w:val="auto"/>
                <w:sz w:val="22"/>
                <w:highlight w:val="none"/>
              </w:rPr>
            </w:pPr>
          </w:p>
        </w:tc>
        <w:tc>
          <w:tcPr>
            <w:tcW w:w="958" w:type="dxa"/>
            <w:noWrap w:val="0"/>
            <w:vAlign w:val="center"/>
          </w:tcPr>
          <w:p w14:paraId="72AE927D">
            <w:pPr>
              <w:spacing w:line="360" w:lineRule="auto"/>
              <w:jc w:val="center"/>
              <w:rPr>
                <w:rFonts w:hint="eastAsia" w:ascii="宋体" w:hAnsi="宋体" w:cs="宋体"/>
                <w:color w:val="auto"/>
                <w:sz w:val="22"/>
                <w:highlight w:val="none"/>
              </w:rPr>
            </w:pPr>
          </w:p>
        </w:tc>
        <w:tc>
          <w:tcPr>
            <w:tcW w:w="767" w:type="dxa"/>
            <w:noWrap w:val="0"/>
            <w:vAlign w:val="center"/>
          </w:tcPr>
          <w:p w14:paraId="1E20CF55">
            <w:pPr>
              <w:spacing w:line="360" w:lineRule="auto"/>
              <w:jc w:val="center"/>
              <w:rPr>
                <w:rFonts w:hint="eastAsia" w:ascii="宋体" w:hAnsi="宋体" w:cs="宋体"/>
                <w:color w:val="auto"/>
                <w:sz w:val="22"/>
                <w:highlight w:val="none"/>
              </w:rPr>
            </w:pPr>
          </w:p>
        </w:tc>
        <w:tc>
          <w:tcPr>
            <w:tcW w:w="767" w:type="dxa"/>
            <w:noWrap w:val="0"/>
            <w:vAlign w:val="center"/>
          </w:tcPr>
          <w:p w14:paraId="473B4505">
            <w:pPr>
              <w:spacing w:line="360" w:lineRule="auto"/>
              <w:jc w:val="center"/>
              <w:rPr>
                <w:rFonts w:hint="eastAsia" w:ascii="宋体" w:hAnsi="宋体" w:cs="宋体"/>
                <w:color w:val="auto"/>
                <w:sz w:val="22"/>
                <w:highlight w:val="none"/>
              </w:rPr>
            </w:pPr>
          </w:p>
        </w:tc>
        <w:tc>
          <w:tcPr>
            <w:tcW w:w="1340" w:type="dxa"/>
            <w:noWrap w:val="0"/>
            <w:vAlign w:val="center"/>
          </w:tcPr>
          <w:p w14:paraId="319D9E47">
            <w:pPr>
              <w:spacing w:line="360" w:lineRule="auto"/>
              <w:jc w:val="center"/>
              <w:rPr>
                <w:rFonts w:hint="eastAsia" w:ascii="宋体" w:hAnsi="宋体" w:cs="宋体"/>
                <w:color w:val="auto"/>
                <w:sz w:val="22"/>
                <w:highlight w:val="none"/>
              </w:rPr>
            </w:pPr>
          </w:p>
        </w:tc>
        <w:tc>
          <w:tcPr>
            <w:tcW w:w="1326" w:type="dxa"/>
            <w:noWrap w:val="0"/>
            <w:vAlign w:val="center"/>
          </w:tcPr>
          <w:p w14:paraId="2BDD1860">
            <w:pPr>
              <w:spacing w:line="360" w:lineRule="auto"/>
              <w:jc w:val="center"/>
              <w:rPr>
                <w:rFonts w:hint="eastAsia" w:ascii="宋体" w:hAnsi="宋体" w:cs="宋体"/>
                <w:color w:val="auto"/>
                <w:sz w:val="22"/>
                <w:highlight w:val="none"/>
              </w:rPr>
            </w:pPr>
          </w:p>
        </w:tc>
        <w:tc>
          <w:tcPr>
            <w:tcW w:w="1825" w:type="dxa"/>
            <w:noWrap w:val="0"/>
            <w:vAlign w:val="top"/>
          </w:tcPr>
          <w:p w14:paraId="0148C3E8">
            <w:pPr>
              <w:spacing w:line="360" w:lineRule="auto"/>
              <w:jc w:val="center"/>
              <w:rPr>
                <w:rFonts w:hint="eastAsia" w:ascii="宋体" w:hAnsi="宋体" w:cs="宋体"/>
                <w:color w:val="auto"/>
                <w:sz w:val="22"/>
                <w:highlight w:val="none"/>
              </w:rPr>
            </w:pPr>
          </w:p>
        </w:tc>
        <w:tc>
          <w:tcPr>
            <w:tcW w:w="1147" w:type="dxa"/>
            <w:noWrap w:val="0"/>
            <w:vAlign w:val="center"/>
          </w:tcPr>
          <w:p w14:paraId="7DE41E5B">
            <w:pPr>
              <w:spacing w:line="360" w:lineRule="auto"/>
              <w:jc w:val="center"/>
              <w:rPr>
                <w:rFonts w:hint="eastAsia" w:ascii="宋体" w:hAnsi="宋体" w:cs="宋体"/>
                <w:color w:val="auto"/>
                <w:sz w:val="22"/>
                <w:highlight w:val="none"/>
              </w:rPr>
            </w:pPr>
          </w:p>
        </w:tc>
      </w:tr>
      <w:tr w14:paraId="67112D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1A7D7E9">
            <w:pPr>
              <w:spacing w:line="360" w:lineRule="auto"/>
              <w:jc w:val="center"/>
              <w:rPr>
                <w:rFonts w:hint="eastAsia" w:ascii="宋体" w:hAnsi="宋体" w:cs="宋体"/>
                <w:color w:val="auto"/>
                <w:sz w:val="22"/>
                <w:highlight w:val="none"/>
              </w:rPr>
            </w:pPr>
          </w:p>
        </w:tc>
        <w:tc>
          <w:tcPr>
            <w:tcW w:w="958" w:type="dxa"/>
            <w:noWrap w:val="0"/>
            <w:vAlign w:val="center"/>
          </w:tcPr>
          <w:p w14:paraId="38BEBB97">
            <w:pPr>
              <w:spacing w:line="360" w:lineRule="auto"/>
              <w:jc w:val="center"/>
              <w:rPr>
                <w:rFonts w:hint="eastAsia" w:ascii="宋体" w:hAnsi="宋体" w:cs="宋体"/>
                <w:color w:val="auto"/>
                <w:sz w:val="22"/>
                <w:highlight w:val="none"/>
              </w:rPr>
            </w:pPr>
          </w:p>
        </w:tc>
        <w:tc>
          <w:tcPr>
            <w:tcW w:w="958" w:type="dxa"/>
            <w:noWrap w:val="0"/>
            <w:vAlign w:val="center"/>
          </w:tcPr>
          <w:p w14:paraId="44F79A18">
            <w:pPr>
              <w:spacing w:line="360" w:lineRule="auto"/>
              <w:jc w:val="center"/>
              <w:rPr>
                <w:rFonts w:hint="eastAsia" w:ascii="宋体" w:hAnsi="宋体" w:cs="宋体"/>
                <w:color w:val="auto"/>
                <w:sz w:val="22"/>
                <w:highlight w:val="none"/>
              </w:rPr>
            </w:pPr>
          </w:p>
        </w:tc>
        <w:tc>
          <w:tcPr>
            <w:tcW w:w="767" w:type="dxa"/>
            <w:noWrap w:val="0"/>
            <w:vAlign w:val="center"/>
          </w:tcPr>
          <w:p w14:paraId="2AE14F68">
            <w:pPr>
              <w:spacing w:line="360" w:lineRule="auto"/>
              <w:jc w:val="center"/>
              <w:rPr>
                <w:rFonts w:hint="eastAsia" w:ascii="宋体" w:hAnsi="宋体" w:cs="宋体"/>
                <w:color w:val="auto"/>
                <w:sz w:val="22"/>
                <w:highlight w:val="none"/>
              </w:rPr>
            </w:pPr>
          </w:p>
        </w:tc>
        <w:tc>
          <w:tcPr>
            <w:tcW w:w="767" w:type="dxa"/>
            <w:noWrap w:val="0"/>
            <w:vAlign w:val="center"/>
          </w:tcPr>
          <w:p w14:paraId="11CD3A8F">
            <w:pPr>
              <w:spacing w:line="360" w:lineRule="auto"/>
              <w:jc w:val="center"/>
              <w:rPr>
                <w:rFonts w:hint="eastAsia" w:ascii="宋体" w:hAnsi="宋体" w:cs="宋体"/>
                <w:color w:val="auto"/>
                <w:sz w:val="22"/>
                <w:highlight w:val="none"/>
              </w:rPr>
            </w:pPr>
          </w:p>
        </w:tc>
        <w:tc>
          <w:tcPr>
            <w:tcW w:w="1340" w:type="dxa"/>
            <w:noWrap w:val="0"/>
            <w:vAlign w:val="center"/>
          </w:tcPr>
          <w:p w14:paraId="707C1D9F">
            <w:pPr>
              <w:spacing w:line="360" w:lineRule="auto"/>
              <w:jc w:val="center"/>
              <w:rPr>
                <w:rFonts w:hint="eastAsia" w:ascii="宋体" w:hAnsi="宋体" w:cs="宋体"/>
                <w:color w:val="auto"/>
                <w:sz w:val="22"/>
                <w:highlight w:val="none"/>
              </w:rPr>
            </w:pPr>
          </w:p>
        </w:tc>
        <w:tc>
          <w:tcPr>
            <w:tcW w:w="1326" w:type="dxa"/>
            <w:noWrap w:val="0"/>
            <w:vAlign w:val="center"/>
          </w:tcPr>
          <w:p w14:paraId="47F48C3B">
            <w:pPr>
              <w:spacing w:line="360" w:lineRule="auto"/>
              <w:jc w:val="center"/>
              <w:rPr>
                <w:rFonts w:hint="eastAsia" w:ascii="宋体" w:hAnsi="宋体" w:cs="宋体"/>
                <w:color w:val="auto"/>
                <w:sz w:val="22"/>
                <w:highlight w:val="none"/>
              </w:rPr>
            </w:pPr>
          </w:p>
        </w:tc>
        <w:tc>
          <w:tcPr>
            <w:tcW w:w="1825" w:type="dxa"/>
            <w:noWrap w:val="0"/>
            <w:vAlign w:val="top"/>
          </w:tcPr>
          <w:p w14:paraId="3AA57C55">
            <w:pPr>
              <w:spacing w:line="360" w:lineRule="auto"/>
              <w:jc w:val="center"/>
              <w:rPr>
                <w:rFonts w:hint="eastAsia" w:ascii="宋体" w:hAnsi="宋体" w:cs="宋体"/>
                <w:color w:val="auto"/>
                <w:sz w:val="22"/>
                <w:highlight w:val="none"/>
              </w:rPr>
            </w:pPr>
          </w:p>
        </w:tc>
        <w:tc>
          <w:tcPr>
            <w:tcW w:w="1147" w:type="dxa"/>
            <w:noWrap w:val="0"/>
            <w:vAlign w:val="center"/>
          </w:tcPr>
          <w:p w14:paraId="367596D5">
            <w:pPr>
              <w:spacing w:line="360" w:lineRule="auto"/>
              <w:jc w:val="center"/>
              <w:rPr>
                <w:rFonts w:hint="eastAsia" w:ascii="宋体" w:hAnsi="宋体" w:cs="宋体"/>
                <w:color w:val="auto"/>
                <w:sz w:val="22"/>
                <w:highlight w:val="none"/>
              </w:rPr>
            </w:pPr>
          </w:p>
        </w:tc>
      </w:tr>
      <w:tr w14:paraId="463E19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AC3327B">
            <w:pPr>
              <w:spacing w:line="360" w:lineRule="auto"/>
              <w:jc w:val="center"/>
              <w:rPr>
                <w:rFonts w:hint="eastAsia" w:ascii="宋体" w:hAnsi="宋体" w:cs="宋体"/>
                <w:color w:val="auto"/>
                <w:sz w:val="22"/>
                <w:highlight w:val="none"/>
              </w:rPr>
            </w:pPr>
          </w:p>
        </w:tc>
        <w:tc>
          <w:tcPr>
            <w:tcW w:w="958" w:type="dxa"/>
            <w:noWrap w:val="0"/>
            <w:vAlign w:val="center"/>
          </w:tcPr>
          <w:p w14:paraId="061B9675">
            <w:pPr>
              <w:spacing w:line="360" w:lineRule="auto"/>
              <w:jc w:val="center"/>
              <w:rPr>
                <w:rFonts w:hint="eastAsia" w:ascii="宋体" w:hAnsi="宋体" w:cs="宋体"/>
                <w:color w:val="auto"/>
                <w:sz w:val="22"/>
                <w:highlight w:val="none"/>
              </w:rPr>
            </w:pPr>
          </w:p>
        </w:tc>
        <w:tc>
          <w:tcPr>
            <w:tcW w:w="958" w:type="dxa"/>
            <w:noWrap w:val="0"/>
            <w:vAlign w:val="center"/>
          </w:tcPr>
          <w:p w14:paraId="7D879E97">
            <w:pPr>
              <w:spacing w:line="360" w:lineRule="auto"/>
              <w:jc w:val="center"/>
              <w:rPr>
                <w:rFonts w:hint="eastAsia" w:ascii="宋体" w:hAnsi="宋体" w:cs="宋体"/>
                <w:color w:val="auto"/>
                <w:sz w:val="22"/>
                <w:highlight w:val="none"/>
              </w:rPr>
            </w:pPr>
          </w:p>
        </w:tc>
        <w:tc>
          <w:tcPr>
            <w:tcW w:w="767" w:type="dxa"/>
            <w:noWrap w:val="0"/>
            <w:vAlign w:val="center"/>
          </w:tcPr>
          <w:p w14:paraId="788608FB">
            <w:pPr>
              <w:spacing w:line="360" w:lineRule="auto"/>
              <w:jc w:val="center"/>
              <w:rPr>
                <w:rFonts w:hint="eastAsia" w:ascii="宋体" w:hAnsi="宋体" w:cs="宋体"/>
                <w:color w:val="auto"/>
                <w:sz w:val="22"/>
                <w:highlight w:val="none"/>
              </w:rPr>
            </w:pPr>
          </w:p>
        </w:tc>
        <w:tc>
          <w:tcPr>
            <w:tcW w:w="767" w:type="dxa"/>
            <w:noWrap w:val="0"/>
            <w:vAlign w:val="center"/>
          </w:tcPr>
          <w:p w14:paraId="3F268580">
            <w:pPr>
              <w:spacing w:line="360" w:lineRule="auto"/>
              <w:jc w:val="center"/>
              <w:rPr>
                <w:rFonts w:hint="eastAsia" w:ascii="宋体" w:hAnsi="宋体" w:cs="宋体"/>
                <w:color w:val="auto"/>
                <w:sz w:val="22"/>
                <w:highlight w:val="none"/>
              </w:rPr>
            </w:pPr>
          </w:p>
        </w:tc>
        <w:tc>
          <w:tcPr>
            <w:tcW w:w="1340" w:type="dxa"/>
            <w:noWrap w:val="0"/>
            <w:vAlign w:val="center"/>
          </w:tcPr>
          <w:p w14:paraId="271C9F0D">
            <w:pPr>
              <w:spacing w:line="360" w:lineRule="auto"/>
              <w:jc w:val="center"/>
              <w:rPr>
                <w:rFonts w:hint="eastAsia" w:ascii="宋体" w:hAnsi="宋体" w:cs="宋体"/>
                <w:color w:val="auto"/>
                <w:sz w:val="22"/>
                <w:highlight w:val="none"/>
              </w:rPr>
            </w:pPr>
          </w:p>
        </w:tc>
        <w:tc>
          <w:tcPr>
            <w:tcW w:w="1326" w:type="dxa"/>
            <w:noWrap w:val="0"/>
            <w:vAlign w:val="center"/>
          </w:tcPr>
          <w:p w14:paraId="3B9D2067">
            <w:pPr>
              <w:spacing w:line="360" w:lineRule="auto"/>
              <w:jc w:val="center"/>
              <w:rPr>
                <w:rFonts w:hint="eastAsia" w:ascii="宋体" w:hAnsi="宋体" w:cs="宋体"/>
                <w:color w:val="auto"/>
                <w:sz w:val="22"/>
                <w:highlight w:val="none"/>
              </w:rPr>
            </w:pPr>
          </w:p>
        </w:tc>
        <w:tc>
          <w:tcPr>
            <w:tcW w:w="1825" w:type="dxa"/>
            <w:noWrap w:val="0"/>
            <w:vAlign w:val="top"/>
          </w:tcPr>
          <w:p w14:paraId="09266127">
            <w:pPr>
              <w:spacing w:line="360" w:lineRule="auto"/>
              <w:jc w:val="center"/>
              <w:rPr>
                <w:rFonts w:hint="eastAsia" w:ascii="宋体" w:hAnsi="宋体" w:cs="宋体"/>
                <w:color w:val="auto"/>
                <w:sz w:val="22"/>
                <w:highlight w:val="none"/>
              </w:rPr>
            </w:pPr>
          </w:p>
        </w:tc>
        <w:tc>
          <w:tcPr>
            <w:tcW w:w="1147" w:type="dxa"/>
            <w:noWrap w:val="0"/>
            <w:vAlign w:val="center"/>
          </w:tcPr>
          <w:p w14:paraId="7F9EEEF6">
            <w:pPr>
              <w:spacing w:line="360" w:lineRule="auto"/>
              <w:jc w:val="center"/>
              <w:rPr>
                <w:rFonts w:hint="eastAsia" w:ascii="宋体" w:hAnsi="宋体" w:cs="宋体"/>
                <w:color w:val="auto"/>
                <w:sz w:val="22"/>
                <w:highlight w:val="none"/>
              </w:rPr>
            </w:pPr>
          </w:p>
        </w:tc>
      </w:tr>
      <w:tr w14:paraId="2F6A09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1ECDA24">
            <w:pPr>
              <w:spacing w:line="360" w:lineRule="auto"/>
              <w:jc w:val="center"/>
              <w:rPr>
                <w:rFonts w:hint="eastAsia" w:ascii="宋体" w:hAnsi="宋体" w:cs="宋体"/>
                <w:color w:val="auto"/>
                <w:sz w:val="22"/>
                <w:highlight w:val="none"/>
              </w:rPr>
            </w:pPr>
          </w:p>
        </w:tc>
        <w:tc>
          <w:tcPr>
            <w:tcW w:w="958" w:type="dxa"/>
            <w:noWrap w:val="0"/>
            <w:vAlign w:val="center"/>
          </w:tcPr>
          <w:p w14:paraId="7777520D">
            <w:pPr>
              <w:spacing w:line="360" w:lineRule="auto"/>
              <w:jc w:val="center"/>
              <w:rPr>
                <w:rFonts w:hint="eastAsia" w:ascii="宋体" w:hAnsi="宋体" w:cs="宋体"/>
                <w:color w:val="auto"/>
                <w:sz w:val="22"/>
                <w:highlight w:val="none"/>
              </w:rPr>
            </w:pPr>
          </w:p>
        </w:tc>
        <w:tc>
          <w:tcPr>
            <w:tcW w:w="958" w:type="dxa"/>
            <w:noWrap w:val="0"/>
            <w:vAlign w:val="center"/>
          </w:tcPr>
          <w:p w14:paraId="4E4C7C0A">
            <w:pPr>
              <w:spacing w:line="360" w:lineRule="auto"/>
              <w:jc w:val="center"/>
              <w:rPr>
                <w:rFonts w:hint="eastAsia" w:ascii="宋体" w:hAnsi="宋体" w:cs="宋体"/>
                <w:color w:val="auto"/>
                <w:sz w:val="22"/>
                <w:highlight w:val="none"/>
              </w:rPr>
            </w:pPr>
          </w:p>
        </w:tc>
        <w:tc>
          <w:tcPr>
            <w:tcW w:w="767" w:type="dxa"/>
            <w:noWrap w:val="0"/>
            <w:vAlign w:val="center"/>
          </w:tcPr>
          <w:p w14:paraId="4AD392CB">
            <w:pPr>
              <w:spacing w:line="360" w:lineRule="auto"/>
              <w:jc w:val="center"/>
              <w:rPr>
                <w:rFonts w:hint="eastAsia" w:ascii="宋体" w:hAnsi="宋体" w:cs="宋体"/>
                <w:color w:val="auto"/>
                <w:sz w:val="22"/>
                <w:highlight w:val="none"/>
              </w:rPr>
            </w:pPr>
          </w:p>
        </w:tc>
        <w:tc>
          <w:tcPr>
            <w:tcW w:w="767" w:type="dxa"/>
            <w:noWrap w:val="0"/>
            <w:vAlign w:val="center"/>
          </w:tcPr>
          <w:p w14:paraId="21CF80FF">
            <w:pPr>
              <w:spacing w:line="360" w:lineRule="auto"/>
              <w:jc w:val="center"/>
              <w:rPr>
                <w:rFonts w:hint="eastAsia" w:ascii="宋体" w:hAnsi="宋体" w:cs="宋体"/>
                <w:color w:val="auto"/>
                <w:sz w:val="22"/>
                <w:highlight w:val="none"/>
              </w:rPr>
            </w:pPr>
          </w:p>
        </w:tc>
        <w:tc>
          <w:tcPr>
            <w:tcW w:w="1340" w:type="dxa"/>
            <w:noWrap w:val="0"/>
            <w:vAlign w:val="center"/>
          </w:tcPr>
          <w:p w14:paraId="1596DF39">
            <w:pPr>
              <w:spacing w:line="360" w:lineRule="auto"/>
              <w:jc w:val="center"/>
              <w:rPr>
                <w:rFonts w:hint="eastAsia" w:ascii="宋体" w:hAnsi="宋体" w:cs="宋体"/>
                <w:color w:val="auto"/>
                <w:sz w:val="22"/>
                <w:highlight w:val="none"/>
              </w:rPr>
            </w:pPr>
          </w:p>
        </w:tc>
        <w:tc>
          <w:tcPr>
            <w:tcW w:w="1326" w:type="dxa"/>
            <w:noWrap w:val="0"/>
            <w:vAlign w:val="center"/>
          </w:tcPr>
          <w:p w14:paraId="7F398550">
            <w:pPr>
              <w:spacing w:line="360" w:lineRule="auto"/>
              <w:jc w:val="center"/>
              <w:rPr>
                <w:rFonts w:hint="eastAsia" w:ascii="宋体" w:hAnsi="宋体" w:cs="宋体"/>
                <w:color w:val="auto"/>
                <w:sz w:val="22"/>
                <w:highlight w:val="none"/>
              </w:rPr>
            </w:pPr>
          </w:p>
        </w:tc>
        <w:tc>
          <w:tcPr>
            <w:tcW w:w="1825" w:type="dxa"/>
            <w:noWrap w:val="0"/>
            <w:vAlign w:val="top"/>
          </w:tcPr>
          <w:p w14:paraId="228347EF">
            <w:pPr>
              <w:spacing w:line="360" w:lineRule="auto"/>
              <w:jc w:val="center"/>
              <w:rPr>
                <w:rFonts w:hint="eastAsia" w:ascii="宋体" w:hAnsi="宋体" w:cs="宋体"/>
                <w:color w:val="auto"/>
                <w:sz w:val="22"/>
                <w:highlight w:val="none"/>
              </w:rPr>
            </w:pPr>
          </w:p>
        </w:tc>
        <w:tc>
          <w:tcPr>
            <w:tcW w:w="1147" w:type="dxa"/>
            <w:noWrap w:val="0"/>
            <w:vAlign w:val="center"/>
          </w:tcPr>
          <w:p w14:paraId="64D6E6AF">
            <w:pPr>
              <w:spacing w:line="360" w:lineRule="auto"/>
              <w:jc w:val="center"/>
              <w:rPr>
                <w:rFonts w:hint="eastAsia" w:ascii="宋体" w:hAnsi="宋体" w:cs="宋体"/>
                <w:color w:val="auto"/>
                <w:sz w:val="22"/>
                <w:highlight w:val="none"/>
              </w:rPr>
            </w:pPr>
          </w:p>
        </w:tc>
      </w:tr>
      <w:tr w14:paraId="2089DD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137E38FE">
            <w:pPr>
              <w:spacing w:line="360" w:lineRule="auto"/>
              <w:jc w:val="center"/>
              <w:rPr>
                <w:rFonts w:hint="eastAsia" w:ascii="宋体" w:hAnsi="宋体" w:cs="宋体"/>
                <w:color w:val="auto"/>
                <w:sz w:val="22"/>
                <w:highlight w:val="none"/>
              </w:rPr>
            </w:pPr>
          </w:p>
        </w:tc>
        <w:tc>
          <w:tcPr>
            <w:tcW w:w="958" w:type="dxa"/>
            <w:noWrap w:val="0"/>
            <w:vAlign w:val="center"/>
          </w:tcPr>
          <w:p w14:paraId="008E6C6F">
            <w:pPr>
              <w:spacing w:line="360" w:lineRule="auto"/>
              <w:jc w:val="center"/>
              <w:rPr>
                <w:rFonts w:hint="eastAsia" w:ascii="宋体" w:hAnsi="宋体" w:cs="宋体"/>
                <w:color w:val="auto"/>
                <w:sz w:val="22"/>
                <w:highlight w:val="none"/>
              </w:rPr>
            </w:pPr>
          </w:p>
        </w:tc>
        <w:tc>
          <w:tcPr>
            <w:tcW w:w="958" w:type="dxa"/>
            <w:noWrap w:val="0"/>
            <w:vAlign w:val="center"/>
          </w:tcPr>
          <w:p w14:paraId="6679C931">
            <w:pPr>
              <w:spacing w:line="360" w:lineRule="auto"/>
              <w:jc w:val="center"/>
              <w:rPr>
                <w:rFonts w:hint="eastAsia" w:ascii="宋体" w:hAnsi="宋体" w:cs="宋体"/>
                <w:color w:val="auto"/>
                <w:sz w:val="22"/>
                <w:highlight w:val="none"/>
              </w:rPr>
            </w:pPr>
          </w:p>
        </w:tc>
        <w:tc>
          <w:tcPr>
            <w:tcW w:w="767" w:type="dxa"/>
            <w:noWrap w:val="0"/>
            <w:vAlign w:val="center"/>
          </w:tcPr>
          <w:p w14:paraId="6259B6A7">
            <w:pPr>
              <w:spacing w:line="360" w:lineRule="auto"/>
              <w:jc w:val="center"/>
              <w:rPr>
                <w:rFonts w:hint="eastAsia" w:ascii="宋体" w:hAnsi="宋体" w:cs="宋体"/>
                <w:color w:val="auto"/>
                <w:sz w:val="22"/>
                <w:highlight w:val="none"/>
              </w:rPr>
            </w:pPr>
          </w:p>
        </w:tc>
        <w:tc>
          <w:tcPr>
            <w:tcW w:w="767" w:type="dxa"/>
            <w:noWrap w:val="0"/>
            <w:vAlign w:val="center"/>
          </w:tcPr>
          <w:p w14:paraId="0109A80C">
            <w:pPr>
              <w:spacing w:line="360" w:lineRule="auto"/>
              <w:jc w:val="center"/>
              <w:rPr>
                <w:rFonts w:hint="eastAsia" w:ascii="宋体" w:hAnsi="宋体" w:cs="宋体"/>
                <w:color w:val="auto"/>
                <w:sz w:val="22"/>
                <w:highlight w:val="none"/>
              </w:rPr>
            </w:pPr>
          </w:p>
        </w:tc>
        <w:tc>
          <w:tcPr>
            <w:tcW w:w="1340" w:type="dxa"/>
            <w:noWrap w:val="0"/>
            <w:vAlign w:val="center"/>
          </w:tcPr>
          <w:p w14:paraId="3DBCF7FB">
            <w:pPr>
              <w:spacing w:line="360" w:lineRule="auto"/>
              <w:jc w:val="center"/>
              <w:rPr>
                <w:rFonts w:hint="eastAsia" w:ascii="宋体" w:hAnsi="宋体" w:cs="宋体"/>
                <w:color w:val="auto"/>
                <w:sz w:val="22"/>
                <w:highlight w:val="none"/>
              </w:rPr>
            </w:pPr>
          </w:p>
        </w:tc>
        <w:tc>
          <w:tcPr>
            <w:tcW w:w="1326" w:type="dxa"/>
            <w:noWrap w:val="0"/>
            <w:vAlign w:val="center"/>
          </w:tcPr>
          <w:p w14:paraId="45C3020D">
            <w:pPr>
              <w:spacing w:line="360" w:lineRule="auto"/>
              <w:jc w:val="center"/>
              <w:rPr>
                <w:rFonts w:hint="eastAsia" w:ascii="宋体" w:hAnsi="宋体" w:cs="宋体"/>
                <w:color w:val="auto"/>
                <w:sz w:val="22"/>
                <w:highlight w:val="none"/>
              </w:rPr>
            </w:pPr>
          </w:p>
        </w:tc>
        <w:tc>
          <w:tcPr>
            <w:tcW w:w="1825" w:type="dxa"/>
            <w:noWrap w:val="0"/>
            <w:vAlign w:val="top"/>
          </w:tcPr>
          <w:p w14:paraId="58E7E007">
            <w:pPr>
              <w:spacing w:line="360" w:lineRule="auto"/>
              <w:jc w:val="center"/>
              <w:rPr>
                <w:rFonts w:hint="eastAsia" w:ascii="宋体" w:hAnsi="宋体" w:cs="宋体"/>
                <w:color w:val="auto"/>
                <w:sz w:val="22"/>
                <w:highlight w:val="none"/>
              </w:rPr>
            </w:pPr>
          </w:p>
        </w:tc>
        <w:tc>
          <w:tcPr>
            <w:tcW w:w="1147" w:type="dxa"/>
            <w:noWrap w:val="0"/>
            <w:vAlign w:val="center"/>
          </w:tcPr>
          <w:p w14:paraId="263228F1">
            <w:pPr>
              <w:spacing w:line="360" w:lineRule="auto"/>
              <w:jc w:val="center"/>
              <w:rPr>
                <w:rFonts w:hint="eastAsia" w:ascii="宋体" w:hAnsi="宋体" w:cs="宋体"/>
                <w:color w:val="auto"/>
                <w:sz w:val="22"/>
                <w:highlight w:val="none"/>
              </w:rPr>
            </w:pPr>
          </w:p>
        </w:tc>
      </w:tr>
      <w:tr w14:paraId="0A416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112706D6">
            <w:pPr>
              <w:spacing w:line="360" w:lineRule="auto"/>
              <w:jc w:val="center"/>
              <w:rPr>
                <w:rFonts w:hint="eastAsia" w:ascii="宋体" w:hAnsi="宋体" w:cs="宋体"/>
                <w:color w:val="auto"/>
                <w:sz w:val="22"/>
                <w:highlight w:val="none"/>
              </w:rPr>
            </w:pPr>
          </w:p>
        </w:tc>
        <w:tc>
          <w:tcPr>
            <w:tcW w:w="958" w:type="dxa"/>
            <w:noWrap w:val="0"/>
            <w:vAlign w:val="center"/>
          </w:tcPr>
          <w:p w14:paraId="1C51BA68">
            <w:pPr>
              <w:spacing w:line="360" w:lineRule="auto"/>
              <w:jc w:val="center"/>
              <w:rPr>
                <w:rFonts w:hint="eastAsia" w:ascii="宋体" w:hAnsi="宋体" w:cs="宋体"/>
                <w:color w:val="auto"/>
                <w:sz w:val="22"/>
                <w:highlight w:val="none"/>
              </w:rPr>
            </w:pPr>
          </w:p>
        </w:tc>
        <w:tc>
          <w:tcPr>
            <w:tcW w:w="958" w:type="dxa"/>
            <w:noWrap w:val="0"/>
            <w:vAlign w:val="center"/>
          </w:tcPr>
          <w:p w14:paraId="0EEF9CA6">
            <w:pPr>
              <w:spacing w:line="360" w:lineRule="auto"/>
              <w:jc w:val="center"/>
              <w:rPr>
                <w:rFonts w:hint="eastAsia" w:ascii="宋体" w:hAnsi="宋体" w:cs="宋体"/>
                <w:color w:val="auto"/>
                <w:sz w:val="22"/>
                <w:highlight w:val="none"/>
              </w:rPr>
            </w:pPr>
          </w:p>
        </w:tc>
        <w:tc>
          <w:tcPr>
            <w:tcW w:w="767" w:type="dxa"/>
            <w:noWrap w:val="0"/>
            <w:vAlign w:val="center"/>
          </w:tcPr>
          <w:p w14:paraId="2F0E3DDB">
            <w:pPr>
              <w:spacing w:line="360" w:lineRule="auto"/>
              <w:jc w:val="center"/>
              <w:rPr>
                <w:rFonts w:hint="eastAsia" w:ascii="宋体" w:hAnsi="宋体" w:cs="宋体"/>
                <w:color w:val="auto"/>
                <w:sz w:val="22"/>
                <w:highlight w:val="none"/>
              </w:rPr>
            </w:pPr>
          </w:p>
        </w:tc>
        <w:tc>
          <w:tcPr>
            <w:tcW w:w="767" w:type="dxa"/>
            <w:noWrap w:val="0"/>
            <w:vAlign w:val="center"/>
          </w:tcPr>
          <w:p w14:paraId="37F17BEA">
            <w:pPr>
              <w:spacing w:line="360" w:lineRule="auto"/>
              <w:jc w:val="center"/>
              <w:rPr>
                <w:rFonts w:hint="eastAsia" w:ascii="宋体" w:hAnsi="宋体" w:cs="宋体"/>
                <w:color w:val="auto"/>
                <w:sz w:val="22"/>
                <w:highlight w:val="none"/>
              </w:rPr>
            </w:pPr>
          </w:p>
        </w:tc>
        <w:tc>
          <w:tcPr>
            <w:tcW w:w="1340" w:type="dxa"/>
            <w:noWrap w:val="0"/>
            <w:vAlign w:val="center"/>
          </w:tcPr>
          <w:p w14:paraId="1C3FBD9B">
            <w:pPr>
              <w:spacing w:line="360" w:lineRule="auto"/>
              <w:jc w:val="center"/>
              <w:rPr>
                <w:rFonts w:hint="eastAsia" w:ascii="宋体" w:hAnsi="宋体" w:cs="宋体"/>
                <w:color w:val="auto"/>
                <w:sz w:val="22"/>
                <w:highlight w:val="none"/>
              </w:rPr>
            </w:pPr>
          </w:p>
        </w:tc>
        <w:tc>
          <w:tcPr>
            <w:tcW w:w="1326" w:type="dxa"/>
            <w:noWrap w:val="0"/>
            <w:vAlign w:val="center"/>
          </w:tcPr>
          <w:p w14:paraId="4E0190BA">
            <w:pPr>
              <w:spacing w:line="360" w:lineRule="auto"/>
              <w:jc w:val="center"/>
              <w:rPr>
                <w:rFonts w:hint="eastAsia" w:ascii="宋体" w:hAnsi="宋体" w:cs="宋体"/>
                <w:color w:val="auto"/>
                <w:sz w:val="22"/>
                <w:highlight w:val="none"/>
              </w:rPr>
            </w:pPr>
          </w:p>
        </w:tc>
        <w:tc>
          <w:tcPr>
            <w:tcW w:w="1825" w:type="dxa"/>
            <w:noWrap w:val="0"/>
            <w:vAlign w:val="top"/>
          </w:tcPr>
          <w:p w14:paraId="7BF4D618">
            <w:pPr>
              <w:spacing w:line="360" w:lineRule="auto"/>
              <w:jc w:val="center"/>
              <w:rPr>
                <w:rFonts w:hint="eastAsia" w:ascii="宋体" w:hAnsi="宋体" w:cs="宋体"/>
                <w:color w:val="auto"/>
                <w:sz w:val="22"/>
                <w:highlight w:val="none"/>
              </w:rPr>
            </w:pPr>
          </w:p>
        </w:tc>
        <w:tc>
          <w:tcPr>
            <w:tcW w:w="1147" w:type="dxa"/>
            <w:noWrap w:val="0"/>
            <w:vAlign w:val="center"/>
          </w:tcPr>
          <w:p w14:paraId="08D82207">
            <w:pPr>
              <w:spacing w:line="360" w:lineRule="auto"/>
              <w:jc w:val="center"/>
              <w:rPr>
                <w:rFonts w:hint="eastAsia" w:ascii="宋体" w:hAnsi="宋体" w:cs="宋体"/>
                <w:color w:val="auto"/>
                <w:sz w:val="22"/>
                <w:highlight w:val="none"/>
              </w:rPr>
            </w:pPr>
          </w:p>
        </w:tc>
      </w:tr>
      <w:tr w14:paraId="0F8C64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781030B2">
            <w:pPr>
              <w:spacing w:line="360" w:lineRule="auto"/>
              <w:jc w:val="center"/>
              <w:rPr>
                <w:rFonts w:hint="eastAsia" w:ascii="宋体" w:hAnsi="宋体" w:cs="宋体"/>
                <w:color w:val="auto"/>
                <w:sz w:val="22"/>
                <w:highlight w:val="none"/>
              </w:rPr>
            </w:pPr>
          </w:p>
        </w:tc>
        <w:tc>
          <w:tcPr>
            <w:tcW w:w="958" w:type="dxa"/>
            <w:noWrap w:val="0"/>
            <w:vAlign w:val="center"/>
          </w:tcPr>
          <w:p w14:paraId="102909F0">
            <w:pPr>
              <w:spacing w:line="360" w:lineRule="auto"/>
              <w:jc w:val="center"/>
              <w:rPr>
                <w:rFonts w:hint="eastAsia" w:ascii="宋体" w:hAnsi="宋体" w:cs="宋体"/>
                <w:color w:val="auto"/>
                <w:sz w:val="22"/>
                <w:highlight w:val="none"/>
              </w:rPr>
            </w:pPr>
          </w:p>
        </w:tc>
        <w:tc>
          <w:tcPr>
            <w:tcW w:w="958" w:type="dxa"/>
            <w:noWrap w:val="0"/>
            <w:vAlign w:val="center"/>
          </w:tcPr>
          <w:p w14:paraId="7FB15A65">
            <w:pPr>
              <w:spacing w:line="360" w:lineRule="auto"/>
              <w:jc w:val="center"/>
              <w:rPr>
                <w:rFonts w:hint="eastAsia" w:ascii="宋体" w:hAnsi="宋体" w:cs="宋体"/>
                <w:color w:val="auto"/>
                <w:sz w:val="22"/>
                <w:highlight w:val="none"/>
              </w:rPr>
            </w:pPr>
          </w:p>
        </w:tc>
        <w:tc>
          <w:tcPr>
            <w:tcW w:w="767" w:type="dxa"/>
            <w:noWrap w:val="0"/>
            <w:vAlign w:val="center"/>
          </w:tcPr>
          <w:p w14:paraId="62E3D798">
            <w:pPr>
              <w:spacing w:line="360" w:lineRule="auto"/>
              <w:jc w:val="center"/>
              <w:rPr>
                <w:rFonts w:hint="eastAsia" w:ascii="宋体" w:hAnsi="宋体" w:cs="宋体"/>
                <w:color w:val="auto"/>
                <w:sz w:val="22"/>
                <w:highlight w:val="none"/>
              </w:rPr>
            </w:pPr>
          </w:p>
        </w:tc>
        <w:tc>
          <w:tcPr>
            <w:tcW w:w="767" w:type="dxa"/>
            <w:noWrap w:val="0"/>
            <w:vAlign w:val="center"/>
          </w:tcPr>
          <w:p w14:paraId="1C76593C">
            <w:pPr>
              <w:spacing w:line="360" w:lineRule="auto"/>
              <w:jc w:val="center"/>
              <w:rPr>
                <w:rFonts w:hint="eastAsia" w:ascii="宋体" w:hAnsi="宋体" w:cs="宋体"/>
                <w:color w:val="auto"/>
                <w:sz w:val="22"/>
                <w:highlight w:val="none"/>
              </w:rPr>
            </w:pPr>
          </w:p>
        </w:tc>
        <w:tc>
          <w:tcPr>
            <w:tcW w:w="1340" w:type="dxa"/>
            <w:noWrap w:val="0"/>
            <w:vAlign w:val="center"/>
          </w:tcPr>
          <w:p w14:paraId="29C36BFE">
            <w:pPr>
              <w:spacing w:line="360" w:lineRule="auto"/>
              <w:jc w:val="center"/>
              <w:rPr>
                <w:rFonts w:hint="eastAsia" w:ascii="宋体" w:hAnsi="宋体" w:cs="宋体"/>
                <w:color w:val="auto"/>
                <w:sz w:val="22"/>
                <w:highlight w:val="none"/>
              </w:rPr>
            </w:pPr>
          </w:p>
        </w:tc>
        <w:tc>
          <w:tcPr>
            <w:tcW w:w="1326" w:type="dxa"/>
            <w:noWrap w:val="0"/>
            <w:vAlign w:val="center"/>
          </w:tcPr>
          <w:p w14:paraId="7B0ECFF0">
            <w:pPr>
              <w:spacing w:line="360" w:lineRule="auto"/>
              <w:jc w:val="center"/>
              <w:rPr>
                <w:rFonts w:hint="eastAsia" w:ascii="宋体" w:hAnsi="宋体" w:cs="宋体"/>
                <w:color w:val="auto"/>
                <w:sz w:val="22"/>
                <w:highlight w:val="none"/>
              </w:rPr>
            </w:pPr>
          </w:p>
        </w:tc>
        <w:tc>
          <w:tcPr>
            <w:tcW w:w="1825" w:type="dxa"/>
            <w:noWrap w:val="0"/>
            <w:vAlign w:val="top"/>
          </w:tcPr>
          <w:p w14:paraId="1C39CF44">
            <w:pPr>
              <w:spacing w:line="360" w:lineRule="auto"/>
              <w:jc w:val="center"/>
              <w:rPr>
                <w:rFonts w:hint="eastAsia" w:ascii="宋体" w:hAnsi="宋体" w:cs="宋体"/>
                <w:color w:val="auto"/>
                <w:sz w:val="22"/>
                <w:highlight w:val="none"/>
              </w:rPr>
            </w:pPr>
          </w:p>
        </w:tc>
        <w:tc>
          <w:tcPr>
            <w:tcW w:w="1147" w:type="dxa"/>
            <w:noWrap w:val="0"/>
            <w:vAlign w:val="center"/>
          </w:tcPr>
          <w:p w14:paraId="32BD0AF8">
            <w:pPr>
              <w:spacing w:line="360" w:lineRule="auto"/>
              <w:jc w:val="center"/>
              <w:rPr>
                <w:rFonts w:hint="eastAsia" w:ascii="宋体" w:hAnsi="宋体" w:cs="宋体"/>
                <w:color w:val="auto"/>
                <w:sz w:val="22"/>
                <w:highlight w:val="none"/>
              </w:rPr>
            </w:pPr>
          </w:p>
        </w:tc>
      </w:tr>
      <w:tr w14:paraId="0201B7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7003BB3">
            <w:pPr>
              <w:spacing w:line="360" w:lineRule="auto"/>
              <w:jc w:val="center"/>
              <w:rPr>
                <w:rFonts w:hint="eastAsia" w:ascii="宋体" w:hAnsi="宋体" w:cs="宋体"/>
                <w:color w:val="auto"/>
                <w:sz w:val="22"/>
                <w:highlight w:val="none"/>
              </w:rPr>
            </w:pPr>
          </w:p>
        </w:tc>
        <w:tc>
          <w:tcPr>
            <w:tcW w:w="958" w:type="dxa"/>
            <w:noWrap w:val="0"/>
            <w:vAlign w:val="center"/>
          </w:tcPr>
          <w:p w14:paraId="7FF368E9">
            <w:pPr>
              <w:spacing w:line="360" w:lineRule="auto"/>
              <w:jc w:val="center"/>
              <w:rPr>
                <w:rFonts w:hint="eastAsia" w:ascii="宋体" w:hAnsi="宋体" w:cs="宋体"/>
                <w:color w:val="auto"/>
                <w:sz w:val="22"/>
                <w:highlight w:val="none"/>
              </w:rPr>
            </w:pPr>
          </w:p>
        </w:tc>
        <w:tc>
          <w:tcPr>
            <w:tcW w:w="958" w:type="dxa"/>
            <w:noWrap w:val="0"/>
            <w:vAlign w:val="center"/>
          </w:tcPr>
          <w:p w14:paraId="0CC45B72">
            <w:pPr>
              <w:spacing w:line="360" w:lineRule="auto"/>
              <w:jc w:val="center"/>
              <w:rPr>
                <w:rFonts w:hint="eastAsia" w:ascii="宋体" w:hAnsi="宋体" w:cs="宋体"/>
                <w:color w:val="auto"/>
                <w:sz w:val="22"/>
                <w:highlight w:val="none"/>
              </w:rPr>
            </w:pPr>
          </w:p>
        </w:tc>
        <w:tc>
          <w:tcPr>
            <w:tcW w:w="767" w:type="dxa"/>
            <w:noWrap w:val="0"/>
            <w:vAlign w:val="center"/>
          </w:tcPr>
          <w:p w14:paraId="416E28BD">
            <w:pPr>
              <w:spacing w:line="360" w:lineRule="auto"/>
              <w:jc w:val="center"/>
              <w:rPr>
                <w:rFonts w:hint="eastAsia" w:ascii="宋体" w:hAnsi="宋体" w:cs="宋体"/>
                <w:color w:val="auto"/>
                <w:sz w:val="22"/>
                <w:highlight w:val="none"/>
              </w:rPr>
            </w:pPr>
          </w:p>
        </w:tc>
        <w:tc>
          <w:tcPr>
            <w:tcW w:w="767" w:type="dxa"/>
            <w:noWrap w:val="0"/>
            <w:vAlign w:val="center"/>
          </w:tcPr>
          <w:p w14:paraId="49FC15B8">
            <w:pPr>
              <w:spacing w:line="360" w:lineRule="auto"/>
              <w:jc w:val="center"/>
              <w:rPr>
                <w:rFonts w:hint="eastAsia" w:ascii="宋体" w:hAnsi="宋体" w:cs="宋体"/>
                <w:color w:val="auto"/>
                <w:sz w:val="22"/>
                <w:highlight w:val="none"/>
              </w:rPr>
            </w:pPr>
          </w:p>
        </w:tc>
        <w:tc>
          <w:tcPr>
            <w:tcW w:w="1340" w:type="dxa"/>
            <w:noWrap w:val="0"/>
            <w:vAlign w:val="center"/>
          </w:tcPr>
          <w:p w14:paraId="65F4274F">
            <w:pPr>
              <w:spacing w:line="360" w:lineRule="auto"/>
              <w:jc w:val="center"/>
              <w:rPr>
                <w:rFonts w:hint="eastAsia" w:ascii="宋体" w:hAnsi="宋体" w:cs="宋体"/>
                <w:color w:val="auto"/>
                <w:sz w:val="22"/>
                <w:highlight w:val="none"/>
              </w:rPr>
            </w:pPr>
          </w:p>
        </w:tc>
        <w:tc>
          <w:tcPr>
            <w:tcW w:w="1326" w:type="dxa"/>
            <w:noWrap w:val="0"/>
            <w:vAlign w:val="center"/>
          </w:tcPr>
          <w:p w14:paraId="086F5ED3">
            <w:pPr>
              <w:spacing w:line="360" w:lineRule="auto"/>
              <w:jc w:val="center"/>
              <w:rPr>
                <w:rFonts w:hint="eastAsia" w:ascii="宋体" w:hAnsi="宋体" w:cs="宋体"/>
                <w:color w:val="auto"/>
                <w:sz w:val="22"/>
                <w:highlight w:val="none"/>
              </w:rPr>
            </w:pPr>
          </w:p>
        </w:tc>
        <w:tc>
          <w:tcPr>
            <w:tcW w:w="1825" w:type="dxa"/>
            <w:noWrap w:val="0"/>
            <w:vAlign w:val="top"/>
          </w:tcPr>
          <w:p w14:paraId="586D9A79">
            <w:pPr>
              <w:spacing w:line="360" w:lineRule="auto"/>
              <w:jc w:val="center"/>
              <w:rPr>
                <w:rFonts w:hint="eastAsia" w:ascii="宋体" w:hAnsi="宋体" w:cs="宋体"/>
                <w:color w:val="auto"/>
                <w:sz w:val="22"/>
                <w:highlight w:val="none"/>
              </w:rPr>
            </w:pPr>
          </w:p>
        </w:tc>
        <w:tc>
          <w:tcPr>
            <w:tcW w:w="1147" w:type="dxa"/>
            <w:noWrap w:val="0"/>
            <w:vAlign w:val="center"/>
          </w:tcPr>
          <w:p w14:paraId="6CA29629">
            <w:pPr>
              <w:spacing w:line="360" w:lineRule="auto"/>
              <w:jc w:val="center"/>
              <w:rPr>
                <w:rFonts w:hint="eastAsia" w:ascii="宋体" w:hAnsi="宋体" w:cs="宋体"/>
                <w:color w:val="auto"/>
                <w:sz w:val="22"/>
                <w:highlight w:val="none"/>
              </w:rPr>
            </w:pPr>
          </w:p>
        </w:tc>
      </w:tr>
      <w:tr w14:paraId="1A0163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921B346">
            <w:pPr>
              <w:spacing w:line="360" w:lineRule="auto"/>
              <w:jc w:val="center"/>
              <w:rPr>
                <w:rFonts w:hint="eastAsia" w:ascii="宋体" w:hAnsi="宋体" w:cs="宋体"/>
                <w:color w:val="auto"/>
                <w:sz w:val="22"/>
                <w:highlight w:val="none"/>
              </w:rPr>
            </w:pPr>
          </w:p>
        </w:tc>
        <w:tc>
          <w:tcPr>
            <w:tcW w:w="958" w:type="dxa"/>
            <w:noWrap w:val="0"/>
            <w:vAlign w:val="center"/>
          </w:tcPr>
          <w:p w14:paraId="39151FAA">
            <w:pPr>
              <w:spacing w:line="360" w:lineRule="auto"/>
              <w:jc w:val="center"/>
              <w:rPr>
                <w:rFonts w:hint="eastAsia" w:ascii="宋体" w:hAnsi="宋体" w:cs="宋体"/>
                <w:color w:val="auto"/>
                <w:sz w:val="22"/>
                <w:highlight w:val="none"/>
              </w:rPr>
            </w:pPr>
          </w:p>
        </w:tc>
        <w:tc>
          <w:tcPr>
            <w:tcW w:w="958" w:type="dxa"/>
            <w:noWrap w:val="0"/>
            <w:vAlign w:val="center"/>
          </w:tcPr>
          <w:p w14:paraId="3FC9876E">
            <w:pPr>
              <w:spacing w:line="360" w:lineRule="auto"/>
              <w:jc w:val="center"/>
              <w:rPr>
                <w:rFonts w:hint="eastAsia" w:ascii="宋体" w:hAnsi="宋体" w:cs="宋体"/>
                <w:color w:val="auto"/>
                <w:sz w:val="22"/>
                <w:highlight w:val="none"/>
              </w:rPr>
            </w:pPr>
          </w:p>
        </w:tc>
        <w:tc>
          <w:tcPr>
            <w:tcW w:w="767" w:type="dxa"/>
            <w:noWrap w:val="0"/>
            <w:vAlign w:val="center"/>
          </w:tcPr>
          <w:p w14:paraId="59C034D4">
            <w:pPr>
              <w:spacing w:line="360" w:lineRule="auto"/>
              <w:jc w:val="center"/>
              <w:rPr>
                <w:rFonts w:hint="eastAsia" w:ascii="宋体" w:hAnsi="宋体" w:cs="宋体"/>
                <w:color w:val="auto"/>
                <w:sz w:val="22"/>
                <w:highlight w:val="none"/>
              </w:rPr>
            </w:pPr>
          </w:p>
        </w:tc>
        <w:tc>
          <w:tcPr>
            <w:tcW w:w="767" w:type="dxa"/>
            <w:noWrap w:val="0"/>
            <w:vAlign w:val="center"/>
          </w:tcPr>
          <w:p w14:paraId="1D0744F5">
            <w:pPr>
              <w:spacing w:line="360" w:lineRule="auto"/>
              <w:jc w:val="center"/>
              <w:rPr>
                <w:rFonts w:hint="eastAsia" w:ascii="宋体" w:hAnsi="宋体" w:cs="宋体"/>
                <w:color w:val="auto"/>
                <w:sz w:val="22"/>
                <w:highlight w:val="none"/>
              </w:rPr>
            </w:pPr>
          </w:p>
        </w:tc>
        <w:tc>
          <w:tcPr>
            <w:tcW w:w="1340" w:type="dxa"/>
            <w:noWrap w:val="0"/>
            <w:vAlign w:val="center"/>
          </w:tcPr>
          <w:p w14:paraId="056D6DF6">
            <w:pPr>
              <w:spacing w:line="360" w:lineRule="auto"/>
              <w:jc w:val="center"/>
              <w:rPr>
                <w:rFonts w:hint="eastAsia" w:ascii="宋体" w:hAnsi="宋体" w:cs="宋体"/>
                <w:color w:val="auto"/>
                <w:sz w:val="22"/>
                <w:highlight w:val="none"/>
              </w:rPr>
            </w:pPr>
          </w:p>
        </w:tc>
        <w:tc>
          <w:tcPr>
            <w:tcW w:w="1326" w:type="dxa"/>
            <w:noWrap w:val="0"/>
            <w:vAlign w:val="center"/>
          </w:tcPr>
          <w:p w14:paraId="35D64D01">
            <w:pPr>
              <w:spacing w:line="360" w:lineRule="auto"/>
              <w:jc w:val="center"/>
              <w:rPr>
                <w:rFonts w:hint="eastAsia" w:ascii="宋体" w:hAnsi="宋体" w:cs="宋体"/>
                <w:color w:val="auto"/>
                <w:sz w:val="22"/>
                <w:highlight w:val="none"/>
              </w:rPr>
            </w:pPr>
          </w:p>
        </w:tc>
        <w:tc>
          <w:tcPr>
            <w:tcW w:w="1825" w:type="dxa"/>
            <w:noWrap w:val="0"/>
            <w:vAlign w:val="top"/>
          </w:tcPr>
          <w:p w14:paraId="742C1AAD">
            <w:pPr>
              <w:spacing w:line="360" w:lineRule="auto"/>
              <w:jc w:val="center"/>
              <w:rPr>
                <w:rFonts w:hint="eastAsia" w:ascii="宋体" w:hAnsi="宋体" w:cs="宋体"/>
                <w:color w:val="auto"/>
                <w:sz w:val="22"/>
                <w:highlight w:val="none"/>
              </w:rPr>
            </w:pPr>
          </w:p>
        </w:tc>
        <w:tc>
          <w:tcPr>
            <w:tcW w:w="1147" w:type="dxa"/>
            <w:noWrap w:val="0"/>
            <w:vAlign w:val="center"/>
          </w:tcPr>
          <w:p w14:paraId="09B7D9EE">
            <w:pPr>
              <w:spacing w:line="360" w:lineRule="auto"/>
              <w:jc w:val="center"/>
              <w:rPr>
                <w:rFonts w:hint="eastAsia" w:ascii="宋体" w:hAnsi="宋体" w:cs="宋体"/>
                <w:color w:val="auto"/>
                <w:sz w:val="22"/>
                <w:highlight w:val="none"/>
              </w:rPr>
            </w:pPr>
          </w:p>
        </w:tc>
      </w:tr>
      <w:tr w14:paraId="5D7A3F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4C96776">
            <w:pPr>
              <w:spacing w:line="360" w:lineRule="auto"/>
              <w:jc w:val="center"/>
              <w:rPr>
                <w:rFonts w:hint="eastAsia" w:ascii="宋体" w:hAnsi="宋体" w:cs="宋体"/>
                <w:color w:val="auto"/>
                <w:sz w:val="22"/>
                <w:highlight w:val="none"/>
              </w:rPr>
            </w:pPr>
          </w:p>
        </w:tc>
        <w:tc>
          <w:tcPr>
            <w:tcW w:w="958" w:type="dxa"/>
            <w:noWrap w:val="0"/>
            <w:vAlign w:val="center"/>
          </w:tcPr>
          <w:p w14:paraId="455F8EAD">
            <w:pPr>
              <w:spacing w:line="360" w:lineRule="auto"/>
              <w:jc w:val="center"/>
              <w:rPr>
                <w:rFonts w:hint="eastAsia" w:ascii="宋体" w:hAnsi="宋体" w:cs="宋体"/>
                <w:color w:val="auto"/>
                <w:sz w:val="22"/>
                <w:highlight w:val="none"/>
              </w:rPr>
            </w:pPr>
          </w:p>
        </w:tc>
        <w:tc>
          <w:tcPr>
            <w:tcW w:w="958" w:type="dxa"/>
            <w:noWrap w:val="0"/>
            <w:vAlign w:val="center"/>
          </w:tcPr>
          <w:p w14:paraId="50FB45E3">
            <w:pPr>
              <w:spacing w:line="360" w:lineRule="auto"/>
              <w:jc w:val="center"/>
              <w:rPr>
                <w:rFonts w:hint="eastAsia" w:ascii="宋体" w:hAnsi="宋体" w:cs="宋体"/>
                <w:color w:val="auto"/>
                <w:sz w:val="22"/>
                <w:highlight w:val="none"/>
              </w:rPr>
            </w:pPr>
          </w:p>
        </w:tc>
        <w:tc>
          <w:tcPr>
            <w:tcW w:w="767" w:type="dxa"/>
            <w:noWrap w:val="0"/>
            <w:vAlign w:val="center"/>
          </w:tcPr>
          <w:p w14:paraId="51D9B17C">
            <w:pPr>
              <w:spacing w:line="360" w:lineRule="auto"/>
              <w:jc w:val="center"/>
              <w:rPr>
                <w:rFonts w:hint="eastAsia" w:ascii="宋体" w:hAnsi="宋体" w:cs="宋体"/>
                <w:color w:val="auto"/>
                <w:sz w:val="22"/>
                <w:highlight w:val="none"/>
              </w:rPr>
            </w:pPr>
          </w:p>
        </w:tc>
        <w:tc>
          <w:tcPr>
            <w:tcW w:w="767" w:type="dxa"/>
            <w:noWrap w:val="0"/>
            <w:vAlign w:val="center"/>
          </w:tcPr>
          <w:p w14:paraId="406A99BA">
            <w:pPr>
              <w:spacing w:line="360" w:lineRule="auto"/>
              <w:jc w:val="center"/>
              <w:rPr>
                <w:rFonts w:hint="eastAsia" w:ascii="宋体" w:hAnsi="宋体" w:cs="宋体"/>
                <w:color w:val="auto"/>
                <w:sz w:val="22"/>
                <w:highlight w:val="none"/>
              </w:rPr>
            </w:pPr>
          </w:p>
        </w:tc>
        <w:tc>
          <w:tcPr>
            <w:tcW w:w="1340" w:type="dxa"/>
            <w:noWrap w:val="0"/>
            <w:vAlign w:val="center"/>
          </w:tcPr>
          <w:p w14:paraId="21723F34">
            <w:pPr>
              <w:spacing w:line="360" w:lineRule="auto"/>
              <w:jc w:val="center"/>
              <w:rPr>
                <w:rFonts w:hint="eastAsia" w:ascii="宋体" w:hAnsi="宋体" w:cs="宋体"/>
                <w:color w:val="auto"/>
                <w:sz w:val="22"/>
                <w:highlight w:val="none"/>
              </w:rPr>
            </w:pPr>
          </w:p>
        </w:tc>
        <w:tc>
          <w:tcPr>
            <w:tcW w:w="1326" w:type="dxa"/>
            <w:noWrap w:val="0"/>
            <w:vAlign w:val="center"/>
          </w:tcPr>
          <w:p w14:paraId="220903CC">
            <w:pPr>
              <w:spacing w:line="360" w:lineRule="auto"/>
              <w:jc w:val="center"/>
              <w:rPr>
                <w:rFonts w:hint="eastAsia" w:ascii="宋体" w:hAnsi="宋体" w:cs="宋体"/>
                <w:color w:val="auto"/>
                <w:sz w:val="22"/>
                <w:highlight w:val="none"/>
              </w:rPr>
            </w:pPr>
          </w:p>
        </w:tc>
        <w:tc>
          <w:tcPr>
            <w:tcW w:w="1825" w:type="dxa"/>
            <w:noWrap w:val="0"/>
            <w:vAlign w:val="top"/>
          </w:tcPr>
          <w:p w14:paraId="279B697F">
            <w:pPr>
              <w:spacing w:line="360" w:lineRule="auto"/>
              <w:jc w:val="center"/>
              <w:rPr>
                <w:rFonts w:hint="eastAsia" w:ascii="宋体" w:hAnsi="宋体" w:cs="宋体"/>
                <w:color w:val="auto"/>
                <w:sz w:val="22"/>
                <w:highlight w:val="none"/>
              </w:rPr>
            </w:pPr>
          </w:p>
        </w:tc>
        <w:tc>
          <w:tcPr>
            <w:tcW w:w="1147" w:type="dxa"/>
            <w:noWrap w:val="0"/>
            <w:vAlign w:val="center"/>
          </w:tcPr>
          <w:p w14:paraId="551A6952">
            <w:pPr>
              <w:spacing w:line="360" w:lineRule="auto"/>
              <w:jc w:val="center"/>
              <w:rPr>
                <w:rFonts w:hint="eastAsia" w:ascii="宋体" w:hAnsi="宋体" w:cs="宋体"/>
                <w:color w:val="auto"/>
                <w:sz w:val="22"/>
                <w:highlight w:val="none"/>
              </w:rPr>
            </w:pPr>
          </w:p>
        </w:tc>
      </w:tr>
      <w:tr w14:paraId="15827E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0E67B11">
            <w:pPr>
              <w:spacing w:line="360" w:lineRule="auto"/>
              <w:jc w:val="center"/>
              <w:rPr>
                <w:rFonts w:hint="eastAsia" w:ascii="宋体" w:hAnsi="宋体" w:cs="宋体"/>
                <w:color w:val="auto"/>
                <w:sz w:val="22"/>
                <w:highlight w:val="none"/>
              </w:rPr>
            </w:pPr>
          </w:p>
        </w:tc>
        <w:tc>
          <w:tcPr>
            <w:tcW w:w="958" w:type="dxa"/>
            <w:noWrap w:val="0"/>
            <w:vAlign w:val="center"/>
          </w:tcPr>
          <w:p w14:paraId="2559F0A7">
            <w:pPr>
              <w:spacing w:line="360" w:lineRule="auto"/>
              <w:jc w:val="center"/>
              <w:rPr>
                <w:rFonts w:hint="eastAsia" w:ascii="宋体" w:hAnsi="宋体" w:cs="宋体"/>
                <w:color w:val="auto"/>
                <w:sz w:val="22"/>
                <w:highlight w:val="none"/>
              </w:rPr>
            </w:pPr>
          </w:p>
        </w:tc>
        <w:tc>
          <w:tcPr>
            <w:tcW w:w="958" w:type="dxa"/>
            <w:noWrap w:val="0"/>
            <w:vAlign w:val="center"/>
          </w:tcPr>
          <w:p w14:paraId="5A67C431">
            <w:pPr>
              <w:spacing w:line="360" w:lineRule="auto"/>
              <w:jc w:val="center"/>
              <w:rPr>
                <w:rFonts w:hint="eastAsia" w:ascii="宋体" w:hAnsi="宋体" w:cs="宋体"/>
                <w:color w:val="auto"/>
                <w:sz w:val="22"/>
                <w:highlight w:val="none"/>
              </w:rPr>
            </w:pPr>
          </w:p>
        </w:tc>
        <w:tc>
          <w:tcPr>
            <w:tcW w:w="767" w:type="dxa"/>
            <w:noWrap w:val="0"/>
            <w:vAlign w:val="center"/>
          </w:tcPr>
          <w:p w14:paraId="51B2A647">
            <w:pPr>
              <w:spacing w:line="360" w:lineRule="auto"/>
              <w:jc w:val="center"/>
              <w:rPr>
                <w:rFonts w:hint="eastAsia" w:ascii="宋体" w:hAnsi="宋体" w:cs="宋体"/>
                <w:color w:val="auto"/>
                <w:sz w:val="22"/>
                <w:highlight w:val="none"/>
              </w:rPr>
            </w:pPr>
          </w:p>
        </w:tc>
        <w:tc>
          <w:tcPr>
            <w:tcW w:w="767" w:type="dxa"/>
            <w:noWrap w:val="0"/>
            <w:vAlign w:val="center"/>
          </w:tcPr>
          <w:p w14:paraId="50E09B3C">
            <w:pPr>
              <w:spacing w:line="360" w:lineRule="auto"/>
              <w:jc w:val="center"/>
              <w:rPr>
                <w:rFonts w:hint="eastAsia" w:ascii="宋体" w:hAnsi="宋体" w:cs="宋体"/>
                <w:color w:val="auto"/>
                <w:sz w:val="22"/>
                <w:highlight w:val="none"/>
              </w:rPr>
            </w:pPr>
          </w:p>
        </w:tc>
        <w:tc>
          <w:tcPr>
            <w:tcW w:w="1340" w:type="dxa"/>
            <w:noWrap w:val="0"/>
            <w:vAlign w:val="center"/>
          </w:tcPr>
          <w:p w14:paraId="7C4D4739">
            <w:pPr>
              <w:spacing w:line="360" w:lineRule="auto"/>
              <w:jc w:val="center"/>
              <w:rPr>
                <w:rFonts w:hint="eastAsia" w:ascii="宋体" w:hAnsi="宋体" w:cs="宋体"/>
                <w:color w:val="auto"/>
                <w:sz w:val="22"/>
                <w:highlight w:val="none"/>
              </w:rPr>
            </w:pPr>
          </w:p>
        </w:tc>
        <w:tc>
          <w:tcPr>
            <w:tcW w:w="1326" w:type="dxa"/>
            <w:noWrap w:val="0"/>
            <w:vAlign w:val="center"/>
          </w:tcPr>
          <w:p w14:paraId="704C5D5F">
            <w:pPr>
              <w:spacing w:line="360" w:lineRule="auto"/>
              <w:jc w:val="center"/>
              <w:rPr>
                <w:rFonts w:hint="eastAsia" w:ascii="宋体" w:hAnsi="宋体" w:cs="宋体"/>
                <w:color w:val="auto"/>
                <w:sz w:val="22"/>
                <w:highlight w:val="none"/>
              </w:rPr>
            </w:pPr>
          </w:p>
        </w:tc>
        <w:tc>
          <w:tcPr>
            <w:tcW w:w="1825" w:type="dxa"/>
            <w:noWrap w:val="0"/>
            <w:vAlign w:val="top"/>
          </w:tcPr>
          <w:p w14:paraId="76CBB4A0">
            <w:pPr>
              <w:spacing w:line="360" w:lineRule="auto"/>
              <w:jc w:val="center"/>
              <w:rPr>
                <w:rFonts w:hint="eastAsia" w:ascii="宋体" w:hAnsi="宋体" w:cs="宋体"/>
                <w:color w:val="auto"/>
                <w:sz w:val="22"/>
                <w:highlight w:val="none"/>
              </w:rPr>
            </w:pPr>
          </w:p>
        </w:tc>
        <w:tc>
          <w:tcPr>
            <w:tcW w:w="1147" w:type="dxa"/>
            <w:noWrap w:val="0"/>
            <w:vAlign w:val="center"/>
          </w:tcPr>
          <w:p w14:paraId="1B837A48">
            <w:pPr>
              <w:spacing w:line="360" w:lineRule="auto"/>
              <w:jc w:val="center"/>
              <w:rPr>
                <w:rFonts w:hint="eastAsia" w:ascii="宋体" w:hAnsi="宋体" w:cs="宋体"/>
                <w:color w:val="auto"/>
                <w:sz w:val="22"/>
                <w:highlight w:val="none"/>
              </w:rPr>
            </w:pPr>
          </w:p>
        </w:tc>
      </w:tr>
      <w:tr w14:paraId="29C74A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7525196B">
            <w:pPr>
              <w:spacing w:line="360" w:lineRule="auto"/>
              <w:jc w:val="center"/>
              <w:rPr>
                <w:rFonts w:hint="eastAsia" w:ascii="宋体" w:hAnsi="宋体" w:cs="宋体"/>
                <w:color w:val="auto"/>
                <w:sz w:val="22"/>
                <w:highlight w:val="none"/>
              </w:rPr>
            </w:pPr>
          </w:p>
        </w:tc>
        <w:tc>
          <w:tcPr>
            <w:tcW w:w="958" w:type="dxa"/>
            <w:noWrap w:val="0"/>
            <w:vAlign w:val="center"/>
          </w:tcPr>
          <w:p w14:paraId="1CEA44C3">
            <w:pPr>
              <w:spacing w:line="360" w:lineRule="auto"/>
              <w:jc w:val="center"/>
              <w:rPr>
                <w:rFonts w:hint="eastAsia" w:ascii="宋体" w:hAnsi="宋体" w:cs="宋体"/>
                <w:color w:val="auto"/>
                <w:sz w:val="22"/>
                <w:highlight w:val="none"/>
              </w:rPr>
            </w:pPr>
          </w:p>
        </w:tc>
        <w:tc>
          <w:tcPr>
            <w:tcW w:w="958" w:type="dxa"/>
            <w:noWrap w:val="0"/>
            <w:vAlign w:val="center"/>
          </w:tcPr>
          <w:p w14:paraId="2018AB73">
            <w:pPr>
              <w:spacing w:line="360" w:lineRule="auto"/>
              <w:jc w:val="center"/>
              <w:rPr>
                <w:rFonts w:hint="eastAsia" w:ascii="宋体" w:hAnsi="宋体" w:cs="宋体"/>
                <w:color w:val="auto"/>
                <w:sz w:val="22"/>
                <w:highlight w:val="none"/>
              </w:rPr>
            </w:pPr>
          </w:p>
        </w:tc>
        <w:tc>
          <w:tcPr>
            <w:tcW w:w="767" w:type="dxa"/>
            <w:noWrap w:val="0"/>
            <w:vAlign w:val="center"/>
          </w:tcPr>
          <w:p w14:paraId="4066C853">
            <w:pPr>
              <w:spacing w:line="360" w:lineRule="auto"/>
              <w:jc w:val="center"/>
              <w:rPr>
                <w:rFonts w:hint="eastAsia" w:ascii="宋体" w:hAnsi="宋体" w:cs="宋体"/>
                <w:color w:val="auto"/>
                <w:sz w:val="22"/>
                <w:highlight w:val="none"/>
              </w:rPr>
            </w:pPr>
          </w:p>
        </w:tc>
        <w:tc>
          <w:tcPr>
            <w:tcW w:w="767" w:type="dxa"/>
            <w:noWrap w:val="0"/>
            <w:vAlign w:val="center"/>
          </w:tcPr>
          <w:p w14:paraId="3B39E428">
            <w:pPr>
              <w:spacing w:line="360" w:lineRule="auto"/>
              <w:jc w:val="center"/>
              <w:rPr>
                <w:rFonts w:hint="eastAsia" w:ascii="宋体" w:hAnsi="宋体" w:cs="宋体"/>
                <w:color w:val="auto"/>
                <w:sz w:val="22"/>
                <w:highlight w:val="none"/>
              </w:rPr>
            </w:pPr>
          </w:p>
        </w:tc>
        <w:tc>
          <w:tcPr>
            <w:tcW w:w="1340" w:type="dxa"/>
            <w:noWrap w:val="0"/>
            <w:vAlign w:val="center"/>
          </w:tcPr>
          <w:p w14:paraId="48244827">
            <w:pPr>
              <w:spacing w:line="360" w:lineRule="auto"/>
              <w:jc w:val="center"/>
              <w:rPr>
                <w:rFonts w:hint="eastAsia" w:ascii="宋体" w:hAnsi="宋体" w:cs="宋体"/>
                <w:color w:val="auto"/>
                <w:sz w:val="22"/>
                <w:highlight w:val="none"/>
              </w:rPr>
            </w:pPr>
          </w:p>
        </w:tc>
        <w:tc>
          <w:tcPr>
            <w:tcW w:w="1326" w:type="dxa"/>
            <w:noWrap w:val="0"/>
            <w:vAlign w:val="center"/>
          </w:tcPr>
          <w:p w14:paraId="23B7A246">
            <w:pPr>
              <w:spacing w:line="360" w:lineRule="auto"/>
              <w:jc w:val="center"/>
              <w:rPr>
                <w:rFonts w:hint="eastAsia" w:ascii="宋体" w:hAnsi="宋体" w:cs="宋体"/>
                <w:color w:val="auto"/>
                <w:sz w:val="22"/>
                <w:highlight w:val="none"/>
              </w:rPr>
            </w:pPr>
          </w:p>
        </w:tc>
        <w:tc>
          <w:tcPr>
            <w:tcW w:w="1825" w:type="dxa"/>
            <w:noWrap w:val="0"/>
            <w:vAlign w:val="top"/>
          </w:tcPr>
          <w:p w14:paraId="71966300">
            <w:pPr>
              <w:spacing w:line="360" w:lineRule="auto"/>
              <w:jc w:val="center"/>
              <w:rPr>
                <w:rFonts w:hint="eastAsia" w:ascii="宋体" w:hAnsi="宋体" w:cs="宋体"/>
                <w:color w:val="auto"/>
                <w:sz w:val="22"/>
                <w:highlight w:val="none"/>
              </w:rPr>
            </w:pPr>
          </w:p>
        </w:tc>
        <w:tc>
          <w:tcPr>
            <w:tcW w:w="1147" w:type="dxa"/>
            <w:noWrap w:val="0"/>
            <w:vAlign w:val="center"/>
          </w:tcPr>
          <w:p w14:paraId="669A87CE">
            <w:pPr>
              <w:spacing w:line="360" w:lineRule="auto"/>
              <w:jc w:val="center"/>
              <w:rPr>
                <w:rFonts w:hint="eastAsia" w:ascii="宋体" w:hAnsi="宋体" w:cs="宋体"/>
                <w:color w:val="auto"/>
                <w:sz w:val="22"/>
                <w:highlight w:val="none"/>
              </w:rPr>
            </w:pPr>
          </w:p>
        </w:tc>
      </w:tr>
      <w:tr w14:paraId="23EF82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2070985">
            <w:pPr>
              <w:spacing w:line="360" w:lineRule="auto"/>
              <w:jc w:val="center"/>
              <w:rPr>
                <w:rFonts w:hint="eastAsia" w:ascii="宋体" w:hAnsi="宋体" w:cs="宋体"/>
                <w:color w:val="auto"/>
                <w:sz w:val="22"/>
                <w:highlight w:val="none"/>
              </w:rPr>
            </w:pPr>
          </w:p>
        </w:tc>
        <w:tc>
          <w:tcPr>
            <w:tcW w:w="958" w:type="dxa"/>
            <w:noWrap w:val="0"/>
            <w:vAlign w:val="center"/>
          </w:tcPr>
          <w:p w14:paraId="262CF7C5">
            <w:pPr>
              <w:spacing w:line="360" w:lineRule="auto"/>
              <w:jc w:val="center"/>
              <w:rPr>
                <w:rFonts w:hint="eastAsia" w:ascii="宋体" w:hAnsi="宋体" w:cs="宋体"/>
                <w:color w:val="auto"/>
                <w:sz w:val="22"/>
                <w:highlight w:val="none"/>
              </w:rPr>
            </w:pPr>
          </w:p>
        </w:tc>
        <w:tc>
          <w:tcPr>
            <w:tcW w:w="958" w:type="dxa"/>
            <w:noWrap w:val="0"/>
            <w:vAlign w:val="center"/>
          </w:tcPr>
          <w:p w14:paraId="449F9C47">
            <w:pPr>
              <w:spacing w:line="360" w:lineRule="auto"/>
              <w:jc w:val="center"/>
              <w:rPr>
                <w:rFonts w:hint="eastAsia" w:ascii="宋体" w:hAnsi="宋体" w:cs="宋体"/>
                <w:color w:val="auto"/>
                <w:sz w:val="22"/>
                <w:highlight w:val="none"/>
              </w:rPr>
            </w:pPr>
          </w:p>
        </w:tc>
        <w:tc>
          <w:tcPr>
            <w:tcW w:w="767" w:type="dxa"/>
            <w:noWrap w:val="0"/>
            <w:vAlign w:val="center"/>
          </w:tcPr>
          <w:p w14:paraId="47CEA704">
            <w:pPr>
              <w:spacing w:line="360" w:lineRule="auto"/>
              <w:jc w:val="center"/>
              <w:rPr>
                <w:rFonts w:hint="eastAsia" w:ascii="宋体" w:hAnsi="宋体" w:cs="宋体"/>
                <w:color w:val="auto"/>
                <w:sz w:val="22"/>
                <w:highlight w:val="none"/>
              </w:rPr>
            </w:pPr>
          </w:p>
        </w:tc>
        <w:tc>
          <w:tcPr>
            <w:tcW w:w="767" w:type="dxa"/>
            <w:noWrap w:val="0"/>
            <w:vAlign w:val="center"/>
          </w:tcPr>
          <w:p w14:paraId="0D7E47E9">
            <w:pPr>
              <w:spacing w:line="360" w:lineRule="auto"/>
              <w:jc w:val="center"/>
              <w:rPr>
                <w:rFonts w:hint="eastAsia" w:ascii="宋体" w:hAnsi="宋体" w:cs="宋体"/>
                <w:color w:val="auto"/>
                <w:sz w:val="22"/>
                <w:highlight w:val="none"/>
              </w:rPr>
            </w:pPr>
          </w:p>
        </w:tc>
        <w:tc>
          <w:tcPr>
            <w:tcW w:w="1340" w:type="dxa"/>
            <w:noWrap w:val="0"/>
            <w:vAlign w:val="center"/>
          </w:tcPr>
          <w:p w14:paraId="26471D0C">
            <w:pPr>
              <w:spacing w:line="360" w:lineRule="auto"/>
              <w:jc w:val="center"/>
              <w:rPr>
                <w:rFonts w:hint="eastAsia" w:ascii="宋体" w:hAnsi="宋体" w:cs="宋体"/>
                <w:color w:val="auto"/>
                <w:sz w:val="22"/>
                <w:highlight w:val="none"/>
              </w:rPr>
            </w:pPr>
          </w:p>
        </w:tc>
        <w:tc>
          <w:tcPr>
            <w:tcW w:w="1326" w:type="dxa"/>
            <w:noWrap w:val="0"/>
            <w:vAlign w:val="center"/>
          </w:tcPr>
          <w:p w14:paraId="797C7A49">
            <w:pPr>
              <w:spacing w:line="360" w:lineRule="auto"/>
              <w:jc w:val="center"/>
              <w:rPr>
                <w:rFonts w:hint="eastAsia" w:ascii="宋体" w:hAnsi="宋体" w:cs="宋体"/>
                <w:color w:val="auto"/>
                <w:sz w:val="22"/>
                <w:highlight w:val="none"/>
              </w:rPr>
            </w:pPr>
          </w:p>
        </w:tc>
        <w:tc>
          <w:tcPr>
            <w:tcW w:w="1825" w:type="dxa"/>
            <w:noWrap w:val="0"/>
            <w:vAlign w:val="top"/>
          </w:tcPr>
          <w:p w14:paraId="4E905C6F">
            <w:pPr>
              <w:spacing w:line="360" w:lineRule="auto"/>
              <w:jc w:val="center"/>
              <w:rPr>
                <w:rFonts w:hint="eastAsia" w:ascii="宋体" w:hAnsi="宋体" w:cs="宋体"/>
                <w:color w:val="auto"/>
                <w:sz w:val="22"/>
                <w:highlight w:val="none"/>
              </w:rPr>
            </w:pPr>
          </w:p>
        </w:tc>
        <w:tc>
          <w:tcPr>
            <w:tcW w:w="1147" w:type="dxa"/>
            <w:noWrap w:val="0"/>
            <w:vAlign w:val="center"/>
          </w:tcPr>
          <w:p w14:paraId="1F231DDA">
            <w:pPr>
              <w:spacing w:line="360" w:lineRule="auto"/>
              <w:jc w:val="center"/>
              <w:rPr>
                <w:rFonts w:hint="eastAsia" w:ascii="宋体" w:hAnsi="宋体" w:cs="宋体"/>
                <w:color w:val="auto"/>
                <w:sz w:val="22"/>
                <w:highlight w:val="none"/>
              </w:rPr>
            </w:pPr>
          </w:p>
        </w:tc>
      </w:tr>
      <w:tr w14:paraId="54F8E5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13534BC5">
            <w:pPr>
              <w:spacing w:line="360" w:lineRule="auto"/>
              <w:jc w:val="center"/>
              <w:rPr>
                <w:rFonts w:hint="eastAsia" w:ascii="宋体" w:hAnsi="宋体" w:cs="宋体"/>
                <w:color w:val="auto"/>
                <w:sz w:val="22"/>
                <w:highlight w:val="none"/>
              </w:rPr>
            </w:pPr>
          </w:p>
        </w:tc>
        <w:tc>
          <w:tcPr>
            <w:tcW w:w="958" w:type="dxa"/>
            <w:noWrap w:val="0"/>
            <w:vAlign w:val="center"/>
          </w:tcPr>
          <w:p w14:paraId="17FC1E88">
            <w:pPr>
              <w:spacing w:line="360" w:lineRule="auto"/>
              <w:jc w:val="center"/>
              <w:rPr>
                <w:rFonts w:hint="eastAsia" w:ascii="宋体" w:hAnsi="宋体" w:cs="宋体"/>
                <w:color w:val="auto"/>
                <w:sz w:val="22"/>
                <w:highlight w:val="none"/>
              </w:rPr>
            </w:pPr>
          </w:p>
        </w:tc>
        <w:tc>
          <w:tcPr>
            <w:tcW w:w="958" w:type="dxa"/>
            <w:noWrap w:val="0"/>
            <w:vAlign w:val="center"/>
          </w:tcPr>
          <w:p w14:paraId="54E5E222">
            <w:pPr>
              <w:spacing w:line="360" w:lineRule="auto"/>
              <w:jc w:val="center"/>
              <w:rPr>
                <w:rFonts w:hint="eastAsia" w:ascii="宋体" w:hAnsi="宋体" w:cs="宋体"/>
                <w:color w:val="auto"/>
                <w:sz w:val="22"/>
                <w:highlight w:val="none"/>
              </w:rPr>
            </w:pPr>
          </w:p>
        </w:tc>
        <w:tc>
          <w:tcPr>
            <w:tcW w:w="767" w:type="dxa"/>
            <w:noWrap w:val="0"/>
            <w:vAlign w:val="center"/>
          </w:tcPr>
          <w:p w14:paraId="2886E976">
            <w:pPr>
              <w:spacing w:line="360" w:lineRule="auto"/>
              <w:jc w:val="center"/>
              <w:rPr>
                <w:rFonts w:hint="eastAsia" w:ascii="宋体" w:hAnsi="宋体" w:cs="宋体"/>
                <w:color w:val="auto"/>
                <w:sz w:val="22"/>
                <w:highlight w:val="none"/>
              </w:rPr>
            </w:pPr>
          </w:p>
        </w:tc>
        <w:tc>
          <w:tcPr>
            <w:tcW w:w="767" w:type="dxa"/>
            <w:noWrap w:val="0"/>
            <w:vAlign w:val="center"/>
          </w:tcPr>
          <w:p w14:paraId="17DDE4E4">
            <w:pPr>
              <w:spacing w:line="360" w:lineRule="auto"/>
              <w:jc w:val="center"/>
              <w:rPr>
                <w:rFonts w:hint="eastAsia" w:ascii="宋体" w:hAnsi="宋体" w:cs="宋体"/>
                <w:color w:val="auto"/>
                <w:sz w:val="22"/>
                <w:highlight w:val="none"/>
              </w:rPr>
            </w:pPr>
          </w:p>
        </w:tc>
        <w:tc>
          <w:tcPr>
            <w:tcW w:w="1340" w:type="dxa"/>
            <w:noWrap w:val="0"/>
            <w:vAlign w:val="center"/>
          </w:tcPr>
          <w:p w14:paraId="2CD89A68">
            <w:pPr>
              <w:spacing w:line="360" w:lineRule="auto"/>
              <w:jc w:val="center"/>
              <w:rPr>
                <w:rFonts w:hint="eastAsia" w:ascii="宋体" w:hAnsi="宋体" w:cs="宋体"/>
                <w:color w:val="auto"/>
                <w:sz w:val="22"/>
                <w:highlight w:val="none"/>
              </w:rPr>
            </w:pPr>
          </w:p>
        </w:tc>
        <w:tc>
          <w:tcPr>
            <w:tcW w:w="1326" w:type="dxa"/>
            <w:noWrap w:val="0"/>
            <w:vAlign w:val="center"/>
          </w:tcPr>
          <w:p w14:paraId="339A8901">
            <w:pPr>
              <w:spacing w:line="360" w:lineRule="auto"/>
              <w:jc w:val="center"/>
              <w:rPr>
                <w:rFonts w:hint="eastAsia" w:ascii="宋体" w:hAnsi="宋体" w:cs="宋体"/>
                <w:color w:val="auto"/>
                <w:sz w:val="22"/>
                <w:highlight w:val="none"/>
              </w:rPr>
            </w:pPr>
          </w:p>
        </w:tc>
        <w:tc>
          <w:tcPr>
            <w:tcW w:w="1825" w:type="dxa"/>
            <w:noWrap w:val="0"/>
            <w:vAlign w:val="top"/>
          </w:tcPr>
          <w:p w14:paraId="5833A246">
            <w:pPr>
              <w:spacing w:line="360" w:lineRule="auto"/>
              <w:jc w:val="center"/>
              <w:rPr>
                <w:rFonts w:hint="eastAsia" w:ascii="宋体" w:hAnsi="宋体" w:cs="宋体"/>
                <w:color w:val="auto"/>
                <w:sz w:val="22"/>
                <w:highlight w:val="none"/>
              </w:rPr>
            </w:pPr>
          </w:p>
        </w:tc>
        <w:tc>
          <w:tcPr>
            <w:tcW w:w="1147" w:type="dxa"/>
            <w:noWrap w:val="0"/>
            <w:vAlign w:val="center"/>
          </w:tcPr>
          <w:p w14:paraId="3A1F7404">
            <w:pPr>
              <w:spacing w:line="360" w:lineRule="auto"/>
              <w:jc w:val="center"/>
              <w:rPr>
                <w:rFonts w:hint="eastAsia" w:ascii="宋体" w:hAnsi="宋体" w:cs="宋体"/>
                <w:color w:val="auto"/>
                <w:sz w:val="22"/>
                <w:highlight w:val="none"/>
              </w:rPr>
            </w:pPr>
          </w:p>
        </w:tc>
      </w:tr>
      <w:tr w14:paraId="4811EF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B5B91EA">
            <w:pPr>
              <w:spacing w:line="360" w:lineRule="auto"/>
              <w:jc w:val="center"/>
              <w:rPr>
                <w:rFonts w:hint="eastAsia" w:ascii="宋体" w:hAnsi="宋体" w:cs="宋体"/>
                <w:color w:val="auto"/>
                <w:sz w:val="22"/>
                <w:highlight w:val="none"/>
              </w:rPr>
            </w:pPr>
          </w:p>
        </w:tc>
        <w:tc>
          <w:tcPr>
            <w:tcW w:w="958" w:type="dxa"/>
            <w:noWrap w:val="0"/>
            <w:vAlign w:val="center"/>
          </w:tcPr>
          <w:p w14:paraId="648B1138">
            <w:pPr>
              <w:spacing w:line="360" w:lineRule="auto"/>
              <w:jc w:val="center"/>
              <w:rPr>
                <w:rFonts w:hint="eastAsia" w:ascii="宋体" w:hAnsi="宋体" w:cs="宋体"/>
                <w:color w:val="auto"/>
                <w:sz w:val="22"/>
                <w:highlight w:val="none"/>
              </w:rPr>
            </w:pPr>
          </w:p>
        </w:tc>
        <w:tc>
          <w:tcPr>
            <w:tcW w:w="958" w:type="dxa"/>
            <w:noWrap w:val="0"/>
            <w:vAlign w:val="center"/>
          </w:tcPr>
          <w:p w14:paraId="15CEF14D">
            <w:pPr>
              <w:spacing w:line="360" w:lineRule="auto"/>
              <w:jc w:val="center"/>
              <w:rPr>
                <w:rFonts w:hint="eastAsia" w:ascii="宋体" w:hAnsi="宋体" w:cs="宋体"/>
                <w:color w:val="auto"/>
                <w:sz w:val="22"/>
                <w:highlight w:val="none"/>
              </w:rPr>
            </w:pPr>
          </w:p>
        </w:tc>
        <w:tc>
          <w:tcPr>
            <w:tcW w:w="767" w:type="dxa"/>
            <w:noWrap w:val="0"/>
            <w:vAlign w:val="center"/>
          </w:tcPr>
          <w:p w14:paraId="27770020">
            <w:pPr>
              <w:spacing w:line="360" w:lineRule="auto"/>
              <w:jc w:val="center"/>
              <w:rPr>
                <w:rFonts w:hint="eastAsia" w:ascii="宋体" w:hAnsi="宋体" w:cs="宋体"/>
                <w:color w:val="auto"/>
                <w:sz w:val="22"/>
                <w:highlight w:val="none"/>
              </w:rPr>
            </w:pPr>
          </w:p>
        </w:tc>
        <w:tc>
          <w:tcPr>
            <w:tcW w:w="767" w:type="dxa"/>
            <w:noWrap w:val="0"/>
            <w:vAlign w:val="center"/>
          </w:tcPr>
          <w:p w14:paraId="76521F56">
            <w:pPr>
              <w:spacing w:line="360" w:lineRule="auto"/>
              <w:jc w:val="center"/>
              <w:rPr>
                <w:rFonts w:hint="eastAsia" w:ascii="宋体" w:hAnsi="宋体" w:cs="宋体"/>
                <w:color w:val="auto"/>
                <w:sz w:val="22"/>
                <w:highlight w:val="none"/>
              </w:rPr>
            </w:pPr>
          </w:p>
        </w:tc>
        <w:tc>
          <w:tcPr>
            <w:tcW w:w="1340" w:type="dxa"/>
            <w:noWrap w:val="0"/>
            <w:vAlign w:val="center"/>
          </w:tcPr>
          <w:p w14:paraId="2F6AFD02">
            <w:pPr>
              <w:spacing w:line="360" w:lineRule="auto"/>
              <w:jc w:val="center"/>
              <w:rPr>
                <w:rFonts w:hint="eastAsia" w:ascii="宋体" w:hAnsi="宋体" w:cs="宋体"/>
                <w:color w:val="auto"/>
                <w:sz w:val="22"/>
                <w:highlight w:val="none"/>
              </w:rPr>
            </w:pPr>
          </w:p>
        </w:tc>
        <w:tc>
          <w:tcPr>
            <w:tcW w:w="1326" w:type="dxa"/>
            <w:noWrap w:val="0"/>
            <w:vAlign w:val="center"/>
          </w:tcPr>
          <w:p w14:paraId="3C3350A7">
            <w:pPr>
              <w:spacing w:line="360" w:lineRule="auto"/>
              <w:jc w:val="center"/>
              <w:rPr>
                <w:rFonts w:hint="eastAsia" w:ascii="宋体" w:hAnsi="宋体" w:cs="宋体"/>
                <w:color w:val="auto"/>
                <w:sz w:val="22"/>
                <w:highlight w:val="none"/>
              </w:rPr>
            </w:pPr>
          </w:p>
        </w:tc>
        <w:tc>
          <w:tcPr>
            <w:tcW w:w="1825" w:type="dxa"/>
            <w:noWrap w:val="0"/>
            <w:vAlign w:val="top"/>
          </w:tcPr>
          <w:p w14:paraId="09A44E59">
            <w:pPr>
              <w:spacing w:line="360" w:lineRule="auto"/>
              <w:jc w:val="center"/>
              <w:rPr>
                <w:rFonts w:hint="eastAsia" w:ascii="宋体" w:hAnsi="宋体" w:cs="宋体"/>
                <w:color w:val="auto"/>
                <w:sz w:val="22"/>
                <w:highlight w:val="none"/>
              </w:rPr>
            </w:pPr>
          </w:p>
        </w:tc>
        <w:tc>
          <w:tcPr>
            <w:tcW w:w="1147" w:type="dxa"/>
            <w:noWrap w:val="0"/>
            <w:vAlign w:val="center"/>
          </w:tcPr>
          <w:p w14:paraId="21862FC8">
            <w:pPr>
              <w:spacing w:line="360" w:lineRule="auto"/>
              <w:jc w:val="center"/>
              <w:rPr>
                <w:rFonts w:hint="eastAsia" w:ascii="宋体" w:hAnsi="宋体" w:cs="宋体"/>
                <w:color w:val="auto"/>
                <w:sz w:val="22"/>
                <w:highlight w:val="none"/>
              </w:rPr>
            </w:pPr>
          </w:p>
        </w:tc>
      </w:tr>
      <w:tr w14:paraId="61A07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83437BA">
            <w:pPr>
              <w:spacing w:line="360" w:lineRule="auto"/>
              <w:jc w:val="center"/>
              <w:rPr>
                <w:rFonts w:hint="eastAsia" w:ascii="宋体" w:hAnsi="宋体" w:cs="宋体"/>
                <w:color w:val="auto"/>
                <w:sz w:val="22"/>
                <w:highlight w:val="none"/>
              </w:rPr>
            </w:pPr>
          </w:p>
        </w:tc>
        <w:tc>
          <w:tcPr>
            <w:tcW w:w="958" w:type="dxa"/>
            <w:noWrap w:val="0"/>
            <w:vAlign w:val="center"/>
          </w:tcPr>
          <w:p w14:paraId="0D92F287">
            <w:pPr>
              <w:spacing w:line="360" w:lineRule="auto"/>
              <w:jc w:val="center"/>
              <w:rPr>
                <w:rFonts w:hint="eastAsia" w:ascii="宋体" w:hAnsi="宋体" w:cs="宋体"/>
                <w:color w:val="auto"/>
                <w:sz w:val="22"/>
                <w:highlight w:val="none"/>
              </w:rPr>
            </w:pPr>
          </w:p>
        </w:tc>
        <w:tc>
          <w:tcPr>
            <w:tcW w:w="958" w:type="dxa"/>
            <w:noWrap w:val="0"/>
            <w:vAlign w:val="center"/>
          </w:tcPr>
          <w:p w14:paraId="0F2DC1DB">
            <w:pPr>
              <w:spacing w:line="360" w:lineRule="auto"/>
              <w:jc w:val="center"/>
              <w:rPr>
                <w:rFonts w:hint="eastAsia" w:ascii="宋体" w:hAnsi="宋体" w:cs="宋体"/>
                <w:color w:val="auto"/>
                <w:sz w:val="22"/>
                <w:highlight w:val="none"/>
              </w:rPr>
            </w:pPr>
          </w:p>
        </w:tc>
        <w:tc>
          <w:tcPr>
            <w:tcW w:w="767" w:type="dxa"/>
            <w:noWrap w:val="0"/>
            <w:vAlign w:val="center"/>
          </w:tcPr>
          <w:p w14:paraId="106808CB">
            <w:pPr>
              <w:spacing w:line="360" w:lineRule="auto"/>
              <w:jc w:val="center"/>
              <w:rPr>
                <w:rFonts w:hint="eastAsia" w:ascii="宋体" w:hAnsi="宋体" w:cs="宋体"/>
                <w:color w:val="auto"/>
                <w:sz w:val="22"/>
                <w:highlight w:val="none"/>
              </w:rPr>
            </w:pPr>
          </w:p>
        </w:tc>
        <w:tc>
          <w:tcPr>
            <w:tcW w:w="767" w:type="dxa"/>
            <w:noWrap w:val="0"/>
            <w:vAlign w:val="center"/>
          </w:tcPr>
          <w:p w14:paraId="6843F2DD">
            <w:pPr>
              <w:spacing w:line="360" w:lineRule="auto"/>
              <w:jc w:val="center"/>
              <w:rPr>
                <w:rFonts w:hint="eastAsia" w:ascii="宋体" w:hAnsi="宋体" w:cs="宋体"/>
                <w:color w:val="auto"/>
                <w:sz w:val="22"/>
                <w:highlight w:val="none"/>
              </w:rPr>
            </w:pPr>
          </w:p>
        </w:tc>
        <w:tc>
          <w:tcPr>
            <w:tcW w:w="1340" w:type="dxa"/>
            <w:noWrap w:val="0"/>
            <w:vAlign w:val="center"/>
          </w:tcPr>
          <w:p w14:paraId="0F62453E">
            <w:pPr>
              <w:spacing w:line="360" w:lineRule="auto"/>
              <w:jc w:val="center"/>
              <w:rPr>
                <w:rFonts w:hint="eastAsia" w:ascii="宋体" w:hAnsi="宋体" w:cs="宋体"/>
                <w:color w:val="auto"/>
                <w:sz w:val="22"/>
                <w:highlight w:val="none"/>
              </w:rPr>
            </w:pPr>
          </w:p>
        </w:tc>
        <w:tc>
          <w:tcPr>
            <w:tcW w:w="1326" w:type="dxa"/>
            <w:noWrap w:val="0"/>
            <w:vAlign w:val="center"/>
          </w:tcPr>
          <w:p w14:paraId="01462CF7">
            <w:pPr>
              <w:spacing w:line="360" w:lineRule="auto"/>
              <w:jc w:val="center"/>
              <w:rPr>
                <w:rFonts w:hint="eastAsia" w:ascii="宋体" w:hAnsi="宋体" w:cs="宋体"/>
                <w:color w:val="auto"/>
                <w:sz w:val="22"/>
                <w:highlight w:val="none"/>
              </w:rPr>
            </w:pPr>
          </w:p>
        </w:tc>
        <w:tc>
          <w:tcPr>
            <w:tcW w:w="1825" w:type="dxa"/>
            <w:noWrap w:val="0"/>
            <w:vAlign w:val="top"/>
          </w:tcPr>
          <w:p w14:paraId="1CF57AE9">
            <w:pPr>
              <w:spacing w:line="360" w:lineRule="auto"/>
              <w:jc w:val="center"/>
              <w:rPr>
                <w:rFonts w:hint="eastAsia" w:ascii="宋体" w:hAnsi="宋体" w:cs="宋体"/>
                <w:color w:val="auto"/>
                <w:sz w:val="22"/>
                <w:highlight w:val="none"/>
              </w:rPr>
            </w:pPr>
          </w:p>
        </w:tc>
        <w:tc>
          <w:tcPr>
            <w:tcW w:w="1147" w:type="dxa"/>
            <w:noWrap w:val="0"/>
            <w:vAlign w:val="center"/>
          </w:tcPr>
          <w:p w14:paraId="15DCF10F">
            <w:pPr>
              <w:spacing w:line="360" w:lineRule="auto"/>
              <w:jc w:val="center"/>
              <w:rPr>
                <w:rFonts w:hint="eastAsia" w:ascii="宋体" w:hAnsi="宋体" w:cs="宋体"/>
                <w:color w:val="auto"/>
                <w:sz w:val="22"/>
                <w:highlight w:val="none"/>
              </w:rPr>
            </w:pPr>
          </w:p>
        </w:tc>
      </w:tr>
    </w:tbl>
    <w:p w14:paraId="5656C96D">
      <w:pPr>
        <w:spacing w:line="38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注：</w:t>
      </w:r>
    </w:p>
    <w:p w14:paraId="34073CA2">
      <w:pPr>
        <w:spacing w:line="38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本表中提供的人员名单应与实际投入项目的人员一致，如有变更应事先与采购人沟通，经采购人同意后才可变更人员，供应商不可擅自变更人员，此人员不包括项目负责人。</w:t>
      </w:r>
    </w:p>
    <w:p w14:paraId="5F4C3EB1">
      <w:pPr>
        <w:spacing w:line="380" w:lineRule="exact"/>
        <w:ind w:firstLine="4400" w:firstLineChars="2000"/>
        <w:rPr>
          <w:rFonts w:hint="eastAsia" w:ascii="宋体" w:hAnsi="宋体" w:cs="宋体"/>
          <w:color w:val="auto"/>
          <w:sz w:val="22"/>
          <w:szCs w:val="22"/>
          <w:highlight w:val="none"/>
        </w:rPr>
      </w:pPr>
    </w:p>
    <w:p w14:paraId="79AB49BD">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7AACBF72">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法定代表人（负责人）或授权代表（签字或盖章）：</w:t>
      </w:r>
    </w:p>
    <w:p w14:paraId="198A3C83">
      <w:pPr>
        <w:spacing w:line="380" w:lineRule="exact"/>
        <w:ind w:firstLine="4400" w:firstLineChars="2000"/>
        <w:rPr>
          <w:rFonts w:hint="eastAsia" w:ascii="宋体" w:hAnsi="宋体" w:cs="宋体"/>
          <w:color w:val="auto"/>
          <w:sz w:val="22"/>
          <w:highlight w:val="none"/>
        </w:rPr>
      </w:pPr>
      <w:r>
        <w:rPr>
          <w:rFonts w:hint="eastAsia" w:ascii="宋体" w:hAnsi="宋体" w:cs="宋体"/>
          <w:color w:val="auto"/>
          <w:sz w:val="22"/>
          <w:szCs w:val="22"/>
          <w:highlight w:val="none"/>
        </w:rPr>
        <w:t xml:space="preserve">日期：  年   月  日 </w:t>
      </w:r>
      <w:r>
        <w:rPr>
          <w:rFonts w:hint="eastAsia" w:ascii="宋体" w:hAnsi="宋体" w:cs="宋体"/>
          <w:color w:val="auto"/>
          <w:sz w:val="24"/>
          <w:highlight w:val="none"/>
        </w:rPr>
        <w:t xml:space="preserve"> </w:t>
      </w:r>
    </w:p>
    <w:p w14:paraId="20A99875">
      <w:pPr>
        <w:spacing w:line="380" w:lineRule="exact"/>
        <w:ind w:firstLine="4515" w:firstLineChars="2150"/>
        <w:rPr>
          <w:rFonts w:hint="eastAsia" w:ascii="宋体" w:hAnsi="宋体" w:cs="宋体"/>
          <w:color w:val="auto"/>
          <w:highlight w:val="none"/>
        </w:rPr>
      </w:pPr>
    </w:p>
    <w:p w14:paraId="6F324407">
      <w:pPr>
        <w:spacing w:line="380" w:lineRule="exact"/>
        <w:rPr>
          <w:rFonts w:hint="eastAsia" w:ascii="宋体" w:hAnsi="宋体" w:eastAsia="宋体" w:cs="宋体"/>
          <w:color w:val="auto"/>
          <w:sz w:val="22"/>
          <w:highlight w:val="none"/>
          <w:lang w:eastAsia="zh-CN"/>
        </w:rPr>
      </w:pPr>
      <w:r>
        <w:rPr>
          <w:rFonts w:hint="eastAsia" w:ascii="宋体" w:hAnsi="宋体" w:cs="宋体"/>
          <w:color w:val="auto"/>
          <w:sz w:val="24"/>
          <w:highlight w:val="none"/>
        </w:rPr>
        <w:br w:type="page"/>
      </w:r>
      <w:r>
        <w:rPr>
          <w:rFonts w:hint="eastAsia" w:ascii="宋体" w:hAnsi="宋体" w:cs="宋体"/>
          <w:b/>
          <w:color w:val="auto"/>
          <w:sz w:val="22"/>
          <w:szCs w:val="22"/>
          <w:highlight w:val="none"/>
        </w:rPr>
        <w:t>附件</w:t>
      </w:r>
      <w:r>
        <w:rPr>
          <w:rFonts w:hint="eastAsia" w:ascii="宋体" w:hAnsi="宋体" w:cs="宋体"/>
          <w:b/>
          <w:color w:val="auto"/>
          <w:sz w:val="22"/>
          <w:szCs w:val="22"/>
          <w:highlight w:val="none"/>
          <w:lang w:val="en-US" w:eastAsia="zh-CN"/>
        </w:rPr>
        <w:t>七</w:t>
      </w:r>
    </w:p>
    <w:p w14:paraId="44338B9F">
      <w:pPr>
        <w:jc w:val="center"/>
        <w:rPr>
          <w:rFonts w:hint="eastAsia" w:ascii="宋体" w:hAnsi="宋体" w:cs="宋体"/>
          <w:b/>
          <w:color w:val="auto"/>
          <w:spacing w:val="6"/>
          <w:sz w:val="22"/>
          <w:szCs w:val="22"/>
          <w:highlight w:val="none"/>
        </w:rPr>
      </w:pPr>
    </w:p>
    <w:p w14:paraId="6FD7220E">
      <w:pPr>
        <w:jc w:val="center"/>
        <w:rPr>
          <w:rFonts w:hint="eastAsia" w:ascii="宋体" w:hAnsi="宋体" w:cs="宋体"/>
          <w:b/>
          <w:color w:val="auto"/>
          <w:spacing w:val="6"/>
          <w:sz w:val="22"/>
          <w:szCs w:val="22"/>
          <w:highlight w:val="none"/>
        </w:rPr>
      </w:pPr>
    </w:p>
    <w:p w14:paraId="460B5DD2">
      <w:pPr>
        <w:jc w:val="center"/>
        <w:rPr>
          <w:rFonts w:hint="eastAsia" w:ascii="宋体" w:hAnsi="宋体" w:cs="宋体"/>
          <w:b/>
          <w:color w:val="auto"/>
          <w:spacing w:val="6"/>
          <w:sz w:val="22"/>
          <w:szCs w:val="22"/>
          <w:highlight w:val="none"/>
        </w:rPr>
      </w:pPr>
      <w:r>
        <w:rPr>
          <w:rFonts w:hint="eastAsia" w:ascii="宋体" w:hAnsi="宋体" w:cs="宋体"/>
          <w:b/>
          <w:color w:val="auto"/>
          <w:spacing w:val="6"/>
          <w:sz w:val="22"/>
          <w:szCs w:val="22"/>
          <w:highlight w:val="none"/>
        </w:rPr>
        <w:t>新一轮报价函</w:t>
      </w:r>
    </w:p>
    <w:p w14:paraId="0364E998">
      <w:pPr>
        <w:pStyle w:val="27"/>
        <w:ind w:firstLine="210"/>
        <w:rPr>
          <w:rFonts w:hint="eastAsia" w:ascii="宋体" w:hAnsi="宋体" w:cs="宋体"/>
          <w:color w:val="auto"/>
          <w:highlight w:val="none"/>
        </w:rPr>
      </w:pPr>
    </w:p>
    <w:p w14:paraId="2F939B1D">
      <w:pPr>
        <w:spacing w:line="360" w:lineRule="auto"/>
        <w:ind w:firstLine="420"/>
        <w:rPr>
          <w:rFonts w:hint="eastAsia" w:ascii="宋体" w:hAnsi="宋体" w:cs="宋体"/>
          <w:color w:val="auto"/>
          <w:sz w:val="22"/>
          <w:szCs w:val="22"/>
          <w:highlight w:val="none"/>
        </w:rPr>
      </w:pPr>
    </w:p>
    <w:p w14:paraId="4A695A0A">
      <w:pPr>
        <w:pStyle w:val="809"/>
        <w:widowControl w:val="0"/>
        <w:snapToGrid w:val="0"/>
        <w:spacing w:line="360" w:lineRule="auto"/>
        <w:jc w:val="both"/>
        <w:rPr>
          <w:rFonts w:hAnsi="宋体" w:cs="宋体"/>
          <w:b/>
          <w:color w:val="auto"/>
          <w:spacing w:val="6"/>
          <w:sz w:val="22"/>
          <w:szCs w:val="22"/>
          <w:highlight w:val="none"/>
          <w:u w:val="single"/>
        </w:rPr>
      </w:pPr>
      <w:r>
        <w:rPr>
          <w:rFonts w:hAnsi="宋体" w:cs="宋体"/>
          <w:b/>
          <w:color w:val="auto"/>
          <w:spacing w:val="6"/>
          <w:sz w:val="22"/>
          <w:szCs w:val="22"/>
          <w:highlight w:val="none"/>
          <w:u w:val="single"/>
        </w:rPr>
        <w:t>温州市鹿城区藤桥镇人民政府</w:t>
      </w:r>
      <w:r>
        <w:rPr>
          <w:rFonts w:hAnsi="宋体" w:cs="宋体"/>
          <w:b/>
          <w:color w:val="auto"/>
          <w:spacing w:val="6"/>
          <w:sz w:val="22"/>
          <w:szCs w:val="22"/>
          <w:highlight w:val="none"/>
        </w:rPr>
        <w:t>：</w:t>
      </w:r>
    </w:p>
    <w:p w14:paraId="7F6D64AA">
      <w:pPr>
        <w:pStyle w:val="809"/>
        <w:widowControl w:val="0"/>
        <w:snapToGrid w:val="0"/>
        <w:spacing w:line="360" w:lineRule="auto"/>
        <w:jc w:val="both"/>
        <w:rPr>
          <w:rFonts w:hAnsi="宋体" w:cs="宋体"/>
          <w:b/>
          <w:color w:val="auto"/>
          <w:spacing w:val="6"/>
          <w:sz w:val="22"/>
          <w:szCs w:val="22"/>
          <w:highlight w:val="none"/>
          <w:u w:val="single"/>
        </w:rPr>
      </w:pPr>
      <w:r>
        <w:rPr>
          <w:rFonts w:hAnsi="宋体" w:cs="宋体"/>
          <w:b/>
          <w:color w:val="auto"/>
          <w:spacing w:val="6"/>
          <w:sz w:val="22"/>
          <w:szCs w:val="22"/>
          <w:highlight w:val="none"/>
          <w:u w:val="single"/>
        </w:rPr>
        <w:t>浙江省房地产管理咨询有限公司</w:t>
      </w:r>
      <w:r>
        <w:rPr>
          <w:rFonts w:hAnsi="宋体" w:cs="宋体"/>
          <w:b/>
          <w:color w:val="auto"/>
          <w:kern w:val="0"/>
          <w:sz w:val="22"/>
          <w:szCs w:val="22"/>
          <w:highlight w:val="none"/>
        </w:rPr>
        <w:t>：</w:t>
      </w:r>
    </w:p>
    <w:p w14:paraId="66F787D8">
      <w:pPr>
        <w:spacing w:line="440" w:lineRule="exact"/>
        <w:ind w:firstLine="420"/>
        <w:rPr>
          <w:rFonts w:hint="eastAsia" w:ascii="宋体" w:hAnsi="宋体" w:cs="宋体"/>
          <w:color w:val="auto"/>
          <w:sz w:val="22"/>
          <w:szCs w:val="22"/>
          <w:highlight w:val="none"/>
        </w:rPr>
      </w:pPr>
    </w:p>
    <w:p w14:paraId="029B5940">
      <w:pPr>
        <w:spacing w:line="440" w:lineRule="exact"/>
        <w:ind w:firstLine="420"/>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我公司已在政采云系统上收到新一轮的报价通知，经我公司认真慎重研究后决定在保证符合单一来源采购文件要求和报价范围以及履行报价文件所有承诺的前提下，接受谈判小组本轮报价的邀请并对各项谈判结果做出承诺，此次</w:t>
      </w:r>
      <w:r>
        <w:rPr>
          <w:rFonts w:hint="eastAsia" w:ascii="宋体" w:hAnsi="宋体" w:cs="宋体"/>
          <w:color w:val="auto"/>
          <w:spacing w:val="6"/>
          <w:sz w:val="22"/>
          <w:szCs w:val="22"/>
          <w:highlight w:val="none"/>
          <w:u w:val="single"/>
          <w:lang w:eastAsia="zh-CN"/>
        </w:rPr>
        <w:t>2025年-2026年鹿城区藤桥镇山区农村饮用水县级统管项目</w:t>
      </w:r>
      <w:r>
        <w:rPr>
          <w:rFonts w:hint="eastAsia" w:ascii="宋体" w:hAnsi="宋体" w:cs="宋体"/>
          <w:color w:val="auto"/>
          <w:sz w:val="22"/>
          <w:szCs w:val="22"/>
          <w:highlight w:val="none"/>
        </w:rPr>
        <w:t>项目的本轮报价为：</w:t>
      </w:r>
    </w:p>
    <w:p w14:paraId="4F950311">
      <w:pPr>
        <w:spacing w:line="440" w:lineRule="exact"/>
        <w:ind w:firstLine="697" w:firstLineChars="317"/>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(小写) ¥</w:t>
      </w:r>
      <w:r>
        <w:rPr>
          <w:rFonts w:hint="eastAsia" w:ascii="宋体" w:hAnsi="宋体" w:cs="宋体"/>
          <w:color w:val="auto"/>
          <w:sz w:val="22"/>
          <w:szCs w:val="22"/>
          <w:highlight w:val="none"/>
          <w:u w:val="single"/>
        </w:rPr>
        <w:t xml:space="preserve">                         </w:t>
      </w:r>
    </w:p>
    <w:p w14:paraId="35514651">
      <w:pPr>
        <w:spacing w:line="440" w:lineRule="exact"/>
        <w:ind w:firstLine="697" w:firstLineChars="317"/>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（大写）人民币</w:t>
      </w:r>
      <w:r>
        <w:rPr>
          <w:rFonts w:hint="eastAsia" w:ascii="宋体" w:hAnsi="宋体" w:cs="宋体"/>
          <w:color w:val="auto"/>
          <w:sz w:val="22"/>
          <w:szCs w:val="22"/>
          <w:highlight w:val="none"/>
          <w:u w:val="single"/>
        </w:rPr>
        <w:t xml:space="preserve">                    </w:t>
      </w:r>
    </w:p>
    <w:p w14:paraId="57E37B71">
      <w:pPr>
        <w:spacing w:line="440" w:lineRule="exact"/>
        <w:ind w:firstLine="697" w:firstLineChars="317"/>
        <w:rPr>
          <w:rFonts w:hint="eastAsia" w:ascii="宋体" w:hAnsi="宋体" w:cs="宋体"/>
          <w:color w:val="auto"/>
          <w:sz w:val="22"/>
          <w:szCs w:val="22"/>
          <w:highlight w:val="none"/>
          <w:u w:val="single"/>
        </w:rPr>
      </w:pPr>
    </w:p>
    <w:p w14:paraId="2756C1C3">
      <w:pPr>
        <w:spacing w:line="440" w:lineRule="exact"/>
        <w:ind w:firstLine="697" w:firstLineChars="317"/>
        <w:rPr>
          <w:rFonts w:hint="eastAsia" w:ascii="宋体" w:hAnsi="宋体" w:cs="宋体"/>
          <w:color w:val="auto"/>
          <w:sz w:val="22"/>
          <w:szCs w:val="22"/>
          <w:highlight w:val="none"/>
        </w:rPr>
      </w:pPr>
    </w:p>
    <w:p w14:paraId="6215A7DD">
      <w:pPr>
        <w:spacing w:line="440" w:lineRule="exact"/>
        <w:ind w:firstLine="552" w:firstLineChars="25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若成交，</w:t>
      </w:r>
      <w:r>
        <w:rPr>
          <w:rFonts w:hint="eastAsia" w:ascii="宋体" w:hAnsi="宋体" w:cs="宋体"/>
          <w:b/>
          <w:color w:val="auto"/>
          <w:sz w:val="22"/>
          <w:szCs w:val="22"/>
          <w:highlight w:val="none"/>
          <w:u w:val="single"/>
          <w:lang w:val="zh-CN"/>
        </w:rPr>
        <w:t>分项报价表</w:t>
      </w:r>
      <w:r>
        <w:rPr>
          <w:rFonts w:hint="eastAsia" w:ascii="宋体" w:hAnsi="宋体" w:cs="宋体"/>
          <w:b/>
          <w:color w:val="auto"/>
          <w:sz w:val="22"/>
          <w:szCs w:val="22"/>
          <w:highlight w:val="none"/>
          <w:u w:val="single"/>
        </w:rPr>
        <w:t>同比例调整。</w:t>
      </w:r>
    </w:p>
    <w:p w14:paraId="0DCA3272">
      <w:pPr>
        <w:spacing w:line="440" w:lineRule="exact"/>
        <w:ind w:firstLine="2904" w:firstLineChars="1320"/>
        <w:rPr>
          <w:rFonts w:hint="eastAsia" w:ascii="宋体" w:hAnsi="宋体" w:cs="宋体"/>
          <w:color w:val="auto"/>
          <w:sz w:val="22"/>
          <w:szCs w:val="22"/>
          <w:highlight w:val="none"/>
        </w:rPr>
      </w:pPr>
    </w:p>
    <w:p w14:paraId="616575EE">
      <w:pPr>
        <w:spacing w:line="440" w:lineRule="exact"/>
        <w:ind w:firstLine="2904" w:firstLineChars="1320"/>
        <w:rPr>
          <w:rFonts w:hint="eastAsia" w:ascii="宋体" w:hAnsi="宋体" w:cs="宋体"/>
          <w:color w:val="auto"/>
          <w:sz w:val="22"/>
          <w:szCs w:val="22"/>
          <w:highlight w:val="none"/>
        </w:rPr>
      </w:pPr>
      <w:r>
        <w:rPr>
          <w:rFonts w:hint="eastAsia" w:ascii="宋体" w:hAnsi="宋体" w:cs="宋体"/>
          <w:color w:val="auto"/>
          <w:sz w:val="22"/>
          <w:szCs w:val="22"/>
          <w:highlight w:val="none"/>
        </w:rPr>
        <w:t>谈判供应商：</w:t>
      </w:r>
    </w:p>
    <w:p w14:paraId="53880049">
      <w:pPr>
        <w:spacing w:line="440" w:lineRule="exact"/>
        <w:ind w:firstLine="2904" w:firstLineChars="132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法定代表人（负责人）或授权代表签字：</w:t>
      </w:r>
    </w:p>
    <w:p w14:paraId="63C285F2">
      <w:pPr>
        <w:spacing w:line="440" w:lineRule="exact"/>
        <w:ind w:firstLine="2904" w:firstLineChars="1320"/>
        <w:rPr>
          <w:rFonts w:hint="eastAsia" w:ascii="宋体" w:hAnsi="宋体" w:cs="宋体"/>
          <w:color w:val="auto"/>
          <w:sz w:val="22"/>
          <w:szCs w:val="22"/>
          <w:highlight w:val="none"/>
        </w:rPr>
      </w:pPr>
      <w:r>
        <w:rPr>
          <w:rFonts w:hint="eastAsia" w:ascii="宋体" w:hAnsi="宋体" w:cs="宋体"/>
          <w:color w:val="auto"/>
          <w:sz w:val="22"/>
          <w:szCs w:val="22"/>
          <w:highlight w:val="none"/>
        </w:rPr>
        <w:t>日期：    年   月   日</w:t>
      </w:r>
    </w:p>
    <w:p w14:paraId="012B9156">
      <w:pPr>
        <w:spacing w:line="440" w:lineRule="exact"/>
        <w:ind w:firstLine="2904" w:firstLineChars="1320"/>
        <w:rPr>
          <w:rFonts w:hint="eastAsia" w:ascii="宋体" w:hAnsi="宋体" w:cs="宋体"/>
          <w:color w:val="auto"/>
          <w:sz w:val="22"/>
          <w:szCs w:val="22"/>
          <w:highlight w:val="none"/>
        </w:rPr>
      </w:pPr>
    </w:p>
    <w:p w14:paraId="3597BD5E">
      <w:pPr>
        <w:spacing w:line="440" w:lineRule="exact"/>
        <w:ind w:firstLine="2904" w:firstLineChars="1320"/>
        <w:rPr>
          <w:rFonts w:hint="eastAsia" w:ascii="宋体" w:hAnsi="宋体" w:cs="宋体"/>
          <w:color w:val="auto"/>
          <w:sz w:val="22"/>
          <w:szCs w:val="22"/>
          <w:highlight w:val="none"/>
        </w:rPr>
      </w:pPr>
    </w:p>
    <w:p w14:paraId="0433D1FF">
      <w:pPr>
        <w:spacing w:line="440" w:lineRule="exact"/>
        <w:ind w:firstLine="2904" w:firstLineChars="1320"/>
        <w:rPr>
          <w:rFonts w:hint="eastAsia" w:ascii="宋体" w:hAnsi="宋体" w:cs="宋体"/>
          <w:color w:val="auto"/>
          <w:sz w:val="22"/>
          <w:szCs w:val="22"/>
          <w:highlight w:val="none"/>
        </w:rPr>
      </w:pPr>
    </w:p>
    <w:p w14:paraId="4B9E4125">
      <w:pPr>
        <w:spacing w:line="440" w:lineRule="exact"/>
        <w:ind w:firstLine="422"/>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特别注意事项：</w:t>
      </w:r>
    </w:p>
    <w:p w14:paraId="109E1747">
      <w:pPr>
        <w:pStyle w:val="809"/>
        <w:widowControl w:val="0"/>
        <w:snapToGrid w:val="0"/>
        <w:spacing w:line="360" w:lineRule="auto"/>
        <w:ind w:firstLine="466" w:firstLineChars="200"/>
        <w:jc w:val="both"/>
        <w:rPr>
          <w:rFonts w:hAnsi="宋体" w:cs="宋体"/>
          <w:b/>
          <w:color w:val="auto"/>
          <w:spacing w:val="6"/>
          <w:sz w:val="22"/>
          <w:szCs w:val="22"/>
          <w:highlight w:val="none"/>
        </w:rPr>
      </w:pPr>
      <w:r>
        <w:rPr>
          <w:rFonts w:hAnsi="宋体" w:cs="宋体"/>
          <w:b/>
          <w:color w:val="auto"/>
          <w:spacing w:val="6"/>
          <w:sz w:val="22"/>
          <w:szCs w:val="22"/>
          <w:highlight w:val="none"/>
        </w:rPr>
        <w:t>一、供应商应由法定代表人（负责人）或其在响应文件中委派的授权代表填写好报价信息并签字后，将报价函生成PDF格式；</w:t>
      </w:r>
    </w:p>
    <w:p w14:paraId="70EC8053">
      <w:pPr>
        <w:pStyle w:val="809"/>
        <w:widowControl w:val="0"/>
        <w:snapToGrid w:val="0"/>
        <w:spacing w:line="360" w:lineRule="auto"/>
        <w:ind w:firstLine="466" w:firstLineChars="200"/>
        <w:jc w:val="both"/>
        <w:rPr>
          <w:rFonts w:hAnsi="宋体" w:cs="宋体"/>
          <w:b/>
          <w:color w:val="auto"/>
          <w:spacing w:val="6"/>
          <w:sz w:val="22"/>
          <w:szCs w:val="22"/>
          <w:highlight w:val="none"/>
        </w:rPr>
      </w:pPr>
      <w:r>
        <w:rPr>
          <w:rFonts w:hAnsi="宋体" w:cs="宋体"/>
          <w:b/>
          <w:color w:val="auto"/>
          <w:spacing w:val="6"/>
          <w:sz w:val="22"/>
          <w:szCs w:val="22"/>
          <w:highlight w:val="none"/>
        </w:rPr>
        <w:t>二、在报价时限内，将PDF格式的《新一轮报价函》通过其在响应文件中法定代表人（负责人）声明书或法定代表人（负责人）授权书预留邮箱传送至采购代理机构邮箱</w:t>
      </w:r>
      <w:r>
        <w:rPr>
          <w:rFonts w:hint="eastAsia" w:hAnsi="宋体" w:cs="宋体"/>
          <w:b/>
          <w:color w:val="auto"/>
          <w:spacing w:val="6"/>
          <w:sz w:val="22"/>
          <w:szCs w:val="22"/>
          <w:highlight w:val="none"/>
          <w:lang w:eastAsia="zh-CN"/>
        </w:rPr>
        <w:t>80867223</w:t>
      </w:r>
      <w:r>
        <w:rPr>
          <w:rFonts w:hAnsi="宋体" w:cs="宋体"/>
          <w:b/>
          <w:color w:val="auto"/>
          <w:spacing w:val="6"/>
          <w:sz w:val="22"/>
          <w:szCs w:val="22"/>
          <w:highlight w:val="none"/>
        </w:rPr>
        <w:t>@qq.com；</w:t>
      </w:r>
    </w:p>
    <w:p w14:paraId="058F5FB7">
      <w:pPr>
        <w:tabs>
          <w:tab w:val="left" w:pos="795"/>
          <w:tab w:val="center" w:pos="4873"/>
        </w:tabs>
        <w:overflowPunct w:val="0"/>
        <w:spacing w:line="460" w:lineRule="exact"/>
        <w:ind w:firstLine="118" w:firstLineChars="49"/>
        <w:jc w:val="left"/>
        <w:rPr>
          <w:rFonts w:hint="eastAsia" w:ascii="宋体" w:hAnsi="宋体" w:cs="宋体"/>
          <w:b/>
          <w:bCs/>
          <w:color w:val="auto"/>
          <w:sz w:val="24"/>
          <w:highlight w:val="none"/>
        </w:rPr>
      </w:pPr>
    </w:p>
    <w:p w14:paraId="74115A65">
      <w:pPr>
        <w:pStyle w:val="5"/>
        <w:rPr>
          <w:rFonts w:hint="eastAsia" w:ascii="宋体" w:hAnsi="宋体" w:eastAsia="宋体" w:cs="宋体"/>
          <w:color w:val="auto"/>
          <w:sz w:val="36"/>
          <w:szCs w:val="36"/>
          <w:highlight w:val="none"/>
        </w:rPr>
      </w:pPr>
      <w:r>
        <w:rPr>
          <w:rFonts w:hint="eastAsia" w:ascii="宋体" w:hAnsi="宋体" w:eastAsia="宋体" w:cs="宋体"/>
          <w:color w:val="auto"/>
          <w:sz w:val="22"/>
          <w:highlight w:val="none"/>
        </w:rPr>
        <w:br w:type="page"/>
      </w:r>
      <w:bookmarkEnd w:id="175"/>
      <w:bookmarkEnd w:id="176"/>
      <w:bookmarkEnd w:id="177"/>
      <w:bookmarkEnd w:id="178"/>
      <w:bookmarkEnd w:id="179"/>
      <w:bookmarkEnd w:id="180"/>
      <w:bookmarkEnd w:id="181"/>
      <w:bookmarkEnd w:id="182"/>
      <w:bookmarkEnd w:id="183"/>
      <w:bookmarkEnd w:id="184"/>
      <w:bookmarkEnd w:id="185"/>
      <w:bookmarkStart w:id="220" w:name="_Toc249758721"/>
      <w:bookmarkStart w:id="221" w:name="_Toc14377"/>
      <w:bookmarkStart w:id="222" w:name="_Toc262105510"/>
      <w:bookmarkStart w:id="223" w:name="_Toc249758871"/>
      <w:bookmarkStart w:id="224" w:name="_Toc262049425"/>
      <w:bookmarkStart w:id="225" w:name="_Toc221356960"/>
      <w:bookmarkStart w:id="226" w:name="_Toc221374633"/>
      <w:bookmarkStart w:id="227" w:name="_Toc221356897"/>
      <w:r>
        <w:rPr>
          <w:rFonts w:hint="eastAsia" w:ascii="宋体" w:hAnsi="宋体" w:eastAsia="宋体" w:cs="宋体"/>
          <w:color w:val="auto"/>
          <w:sz w:val="36"/>
          <w:szCs w:val="36"/>
          <w:highlight w:val="none"/>
        </w:rPr>
        <w:t>第四部分   采购内容及要求</w:t>
      </w:r>
      <w:bookmarkEnd w:id="220"/>
      <w:bookmarkEnd w:id="221"/>
      <w:bookmarkEnd w:id="222"/>
      <w:bookmarkEnd w:id="223"/>
      <w:bookmarkEnd w:id="224"/>
    </w:p>
    <w:p w14:paraId="15F8A03B">
      <w:pPr>
        <w:spacing w:line="40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本要求是采购人（以下称为甲方）为该项目的谈判供应商（以下称为乙方）提出的技术规范要求，为谈判供应商完成报价文件的依据。本技术规范书和服务要求所提出的技术规范为本项目的最低技术要求和服务要求，并未对一切细节做出规定，也未充分引述有关标准和规范的条文，谈判供应商必须认真阅读以下内容，以免造成投标损失。</w:t>
      </w:r>
    </w:p>
    <w:p w14:paraId="1FF0AA79">
      <w:pPr>
        <w:spacing w:line="440" w:lineRule="atLeast"/>
        <w:ind w:left="109" w:hanging="33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一、项目概况</w:t>
      </w:r>
    </w:p>
    <w:p w14:paraId="0C0DEE6A">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 项目名称：</w:t>
      </w:r>
      <w:r>
        <w:rPr>
          <w:rFonts w:hint="eastAsia" w:ascii="宋体" w:hAnsi="宋体" w:cs="宋体"/>
          <w:color w:val="auto"/>
          <w:sz w:val="22"/>
          <w:szCs w:val="22"/>
          <w:highlight w:val="none"/>
          <w:lang w:eastAsia="zh-CN"/>
        </w:rPr>
        <w:t>2025年-2026年鹿城区藤桥镇山区农村饮用水县级统管项目</w:t>
      </w:r>
      <w:r>
        <w:rPr>
          <w:rFonts w:hint="eastAsia" w:ascii="宋体" w:hAnsi="宋体" w:cs="宋体"/>
          <w:color w:val="auto"/>
          <w:sz w:val="22"/>
          <w:szCs w:val="22"/>
          <w:highlight w:val="none"/>
        </w:rPr>
        <w:t>；</w:t>
      </w:r>
    </w:p>
    <w:p w14:paraId="0ACFE74E">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2．服务单位数量：本次采购1家运营单位，总体负责藤桥镇农村饮用水运营维护项目，允许中标单位将村级水源地、原水管道、村级供水管网业务分包现有管网运维单位（招标单位负责协调）。</w:t>
      </w:r>
    </w:p>
    <w:p w14:paraId="707D78AB">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 项目地点：鹿城区藤桥镇；</w:t>
      </w:r>
    </w:p>
    <w:p w14:paraId="0F06EDE0">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4．项目范围：12个自然村17个供水站点，包括供水站点的膜处理工艺设备、在线水质监测设备、运行调度、水质检测、水源地设施、原水管道、村级管网维护等。</w:t>
      </w:r>
    </w:p>
    <w:p w14:paraId="261C5AB5">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5. 承包方式：由中标人承包运营；</w:t>
      </w:r>
    </w:p>
    <w:p w14:paraId="7DB089FD">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6. 运营管理期限：暂定自合同签订之日起2年，合同采用1年1签。即在合同期满后如中标人达到招标人各项考核目标（每季度考核结果为</w:t>
      </w:r>
      <w:r>
        <w:rPr>
          <w:rFonts w:hint="eastAsia" w:ascii="宋体" w:hAnsi="宋体" w:cs="宋体"/>
          <w:i w:val="0"/>
          <w:color w:val="auto"/>
          <w:sz w:val="22"/>
          <w:szCs w:val="22"/>
          <w:highlight w:val="none"/>
        </w:rPr>
        <w:t>80分</w:t>
      </w:r>
      <w:r>
        <w:rPr>
          <w:rFonts w:hint="eastAsia" w:ascii="宋体" w:hAnsi="宋体" w:cs="宋体"/>
          <w:color w:val="auto"/>
          <w:sz w:val="22"/>
          <w:szCs w:val="22"/>
          <w:highlight w:val="none"/>
        </w:rPr>
        <w:t>（含）以上），签订下一年合同。</w:t>
      </w:r>
    </w:p>
    <w:p w14:paraId="05398756">
      <w:pPr>
        <w:spacing w:line="440" w:lineRule="atLeast"/>
        <w:ind w:left="109" w:hanging="33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二、主要内容：</w:t>
      </w:r>
    </w:p>
    <w:p w14:paraId="0D406319">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1、中标人主要工作职责包含以下内容：</w:t>
      </w:r>
    </w:p>
    <w:p w14:paraId="58AE2493">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（1）人员配备。根据</w:t>
      </w:r>
      <w:r>
        <w:rPr>
          <w:rFonts w:hint="eastAsia" w:ascii="宋体" w:hAnsi="宋体" w:cs="仿宋"/>
          <w:color w:val="auto"/>
          <w:kern w:val="0"/>
          <w:sz w:val="22"/>
          <w:szCs w:val="22"/>
          <w:highlight w:val="none"/>
        </w:rPr>
        <w:t>《生活饮用水卫生标准》(GB 5749-2022)、《浙江省农村供水保障办法》（政府令第400号)</w:t>
      </w:r>
      <w:r>
        <w:rPr>
          <w:rFonts w:hint="eastAsia" w:ascii="宋体" w:hAnsi="宋体" w:cs="仿宋"/>
          <w:color w:val="auto"/>
          <w:kern w:val="0"/>
          <w:sz w:val="22"/>
          <w:szCs w:val="22"/>
          <w:highlight w:val="none"/>
          <w:lang w:val="en-US" w:eastAsia="zh-CN"/>
        </w:rPr>
        <w:t>等相关文件</w:t>
      </w:r>
      <w:r>
        <w:rPr>
          <w:rFonts w:hint="eastAsia" w:ascii="宋体" w:hAnsi="宋体" w:cs="仿宋"/>
          <w:color w:val="auto"/>
          <w:kern w:val="0"/>
          <w:sz w:val="22"/>
          <w:szCs w:val="22"/>
          <w:highlight w:val="none"/>
        </w:rPr>
        <w:t>，结合各农村饮用水工程实际，实行逐级统管机制，中标单位需配备总统管负责人1人、设备维护人员2人、水质采样及检测人员1人，台账管理人员1人，调度监控平台24小时值守人员4人；组建原水、清水管网维护队伍，配备管网维护人员4人，属地村居管护人员17人，人员配备可根据实际情况适时调整。确定上述人员后，需于每个农村饮用水工程点进行公示，受社会监督，便于饮水问题反馈。</w:t>
      </w:r>
    </w:p>
    <w:p w14:paraId="7E68369C">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（2）安全文明生产。负责运维项目员工的上岗培训和安全生产培训，保证安全生产、文明生产。</w:t>
      </w:r>
    </w:p>
    <w:p w14:paraId="427D2EEC">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（3）供水站点运行。负责供水站点膜处理工艺设备、在线水质监测仪表的日常维护保养，确保设备正常运行；出厂水水质符合国家饮用水标准；</w:t>
      </w:r>
    </w:p>
    <w:p w14:paraId="29DA5587">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出厂水、管网水水质标准</w:t>
      </w:r>
    </w:p>
    <w:p w14:paraId="6FD5B104">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水质指标</w:t>
      </w:r>
      <w:r>
        <w:rPr>
          <w:rFonts w:hint="eastAsia" w:ascii="宋体" w:hAnsi="宋体" w:cs="宋体"/>
          <w:color w:val="auto"/>
          <w:sz w:val="22"/>
          <w:szCs w:val="22"/>
          <w:highlight w:val="none"/>
        </w:rPr>
        <w:tab/>
      </w:r>
      <w:r>
        <w:rPr>
          <w:rFonts w:hint="eastAsia" w:ascii="宋体" w:hAnsi="宋体" w:cs="宋体"/>
          <w:color w:val="auto"/>
          <w:sz w:val="22"/>
          <w:szCs w:val="22"/>
          <w:highlight w:val="none"/>
        </w:rPr>
        <w:t>出厂水</w:t>
      </w:r>
      <w:r>
        <w:rPr>
          <w:rFonts w:hint="eastAsia" w:ascii="宋体" w:hAnsi="宋体" w:cs="宋体"/>
          <w:color w:val="auto"/>
          <w:sz w:val="22"/>
          <w:szCs w:val="22"/>
          <w:highlight w:val="none"/>
        </w:rPr>
        <w:tab/>
      </w:r>
      <w:r>
        <w:rPr>
          <w:rFonts w:hint="eastAsia" w:ascii="宋体" w:hAnsi="宋体" w:cs="宋体"/>
          <w:color w:val="auto"/>
          <w:sz w:val="22"/>
          <w:szCs w:val="22"/>
          <w:highlight w:val="none"/>
        </w:rPr>
        <w:t>管网水</w:t>
      </w:r>
    </w:p>
    <w:p w14:paraId="42A2D543">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浊度</w:t>
      </w:r>
      <w:r>
        <w:rPr>
          <w:rFonts w:hint="eastAsia" w:ascii="宋体" w:hAnsi="宋体" w:cs="宋体"/>
          <w:color w:val="auto"/>
          <w:sz w:val="22"/>
          <w:szCs w:val="22"/>
          <w:highlight w:val="none"/>
        </w:rPr>
        <w:tab/>
      </w:r>
      <w:r>
        <w:rPr>
          <w:rFonts w:hint="eastAsia" w:ascii="宋体" w:hAnsi="宋体" w:cs="宋体"/>
          <w:color w:val="auto"/>
          <w:sz w:val="22"/>
          <w:szCs w:val="22"/>
          <w:highlight w:val="none"/>
        </w:rPr>
        <w:t>≤1.0ntu</w:t>
      </w:r>
      <w:r>
        <w:rPr>
          <w:rFonts w:hint="eastAsia" w:ascii="宋体" w:hAnsi="宋体" w:cs="宋体"/>
          <w:color w:val="auto"/>
          <w:sz w:val="22"/>
          <w:szCs w:val="22"/>
          <w:highlight w:val="none"/>
        </w:rPr>
        <w:tab/>
      </w:r>
      <w:r>
        <w:rPr>
          <w:rFonts w:hint="eastAsia" w:ascii="宋体" w:hAnsi="宋体" w:cs="宋体"/>
          <w:color w:val="auto"/>
          <w:sz w:val="22"/>
          <w:szCs w:val="22"/>
          <w:highlight w:val="none"/>
        </w:rPr>
        <w:t>≤1.0ntu</w:t>
      </w:r>
    </w:p>
    <w:p w14:paraId="0D1FAD73">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余氯</w:t>
      </w:r>
      <w:r>
        <w:rPr>
          <w:rFonts w:hint="eastAsia" w:ascii="宋体" w:hAnsi="宋体" w:cs="宋体"/>
          <w:color w:val="auto"/>
          <w:sz w:val="22"/>
          <w:szCs w:val="22"/>
          <w:highlight w:val="none"/>
        </w:rPr>
        <w:tab/>
      </w:r>
      <w:r>
        <w:rPr>
          <w:rFonts w:hint="eastAsia" w:ascii="宋体" w:hAnsi="宋体" w:cs="宋体"/>
          <w:color w:val="auto"/>
          <w:sz w:val="22"/>
          <w:szCs w:val="22"/>
          <w:highlight w:val="none"/>
        </w:rPr>
        <w:t>0.3-2.0mg/l</w:t>
      </w:r>
      <w:r>
        <w:rPr>
          <w:rFonts w:hint="eastAsia" w:ascii="宋体" w:hAnsi="宋体" w:cs="宋体"/>
          <w:color w:val="auto"/>
          <w:sz w:val="22"/>
          <w:szCs w:val="22"/>
          <w:highlight w:val="none"/>
        </w:rPr>
        <w:tab/>
      </w:r>
      <w:r>
        <w:rPr>
          <w:rFonts w:hint="eastAsia" w:ascii="宋体" w:hAnsi="宋体" w:cs="宋体"/>
          <w:color w:val="auto"/>
          <w:sz w:val="22"/>
          <w:szCs w:val="22"/>
          <w:highlight w:val="none"/>
        </w:rPr>
        <w:t>≥05mg/l</w:t>
      </w:r>
    </w:p>
    <w:p w14:paraId="6E00DC2A">
      <w:pPr>
        <w:spacing w:line="440" w:lineRule="atLeast"/>
        <w:ind w:firstLine="440" w:firstLineChars="200"/>
        <w:rPr>
          <w:rFonts w:ascii="宋体" w:hAnsi="宋体" w:cs="宋体"/>
          <w:color w:val="auto"/>
          <w:sz w:val="22"/>
          <w:szCs w:val="22"/>
          <w:highlight w:val="none"/>
        </w:rPr>
      </w:pPr>
      <w:r>
        <w:rPr>
          <w:rFonts w:ascii="宋体" w:hAnsi="宋体" w:cs="宋体"/>
          <w:color w:val="auto"/>
          <w:sz w:val="22"/>
          <w:szCs w:val="22"/>
          <w:highlight w:val="none"/>
        </w:rPr>
        <w:t>PH</w:t>
      </w:r>
      <w:r>
        <w:rPr>
          <w:rFonts w:ascii="宋体" w:hAnsi="宋体" w:cs="宋体"/>
          <w:color w:val="auto"/>
          <w:sz w:val="22"/>
          <w:szCs w:val="22"/>
          <w:highlight w:val="none"/>
        </w:rPr>
        <w:tab/>
      </w:r>
      <w:r>
        <w:rPr>
          <w:rFonts w:ascii="宋体" w:hAnsi="宋体" w:cs="宋体"/>
          <w:color w:val="auto"/>
          <w:sz w:val="22"/>
          <w:szCs w:val="22"/>
          <w:highlight w:val="none"/>
        </w:rPr>
        <w:t>6.5-8.5</w:t>
      </w:r>
      <w:r>
        <w:rPr>
          <w:rFonts w:ascii="宋体" w:hAnsi="宋体" w:cs="宋体"/>
          <w:color w:val="auto"/>
          <w:sz w:val="22"/>
          <w:szCs w:val="22"/>
          <w:highlight w:val="none"/>
        </w:rPr>
        <w:tab/>
      </w:r>
      <w:r>
        <w:rPr>
          <w:rFonts w:ascii="宋体" w:hAnsi="宋体" w:cs="宋体"/>
          <w:color w:val="auto"/>
          <w:sz w:val="22"/>
          <w:szCs w:val="22"/>
          <w:highlight w:val="none"/>
        </w:rPr>
        <w:t>6.5-8.5</w:t>
      </w:r>
    </w:p>
    <w:p w14:paraId="01AD704E">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（4）水质检测。定期做好原水、出厂水、管网水的水质检测工作。本工程总共17个供水站点，按供水规模划分为IV型、V型供水站。项目</w:t>
      </w:r>
      <w:r>
        <w:rPr>
          <w:rFonts w:hint="eastAsia" w:ascii="宋体" w:hAnsi="宋体" w:cs="宋体"/>
          <w:color w:val="auto"/>
          <w:sz w:val="22"/>
          <w:szCs w:val="22"/>
          <w:highlight w:val="none"/>
          <w:lang w:val="en-US" w:eastAsia="zh-CN"/>
        </w:rPr>
        <w:t>要求</w:t>
      </w:r>
      <w:r>
        <w:rPr>
          <w:rFonts w:hint="eastAsia" w:ascii="宋体" w:hAnsi="宋体" w:cs="宋体"/>
          <w:color w:val="auto"/>
          <w:sz w:val="22"/>
          <w:szCs w:val="22"/>
          <w:highlight w:val="none"/>
        </w:rPr>
        <w:t>按照</w:t>
      </w:r>
      <w:r>
        <w:rPr>
          <w:rFonts w:hint="eastAsia" w:ascii="宋体" w:hAnsi="宋体" w:cs="仿宋"/>
          <w:color w:val="auto"/>
          <w:kern w:val="0"/>
          <w:sz w:val="22"/>
          <w:szCs w:val="22"/>
          <w:highlight w:val="none"/>
        </w:rPr>
        <w:t>《生活饮用水卫生标准》(GB 5749-2022)、《浙江省农村供水保障办法》（政府令第400号)等文件</w:t>
      </w:r>
      <w:r>
        <w:rPr>
          <w:rFonts w:hint="eastAsia" w:ascii="宋体" w:hAnsi="宋体" w:cs="宋体"/>
          <w:color w:val="auto"/>
          <w:sz w:val="22"/>
          <w:szCs w:val="22"/>
          <w:highlight w:val="none"/>
        </w:rPr>
        <w:t>要求。相应检测项目委托单位必须具备国家水质监测实验室资质，出具报告并加盖公章；</w:t>
      </w:r>
    </w:p>
    <w:p w14:paraId="64AE16B1">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（5）数字化建设。负责调度中心的设备、监控软件的维护，安排人员实行24小时值守，保证调度、监控平台正常运行。</w:t>
      </w:r>
    </w:p>
    <w:p w14:paraId="5754B8DB">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浊度、余氯、PH值、流量数据准确传送至省九龙治水平台和鹿城区水利全域数字化管护平台。</w:t>
      </w:r>
    </w:p>
    <w:p w14:paraId="4F4F6A03">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（6）药剂采购和储存。负责采购、存储符合国家卫生标准，保证供水站点日常运行所需消毒药剂和在线水质监测仪表试剂等；</w:t>
      </w:r>
    </w:p>
    <w:p w14:paraId="503C794D">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（7）水源地设施及清水池维护。每年定期负责组织人员对水源地及清水池进行清理</w:t>
      </w:r>
      <w:r>
        <w:rPr>
          <w:rFonts w:hint="eastAsia" w:ascii="宋体" w:hAnsi="宋体" w:cs="仿宋"/>
          <w:color w:val="auto"/>
          <w:kern w:val="0"/>
          <w:sz w:val="22"/>
          <w:szCs w:val="22"/>
          <w:highlight w:val="none"/>
          <w:lang w:val="en-US" w:eastAsia="zh-CN"/>
        </w:rPr>
        <w:t>不少于4次</w:t>
      </w:r>
      <w:r>
        <w:rPr>
          <w:rFonts w:hint="eastAsia" w:ascii="宋体" w:hAnsi="宋体" w:cs="宋体"/>
          <w:color w:val="auto"/>
          <w:sz w:val="22"/>
          <w:szCs w:val="22"/>
          <w:highlight w:val="none"/>
        </w:rPr>
        <w:t>；</w:t>
      </w:r>
    </w:p>
    <w:p w14:paraId="4902CF27">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（8）原水、村级供水管网日常维护及巡查。组建原水及清水管网维护队伍及时对管道进行维护，保证村民正常用水；</w:t>
      </w:r>
    </w:p>
    <w:p w14:paraId="7689C557">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定期对管网进行巡查，中标人在巡查中发现村民私接原水、清水管及破坏用水设施，影响供水安全的行为应及时予以制止并向招标方报告；</w:t>
      </w:r>
    </w:p>
    <w:p w14:paraId="67CE3879">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为保障设备设施正常、安全运行，中标方根据运行情况和巡查结果及时向甲方提出管网更新、安全投入建议；</w:t>
      </w:r>
    </w:p>
    <w:p w14:paraId="2B0E535B">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（9）台账管理。做好生产运行台账管理，包括各项操作规程和管理制度、工程巡查和维修养护记录、水质检测报告、生产运行报表、财务资料、人员管理、突发事件及投诉处理等运行管理资料；</w:t>
      </w:r>
    </w:p>
    <w:p w14:paraId="26221FAB">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(10)配合执行和落实上级部门下达的规范化水厂、美丽水厂、标准化水厂的创建及各项检查等任务。</w:t>
      </w:r>
    </w:p>
    <w:p w14:paraId="0AD4CAC2">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2、其他</w:t>
      </w:r>
    </w:p>
    <w:p w14:paraId="567B3DB5">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（1）自签订合同之日起30日内实现所有设备设施全面正常运行、出水达标；</w:t>
      </w:r>
    </w:p>
    <w:p w14:paraId="2E131F7D">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（2）中标方需保证供水站点正常运行，因水源枯竭、旱情、台风暴雨等不可抗力等因素造成供水站点超滤膜处理设备无法正常运行，出厂水、管网水浊度、余氯、PH值无法达标，不纳入考核；</w:t>
      </w:r>
    </w:p>
    <w:p w14:paraId="014546EC">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（3）供水压力需满足现有村民日常生活需要，因枯水期、旱情、村级管网漏耗严重、村民私接用水造成的供水压力不足，不纳入考核；</w:t>
      </w:r>
    </w:p>
    <w:p w14:paraId="5A5A90C5">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调度管理需满足省数字化建设要求，省九龙治水平台数据及时更新录入和维护。网络故障造成数据上传不及时、数据丢失、监控故障等，中标方应立即查明原因，及时向网络运营商报修。在因网络运营商原因无法满足数字化要求，不纳入考核；</w:t>
      </w:r>
    </w:p>
    <w:p w14:paraId="05291114">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（5）因不可抗力造成的水源地、供水站、清水池、管网等设备设施损坏，无法满足供水要求，由中标方提出申请，经招标方同意后恢复，此项费用不在本次采购范围之内，另行申请结算；</w:t>
      </w:r>
    </w:p>
    <w:p w14:paraId="2B574097">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（6）村级供水管网、水表等设备设施由于建设年限长、材质老化，造成漏损严重无法满足供水要求，此项更新费用不在本次采购范围之内，另行申请结算；</w:t>
      </w:r>
    </w:p>
    <w:p w14:paraId="5ED6AD73">
      <w:pPr>
        <w:spacing w:line="440" w:lineRule="atLeast"/>
        <w:ind w:left="109" w:hanging="33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三、供水站主要设备清单如下</w:t>
      </w:r>
    </w:p>
    <w:p w14:paraId="2C9BD366">
      <w:pPr>
        <w:pStyle w:val="26"/>
        <w:jc w:val="center"/>
        <w:rPr>
          <w:rFonts w:hint="eastAsia"/>
          <w:color w:val="auto"/>
          <w:highlight w:val="none"/>
        </w:rPr>
      </w:pPr>
    </w:p>
    <w:p w14:paraId="53D5527D">
      <w:pPr>
        <w:pStyle w:val="26"/>
        <w:jc w:val="center"/>
        <w:rPr>
          <w:rFonts w:hint="eastAsia"/>
          <w:color w:val="auto"/>
          <w:highlight w:val="none"/>
        </w:rPr>
      </w:pPr>
      <w:r>
        <w:rPr>
          <w:rFonts w:hint="eastAsia"/>
          <w:color w:val="auto"/>
          <w:highlight w:val="none"/>
        </w:rPr>
        <w:t>主要工艺设备表</w:t>
      </w:r>
    </w:p>
    <w:tbl>
      <w:tblPr>
        <w:tblStyle w:val="62"/>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471"/>
        <w:gridCol w:w="2096"/>
        <w:gridCol w:w="5101"/>
        <w:gridCol w:w="853"/>
        <w:gridCol w:w="1147"/>
      </w:tblGrid>
      <w:tr w14:paraId="0C339D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84" w:hRule="atLeast"/>
        </w:trPr>
        <w:tc>
          <w:tcPr>
            <w:tcW w:w="244" w:type="pct"/>
            <w:shd w:val="clear" w:color="auto" w:fill="FFFFFF"/>
            <w:noWrap w:val="0"/>
            <w:tcMar>
              <w:top w:w="15" w:type="dxa"/>
              <w:left w:w="15" w:type="dxa"/>
              <w:right w:w="15" w:type="dxa"/>
            </w:tcMar>
            <w:vAlign w:val="center"/>
          </w:tcPr>
          <w:p w14:paraId="3991D376">
            <w:pPr>
              <w:jc w:val="cente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序号</w:t>
            </w:r>
          </w:p>
        </w:tc>
        <w:tc>
          <w:tcPr>
            <w:tcW w:w="1084" w:type="pct"/>
            <w:shd w:val="clear" w:color="auto" w:fill="FFFFFF"/>
            <w:noWrap w:val="0"/>
            <w:tcMar>
              <w:top w:w="15" w:type="dxa"/>
              <w:left w:w="15" w:type="dxa"/>
              <w:right w:w="15" w:type="dxa"/>
            </w:tcMar>
            <w:vAlign w:val="center"/>
          </w:tcPr>
          <w:p w14:paraId="3BFEFAF1">
            <w:pPr>
              <w:jc w:val="center"/>
              <w:textAlignment w:val="center"/>
              <w:rPr>
                <w:rFonts w:ascii="Arial" w:hAnsi="Arial" w:cs="Arial"/>
                <w:color w:val="auto"/>
                <w:sz w:val="18"/>
                <w:szCs w:val="18"/>
                <w:highlight w:val="none"/>
              </w:rPr>
            </w:pPr>
            <w:r>
              <w:rPr>
                <w:rFonts w:hint="eastAsia" w:ascii="Arial" w:hAnsi="Arial" w:cs="Arial"/>
                <w:color w:val="auto"/>
                <w:sz w:val="18"/>
                <w:szCs w:val="18"/>
                <w:highlight w:val="none"/>
              </w:rPr>
              <w:t>设备</w:t>
            </w:r>
            <w:r>
              <w:rPr>
                <w:rFonts w:ascii="Arial" w:hAnsi="Arial" w:cs="Arial"/>
                <w:color w:val="auto"/>
                <w:sz w:val="18"/>
                <w:szCs w:val="18"/>
                <w:highlight w:val="none"/>
              </w:rPr>
              <w:t>名称</w:t>
            </w:r>
          </w:p>
        </w:tc>
        <w:tc>
          <w:tcPr>
            <w:tcW w:w="2638" w:type="pct"/>
            <w:shd w:val="clear" w:color="auto" w:fill="FFFFFF"/>
            <w:noWrap w:val="0"/>
            <w:tcMar>
              <w:top w:w="15" w:type="dxa"/>
              <w:left w:w="15" w:type="dxa"/>
              <w:right w:w="15" w:type="dxa"/>
            </w:tcMar>
            <w:vAlign w:val="center"/>
          </w:tcPr>
          <w:p w14:paraId="12FCAFD4">
            <w:pPr>
              <w:jc w:val="center"/>
              <w:textAlignment w:val="center"/>
              <w:rPr>
                <w:rFonts w:ascii="Arial" w:hAnsi="Arial" w:cs="Arial"/>
                <w:color w:val="auto"/>
                <w:sz w:val="18"/>
                <w:szCs w:val="18"/>
                <w:highlight w:val="none"/>
              </w:rPr>
            </w:pPr>
            <w:r>
              <w:rPr>
                <w:rFonts w:ascii="Arial" w:hAnsi="Arial" w:cs="Arial"/>
                <w:color w:val="auto"/>
                <w:sz w:val="18"/>
                <w:szCs w:val="18"/>
                <w:highlight w:val="none"/>
              </w:rPr>
              <w:t>规格型号</w:t>
            </w:r>
          </w:p>
        </w:tc>
        <w:tc>
          <w:tcPr>
            <w:tcW w:w="441" w:type="pct"/>
            <w:shd w:val="clear" w:color="auto" w:fill="FFFFFF"/>
            <w:noWrap w:val="0"/>
            <w:tcMar>
              <w:top w:w="15" w:type="dxa"/>
              <w:left w:w="15" w:type="dxa"/>
              <w:right w:w="15" w:type="dxa"/>
            </w:tcMar>
            <w:vAlign w:val="center"/>
          </w:tcPr>
          <w:p w14:paraId="283922A0">
            <w:pPr>
              <w:jc w:val="center"/>
              <w:textAlignment w:val="center"/>
              <w:rPr>
                <w:rFonts w:ascii="Arial" w:hAnsi="Arial" w:cs="Arial"/>
                <w:color w:val="auto"/>
                <w:sz w:val="18"/>
                <w:szCs w:val="18"/>
                <w:highlight w:val="none"/>
              </w:rPr>
            </w:pPr>
            <w:r>
              <w:rPr>
                <w:rFonts w:ascii="Arial" w:hAnsi="Arial" w:cs="Arial"/>
                <w:color w:val="auto"/>
                <w:sz w:val="18"/>
                <w:szCs w:val="18"/>
                <w:highlight w:val="none"/>
              </w:rPr>
              <w:t>数量</w:t>
            </w:r>
          </w:p>
        </w:tc>
        <w:tc>
          <w:tcPr>
            <w:tcW w:w="593" w:type="pct"/>
            <w:shd w:val="clear" w:color="auto" w:fill="FFFFFF"/>
            <w:noWrap w:val="0"/>
            <w:tcMar>
              <w:top w:w="15" w:type="dxa"/>
              <w:left w:w="15" w:type="dxa"/>
              <w:right w:w="15" w:type="dxa"/>
            </w:tcMar>
            <w:vAlign w:val="center"/>
          </w:tcPr>
          <w:p w14:paraId="5832FB36">
            <w:pPr>
              <w:jc w:val="center"/>
              <w:textAlignment w:val="center"/>
              <w:rPr>
                <w:rFonts w:ascii="Arial" w:hAnsi="Arial" w:cs="Arial"/>
                <w:color w:val="auto"/>
                <w:sz w:val="18"/>
                <w:szCs w:val="18"/>
                <w:highlight w:val="none"/>
              </w:rPr>
            </w:pPr>
            <w:r>
              <w:rPr>
                <w:rFonts w:ascii="Arial" w:hAnsi="Arial" w:cs="Arial"/>
                <w:color w:val="auto"/>
                <w:sz w:val="18"/>
                <w:szCs w:val="18"/>
                <w:highlight w:val="none"/>
              </w:rPr>
              <w:t>备注</w:t>
            </w:r>
          </w:p>
        </w:tc>
      </w:tr>
      <w:tr w14:paraId="5BC75C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00" w:hRule="atLeast"/>
        </w:trPr>
        <w:tc>
          <w:tcPr>
            <w:tcW w:w="244" w:type="pct"/>
            <w:shd w:val="clear" w:color="auto" w:fill="FFFFFF"/>
            <w:noWrap w:val="0"/>
            <w:tcMar>
              <w:top w:w="15" w:type="dxa"/>
              <w:left w:w="15" w:type="dxa"/>
              <w:right w:w="15" w:type="dxa"/>
            </w:tcMar>
            <w:vAlign w:val="center"/>
          </w:tcPr>
          <w:p w14:paraId="49743A57">
            <w:pPr>
              <w:jc w:val="center"/>
              <w:textAlignment w:val="center"/>
              <w:rPr>
                <w:rFonts w:ascii="Arial" w:hAnsi="Arial" w:cs="Arial"/>
                <w:color w:val="auto"/>
                <w:sz w:val="18"/>
                <w:szCs w:val="18"/>
                <w:highlight w:val="none"/>
              </w:rPr>
            </w:pPr>
            <w:r>
              <w:rPr>
                <w:rFonts w:ascii="Arial" w:hAnsi="Arial" w:cs="Arial"/>
                <w:color w:val="auto"/>
                <w:sz w:val="18"/>
                <w:szCs w:val="18"/>
                <w:highlight w:val="none"/>
              </w:rPr>
              <w:t>1</w:t>
            </w:r>
          </w:p>
        </w:tc>
        <w:tc>
          <w:tcPr>
            <w:tcW w:w="1084" w:type="pct"/>
            <w:shd w:val="clear" w:color="auto" w:fill="FFFFFF"/>
            <w:noWrap w:val="0"/>
            <w:tcMar>
              <w:top w:w="15" w:type="dxa"/>
              <w:left w:w="15" w:type="dxa"/>
              <w:right w:w="15" w:type="dxa"/>
            </w:tcMar>
            <w:vAlign w:val="center"/>
          </w:tcPr>
          <w:p w14:paraId="164D933D">
            <w:pPr>
              <w:textAlignment w:val="center"/>
              <w:rPr>
                <w:rFonts w:ascii="Arial" w:hAnsi="Arial" w:cs="Arial"/>
                <w:color w:val="auto"/>
                <w:sz w:val="18"/>
                <w:szCs w:val="18"/>
                <w:highlight w:val="none"/>
              </w:rPr>
            </w:pPr>
            <w:r>
              <w:rPr>
                <w:rFonts w:ascii="Arial" w:hAnsi="Arial" w:cs="Arial"/>
                <w:color w:val="auto"/>
                <w:sz w:val="18"/>
                <w:szCs w:val="18"/>
                <w:highlight w:val="none"/>
              </w:rPr>
              <w:t>有机膜成套设备</w:t>
            </w:r>
          </w:p>
        </w:tc>
        <w:tc>
          <w:tcPr>
            <w:tcW w:w="2638" w:type="pct"/>
            <w:shd w:val="clear" w:color="auto" w:fill="FFFFFF"/>
            <w:noWrap w:val="0"/>
            <w:tcMar>
              <w:top w:w="15" w:type="dxa"/>
              <w:left w:w="15" w:type="dxa"/>
              <w:right w:w="15" w:type="dxa"/>
            </w:tcMar>
            <w:vAlign w:val="center"/>
          </w:tcPr>
          <w:p w14:paraId="454A9BD3">
            <w:pPr>
              <w:textAlignment w:val="center"/>
              <w:rPr>
                <w:rFonts w:ascii="宋体" w:hAnsi="宋体" w:cs="宋体"/>
                <w:color w:val="auto"/>
                <w:sz w:val="18"/>
                <w:szCs w:val="18"/>
                <w:highlight w:val="none"/>
              </w:rPr>
            </w:pPr>
            <w:r>
              <w:rPr>
                <w:rFonts w:hint="eastAsia" w:ascii="Arial" w:hAnsi="Arial" w:cs="Arial"/>
                <w:color w:val="auto"/>
                <w:sz w:val="18"/>
                <w:szCs w:val="18"/>
                <w:highlight w:val="none"/>
              </w:rPr>
              <w:t>其中1套</w:t>
            </w:r>
            <w:r>
              <w:rPr>
                <w:rFonts w:hint="eastAsia" w:ascii="宋体" w:hAnsi="宋体" w:cs="宋体"/>
                <w:color w:val="auto"/>
                <w:sz w:val="18"/>
                <w:szCs w:val="18"/>
                <w:highlight w:val="none"/>
              </w:rPr>
              <w:t>产水能力≥</w:t>
            </w:r>
            <w:r>
              <w:rPr>
                <w:rFonts w:ascii="Arial" w:hAnsi="Arial" w:cs="Arial"/>
                <w:color w:val="auto"/>
                <w:sz w:val="18"/>
                <w:szCs w:val="18"/>
                <w:highlight w:val="none"/>
              </w:rPr>
              <w:t>1</w:t>
            </w:r>
            <w:r>
              <w:rPr>
                <w:rFonts w:hint="eastAsia" w:ascii="Arial" w:hAnsi="Arial" w:cs="Arial"/>
                <w:color w:val="auto"/>
                <w:sz w:val="18"/>
                <w:szCs w:val="18"/>
                <w:highlight w:val="none"/>
              </w:rPr>
              <w:t>5</w:t>
            </w:r>
            <w:r>
              <w:rPr>
                <w:rFonts w:ascii="Arial" w:hAnsi="Arial" w:cs="Arial"/>
                <w:color w:val="auto"/>
                <w:sz w:val="18"/>
                <w:szCs w:val="18"/>
                <w:highlight w:val="none"/>
              </w:rPr>
              <w:t>t/</w:t>
            </w:r>
            <w:r>
              <w:rPr>
                <w:rFonts w:hint="eastAsia" w:ascii="Arial" w:hAnsi="Arial" w:cs="Arial"/>
                <w:color w:val="auto"/>
                <w:sz w:val="18"/>
                <w:szCs w:val="18"/>
                <w:highlight w:val="none"/>
              </w:rPr>
              <w:t>,1套</w:t>
            </w:r>
            <w:r>
              <w:rPr>
                <w:rFonts w:hint="eastAsia" w:ascii="宋体" w:hAnsi="宋体" w:cs="宋体"/>
                <w:color w:val="auto"/>
                <w:sz w:val="18"/>
                <w:szCs w:val="18"/>
                <w:highlight w:val="none"/>
              </w:rPr>
              <w:t>产水能力≥</w:t>
            </w:r>
            <w:r>
              <w:rPr>
                <w:rFonts w:ascii="Arial" w:hAnsi="Arial" w:cs="Arial"/>
                <w:color w:val="auto"/>
                <w:sz w:val="18"/>
                <w:szCs w:val="18"/>
                <w:highlight w:val="none"/>
              </w:rPr>
              <w:t>10t/h</w:t>
            </w:r>
            <w:r>
              <w:rPr>
                <w:rFonts w:hint="eastAsia" w:ascii="Arial" w:hAnsi="Arial" w:cs="Arial"/>
                <w:color w:val="auto"/>
                <w:sz w:val="18"/>
                <w:szCs w:val="18"/>
                <w:highlight w:val="none"/>
              </w:rPr>
              <w:t>，3套</w:t>
            </w:r>
            <w:r>
              <w:rPr>
                <w:rFonts w:hint="eastAsia" w:ascii="宋体" w:hAnsi="宋体" w:cs="宋体"/>
                <w:color w:val="auto"/>
                <w:sz w:val="18"/>
                <w:szCs w:val="18"/>
                <w:highlight w:val="none"/>
              </w:rPr>
              <w:t>产水能力≥</w:t>
            </w:r>
            <w:r>
              <w:rPr>
                <w:rFonts w:hint="eastAsia" w:ascii="Arial" w:hAnsi="Arial" w:cs="Arial"/>
                <w:color w:val="auto"/>
                <w:sz w:val="18"/>
                <w:szCs w:val="18"/>
                <w:highlight w:val="none"/>
              </w:rPr>
              <w:t>5</w:t>
            </w:r>
            <w:r>
              <w:rPr>
                <w:rFonts w:ascii="Arial" w:hAnsi="Arial" w:cs="Arial"/>
                <w:color w:val="auto"/>
                <w:sz w:val="18"/>
                <w:szCs w:val="18"/>
                <w:highlight w:val="none"/>
              </w:rPr>
              <w:t>t/h</w:t>
            </w:r>
            <w:r>
              <w:rPr>
                <w:rFonts w:hint="eastAsia" w:ascii="宋体" w:hAnsi="宋体" w:cs="宋体"/>
                <w:color w:val="auto"/>
                <w:sz w:val="18"/>
                <w:szCs w:val="18"/>
                <w:highlight w:val="none"/>
              </w:rPr>
              <w:t>，</w:t>
            </w:r>
            <w:r>
              <w:rPr>
                <w:rFonts w:hint="eastAsia" w:ascii="Arial" w:hAnsi="Arial" w:cs="Arial"/>
                <w:color w:val="auto"/>
                <w:sz w:val="18"/>
                <w:szCs w:val="18"/>
                <w:highlight w:val="none"/>
              </w:rPr>
              <w:t>4套</w:t>
            </w:r>
            <w:r>
              <w:rPr>
                <w:rFonts w:hint="eastAsia" w:ascii="宋体" w:hAnsi="宋体" w:cs="宋体"/>
                <w:color w:val="auto"/>
                <w:sz w:val="18"/>
                <w:szCs w:val="18"/>
                <w:highlight w:val="none"/>
              </w:rPr>
              <w:t>产水能力≥</w:t>
            </w:r>
            <w:r>
              <w:rPr>
                <w:rFonts w:hint="eastAsia" w:ascii="Arial" w:hAnsi="Arial" w:cs="Arial"/>
                <w:color w:val="auto"/>
                <w:sz w:val="18"/>
                <w:szCs w:val="18"/>
                <w:highlight w:val="none"/>
              </w:rPr>
              <w:t>3</w:t>
            </w:r>
            <w:r>
              <w:rPr>
                <w:rFonts w:ascii="Arial" w:hAnsi="Arial" w:cs="Arial"/>
                <w:color w:val="auto"/>
                <w:sz w:val="18"/>
                <w:szCs w:val="18"/>
                <w:highlight w:val="none"/>
              </w:rPr>
              <w:t>t/h</w:t>
            </w:r>
            <w:r>
              <w:rPr>
                <w:rFonts w:hint="eastAsia" w:ascii="Arial" w:hAnsi="Arial" w:cs="Arial"/>
                <w:color w:val="auto"/>
                <w:sz w:val="18"/>
                <w:szCs w:val="18"/>
                <w:highlight w:val="none"/>
              </w:rPr>
              <w:t>，</w:t>
            </w:r>
            <w:r>
              <w:rPr>
                <w:rFonts w:hint="eastAsia" w:ascii="宋体" w:hAnsi="宋体" w:cs="宋体"/>
                <w:color w:val="auto"/>
                <w:sz w:val="18"/>
                <w:szCs w:val="18"/>
                <w:highlight w:val="none"/>
              </w:rPr>
              <w:t>包括超滤膜水处理系统、反冲洗维护系统、消毒系统、废液收集系统等；</w:t>
            </w:r>
          </w:p>
        </w:tc>
        <w:tc>
          <w:tcPr>
            <w:tcW w:w="441" w:type="pct"/>
            <w:shd w:val="clear" w:color="auto" w:fill="FFFFFF"/>
            <w:noWrap w:val="0"/>
            <w:tcMar>
              <w:top w:w="15" w:type="dxa"/>
              <w:left w:w="15" w:type="dxa"/>
              <w:right w:w="15" w:type="dxa"/>
            </w:tcMar>
            <w:vAlign w:val="center"/>
          </w:tcPr>
          <w:p w14:paraId="4C0F4D26">
            <w:pPr>
              <w:jc w:val="center"/>
              <w:textAlignment w:val="center"/>
              <w:rPr>
                <w:rFonts w:ascii="Arial" w:hAnsi="Arial" w:cs="Arial"/>
                <w:color w:val="auto"/>
                <w:sz w:val="18"/>
                <w:szCs w:val="18"/>
                <w:highlight w:val="none"/>
              </w:rPr>
            </w:pPr>
            <w:r>
              <w:rPr>
                <w:rFonts w:hint="eastAsia" w:ascii="Arial" w:hAnsi="Arial" w:cs="Arial"/>
                <w:color w:val="auto"/>
                <w:sz w:val="18"/>
                <w:szCs w:val="18"/>
                <w:highlight w:val="none"/>
                <w:lang w:val="en-US" w:eastAsia="zh-CN"/>
              </w:rPr>
              <w:t>16</w:t>
            </w:r>
            <w:r>
              <w:rPr>
                <w:rFonts w:ascii="Arial" w:hAnsi="Arial" w:cs="Arial"/>
                <w:color w:val="auto"/>
                <w:sz w:val="18"/>
                <w:szCs w:val="18"/>
                <w:highlight w:val="none"/>
              </w:rPr>
              <w:t>套</w:t>
            </w:r>
          </w:p>
        </w:tc>
        <w:tc>
          <w:tcPr>
            <w:tcW w:w="593" w:type="pct"/>
            <w:vMerge w:val="restart"/>
            <w:shd w:val="clear" w:color="auto" w:fill="FFFFFF"/>
            <w:noWrap w:val="0"/>
            <w:tcMar>
              <w:top w:w="15" w:type="dxa"/>
              <w:left w:w="15" w:type="dxa"/>
              <w:right w:w="15" w:type="dxa"/>
            </w:tcMar>
            <w:vAlign w:val="center"/>
          </w:tcPr>
          <w:p w14:paraId="0AB709C9">
            <w:pPr>
              <w:textAlignment w:val="center"/>
              <w:rPr>
                <w:rFonts w:hint="default"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如有调整，以实际为准</w:t>
            </w:r>
          </w:p>
        </w:tc>
      </w:tr>
      <w:tr w14:paraId="116539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4" w:hRule="atLeast"/>
        </w:trPr>
        <w:tc>
          <w:tcPr>
            <w:tcW w:w="244" w:type="pct"/>
            <w:shd w:val="clear" w:color="auto" w:fill="FFFFFF"/>
            <w:noWrap w:val="0"/>
            <w:tcMar>
              <w:top w:w="15" w:type="dxa"/>
              <w:left w:w="15" w:type="dxa"/>
              <w:right w:w="15" w:type="dxa"/>
            </w:tcMar>
            <w:vAlign w:val="center"/>
          </w:tcPr>
          <w:p w14:paraId="2B0E2F8D">
            <w:pPr>
              <w:jc w:val="center"/>
              <w:rPr>
                <w:rFonts w:ascii="Arial" w:hAnsi="Arial" w:cs="Arial"/>
                <w:color w:val="auto"/>
                <w:sz w:val="18"/>
                <w:szCs w:val="18"/>
                <w:highlight w:val="none"/>
              </w:rPr>
            </w:pPr>
            <w:r>
              <w:rPr>
                <w:rFonts w:hint="eastAsia" w:ascii="Arial" w:hAnsi="Arial" w:cs="Arial"/>
                <w:color w:val="auto"/>
                <w:sz w:val="18"/>
                <w:szCs w:val="18"/>
                <w:highlight w:val="none"/>
              </w:rPr>
              <w:t>2</w:t>
            </w:r>
          </w:p>
        </w:tc>
        <w:tc>
          <w:tcPr>
            <w:tcW w:w="1084" w:type="pct"/>
            <w:shd w:val="clear" w:color="auto" w:fill="FFFFFF"/>
            <w:noWrap w:val="0"/>
            <w:tcMar>
              <w:top w:w="15" w:type="dxa"/>
              <w:left w:w="15" w:type="dxa"/>
              <w:right w:w="15" w:type="dxa"/>
            </w:tcMar>
            <w:vAlign w:val="center"/>
          </w:tcPr>
          <w:p w14:paraId="19A09F41">
            <w:pP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工艺控制设备及管线</w:t>
            </w:r>
          </w:p>
        </w:tc>
        <w:tc>
          <w:tcPr>
            <w:tcW w:w="2638" w:type="pct"/>
            <w:shd w:val="clear" w:color="auto" w:fill="FFFFFF"/>
            <w:noWrap w:val="0"/>
            <w:tcMar>
              <w:top w:w="15" w:type="dxa"/>
              <w:left w:w="15" w:type="dxa"/>
              <w:right w:w="15" w:type="dxa"/>
            </w:tcMar>
            <w:vAlign w:val="center"/>
          </w:tcPr>
          <w:p w14:paraId="07BD4E6D">
            <w:pP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包括工艺管线、鼓风机、离心泵、手动/电动蝶阀、电动调节蝶阀、电磁流量计、压力传/液位变送器、除渣罐等附属设备</w:t>
            </w:r>
          </w:p>
        </w:tc>
        <w:tc>
          <w:tcPr>
            <w:tcW w:w="441" w:type="pct"/>
            <w:shd w:val="clear" w:color="auto" w:fill="FFFFFF"/>
            <w:noWrap w:val="0"/>
            <w:tcMar>
              <w:top w:w="15" w:type="dxa"/>
              <w:left w:w="15" w:type="dxa"/>
              <w:right w:w="15" w:type="dxa"/>
            </w:tcMar>
            <w:vAlign w:val="center"/>
          </w:tcPr>
          <w:p w14:paraId="286CFA28">
            <w:pPr>
              <w:jc w:val="center"/>
              <w:textAlignment w:val="center"/>
              <w:rPr>
                <w:rFonts w:ascii="Arial" w:hAnsi="Arial" w:cs="Arial"/>
                <w:color w:val="auto"/>
                <w:sz w:val="18"/>
                <w:szCs w:val="18"/>
                <w:highlight w:val="none"/>
              </w:rPr>
            </w:pPr>
            <w:r>
              <w:rPr>
                <w:rFonts w:hint="eastAsia" w:ascii="Arial" w:hAnsi="Arial" w:cs="Arial"/>
                <w:color w:val="auto"/>
                <w:sz w:val="18"/>
                <w:szCs w:val="18"/>
                <w:highlight w:val="none"/>
                <w:lang w:val="en-US" w:eastAsia="zh-CN"/>
              </w:rPr>
              <w:t>16</w:t>
            </w:r>
            <w:r>
              <w:rPr>
                <w:rFonts w:ascii="Arial" w:hAnsi="Arial" w:cs="Arial"/>
                <w:color w:val="auto"/>
                <w:sz w:val="18"/>
                <w:szCs w:val="18"/>
                <w:highlight w:val="none"/>
              </w:rPr>
              <w:t>套</w:t>
            </w:r>
          </w:p>
        </w:tc>
        <w:tc>
          <w:tcPr>
            <w:tcW w:w="593" w:type="pct"/>
            <w:vMerge w:val="continue"/>
            <w:shd w:val="clear" w:color="auto" w:fill="FFFFFF"/>
            <w:noWrap w:val="0"/>
            <w:tcMar>
              <w:top w:w="15" w:type="dxa"/>
              <w:left w:w="15" w:type="dxa"/>
              <w:right w:w="15" w:type="dxa"/>
            </w:tcMar>
            <w:vAlign w:val="center"/>
          </w:tcPr>
          <w:p w14:paraId="7FF9B2AF">
            <w:pPr>
              <w:rPr>
                <w:rFonts w:ascii="宋体" w:hAnsi="宋体" w:cs="宋体"/>
                <w:color w:val="auto"/>
                <w:sz w:val="18"/>
                <w:szCs w:val="18"/>
                <w:highlight w:val="none"/>
              </w:rPr>
            </w:pPr>
          </w:p>
        </w:tc>
      </w:tr>
      <w:tr w14:paraId="1DDC33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53" w:hRule="atLeast"/>
        </w:trPr>
        <w:tc>
          <w:tcPr>
            <w:tcW w:w="244" w:type="pct"/>
            <w:shd w:val="clear" w:color="auto" w:fill="FFFFFF"/>
            <w:noWrap w:val="0"/>
            <w:tcMar>
              <w:top w:w="15" w:type="dxa"/>
              <w:left w:w="15" w:type="dxa"/>
              <w:right w:w="15" w:type="dxa"/>
            </w:tcMar>
            <w:vAlign w:val="center"/>
          </w:tcPr>
          <w:p w14:paraId="2F6AA8A8">
            <w:pPr>
              <w:jc w:val="center"/>
              <w:rPr>
                <w:rFonts w:ascii="Arial" w:hAnsi="Arial" w:cs="Arial"/>
                <w:color w:val="auto"/>
                <w:sz w:val="18"/>
                <w:szCs w:val="18"/>
                <w:highlight w:val="none"/>
              </w:rPr>
            </w:pPr>
            <w:r>
              <w:rPr>
                <w:rFonts w:hint="eastAsia" w:ascii="Arial" w:hAnsi="Arial" w:cs="Arial"/>
                <w:color w:val="auto"/>
                <w:sz w:val="18"/>
                <w:szCs w:val="18"/>
                <w:highlight w:val="none"/>
              </w:rPr>
              <w:t>3</w:t>
            </w:r>
          </w:p>
        </w:tc>
        <w:tc>
          <w:tcPr>
            <w:tcW w:w="1084" w:type="pct"/>
            <w:shd w:val="clear" w:color="auto" w:fill="FFFFFF"/>
            <w:noWrap w:val="0"/>
            <w:tcMar>
              <w:top w:w="15" w:type="dxa"/>
              <w:left w:w="15" w:type="dxa"/>
              <w:right w:w="15" w:type="dxa"/>
            </w:tcMar>
            <w:vAlign w:val="center"/>
          </w:tcPr>
          <w:p w14:paraId="49FE945E">
            <w:pPr>
              <w:textAlignment w:val="center"/>
              <w:rPr>
                <w:rFonts w:ascii="宋体" w:hAnsi="宋体" w:cs="宋体"/>
                <w:color w:val="auto"/>
                <w:sz w:val="20"/>
                <w:highlight w:val="none"/>
              </w:rPr>
            </w:pPr>
            <w:r>
              <w:rPr>
                <w:rFonts w:hint="eastAsia" w:ascii="宋体" w:hAnsi="宋体" w:cs="宋体"/>
                <w:color w:val="auto"/>
                <w:sz w:val="20"/>
                <w:highlight w:val="none"/>
              </w:rPr>
              <w:t>电气/自控系统</w:t>
            </w:r>
          </w:p>
        </w:tc>
        <w:tc>
          <w:tcPr>
            <w:tcW w:w="2638" w:type="pct"/>
            <w:shd w:val="clear" w:color="auto" w:fill="FFFFFF"/>
            <w:noWrap w:val="0"/>
            <w:tcMar>
              <w:top w:w="15" w:type="dxa"/>
              <w:left w:w="15" w:type="dxa"/>
              <w:right w:w="15" w:type="dxa"/>
            </w:tcMar>
            <w:vAlign w:val="center"/>
          </w:tcPr>
          <w:p w14:paraId="074DF56D">
            <w:pPr>
              <w:textAlignment w:val="center"/>
              <w:rPr>
                <w:rFonts w:ascii="宋体" w:hAnsi="宋体" w:cs="宋体"/>
                <w:color w:val="auto"/>
                <w:sz w:val="18"/>
                <w:szCs w:val="18"/>
                <w:highlight w:val="none"/>
              </w:rPr>
            </w:pPr>
            <w:r>
              <w:rPr>
                <w:color w:val="auto"/>
                <w:highlight w:val="none"/>
              </w:rPr>
              <w:t>8</w:t>
            </w:r>
            <w:r>
              <w:rPr>
                <w:rFonts w:ascii="宋体" w:hAnsi="宋体" w:cs="宋体"/>
                <w:color w:val="auto"/>
                <w:sz w:val="18"/>
                <w:szCs w:val="18"/>
                <w:highlight w:val="none"/>
              </w:rPr>
              <w:t>00×600×2200（宽×深×高）</w:t>
            </w:r>
            <w:r>
              <w:rPr>
                <w:rFonts w:hint="eastAsia" w:ascii="宋体" w:hAnsi="宋体" w:cs="宋体"/>
                <w:color w:val="auto"/>
                <w:sz w:val="18"/>
                <w:szCs w:val="18"/>
                <w:highlight w:val="none"/>
              </w:rPr>
              <w:t>电气、自控柜（含施耐德M340PLC系统、浪涌保护器、UPS、稳压器及电气元器件）</w:t>
            </w:r>
          </w:p>
          <w:p w14:paraId="39DDCEFF">
            <w:pPr>
              <w:textAlignment w:val="center"/>
              <w:rPr>
                <w:rFonts w:ascii="Arial" w:hAnsi="Arial" w:cs="Arial"/>
                <w:color w:val="auto"/>
                <w:sz w:val="18"/>
                <w:szCs w:val="18"/>
                <w:highlight w:val="none"/>
              </w:rPr>
            </w:pPr>
            <w:r>
              <w:rPr>
                <w:rFonts w:hint="eastAsia" w:ascii="宋体" w:hAnsi="宋体" w:cs="宋体"/>
                <w:color w:val="auto"/>
                <w:sz w:val="18"/>
                <w:szCs w:val="18"/>
                <w:highlight w:val="none"/>
              </w:rPr>
              <w:t>等电位接地装置，</w:t>
            </w:r>
          </w:p>
        </w:tc>
        <w:tc>
          <w:tcPr>
            <w:tcW w:w="441" w:type="pct"/>
            <w:shd w:val="clear" w:color="auto" w:fill="FFFFFF"/>
            <w:noWrap w:val="0"/>
            <w:tcMar>
              <w:top w:w="15" w:type="dxa"/>
              <w:left w:w="15" w:type="dxa"/>
              <w:right w:w="15" w:type="dxa"/>
            </w:tcMar>
            <w:vAlign w:val="center"/>
          </w:tcPr>
          <w:p w14:paraId="1F2498AC">
            <w:pPr>
              <w:jc w:val="center"/>
              <w:textAlignment w:val="center"/>
              <w:rPr>
                <w:rFonts w:ascii="Arial" w:hAnsi="Arial" w:cs="Arial"/>
                <w:color w:val="auto"/>
                <w:sz w:val="20"/>
                <w:highlight w:val="none"/>
              </w:rPr>
            </w:pPr>
            <w:r>
              <w:rPr>
                <w:rFonts w:hint="eastAsia" w:ascii="Arial" w:hAnsi="Arial" w:cs="Arial"/>
                <w:color w:val="auto"/>
                <w:sz w:val="18"/>
                <w:szCs w:val="18"/>
                <w:highlight w:val="none"/>
                <w:lang w:val="en-US" w:eastAsia="zh-CN"/>
              </w:rPr>
              <w:t>16</w:t>
            </w:r>
            <w:r>
              <w:rPr>
                <w:rFonts w:ascii="Arial" w:hAnsi="Arial" w:cs="Arial"/>
                <w:color w:val="auto"/>
                <w:sz w:val="18"/>
                <w:szCs w:val="18"/>
                <w:highlight w:val="none"/>
              </w:rPr>
              <w:t>套</w:t>
            </w:r>
          </w:p>
        </w:tc>
        <w:tc>
          <w:tcPr>
            <w:tcW w:w="593" w:type="pct"/>
            <w:vMerge w:val="continue"/>
            <w:shd w:val="clear" w:color="auto" w:fill="FFFFFF"/>
            <w:noWrap w:val="0"/>
            <w:tcMar>
              <w:top w:w="15" w:type="dxa"/>
              <w:left w:w="15" w:type="dxa"/>
              <w:right w:w="15" w:type="dxa"/>
            </w:tcMar>
            <w:vAlign w:val="center"/>
          </w:tcPr>
          <w:p w14:paraId="3A2A3E66">
            <w:pPr>
              <w:rPr>
                <w:rFonts w:ascii="宋体" w:hAnsi="宋体" w:cs="宋体"/>
                <w:color w:val="auto"/>
                <w:sz w:val="18"/>
                <w:szCs w:val="18"/>
                <w:highlight w:val="none"/>
              </w:rPr>
            </w:pPr>
          </w:p>
        </w:tc>
      </w:tr>
      <w:tr w14:paraId="167475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26" w:hRule="atLeast"/>
        </w:trPr>
        <w:tc>
          <w:tcPr>
            <w:tcW w:w="244" w:type="pct"/>
            <w:shd w:val="clear" w:color="auto" w:fill="FFFFFF"/>
            <w:noWrap w:val="0"/>
            <w:tcMar>
              <w:top w:w="15" w:type="dxa"/>
              <w:left w:w="15" w:type="dxa"/>
              <w:right w:w="15" w:type="dxa"/>
            </w:tcMar>
            <w:vAlign w:val="center"/>
          </w:tcPr>
          <w:p w14:paraId="4F15BD7E">
            <w:pPr>
              <w:jc w:val="center"/>
              <w:rPr>
                <w:rFonts w:ascii="Arial" w:hAnsi="Arial" w:cs="Arial"/>
                <w:color w:val="auto"/>
                <w:sz w:val="18"/>
                <w:szCs w:val="18"/>
                <w:highlight w:val="none"/>
              </w:rPr>
            </w:pPr>
            <w:r>
              <w:rPr>
                <w:rFonts w:hint="eastAsia" w:ascii="Arial" w:hAnsi="Arial" w:cs="Arial"/>
                <w:color w:val="auto"/>
                <w:sz w:val="18"/>
                <w:szCs w:val="18"/>
                <w:highlight w:val="none"/>
              </w:rPr>
              <w:t>4</w:t>
            </w:r>
          </w:p>
        </w:tc>
        <w:tc>
          <w:tcPr>
            <w:tcW w:w="1084" w:type="pct"/>
            <w:shd w:val="clear" w:color="auto" w:fill="FFFFFF"/>
            <w:noWrap w:val="0"/>
            <w:tcMar>
              <w:top w:w="15" w:type="dxa"/>
              <w:left w:w="15" w:type="dxa"/>
              <w:right w:w="15" w:type="dxa"/>
            </w:tcMar>
            <w:vAlign w:val="center"/>
          </w:tcPr>
          <w:p w14:paraId="4A947A7B">
            <w:pP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水质在线仪表</w:t>
            </w:r>
          </w:p>
        </w:tc>
        <w:tc>
          <w:tcPr>
            <w:tcW w:w="2638" w:type="pct"/>
            <w:shd w:val="clear" w:color="auto" w:fill="FFFFFF"/>
            <w:noWrap w:val="0"/>
            <w:tcMar>
              <w:top w:w="15" w:type="dxa"/>
              <w:left w:w="15" w:type="dxa"/>
              <w:right w:w="15" w:type="dxa"/>
            </w:tcMar>
            <w:vAlign w:val="center"/>
          </w:tcPr>
          <w:p w14:paraId="6CEE31A2">
            <w:pPr>
              <w:pStyle w:val="399"/>
              <w:spacing w:before="60" w:after="60"/>
              <w:rPr>
                <w:color w:val="auto"/>
                <w:highlight w:val="none"/>
              </w:rPr>
            </w:pPr>
            <w:r>
              <w:rPr>
                <w:rFonts w:hint="eastAsia" w:ascii="宋体" w:hAnsi="宋体" w:cs="宋体"/>
                <w:color w:val="auto"/>
                <w:sz w:val="18"/>
                <w:szCs w:val="18"/>
                <w:highlight w:val="none"/>
              </w:rPr>
              <w:t>哈希浊度仪、余氯仪、PH仪一套及配套工艺管线、阀门</w:t>
            </w:r>
          </w:p>
        </w:tc>
        <w:tc>
          <w:tcPr>
            <w:tcW w:w="441" w:type="pct"/>
            <w:shd w:val="clear" w:color="auto" w:fill="FFFFFF"/>
            <w:noWrap w:val="0"/>
            <w:tcMar>
              <w:top w:w="15" w:type="dxa"/>
              <w:left w:w="15" w:type="dxa"/>
              <w:right w:w="15" w:type="dxa"/>
            </w:tcMar>
            <w:vAlign w:val="center"/>
          </w:tcPr>
          <w:p w14:paraId="33469DCF">
            <w:pPr>
              <w:jc w:val="center"/>
              <w:textAlignment w:val="center"/>
              <w:rPr>
                <w:rFonts w:ascii="Arial" w:hAnsi="Arial" w:cs="Arial"/>
                <w:color w:val="auto"/>
                <w:sz w:val="18"/>
                <w:szCs w:val="18"/>
                <w:highlight w:val="none"/>
              </w:rPr>
            </w:pPr>
            <w:r>
              <w:rPr>
                <w:rFonts w:hint="eastAsia" w:ascii="Arial" w:hAnsi="Arial" w:cs="Arial"/>
                <w:color w:val="auto"/>
                <w:sz w:val="18"/>
                <w:szCs w:val="18"/>
                <w:highlight w:val="none"/>
                <w:lang w:val="en-US" w:eastAsia="zh-CN"/>
              </w:rPr>
              <w:t>16</w:t>
            </w:r>
            <w:r>
              <w:rPr>
                <w:rFonts w:ascii="Arial" w:hAnsi="Arial" w:cs="Arial"/>
                <w:color w:val="auto"/>
                <w:sz w:val="18"/>
                <w:szCs w:val="18"/>
                <w:highlight w:val="none"/>
              </w:rPr>
              <w:t>套</w:t>
            </w:r>
          </w:p>
        </w:tc>
        <w:tc>
          <w:tcPr>
            <w:tcW w:w="593" w:type="pct"/>
            <w:vMerge w:val="continue"/>
            <w:shd w:val="clear" w:color="auto" w:fill="FFFFFF"/>
            <w:noWrap w:val="0"/>
            <w:tcMar>
              <w:top w:w="15" w:type="dxa"/>
              <w:left w:w="15" w:type="dxa"/>
              <w:right w:w="15" w:type="dxa"/>
            </w:tcMar>
            <w:vAlign w:val="center"/>
          </w:tcPr>
          <w:p w14:paraId="43421AA2">
            <w:pPr>
              <w:rPr>
                <w:rFonts w:ascii="宋体" w:hAnsi="宋体" w:cs="宋体"/>
                <w:color w:val="auto"/>
                <w:sz w:val="18"/>
                <w:szCs w:val="18"/>
                <w:highlight w:val="none"/>
              </w:rPr>
            </w:pPr>
          </w:p>
        </w:tc>
      </w:tr>
      <w:tr w14:paraId="403AA5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8" w:hRule="atLeast"/>
        </w:trPr>
        <w:tc>
          <w:tcPr>
            <w:tcW w:w="244" w:type="pct"/>
            <w:shd w:val="clear" w:color="auto" w:fill="FFFFFF"/>
            <w:noWrap w:val="0"/>
            <w:tcMar>
              <w:top w:w="15" w:type="dxa"/>
              <w:left w:w="15" w:type="dxa"/>
              <w:right w:w="15" w:type="dxa"/>
            </w:tcMar>
            <w:vAlign w:val="center"/>
          </w:tcPr>
          <w:p w14:paraId="51083A34">
            <w:pPr>
              <w:jc w:val="center"/>
              <w:rPr>
                <w:rFonts w:ascii="Arial" w:hAnsi="Arial" w:cs="Arial"/>
                <w:color w:val="auto"/>
                <w:sz w:val="18"/>
                <w:szCs w:val="18"/>
                <w:highlight w:val="none"/>
              </w:rPr>
            </w:pPr>
            <w:r>
              <w:rPr>
                <w:rFonts w:hint="eastAsia" w:ascii="Arial" w:hAnsi="Arial" w:cs="Arial"/>
                <w:color w:val="auto"/>
                <w:sz w:val="18"/>
                <w:szCs w:val="18"/>
                <w:highlight w:val="none"/>
              </w:rPr>
              <w:t>5</w:t>
            </w:r>
          </w:p>
        </w:tc>
        <w:tc>
          <w:tcPr>
            <w:tcW w:w="1084" w:type="pct"/>
            <w:shd w:val="clear" w:color="auto" w:fill="FFFFFF"/>
            <w:noWrap w:val="0"/>
            <w:tcMar>
              <w:top w:w="15" w:type="dxa"/>
              <w:left w:w="15" w:type="dxa"/>
              <w:right w:w="15" w:type="dxa"/>
            </w:tcMar>
            <w:vAlign w:val="center"/>
          </w:tcPr>
          <w:p w14:paraId="4FA84049">
            <w:pP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原水提升系统</w:t>
            </w:r>
          </w:p>
        </w:tc>
        <w:tc>
          <w:tcPr>
            <w:tcW w:w="2638" w:type="pct"/>
            <w:shd w:val="clear" w:color="auto" w:fill="FFFFFF"/>
            <w:noWrap w:val="0"/>
            <w:tcMar>
              <w:top w:w="15" w:type="dxa"/>
              <w:left w:w="15" w:type="dxa"/>
              <w:right w:w="15" w:type="dxa"/>
            </w:tcMar>
            <w:vAlign w:val="center"/>
          </w:tcPr>
          <w:p w14:paraId="43DEEADA">
            <w:pPr>
              <w:pStyle w:val="399"/>
              <w:spacing w:before="60" w:after="60"/>
              <w:rPr>
                <w:rFonts w:ascii="Arial" w:hAnsi="Arial" w:cs="Arial"/>
                <w:color w:val="auto"/>
                <w:sz w:val="18"/>
                <w:szCs w:val="18"/>
                <w:highlight w:val="none"/>
              </w:rPr>
            </w:pPr>
            <w:r>
              <w:rPr>
                <w:rFonts w:hint="eastAsia" w:ascii="宋体" w:hAnsi="宋体" w:cs="宋体"/>
                <w:color w:val="auto"/>
                <w:sz w:val="18"/>
                <w:szCs w:val="18"/>
                <w:highlight w:val="none"/>
              </w:rPr>
              <w:t>格兰富立式多级离心泵一用一备，电动蝶阀、就地控制箱、控制系统及工艺管线（田塘头供水站）</w:t>
            </w:r>
          </w:p>
        </w:tc>
        <w:tc>
          <w:tcPr>
            <w:tcW w:w="441" w:type="pct"/>
            <w:shd w:val="clear" w:color="auto" w:fill="FFFFFF"/>
            <w:noWrap w:val="0"/>
            <w:tcMar>
              <w:top w:w="15" w:type="dxa"/>
              <w:left w:w="15" w:type="dxa"/>
              <w:right w:w="15" w:type="dxa"/>
            </w:tcMar>
            <w:vAlign w:val="center"/>
          </w:tcPr>
          <w:p w14:paraId="776CFF65">
            <w:pPr>
              <w:jc w:val="center"/>
              <w:textAlignment w:val="center"/>
              <w:rPr>
                <w:rFonts w:ascii="Arial" w:hAnsi="Arial" w:cs="Arial"/>
                <w:color w:val="auto"/>
                <w:sz w:val="18"/>
                <w:szCs w:val="18"/>
                <w:highlight w:val="none"/>
              </w:rPr>
            </w:pPr>
            <w:r>
              <w:rPr>
                <w:rFonts w:ascii="Arial" w:hAnsi="Arial" w:cs="Arial"/>
                <w:color w:val="auto"/>
                <w:sz w:val="18"/>
                <w:szCs w:val="18"/>
                <w:highlight w:val="none"/>
              </w:rPr>
              <w:t>1</w:t>
            </w:r>
            <w:r>
              <w:rPr>
                <w:rFonts w:hint="eastAsia" w:ascii="Arial" w:hAnsi="Arial" w:cs="Arial"/>
                <w:color w:val="auto"/>
                <w:sz w:val="18"/>
                <w:szCs w:val="18"/>
                <w:highlight w:val="none"/>
              </w:rPr>
              <w:t>套</w:t>
            </w:r>
          </w:p>
        </w:tc>
        <w:tc>
          <w:tcPr>
            <w:tcW w:w="593" w:type="pct"/>
            <w:vMerge w:val="continue"/>
            <w:shd w:val="clear" w:color="auto" w:fill="FFFFFF"/>
            <w:noWrap w:val="0"/>
            <w:tcMar>
              <w:top w:w="15" w:type="dxa"/>
              <w:left w:w="15" w:type="dxa"/>
              <w:right w:w="15" w:type="dxa"/>
            </w:tcMar>
            <w:vAlign w:val="center"/>
          </w:tcPr>
          <w:p w14:paraId="6CFE7445">
            <w:pPr>
              <w:rPr>
                <w:rFonts w:ascii="宋体" w:hAnsi="宋体" w:cs="宋体"/>
                <w:color w:val="auto"/>
                <w:sz w:val="18"/>
                <w:szCs w:val="18"/>
                <w:highlight w:val="none"/>
              </w:rPr>
            </w:pPr>
          </w:p>
        </w:tc>
      </w:tr>
      <w:tr w14:paraId="55D078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30" w:hRule="atLeast"/>
        </w:trPr>
        <w:tc>
          <w:tcPr>
            <w:tcW w:w="244" w:type="pct"/>
            <w:shd w:val="clear" w:color="auto" w:fill="FFFFFF"/>
            <w:noWrap w:val="0"/>
            <w:tcMar>
              <w:top w:w="15" w:type="dxa"/>
              <w:left w:w="15" w:type="dxa"/>
              <w:right w:w="15" w:type="dxa"/>
            </w:tcMar>
            <w:vAlign w:val="center"/>
          </w:tcPr>
          <w:p w14:paraId="0D8834D8">
            <w:pPr>
              <w:jc w:val="center"/>
              <w:rPr>
                <w:rFonts w:ascii="Arial" w:hAnsi="Arial" w:cs="Arial"/>
                <w:color w:val="auto"/>
                <w:sz w:val="18"/>
                <w:szCs w:val="18"/>
                <w:highlight w:val="none"/>
              </w:rPr>
            </w:pPr>
            <w:r>
              <w:rPr>
                <w:rFonts w:hint="eastAsia" w:ascii="Arial" w:hAnsi="Arial" w:cs="Arial"/>
                <w:color w:val="auto"/>
                <w:sz w:val="18"/>
                <w:szCs w:val="18"/>
                <w:highlight w:val="none"/>
              </w:rPr>
              <w:t>6</w:t>
            </w:r>
          </w:p>
        </w:tc>
        <w:tc>
          <w:tcPr>
            <w:tcW w:w="1084" w:type="pct"/>
            <w:shd w:val="clear" w:color="auto" w:fill="FFFFFF"/>
            <w:noWrap w:val="0"/>
            <w:tcMar>
              <w:top w:w="15" w:type="dxa"/>
              <w:left w:w="15" w:type="dxa"/>
              <w:right w:w="15" w:type="dxa"/>
            </w:tcMar>
            <w:vAlign w:val="center"/>
          </w:tcPr>
          <w:p w14:paraId="27ADB740">
            <w:pPr>
              <w:textAlignment w:val="center"/>
              <w:rPr>
                <w:rFonts w:hint="eastAsia" w:ascii="宋体" w:hAnsi="宋体" w:cs="宋体"/>
                <w:color w:val="auto"/>
                <w:sz w:val="18"/>
                <w:szCs w:val="18"/>
                <w:highlight w:val="none"/>
              </w:rPr>
            </w:pPr>
            <w:r>
              <w:rPr>
                <w:rFonts w:hint="eastAsia" w:ascii="宋体" w:hAnsi="宋体" w:cs="宋体"/>
                <w:color w:val="auto"/>
                <w:sz w:val="18"/>
                <w:szCs w:val="18"/>
                <w:highlight w:val="none"/>
              </w:rPr>
              <w:t>视屏监控</w:t>
            </w:r>
          </w:p>
        </w:tc>
        <w:tc>
          <w:tcPr>
            <w:tcW w:w="2638" w:type="pct"/>
            <w:shd w:val="clear" w:color="auto" w:fill="FFFFFF"/>
            <w:noWrap w:val="0"/>
            <w:tcMar>
              <w:top w:w="15" w:type="dxa"/>
              <w:left w:w="15" w:type="dxa"/>
              <w:right w:w="15" w:type="dxa"/>
            </w:tcMar>
            <w:vAlign w:val="center"/>
          </w:tcPr>
          <w:p w14:paraId="63AC33AD">
            <w:pPr>
              <w:pStyle w:val="399"/>
              <w:spacing w:before="60" w:after="60"/>
              <w:rPr>
                <w:rFonts w:hint="eastAsia" w:ascii="宋体" w:hAnsi="宋体" w:cs="宋体"/>
                <w:color w:val="auto"/>
                <w:sz w:val="18"/>
                <w:szCs w:val="18"/>
                <w:highlight w:val="none"/>
              </w:rPr>
            </w:pPr>
            <w:r>
              <w:rPr>
                <w:rFonts w:hint="eastAsia" w:ascii="宋体" w:hAnsi="宋体" w:cs="宋体"/>
                <w:color w:val="auto"/>
                <w:sz w:val="18"/>
                <w:szCs w:val="18"/>
                <w:highlight w:val="none"/>
              </w:rPr>
              <w:t>高清摄像头、交换机等</w:t>
            </w:r>
          </w:p>
        </w:tc>
        <w:tc>
          <w:tcPr>
            <w:tcW w:w="441" w:type="pct"/>
            <w:shd w:val="clear" w:color="auto" w:fill="FFFFFF"/>
            <w:noWrap w:val="0"/>
            <w:tcMar>
              <w:top w:w="15" w:type="dxa"/>
              <w:left w:w="15" w:type="dxa"/>
              <w:right w:w="15" w:type="dxa"/>
            </w:tcMar>
            <w:vAlign w:val="center"/>
          </w:tcPr>
          <w:p w14:paraId="626DE831">
            <w:pPr>
              <w:jc w:val="center"/>
              <w:textAlignment w:val="center"/>
              <w:rPr>
                <w:rFonts w:ascii="Arial" w:hAnsi="Arial" w:cs="Arial"/>
                <w:color w:val="auto"/>
                <w:sz w:val="18"/>
                <w:szCs w:val="18"/>
                <w:highlight w:val="none"/>
              </w:rPr>
            </w:pPr>
            <w:r>
              <w:rPr>
                <w:rFonts w:hint="eastAsia" w:ascii="Arial" w:hAnsi="Arial" w:cs="Arial"/>
                <w:color w:val="auto"/>
                <w:sz w:val="18"/>
                <w:szCs w:val="18"/>
                <w:highlight w:val="none"/>
                <w:lang w:val="en-US" w:eastAsia="zh-CN"/>
              </w:rPr>
              <w:t>34</w:t>
            </w:r>
            <w:r>
              <w:rPr>
                <w:rFonts w:hint="eastAsia" w:ascii="Arial" w:hAnsi="Arial" w:cs="Arial"/>
                <w:color w:val="auto"/>
                <w:sz w:val="18"/>
                <w:szCs w:val="18"/>
                <w:highlight w:val="none"/>
              </w:rPr>
              <w:t>套</w:t>
            </w:r>
          </w:p>
        </w:tc>
        <w:tc>
          <w:tcPr>
            <w:tcW w:w="593" w:type="pct"/>
            <w:vMerge w:val="continue"/>
            <w:shd w:val="clear" w:color="auto" w:fill="FFFFFF"/>
            <w:noWrap w:val="0"/>
            <w:tcMar>
              <w:top w:w="15" w:type="dxa"/>
              <w:left w:w="15" w:type="dxa"/>
              <w:right w:w="15" w:type="dxa"/>
            </w:tcMar>
            <w:vAlign w:val="center"/>
          </w:tcPr>
          <w:p w14:paraId="44C6BAF8">
            <w:pPr>
              <w:rPr>
                <w:rFonts w:ascii="宋体" w:hAnsi="宋体" w:cs="宋体"/>
                <w:color w:val="auto"/>
                <w:sz w:val="18"/>
                <w:szCs w:val="18"/>
                <w:highlight w:val="none"/>
              </w:rPr>
            </w:pPr>
          </w:p>
        </w:tc>
      </w:tr>
    </w:tbl>
    <w:p w14:paraId="5428BE3A">
      <w:pPr>
        <w:spacing w:line="440" w:lineRule="atLeast"/>
        <w:ind w:left="109" w:hanging="330"/>
        <w:rPr>
          <w:rFonts w:hint="eastAsia" w:ascii="宋体" w:hAnsi="宋体" w:cs="宋体"/>
          <w:b/>
          <w:bCs/>
          <w:color w:val="auto"/>
          <w:sz w:val="22"/>
          <w:szCs w:val="22"/>
          <w:highlight w:val="none"/>
          <w:u w:val="single"/>
        </w:rPr>
      </w:pPr>
      <w:r>
        <w:rPr>
          <w:rFonts w:hint="eastAsia" w:ascii="宋体" w:hAnsi="宋体" w:cs="宋体"/>
          <w:b/>
          <w:bCs/>
          <w:color w:val="auto"/>
          <w:sz w:val="22"/>
          <w:szCs w:val="22"/>
          <w:highlight w:val="none"/>
        </w:rPr>
        <w:t>四、标准及要求：</w:t>
      </w:r>
    </w:p>
    <w:p w14:paraId="488A0BEB">
      <w:pPr>
        <w:spacing w:line="276" w:lineRule="auto"/>
        <w:ind w:firstLine="440" w:firstLineChars="200"/>
        <w:outlineLvl w:val="0"/>
        <w:rPr>
          <w:rFonts w:ascii="宋体" w:hAnsi="宋体" w:cs="仿宋"/>
          <w:color w:val="auto"/>
          <w:kern w:val="0"/>
          <w:sz w:val="24"/>
          <w:highlight w:val="none"/>
        </w:rPr>
      </w:pPr>
      <w:r>
        <w:rPr>
          <w:rFonts w:hint="eastAsia" w:ascii="宋体" w:hAnsi="宋体" w:cs="宋体"/>
          <w:color w:val="auto"/>
          <w:sz w:val="22"/>
          <w:szCs w:val="22"/>
          <w:highlight w:val="none"/>
        </w:rPr>
        <w:t>统管运维工作按《生活饮用水卫生标准》(GB 5749-2022)、《浙江省农村供水保障办法》（政府令第400号)等相关文件的要求来执行。</w:t>
      </w:r>
    </w:p>
    <w:p w14:paraId="15A777D3">
      <w:pPr>
        <w:spacing w:line="440" w:lineRule="atLeast"/>
        <w:ind w:left="109" w:hanging="33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五、设备技术要求及规范</w:t>
      </w:r>
    </w:p>
    <w:p w14:paraId="613D91E8">
      <w:pPr>
        <w:tabs>
          <w:tab w:val="left" w:pos="851"/>
        </w:tabs>
        <w:snapToGrid w:val="0"/>
        <w:spacing w:before="240" w:beforeLines="100" w:line="360" w:lineRule="auto"/>
        <w:rPr>
          <w:rFonts w:ascii="Arial" w:hAnsi="Arial" w:cs="Arial"/>
          <w:b/>
          <w:bCs/>
          <w:color w:val="auto"/>
          <w:sz w:val="22"/>
          <w:szCs w:val="22"/>
          <w:highlight w:val="none"/>
        </w:rPr>
      </w:pPr>
      <w:bookmarkStart w:id="228" w:name="_Toc28159"/>
      <w:bookmarkStart w:id="229" w:name="_Toc16175"/>
      <w:bookmarkStart w:id="230" w:name="_Toc24274"/>
      <w:bookmarkStart w:id="231" w:name="_Toc669"/>
      <w:bookmarkStart w:id="232" w:name="_Toc29646"/>
      <w:r>
        <w:rPr>
          <w:rFonts w:hint="eastAsia" w:ascii="Arial" w:hAnsi="Arial" w:cs="Arial"/>
          <w:b/>
          <w:bCs/>
          <w:color w:val="auto"/>
          <w:sz w:val="22"/>
          <w:szCs w:val="22"/>
          <w:highlight w:val="none"/>
        </w:rPr>
        <w:t>1.有机膜净水设备工艺要求：</w:t>
      </w:r>
    </w:p>
    <w:p w14:paraId="57ABF371">
      <w:pPr>
        <w:numPr>
          <w:ilvl w:val="1"/>
          <w:numId w:val="8"/>
        </w:numPr>
        <w:snapToGrid w:val="0"/>
        <w:spacing w:line="360" w:lineRule="auto"/>
        <w:rPr>
          <w:rFonts w:ascii="Arial" w:hAnsi="宋体" w:cs="Arial"/>
          <w:color w:val="auto"/>
          <w:highlight w:val="none"/>
        </w:rPr>
      </w:pPr>
      <w:r>
        <w:rPr>
          <w:rFonts w:hint="eastAsia" w:ascii="Arial" w:hAnsi="宋体" w:cs="Arial"/>
          <w:color w:val="auto"/>
          <w:highlight w:val="none"/>
        </w:rPr>
        <w:t xml:space="preserve">▲ </w:t>
      </w:r>
      <w:r>
        <w:rPr>
          <w:rFonts w:hint="eastAsia" w:ascii="Arial" w:hAnsi="宋体" w:cs="Arial"/>
          <w:color w:val="auto"/>
          <w:highlight w:val="none"/>
          <w:u w:val="wave"/>
        </w:rPr>
        <w:t>选用浸没式外压超滤集成设备，设备采用超滤膜过滤制水工艺，设备须适应较大的水质波动，在水源地水质发生较大水质波动时，仍须提供优于国家自来水水质标准的出水</w:t>
      </w:r>
      <w:r>
        <w:rPr>
          <w:rFonts w:hint="eastAsia" w:ascii="Arial" w:hAnsi="宋体" w:cs="Arial"/>
          <w:color w:val="auto"/>
          <w:highlight w:val="none"/>
        </w:rPr>
        <w:t>。</w:t>
      </w:r>
    </w:p>
    <w:p w14:paraId="2EC2DB2F">
      <w:pPr>
        <w:numPr>
          <w:ilvl w:val="1"/>
          <w:numId w:val="8"/>
        </w:numPr>
        <w:snapToGrid w:val="0"/>
        <w:spacing w:line="360" w:lineRule="auto"/>
        <w:rPr>
          <w:rFonts w:ascii="Arial" w:hAnsi="宋体" w:cs="Arial"/>
          <w:color w:val="auto"/>
          <w:highlight w:val="none"/>
        </w:rPr>
      </w:pPr>
      <w:r>
        <w:rPr>
          <w:rFonts w:hint="eastAsia" w:ascii="Arial" w:hAnsi="宋体" w:cs="Arial"/>
          <w:color w:val="auto"/>
          <w:highlight w:val="none"/>
        </w:rPr>
        <w:t>工艺流程如下：</w:t>
      </w:r>
    </w:p>
    <w:p w14:paraId="45F4C3F0">
      <w:pPr>
        <w:pStyle w:val="26"/>
        <w:rPr>
          <w:color w:val="auto"/>
          <w:highlight w:val="none"/>
        </w:rPr>
      </w:pPr>
      <w:r>
        <w:rPr>
          <w:color w:val="auto"/>
          <w:highlight w:val="none"/>
        </w:rPr>
        <w:drawing>
          <wp:inline distT="0" distB="0" distL="114300" distR="114300">
            <wp:extent cx="5274310" cy="1051560"/>
            <wp:effectExtent l="0" t="0" r="2540" b="15240"/>
            <wp:docPr id="3" name="图片 1" descr="C:\Users\admin\AppData\Local\Temp\WeChat Files\726e7647a4b244e43ea42f77c79a10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C:\Users\admin\AppData\Local\Temp\WeChat Files\726e7647a4b244e43ea42f77c79a10b.png"/>
                    <pic:cNvPicPr>
                      <a:picLocks noChangeAspect="1"/>
                    </pic:cNvPicPr>
                  </pic:nvPicPr>
                  <pic:blipFill>
                    <a:blip r:embed="rId14"/>
                    <a:stretch>
                      <a:fillRect/>
                    </a:stretch>
                  </pic:blipFill>
                  <pic:spPr>
                    <a:xfrm>
                      <a:off x="0" y="0"/>
                      <a:ext cx="5274310" cy="1051560"/>
                    </a:xfrm>
                    <a:prstGeom prst="rect">
                      <a:avLst/>
                    </a:prstGeom>
                    <a:noFill/>
                    <a:ln>
                      <a:noFill/>
                    </a:ln>
                  </pic:spPr>
                </pic:pic>
              </a:graphicData>
            </a:graphic>
          </wp:inline>
        </w:drawing>
      </w:r>
    </w:p>
    <w:p w14:paraId="30DFF54E">
      <w:pPr>
        <w:numPr>
          <w:ilvl w:val="1"/>
          <w:numId w:val="8"/>
        </w:numPr>
        <w:snapToGrid w:val="0"/>
        <w:spacing w:line="360" w:lineRule="auto"/>
        <w:rPr>
          <w:rFonts w:ascii="Arial" w:hAnsi="宋体" w:cs="Arial"/>
          <w:color w:val="auto"/>
          <w:highlight w:val="none"/>
        </w:rPr>
      </w:pPr>
      <w:r>
        <w:rPr>
          <w:rFonts w:hint="eastAsia" w:ascii="Arial" w:hAnsi="宋体" w:cs="Arial"/>
          <w:color w:val="auto"/>
          <w:highlight w:val="none"/>
        </w:rPr>
        <w:t xml:space="preserve">▲ </w:t>
      </w:r>
      <w:r>
        <w:rPr>
          <w:rFonts w:hint="eastAsia" w:ascii="Arial" w:hAnsi="宋体" w:cs="Arial"/>
          <w:color w:val="auto"/>
          <w:highlight w:val="none"/>
          <w:u w:val="wave"/>
        </w:rPr>
        <w:t>原水经净化装置后，通过消毒剂消毒后出口水质符合《</w:t>
      </w:r>
      <w:r>
        <w:rPr>
          <w:rFonts w:hint="eastAsia" w:ascii="Arial" w:hAnsi="宋体" w:eastAsia="宋体" w:cs="Arial"/>
          <w:color w:val="auto"/>
          <w:highlight w:val="none"/>
          <w:u w:val="wave"/>
        </w:rPr>
        <w:t>生活饮用水卫生标准》(GB 5749-2022)，其中出口水</w:t>
      </w:r>
      <w:r>
        <w:rPr>
          <w:rFonts w:hint="eastAsia" w:ascii="Arial" w:hAnsi="宋体" w:cs="Arial"/>
          <w:color w:val="auto"/>
          <w:highlight w:val="none"/>
          <w:u w:val="wave"/>
          <w:lang w:eastAsia="zh-CN"/>
        </w:rPr>
        <w:t>（</w:t>
      </w:r>
      <w:r>
        <w:rPr>
          <w:rFonts w:hint="eastAsia" w:ascii="Arial" w:hAnsi="宋体" w:eastAsia="宋体" w:cs="Arial"/>
          <w:color w:val="auto"/>
          <w:highlight w:val="none"/>
          <w:u w:val="wave"/>
        </w:rPr>
        <w:t>出</w:t>
      </w:r>
      <w:r>
        <w:rPr>
          <w:rFonts w:hint="eastAsia" w:ascii="Arial" w:hAnsi="宋体" w:cs="Arial"/>
          <w:color w:val="auto"/>
          <w:highlight w:val="none"/>
          <w:u w:val="wave"/>
          <w:lang w:val="en-US" w:eastAsia="zh-CN"/>
        </w:rPr>
        <w:t>厂</w:t>
      </w:r>
      <w:r>
        <w:rPr>
          <w:rFonts w:hint="eastAsia" w:ascii="Arial" w:hAnsi="宋体" w:eastAsia="宋体" w:cs="Arial"/>
          <w:color w:val="auto"/>
          <w:highlight w:val="none"/>
          <w:u w:val="wave"/>
        </w:rPr>
        <w:t>水</w:t>
      </w:r>
      <w:r>
        <w:rPr>
          <w:rFonts w:hint="eastAsia" w:ascii="Arial" w:hAnsi="宋体" w:cs="Arial"/>
          <w:color w:val="auto"/>
          <w:highlight w:val="none"/>
          <w:u w:val="wave"/>
          <w:lang w:eastAsia="zh-CN"/>
        </w:rPr>
        <w:t>）</w:t>
      </w:r>
      <w:r>
        <w:rPr>
          <w:rFonts w:hint="eastAsia" w:ascii="Arial" w:hAnsi="宋体" w:eastAsia="宋体" w:cs="Arial"/>
          <w:color w:val="auto"/>
          <w:highlight w:val="none"/>
          <w:u w:val="wave"/>
        </w:rPr>
        <w:t>浊</w:t>
      </w:r>
      <w:r>
        <w:rPr>
          <w:rFonts w:hint="eastAsia" w:ascii="Arial" w:hAnsi="宋体" w:cs="Arial"/>
          <w:color w:val="auto"/>
          <w:highlight w:val="none"/>
          <w:u w:val="wave"/>
        </w:rPr>
        <w:t>度要求</w:t>
      </w:r>
      <w:r>
        <w:rPr>
          <w:rFonts w:hint="eastAsia" w:ascii="Arial" w:hAnsi="宋体" w:eastAsia="宋体" w:cs="Arial"/>
          <w:color w:val="auto"/>
          <w:highlight w:val="none"/>
          <w:u w:val="wave"/>
        </w:rPr>
        <w:t>小于</w:t>
      </w:r>
      <w:r>
        <w:rPr>
          <w:rFonts w:hint="eastAsia" w:ascii="Arial" w:hAnsi="宋体" w:eastAsia="宋体" w:cs="Arial"/>
          <w:color w:val="auto"/>
          <w:highlight w:val="none"/>
          <w:u w:val="wave"/>
          <w:lang w:val="en-US" w:eastAsia="zh-CN"/>
        </w:rPr>
        <w:t>1</w:t>
      </w:r>
      <w:r>
        <w:rPr>
          <w:rFonts w:hint="eastAsia" w:ascii="Arial" w:hAnsi="宋体" w:eastAsia="宋体" w:cs="Arial"/>
          <w:color w:val="auto"/>
          <w:highlight w:val="none"/>
          <w:u w:val="wave"/>
        </w:rPr>
        <w:t>NTU，要</w:t>
      </w:r>
      <w:r>
        <w:rPr>
          <w:rFonts w:hint="eastAsia" w:ascii="Arial" w:hAnsi="宋体" w:cs="Arial"/>
          <w:color w:val="auto"/>
          <w:highlight w:val="none"/>
          <w:u w:val="wave"/>
        </w:rPr>
        <w:t>求净水装置对低温、低浊、高浊及季节性藻类，有其特殊适应能力</w:t>
      </w:r>
      <w:r>
        <w:rPr>
          <w:rFonts w:hint="eastAsia" w:ascii="Arial" w:hAnsi="宋体" w:cs="Arial"/>
          <w:color w:val="auto"/>
          <w:highlight w:val="none"/>
        </w:rPr>
        <w:t>。</w:t>
      </w:r>
    </w:p>
    <w:p w14:paraId="22CE8E97">
      <w:pPr>
        <w:numPr>
          <w:ilvl w:val="1"/>
          <w:numId w:val="8"/>
        </w:numPr>
        <w:snapToGrid w:val="0"/>
        <w:spacing w:line="360" w:lineRule="auto"/>
        <w:rPr>
          <w:rFonts w:ascii="Arial" w:hAnsi="宋体" w:cs="Arial"/>
          <w:color w:val="auto"/>
          <w:highlight w:val="none"/>
        </w:rPr>
      </w:pPr>
      <w:r>
        <w:rPr>
          <w:rFonts w:hint="eastAsia" w:ascii="Arial" w:hAnsi="宋体" w:cs="Arial"/>
          <w:color w:val="auto"/>
          <w:highlight w:val="none"/>
        </w:rPr>
        <w:t>本设备须具备远程传输数据的能力，每个供水点的设备运行实时数据均可上传到</w:t>
      </w:r>
      <w:r>
        <w:rPr>
          <w:rFonts w:hint="eastAsia" w:ascii="Arial" w:hAnsi="宋体" w:cs="Arial"/>
          <w:color w:val="auto"/>
          <w:highlight w:val="none"/>
          <w:u w:val="wave"/>
        </w:rPr>
        <w:t>石鼓山中控室，并接入政府农供水数字化管理平台</w:t>
      </w:r>
      <w:r>
        <w:rPr>
          <w:rFonts w:hint="eastAsia" w:ascii="Arial" w:hAnsi="宋体" w:cs="Arial"/>
          <w:color w:val="auto"/>
          <w:highlight w:val="none"/>
        </w:rPr>
        <w:t>，管理人员只需要电脑或者手机即可了解各个点的运行状态，同时可以远程控制管理各供水点的设备运行，巡检人员只需要根据平台的报警，给药桶加药即可，真正实现无人值守。</w:t>
      </w:r>
    </w:p>
    <w:p w14:paraId="49E22786">
      <w:pPr>
        <w:numPr>
          <w:ilvl w:val="1"/>
          <w:numId w:val="8"/>
        </w:numPr>
        <w:snapToGrid w:val="0"/>
        <w:spacing w:line="360" w:lineRule="auto"/>
        <w:rPr>
          <w:color w:val="auto"/>
          <w:sz w:val="20"/>
          <w:szCs w:val="20"/>
          <w:highlight w:val="none"/>
        </w:rPr>
      </w:pPr>
      <w:r>
        <w:rPr>
          <w:rFonts w:cs="宋体"/>
          <w:b/>
          <w:bCs/>
          <w:color w:val="auto"/>
          <w:sz w:val="20"/>
          <w:szCs w:val="20"/>
          <w:highlight w:val="none"/>
        </w:rPr>
        <w:t>有机膜成套设备</w:t>
      </w:r>
    </w:p>
    <w:p w14:paraId="6AA018F4">
      <w:pPr>
        <w:pStyle w:val="26"/>
        <w:rPr>
          <w:rFonts w:cs="宋体"/>
          <w:b/>
          <w:bCs/>
          <w:color w:val="auto"/>
          <w:sz w:val="20"/>
          <w:szCs w:val="20"/>
          <w:highlight w:val="none"/>
        </w:rPr>
      </w:pPr>
      <w:r>
        <w:rPr>
          <w:rFonts w:hint="eastAsia" w:cs="宋体"/>
          <w:b/>
          <w:bCs/>
          <w:color w:val="auto"/>
          <w:sz w:val="20"/>
          <w:szCs w:val="20"/>
          <w:highlight w:val="none"/>
        </w:rPr>
        <w:t>1.5.1</w:t>
      </w:r>
      <w:r>
        <w:rPr>
          <w:rFonts w:cs="宋体"/>
          <w:b/>
          <w:bCs/>
          <w:color w:val="auto"/>
          <w:sz w:val="20"/>
          <w:szCs w:val="20"/>
          <w:highlight w:val="none"/>
        </w:rPr>
        <w:t>浸没式膜装置</w:t>
      </w:r>
    </w:p>
    <w:p w14:paraId="7BFCFD6F">
      <w:pPr>
        <w:spacing w:line="360" w:lineRule="auto"/>
        <w:textAlignment w:val="center"/>
        <w:rPr>
          <w:color w:val="auto"/>
          <w:highlight w:val="none"/>
        </w:rPr>
      </w:pPr>
      <w:r>
        <w:rPr>
          <w:color w:val="auto"/>
          <w:highlight w:val="none"/>
        </w:rPr>
        <w:t>1</w:t>
      </w:r>
      <w:r>
        <w:rPr>
          <w:rFonts w:hint="eastAsia"/>
          <w:color w:val="auto"/>
          <w:highlight w:val="none"/>
        </w:rPr>
        <w:t>）</w:t>
      </w:r>
      <w:r>
        <w:rPr>
          <w:color w:val="auto"/>
          <w:highlight w:val="none"/>
        </w:rPr>
        <w:t>、实现在膜池内可安装；膜通量≤30L/m2·h，需足量使用膜材料，以满足正常产水的需求，保证产水能力、出水水质达到或优于招标要求；装置产水运行时不耗电；</w:t>
      </w:r>
    </w:p>
    <w:p w14:paraId="4A7A2D4F">
      <w:pPr>
        <w:spacing w:line="360" w:lineRule="auto"/>
        <w:textAlignment w:val="center"/>
        <w:rPr>
          <w:color w:val="auto"/>
          <w:highlight w:val="none"/>
        </w:rPr>
      </w:pPr>
      <w:r>
        <w:rPr>
          <w:color w:val="auto"/>
          <w:highlight w:val="none"/>
        </w:rPr>
        <w:t>2</w:t>
      </w:r>
      <w:r>
        <w:rPr>
          <w:rFonts w:hint="eastAsia"/>
          <w:color w:val="auto"/>
          <w:highlight w:val="none"/>
        </w:rPr>
        <w:t>）</w:t>
      </w:r>
      <w:r>
        <w:rPr>
          <w:color w:val="auto"/>
          <w:highlight w:val="none"/>
        </w:rPr>
        <w:t>、膜材料为PVDF</w:t>
      </w:r>
      <w:r>
        <w:rPr>
          <w:rFonts w:hint="eastAsia"/>
          <w:color w:val="auto"/>
          <w:highlight w:val="none"/>
        </w:rPr>
        <w:t>超滤膜</w:t>
      </w:r>
      <w:r>
        <w:rPr>
          <w:color w:val="auto"/>
          <w:highlight w:val="none"/>
        </w:rPr>
        <w:t xml:space="preserve">； </w:t>
      </w:r>
    </w:p>
    <w:p w14:paraId="7FB869DF">
      <w:pPr>
        <w:spacing w:line="360" w:lineRule="auto"/>
        <w:textAlignment w:val="center"/>
        <w:rPr>
          <w:color w:val="auto"/>
          <w:highlight w:val="none"/>
        </w:rPr>
      </w:pPr>
      <w:r>
        <w:rPr>
          <w:color w:val="auto"/>
          <w:highlight w:val="none"/>
        </w:rPr>
        <w:t>3</w:t>
      </w:r>
      <w:r>
        <w:rPr>
          <w:rFonts w:hint="eastAsia"/>
          <w:color w:val="auto"/>
          <w:highlight w:val="none"/>
        </w:rPr>
        <w:t>）</w:t>
      </w:r>
      <w:r>
        <w:rPr>
          <w:color w:val="auto"/>
          <w:highlight w:val="none"/>
        </w:rPr>
        <w:t>、▲膜孔径≤0.03μm，且具有权威第三方机构出具的证明文件；</w:t>
      </w:r>
    </w:p>
    <w:p w14:paraId="69B76867">
      <w:pPr>
        <w:spacing w:line="360" w:lineRule="auto"/>
        <w:textAlignment w:val="center"/>
        <w:rPr>
          <w:color w:val="auto"/>
          <w:highlight w:val="none"/>
        </w:rPr>
      </w:pPr>
      <w:r>
        <w:rPr>
          <w:color w:val="auto"/>
          <w:highlight w:val="none"/>
        </w:rPr>
        <w:t>4</w:t>
      </w:r>
      <w:r>
        <w:rPr>
          <w:rFonts w:hint="eastAsia"/>
          <w:color w:val="auto"/>
          <w:highlight w:val="none"/>
        </w:rPr>
        <w:t>）</w:t>
      </w:r>
      <w:r>
        <w:rPr>
          <w:color w:val="auto"/>
          <w:highlight w:val="none"/>
        </w:rPr>
        <w:t>、</w:t>
      </w:r>
      <w:r>
        <w:rPr>
          <w:rFonts w:hint="eastAsia"/>
          <w:color w:val="auto"/>
          <w:highlight w:val="none"/>
        </w:rPr>
        <w:t>▲投标单位自行考虑增加设备计将出水送入清水池；</w:t>
      </w:r>
    </w:p>
    <w:p w14:paraId="05FBF234">
      <w:pPr>
        <w:spacing w:line="360" w:lineRule="auto"/>
        <w:textAlignment w:val="center"/>
        <w:rPr>
          <w:color w:val="auto"/>
          <w:highlight w:val="none"/>
        </w:rPr>
      </w:pPr>
      <w:r>
        <w:rPr>
          <w:rFonts w:hint="eastAsia"/>
          <w:color w:val="auto"/>
          <w:highlight w:val="none"/>
        </w:rPr>
        <w:t>5）、膜箱须采用304标号及以上不锈钢，钢板厚度≥3mm。</w:t>
      </w:r>
    </w:p>
    <w:p w14:paraId="440C76EA">
      <w:pPr>
        <w:pStyle w:val="26"/>
        <w:rPr>
          <w:rFonts w:ascii="Arial" w:hAnsi="Arial" w:cs="Arial"/>
          <w:b/>
          <w:color w:val="auto"/>
          <w:szCs w:val="21"/>
          <w:highlight w:val="none"/>
        </w:rPr>
      </w:pPr>
      <w:r>
        <w:rPr>
          <w:rFonts w:hint="eastAsia" w:ascii="Arial" w:hAnsi="Arial" w:cs="Arial"/>
          <w:b/>
          <w:color w:val="auto"/>
          <w:szCs w:val="21"/>
          <w:highlight w:val="none"/>
        </w:rPr>
        <w:t>1.5.2</w:t>
      </w:r>
      <w:r>
        <w:rPr>
          <w:rFonts w:ascii="Arial" w:hAnsi="Arial" w:cs="Arial"/>
          <w:b/>
          <w:color w:val="auto"/>
          <w:szCs w:val="21"/>
          <w:highlight w:val="none"/>
        </w:rPr>
        <w:t>膜维护装置</w:t>
      </w:r>
    </w:p>
    <w:p w14:paraId="280F226E">
      <w:pPr>
        <w:spacing w:line="360" w:lineRule="auto"/>
        <w:textAlignment w:val="center"/>
        <w:rPr>
          <w:rFonts w:ascii="宋体" w:hAnsi="宋体"/>
          <w:color w:val="auto"/>
          <w:sz w:val="22"/>
          <w:szCs w:val="22"/>
          <w:highlight w:val="none"/>
        </w:rPr>
      </w:pPr>
      <w:r>
        <w:rPr>
          <w:rFonts w:ascii="宋体" w:hAnsi="宋体"/>
          <w:color w:val="auto"/>
          <w:sz w:val="22"/>
          <w:szCs w:val="22"/>
          <w:highlight w:val="none"/>
        </w:rPr>
        <w:t>1、通过产生气流、水流的双相作用，对膜材料表面的滤饼层进行控制维护，使其即达到保护膜材料的作用，又不会造成过大的水头损失。 保持膜滤饼层在10-30微米范围，使水头损失不超过1.5米。</w:t>
      </w:r>
    </w:p>
    <w:p w14:paraId="6EDA2D32">
      <w:pPr>
        <w:spacing w:line="360" w:lineRule="auto"/>
        <w:textAlignment w:val="center"/>
        <w:rPr>
          <w:rFonts w:ascii="宋体" w:hAnsi="宋体"/>
          <w:color w:val="auto"/>
          <w:sz w:val="22"/>
          <w:szCs w:val="22"/>
          <w:highlight w:val="none"/>
        </w:rPr>
      </w:pPr>
      <w:r>
        <w:rPr>
          <w:rFonts w:ascii="宋体" w:hAnsi="宋体"/>
          <w:color w:val="auto"/>
          <w:sz w:val="22"/>
          <w:szCs w:val="22"/>
          <w:highlight w:val="none"/>
        </w:rPr>
        <w:t>2、维护桶：PE材质，50L，1只；PE材质，100L，1只</w:t>
      </w:r>
    </w:p>
    <w:p w14:paraId="76F05ECC">
      <w:pPr>
        <w:pStyle w:val="26"/>
        <w:rPr>
          <w:rFonts w:ascii="Arial" w:hAnsi="Arial" w:cs="Arial"/>
          <w:b/>
          <w:color w:val="auto"/>
          <w:szCs w:val="21"/>
          <w:highlight w:val="none"/>
        </w:rPr>
      </w:pPr>
      <w:r>
        <w:rPr>
          <w:rFonts w:hint="eastAsia" w:ascii="Arial" w:hAnsi="Arial" w:cs="Arial"/>
          <w:b/>
          <w:color w:val="auto"/>
          <w:szCs w:val="21"/>
          <w:highlight w:val="none"/>
        </w:rPr>
        <w:t>1.5.3</w:t>
      </w:r>
      <w:r>
        <w:rPr>
          <w:rFonts w:ascii="Arial" w:hAnsi="Arial" w:cs="Arial"/>
          <w:b/>
          <w:color w:val="auto"/>
          <w:szCs w:val="21"/>
          <w:highlight w:val="none"/>
        </w:rPr>
        <w:t>压力传感器</w:t>
      </w:r>
    </w:p>
    <w:p w14:paraId="2F549FE5">
      <w:pPr>
        <w:pStyle w:val="26"/>
        <w:rPr>
          <w:rFonts w:ascii="宋体" w:hAnsi="宋体"/>
          <w:color w:val="auto"/>
          <w:sz w:val="22"/>
          <w:szCs w:val="22"/>
          <w:highlight w:val="none"/>
        </w:rPr>
      </w:pPr>
      <w:r>
        <w:rPr>
          <w:rFonts w:ascii="宋体" w:hAnsi="宋体"/>
          <w:color w:val="auto"/>
          <w:sz w:val="22"/>
          <w:szCs w:val="22"/>
          <w:highlight w:val="none"/>
        </w:rPr>
        <w:t>压力：0~0.1MPa，探头接液材质：SUS316L,膜片材质：SUS316L ，两线制24VDC, 输出信号： 4~20mA ，带显示 ,精度要求：±0.5%FS ，螺纹：M20×1.5，配内丝，温度：-10~80℃</w:t>
      </w:r>
    </w:p>
    <w:p w14:paraId="119C8806">
      <w:pPr>
        <w:pStyle w:val="26"/>
        <w:rPr>
          <w:rFonts w:ascii="Arial" w:hAnsi="Arial" w:cs="Arial"/>
          <w:b/>
          <w:color w:val="auto"/>
          <w:szCs w:val="21"/>
          <w:highlight w:val="none"/>
        </w:rPr>
      </w:pPr>
      <w:r>
        <w:rPr>
          <w:rFonts w:hint="eastAsia" w:ascii="Arial" w:hAnsi="Arial" w:cs="Arial"/>
          <w:b/>
          <w:color w:val="auto"/>
          <w:szCs w:val="21"/>
          <w:highlight w:val="none"/>
        </w:rPr>
        <w:t>1.5.4</w:t>
      </w:r>
      <w:r>
        <w:rPr>
          <w:rFonts w:ascii="Arial" w:hAnsi="Arial" w:cs="Arial"/>
          <w:b/>
          <w:color w:val="auto"/>
          <w:szCs w:val="21"/>
          <w:highlight w:val="none"/>
        </w:rPr>
        <w:t>压力/液位变送器</w:t>
      </w:r>
    </w:p>
    <w:p w14:paraId="625F75E7">
      <w:pPr>
        <w:spacing w:line="360" w:lineRule="auto"/>
        <w:textAlignment w:val="center"/>
        <w:rPr>
          <w:rFonts w:ascii="宋体" w:hAnsi="宋体"/>
          <w:color w:val="auto"/>
          <w:sz w:val="22"/>
          <w:szCs w:val="22"/>
          <w:highlight w:val="none"/>
        </w:rPr>
      </w:pPr>
      <w:r>
        <w:rPr>
          <w:rFonts w:ascii="宋体" w:hAnsi="宋体"/>
          <w:color w:val="auto"/>
          <w:sz w:val="22"/>
          <w:szCs w:val="22"/>
          <w:highlight w:val="none"/>
        </w:rPr>
        <w:t>侧装，量程：0~3m， 介质：水， 探头接液材质：SUS316L,</w:t>
      </w:r>
    </w:p>
    <w:p w14:paraId="5BDDCFA4">
      <w:pPr>
        <w:spacing w:line="360" w:lineRule="auto"/>
        <w:textAlignment w:val="center"/>
        <w:rPr>
          <w:rFonts w:ascii="宋体" w:hAnsi="宋体"/>
          <w:color w:val="auto"/>
          <w:sz w:val="22"/>
          <w:szCs w:val="22"/>
          <w:highlight w:val="none"/>
        </w:rPr>
      </w:pPr>
      <w:r>
        <w:rPr>
          <w:rFonts w:ascii="宋体" w:hAnsi="宋体"/>
          <w:color w:val="auto"/>
          <w:sz w:val="22"/>
          <w:szCs w:val="22"/>
          <w:highlight w:val="none"/>
        </w:rPr>
        <w:t>膜片材质：SUS316L， 两线制24VDC， 输出信号： 4~20mA ，</w:t>
      </w:r>
    </w:p>
    <w:p w14:paraId="6F424115">
      <w:pPr>
        <w:spacing w:line="360" w:lineRule="auto"/>
        <w:textAlignment w:val="center"/>
        <w:rPr>
          <w:rFonts w:ascii="宋体" w:hAnsi="宋体"/>
          <w:color w:val="auto"/>
          <w:sz w:val="22"/>
          <w:szCs w:val="22"/>
          <w:highlight w:val="none"/>
        </w:rPr>
      </w:pPr>
      <w:r>
        <w:rPr>
          <w:rFonts w:ascii="宋体" w:hAnsi="宋体"/>
          <w:color w:val="auto"/>
          <w:sz w:val="22"/>
          <w:szCs w:val="22"/>
          <w:highlight w:val="none"/>
        </w:rPr>
        <w:t>不带显示， 精度要求：±0.5%FS ， 螺纹：M20×1.5，配内丝，</w:t>
      </w:r>
    </w:p>
    <w:p w14:paraId="3FDD6E4A">
      <w:pPr>
        <w:pStyle w:val="26"/>
        <w:rPr>
          <w:rFonts w:ascii="宋体" w:hAnsi="宋体"/>
          <w:color w:val="auto"/>
          <w:sz w:val="22"/>
          <w:szCs w:val="22"/>
          <w:highlight w:val="none"/>
        </w:rPr>
      </w:pPr>
      <w:r>
        <w:rPr>
          <w:rFonts w:ascii="宋体" w:hAnsi="宋体"/>
          <w:color w:val="auto"/>
          <w:sz w:val="22"/>
          <w:szCs w:val="22"/>
          <w:highlight w:val="none"/>
        </w:rPr>
        <w:t xml:space="preserve">温度：-10~80℃ </w:t>
      </w:r>
    </w:p>
    <w:p w14:paraId="6B42F197">
      <w:pPr>
        <w:pStyle w:val="26"/>
        <w:rPr>
          <w:rFonts w:ascii="宋体" w:hAnsi="宋体" w:cs="宋体"/>
          <w:b/>
          <w:bCs/>
          <w:color w:val="auto"/>
          <w:sz w:val="20"/>
          <w:szCs w:val="20"/>
          <w:highlight w:val="none"/>
        </w:rPr>
      </w:pPr>
      <w:r>
        <w:rPr>
          <w:rFonts w:hint="eastAsia" w:ascii="宋体" w:hAnsi="宋体" w:cs="Arial"/>
          <w:b/>
          <w:color w:val="auto"/>
          <w:sz w:val="20"/>
          <w:szCs w:val="20"/>
          <w:highlight w:val="none"/>
        </w:rPr>
        <w:t>1.5.</w:t>
      </w:r>
      <w:r>
        <w:rPr>
          <w:rFonts w:hint="eastAsia" w:ascii="宋体" w:hAnsi="宋体" w:cs="宋体"/>
          <w:b/>
          <w:bCs/>
          <w:color w:val="auto"/>
          <w:sz w:val="20"/>
          <w:szCs w:val="20"/>
          <w:highlight w:val="none"/>
        </w:rPr>
        <w:t>5</w:t>
      </w:r>
      <w:r>
        <w:rPr>
          <w:rFonts w:hint="eastAsia" w:ascii="宋体" w:hAnsi="宋体" w:cs="Arial"/>
          <w:b/>
          <w:color w:val="auto"/>
          <w:sz w:val="20"/>
          <w:szCs w:val="20"/>
          <w:highlight w:val="none"/>
        </w:rPr>
        <w:t>电磁</w:t>
      </w:r>
      <w:r>
        <w:rPr>
          <w:rFonts w:ascii="宋体" w:hAnsi="宋体" w:cs="Arial"/>
          <w:b/>
          <w:color w:val="auto"/>
          <w:sz w:val="20"/>
          <w:szCs w:val="20"/>
          <w:highlight w:val="none"/>
        </w:rPr>
        <w:t>流量计</w:t>
      </w:r>
    </w:p>
    <w:p w14:paraId="47A736ED">
      <w:pPr>
        <w:spacing w:line="360" w:lineRule="auto"/>
        <w:rPr>
          <w:color w:val="auto"/>
          <w:highlight w:val="none"/>
        </w:rPr>
      </w:pPr>
      <w:r>
        <w:rPr>
          <w:rFonts w:hint="eastAsia"/>
          <w:color w:val="auto"/>
          <w:highlight w:val="none"/>
        </w:rPr>
        <w:t>A. 概述</w:t>
      </w:r>
    </w:p>
    <w:p w14:paraId="0D78CB64">
      <w:pPr>
        <w:spacing w:line="360" w:lineRule="auto"/>
        <w:rPr>
          <w:color w:val="auto"/>
          <w:highlight w:val="none"/>
        </w:rPr>
      </w:pPr>
      <w:r>
        <w:rPr>
          <w:rFonts w:hint="eastAsia"/>
          <w:color w:val="auto"/>
          <w:highlight w:val="none"/>
        </w:rPr>
        <w:t>功能：测量、指示和传送管道内导电液体的流量</w:t>
      </w:r>
    </w:p>
    <w:p w14:paraId="05B842C4">
      <w:pPr>
        <w:spacing w:line="360" w:lineRule="auto"/>
        <w:rPr>
          <w:color w:val="auto"/>
          <w:highlight w:val="none"/>
        </w:rPr>
      </w:pPr>
      <w:r>
        <w:rPr>
          <w:rFonts w:hint="eastAsia"/>
          <w:color w:val="auto"/>
          <w:highlight w:val="none"/>
        </w:rPr>
        <w:t>形式：利用法拉第电磁感应测量原理</w:t>
      </w:r>
    </w:p>
    <w:p w14:paraId="3BFEDCC7">
      <w:pPr>
        <w:spacing w:line="360" w:lineRule="auto"/>
        <w:rPr>
          <w:color w:val="auto"/>
          <w:highlight w:val="none"/>
        </w:rPr>
      </w:pPr>
      <w:r>
        <w:rPr>
          <w:rFonts w:hint="eastAsia"/>
          <w:color w:val="auto"/>
          <w:highlight w:val="none"/>
        </w:rPr>
        <w:t>组成：传感器、变送器，法兰、前后接地环及全部安装附件和电缆</w:t>
      </w:r>
    </w:p>
    <w:p w14:paraId="5BD7E255">
      <w:pPr>
        <w:spacing w:line="360" w:lineRule="auto"/>
        <w:rPr>
          <w:color w:val="auto"/>
          <w:highlight w:val="none"/>
        </w:rPr>
      </w:pPr>
      <w:r>
        <w:rPr>
          <w:rFonts w:hint="eastAsia"/>
          <w:color w:val="auto"/>
          <w:highlight w:val="none"/>
        </w:rPr>
        <w:t>B. 性能：</w:t>
      </w:r>
    </w:p>
    <w:p w14:paraId="3AB95BAE">
      <w:pPr>
        <w:spacing w:line="360" w:lineRule="auto"/>
        <w:rPr>
          <w:color w:val="auto"/>
          <w:highlight w:val="none"/>
        </w:rPr>
      </w:pPr>
      <w:r>
        <w:rPr>
          <w:rFonts w:hint="eastAsia"/>
          <w:color w:val="auto"/>
          <w:highlight w:val="none"/>
        </w:rPr>
        <w:t>测量精度：0.2%</w:t>
      </w:r>
    </w:p>
    <w:p w14:paraId="12916692">
      <w:pPr>
        <w:spacing w:line="360" w:lineRule="auto"/>
        <w:rPr>
          <w:color w:val="auto"/>
          <w:highlight w:val="none"/>
        </w:rPr>
      </w:pPr>
      <w:r>
        <w:rPr>
          <w:rFonts w:hint="eastAsia"/>
          <w:color w:val="auto"/>
          <w:highlight w:val="none"/>
        </w:rPr>
        <w:t>重复性：0.1%</w:t>
      </w:r>
    </w:p>
    <w:p w14:paraId="07212553">
      <w:pPr>
        <w:spacing w:line="360" w:lineRule="auto"/>
        <w:rPr>
          <w:color w:val="auto"/>
          <w:highlight w:val="none"/>
        </w:rPr>
      </w:pPr>
      <w:r>
        <w:rPr>
          <w:rFonts w:hint="eastAsia"/>
          <w:color w:val="auto"/>
          <w:highlight w:val="none"/>
        </w:rPr>
        <w:t>环境温度：－20～+60°C</w:t>
      </w:r>
    </w:p>
    <w:p w14:paraId="619C3B39">
      <w:pPr>
        <w:spacing w:line="360" w:lineRule="auto"/>
        <w:rPr>
          <w:color w:val="auto"/>
          <w:highlight w:val="none"/>
        </w:rPr>
      </w:pPr>
      <w:r>
        <w:rPr>
          <w:rFonts w:hint="eastAsia"/>
          <w:color w:val="auto"/>
          <w:highlight w:val="none"/>
        </w:rPr>
        <w:t>介质温度：0~ +80°C</w:t>
      </w:r>
    </w:p>
    <w:p w14:paraId="6C313446">
      <w:pPr>
        <w:spacing w:line="360" w:lineRule="auto"/>
        <w:rPr>
          <w:color w:val="auto"/>
          <w:highlight w:val="none"/>
        </w:rPr>
      </w:pPr>
      <w:r>
        <w:rPr>
          <w:rFonts w:hint="eastAsia"/>
          <w:color w:val="auto"/>
          <w:highlight w:val="none"/>
        </w:rPr>
        <w:t>保护等级：传感器：IP68  变送器：IP67</w:t>
      </w:r>
    </w:p>
    <w:p w14:paraId="1E5FB2A7">
      <w:pPr>
        <w:spacing w:line="360" w:lineRule="auto"/>
        <w:rPr>
          <w:color w:val="auto"/>
          <w:highlight w:val="none"/>
        </w:rPr>
      </w:pPr>
      <w:r>
        <w:rPr>
          <w:rFonts w:hint="eastAsia"/>
          <w:color w:val="auto"/>
          <w:highlight w:val="none"/>
        </w:rPr>
        <w:t>C. 特点：</w:t>
      </w:r>
    </w:p>
    <w:p w14:paraId="600F770F">
      <w:pPr>
        <w:spacing w:line="360" w:lineRule="auto"/>
        <w:rPr>
          <w:color w:val="auto"/>
          <w:highlight w:val="none"/>
        </w:rPr>
      </w:pPr>
      <w:r>
        <w:rPr>
          <w:rFonts w:hint="eastAsia"/>
          <w:color w:val="auto"/>
          <w:highlight w:val="none"/>
        </w:rPr>
        <w:t>指示器：LCD数字指示，可现场操作、设置，和传感器分体，由厂家原配专用电缆连接。</w:t>
      </w:r>
    </w:p>
    <w:p w14:paraId="5AD5137A">
      <w:pPr>
        <w:spacing w:line="360" w:lineRule="auto"/>
        <w:rPr>
          <w:color w:val="auto"/>
          <w:highlight w:val="none"/>
        </w:rPr>
      </w:pPr>
      <w:r>
        <w:rPr>
          <w:rFonts w:hint="eastAsia"/>
          <w:color w:val="auto"/>
          <w:highlight w:val="none"/>
        </w:rPr>
        <w:t>变送单元：微处理器、积分自动校零、自诊断、故障报警和小信号切除</w:t>
      </w:r>
    </w:p>
    <w:p w14:paraId="69366BE3">
      <w:pPr>
        <w:spacing w:line="360" w:lineRule="auto"/>
        <w:rPr>
          <w:color w:val="auto"/>
          <w:highlight w:val="none"/>
        </w:rPr>
      </w:pPr>
      <w:r>
        <w:rPr>
          <w:rFonts w:hint="eastAsia"/>
          <w:color w:val="auto"/>
          <w:highlight w:val="none"/>
        </w:rPr>
        <w:t>测量传感器：</w:t>
      </w:r>
    </w:p>
    <w:p w14:paraId="564577C3">
      <w:pPr>
        <w:spacing w:line="360" w:lineRule="auto"/>
        <w:rPr>
          <w:color w:val="auto"/>
          <w:highlight w:val="none"/>
        </w:rPr>
      </w:pPr>
      <w:r>
        <w:rPr>
          <w:rFonts w:hint="eastAsia"/>
          <w:color w:val="auto"/>
          <w:highlight w:val="none"/>
        </w:rPr>
        <w:t>衬里材料：氯丁硬橡胶或PTFE</w:t>
      </w:r>
    </w:p>
    <w:p w14:paraId="08EBBDD8">
      <w:pPr>
        <w:spacing w:line="360" w:lineRule="auto"/>
        <w:rPr>
          <w:color w:val="auto"/>
          <w:highlight w:val="none"/>
        </w:rPr>
      </w:pPr>
      <w:r>
        <w:rPr>
          <w:rFonts w:hint="eastAsia"/>
          <w:color w:val="auto"/>
          <w:highlight w:val="none"/>
        </w:rPr>
        <w:t>4电极测量系统：测量电极、参比电极、空管检测电极</w:t>
      </w:r>
    </w:p>
    <w:p w14:paraId="5DD40662">
      <w:pPr>
        <w:spacing w:line="360" w:lineRule="auto"/>
        <w:rPr>
          <w:color w:val="auto"/>
          <w:highlight w:val="none"/>
        </w:rPr>
      </w:pPr>
      <w:r>
        <w:rPr>
          <w:rFonts w:hint="eastAsia"/>
          <w:color w:val="auto"/>
          <w:highlight w:val="none"/>
        </w:rPr>
        <w:t>电极材料：哈氏合金  HC或Pt</w:t>
      </w:r>
    </w:p>
    <w:p w14:paraId="0A0652BE">
      <w:pPr>
        <w:spacing w:line="360" w:lineRule="auto"/>
        <w:rPr>
          <w:color w:val="auto"/>
          <w:highlight w:val="none"/>
        </w:rPr>
      </w:pPr>
      <w:r>
        <w:rPr>
          <w:rFonts w:hint="eastAsia"/>
          <w:color w:val="auto"/>
          <w:highlight w:val="none"/>
        </w:rPr>
        <w:t>D. 变送器：</w:t>
      </w:r>
    </w:p>
    <w:p w14:paraId="06C3D022">
      <w:pPr>
        <w:spacing w:line="360" w:lineRule="auto"/>
        <w:rPr>
          <w:color w:val="auto"/>
          <w:highlight w:val="none"/>
        </w:rPr>
      </w:pPr>
      <w:r>
        <w:rPr>
          <w:rFonts w:hint="eastAsia"/>
          <w:color w:val="auto"/>
          <w:highlight w:val="none"/>
        </w:rPr>
        <w:t>隔离输出信号：4～20mA, HART,通讯总线输出和频率信号输出</w:t>
      </w:r>
    </w:p>
    <w:p w14:paraId="5AEE317D">
      <w:pPr>
        <w:spacing w:line="360" w:lineRule="auto"/>
        <w:rPr>
          <w:color w:val="auto"/>
          <w:highlight w:val="none"/>
        </w:rPr>
      </w:pPr>
      <w:r>
        <w:rPr>
          <w:rFonts w:hint="eastAsia"/>
          <w:color w:val="auto"/>
          <w:highlight w:val="none"/>
        </w:rPr>
        <w:t>电源：220VAC，50Hz</w:t>
      </w:r>
    </w:p>
    <w:p w14:paraId="5C72D255">
      <w:pPr>
        <w:spacing w:line="360" w:lineRule="auto"/>
        <w:rPr>
          <w:color w:val="auto"/>
          <w:highlight w:val="none"/>
        </w:rPr>
      </w:pPr>
      <w:r>
        <w:rPr>
          <w:rFonts w:hint="eastAsia"/>
          <w:color w:val="auto"/>
          <w:highlight w:val="none"/>
        </w:rPr>
        <w:t>安装方式：管道法兰安装</w:t>
      </w:r>
    </w:p>
    <w:p w14:paraId="6086D3F2">
      <w:pPr>
        <w:spacing w:line="360" w:lineRule="auto"/>
        <w:rPr>
          <w:color w:val="auto"/>
          <w:highlight w:val="none"/>
        </w:rPr>
      </w:pPr>
      <w:r>
        <w:rPr>
          <w:rFonts w:hint="eastAsia"/>
          <w:color w:val="auto"/>
          <w:highlight w:val="none"/>
        </w:rPr>
        <w:t>E.  配套提供法兰和伸缩节，每一台流量计均要配置接地环，保证可靠接地。</w:t>
      </w:r>
    </w:p>
    <w:p w14:paraId="7CB046B6">
      <w:pPr>
        <w:spacing w:line="360" w:lineRule="auto"/>
        <w:rPr>
          <w:color w:val="auto"/>
          <w:highlight w:val="none"/>
        </w:rPr>
      </w:pPr>
      <w:r>
        <w:rPr>
          <w:rFonts w:hint="eastAsia"/>
          <w:color w:val="auto"/>
          <w:highlight w:val="none"/>
        </w:rPr>
        <w:t>感器电缆长度：30m</w:t>
      </w:r>
    </w:p>
    <w:p w14:paraId="353B58E6">
      <w:pPr>
        <w:pStyle w:val="26"/>
        <w:rPr>
          <w:rFonts w:ascii="宋体" w:hAnsi="宋体" w:cs="Arial"/>
          <w:b/>
          <w:color w:val="auto"/>
          <w:sz w:val="20"/>
          <w:szCs w:val="20"/>
          <w:highlight w:val="none"/>
        </w:rPr>
      </w:pPr>
      <w:r>
        <w:rPr>
          <w:rFonts w:hint="eastAsia" w:ascii="宋体" w:hAnsi="宋体" w:cs="Arial"/>
          <w:b/>
          <w:color w:val="auto"/>
          <w:sz w:val="20"/>
          <w:szCs w:val="20"/>
          <w:highlight w:val="none"/>
        </w:rPr>
        <w:t>1.5.</w:t>
      </w:r>
      <w:r>
        <w:rPr>
          <w:rFonts w:hint="eastAsia" w:ascii="宋体" w:hAnsi="宋体" w:cs="宋体"/>
          <w:b/>
          <w:bCs/>
          <w:color w:val="auto"/>
          <w:sz w:val="20"/>
          <w:szCs w:val="20"/>
          <w:highlight w:val="none"/>
        </w:rPr>
        <w:t>6</w:t>
      </w:r>
      <w:r>
        <w:rPr>
          <w:rFonts w:ascii="宋体" w:hAnsi="宋体" w:cs="Arial"/>
          <w:b/>
          <w:color w:val="auto"/>
          <w:sz w:val="20"/>
          <w:szCs w:val="20"/>
          <w:highlight w:val="none"/>
        </w:rPr>
        <w:t>精密真空压力表</w:t>
      </w:r>
    </w:p>
    <w:p w14:paraId="2DE7DDE1">
      <w:pPr>
        <w:spacing w:line="360" w:lineRule="auto"/>
        <w:textAlignment w:val="center"/>
        <w:rPr>
          <w:color w:val="auto"/>
          <w:highlight w:val="none"/>
        </w:rPr>
      </w:pPr>
      <w:r>
        <w:rPr>
          <w:color w:val="auto"/>
          <w:highlight w:val="none"/>
        </w:rPr>
        <w:t>表盘直径：150mm</w:t>
      </w:r>
      <w:r>
        <w:rPr>
          <w:rFonts w:hint="eastAsia"/>
          <w:color w:val="auto"/>
          <w:highlight w:val="none"/>
        </w:rPr>
        <w:t xml:space="preserve">， </w:t>
      </w:r>
      <w:r>
        <w:rPr>
          <w:color w:val="auto"/>
          <w:highlight w:val="none"/>
        </w:rPr>
        <w:t>精度：0.25  级</w:t>
      </w:r>
      <w:r>
        <w:rPr>
          <w:rFonts w:hint="eastAsia"/>
          <w:color w:val="auto"/>
          <w:highlight w:val="none"/>
        </w:rPr>
        <w:t>，</w:t>
      </w:r>
    </w:p>
    <w:p w14:paraId="45E09B91">
      <w:pPr>
        <w:pStyle w:val="26"/>
        <w:rPr>
          <w:color w:val="auto"/>
          <w:kern w:val="0"/>
          <w:highlight w:val="none"/>
        </w:rPr>
      </w:pPr>
      <w:r>
        <w:rPr>
          <w:color w:val="auto"/>
          <w:kern w:val="0"/>
          <w:highlight w:val="none"/>
        </w:rPr>
        <w:t>量程：-0.1~0.15Mpa</w:t>
      </w:r>
      <w:r>
        <w:rPr>
          <w:rFonts w:hint="eastAsia"/>
          <w:color w:val="auto"/>
          <w:kern w:val="0"/>
          <w:highlight w:val="none"/>
        </w:rPr>
        <w:t xml:space="preserve">， </w:t>
      </w:r>
      <w:r>
        <w:rPr>
          <w:color w:val="auto"/>
          <w:kern w:val="0"/>
          <w:highlight w:val="none"/>
        </w:rPr>
        <w:t>螺纹连接M20</w:t>
      </w:r>
      <w:r>
        <w:rPr>
          <w:rFonts w:hint="eastAsia"/>
          <w:color w:val="auto"/>
          <w:kern w:val="0"/>
          <w:highlight w:val="none"/>
        </w:rPr>
        <w:t>×</w:t>
      </w:r>
      <w:r>
        <w:rPr>
          <w:color w:val="auto"/>
          <w:kern w:val="0"/>
          <w:highlight w:val="none"/>
        </w:rPr>
        <w:t>1.5</w:t>
      </w:r>
    </w:p>
    <w:p w14:paraId="53A9690B">
      <w:pPr>
        <w:pStyle w:val="26"/>
        <w:rPr>
          <w:rFonts w:ascii="宋体" w:hAnsi="宋体" w:cs="Arial"/>
          <w:b/>
          <w:color w:val="auto"/>
          <w:sz w:val="20"/>
          <w:szCs w:val="20"/>
          <w:highlight w:val="none"/>
        </w:rPr>
      </w:pPr>
      <w:r>
        <w:rPr>
          <w:rFonts w:hint="eastAsia" w:ascii="宋体" w:hAnsi="宋体" w:cs="Arial"/>
          <w:b/>
          <w:color w:val="auto"/>
          <w:sz w:val="20"/>
          <w:szCs w:val="20"/>
          <w:highlight w:val="none"/>
        </w:rPr>
        <w:t>1.5.</w:t>
      </w:r>
      <w:r>
        <w:rPr>
          <w:rFonts w:hint="eastAsia" w:ascii="宋体" w:hAnsi="宋体" w:cs="宋体"/>
          <w:b/>
          <w:bCs/>
          <w:color w:val="auto"/>
          <w:sz w:val="20"/>
          <w:szCs w:val="20"/>
          <w:highlight w:val="none"/>
        </w:rPr>
        <w:t>7</w:t>
      </w:r>
      <w:r>
        <w:rPr>
          <w:rFonts w:ascii="宋体" w:hAnsi="宋体" w:cs="Arial"/>
          <w:b/>
          <w:color w:val="auto"/>
          <w:sz w:val="20"/>
          <w:szCs w:val="20"/>
          <w:highlight w:val="none"/>
        </w:rPr>
        <w:t>消毒投加装置</w:t>
      </w:r>
    </w:p>
    <w:p w14:paraId="398E2BBE">
      <w:pPr>
        <w:spacing w:line="360" w:lineRule="auto"/>
        <w:textAlignment w:val="center"/>
        <w:rPr>
          <w:color w:val="auto"/>
          <w:highlight w:val="none"/>
        </w:rPr>
      </w:pPr>
      <w:r>
        <w:rPr>
          <w:rFonts w:hint="eastAsia"/>
          <w:color w:val="auto"/>
          <w:highlight w:val="none"/>
        </w:rPr>
        <w:t>1）数字计量泵（次氯酸钠投加）</w:t>
      </w:r>
      <w:r>
        <w:rPr>
          <w:color w:val="auto"/>
          <w:highlight w:val="none"/>
        </w:rPr>
        <w:t>：</w:t>
      </w:r>
    </w:p>
    <w:p w14:paraId="4BE34431">
      <w:pPr>
        <w:spacing w:line="360" w:lineRule="auto"/>
        <w:textAlignment w:val="center"/>
        <w:rPr>
          <w:color w:val="auto"/>
          <w:highlight w:val="none"/>
        </w:rPr>
      </w:pPr>
      <w:r>
        <w:rPr>
          <w:rFonts w:hint="eastAsia"/>
          <w:color w:val="auto"/>
          <w:highlight w:val="none"/>
        </w:rPr>
        <w:t xml:space="preserve">最大流量 6 l/hl/h </w:t>
      </w:r>
    </w:p>
    <w:p w14:paraId="2E5D62E9">
      <w:pPr>
        <w:spacing w:line="360" w:lineRule="auto"/>
        <w:textAlignment w:val="center"/>
        <w:rPr>
          <w:color w:val="auto"/>
          <w:highlight w:val="none"/>
        </w:rPr>
      </w:pPr>
      <w:r>
        <w:rPr>
          <w:rFonts w:hint="eastAsia"/>
          <w:color w:val="auto"/>
          <w:highlight w:val="none"/>
        </w:rPr>
        <w:t xml:space="preserve">最小流量 6.0 ml/h </w:t>
      </w:r>
    </w:p>
    <w:p w14:paraId="7C23E6B3">
      <w:pPr>
        <w:spacing w:line="360" w:lineRule="auto"/>
        <w:textAlignment w:val="center"/>
        <w:rPr>
          <w:color w:val="auto"/>
          <w:highlight w:val="none"/>
        </w:rPr>
      </w:pPr>
      <w:r>
        <w:rPr>
          <w:rFonts w:hint="eastAsia"/>
          <w:color w:val="auto"/>
          <w:highlight w:val="none"/>
        </w:rPr>
        <w:t xml:space="preserve">衰减率 1:1000 </w:t>
      </w:r>
    </w:p>
    <w:p w14:paraId="009B2E41">
      <w:pPr>
        <w:spacing w:line="360" w:lineRule="auto"/>
        <w:textAlignment w:val="center"/>
        <w:rPr>
          <w:color w:val="auto"/>
          <w:highlight w:val="none"/>
        </w:rPr>
      </w:pPr>
      <w:r>
        <w:rPr>
          <w:rFonts w:hint="eastAsia"/>
          <w:color w:val="auto"/>
          <w:highlight w:val="none"/>
        </w:rPr>
        <w:t xml:space="preserve">阀的型号 标准 </w:t>
      </w:r>
    </w:p>
    <w:p w14:paraId="7BCCD7A2">
      <w:pPr>
        <w:spacing w:line="360" w:lineRule="auto"/>
        <w:textAlignment w:val="center"/>
        <w:rPr>
          <w:color w:val="auto"/>
          <w:highlight w:val="none"/>
        </w:rPr>
      </w:pPr>
      <w:r>
        <w:rPr>
          <w:rFonts w:hint="eastAsia"/>
          <w:color w:val="auto"/>
          <w:highlight w:val="none"/>
        </w:rPr>
        <w:t>材料</w:t>
      </w:r>
    </w:p>
    <w:p w14:paraId="5F68F37B">
      <w:pPr>
        <w:spacing w:line="360" w:lineRule="auto"/>
        <w:textAlignment w:val="center"/>
        <w:rPr>
          <w:color w:val="auto"/>
          <w:highlight w:val="none"/>
        </w:rPr>
      </w:pPr>
      <w:r>
        <w:rPr>
          <w:rFonts w:hint="eastAsia"/>
          <w:color w:val="auto"/>
          <w:highlight w:val="none"/>
        </w:rPr>
        <w:t xml:space="preserve">配料头 PVC（聚氯乙烯） </w:t>
      </w:r>
    </w:p>
    <w:p w14:paraId="3509014E">
      <w:pPr>
        <w:spacing w:line="360" w:lineRule="auto"/>
        <w:textAlignment w:val="center"/>
        <w:rPr>
          <w:color w:val="auto"/>
          <w:highlight w:val="none"/>
        </w:rPr>
      </w:pPr>
      <w:r>
        <w:rPr>
          <w:rFonts w:hint="eastAsia"/>
          <w:color w:val="auto"/>
          <w:highlight w:val="none"/>
        </w:rPr>
        <w:t xml:space="preserve">球阀 陶瓷 </w:t>
      </w:r>
    </w:p>
    <w:p w14:paraId="439028E0">
      <w:pPr>
        <w:spacing w:line="360" w:lineRule="auto"/>
        <w:textAlignment w:val="center"/>
        <w:rPr>
          <w:color w:val="auto"/>
          <w:highlight w:val="none"/>
        </w:rPr>
      </w:pPr>
      <w:r>
        <w:rPr>
          <w:rFonts w:hint="eastAsia"/>
          <w:color w:val="auto"/>
          <w:highlight w:val="none"/>
        </w:rPr>
        <w:t xml:space="preserve">垫圈 </w:t>
      </w:r>
      <w:r>
        <w:rPr>
          <w:rFonts w:hint="eastAsia"/>
          <w:color w:val="auto"/>
          <w:highlight w:val="none"/>
          <w:lang w:val="en-US" w:eastAsia="zh-CN"/>
        </w:rPr>
        <w:t>FK</w:t>
      </w:r>
      <w:r>
        <w:rPr>
          <w:rFonts w:hint="eastAsia"/>
          <w:color w:val="auto"/>
          <w:highlight w:val="none"/>
        </w:rPr>
        <w:t xml:space="preserve">M </w:t>
      </w:r>
    </w:p>
    <w:p w14:paraId="3D419F5B">
      <w:pPr>
        <w:spacing w:line="360" w:lineRule="auto"/>
        <w:textAlignment w:val="center"/>
        <w:rPr>
          <w:color w:val="auto"/>
          <w:highlight w:val="none"/>
        </w:rPr>
      </w:pPr>
      <w:r>
        <w:rPr>
          <w:rFonts w:hint="eastAsia"/>
          <w:color w:val="auto"/>
          <w:highlight w:val="none"/>
        </w:rPr>
        <w:t xml:space="preserve">环境温度范围 0 .. 45 °C </w:t>
      </w:r>
    </w:p>
    <w:p w14:paraId="315A7788">
      <w:pPr>
        <w:spacing w:line="360" w:lineRule="auto"/>
        <w:textAlignment w:val="center"/>
        <w:rPr>
          <w:color w:val="auto"/>
          <w:highlight w:val="none"/>
        </w:rPr>
      </w:pPr>
      <w:r>
        <w:rPr>
          <w:rFonts w:hint="eastAsia"/>
          <w:color w:val="auto"/>
          <w:highlight w:val="none"/>
        </w:rPr>
        <w:t xml:space="preserve">最大运行压力 10 巴 </w:t>
      </w:r>
    </w:p>
    <w:p w14:paraId="09BF11B8">
      <w:pPr>
        <w:spacing w:line="360" w:lineRule="auto"/>
        <w:textAlignment w:val="center"/>
        <w:rPr>
          <w:color w:val="auto"/>
          <w:highlight w:val="none"/>
        </w:rPr>
      </w:pPr>
      <w:r>
        <w:rPr>
          <w:rFonts w:hint="eastAsia"/>
          <w:color w:val="auto"/>
          <w:highlight w:val="none"/>
        </w:rPr>
        <w:t xml:space="preserve">输送的液体 次氯酸钠 </w:t>
      </w:r>
    </w:p>
    <w:p w14:paraId="2622B7F1">
      <w:pPr>
        <w:spacing w:line="360" w:lineRule="auto"/>
        <w:textAlignment w:val="center"/>
        <w:rPr>
          <w:color w:val="auto"/>
          <w:highlight w:val="none"/>
        </w:rPr>
      </w:pPr>
      <w:r>
        <w:rPr>
          <w:rFonts w:hint="eastAsia"/>
          <w:color w:val="auto"/>
          <w:highlight w:val="none"/>
        </w:rPr>
        <w:t xml:space="preserve">液体温度范围 -10 .. 45 °C </w:t>
      </w:r>
    </w:p>
    <w:p w14:paraId="0626FEEB">
      <w:pPr>
        <w:spacing w:line="360" w:lineRule="auto"/>
        <w:textAlignment w:val="center"/>
        <w:rPr>
          <w:color w:val="auto"/>
          <w:highlight w:val="none"/>
        </w:rPr>
      </w:pPr>
      <w:r>
        <w:rPr>
          <w:rFonts w:hint="eastAsia"/>
          <w:color w:val="auto"/>
          <w:highlight w:val="none"/>
        </w:rPr>
        <w:t xml:space="preserve">运行时的液体温度 20 °C </w:t>
      </w:r>
    </w:p>
    <w:p w14:paraId="5638CC41">
      <w:pPr>
        <w:spacing w:line="360" w:lineRule="auto"/>
        <w:textAlignment w:val="center"/>
        <w:rPr>
          <w:color w:val="auto"/>
          <w:highlight w:val="none"/>
        </w:rPr>
      </w:pPr>
      <w:r>
        <w:rPr>
          <w:rFonts w:hint="eastAsia"/>
          <w:color w:val="auto"/>
          <w:highlight w:val="none"/>
        </w:rPr>
        <w:t xml:space="preserve">电源频率 50 / 60 Hz </w:t>
      </w:r>
    </w:p>
    <w:p w14:paraId="05B74815">
      <w:pPr>
        <w:spacing w:line="360" w:lineRule="auto"/>
        <w:textAlignment w:val="center"/>
        <w:rPr>
          <w:color w:val="auto"/>
          <w:highlight w:val="none"/>
        </w:rPr>
      </w:pPr>
      <w:r>
        <w:rPr>
          <w:rFonts w:hint="eastAsia"/>
          <w:color w:val="auto"/>
          <w:highlight w:val="none"/>
        </w:rPr>
        <w:t xml:space="preserve">额定电压 1 x 100-240 V </w:t>
      </w:r>
    </w:p>
    <w:p w14:paraId="74809EA1">
      <w:pPr>
        <w:spacing w:line="360" w:lineRule="auto"/>
        <w:textAlignment w:val="center"/>
        <w:rPr>
          <w:color w:val="auto"/>
          <w:highlight w:val="none"/>
        </w:rPr>
      </w:pPr>
      <w:r>
        <w:rPr>
          <w:rFonts w:hint="eastAsia"/>
          <w:color w:val="auto"/>
          <w:highlight w:val="none"/>
        </w:rPr>
        <w:t xml:space="preserve">模拟输入 0/4-20 mA </w:t>
      </w:r>
    </w:p>
    <w:p w14:paraId="31E490B0">
      <w:pPr>
        <w:spacing w:line="360" w:lineRule="auto"/>
        <w:textAlignment w:val="center"/>
        <w:rPr>
          <w:color w:val="auto"/>
          <w:highlight w:val="none"/>
        </w:rPr>
      </w:pPr>
      <w:r>
        <w:rPr>
          <w:rFonts w:hint="eastAsia"/>
          <w:color w:val="auto"/>
          <w:highlight w:val="none"/>
        </w:rPr>
        <w:t xml:space="preserve">脉冲控制 是 </w:t>
      </w:r>
    </w:p>
    <w:p w14:paraId="26F536FF">
      <w:pPr>
        <w:spacing w:line="360" w:lineRule="auto"/>
        <w:rPr>
          <w:color w:val="auto"/>
          <w:highlight w:val="none"/>
        </w:rPr>
      </w:pPr>
      <w:r>
        <w:rPr>
          <w:color w:val="auto"/>
          <w:highlight w:val="none"/>
        </w:rPr>
        <w:t>2</w:t>
      </w:r>
      <w:r>
        <w:rPr>
          <w:rFonts w:hint="eastAsia"/>
          <w:color w:val="auto"/>
          <w:highlight w:val="none"/>
        </w:rPr>
        <w:t>）</w:t>
      </w:r>
      <w:r>
        <w:rPr>
          <w:color w:val="auto"/>
          <w:highlight w:val="none"/>
        </w:rPr>
        <w:t>储桶：PE材质，300L</w:t>
      </w:r>
    </w:p>
    <w:p w14:paraId="26BF05C1">
      <w:pPr>
        <w:spacing w:line="360" w:lineRule="auto"/>
        <w:rPr>
          <w:color w:val="auto"/>
          <w:highlight w:val="none"/>
        </w:rPr>
      </w:pPr>
      <w:r>
        <w:rPr>
          <w:color w:val="auto"/>
          <w:highlight w:val="none"/>
        </w:rPr>
        <w:t>3</w:t>
      </w:r>
      <w:r>
        <w:rPr>
          <w:rFonts w:hint="eastAsia"/>
          <w:color w:val="auto"/>
          <w:highlight w:val="none"/>
        </w:rPr>
        <w:t>）</w:t>
      </w:r>
      <w:r>
        <w:rPr>
          <w:color w:val="auto"/>
          <w:highlight w:val="none"/>
        </w:rPr>
        <w:t>投入式液位计：</w:t>
      </w:r>
    </w:p>
    <w:p w14:paraId="62126048">
      <w:pPr>
        <w:spacing w:line="360" w:lineRule="auto"/>
        <w:rPr>
          <w:color w:val="auto"/>
          <w:highlight w:val="none"/>
        </w:rPr>
      </w:pPr>
      <w:r>
        <w:rPr>
          <w:rFonts w:hint="eastAsia"/>
          <w:color w:val="auto"/>
          <w:highlight w:val="none"/>
        </w:rPr>
        <w:t>量程：0~1.5m，线长1.5m，耐酸碱，陶瓷膜片，PP探头，PE线缆， 两线制24VDC, 输出信号：4~20mA 带显示，精度要求：±0.5%FS ，温度：-10~80℃，直接出线。</w:t>
      </w:r>
    </w:p>
    <w:p w14:paraId="2AD0C331">
      <w:pPr>
        <w:pStyle w:val="26"/>
        <w:rPr>
          <w:rFonts w:ascii="宋体" w:hAnsi="宋体" w:cs="宋体"/>
          <w:b/>
          <w:bCs/>
          <w:color w:val="auto"/>
          <w:sz w:val="20"/>
          <w:szCs w:val="20"/>
          <w:highlight w:val="none"/>
        </w:rPr>
      </w:pPr>
      <w:r>
        <w:rPr>
          <w:rFonts w:hint="eastAsia" w:ascii="宋体" w:hAnsi="宋体" w:cs="宋体"/>
          <w:b/>
          <w:bCs/>
          <w:color w:val="auto"/>
          <w:sz w:val="20"/>
          <w:szCs w:val="20"/>
          <w:highlight w:val="none"/>
        </w:rPr>
        <w:t>1.5.8</w:t>
      </w:r>
      <w:r>
        <w:rPr>
          <w:rFonts w:ascii="宋体" w:hAnsi="宋体" w:cs="宋体"/>
          <w:b/>
          <w:bCs/>
          <w:color w:val="auto"/>
          <w:sz w:val="20"/>
          <w:szCs w:val="20"/>
          <w:highlight w:val="none"/>
        </w:rPr>
        <w:t>电动调节蝶阀</w:t>
      </w:r>
    </w:p>
    <w:p w14:paraId="3BF0BD3F">
      <w:pPr>
        <w:spacing w:line="360" w:lineRule="auto"/>
        <w:rPr>
          <w:color w:val="auto"/>
          <w:highlight w:val="none"/>
        </w:rPr>
      </w:pPr>
      <w:r>
        <w:rPr>
          <w:rFonts w:hint="eastAsia"/>
          <w:color w:val="auto"/>
          <w:highlight w:val="none"/>
        </w:rPr>
        <w:t>1.0MPa，SS304；球铁体，304板，416轴，EPDM座，</w:t>
      </w:r>
    </w:p>
    <w:p w14:paraId="78351812">
      <w:pPr>
        <w:spacing w:line="360" w:lineRule="auto"/>
        <w:rPr>
          <w:color w:val="auto"/>
          <w:highlight w:val="none"/>
        </w:rPr>
      </w:pPr>
      <w:r>
        <w:rPr>
          <w:rFonts w:hint="eastAsia"/>
          <w:color w:val="auto"/>
          <w:highlight w:val="none"/>
        </w:rPr>
        <w:t>口径：按需选配，配220VAC/4~20mA输入输出调节型电动执行器。</w:t>
      </w:r>
    </w:p>
    <w:p w14:paraId="1D757B3B">
      <w:pPr>
        <w:pStyle w:val="26"/>
        <w:rPr>
          <w:rFonts w:cs="宋体"/>
          <w:b/>
          <w:bCs/>
          <w:color w:val="auto"/>
          <w:sz w:val="20"/>
          <w:szCs w:val="20"/>
          <w:highlight w:val="none"/>
        </w:rPr>
      </w:pPr>
      <w:r>
        <w:rPr>
          <w:rFonts w:hint="eastAsia" w:cs="宋体"/>
          <w:b/>
          <w:bCs/>
          <w:color w:val="auto"/>
          <w:sz w:val="20"/>
          <w:szCs w:val="20"/>
          <w:highlight w:val="none"/>
        </w:rPr>
        <w:t>1.5.9</w:t>
      </w:r>
      <w:r>
        <w:rPr>
          <w:rFonts w:cs="宋体"/>
          <w:b/>
          <w:bCs/>
          <w:color w:val="auto"/>
          <w:sz w:val="20"/>
          <w:szCs w:val="20"/>
          <w:highlight w:val="none"/>
        </w:rPr>
        <w:t>电动蝶阀</w:t>
      </w:r>
    </w:p>
    <w:p w14:paraId="3C44FC6F">
      <w:pPr>
        <w:spacing w:line="360" w:lineRule="auto"/>
        <w:rPr>
          <w:color w:val="auto"/>
          <w:highlight w:val="none"/>
        </w:rPr>
      </w:pPr>
      <w:r>
        <w:rPr>
          <w:rFonts w:hint="eastAsia"/>
          <w:color w:val="auto"/>
          <w:highlight w:val="none"/>
        </w:rPr>
        <w:t>1</w:t>
      </w:r>
      <w:r>
        <w:rPr>
          <w:color w:val="auto"/>
          <w:highlight w:val="none"/>
        </w:rPr>
        <w:t>.0MPa，SS304，球铁体，304板，416轴，EPDM座，</w:t>
      </w:r>
    </w:p>
    <w:p w14:paraId="3B33D5BD">
      <w:pPr>
        <w:spacing w:line="360" w:lineRule="auto"/>
        <w:rPr>
          <w:color w:val="auto"/>
          <w:highlight w:val="none"/>
        </w:rPr>
      </w:pPr>
      <w:r>
        <w:rPr>
          <w:rFonts w:hint="eastAsia"/>
          <w:color w:val="auto"/>
          <w:highlight w:val="none"/>
        </w:rPr>
        <w:t>口径：按需选配</w:t>
      </w:r>
      <w:r>
        <w:rPr>
          <w:color w:val="auto"/>
          <w:highlight w:val="none"/>
        </w:rPr>
        <w:t>，配220VAC无源触点开关型电动执行器</w:t>
      </w:r>
      <w:r>
        <w:rPr>
          <w:rFonts w:hint="eastAsia"/>
          <w:color w:val="auto"/>
          <w:highlight w:val="none"/>
        </w:rPr>
        <w:t>。</w:t>
      </w:r>
    </w:p>
    <w:p w14:paraId="36DF9DFF">
      <w:pPr>
        <w:spacing w:line="360" w:lineRule="auto"/>
        <w:rPr>
          <w:color w:val="auto"/>
          <w:highlight w:val="none"/>
        </w:rPr>
      </w:pPr>
      <w:r>
        <w:rPr>
          <w:rFonts w:hint="eastAsia"/>
          <w:color w:val="auto"/>
          <w:highlight w:val="none"/>
        </w:rPr>
        <w:t>5.1.10</w:t>
      </w:r>
      <w:r>
        <w:rPr>
          <w:color w:val="auto"/>
          <w:highlight w:val="none"/>
        </w:rPr>
        <w:t>手动蝶阀</w:t>
      </w:r>
    </w:p>
    <w:p w14:paraId="23FC8B8C">
      <w:pPr>
        <w:spacing w:line="360" w:lineRule="auto"/>
        <w:rPr>
          <w:color w:val="auto"/>
          <w:highlight w:val="none"/>
        </w:rPr>
      </w:pPr>
      <w:r>
        <w:rPr>
          <w:color w:val="auto"/>
          <w:highlight w:val="none"/>
        </w:rPr>
        <w:t>1.0MPa</w:t>
      </w:r>
      <w:r>
        <w:rPr>
          <w:rFonts w:hint="eastAsia"/>
          <w:color w:val="auto"/>
          <w:highlight w:val="none"/>
        </w:rPr>
        <w:t>，</w:t>
      </w:r>
      <w:r>
        <w:rPr>
          <w:color w:val="auto"/>
          <w:highlight w:val="none"/>
        </w:rPr>
        <w:t>SS304</w:t>
      </w:r>
      <w:r>
        <w:rPr>
          <w:rFonts w:hint="eastAsia"/>
          <w:color w:val="auto"/>
          <w:highlight w:val="none"/>
        </w:rPr>
        <w:t>；球铁体，</w:t>
      </w:r>
      <w:r>
        <w:rPr>
          <w:color w:val="auto"/>
          <w:highlight w:val="none"/>
        </w:rPr>
        <w:t>304</w:t>
      </w:r>
      <w:r>
        <w:rPr>
          <w:rFonts w:hint="eastAsia"/>
          <w:color w:val="auto"/>
          <w:highlight w:val="none"/>
        </w:rPr>
        <w:t>板，</w:t>
      </w:r>
      <w:r>
        <w:rPr>
          <w:color w:val="auto"/>
          <w:highlight w:val="none"/>
        </w:rPr>
        <w:t>416</w:t>
      </w:r>
      <w:r>
        <w:rPr>
          <w:rFonts w:hint="eastAsia"/>
          <w:color w:val="auto"/>
          <w:highlight w:val="none"/>
        </w:rPr>
        <w:t>轴，</w:t>
      </w:r>
      <w:r>
        <w:rPr>
          <w:color w:val="auto"/>
          <w:highlight w:val="none"/>
        </w:rPr>
        <w:t>EPDM</w:t>
      </w:r>
      <w:r>
        <w:rPr>
          <w:rFonts w:hint="eastAsia"/>
          <w:color w:val="auto"/>
          <w:highlight w:val="none"/>
        </w:rPr>
        <w:t>座；</w:t>
      </w:r>
    </w:p>
    <w:p w14:paraId="386C4BD0">
      <w:pPr>
        <w:spacing w:line="360" w:lineRule="auto"/>
        <w:rPr>
          <w:color w:val="auto"/>
          <w:highlight w:val="none"/>
        </w:rPr>
      </w:pPr>
      <w:r>
        <w:rPr>
          <w:rFonts w:hint="eastAsia"/>
          <w:color w:val="auto"/>
          <w:highlight w:val="none"/>
        </w:rPr>
        <w:t>口径：按需选配。</w:t>
      </w:r>
    </w:p>
    <w:p w14:paraId="5D2C8715">
      <w:pPr>
        <w:pStyle w:val="26"/>
        <w:rPr>
          <w:rFonts w:cs="宋体"/>
          <w:b/>
          <w:bCs/>
          <w:color w:val="auto"/>
          <w:sz w:val="20"/>
          <w:szCs w:val="20"/>
          <w:highlight w:val="none"/>
        </w:rPr>
      </w:pPr>
      <w:r>
        <w:rPr>
          <w:rFonts w:hint="eastAsia" w:cs="宋体"/>
          <w:b/>
          <w:bCs/>
          <w:color w:val="auto"/>
          <w:sz w:val="20"/>
          <w:szCs w:val="20"/>
          <w:highlight w:val="none"/>
        </w:rPr>
        <w:t>1.5.11</w:t>
      </w:r>
      <w:r>
        <w:rPr>
          <w:rFonts w:cs="宋体"/>
          <w:b/>
          <w:bCs/>
          <w:color w:val="auto"/>
          <w:sz w:val="20"/>
          <w:szCs w:val="20"/>
          <w:highlight w:val="none"/>
        </w:rPr>
        <w:t>手动球阀</w:t>
      </w:r>
    </w:p>
    <w:p w14:paraId="408E3F56">
      <w:pPr>
        <w:spacing w:line="360" w:lineRule="auto"/>
        <w:rPr>
          <w:color w:val="auto"/>
          <w:highlight w:val="none"/>
        </w:rPr>
      </w:pPr>
      <w:r>
        <w:rPr>
          <w:color w:val="auto"/>
          <w:highlight w:val="none"/>
        </w:rPr>
        <w:t>SS304，板把式</w:t>
      </w:r>
      <w:r>
        <w:rPr>
          <w:rFonts w:hint="eastAsia"/>
          <w:color w:val="auto"/>
          <w:highlight w:val="none"/>
        </w:rPr>
        <w:t>，口径：按需选配。</w:t>
      </w:r>
    </w:p>
    <w:p w14:paraId="0206208A">
      <w:pPr>
        <w:pStyle w:val="26"/>
        <w:rPr>
          <w:rFonts w:cs="宋体"/>
          <w:b/>
          <w:bCs/>
          <w:color w:val="auto"/>
          <w:sz w:val="20"/>
          <w:szCs w:val="20"/>
          <w:highlight w:val="none"/>
        </w:rPr>
      </w:pPr>
      <w:r>
        <w:rPr>
          <w:rFonts w:hint="eastAsia" w:cs="宋体"/>
          <w:b/>
          <w:bCs/>
          <w:color w:val="auto"/>
          <w:sz w:val="20"/>
          <w:szCs w:val="20"/>
          <w:highlight w:val="none"/>
        </w:rPr>
        <w:t>1.5.12</w:t>
      </w:r>
      <w:r>
        <w:rPr>
          <w:rFonts w:cs="宋体"/>
          <w:b/>
          <w:bCs/>
          <w:color w:val="auto"/>
          <w:sz w:val="20"/>
          <w:szCs w:val="20"/>
          <w:highlight w:val="none"/>
        </w:rPr>
        <w:t>止回阀</w:t>
      </w:r>
    </w:p>
    <w:p w14:paraId="1ED8A804">
      <w:pPr>
        <w:spacing w:line="360" w:lineRule="auto"/>
        <w:rPr>
          <w:color w:val="auto"/>
          <w:highlight w:val="none"/>
        </w:rPr>
      </w:pPr>
      <w:r>
        <w:rPr>
          <w:color w:val="auto"/>
          <w:highlight w:val="none"/>
        </w:rPr>
        <w:t>SUS304，</w:t>
      </w:r>
      <w:r>
        <w:rPr>
          <w:rFonts w:hint="eastAsia"/>
          <w:color w:val="auto"/>
          <w:highlight w:val="none"/>
        </w:rPr>
        <w:t>口径：按需选配</w:t>
      </w:r>
      <w:r>
        <w:rPr>
          <w:color w:val="auto"/>
          <w:highlight w:val="none"/>
        </w:rPr>
        <w:t>，法兰连接</w:t>
      </w:r>
      <w:r>
        <w:rPr>
          <w:rFonts w:hint="eastAsia"/>
          <w:color w:val="auto"/>
          <w:highlight w:val="none"/>
        </w:rPr>
        <w:t>/</w:t>
      </w:r>
      <w:r>
        <w:rPr>
          <w:color w:val="auto"/>
          <w:highlight w:val="none"/>
        </w:rPr>
        <w:t>螺纹连接</w:t>
      </w:r>
      <w:r>
        <w:rPr>
          <w:rFonts w:hint="eastAsia"/>
          <w:color w:val="auto"/>
          <w:highlight w:val="none"/>
        </w:rPr>
        <w:t>。</w:t>
      </w:r>
    </w:p>
    <w:p w14:paraId="5AC7E5A0">
      <w:pPr>
        <w:pStyle w:val="26"/>
        <w:rPr>
          <w:rFonts w:cs="宋体"/>
          <w:b/>
          <w:bCs/>
          <w:color w:val="auto"/>
          <w:sz w:val="20"/>
          <w:szCs w:val="20"/>
          <w:highlight w:val="none"/>
        </w:rPr>
      </w:pPr>
      <w:r>
        <w:rPr>
          <w:rFonts w:hint="eastAsia" w:cs="宋体"/>
          <w:b/>
          <w:bCs/>
          <w:color w:val="auto"/>
          <w:sz w:val="20"/>
          <w:szCs w:val="20"/>
          <w:highlight w:val="none"/>
        </w:rPr>
        <w:t>1.5.13</w:t>
      </w:r>
      <w:r>
        <w:rPr>
          <w:rFonts w:cs="宋体"/>
          <w:b/>
          <w:bCs/>
          <w:color w:val="auto"/>
          <w:sz w:val="20"/>
          <w:szCs w:val="20"/>
          <w:highlight w:val="none"/>
        </w:rPr>
        <w:t>UPVC管材及配件</w:t>
      </w:r>
    </w:p>
    <w:p w14:paraId="6D0D88FB">
      <w:pPr>
        <w:spacing w:line="360" w:lineRule="auto"/>
        <w:rPr>
          <w:color w:val="auto"/>
          <w:highlight w:val="none"/>
        </w:rPr>
      </w:pPr>
      <w:r>
        <w:rPr>
          <w:color w:val="auto"/>
          <w:highlight w:val="none"/>
        </w:rPr>
        <w:t>含管材、管件、配件、辅材、阀门</w:t>
      </w:r>
      <w:r>
        <w:rPr>
          <w:rFonts w:hint="eastAsia"/>
          <w:color w:val="auto"/>
          <w:highlight w:val="none"/>
        </w:rPr>
        <w:t>。</w:t>
      </w:r>
    </w:p>
    <w:p w14:paraId="33677081">
      <w:pPr>
        <w:pStyle w:val="26"/>
        <w:rPr>
          <w:rFonts w:cs="宋体"/>
          <w:b/>
          <w:bCs/>
          <w:color w:val="auto"/>
          <w:sz w:val="20"/>
          <w:szCs w:val="20"/>
          <w:highlight w:val="none"/>
        </w:rPr>
      </w:pPr>
      <w:r>
        <w:rPr>
          <w:rFonts w:hint="eastAsia" w:cs="宋体"/>
          <w:b/>
          <w:bCs/>
          <w:color w:val="auto"/>
          <w:sz w:val="20"/>
          <w:szCs w:val="20"/>
          <w:highlight w:val="none"/>
        </w:rPr>
        <w:t>1.5.14</w:t>
      </w:r>
      <w:r>
        <w:rPr>
          <w:rFonts w:cs="宋体"/>
          <w:b/>
          <w:bCs/>
          <w:color w:val="auto"/>
          <w:sz w:val="20"/>
          <w:szCs w:val="20"/>
          <w:highlight w:val="none"/>
        </w:rPr>
        <w:t>不锈钢管材及配件</w:t>
      </w:r>
    </w:p>
    <w:p w14:paraId="43954782">
      <w:pPr>
        <w:spacing w:line="360" w:lineRule="auto"/>
        <w:rPr>
          <w:color w:val="auto"/>
          <w:highlight w:val="none"/>
        </w:rPr>
      </w:pPr>
      <w:r>
        <w:rPr>
          <w:color w:val="auto"/>
          <w:highlight w:val="none"/>
        </w:rPr>
        <w:t>材质：SUS304</w:t>
      </w:r>
      <w:r>
        <w:rPr>
          <w:rFonts w:hint="eastAsia"/>
          <w:color w:val="auto"/>
          <w:highlight w:val="none"/>
        </w:rPr>
        <w:t>，</w:t>
      </w:r>
      <w:r>
        <w:rPr>
          <w:color w:val="auto"/>
          <w:highlight w:val="none"/>
        </w:rPr>
        <w:t>含管材、管件、配件、辅材</w:t>
      </w:r>
    </w:p>
    <w:p w14:paraId="75CCE192">
      <w:pPr>
        <w:pStyle w:val="26"/>
        <w:rPr>
          <w:rFonts w:cs="宋体"/>
          <w:b/>
          <w:bCs/>
          <w:color w:val="auto"/>
          <w:sz w:val="20"/>
          <w:szCs w:val="20"/>
          <w:highlight w:val="none"/>
        </w:rPr>
      </w:pPr>
      <w:r>
        <w:rPr>
          <w:rFonts w:hint="eastAsia" w:cs="宋体"/>
          <w:b/>
          <w:bCs/>
          <w:color w:val="auto"/>
          <w:sz w:val="20"/>
          <w:szCs w:val="20"/>
          <w:highlight w:val="none"/>
        </w:rPr>
        <w:t>1.5.1电动调节阀门</w:t>
      </w:r>
    </w:p>
    <w:p w14:paraId="7B8F04A5">
      <w:pPr>
        <w:spacing w:line="360" w:lineRule="auto"/>
        <w:rPr>
          <w:color w:val="auto"/>
          <w:highlight w:val="none"/>
        </w:rPr>
      </w:pPr>
      <w:r>
        <w:rPr>
          <w:color w:val="auto"/>
          <w:highlight w:val="none"/>
        </w:rPr>
        <w:t>1.0MPa，SS304；球铁体，304板，416轴，EPDM座，</w:t>
      </w:r>
    </w:p>
    <w:p w14:paraId="441E32B8">
      <w:pPr>
        <w:spacing w:line="360" w:lineRule="auto"/>
        <w:rPr>
          <w:color w:val="auto"/>
          <w:highlight w:val="none"/>
        </w:rPr>
      </w:pPr>
      <w:r>
        <w:rPr>
          <w:rFonts w:hint="eastAsia"/>
          <w:color w:val="auto"/>
          <w:highlight w:val="none"/>
        </w:rPr>
        <w:t>口径：按需选配，配220VAC/4~20mA输入输出调节型电动执行器。</w:t>
      </w:r>
    </w:p>
    <w:p w14:paraId="3ABF4D6B">
      <w:pPr>
        <w:pStyle w:val="26"/>
        <w:rPr>
          <w:rFonts w:cs="宋体"/>
          <w:b/>
          <w:bCs/>
          <w:color w:val="auto"/>
          <w:sz w:val="20"/>
          <w:szCs w:val="20"/>
          <w:highlight w:val="none"/>
        </w:rPr>
      </w:pPr>
      <w:r>
        <w:rPr>
          <w:rFonts w:hint="eastAsia" w:cs="宋体"/>
          <w:b/>
          <w:bCs/>
          <w:color w:val="auto"/>
          <w:sz w:val="20"/>
          <w:szCs w:val="20"/>
          <w:highlight w:val="none"/>
        </w:rPr>
        <w:t>1.5.2电动阀门</w:t>
      </w:r>
    </w:p>
    <w:p w14:paraId="6432FEF1">
      <w:pPr>
        <w:spacing w:line="360" w:lineRule="auto"/>
        <w:rPr>
          <w:color w:val="auto"/>
          <w:highlight w:val="none"/>
        </w:rPr>
      </w:pPr>
      <w:r>
        <w:rPr>
          <w:color w:val="auto"/>
          <w:highlight w:val="none"/>
        </w:rPr>
        <w:t>1.0MPa，SS304；球铁体，304板，416轴，EPDM座，</w:t>
      </w:r>
    </w:p>
    <w:p w14:paraId="2099A585">
      <w:pPr>
        <w:spacing w:line="360" w:lineRule="auto"/>
        <w:rPr>
          <w:color w:val="auto"/>
          <w:highlight w:val="none"/>
        </w:rPr>
      </w:pPr>
      <w:r>
        <w:rPr>
          <w:rFonts w:hint="eastAsia"/>
          <w:color w:val="auto"/>
          <w:highlight w:val="none"/>
        </w:rPr>
        <w:t>口径：根据设计图纸匹配</w:t>
      </w:r>
    </w:p>
    <w:p w14:paraId="5F84E18C">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2.电气部分</w:t>
      </w:r>
    </w:p>
    <w:p w14:paraId="14D9BB86">
      <w:pPr>
        <w:spacing w:line="360" w:lineRule="auto"/>
        <w:ind w:firstLine="420" w:firstLineChars="200"/>
        <w:rPr>
          <w:color w:val="auto"/>
          <w:highlight w:val="none"/>
        </w:rPr>
      </w:pPr>
      <w:r>
        <w:rPr>
          <w:rFonts w:hint="eastAsia"/>
          <w:color w:val="auto"/>
          <w:highlight w:val="none"/>
        </w:rPr>
        <w:t>所有国家</w:t>
      </w:r>
      <w:r>
        <w:rPr>
          <w:color w:val="auto"/>
          <w:highlight w:val="none"/>
        </w:rPr>
        <w:t>CCC</w:t>
      </w:r>
      <w:r>
        <w:rPr>
          <w:rFonts w:hint="eastAsia"/>
          <w:color w:val="auto"/>
          <w:highlight w:val="none"/>
        </w:rPr>
        <w:t>认证产品目录内的电气设备必须具有</w:t>
      </w:r>
      <w:r>
        <w:rPr>
          <w:color w:val="auto"/>
          <w:highlight w:val="none"/>
        </w:rPr>
        <w:t>CCC</w:t>
      </w:r>
      <w:r>
        <w:rPr>
          <w:rFonts w:hint="eastAsia"/>
          <w:color w:val="auto"/>
          <w:highlight w:val="none"/>
        </w:rPr>
        <w:t>认证标志，并提供认证证书。</w:t>
      </w:r>
    </w:p>
    <w:p w14:paraId="1CF247F1">
      <w:pPr>
        <w:spacing w:line="360" w:lineRule="auto"/>
        <w:rPr>
          <w:color w:val="auto"/>
          <w:highlight w:val="none"/>
        </w:rPr>
      </w:pPr>
      <w:r>
        <w:rPr>
          <w:rFonts w:hint="eastAsia"/>
          <w:color w:val="auto"/>
          <w:highlight w:val="none"/>
        </w:rPr>
        <w:t>柜体应充分考虑自身防雷及保护功能，配置具有防雷功能的元器件。</w:t>
      </w:r>
    </w:p>
    <w:p w14:paraId="16696D5E">
      <w:pPr>
        <w:spacing w:line="360" w:lineRule="auto"/>
        <w:rPr>
          <w:color w:val="auto"/>
          <w:highlight w:val="none"/>
        </w:rPr>
      </w:pPr>
      <w:r>
        <w:rPr>
          <w:rFonts w:hint="eastAsia"/>
          <w:color w:val="auto"/>
          <w:highlight w:val="none"/>
        </w:rPr>
        <w:t xml:space="preserve">所供电气柜应 符合  </w:t>
      </w:r>
      <w:r>
        <w:rPr>
          <w:color w:val="auto"/>
          <w:highlight w:val="none"/>
        </w:rPr>
        <w:t>IEC 439-1</w:t>
      </w:r>
      <w:r>
        <w:rPr>
          <w:rFonts w:hint="eastAsia"/>
          <w:color w:val="auto"/>
          <w:highlight w:val="none"/>
        </w:rPr>
        <w:t>《成套低压开关设备和控制设备》</w:t>
      </w:r>
    </w:p>
    <w:p w14:paraId="2C43E648">
      <w:pPr>
        <w:pStyle w:val="26"/>
        <w:rPr>
          <w:rFonts w:cs="宋体"/>
          <w:b/>
          <w:bCs/>
          <w:color w:val="auto"/>
          <w:sz w:val="22"/>
          <w:szCs w:val="22"/>
          <w:highlight w:val="none"/>
        </w:rPr>
      </w:pPr>
      <w:r>
        <w:rPr>
          <w:rFonts w:hint="eastAsia" w:cs="宋体"/>
          <w:b/>
          <w:bCs/>
          <w:color w:val="auto"/>
          <w:sz w:val="22"/>
          <w:szCs w:val="22"/>
          <w:highlight w:val="none"/>
        </w:rPr>
        <w:t>2.1基础</w:t>
      </w:r>
    </w:p>
    <w:p w14:paraId="785C57B0">
      <w:pPr>
        <w:spacing w:line="360" w:lineRule="auto"/>
        <w:rPr>
          <w:color w:val="auto"/>
          <w:highlight w:val="none"/>
        </w:rPr>
      </w:pPr>
      <w:r>
        <w:rPr>
          <w:color w:val="auto"/>
          <w:highlight w:val="none"/>
        </w:rPr>
        <w:t>10#槽钢落地安装</w:t>
      </w:r>
    </w:p>
    <w:p w14:paraId="78BF97EA">
      <w:pPr>
        <w:pStyle w:val="26"/>
        <w:rPr>
          <w:rFonts w:cs="宋体"/>
          <w:b/>
          <w:bCs/>
          <w:color w:val="auto"/>
          <w:sz w:val="22"/>
          <w:szCs w:val="22"/>
          <w:highlight w:val="none"/>
        </w:rPr>
      </w:pPr>
      <w:r>
        <w:rPr>
          <w:rFonts w:hint="eastAsia" w:cs="宋体"/>
          <w:b/>
          <w:bCs/>
          <w:color w:val="auto"/>
          <w:sz w:val="22"/>
          <w:szCs w:val="22"/>
          <w:highlight w:val="none"/>
        </w:rPr>
        <w:t>2.2</w:t>
      </w:r>
      <w:r>
        <w:rPr>
          <w:rFonts w:cs="宋体"/>
          <w:b/>
          <w:bCs/>
          <w:color w:val="auto"/>
          <w:sz w:val="22"/>
          <w:szCs w:val="22"/>
          <w:highlight w:val="none"/>
        </w:rPr>
        <w:t>配电柜</w:t>
      </w:r>
    </w:p>
    <w:p w14:paraId="0C1C710B">
      <w:pPr>
        <w:spacing w:line="360" w:lineRule="auto"/>
        <w:rPr>
          <w:color w:val="auto"/>
          <w:highlight w:val="none"/>
        </w:rPr>
      </w:pPr>
      <w:r>
        <w:rPr>
          <w:color w:val="auto"/>
          <w:highlight w:val="none"/>
        </w:rPr>
        <w:t>材质：SS304，IP42外壳，户内，电缆进出：底部，</w:t>
      </w:r>
    </w:p>
    <w:p w14:paraId="646C6982">
      <w:pPr>
        <w:spacing w:line="360" w:lineRule="auto"/>
        <w:rPr>
          <w:color w:val="auto"/>
          <w:highlight w:val="none"/>
        </w:rPr>
      </w:pPr>
      <w:r>
        <w:rPr>
          <w:color w:val="auto"/>
          <w:highlight w:val="none"/>
        </w:rPr>
        <w:t>尺寸：800×600×2200（宽×深×高）</w:t>
      </w:r>
    </w:p>
    <w:p w14:paraId="7411A00F">
      <w:pPr>
        <w:spacing w:line="360" w:lineRule="auto"/>
        <w:rPr>
          <w:color w:val="auto"/>
          <w:highlight w:val="none"/>
        </w:rPr>
      </w:pPr>
      <w:r>
        <w:rPr>
          <w:color w:val="auto"/>
          <w:highlight w:val="none"/>
        </w:rPr>
        <w:t>厚度＞2mm</w:t>
      </w:r>
    </w:p>
    <w:p w14:paraId="7D7A3FB9">
      <w:pPr>
        <w:spacing w:line="360" w:lineRule="auto"/>
        <w:rPr>
          <w:color w:val="auto"/>
          <w:highlight w:val="none"/>
        </w:rPr>
      </w:pPr>
      <w:r>
        <w:rPr>
          <w:color w:val="auto"/>
          <w:highlight w:val="none"/>
        </w:rPr>
        <w:t>绝缘等级：B级，</w:t>
      </w:r>
    </w:p>
    <w:p w14:paraId="32A7972A">
      <w:pPr>
        <w:spacing w:line="360" w:lineRule="auto"/>
        <w:rPr>
          <w:color w:val="auto"/>
          <w:highlight w:val="none"/>
        </w:rPr>
      </w:pPr>
      <w:r>
        <w:rPr>
          <w:color w:val="auto"/>
          <w:highlight w:val="none"/>
        </w:rPr>
        <w:t>额定绝缘电压Ui：1000V，</w:t>
      </w:r>
    </w:p>
    <w:p w14:paraId="13DA6558">
      <w:pPr>
        <w:spacing w:line="360" w:lineRule="auto"/>
        <w:rPr>
          <w:color w:val="auto"/>
          <w:highlight w:val="none"/>
        </w:rPr>
      </w:pPr>
      <w:r>
        <w:rPr>
          <w:color w:val="auto"/>
          <w:highlight w:val="none"/>
        </w:rPr>
        <w:t>额度工作电压Ue：400V/690V，</w:t>
      </w:r>
    </w:p>
    <w:p w14:paraId="52BCA150">
      <w:pPr>
        <w:spacing w:line="360" w:lineRule="auto"/>
        <w:rPr>
          <w:color w:val="auto"/>
          <w:highlight w:val="none"/>
        </w:rPr>
      </w:pPr>
      <w:r>
        <w:rPr>
          <w:color w:val="auto"/>
          <w:highlight w:val="none"/>
        </w:rPr>
        <w:t>额度频率：50/60HZ，</w:t>
      </w:r>
    </w:p>
    <w:p w14:paraId="45BE9606">
      <w:pPr>
        <w:spacing w:line="360" w:lineRule="auto"/>
        <w:rPr>
          <w:color w:val="auto"/>
          <w:highlight w:val="none"/>
        </w:rPr>
      </w:pPr>
      <w:r>
        <w:rPr>
          <w:color w:val="auto"/>
          <w:highlight w:val="none"/>
        </w:rPr>
        <w:t>额度冲击耐受电压Uimp：12KV</w:t>
      </w:r>
    </w:p>
    <w:p w14:paraId="24AE81F4">
      <w:pPr>
        <w:pStyle w:val="26"/>
        <w:rPr>
          <w:rFonts w:cs="宋体"/>
          <w:b/>
          <w:bCs/>
          <w:color w:val="auto"/>
          <w:sz w:val="22"/>
          <w:szCs w:val="22"/>
          <w:highlight w:val="none"/>
        </w:rPr>
      </w:pPr>
      <w:r>
        <w:rPr>
          <w:rFonts w:hint="eastAsia" w:cs="宋体"/>
          <w:b/>
          <w:bCs/>
          <w:color w:val="auto"/>
          <w:sz w:val="22"/>
          <w:szCs w:val="22"/>
          <w:highlight w:val="none"/>
        </w:rPr>
        <w:t>2.3稳压器</w:t>
      </w:r>
    </w:p>
    <w:p w14:paraId="74F24F21">
      <w:pPr>
        <w:spacing w:line="360" w:lineRule="auto"/>
        <w:rPr>
          <w:color w:val="auto"/>
          <w:highlight w:val="none"/>
        </w:rPr>
      </w:pPr>
      <w:r>
        <w:rPr>
          <w:rFonts w:hint="eastAsia"/>
          <w:color w:val="auto"/>
          <w:highlight w:val="none"/>
        </w:rPr>
        <w:t>三相，电流表，电压表，</w:t>
      </w:r>
    </w:p>
    <w:p w14:paraId="142A0A7D">
      <w:pPr>
        <w:spacing w:line="360" w:lineRule="auto"/>
        <w:rPr>
          <w:color w:val="auto"/>
          <w:highlight w:val="none"/>
        </w:rPr>
      </w:pPr>
      <w:r>
        <w:rPr>
          <w:rFonts w:hint="eastAsia"/>
          <w:color w:val="auto"/>
          <w:highlight w:val="none"/>
        </w:rPr>
        <w:t>输入电压：260~450V，</w:t>
      </w:r>
    </w:p>
    <w:p w14:paraId="3F52E33C">
      <w:pPr>
        <w:spacing w:line="360" w:lineRule="auto"/>
        <w:rPr>
          <w:color w:val="auto"/>
          <w:highlight w:val="none"/>
        </w:rPr>
      </w:pPr>
      <w:r>
        <w:rPr>
          <w:rFonts w:hint="eastAsia"/>
          <w:color w:val="auto"/>
          <w:highlight w:val="none"/>
        </w:rPr>
        <w:t>输出电压：380±3%，</w:t>
      </w:r>
    </w:p>
    <w:p w14:paraId="3F049632">
      <w:pPr>
        <w:spacing w:line="360" w:lineRule="auto"/>
        <w:rPr>
          <w:color w:val="auto"/>
          <w:highlight w:val="none"/>
        </w:rPr>
      </w:pPr>
      <w:r>
        <w:rPr>
          <w:rFonts w:hint="eastAsia"/>
          <w:color w:val="auto"/>
          <w:highlight w:val="none"/>
        </w:rPr>
        <w:t>频率：50HZ，</w:t>
      </w:r>
    </w:p>
    <w:p w14:paraId="5A063262">
      <w:pPr>
        <w:spacing w:line="360" w:lineRule="auto"/>
        <w:rPr>
          <w:color w:val="auto"/>
          <w:highlight w:val="none"/>
        </w:rPr>
      </w:pPr>
      <w:r>
        <w:rPr>
          <w:rFonts w:hint="eastAsia"/>
          <w:color w:val="auto"/>
          <w:highlight w:val="none"/>
        </w:rPr>
        <w:t>调整时间&lt;1S，</w:t>
      </w:r>
    </w:p>
    <w:p w14:paraId="42939540">
      <w:pPr>
        <w:spacing w:line="360" w:lineRule="auto"/>
        <w:rPr>
          <w:color w:val="auto"/>
          <w:highlight w:val="none"/>
        </w:rPr>
      </w:pPr>
      <w:r>
        <w:rPr>
          <w:rFonts w:hint="eastAsia"/>
          <w:color w:val="auto"/>
          <w:highlight w:val="none"/>
        </w:rPr>
        <w:t>环境温度：-10-40℃</w:t>
      </w:r>
    </w:p>
    <w:p w14:paraId="108F77E9">
      <w:pPr>
        <w:spacing w:line="360" w:lineRule="auto"/>
        <w:rPr>
          <w:color w:val="auto"/>
          <w:highlight w:val="none"/>
        </w:rPr>
      </w:pPr>
      <w:r>
        <w:rPr>
          <w:rFonts w:hint="eastAsia"/>
          <w:color w:val="auto"/>
          <w:highlight w:val="none"/>
        </w:rPr>
        <w:t>含各总必要的保护：过载保护、过压保护、欠压保护、延时保护、短路保护、缺相保护</w:t>
      </w:r>
    </w:p>
    <w:p w14:paraId="6D3B7811">
      <w:pPr>
        <w:pStyle w:val="26"/>
        <w:rPr>
          <w:rFonts w:cs="宋体"/>
          <w:b/>
          <w:bCs/>
          <w:color w:val="auto"/>
          <w:sz w:val="22"/>
          <w:szCs w:val="22"/>
          <w:highlight w:val="none"/>
        </w:rPr>
      </w:pPr>
      <w:r>
        <w:rPr>
          <w:rFonts w:hint="eastAsia" w:cs="宋体"/>
          <w:b/>
          <w:bCs/>
          <w:color w:val="auto"/>
          <w:sz w:val="22"/>
          <w:szCs w:val="22"/>
          <w:highlight w:val="none"/>
        </w:rPr>
        <w:t>3.自控系统</w:t>
      </w:r>
    </w:p>
    <w:p w14:paraId="1DAB2496">
      <w:pPr>
        <w:spacing w:line="360" w:lineRule="auto"/>
        <w:ind w:firstLine="525" w:firstLineChars="250"/>
        <w:rPr>
          <w:color w:val="auto"/>
          <w:highlight w:val="none"/>
        </w:rPr>
      </w:pPr>
      <w:r>
        <w:rPr>
          <w:color w:val="auto"/>
          <w:highlight w:val="none"/>
        </w:rPr>
        <w:t>PLC</w:t>
      </w:r>
      <w:r>
        <w:rPr>
          <w:rFonts w:hint="eastAsia"/>
          <w:color w:val="auto"/>
          <w:highlight w:val="none"/>
        </w:rPr>
        <w:t>作为主要系统控制设备，其</w:t>
      </w:r>
      <w:r>
        <w:rPr>
          <w:color w:val="auto"/>
          <w:highlight w:val="none"/>
        </w:rPr>
        <w:t>选择</w:t>
      </w:r>
      <w:r>
        <w:rPr>
          <w:rFonts w:hint="eastAsia"/>
          <w:color w:val="auto"/>
          <w:highlight w:val="none"/>
        </w:rPr>
        <w:t>应遵守这份技术要求中的所有相关要求，如： CPU、IO、电源、认证标准等，并</w:t>
      </w:r>
      <w:r>
        <w:rPr>
          <w:color w:val="auto"/>
          <w:highlight w:val="none"/>
        </w:rPr>
        <w:t>本着技术先进、性能优越、安全可靠、完全开放的原则，保证用户在选型、设计、施工、运行、维护、升级等各个阶段上的成本控制。PLC品牌选用</w:t>
      </w:r>
      <w:r>
        <w:rPr>
          <w:rFonts w:hint="eastAsia"/>
          <w:color w:val="auto"/>
          <w:highlight w:val="none"/>
        </w:rPr>
        <w:t>国际</w:t>
      </w:r>
      <w:r>
        <w:rPr>
          <w:color w:val="auto"/>
          <w:highlight w:val="none"/>
        </w:rPr>
        <w:t>知名品牌</w:t>
      </w:r>
      <w:r>
        <w:rPr>
          <w:rFonts w:hint="eastAsia"/>
          <w:color w:val="auto"/>
          <w:highlight w:val="none"/>
        </w:rPr>
        <w:t>施耐德</w:t>
      </w:r>
      <w:r>
        <w:rPr>
          <w:color w:val="auto"/>
          <w:highlight w:val="none"/>
        </w:rPr>
        <w:t>M340</w:t>
      </w:r>
      <w:r>
        <w:rPr>
          <w:rFonts w:hint="eastAsia"/>
          <w:color w:val="auto"/>
          <w:highlight w:val="none"/>
        </w:rPr>
        <w:t>系列。</w:t>
      </w:r>
    </w:p>
    <w:p w14:paraId="62748442">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3.1人机界面（HMI）</w:t>
      </w:r>
    </w:p>
    <w:p w14:paraId="05C17D6F">
      <w:pPr>
        <w:spacing w:line="360" w:lineRule="auto"/>
        <w:ind w:firstLine="420" w:firstLineChars="200"/>
        <w:rPr>
          <w:color w:val="auto"/>
          <w:highlight w:val="none"/>
        </w:rPr>
      </w:pPr>
      <w:r>
        <w:rPr>
          <w:rFonts w:hint="eastAsia"/>
          <w:color w:val="auto"/>
          <w:highlight w:val="none"/>
        </w:rPr>
        <w:t>为了便于现场操作，在被控现场PLC上配置人机界面，人机界面与PLC为同一品牌产品。</w:t>
      </w:r>
    </w:p>
    <w:p w14:paraId="2C58374D">
      <w:pPr>
        <w:spacing w:line="360" w:lineRule="auto"/>
        <w:rPr>
          <w:color w:val="auto"/>
          <w:highlight w:val="none"/>
        </w:rPr>
      </w:pPr>
      <w:r>
        <w:rPr>
          <w:rFonts w:hint="eastAsia"/>
          <w:color w:val="auto"/>
          <w:highlight w:val="none"/>
        </w:rPr>
        <w:t>通过触摸屏展示及设置所有工艺运行参数情况和运行控制等功能</w:t>
      </w:r>
    </w:p>
    <w:p w14:paraId="0DE678F4">
      <w:pPr>
        <w:pStyle w:val="26"/>
        <w:rPr>
          <w:rFonts w:cs="宋体"/>
          <w:b/>
          <w:bCs/>
          <w:color w:val="auto"/>
          <w:sz w:val="22"/>
          <w:szCs w:val="22"/>
          <w:highlight w:val="none"/>
        </w:rPr>
      </w:pPr>
      <w:r>
        <w:rPr>
          <w:rFonts w:hint="eastAsia" w:cs="宋体"/>
          <w:b/>
          <w:bCs/>
          <w:color w:val="auto"/>
          <w:sz w:val="22"/>
          <w:szCs w:val="22"/>
          <w:highlight w:val="none"/>
        </w:rPr>
        <w:t>3.2交换机</w:t>
      </w:r>
    </w:p>
    <w:p w14:paraId="7ABCCDCE">
      <w:pPr>
        <w:spacing w:line="360" w:lineRule="auto"/>
        <w:ind w:firstLine="420" w:firstLineChars="200"/>
        <w:rPr>
          <w:color w:val="auto"/>
          <w:highlight w:val="none"/>
        </w:rPr>
      </w:pPr>
      <w:r>
        <w:rPr>
          <w:rFonts w:hint="eastAsia"/>
          <w:color w:val="auto"/>
          <w:highlight w:val="none"/>
        </w:rPr>
        <w:t>8电口，100/1000自适应·</w:t>
      </w:r>
    </w:p>
    <w:p w14:paraId="0B0B5848">
      <w:pPr>
        <w:pStyle w:val="26"/>
        <w:rPr>
          <w:rFonts w:cs="宋体"/>
          <w:b/>
          <w:bCs/>
          <w:color w:val="auto"/>
          <w:sz w:val="22"/>
          <w:szCs w:val="22"/>
          <w:highlight w:val="none"/>
        </w:rPr>
      </w:pPr>
      <w:r>
        <w:rPr>
          <w:rFonts w:hint="eastAsia" w:cs="宋体"/>
          <w:b/>
          <w:bCs/>
          <w:color w:val="auto"/>
          <w:sz w:val="22"/>
          <w:szCs w:val="22"/>
          <w:highlight w:val="none"/>
        </w:rPr>
        <w:t>3.3互联网关</w:t>
      </w:r>
    </w:p>
    <w:p w14:paraId="7C3B426D">
      <w:pPr>
        <w:spacing w:line="360" w:lineRule="auto"/>
        <w:ind w:firstLine="420" w:firstLineChars="200"/>
        <w:rPr>
          <w:color w:val="auto"/>
          <w:highlight w:val="none"/>
        </w:rPr>
      </w:pPr>
      <w:r>
        <w:rPr>
          <w:color w:val="auto"/>
          <w:highlight w:val="none"/>
        </w:rPr>
        <w:t>100/1000</w:t>
      </w:r>
      <w:r>
        <w:rPr>
          <w:rFonts w:hint="eastAsia"/>
          <w:color w:val="auto"/>
          <w:highlight w:val="none"/>
        </w:rPr>
        <w:t>自适应</w:t>
      </w:r>
    </w:p>
    <w:p w14:paraId="20F1499C">
      <w:pPr>
        <w:pStyle w:val="26"/>
        <w:rPr>
          <w:rFonts w:cs="宋体"/>
          <w:b/>
          <w:bCs/>
          <w:color w:val="auto"/>
          <w:sz w:val="22"/>
          <w:szCs w:val="22"/>
          <w:highlight w:val="none"/>
        </w:rPr>
      </w:pPr>
      <w:r>
        <w:rPr>
          <w:rFonts w:hint="eastAsia" w:cs="宋体"/>
          <w:b/>
          <w:bCs/>
          <w:color w:val="auto"/>
          <w:sz w:val="22"/>
          <w:szCs w:val="22"/>
          <w:highlight w:val="none"/>
        </w:rPr>
        <w:t>3.4UPS</w:t>
      </w:r>
    </w:p>
    <w:p w14:paraId="00AAB2DE">
      <w:pPr>
        <w:spacing w:line="360" w:lineRule="auto"/>
        <w:ind w:firstLine="525" w:firstLineChars="250"/>
        <w:rPr>
          <w:color w:val="auto"/>
          <w:highlight w:val="none"/>
        </w:rPr>
      </w:pPr>
      <w:r>
        <w:rPr>
          <w:rFonts w:hint="eastAsia"/>
          <w:color w:val="auto"/>
          <w:highlight w:val="none"/>
        </w:rPr>
        <w:t>UPS应配置通讯</w:t>
      </w:r>
      <w:r>
        <w:rPr>
          <w:color w:val="auto"/>
          <w:highlight w:val="none"/>
        </w:rPr>
        <w:t>卡</w:t>
      </w:r>
      <w:r>
        <w:rPr>
          <w:rFonts w:hint="eastAsia"/>
          <w:color w:val="auto"/>
          <w:highlight w:val="none"/>
        </w:rPr>
        <w:t>并接入工业控制以太网，并通过中控室计算机（厂家免费提供的UPS管理软件或者WEB技术）实现对所有UPS的网络化远程管理和监测。</w:t>
      </w:r>
    </w:p>
    <w:p w14:paraId="0E49C6CD">
      <w:pPr>
        <w:spacing w:line="360" w:lineRule="auto"/>
        <w:rPr>
          <w:color w:val="auto"/>
          <w:highlight w:val="none"/>
        </w:rPr>
      </w:pPr>
      <w:r>
        <w:rPr>
          <w:rFonts w:hint="eastAsia"/>
          <w:color w:val="auto"/>
          <w:highlight w:val="none"/>
        </w:rPr>
        <w:t>所有设备均由UPS供电，UPS应是在线运行、自动切换旁路工作，无切换时间，实现无扰动切换，需具备市电断电报警功能。</w:t>
      </w:r>
    </w:p>
    <w:p w14:paraId="424A3FB2">
      <w:pPr>
        <w:pStyle w:val="26"/>
        <w:rPr>
          <w:rFonts w:cs="宋体"/>
          <w:b/>
          <w:bCs/>
          <w:color w:val="auto"/>
          <w:sz w:val="22"/>
          <w:szCs w:val="22"/>
          <w:highlight w:val="none"/>
        </w:rPr>
      </w:pPr>
      <w:r>
        <w:rPr>
          <w:rFonts w:hint="eastAsia" w:cs="宋体"/>
          <w:b/>
          <w:bCs/>
          <w:color w:val="auto"/>
          <w:sz w:val="22"/>
          <w:szCs w:val="22"/>
          <w:highlight w:val="none"/>
        </w:rPr>
        <w:t>3.5防浪涌电压保护</w:t>
      </w:r>
    </w:p>
    <w:p w14:paraId="630259DD">
      <w:pPr>
        <w:spacing w:line="360" w:lineRule="auto"/>
        <w:rPr>
          <w:color w:val="auto"/>
          <w:highlight w:val="none"/>
        </w:rPr>
      </w:pPr>
      <w:r>
        <w:rPr>
          <w:rFonts w:hint="eastAsia"/>
          <w:color w:val="auto"/>
          <w:highlight w:val="none"/>
        </w:rPr>
        <w:t>防浪涌电压保护：在专用通讯通道的所有输入输出口或任何通向户外的仪表、机电设备的模拟信号、数字信号的回路上及电源回路上均应提供避雷，防浪涌电压保护装置。</w:t>
      </w:r>
    </w:p>
    <w:p w14:paraId="61B9360F">
      <w:pPr>
        <w:pStyle w:val="26"/>
        <w:rPr>
          <w:rFonts w:cs="宋体"/>
          <w:b/>
          <w:bCs/>
          <w:color w:val="auto"/>
          <w:sz w:val="22"/>
          <w:szCs w:val="22"/>
          <w:highlight w:val="none"/>
        </w:rPr>
      </w:pPr>
      <w:r>
        <w:rPr>
          <w:rFonts w:hint="eastAsia" w:cs="宋体"/>
          <w:b/>
          <w:bCs/>
          <w:color w:val="auto"/>
          <w:sz w:val="22"/>
          <w:szCs w:val="22"/>
          <w:highlight w:val="none"/>
        </w:rPr>
        <w:t>3.6信号隔离器</w:t>
      </w:r>
    </w:p>
    <w:p w14:paraId="4CB49E65">
      <w:pPr>
        <w:spacing w:line="360" w:lineRule="auto"/>
        <w:rPr>
          <w:color w:val="auto"/>
          <w:highlight w:val="none"/>
        </w:rPr>
      </w:pPr>
      <w:r>
        <w:rPr>
          <w:rFonts w:hint="eastAsia"/>
          <w:color w:val="auto"/>
          <w:highlight w:val="none"/>
        </w:rPr>
        <w:t>PLC柜内所有开关量输入、输出采用中间继电器隔离设计，所有模拟量输入输出采用信号隔离器+信号避雷器设计。</w:t>
      </w:r>
    </w:p>
    <w:p w14:paraId="34188515">
      <w:pPr>
        <w:pStyle w:val="26"/>
        <w:rPr>
          <w:rFonts w:cs="宋体"/>
          <w:b/>
          <w:bCs/>
          <w:color w:val="auto"/>
          <w:sz w:val="22"/>
          <w:szCs w:val="22"/>
          <w:highlight w:val="none"/>
        </w:rPr>
      </w:pPr>
      <w:r>
        <w:rPr>
          <w:rFonts w:hint="eastAsia" w:cs="宋体"/>
          <w:b/>
          <w:bCs/>
          <w:color w:val="auto"/>
          <w:sz w:val="22"/>
          <w:szCs w:val="22"/>
          <w:highlight w:val="none"/>
        </w:rPr>
        <w:t>4.在线仪表</w:t>
      </w:r>
    </w:p>
    <w:p w14:paraId="2551D0E5">
      <w:pPr>
        <w:pStyle w:val="26"/>
        <w:rPr>
          <w:rFonts w:cs="宋体"/>
          <w:b/>
          <w:bCs/>
          <w:color w:val="auto"/>
          <w:sz w:val="22"/>
          <w:szCs w:val="22"/>
          <w:highlight w:val="none"/>
        </w:rPr>
      </w:pPr>
      <w:r>
        <w:rPr>
          <w:rFonts w:hint="eastAsia" w:cs="宋体"/>
          <w:b/>
          <w:bCs/>
          <w:color w:val="auto"/>
          <w:sz w:val="22"/>
          <w:szCs w:val="22"/>
          <w:highlight w:val="none"/>
        </w:rPr>
        <w:t>4.1投入式液位仪（清水池）</w:t>
      </w:r>
    </w:p>
    <w:p w14:paraId="15EF6842">
      <w:pPr>
        <w:spacing w:line="360" w:lineRule="auto"/>
        <w:rPr>
          <w:color w:val="auto"/>
          <w:highlight w:val="none"/>
        </w:rPr>
      </w:pPr>
      <w:r>
        <w:rPr>
          <w:rFonts w:hint="eastAsia"/>
          <w:color w:val="auto"/>
          <w:highlight w:val="none"/>
        </w:rPr>
        <w:t xml:space="preserve">量程：0~5m；温度范围：-40℃~75℃；保护等级：IP68；安装方式：投入式； </w:t>
      </w:r>
      <w:r>
        <w:rPr>
          <w:rFonts w:hint="eastAsia"/>
          <w:color w:val="auto"/>
          <w:highlight w:val="none"/>
        </w:rPr>
        <w:cr/>
      </w:r>
      <w:r>
        <w:rPr>
          <w:rFonts w:hint="eastAsia"/>
          <w:color w:val="auto"/>
          <w:highlight w:val="none"/>
        </w:rPr>
        <w:t xml:space="preserve">外壳材料：不锈钢1Cr18Ni9Ti； </w:t>
      </w:r>
      <w:r>
        <w:rPr>
          <w:rFonts w:hint="eastAsia"/>
          <w:color w:val="auto"/>
          <w:highlight w:val="none"/>
        </w:rPr>
        <w:cr/>
      </w:r>
      <w:r>
        <w:rPr>
          <w:rFonts w:hint="eastAsia"/>
          <w:color w:val="auto"/>
          <w:highlight w:val="none"/>
        </w:rPr>
        <w:t xml:space="preserve">输出负载：0~500Ω； </w:t>
      </w:r>
      <w:r>
        <w:rPr>
          <w:rFonts w:hint="eastAsia"/>
          <w:color w:val="auto"/>
          <w:highlight w:val="none"/>
        </w:rPr>
        <w:cr/>
      </w:r>
      <w:r>
        <w:rPr>
          <w:rFonts w:hint="eastAsia"/>
          <w:color w:val="auto"/>
          <w:highlight w:val="none"/>
        </w:rPr>
        <w:t xml:space="preserve">输出电流：2线制4~20mA； </w:t>
      </w:r>
      <w:r>
        <w:rPr>
          <w:rFonts w:hint="eastAsia"/>
          <w:color w:val="auto"/>
          <w:highlight w:val="none"/>
        </w:rPr>
        <w:cr/>
      </w:r>
      <w:r>
        <w:rPr>
          <w:rFonts w:hint="eastAsia"/>
          <w:color w:val="auto"/>
          <w:highlight w:val="none"/>
        </w:rPr>
        <w:t xml:space="preserve">输入电源：DC15~28V； </w:t>
      </w:r>
      <w:r>
        <w:rPr>
          <w:rFonts w:hint="eastAsia"/>
          <w:color w:val="auto"/>
          <w:highlight w:val="none"/>
        </w:rPr>
        <w:cr/>
      </w:r>
      <w:r>
        <w:rPr>
          <w:rFonts w:hint="eastAsia"/>
          <w:color w:val="auto"/>
          <w:highlight w:val="none"/>
        </w:rPr>
        <w:t xml:space="preserve">输出分辨率：实际量程的0.5%； </w:t>
      </w:r>
      <w:r>
        <w:rPr>
          <w:rFonts w:hint="eastAsia"/>
          <w:color w:val="auto"/>
          <w:highlight w:val="none"/>
        </w:rPr>
        <w:cr/>
      </w:r>
      <w:r>
        <w:rPr>
          <w:rFonts w:hint="eastAsia"/>
          <w:color w:val="auto"/>
          <w:highlight w:val="none"/>
        </w:rPr>
        <w:t xml:space="preserve">温度补偿：全范围自动； </w:t>
      </w:r>
      <w:r>
        <w:rPr>
          <w:rFonts w:hint="eastAsia"/>
          <w:color w:val="auto"/>
          <w:highlight w:val="none"/>
        </w:rPr>
        <w:cr/>
      </w:r>
      <w:r>
        <w:rPr>
          <w:rFonts w:hint="eastAsia"/>
          <w:color w:val="auto"/>
          <w:highlight w:val="none"/>
        </w:rPr>
        <w:t xml:space="preserve">密封件：氟橡胶； </w:t>
      </w:r>
      <w:r>
        <w:rPr>
          <w:rFonts w:hint="eastAsia"/>
          <w:color w:val="auto"/>
          <w:highlight w:val="none"/>
        </w:rPr>
        <w:cr/>
      </w:r>
      <w:r>
        <w:rPr>
          <w:rFonts w:hint="eastAsia"/>
          <w:color w:val="auto"/>
          <w:highlight w:val="none"/>
        </w:rPr>
        <w:t>膜 片：不锈钢316L。</w:t>
      </w:r>
    </w:p>
    <w:p w14:paraId="1BCC3278">
      <w:pPr>
        <w:pStyle w:val="26"/>
        <w:rPr>
          <w:rFonts w:cs="宋体"/>
          <w:b/>
          <w:bCs/>
          <w:color w:val="auto"/>
          <w:sz w:val="28"/>
          <w:szCs w:val="28"/>
          <w:highlight w:val="none"/>
        </w:rPr>
      </w:pPr>
      <w:r>
        <w:rPr>
          <w:rFonts w:hint="eastAsia" w:cs="宋体"/>
          <w:b/>
          <w:bCs/>
          <w:color w:val="auto"/>
          <w:sz w:val="22"/>
          <w:szCs w:val="22"/>
          <w:highlight w:val="none"/>
        </w:rPr>
        <w:t>4.2浊度仪（水质在线监测仪表）</w:t>
      </w:r>
    </w:p>
    <w:p w14:paraId="4EDA4A37">
      <w:pPr>
        <w:spacing w:line="360" w:lineRule="auto"/>
        <w:rPr>
          <w:color w:val="auto"/>
          <w:highlight w:val="none"/>
        </w:rPr>
      </w:pPr>
      <w:r>
        <w:rPr>
          <w:rFonts w:hint="eastAsia"/>
          <w:color w:val="auto"/>
          <w:highlight w:val="none"/>
        </w:rPr>
        <w:t>A. 概述</w:t>
      </w:r>
    </w:p>
    <w:p w14:paraId="21E987C6">
      <w:pPr>
        <w:spacing w:line="360" w:lineRule="auto"/>
        <w:rPr>
          <w:color w:val="auto"/>
          <w:highlight w:val="none"/>
        </w:rPr>
      </w:pPr>
      <w:r>
        <w:rPr>
          <w:rFonts w:hint="eastAsia"/>
          <w:color w:val="auto"/>
          <w:highlight w:val="none"/>
        </w:rPr>
        <w:t>功能：测量、指示和传送过程检测介质中的浊度</w:t>
      </w:r>
    </w:p>
    <w:p w14:paraId="075FC02A">
      <w:pPr>
        <w:spacing w:line="360" w:lineRule="auto"/>
        <w:rPr>
          <w:color w:val="auto"/>
          <w:highlight w:val="none"/>
        </w:rPr>
      </w:pPr>
      <w:r>
        <w:rPr>
          <w:rFonts w:hint="eastAsia"/>
          <w:color w:val="auto"/>
          <w:highlight w:val="none"/>
        </w:rPr>
        <w:t>形式：90度表面散射光原理，光源及光电池不与水样接触。</w:t>
      </w:r>
    </w:p>
    <w:p w14:paraId="709B49C2">
      <w:pPr>
        <w:spacing w:line="360" w:lineRule="auto"/>
        <w:rPr>
          <w:color w:val="auto"/>
          <w:highlight w:val="none"/>
        </w:rPr>
      </w:pPr>
      <w:r>
        <w:rPr>
          <w:rFonts w:hint="eastAsia"/>
          <w:color w:val="auto"/>
          <w:highlight w:val="none"/>
        </w:rPr>
        <w:t>组成：测量、变送元件及全部安装附件和清洗装置</w:t>
      </w:r>
    </w:p>
    <w:p w14:paraId="113AECDE">
      <w:pPr>
        <w:spacing w:line="360" w:lineRule="auto"/>
        <w:rPr>
          <w:color w:val="auto"/>
          <w:highlight w:val="none"/>
        </w:rPr>
      </w:pPr>
      <w:r>
        <w:rPr>
          <w:rFonts w:hint="eastAsia"/>
          <w:color w:val="auto"/>
          <w:highlight w:val="none"/>
        </w:rPr>
        <w:t>B. 性能</w:t>
      </w:r>
    </w:p>
    <w:p w14:paraId="4F1D6B9A">
      <w:pPr>
        <w:spacing w:line="360" w:lineRule="auto"/>
        <w:rPr>
          <w:color w:val="auto"/>
          <w:highlight w:val="none"/>
        </w:rPr>
      </w:pPr>
      <w:r>
        <w:rPr>
          <w:rFonts w:hint="eastAsia"/>
          <w:color w:val="auto"/>
          <w:highlight w:val="none"/>
        </w:rPr>
        <w:t>测量范围：见仪表清单</w:t>
      </w:r>
    </w:p>
    <w:p w14:paraId="2F1AE8ED">
      <w:pPr>
        <w:spacing w:line="360" w:lineRule="auto"/>
        <w:rPr>
          <w:color w:val="auto"/>
          <w:highlight w:val="none"/>
        </w:rPr>
      </w:pPr>
      <w:r>
        <w:rPr>
          <w:rFonts w:hint="eastAsia"/>
          <w:color w:val="auto"/>
          <w:highlight w:val="none"/>
        </w:rPr>
        <w:t>温度范围:1~50°C</w:t>
      </w:r>
    </w:p>
    <w:p w14:paraId="4DBCAD7A">
      <w:pPr>
        <w:spacing w:line="360" w:lineRule="auto"/>
        <w:rPr>
          <w:color w:val="auto"/>
          <w:highlight w:val="none"/>
        </w:rPr>
      </w:pPr>
      <w:r>
        <w:rPr>
          <w:rFonts w:hint="eastAsia"/>
          <w:color w:val="auto"/>
          <w:highlight w:val="none"/>
        </w:rPr>
        <w:t>分辨率: 0~9.9999 NTU：0.0001 NTU；10.000~99.999 NTU：0.001 NTU。</w:t>
      </w:r>
    </w:p>
    <w:p w14:paraId="101B7CD3">
      <w:pPr>
        <w:spacing w:line="360" w:lineRule="auto"/>
        <w:rPr>
          <w:color w:val="auto"/>
          <w:highlight w:val="none"/>
        </w:rPr>
      </w:pPr>
      <w:r>
        <w:rPr>
          <w:rFonts w:hint="eastAsia"/>
          <w:color w:val="auto"/>
          <w:highlight w:val="none"/>
        </w:rPr>
        <w:t>测量误差:低于40NTU为读数的±2%或±0.02NTU,取大值</w:t>
      </w:r>
    </w:p>
    <w:p w14:paraId="1DA0641E">
      <w:pPr>
        <w:spacing w:line="360" w:lineRule="auto"/>
        <w:rPr>
          <w:color w:val="auto"/>
          <w:highlight w:val="none"/>
        </w:rPr>
      </w:pPr>
      <w:r>
        <w:rPr>
          <w:rFonts w:hint="eastAsia"/>
          <w:color w:val="auto"/>
          <w:highlight w:val="none"/>
        </w:rPr>
        <w:t>大于40NTU为读数的±5%</w:t>
      </w:r>
    </w:p>
    <w:p w14:paraId="5FB5A4CF">
      <w:pPr>
        <w:spacing w:line="360" w:lineRule="auto"/>
        <w:rPr>
          <w:color w:val="auto"/>
          <w:highlight w:val="none"/>
        </w:rPr>
      </w:pPr>
      <w:r>
        <w:rPr>
          <w:rFonts w:hint="eastAsia"/>
          <w:color w:val="auto"/>
          <w:highlight w:val="none"/>
        </w:rPr>
        <w:t>重复性：优于读数的</w:t>
      </w:r>
      <w:r>
        <w:rPr>
          <w:color w:val="auto"/>
          <w:highlight w:val="none"/>
        </w:rPr>
        <w:t xml:space="preserve">±1.0% </w:t>
      </w:r>
      <w:r>
        <w:rPr>
          <w:rFonts w:hint="eastAsia"/>
          <w:color w:val="auto"/>
          <w:highlight w:val="none"/>
        </w:rPr>
        <w:t>或±</w:t>
      </w:r>
      <w:r>
        <w:rPr>
          <w:color w:val="auto"/>
          <w:highlight w:val="none"/>
        </w:rPr>
        <w:t>0.002 NTU</w:t>
      </w:r>
      <w:r>
        <w:rPr>
          <w:rFonts w:hint="eastAsia"/>
          <w:color w:val="auto"/>
          <w:highlight w:val="none"/>
        </w:rPr>
        <w:t>。</w:t>
      </w:r>
    </w:p>
    <w:p w14:paraId="7F344F8A">
      <w:pPr>
        <w:spacing w:line="360" w:lineRule="auto"/>
        <w:rPr>
          <w:color w:val="auto"/>
          <w:highlight w:val="none"/>
        </w:rPr>
      </w:pPr>
      <w:r>
        <w:rPr>
          <w:rFonts w:hint="eastAsia"/>
          <w:color w:val="auto"/>
          <w:highlight w:val="none"/>
        </w:rPr>
        <w:t>指示器：LCD数字并有现场操作，带温度补偿，并可同时输出温度信号4～20mA，具数据存贮功能，具有中文菜单显示。</w:t>
      </w:r>
    </w:p>
    <w:p w14:paraId="47196608">
      <w:pPr>
        <w:spacing w:line="360" w:lineRule="auto"/>
        <w:rPr>
          <w:color w:val="auto"/>
          <w:highlight w:val="none"/>
        </w:rPr>
      </w:pPr>
      <w:r>
        <w:rPr>
          <w:rFonts w:hint="eastAsia"/>
          <w:color w:val="auto"/>
          <w:highlight w:val="none"/>
        </w:rPr>
        <w:t>气泡：要求具备气泡消除系统</w:t>
      </w:r>
    </w:p>
    <w:p w14:paraId="34E55F71">
      <w:pPr>
        <w:spacing w:line="360" w:lineRule="auto"/>
        <w:rPr>
          <w:color w:val="auto"/>
          <w:highlight w:val="none"/>
        </w:rPr>
      </w:pPr>
      <w:r>
        <w:rPr>
          <w:rFonts w:hint="eastAsia"/>
          <w:color w:val="auto"/>
          <w:highlight w:val="none"/>
        </w:rPr>
        <w:t>C. 变送器:</w:t>
      </w:r>
    </w:p>
    <w:p w14:paraId="49BD4E94">
      <w:pPr>
        <w:spacing w:line="360" w:lineRule="auto"/>
        <w:rPr>
          <w:color w:val="auto"/>
          <w:highlight w:val="none"/>
        </w:rPr>
      </w:pPr>
      <w:r>
        <w:rPr>
          <w:rFonts w:hint="eastAsia"/>
          <w:color w:val="auto"/>
          <w:highlight w:val="none"/>
        </w:rPr>
        <w:t>输出信号：两路4～20mA</w:t>
      </w:r>
    </w:p>
    <w:p w14:paraId="61BC8589">
      <w:pPr>
        <w:spacing w:line="360" w:lineRule="auto"/>
        <w:rPr>
          <w:color w:val="auto"/>
          <w:highlight w:val="none"/>
        </w:rPr>
      </w:pPr>
      <w:r>
        <w:rPr>
          <w:rFonts w:hint="eastAsia"/>
          <w:color w:val="auto"/>
          <w:highlight w:val="none"/>
        </w:rPr>
        <w:t>电源：220VAC，50Hz，断电自动储存系统数据。</w:t>
      </w:r>
    </w:p>
    <w:p w14:paraId="38A58B32">
      <w:pPr>
        <w:spacing w:line="360" w:lineRule="auto"/>
        <w:rPr>
          <w:color w:val="auto"/>
          <w:highlight w:val="none"/>
        </w:rPr>
      </w:pPr>
      <w:r>
        <w:rPr>
          <w:rFonts w:hint="eastAsia"/>
          <w:color w:val="auto"/>
          <w:highlight w:val="none"/>
        </w:rPr>
        <w:t>故障报警：开关量输出自身报警220VAC，5A（2路)</w:t>
      </w:r>
    </w:p>
    <w:p w14:paraId="15B81077">
      <w:pPr>
        <w:spacing w:line="360" w:lineRule="auto"/>
        <w:rPr>
          <w:color w:val="auto"/>
          <w:highlight w:val="none"/>
        </w:rPr>
      </w:pPr>
      <w:r>
        <w:rPr>
          <w:rFonts w:hint="eastAsia"/>
          <w:color w:val="auto"/>
          <w:highlight w:val="none"/>
        </w:rPr>
        <w:t>安装方式：墙挂式</w:t>
      </w:r>
    </w:p>
    <w:p w14:paraId="1B1900AA">
      <w:pPr>
        <w:spacing w:line="360" w:lineRule="auto"/>
        <w:rPr>
          <w:color w:val="auto"/>
          <w:highlight w:val="none"/>
        </w:rPr>
      </w:pPr>
      <w:r>
        <w:rPr>
          <w:rFonts w:hint="eastAsia"/>
          <w:color w:val="auto"/>
          <w:highlight w:val="none"/>
        </w:rPr>
        <w:t>D. 检测方式：流通式（取样式）</w:t>
      </w:r>
    </w:p>
    <w:p w14:paraId="59ED60FC">
      <w:pPr>
        <w:spacing w:line="360" w:lineRule="auto"/>
        <w:rPr>
          <w:color w:val="auto"/>
          <w:highlight w:val="none"/>
        </w:rPr>
      </w:pPr>
      <w:r>
        <w:rPr>
          <w:rFonts w:hint="eastAsia"/>
          <w:color w:val="auto"/>
          <w:highlight w:val="none"/>
        </w:rPr>
        <w:t>E. 电缆型号：仪表厂家确定</w:t>
      </w:r>
    </w:p>
    <w:p w14:paraId="4C61496E">
      <w:pPr>
        <w:spacing w:line="360" w:lineRule="auto"/>
        <w:rPr>
          <w:color w:val="auto"/>
          <w:highlight w:val="none"/>
        </w:rPr>
      </w:pPr>
      <w:r>
        <w:rPr>
          <w:rFonts w:hint="eastAsia"/>
          <w:color w:val="auto"/>
          <w:highlight w:val="none"/>
        </w:rPr>
        <w:t>F. 电缆长度：标准。</w:t>
      </w:r>
    </w:p>
    <w:p w14:paraId="2D0E42F8">
      <w:pPr>
        <w:spacing w:line="360" w:lineRule="auto"/>
        <w:rPr>
          <w:color w:val="auto"/>
          <w:highlight w:val="none"/>
        </w:rPr>
      </w:pPr>
      <w:r>
        <w:rPr>
          <w:rFonts w:hint="eastAsia"/>
          <w:color w:val="auto"/>
          <w:highlight w:val="none"/>
        </w:rPr>
        <w:t>F. 防护等级：IP66</w:t>
      </w:r>
    </w:p>
    <w:p w14:paraId="2C7C4D39">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4.3余氯仪（水质在线监测仪表）</w:t>
      </w:r>
    </w:p>
    <w:p w14:paraId="12DA2FE6">
      <w:pPr>
        <w:spacing w:line="360" w:lineRule="auto"/>
        <w:rPr>
          <w:color w:val="auto"/>
          <w:highlight w:val="none"/>
        </w:rPr>
      </w:pPr>
      <w:r>
        <w:rPr>
          <w:rFonts w:hint="eastAsia"/>
          <w:color w:val="auto"/>
          <w:highlight w:val="none"/>
        </w:rPr>
        <w:t>A.概述</w:t>
      </w:r>
    </w:p>
    <w:p w14:paraId="300CD907">
      <w:pPr>
        <w:spacing w:line="360" w:lineRule="auto"/>
        <w:rPr>
          <w:color w:val="auto"/>
          <w:highlight w:val="none"/>
        </w:rPr>
      </w:pPr>
      <w:r>
        <w:rPr>
          <w:rFonts w:hint="eastAsia"/>
          <w:color w:val="auto"/>
          <w:highlight w:val="none"/>
        </w:rPr>
        <w:t>功能：测量、指示和传送过程检测介质中的余氯信号</w:t>
      </w:r>
    </w:p>
    <w:p w14:paraId="47F9AA8A">
      <w:pPr>
        <w:spacing w:line="360" w:lineRule="auto"/>
        <w:rPr>
          <w:color w:val="auto"/>
          <w:highlight w:val="none"/>
        </w:rPr>
      </w:pPr>
      <w:r>
        <w:rPr>
          <w:rFonts w:hint="eastAsia"/>
          <w:color w:val="auto"/>
          <w:highlight w:val="none"/>
        </w:rPr>
        <w:t>形式：DPD比色法，可准确测量余氯或总氯含量</w:t>
      </w:r>
    </w:p>
    <w:p w14:paraId="15A7D29D">
      <w:pPr>
        <w:spacing w:line="360" w:lineRule="auto"/>
        <w:rPr>
          <w:color w:val="auto"/>
          <w:highlight w:val="none"/>
        </w:rPr>
      </w:pPr>
      <w:r>
        <w:rPr>
          <w:rFonts w:hint="eastAsia"/>
          <w:color w:val="auto"/>
          <w:highlight w:val="none"/>
        </w:rPr>
        <w:t>组成：测量、变送元件及全部安装附件</w:t>
      </w:r>
    </w:p>
    <w:p w14:paraId="2244F525">
      <w:pPr>
        <w:spacing w:line="360" w:lineRule="auto"/>
        <w:rPr>
          <w:color w:val="auto"/>
          <w:highlight w:val="none"/>
        </w:rPr>
      </w:pPr>
      <w:r>
        <w:rPr>
          <w:rFonts w:hint="eastAsia"/>
          <w:color w:val="auto"/>
          <w:highlight w:val="none"/>
        </w:rPr>
        <w:t>B.性能</w:t>
      </w:r>
    </w:p>
    <w:p w14:paraId="1F449FCF">
      <w:pPr>
        <w:spacing w:line="360" w:lineRule="auto"/>
        <w:rPr>
          <w:color w:val="auto"/>
          <w:highlight w:val="none"/>
        </w:rPr>
      </w:pPr>
      <w:r>
        <w:rPr>
          <w:rFonts w:hint="eastAsia"/>
          <w:color w:val="auto"/>
          <w:highlight w:val="none"/>
        </w:rPr>
        <w:t>测量范围：0~5mg/l</w:t>
      </w:r>
    </w:p>
    <w:p w14:paraId="31386C4D">
      <w:pPr>
        <w:spacing w:line="360" w:lineRule="auto"/>
        <w:rPr>
          <w:color w:val="auto"/>
          <w:highlight w:val="none"/>
        </w:rPr>
      </w:pPr>
      <w:r>
        <w:rPr>
          <w:rFonts w:hint="eastAsia"/>
          <w:color w:val="auto"/>
          <w:highlight w:val="none"/>
        </w:rPr>
        <w:t>测量精度：读数的±5%或0.035mg/L Cl2</w:t>
      </w:r>
    </w:p>
    <w:p w14:paraId="28D9A051">
      <w:pPr>
        <w:spacing w:line="360" w:lineRule="auto"/>
        <w:rPr>
          <w:color w:val="auto"/>
          <w:highlight w:val="none"/>
        </w:rPr>
      </w:pPr>
      <w:r>
        <w:rPr>
          <w:rFonts w:hint="eastAsia"/>
          <w:color w:val="auto"/>
          <w:highlight w:val="none"/>
        </w:rPr>
        <w:t>检测限：0.035mg/L CL2</w:t>
      </w:r>
    </w:p>
    <w:p w14:paraId="0E890BC0">
      <w:pPr>
        <w:spacing w:line="360" w:lineRule="auto"/>
        <w:rPr>
          <w:color w:val="auto"/>
          <w:highlight w:val="none"/>
        </w:rPr>
      </w:pPr>
      <w:r>
        <w:rPr>
          <w:rFonts w:hint="eastAsia"/>
          <w:color w:val="auto"/>
          <w:highlight w:val="none"/>
        </w:rPr>
        <w:t>余氯pH补偿范围：pH 4...9</w:t>
      </w:r>
    </w:p>
    <w:p w14:paraId="05B553AE">
      <w:pPr>
        <w:spacing w:line="360" w:lineRule="auto"/>
        <w:rPr>
          <w:color w:val="auto"/>
          <w:highlight w:val="none"/>
        </w:rPr>
      </w:pPr>
      <w:r>
        <w:rPr>
          <w:rFonts w:hint="eastAsia"/>
          <w:color w:val="auto"/>
          <w:highlight w:val="none"/>
        </w:rPr>
        <w:t>输出信号漂移：max.0.75%电流输出范围</w:t>
      </w:r>
    </w:p>
    <w:p w14:paraId="0237D1AC">
      <w:pPr>
        <w:spacing w:line="360" w:lineRule="auto"/>
        <w:rPr>
          <w:color w:val="auto"/>
          <w:highlight w:val="none"/>
        </w:rPr>
      </w:pPr>
      <w:r>
        <w:rPr>
          <w:rFonts w:hint="eastAsia"/>
          <w:color w:val="auto"/>
          <w:highlight w:val="none"/>
        </w:rPr>
        <w:t>防护等级：IP68</w:t>
      </w:r>
    </w:p>
    <w:p w14:paraId="29D40C24">
      <w:pPr>
        <w:spacing w:line="360" w:lineRule="auto"/>
        <w:rPr>
          <w:color w:val="auto"/>
          <w:highlight w:val="none"/>
        </w:rPr>
      </w:pPr>
      <w:r>
        <w:rPr>
          <w:rFonts w:hint="eastAsia"/>
          <w:color w:val="auto"/>
          <w:highlight w:val="none"/>
        </w:rPr>
        <w:t>指示器：LCD数字并有现场操作</w:t>
      </w:r>
    </w:p>
    <w:p w14:paraId="69B1ECB3">
      <w:pPr>
        <w:spacing w:line="360" w:lineRule="auto"/>
        <w:rPr>
          <w:color w:val="auto"/>
          <w:highlight w:val="none"/>
        </w:rPr>
      </w:pPr>
      <w:r>
        <w:rPr>
          <w:rFonts w:hint="eastAsia"/>
          <w:color w:val="auto"/>
          <w:highlight w:val="none"/>
        </w:rPr>
        <w:t>测量时间：2.5分钟；</w:t>
      </w:r>
    </w:p>
    <w:p w14:paraId="0762266F">
      <w:pPr>
        <w:spacing w:line="360" w:lineRule="auto"/>
        <w:rPr>
          <w:color w:val="auto"/>
          <w:highlight w:val="none"/>
        </w:rPr>
      </w:pPr>
      <w:r>
        <w:rPr>
          <w:rFonts w:hint="eastAsia"/>
          <w:color w:val="auto"/>
          <w:highlight w:val="none"/>
        </w:rPr>
        <w:t>通讯协议：带HART通信协议</w:t>
      </w:r>
    </w:p>
    <w:p w14:paraId="2DDBE46A">
      <w:pPr>
        <w:spacing w:line="360" w:lineRule="auto"/>
        <w:rPr>
          <w:color w:val="auto"/>
          <w:highlight w:val="none"/>
        </w:rPr>
      </w:pPr>
      <w:r>
        <w:rPr>
          <w:rFonts w:hint="eastAsia"/>
          <w:color w:val="auto"/>
          <w:highlight w:val="none"/>
        </w:rPr>
        <w:t>C. 变送器</w:t>
      </w:r>
    </w:p>
    <w:p w14:paraId="32AE6BDA">
      <w:pPr>
        <w:spacing w:line="360" w:lineRule="auto"/>
        <w:rPr>
          <w:color w:val="auto"/>
          <w:highlight w:val="none"/>
        </w:rPr>
      </w:pPr>
      <w:r>
        <w:rPr>
          <w:rFonts w:hint="eastAsia"/>
          <w:color w:val="auto"/>
          <w:highlight w:val="none"/>
        </w:rPr>
        <w:t xml:space="preserve">隔离输出信号：两路4～20mA  </w:t>
      </w:r>
    </w:p>
    <w:p w14:paraId="467C69F6">
      <w:pPr>
        <w:spacing w:line="360" w:lineRule="auto"/>
        <w:rPr>
          <w:color w:val="auto"/>
          <w:highlight w:val="none"/>
        </w:rPr>
      </w:pPr>
      <w:r>
        <w:rPr>
          <w:rFonts w:hint="eastAsia"/>
          <w:color w:val="auto"/>
          <w:highlight w:val="none"/>
        </w:rPr>
        <w:t>电源：220VAC，50Hz     断电自动储存系统数据</w:t>
      </w:r>
    </w:p>
    <w:p w14:paraId="0B122829">
      <w:pPr>
        <w:spacing w:line="360" w:lineRule="auto"/>
        <w:rPr>
          <w:color w:val="auto"/>
          <w:highlight w:val="none"/>
        </w:rPr>
      </w:pPr>
      <w:r>
        <w:rPr>
          <w:rFonts w:hint="eastAsia"/>
          <w:color w:val="auto"/>
          <w:highlight w:val="none"/>
        </w:rPr>
        <w:t>故障报警：开关量输出自身报警220VAC，5A（2路)</w:t>
      </w:r>
    </w:p>
    <w:p w14:paraId="713B02EA">
      <w:pPr>
        <w:spacing w:line="360" w:lineRule="auto"/>
        <w:rPr>
          <w:color w:val="auto"/>
          <w:highlight w:val="none"/>
        </w:rPr>
      </w:pPr>
      <w:r>
        <w:rPr>
          <w:rFonts w:hint="eastAsia"/>
          <w:color w:val="auto"/>
          <w:highlight w:val="none"/>
        </w:rPr>
        <w:t>安装方式：墙挂式</w:t>
      </w:r>
    </w:p>
    <w:p w14:paraId="2BF42FCA">
      <w:pPr>
        <w:spacing w:line="360" w:lineRule="auto"/>
        <w:rPr>
          <w:color w:val="auto"/>
          <w:highlight w:val="none"/>
        </w:rPr>
      </w:pPr>
      <w:r>
        <w:rPr>
          <w:rFonts w:hint="eastAsia"/>
          <w:color w:val="auto"/>
          <w:highlight w:val="none"/>
        </w:rPr>
        <w:t>检测方式：流通式</w:t>
      </w:r>
    </w:p>
    <w:p w14:paraId="6DCDE653">
      <w:pPr>
        <w:spacing w:line="360" w:lineRule="auto"/>
        <w:rPr>
          <w:color w:val="auto"/>
          <w:highlight w:val="none"/>
        </w:rPr>
      </w:pPr>
      <w:r>
        <w:rPr>
          <w:rFonts w:hint="eastAsia"/>
          <w:color w:val="auto"/>
          <w:highlight w:val="none"/>
        </w:rPr>
        <w:t>电缆型号：仪表厂家确定</w:t>
      </w:r>
    </w:p>
    <w:p w14:paraId="3A5790E6">
      <w:pPr>
        <w:spacing w:line="360" w:lineRule="auto"/>
        <w:rPr>
          <w:color w:val="auto"/>
          <w:highlight w:val="none"/>
        </w:rPr>
      </w:pPr>
      <w:r>
        <w:rPr>
          <w:rFonts w:hint="eastAsia"/>
          <w:color w:val="auto"/>
          <w:highlight w:val="none"/>
        </w:rPr>
        <w:t>长度：标准</w:t>
      </w:r>
    </w:p>
    <w:p w14:paraId="4F72E59B">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4.4 pH 仪</w:t>
      </w:r>
    </w:p>
    <w:p w14:paraId="64843899">
      <w:pPr>
        <w:spacing w:line="360" w:lineRule="auto"/>
        <w:rPr>
          <w:color w:val="auto"/>
          <w:highlight w:val="none"/>
        </w:rPr>
      </w:pPr>
      <w:r>
        <w:rPr>
          <w:rFonts w:hint="eastAsia"/>
          <w:color w:val="auto"/>
          <w:highlight w:val="none"/>
        </w:rPr>
        <w:t>A. 概述</w:t>
      </w:r>
    </w:p>
    <w:p w14:paraId="3E8329FF">
      <w:pPr>
        <w:spacing w:line="360" w:lineRule="auto"/>
        <w:rPr>
          <w:color w:val="auto"/>
          <w:highlight w:val="none"/>
        </w:rPr>
      </w:pPr>
      <w:r>
        <w:rPr>
          <w:rFonts w:hint="eastAsia"/>
          <w:color w:val="auto"/>
          <w:highlight w:val="none"/>
        </w:rPr>
        <w:t>功能：测量、指示和传送过程检测介质的PH值信号</w:t>
      </w:r>
    </w:p>
    <w:p w14:paraId="451A8116">
      <w:pPr>
        <w:spacing w:line="360" w:lineRule="auto"/>
        <w:rPr>
          <w:color w:val="auto"/>
          <w:highlight w:val="none"/>
        </w:rPr>
      </w:pPr>
      <w:r>
        <w:rPr>
          <w:rFonts w:hint="eastAsia"/>
          <w:color w:val="auto"/>
          <w:highlight w:val="none"/>
        </w:rPr>
        <w:t xml:space="preserve">    形式：玻璃复合电极（测量电极、参比电极和Pt100温度电极复合一体）, 采用memosens专利技术的真正数字式智能存储电极,测量电极的参数存储在传感器探头里,而且也存储在变送器里</w:t>
      </w:r>
    </w:p>
    <w:p w14:paraId="020915F8">
      <w:pPr>
        <w:spacing w:line="360" w:lineRule="auto"/>
        <w:rPr>
          <w:color w:val="auto"/>
          <w:highlight w:val="none"/>
        </w:rPr>
      </w:pPr>
      <w:r>
        <w:rPr>
          <w:rFonts w:hint="eastAsia"/>
          <w:color w:val="auto"/>
          <w:highlight w:val="none"/>
        </w:rPr>
        <w:t>B. 性能：</w:t>
      </w:r>
    </w:p>
    <w:p w14:paraId="002D7B0F">
      <w:pPr>
        <w:spacing w:line="360" w:lineRule="auto"/>
        <w:rPr>
          <w:color w:val="auto"/>
          <w:highlight w:val="none"/>
        </w:rPr>
      </w:pPr>
      <w:r>
        <w:rPr>
          <w:rFonts w:hint="eastAsia"/>
          <w:color w:val="auto"/>
          <w:highlight w:val="none"/>
        </w:rPr>
        <w:t>测量范围：0～14PH</w:t>
      </w:r>
    </w:p>
    <w:p w14:paraId="46B31B86">
      <w:pPr>
        <w:spacing w:line="360" w:lineRule="auto"/>
        <w:rPr>
          <w:color w:val="auto"/>
          <w:highlight w:val="none"/>
        </w:rPr>
      </w:pPr>
      <w:r>
        <w:rPr>
          <w:rFonts w:hint="eastAsia"/>
          <w:color w:val="auto"/>
          <w:highlight w:val="none"/>
        </w:rPr>
        <w:t>电极头可任意更换，不必从转换器拆除电机引线，且用户可自行更换电极头及液接头；</w:t>
      </w:r>
    </w:p>
    <w:p w14:paraId="4C0650A2">
      <w:pPr>
        <w:spacing w:line="360" w:lineRule="auto"/>
        <w:rPr>
          <w:color w:val="auto"/>
          <w:highlight w:val="none"/>
        </w:rPr>
      </w:pPr>
      <w:bookmarkStart w:id="233" w:name="OLE_LINK6"/>
      <w:r>
        <w:rPr>
          <w:rFonts w:hint="eastAsia"/>
          <w:color w:val="auto"/>
          <w:highlight w:val="none"/>
        </w:rPr>
        <w:t>电极配有自动清洗装置</w:t>
      </w:r>
      <w:bookmarkEnd w:id="233"/>
      <w:r>
        <w:rPr>
          <w:rFonts w:hint="eastAsia"/>
          <w:color w:val="auto"/>
          <w:highlight w:val="none"/>
        </w:rPr>
        <w:t>。</w:t>
      </w:r>
    </w:p>
    <w:p w14:paraId="4F7EDB51">
      <w:pPr>
        <w:spacing w:line="360" w:lineRule="auto"/>
        <w:rPr>
          <w:color w:val="auto"/>
          <w:highlight w:val="none"/>
        </w:rPr>
      </w:pPr>
      <w:r>
        <w:rPr>
          <w:rFonts w:hint="eastAsia"/>
          <w:color w:val="auto"/>
          <w:highlight w:val="none"/>
        </w:rPr>
        <w:t>测量精度：0.5%</w:t>
      </w:r>
    </w:p>
    <w:p w14:paraId="2457AD18">
      <w:pPr>
        <w:spacing w:line="360" w:lineRule="auto"/>
        <w:rPr>
          <w:color w:val="auto"/>
          <w:highlight w:val="none"/>
        </w:rPr>
      </w:pPr>
      <w:r>
        <w:rPr>
          <w:rFonts w:hint="eastAsia"/>
          <w:color w:val="auto"/>
          <w:highlight w:val="none"/>
        </w:rPr>
        <w:t>信号输出精度：0.75%</w:t>
      </w:r>
    </w:p>
    <w:p w14:paraId="67DEBF77">
      <w:pPr>
        <w:spacing w:line="360" w:lineRule="auto"/>
        <w:rPr>
          <w:color w:val="auto"/>
          <w:highlight w:val="none"/>
        </w:rPr>
      </w:pPr>
      <w:r>
        <w:rPr>
          <w:rFonts w:hint="eastAsia"/>
          <w:color w:val="auto"/>
          <w:highlight w:val="none"/>
        </w:rPr>
        <w:t>重复性：0.2%</w:t>
      </w:r>
    </w:p>
    <w:p w14:paraId="2B5E01E3">
      <w:pPr>
        <w:spacing w:line="360" w:lineRule="auto"/>
        <w:rPr>
          <w:color w:val="auto"/>
          <w:highlight w:val="none"/>
        </w:rPr>
      </w:pPr>
      <w:r>
        <w:rPr>
          <w:rFonts w:hint="eastAsia"/>
          <w:color w:val="auto"/>
          <w:highlight w:val="none"/>
        </w:rPr>
        <w:t xml:space="preserve">指示器：LCD数字显示，可现场操作，可同时输出温度信号4～20mA  </w:t>
      </w:r>
    </w:p>
    <w:p w14:paraId="707738BC">
      <w:pPr>
        <w:spacing w:line="360" w:lineRule="auto"/>
        <w:rPr>
          <w:color w:val="auto"/>
          <w:highlight w:val="none"/>
        </w:rPr>
      </w:pPr>
      <w:r>
        <w:rPr>
          <w:rFonts w:hint="eastAsia"/>
          <w:color w:val="auto"/>
          <w:highlight w:val="none"/>
        </w:rPr>
        <w:t>防护等级：传感器IP68   变送器IP65</w:t>
      </w:r>
    </w:p>
    <w:p w14:paraId="08E08695">
      <w:pPr>
        <w:spacing w:line="360" w:lineRule="auto"/>
        <w:rPr>
          <w:color w:val="auto"/>
          <w:highlight w:val="none"/>
        </w:rPr>
      </w:pPr>
      <w:r>
        <w:rPr>
          <w:rFonts w:hint="eastAsia"/>
          <w:color w:val="auto"/>
          <w:highlight w:val="none"/>
        </w:rPr>
        <w:t>C. 变送器</w:t>
      </w:r>
    </w:p>
    <w:p w14:paraId="0CAC688E">
      <w:pPr>
        <w:spacing w:line="360" w:lineRule="auto"/>
        <w:rPr>
          <w:color w:val="auto"/>
          <w:highlight w:val="none"/>
        </w:rPr>
      </w:pPr>
      <w:r>
        <w:rPr>
          <w:rFonts w:hint="eastAsia"/>
          <w:color w:val="auto"/>
          <w:highlight w:val="none"/>
        </w:rPr>
        <w:t>隔离输出信号：两路4～20mA  HART协议</w:t>
      </w:r>
    </w:p>
    <w:p w14:paraId="6AEC5156">
      <w:pPr>
        <w:spacing w:line="360" w:lineRule="auto"/>
        <w:rPr>
          <w:color w:val="auto"/>
          <w:highlight w:val="none"/>
        </w:rPr>
      </w:pPr>
      <w:r>
        <w:rPr>
          <w:rFonts w:hint="eastAsia"/>
          <w:color w:val="auto"/>
          <w:highlight w:val="none"/>
        </w:rPr>
        <w:t>电源：220VAC，50Hz</w:t>
      </w:r>
    </w:p>
    <w:p w14:paraId="2E9F53DC">
      <w:pPr>
        <w:spacing w:line="360" w:lineRule="auto"/>
        <w:rPr>
          <w:color w:val="auto"/>
          <w:highlight w:val="none"/>
        </w:rPr>
      </w:pPr>
      <w:r>
        <w:rPr>
          <w:rFonts w:hint="eastAsia"/>
          <w:color w:val="auto"/>
          <w:highlight w:val="none"/>
        </w:rPr>
        <w:t>断电自动储存系统数据</w:t>
      </w:r>
    </w:p>
    <w:p w14:paraId="4E9F36D9">
      <w:pPr>
        <w:spacing w:line="360" w:lineRule="auto"/>
        <w:rPr>
          <w:color w:val="auto"/>
          <w:highlight w:val="none"/>
        </w:rPr>
      </w:pPr>
      <w:r>
        <w:rPr>
          <w:rFonts w:hint="eastAsia"/>
          <w:color w:val="auto"/>
          <w:highlight w:val="none"/>
        </w:rPr>
        <w:t>安装方式：墙挂式</w:t>
      </w:r>
    </w:p>
    <w:p w14:paraId="2FEE65BE">
      <w:pPr>
        <w:spacing w:line="360" w:lineRule="auto"/>
        <w:rPr>
          <w:color w:val="auto"/>
          <w:highlight w:val="none"/>
        </w:rPr>
      </w:pPr>
      <w:r>
        <w:rPr>
          <w:rFonts w:hint="eastAsia"/>
          <w:color w:val="auto"/>
          <w:highlight w:val="none"/>
        </w:rPr>
        <w:t>D．检测方式：浸没式或流通式（取样式）</w:t>
      </w:r>
    </w:p>
    <w:p w14:paraId="203537A9">
      <w:pPr>
        <w:spacing w:line="360" w:lineRule="auto"/>
        <w:rPr>
          <w:color w:val="auto"/>
          <w:highlight w:val="none"/>
        </w:rPr>
      </w:pPr>
      <w:r>
        <w:rPr>
          <w:rFonts w:hint="eastAsia"/>
          <w:color w:val="auto"/>
          <w:highlight w:val="none"/>
        </w:rPr>
        <w:t>E．电缆：型号：由制造厂提供</w:t>
      </w:r>
      <w:r>
        <w:rPr>
          <w:rFonts w:hint="eastAsia"/>
          <w:color w:val="auto"/>
          <w:highlight w:val="none"/>
        </w:rPr>
        <w:tab/>
      </w:r>
      <w:r>
        <w:rPr>
          <w:rFonts w:hint="eastAsia"/>
          <w:color w:val="auto"/>
          <w:highlight w:val="none"/>
        </w:rPr>
        <w:tab/>
      </w:r>
      <w:r>
        <w:rPr>
          <w:rFonts w:hint="eastAsia"/>
          <w:color w:val="auto"/>
          <w:highlight w:val="none"/>
        </w:rPr>
        <w:tab/>
      </w:r>
      <w:r>
        <w:rPr>
          <w:rFonts w:hint="eastAsia"/>
          <w:color w:val="auto"/>
          <w:highlight w:val="none"/>
        </w:rPr>
        <w:t>长度：由承包商确定</w:t>
      </w:r>
    </w:p>
    <w:p w14:paraId="3BF04C85">
      <w:pPr>
        <w:spacing w:line="360" w:lineRule="auto"/>
        <w:rPr>
          <w:color w:val="auto"/>
          <w:highlight w:val="none"/>
        </w:rPr>
      </w:pPr>
      <w:r>
        <w:rPr>
          <w:rFonts w:hint="eastAsia"/>
          <w:color w:val="auto"/>
          <w:highlight w:val="none"/>
        </w:rPr>
        <w:t>F.  安装支架：仪表厂原装配套支架</w:t>
      </w:r>
    </w:p>
    <w:p w14:paraId="1DCCB55E">
      <w:pPr>
        <w:pStyle w:val="26"/>
        <w:rPr>
          <w:rFonts w:cs="宋体"/>
          <w:b/>
          <w:bCs/>
          <w:color w:val="auto"/>
          <w:sz w:val="22"/>
          <w:szCs w:val="22"/>
          <w:highlight w:val="none"/>
        </w:rPr>
      </w:pPr>
      <w:r>
        <w:rPr>
          <w:rFonts w:hint="eastAsia" w:cs="宋体"/>
          <w:b/>
          <w:bCs/>
          <w:color w:val="auto"/>
          <w:sz w:val="22"/>
          <w:szCs w:val="22"/>
          <w:highlight w:val="none"/>
        </w:rPr>
        <w:t>4.5电磁流量计</w:t>
      </w:r>
    </w:p>
    <w:p w14:paraId="07F9BC41">
      <w:pPr>
        <w:spacing w:line="360" w:lineRule="auto"/>
        <w:rPr>
          <w:color w:val="auto"/>
          <w:highlight w:val="none"/>
        </w:rPr>
      </w:pPr>
      <w:r>
        <w:rPr>
          <w:rFonts w:hint="eastAsia"/>
          <w:color w:val="auto"/>
          <w:highlight w:val="none"/>
        </w:rPr>
        <w:t>A. 概述</w:t>
      </w:r>
    </w:p>
    <w:p w14:paraId="51513C52">
      <w:pPr>
        <w:spacing w:line="360" w:lineRule="auto"/>
        <w:rPr>
          <w:color w:val="auto"/>
          <w:highlight w:val="none"/>
        </w:rPr>
      </w:pPr>
      <w:r>
        <w:rPr>
          <w:rFonts w:hint="eastAsia"/>
          <w:color w:val="auto"/>
          <w:highlight w:val="none"/>
        </w:rPr>
        <w:t>功能：测量、指示和传送管道内导电液体的流量</w:t>
      </w:r>
    </w:p>
    <w:p w14:paraId="4344C8DB">
      <w:pPr>
        <w:spacing w:line="360" w:lineRule="auto"/>
        <w:rPr>
          <w:color w:val="auto"/>
          <w:highlight w:val="none"/>
        </w:rPr>
      </w:pPr>
      <w:r>
        <w:rPr>
          <w:rFonts w:hint="eastAsia"/>
          <w:color w:val="auto"/>
          <w:highlight w:val="none"/>
        </w:rPr>
        <w:t>形式：利用法拉第电磁感应测量原理</w:t>
      </w:r>
    </w:p>
    <w:p w14:paraId="1E663698">
      <w:pPr>
        <w:spacing w:line="360" w:lineRule="auto"/>
        <w:rPr>
          <w:color w:val="auto"/>
          <w:highlight w:val="none"/>
        </w:rPr>
      </w:pPr>
      <w:r>
        <w:rPr>
          <w:rFonts w:hint="eastAsia"/>
          <w:color w:val="auto"/>
          <w:highlight w:val="none"/>
        </w:rPr>
        <w:t>组成：传感器、变送器，法兰、前后接地环及全部安装附件和电缆</w:t>
      </w:r>
    </w:p>
    <w:p w14:paraId="210E4396">
      <w:pPr>
        <w:spacing w:line="360" w:lineRule="auto"/>
        <w:rPr>
          <w:color w:val="auto"/>
          <w:highlight w:val="none"/>
        </w:rPr>
      </w:pPr>
      <w:r>
        <w:rPr>
          <w:rFonts w:hint="eastAsia"/>
          <w:color w:val="auto"/>
          <w:highlight w:val="none"/>
        </w:rPr>
        <w:t>B. 性能：</w:t>
      </w:r>
    </w:p>
    <w:p w14:paraId="027EC6D5">
      <w:pPr>
        <w:spacing w:line="360" w:lineRule="auto"/>
        <w:rPr>
          <w:color w:val="auto"/>
          <w:highlight w:val="none"/>
        </w:rPr>
      </w:pPr>
      <w:r>
        <w:rPr>
          <w:rFonts w:hint="eastAsia"/>
          <w:color w:val="auto"/>
          <w:highlight w:val="none"/>
        </w:rPr>
        <w:t>测量范围：见仪表清单</w:t>
      </w:r>
    </w:p>
    <w:p w14:paraId="08C7EF7E">
      <w:pPr>
        <w:spacing w:line="360" w:lineRule="auto"/>
        <w:rPr>
          <w:color w:val="auto"/>
          <w:highlight w:val="none"/>
        </w:rPr>
      </w:pPr>
      <w:r>
        <w:rPr>
          <w:rFonts w:hint="eastAsia"/>
          <w:color w:val="auto"/>
          <w:highlight w:val="none"/>
        </w:rPr>
        <w:t>测量精度：0.2%</w:t>
      </w:r>
    </w:p>
    <w:p w14:paraId="2DDAC5E7">
      <w:pPr>
        <w:spacing w:line="360" w:lineRule="auto"/>
        <w:rPr>
          <w:color w:val="auto"/>
          <w:highlight w:val="none"/>
        </w:rPr>
      </w:pPr>
      <w:r>
        <w:rPr>
          <w:rFonts w:hint="eastAsia"/>
          <w:color w:val="auto"/>
          <w:highlight w:val="none"/>
        </w:rPr>
        <w:t>重复性：0.1%</w:t>
      </w:r>
    </w:p>
    <w:p w14:paraId="094E7EA1">
      <w:pPr>
        <w:spacing w:line="360" w:lineRule="auto"/>
        <w:rPr>
          <w:color w:val="auto"/>
          <w:highlight w:val="none"/>
        </w:rPr>
      </w:pPr>
      <w:r>
        <w:rPr>
          <w:rFonts w:hint="eastAsia"/>
          <w:color w:val="auto"/>
          <w:highlight w:val="none"/>
        </w:rPr>
        <w:t>环境温度：－20～</w:t>
      </w:r>
      <w:r>
        <w:rPr>
          <w:color w:val="auto"/>
          <w:highlight w:val="none"/>
        </w:rPr>
        <w:t>+60°C</w:t>
      </w:r>
    </w:p>
    <w:p w14:paraId="54D2E7A1">
      <w:pPr>
        <w:spacing w:line="360" w:lineRule="auto"/>
        <w:rPr>
          <w:color w:val="auto"/>
          <w:highlight w:val="none"/>
        </w:rPr>
      </w:pPr>
      <w:r>
        <w:rPr>
          <w:rFonts w:hint="eastAsia"/>
          <w:color w:val="auto"/>
          <w:highlight w:val="none"/>
        </w:rPr>
        <w:t>介质温度：0</w:t>
      </w:r>
      <w:r>
        <w:rPr>
          <w:color w:val="auto"/>
          <w:highlight w:val="none"/>
        </w:rPr>
        <w:t>~ +</w:t>
      </w:r>
      <w:r>
        <w:rPr>
          <w:rFonts w:hint="eastAsia"/>
          <w:color w:val="auto"/>
          <w:highlight w:val="none"/>
        </w:rPr>
        <w:t>80</w:t>
      </w:r>
      <w:r>
        <w:rPr>
          <w:color w:val="auto"/>
          <w:highlight w:val="none"/>
        </w:rPr>
        <w:t>°C</w:t>
      </w:r>
    </w:p>
    <w:p w14:paraId="731043DA">
      <w:pPr>
        <w:spacing w:line="360" w:lineRule="auto"/>
        <w:rPr>
          <w:color w:val="auto"/>
          <w:highlight w:val="none"/>
        </w:rPr>
      </w:pPr>
      <w:r>
        <w:rPr>
          <w:rFonts w:hint="eastAsia"/>
          <w:color w:val="auto"/>
          <w:highlight w:val="none"/>
        </w:rPr>
        <w:t>保护等级：传感器：IP68  变送器：IP67</w:t>
      </w:r>
    </w:p>
    <w:p w14:paraId="255F9EE6">
      <w:pPr>
        <w:spacing w:line="360" w:lineRule="auto"/>
        <w:rPr>
          <w:color w:val="auto"/>
          <w:highlight w:val="none"/>
        </w:rPr>
      </w:pPr>
      <w:r>
        <w:rPr>
          <w:rFonts w:hint="eastAsia"/>
          <w:color w:val="auto"/>
          <w:highlight w:val="none"/>
        </w:rPr>
        <w:t>C. 特点：</w:t>
      </w:r>
    </w:p>
    <w:p w14:paraId="042F7AAC">
      <w:pPr>
        <w:spacing w:line="360" w:lineRule="auto"/>
        <w:rPr>
          <w:color w:val="auto"/>
          <w:highlight w:val="none"/>
        </w:rPr>
      </w:pPr>
      <w:r>
        <w:rPr>
          <w:rFonts w:hint="eastAsia"/>
          <w:color w:val="auto"/>
          <w:highlight w:val="none"/>
        </w:rPr>
        <w:t>指示器：LCD数字指示，可现场操作、设置，和传感器分体，由厂家原配专用电缆连接。</w:t>
      </w:r>
    </w:p>
    <w:p w14:paraId="2186919C">
      <w:pPr>
        <w:spacing w:line="360" w:lineRule="auto"/>
        <w:rPr>
          <w:color w:val="auto"/>
          <w:highlight w:val="none"/>
        </w:rPr>
      </w:pPr>
      <w:r>
        <w:rPr>
          <w:rFonts w:hint="eastAsia"/>
          <w:color w:val="auto"/>
          <w:highlight w:val="none"/>
        </w:rPr>
        <w:t>变送单元：微处理器、积分自动校零、自诊断、故障报警和小信号切除</w:t>
      </w:r>
    </w:p>
    <w:p w14:paraId="025050FE">
      <w:pPr>
        <w:spacing w:line="360" w:lineRule="auto"/>
        <w:rPr>
          <w:color w:val="auto"/>
          <w:highlight w:val="none"/>
        </w:rPr>
      </w:pPr>
      <w:r>
        <w:rPr>
          <w:rFonts w:hint="eastAsia"/>
          <w:color w:val="auto"/>
          <w:highlight w:val="none"/>
        </w:rPr>
        <w:t>测量传感器：</w:t>
      </w:r>
    </w:p>
    <w:p w14:paraId="38A0831F">
      <w:pPr>
        <w:spacing w:line="360" w:lineRule="auto"/>
        <w:rPr>
          <w:color w:val="auto"/>
          <w:highlight w:val="none"/>
        </w:rPr>
      </w:pPr>
      <w:r>
        <w:rPr>
          <w:rFonts w:hint="eastAsia"/>
          <w:color w:val="auto"/>
          <w:highlight w:val="none"/>
        </w:rPr>
        <w:t>衬里材料：氯丁硬橡胶或PTFE</w:t>
      </w:r>
    </w:p>
    <w:p w14:paraId="1123234E">
      <w:pPr>
        <w:spacing w:line="360" w:lineRule="auto"/>
        <w:rPr>
          <w:color w:val="auto"/>
          <w:highlight w:val="none"/>
        </w:rPr>
      </w:pPr>
      <w:r>
        <w:rPr>
          <w:rFonts w:hint="eastAsia"/>
          <w:color w:val="auto"/>
          <w:highlight w:val="none"/>
        </w:rPr>
        <w:t>4电极测量系统：测量电极、参比电极、空管检测电极</w:t>
      </w:r>
    </w:p>
    <w:p w14:paraId="329E93E6">
      <w:pPr>
        <w:spacing w:line="360" w:lineRule="auto"/>
        <w:rPr>
          <w:color w:val="auto"/>
          <w:highlight w:val="none"/>
        </w:rPr>
      </w:pPr>
      <w:r>
        <w:rPr>
          <w:rFonts w:hint="eastAsia"/>
          <w:color w:val="auto"/>
          <w:highlight w:val="none"/>
        </w:rPr>
        <w:t>电极材料：哈氏合金  HC或Pt</w:t>
      </w:r>
    </w:p>
    <w:p w14:paraId="6A048825">
      <w:pPr>
        <w:spacing w:line="360" w:lineRule="auto"/>
        <w:rPr>
          <w:color w:val="auto"/>
          <w:highlight w:val="none"/>
        </w:rPr>
      </w:pPr>
      <w:r>
        <w:rPr>
          <w:rFonts w:hint="eastAsia"/>
          <w:color w:val="auto"/>
          <w:highlight w:val="none"/>
        </w:rPr>
        <w:t>D. 变送器：</w:t>
      </w:r>
    </w:p>
    <w:p w14:paraId="6F06E28A">
      <w:pPr>
        <w:spacing w:line="360" w:lineRule="auto"/>
        <w:rPr>
          <w:color w:val="auto"/>
          <w:highlight w:val="none"/>
        </w:rPr>
      </w:pPr>
      <w:r>
        <w:rPr>
          <w:rFonts w:hint="eastAsia"/>
          <w:color w:val="auto"/>
          <w:highlight w:val="none"/>
        </w:rPr>
        <w:t>隔离输出信号：4～20mA, HART,</w:t>
      </w:r>
      <w:r>
        <w:rPr>
          <w:color w:val="auto"/>
          <w:highlight w:val="none"/>
        </w:rPr>
        <w:t>通讯总线输出</w:t>
      </w:r>
      <w:r>
        <w:rPr>
          <w:rFonts w:hint="eastAsia"/>
          <w:color w:val="auto"/>
          <w:highlight w:val="none"/>
        </w:rPr>
        <w:t>和频率信号输出</w:t>
      </w:r>
    </w:p>
    <w:p w14:paraId="5621ADBE">
      <w:pPr>
        <w:spacing w:line="360" w:lineRule="auto"/>
        <w:rPr>
          <w:color w:val="auto"/>
          <w:highlight w:val="none"/>
        </w:rPr>
      </w:pPr>
      <w:r>
        <w:rPr>
          <w:rFonts w:hint="eastAsia"/>
          <w:color w:val="auto"/>
          <w:highlight w:val="none"/>
        </w:rPr>
        <w:t>电源：220VAC，50Hz</w:t>
      </w:r>
    </w:p>
    <w:p w14:paraId="0E211271">
      <w:pPr>
        <w:spacing w:line="360" w:lineRule="auto"/>
        <w:rPr>
          <w:color w:val="auto"/>
          <w:highlight w:val="none"/>
        </w:rPr>
      </w:pPr>
      <w:r>
        <w:rPr>
          <w:rFonts w:hint="eastAsia"/>
          <w:color w:val="auto"/>
          <w:highlight w:val="none"/>
        </w:rPr>
        <w:t>安装方式：管道法兰安装</w:t>
      </w:r>
    </w:p>
    <w:p w14:paraId="1571D593">
      <w:pPr>
        <w:spacing w:line="360" w:lineRule="auto"/>
        <w:rPr>
          <w:color w:val="auto"/>
          <w:highlight w:val="none"/>
        </w:rPr>
      </w:pPr>
      <w:r>
        <w:rPr>
          <w:rFonts w:hint="eastAsia"/>
          <w:color w:val="auto"/>
          <w:highlight w:val="none"/>
        </w:rPr>
        <w:t>E.  配套提供法兰和伸缩节，每一台流量计均要配置接地环，保证可靠接地。</w:t>
      </w:r>
    </w:p>
    <w:p w14:paraId="1AF4629B">
      <w:pPr>
        <w:spacing w:line="360" w:lineRule="auto"/>
        <w:rPr>
          <w:color w:val="auto"/>
          <w:highlight w:val="none"/>
        </w:rPr>
      </w:pPr>
      <w:r>
        <w:rPr>
          <w:rFonts w:hint="eastAsia"/>
          <w:color w:val="auto"/>
          <w:highlight w:val="none"/>
        </w:rPr>
        <w:t>感器电缆长度：50m</w:t>
      </w:r>
    </w:p>
    <w:p w14:paraId="79249E9A">
      <w:pPr>
        <w:spacing w:line="360" w:lineRule="auto"/>
        <w:rPr>
          <w:color w:val="auto"/>
          <w:highlight w:val="none"/>
        </w:rPr>
      </w:pPr>
      <w:r>
        <w:rPr>
          <w:rFonts w:hint="eastAsia"/>
          <w:color w:val="auto"/>
          <w:highlight w:val="none"/>
        </w:rPr>
        <w:t>提升泵房</w:t>
      </w:r>
    </w:p>
    <w:p w14:paraId="11CFF6E1">
      <w:pPr>
        <w:spacing w:line="360" w:lineRule="auto"/>
        <w:rPr>
          <w:color w:val="auto"/>
          <w:highlight w:val="none"/>
        </w:rPr>
      </w:pPr>
      <w:r>
        <w:rPr>
          <w:rFonts w:hint="eastAsia"/>
          <w:color w:val="auto"/>
          <w:highlight w:val="none"/>
        </w:rPr>
        <w:t>提升泵房距供水站约200米，高程相差约80米。采用成套提升设备进行原水提升，配备电动阀门、止回阀、电气元件、集水池液位仪等，采用供水站同品牌PLC进行数据通讯，实现远程控制。</w:t>
      </w:r>
    </w:p>
    <w:p w14:paraId="5DAA7413">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5.1立式多级离心泵（一用一备）</w:t>
      </w:r>
    </w:p>
    <w:p w14:paraId="64B9CD21">
      <w:pPr>
        <w:spacing w:line="360" w:lineRule="auto"/>
        <w:rPr>
          <w:color w:val="auto"/>
          <w:highlight w:val="none"/>
        </w:rPr>
      </w:pPr>
      <w:r>
        <w:rPr>
          <w:rFonts w:hint="eastAsia"/>
          <w:color w:val="auto"/>
          <w:highlight w:val="none"/>
        </w:rPr>
        <w:t>立式多级离心泵，入口和出口位于同一水平面（内联）。水泵扬程和基础采用铸铁制造，所有其它与液体接触的部件为不锈钢制造。</w:t>
      </w:r>
    </w:p>
    <w:p w14:paraId="11E794BD">
      <w:pPr>
        <w:spacing w:line="360" w:lineRule="auto"/>
        <w:rPr>
          <w:color w:val="auto"/>
          <w:highlight w:val="none"/>
        </w:rPr>
      </w:pPr>
      <w:r>
        <w:rPr>
          <w:rFonts w:hint="eastAsia"/>
          <w:color w:val="auto"/>
          <w:highlight w:val="none"/>
        </w:rPr>
        <w:t>技术参数：</w:t>
      </w:r>
    </w:p>
    <w:p w14:paraId="25671670">
      <w:pPr>
        <w:spacing w:line="360" w:lineRule="auto"/>
        <w:rPr>
          <w:color w:val="auto"/>
          <w:highlight w:val="none"/>
        </w:rPr>
      </w:pPr>
      <w:r>
        <w:rPr>
          <w:rFonts w:hint="eastAsia"/>
          <w:color w:val="auto"/>
          <w:highlight w:val="none"/>
        </w:rPr>
        <w:t>输送液体：水</w:t>
      </w:r>
    </w:p>
    <w:p w14:paraId="3EA854C3">
      <w:pPr>
        <w:spacing w:line="360" w:lineRule="auto"/>
        <w:rPr>
          <w:color w:val="auto"/>
          <w:highlight w:val="none"/>
        </w:rPr>
      </w:pPr>
      <w:r>
        <w:rPr>
          <w:rFonts w:hint="eastAsia"/>
          <w:color w:val="auto"/>
          <w:highlight w:val="none"/>
        </w:rPr>
        <w:t>液体温度范围：-20-120℃</w:t>
      </w:r>
    </w:p>
    <w:p w14:paraId="127F777E">
      <w:pPr>
        <w:spacing w:line="360" w:lineRule="auto"/>
        <w:rPr>
          <w:color w:val="auto"/>
          <w:highlight w:val="none"/>
        </w:rPr>
      </w:pPr>
      <w:r>
        <w:rPr>
          <w:rFonts w:hint="eastAsia"/>
          <w:color w:val="auto"/>
          <w:highlight w:val="none"/>
        </w:rPr>
        <w:t>转数：2902转数/分钟</w:t>
      </w:r>
    </w:p>
    <w:p w14:paraId="37D90180">
      <w:pPr>
        <w:spacing w:line="360" w:lineRule="auto"/>
        <w:rPr>
          <w:color w:val="auto"/>
          <w:highlight w:val="none"/>
        </w:rPr>
      </w:pPr>
      <w:r>
        <w:rPr>
          <w:rFonts w:hint="eastAsia"/>
          <w:color w:val="auto"/>
          <w:highlight w:val="none"/>
        </w:rPr>
        <w:t>流量＞5m3/h</w:t>
      </w:r>
    </w:p>
    <w:p w14:paraId="28A1E930">
      <w:pPr>
        <w:spacing w:line="360" w:lineRule="auto"/>
        <w:rPr>
          <w:color w:val="auto"/>
          <w:highlight w:val="none"/>
        </w:rPr>
      </w:pPr>
      <w:r>
        <w:rPr>
          <w:rFonts w:hint="eastAsia"/>
          <w:color w:val="auto"/>
          <w:highlight w:val="none"/>
        </w:rPr>
        <w:t>扬程＞80m</w:t>
      </w:r>
    </w:p>
    <w:p w14:paraId="3AAD7345">
      <w:pPr>
        <w:spacing w:line="360" w:lineRule="auto"/>
        <w:rPr>
          <w:color w:val="auto"/>
          <w:highlight w:val="none"/>
        </w:rPr>
      </w:pPr>
      <w:r>
        <w:rPr>
          <w:rFonts w:hint="eastAsia"/>
          <w:color w:val="auto"/>
          <w:highlight w:val="none"/>
        </w:rPr>
        <w:t>材料：</w:t>
      </w:r>
    </w:p>
    <w:p w14:paraId="71D2F960">
      <w:pPr>
        <w:spacing w:line="360" w:lineRule="auto"/>
        <w:rPr>
          <w:color w:val="auto"/>
          <w:highlight w:val="none"/>
        </w:rPr>
      </w:pPr>
      <w:r>
        <w:rPr>
          <w:rFonts w:hint="eastAsia"/>
          <w:color w:val="auto"/>
          <w:highlight w:val="none"/>
        </w:rPr>
        <w:t>底座 cast iron</w:t>
      </w:r>
    </w:p>
    <w:p w14:paraId="70660A69">
      <w:pPr>
        <w:spacing w:line="360" w:lineRule="auto"/>
        <w:rPr>
          <w:color w:val="auto"/>
          <w:highlight w:val="none"/>
        </w:rPr>
      </w:pPr>
      <w:r>
        <w:rPr>
          <w:rFonts w:hint="eastAsia"/>
          <w:color w:val="auto"/>
          <w:highlight w:val="none"/>
        </w:rPr>
        <w:t>Base：EN1561 EN-GJL-200</w:t>
      </w:r>
    </w:p>
    <w:p w14:paraId="39C02780">
      <w:pPr>
        <w:spacing w:line="360" w:lineRule="auto"/>
        <w:rPr>
          <w:color w:val="auto"/>
          <w:highlight w:val="none"/>
        </w:rPr>
      </w:pPr>
      <w:r>
        <w:rPr>
          <w:rFonts w:hint="eastAsia"/>
          <w:color w:val="auto"/>
          <w:highlight w:val="none"/>
        </w:rPr>
        <w:t xml:space="preserve">      ASTM-A48-25B</w:t>
      </w:r>
    </w:p>
    <w:p w14:paraId="518F978E">
      <w:pPr>
        <w:spacing w:line="360" w:lineRule="auto"/>
        <w:rPr>
          <w:color w:val="auto"/>
          <w:highlight w:val="none"/>
        </w:rPr>
      </w:pPr>
      <w:r>
        <w:rPr>
          <w:rFonts w:hint="eastAsia"/>
          <w:color w:val="auto"/>
          <w:highlight w:val="none"/>
        </w:rPr>
        <w:t>叶轮：Stainless steel</w:t>
      </w:r>
    </w:p>
    <w:p w14:paraId="02C7B343">
      <w:pPr>
        <w:spacing w:line="360" w:lineRule="auto"/>
        <w:rPr>
          <w:color w:val="auto"/>
          <w:highlight w:val="none"/>
        </w:rPr>
      </w:pPr>
      <w:r>
        <w:rPr>
          <w:rFonts w:hint="eastAsia"/>
          <w:color w:val="auto"/>
          <w:highlight w:val="none"/>
        </w:rPr>
        <w:t xml:space="preserve">      EN 1.4301</w:t>
      </w:r>
    </w:p>
    <w:p w14:paraId="57302E09">
      <w:pPr>
        <w:spacing w:line="360" w:lineRule="auto"/>
        <w:rPr>
          <w:color w:val="auto"/>
          <w:highlight w:val="none"/>
        </w:rPr>
      </w:pPr>
      <w:r>
        <w:rPr>
          <w:rFonts w:hint="eastAsia"/>
          <w:color w:val="auto"/>
          <w:highlight w:val="none"/>
        </w:rPr>
        <w:t xml:space="preserve">      AISI 304</w:t>
      </w:r>
    </w:p>
    <w:p w14:paraId="17B7301D">
      <w:pPr>
        <w:spacing w:line="360" w:lineRule="auto"/>
        <w:rPr>
          <w:color w:val="auto"/>
          <w:highlight w:val="none"/>
        </w:rPr>
      </w:pPr>
      <w:r>
        <w:rPr>
          <w:rFonts w:hint="eastAsia"/>
          <w:color w:val="auto"/>
          <w:highlight w:val="none"/>
        </w:rPr>
        <w:t>轴承：SIC</w:t>
      </w:r>
    </w:p>
    <w:p w14:paraId="7A8BA921">
      <w:pPr>
        <w:spacing w:line="360" w:lineRule="auto"/>
        <w:rPr>
          <w:color w:val="auto"/>
          <w:highlight w:val="none"/>
        </w:rPr>
      </w:pPr>
      <w:r>
        <w:rPr>
          <w:rFonts w:hint="eastAsia"/>
          <w:color w:val="auto"/>
          <w:highlight w:val="none"/>
        </w:rPr>
        <w:t>最大运行压力：16巴</w:t>
      </w:r>
    </w:p>
    <w:p w14:paraId="32631487">
      <w:pPr>
        <w:spacing w:line="360" w:lineRule="auto"/>
        <w:rPr>
          <w:color w:val="auto"/>
          <w:highlight w:val="none"/>
        </w:rPr>
      </w:pPr>
      <w:r>
        <w:rPr>
          <w:rFonts w:hint="eastAsia"/>
          <w:color w:val="auto"/>
          <w:highlight w:val="none"/>
        </w:rPr>
        <w:t>泵所需功率：3kw</w:t>
      </w:r>
    </w:p>
    <w:p w14:paraId="53AAB5AD">
      <w:pPr>
        <w:pStyle w:val="26"/>
        <w:rPr>
          <w:rFonts w:cs="宋体"/>
          <w:b/>
          <w:bCs/>
          <w:color w:val="auto"/>
          <w:sz w:val="22"/>
          <w:szCs w:val="22"/>
          <w:highlight w:val="none"/>
        </w:rPr>
      </w:pPr>
      <w:r>
        <w:rPr>
          <w:rFonts w:hint="eastAsia" w:cs="宋体"/>
          <w:b/>
          <w:bCs/>
          <w:color w:val="auto"/>
          <w:sz w:val="22"/>
          <w:szCs w:val="22"/>
          <w:highlight w:val="none"/>
        </w:rPr>
        <w:t>6.中控室监控系统</w:t>
      </w:r>
    </w:p>
    <w:p w14:paraId="42044C15">
      <w:pPr>
        <w:pStyle w:val="26"/>
        <w:rPr>
          <w:rFonts w:cs="宋体"/>
          <w:b/>
          <w:bCs/>
          <w:color w:val="auto"/>
          <w:sz w:val="22"/>
          <w:szCs w:val="22"/>
          <w:highlight w:val="none"/>
        </w:rPr>
      </w:pPr>
      <w:r>
        <w:rPr>
          <w:rFonts w:hint="eastAsia" w:cs="宋体"/>
          <w:b/>
          <w:bCs/>
          <w:color w:val="auto"/>
          <w:sz w:val="22"/>
          <w:szCs w:val="22"/>
          <w:highlight w:val="none"/>
        </w:rPr>
        <w:t>6.1系统构成</w:t>
      </w:r>
    </w:p>
    <w:p w14:paraId="16272B90">
      <w:pPr>
        <w:spacing w:line="360" w:lineRule="auto"/>
        <w:ind w:firstLine="420" w:firstLineChars="200"/>
        <w:rPr>
          <w:color w:val="auto"/>
          <w:highlight w:val="none"/>
        </w:rPr>
      </w:pPr>
      <w:r>
        <w:rPr>
          <w:rFonts w:hint="eastAsia"/>
          <w:color w:val="auto"/>
          <w:highlight w:val="none"/>
        </w:rPr>
        <w:t>中控室监控系统由监控计算机、2台操作员站、2台数据库服务器等构成。</w:t>
      </w:r>
    </w:p>
    <w:p w14:paraId="57D6516D">
      <w:pPr>
        <w:spacing w:line="360" w:lineRule="auto"/>
        <w:ind w:firstLine="420" w:firstLineChars="200"/>
        <w:rPr>
          <w:color w:val="auto"/>
          <w:highlight w:val="none"/>
        </w:rPr>
      </w:pPr>
      <w:r>
        <w:rPr>
          <w:rFonts w:hint="eastAsia"/>
          <w:color w:val="auto"/>
          <w:highlight w:val="none"/>
        </w:rPr>
        <w:t>中控室监控系统主要完成对厂内的管理、调度、集中操作、监视、系统功能组态、控制参数在线修改和设置、记录、报表生成及打印、故障报警及打印等功能。通过液晶显示器可直观地显示全厂各工艺流程段的实时工况、各工艺参数的趋势画面，使操作人员及时掌握全厂运行情况。两套服务器互为热备。</w:t>
      </w:r>
    </w:p>
    <w:p w14:paraId="6770DB05">
      <w:pPr>
        <w:spacing w:line="360" w:lineRule="auto"/>
        <w:rPr>
          <w:color w:val="auto"/>
          <w:highlight w:val="none"/>
        </w:rPr>
      </w:pPr>
      <w:r>
        <w:rPr>
          <w:rFonts w:hint="eastAsia"/>
          <w:color w:val="auto"/>
          <w:highlight w:val="none"/>
        </w:rPr>
        <w:t>中控室监控系统要作好远期的预留接口和画面，确保远期系统完成后顺利通讯和监控。</w:t>
      </w:r>
    </w:p>
    <w:p w14:paraId="2EAB7243">
      <w:pPr>
        <w:spacing w:line="360" w:lineRule="auto"/>
        <w:rPr>
          <w:color w:val="auto"/>
          <w:highlight w:val="none"/>
        </w:rPr>
      </w:pPr>
      <w:r>
        <w:rPr>
          <w:rFonts w:hint="eastAsia"/>
          <w:color w:val="auto"/>
          <w:highlight w:val="none"/>
        </w:rPr>
        <w:t>数据库服务器完成与自来水公司调度的通信，实施中需与自来水公司信息部门密切配合，完成系统的通信工作。</w:t>
      </w:r>
    </w:p>
    <w:p w14:paraId="6E5FB85C">
      <w:pPr>
        <w:spacing w:line="360" w:lineRule="auto"/>
        <w:ind w:firstLine="420" w:firstLineChars="200"/>
        <w:rPr>
          <w:color w:val="auto"/>
          <w:highlight w:val="none"/>
        </w:rPr>
      </w:pPr>
      <w:r>
        <w:rPr>
          <w:rFonts w:hint="eastAsia"/>
          <w:color w:val="auto"/>
          <w:highlight w:val="none"/>
        </w:rPr>
        <w:t>水厂的两台监控计算机互为备用，它们均可各自独立完成整个工艺过程的监控。当一台故障时，另一台担负全部工作。监控计算机具有以下功能：</w:t>
      </w:r>
    </w:p>
    <w:p w14:paraId="6DE4FB35">
      <w:pPr>
        <w:pStyle w:val="26"/>
        <w:rPr>
          <w:rFonts w:ascii="宋体" w:hAnsi="宋体" w:cs="宋体"/>
          <w:b/>
          <w:bCs/>
          <w:color w:val="auto"/>
          <w:sz w:val="22"/>
          <w:szCs w:val="22"/>
          <w:highlight w:val="none"/>
        </w:rPr>
      </w:pPr>
      <w:r>
        <w:rPr>
          <w:rFonts w:hint="eastAsia" w:ascii="宋体" w:hAnsi="宋体" w:cs="宋体"/>
          <w:b/>
          <w:bCs/>
          <w:color w:val="auto"/>
          <w:sz w:val="22"/>
          <w:szCs w:val="22"/>
          <w:highlight w:val="none"/>
        </w:rPr>
        <w:t>6.2技术标准和要求</w:t>
      </w:r>
    </w:p>
    <w:tbl>
      <w:tblPr>
        <w:tblStyle w:val="62"/>
        <w:tblW w:w="5000" w:type="pct"/>
        <w:tblInd w:w="0" w:type="dxa"/>
        <w:tblLayout w:type="autofit"/>
        <w:tblCellMar>
          <w:top w:w="0" w:type="dxa"/>
          <w:left w:w="108" w:type="dxa"/>
          <w:bottom w:w="0" w:type="dxa"/>
          <w:right w:w="108" w:type="dxa"/>
        </w:tblCellMar>
      </w:tblPr>
      <w:tblGrid>
        <w:gridCol w:w="534"/>
        <w:gridCol w:w="1847"/>
        <w:gridCol w:w="2551"/>
        <w:gridCol w:w="678"/>
        <w:gridCol w:w="737"/>
        <w:gridCol w:w="1273"/>
        <w:gridCol w:w="710"/>
        <w:gridCol w:w="1524"/>
      </w:tblGrid>
      <w:tr w14:paraId="72F36B67">
        <w:tblPrEx>
          <w:tblCellMar>
            <w:top w:w="0" w:type="dxa"/>
            <w:left w:w="108" w:type="dxa"/>
            <w:bottom w:w="0" w:type="dxa"/>
            <w:right w:w="108" w:type="dxa"/>
          </w:tblCellMar>
        </w:tblPrEx>
        <w:trPr>
          <w:trHeight w:val="480" w:hRule="atLeast"/>
        </w:trPr>
        <w:tc>
          <w:tcPr>
            <w:tcW w:w="271" w:type="pct"/>
            <w:tcBorders>
              <w:top w:val="single" w:color="auto" w:sz="4" w:space="0"/>
              <w:left w:val="single" w:color="auto" w:sz="8" w:space="0"/>
              <w:bottom w:val="single" w:color="000000" w:sz="8" w:space="0"/>
              <w:right w:val="single" w:color="000000" w:sz="8" w:space="0"/>
            </w:tcBorders>
            <w:noWrap w:val="0"/>
            <w:vAlign w:val="center"/>
          </w:tcPr>
          <w:p w14:paraId="4F0C6EC0">
            <w:pPr>
              <w:rPr>
                <w:color w:val="auto"/>
                <w:highlight w:val="none"/>
              </w:rPr>
            </w:pPr>
            <w:r>
              <w:rPr>
                <w:rFonts w:hint="eastAsia"/>
                <w:color w:val="auto"/>
                <w:highlight w:val="none"/>
              </w:rPr>
              <w:t>1</w:t>
            </w:r>
          </w:p>
        </w:tc>
        <w:tc>
          <w:tcPr>
            <w:tcW w:w="937" w:type="pct"/>
            <w:tcBorders>
              <w:top w:val="single" w:color="auto" w:sz="4" w:space="0"/>
              <w:left w:val="nil"/>
              <w:bottom w:val="single" w:color="000000" w:sz="8" w:space="0"/>
              <w:right w:val="single" w:color="000000" w:sz="8" w:space="0"/>
            </w:tcBorders>
            <w:noWrap w:val="0"/>
            <w:vAlign w:val="center"/>
          </w:tcPr>
          <w:p w14:paraId="7B676196">
            <w:pPr>
              <w:rPr>
                <w:color w:val="auto"/>
                <w:highlight w:val="none"/>
              </w:rPr>
            </w:pPr>
            <w:r>
              <w:rPr>
                <w:rFonts w:hint="eastAsia"/>
                <w:color w:val="auto"/>
                <w:highlight w:val="none"/>
              </w:rPr>
              <w:t>核心交换机</w:t>
            </w:r>
          </w:p>
        </w:tc>
        <w:tc>
          <w:tcPr>
            <w:tcW w:w="1294" w:type="pct"/>
            <w:tcBorders>
              <w:top w:val="single" w:color="auto" w:sz="4" w:space="0"/>
              <w:left w:val="nil"/>
              <w:bottom w:val="single" w:color="000000" w:sz="8" w:space="0"/>
              <w:right w:val="single" w:color="000000" w:sz="8" w:space="0"/>
            </w:tcBorders>
            <w:noWrap w:val="0"/>
            <w:vAlign w:val="center"/>
          </w:tcPr>
          <w:p w14:paraId="6DA44787">
            <w:pPr>
              <w:rPr>
                <w:color w:val="auto"/>
                <w:highlight w:val="none"/>
              </w:rPr>
            </w:pPr>
            <w:r>
              <w:rPr>
                <w:color w:val="auto"/>
                <w:highlight w:val="none"/>
              </w:rPr>
              <w:t>100Mbps，2光，</w:t>
            </w:r>
            <w:r>
              <w:rPr>
                <w:rFonts w:hint="eastAsia"/>
                <w:color w:val="auto"/>
                <w:highlight w:val="none"/>
              </w:rPr>
              <w:t>8</w:t>
            </w:r>
            <w:r>
              <w:rPr>
                <w:color w:val="auto"/>
                <w:highlight w:val="none"/>
              </w:rPr>
              <w:t>电</w:t>
            </w:r>
          </w:p>
        </w:tc>
        <w:tc>
          <w:tcPr>
            <w:tcW w:w="344" w:type="pct"/>
            <w:tcBorders>
              <w:top w:val="single" w:color="auto" w:sz="4" w:space="0"/>
              <w:left w:val="nil"/>
              <w:bottom w:val="single" w:color="000000" w:sz="8" w:space="0"/>
              <w:right w:val="single" w:color="000000" w:sz="8" w:space="0"/>
            </w:tcBorders>
            <w:noWrap w:val="0"/>
            <w:vAlign w:val="center"/>
          </w:tcPr>
          <w:p w14:paraId="61E2FB80">
            <w:pPr>
              <w:jc w:val="center"/>
              <w:rPr>
                <w:color w:val="auto"/>
                <w:highlight w:val="none"/>
              </w:rPr>
            </w:pPr>
            <w:r>
              <w:rPr>
                <w:rFonts w:hint="eastAsia"/>
                <w:color w:val="auto"/>
                <w:highlight w:val="none"/>
              </w:rPr>
              <w:t>套</w:t>
            </w:r>
          </w:p>
        </w:tc>
        <w:tc>
          <w:tcPr>
            <w:tcW w:w="374" w:type="pct"/>
            <w:tcBorders>
              <w:top w:val="single" w:color="auto" w:sz="4" w:space="0"/>
              <w:left w:val="nil"/>
              <w:bottom w:val="single" w:color="000000" w:sz="8" w:space="0"/>
              <w:right w:val="single" w:color="000000" w:sz="8" w:space="0"/>
            </w:tcBorders>
            <w:noWrap w:val="0"/>
            <w:vAlign w:val="center"/>
          </w:tcPr>
          <w:p w14:paraId="71BC3663">
            <w:pPr>
              <w:jc w:val="center"/>
              <w:rPr>
                <w:color w:val="auto"/>
                <w:highlight w:val="none"/>
              </w:rPr>
            </w:pPr>
            <w:r>
              <w:rPr>
                <w:color w:val="auto"/>
                <w:highlight w:val="none"/>
              </w:rPr>
              <w:t>1</w:t>
            </w:r>
          </w:p>
        </w:tc>
        <w:tc>
          <w:tcPr>
            <w:tcW w:w="646" w:type="pct"/>
            <w:tcBorders>
              <w:top w:val="single" w:color="auto" w:sz="4" w:space="0"/>
              <w:left w:val="nil"/>
              <w:bottom w:val="single" w:color="000000" w:sz="8" w:space="0"/>
              <w:right w:val="single" w:color="000000" w:sz="8" w:space="0"/>
            </w:tcBorders>
            <w:noWrap w:val="0"/>
            <w:vAlign w:val="center"/>
          </w:tcPr>
          <w:p w14:paraId="07EC85F6">
            <w:pPr>
              <w:jc w:val="center"/>
              <w:rPr>
                <w:color w:val="auto"/>
                <w:highlight w:val="none"/>
              </w:rPr>
            </w:pPr>
          </w:p>
        </w:tc>
        <w:tc>
          <w:tcPr>
            <w:tcW w:w="360" w:type="pct"/>
            <w:tcBorders>
              <w:top w:val="single" w:color="auto" w:sz="4" w:space="0"/>
              <w:left w:val="nil"/>
              <w:bottom w:val="single" w:color="000000" w:sz="8" w:space="0"/>
              <w:right w:val="single" w:color="000000" w:sz="8" w:space="0"/>
            </w:tcBorders>
            <w:noWrap w:val="0"/>
            <w:vAlign w:val="center"/>
          </w:tcPr>
          <w:p w14:paraId="6629F1E1">
            <w:pPr>
              <w:jc w:val="center"/>
              <w:rPr>
                <w:color w:val="auto"/>
                <w:highlight w:val="none"/>
              </w:rPr>
            </w:pPr>
          </w:p>
        </w:tc>
        <w:tc>
          <w:tcPr>
            <w:tcW w:w="773" w:type="pct"/>
            <w:tcBorders>
              <w:top w:val="single" w:color="auto" w:sz="4" w:space="0"/>
              <w:left w:val="nil"/>
              <w:bottom w:val="single" w:color="000000" w:sz="8" w:space="0"/>
              <w:right w:val="single" w:color="auto" w:sz="8" w:space="0"/>
            </w:tcBorders>
            <w:noWrap w:val="0"/>
            <w:vAlign w:val="center"/>
          </w:tcPr>
          <w:p w14:paraId="0BBAF4F8">
            <w:pPr>
              <w:rPr>
                <w:color w:val="auto"/>
                <w:highlight w:val="none"/>
              </w:rPr>
            </w:pPr>
          </w:p>
        </w:tc>
      </w:tr>
      <w:tr w14:paraId="1868C6F3">
        <w:tblPrEx>
          <w:tblCellMar>
            <w:top w:w="0" w:type="dxa"/>
            <w:left w:w="108" w:type="dxa"/>
            <w:bottom w:w="0" w:type="dxa"/>
            <w:right w:w="108" w:type="dxa"/>
          </w:tblCellMar>
        </w:tblPrEx>
        <w:trPr>
          <w:trHeight w:val="465" w:hRule="atLeast"/>
        </w:trPr>
        <w:tc>
          <w:tcPr>
            <w:tcW w:w="271" w:type="pct"/>
            <w:tcBorders>
              <w:top w:val="nil"/>
              <w:left w:val="single" w:color="auto" w:sz="8" w:space="0"/>
              <w:bottom w:val="single" w:color="000000" w:sz="8" w:space="0"/>
              <w:right w:val="single" w:color="000000" w:sz="8" w:space="0"/>
            </w:tcBorders>
            <w:noWrap w:val="0"/>
            <w:vAlign w:val="center"/>
          </w:tcPr>
          <w:p w14:paraId="08A857C2">
            <w:pPr>
              <w:rPr>
                <w:color w:val="auto"/>
                <w:highlight w:val="none"/>
              </w:rPr>
            </w:pPr>
            <w:r>
              <w:rPr>
                <w:rFonts w:hint="eastAsia"/>
                <w:color w:val="auto"/>
                <w:highlight w:val="none"/>
              </w:rPr>
              <w:t>2</w:t>
            </w:r>
          </w:p>
        </w:tc>
        <w:tc>
          <w:tcPr>
            <w:tcW w:w="937" w:type="pct"/>
            <w:tcBorders>
              <w:top w:val="nil"/>
              <w:left w:val="nil"/>
              <w:bottom w:val="single" w:color="000000" w:sz="8" w:space="0"/>
              <w:right w:val="single" w:color="000000" w:sz="8" w:space="0"/>
            </w:tcBorders>
            <w:noWrap w:val="0"/>
            <w:vAlign w:val="center"/>
          </w:tcPr>
          <w:p w14:paraId="13D55976">
            <w:pPr>
              <w:rPr>
                <w:color w:val="auto"/>
                <w:highlight w:val="none"/>
              </w:rPr>
            </w:pPr>
            <w:r>
              <w:rPr>
                <w:rFonts w:hint="eastAsia"/>
                <w:color w:val="auto"/>
                <w:highlight w:val="none"/>
              </w:rPr>
              <w:t>工业以太网附件</w:t>
            </w:r>
          </w:p>
        </w:tc>
        <w:tc>
          <w:tcPr>
            <w:tcW w:w="1294" w:type="pct"/>
            <w:tcBorders>
              <w:top w:val="nil"/>
              <w:left w:val="nil"/>
              <w:bottom w:val="single" w:color="000000" w:sz="8" w:space="0"/>
              <w:right w:val="single" w:color="000000" w:sz="8" w:space="0"/>
            </w:tcBorders>
            <w:noWrap w:val="0"/>
            <w:vAlign w:val="center"/>
          </w:tcPr>
          <w:p w14:paraId="75058DE8">
            <w:pPr>
              <w:rPr>
                <w:color w:val="auto"/>
                <w:highlight w:val="none"/>
              </w:rPr>
            </w:pPr>
            <w:r>
              <w:rPr>
                <w:rFonts w:hint="eastAsia"/>
                <w:color w:val="auto"/>
                <w:highlight w:val="none"/>
              </w:rPr>
              <w:t>满足系统要求</w:t>
            </w:r>
          </w:p>
        </w:tc>
        <w:tc>
          <w:tcPr>
            <w:tcW w:w="344" w:type="pct"/>
            <w:tcBorders>
              <w:top w:val="nil"/>
              <w:left w:val="nil"/>
              <w:bottom w:val="single" w:color="000000" w:sz="8" w:space="0"/>
              <w:right w:val="single" w:color="000000" w:sz="8" w:space="0"/>
            </w:tcBorders>
            <w:noWrap w:val="0"/>
            <w:vAlign w:val="center"/>
          </w:tcPr>
          <w:p w14:paraId="5525126A">
            <w:pPr>
              <w:jc w:val="center"/>
              <w:rPr>
                <w:color w:val="auto"/>
                <w:highlight w:val="none"/>
              </w:rPr>
            </w:pPr>
            <w:r>
              <w:rPr>
                <w:rFonts w:hint="eastAsia"/>
                <w:color w:val="auto"/>
                <w:highlight w:val="none"/>
              </w:rPr>
              <w:t>套</w:t>
            </w:r>
          </w:p>
        </w:tc>
        <w:tc>
          <w:tcPr>
            <w:tcW w:w="374" w:type="pct"/>
            <w:tcBorders>
              <w:top w:val="nil"/>
              <w:left w:val="nil"/>
              <w:bottom w:val="single" w:color="000000" w:sz="8" w:space="0"/>
              <w:right w:val="single" w:color="000000" w:sz="8" w:space="0"/>
            </w:tcBorders>
            <w:noWrap w:val="0"/>
            <w:vAlign w:val="center"/>
          </w:tcPr>
          <w:p w14:paraId="27F8B71F">
            <w:pPr>
              <w:jc w:val="center"/>
              <w:rPr>
                <w:color w:val="auto"/>
                <w:highlight w:val="none"/>
              </w:rPr>
            </w:pPr>
            <w:r>
              <w:rPr>
                <w:color w:val="auto"/>
                <w:highlight w:val="none"/>
              </w:rPr>
              <w:t>1</w:t>
            </w:r>
          </w:p>
        </w:tc>
        <w:tc>
          <w:tcPr>
            <w:tcW w:w="646" w:type="pct"/>
            <w:tcBorders>
              <w:top w:val="nil"/>
              <w:left w:val="nil"/>
              <w:bottom w:val="single" w:color="000000" w:sz="8" w:space="0"/>
              <w:right w:val="single" w:color="000000" w:sz="8" w:space="0"/>
            </w:tcBorders>
            <w:noWrap w:val="0"/>
            <w:vAlign w:val="center"/>
          </w:tcPr>
          <w:p w14:paraId="70AA10AB">
            <w:pPr>
              <w:jc w:val="center"/>
              <w:rPr>
                <w:color w:val="auto"/>
                <w:highlight w:val="none"/>
              </w:rPr>
            </w:pPr>
          </w:p>
        </w:tc>
        <w:tc>
          <w:tcPr>
            <w:tcW w:w="360" w:type="pct"/>
            <w:tcBorders>
              <w:top w:val="nil"/>
              <w:left w:val="nil"/>
              <w:bottom w:val="single" w:color="000000" w:sz="8" w:space="0"/>
              <w:right w:val="single" w:color="000000" w:sz="8" w:space="0"/>
            </w:tcBorders>
            <w:noWrap w:val="0"/>
            <w:vAlign w:val="center"/>
          </w:tcPr>
          <w:p w14:paraId="06F3AD59">
            <w:pPr>
              <w:jc w:val="center"/>
              <w:rPr>
                <w:color w:val="auto"/>
                <w:highlight w:val="none"/>
              </w:rPr>
            </w:pPr>
          </w:p>
        </w:tc>
        <w:tc>
          <w:tcPr>
            <w:tcW w:w="773" w:type="pct"/>
            <w:tcBorders>
              <w:top w:val="nil"/>
              <w:left w:val="nil"/>
              <w:bottom w:val="single" w:color="000000" w:sz="8" w:space="0"/>
              <w:right w:val="single" w:color="auto" w:sz="8" w:space="0"/>
            </w:tcBorders>
            <w:noWrap w:val="0"/>
            <w:vAlign w:val="center"/>
          </w:tcPr>
          <w:p w14:paraId="5E829CC2">
            <w:pPr>
              <w:rPr>
                <w:color w:val="auto"/>
                <w:highlight w:val="none"/>
              </w:rPr>
            </w:pPr>
            <w:r>
              <w:rPr>
                <w:rFonts w:hint="eastAsia"/>
                <w:color w:val="auto"/>
                <w:highlight w:val="none"/>
              </w:rPr>
              <w:t>　</w:t>
            </w:r>
          </w:p>
        </w:tc>
      </w:tr>
      <w:tr w14:paraId="1C42D473">
        <w:tblPrEx>
          <w:tblCellMar>
            <w:top w:w="0" w:type="dxa"/>
            <w:left w:w="108" w:type="dxa"/>
            <w:bottom w:w="0" w:type="dxa"/>
            <w:right w:w="108" w:type="dxa"/>
          </w:tblCellMar>
        </w:tblPrEx>
        <w:trPr>
          <w:trHeight w:val="880" w:hRule="atLeast"/>
        </w:trPr>
        <w:tc>
          <w:tcPr>
            <w:tcW w:w="271" w:type="pct"/>
            <w:tcBorders>
              <w:top w:val="nil"/>
              <w:left w:val="single" w:color="auto" w:sz="8" w:space="0"/>
              <w:bottom w:val="single" w:color="000000" w:sz="8" w:space="0"/>
              <w:right w:val="single" w:color="000000" w:sz="8" w:space="0"/>
            </w:tcBorders>
            <w:noWrap w:val="0"/>
            <w:vAlign w:val="center"/>
          </w:tcPr>
          <w:p w14:paraId="7178BEAC">
            <w:pPr>
              <w:rPr>
                <w:color w:val="auto"/>
                <w:highlight w:val="none"/>
              </w:rPr>
            </w:pPr>
            <w:r>
              <w:rPr>
                <w:rFonts w:hint="eastAsia"/>
                <w:color w:val="auto"/>
                <w:highlight w:val="none"/>
              </w:rPr>
              <w:t>3</w:t>
            </w:r>
          </w:p>
        </w:tc>
        <w:tc>
          <w:tcPr>
            <w:tcW w:w="937" w:type="pct"/>
            <w:tcBorders>
              <w:top w:val="nil"/>
              <w:left w:val="nil"/>
              <w:bottom w:val="single" w:color="000000" w:sz="8" w:space="0"/>
              <w:right w:val="single" w:color="000000" w:sz="8" w:space="0"/>
            </w:tcBorders>
            <w:noWrap w:val="0"/>
            <w:vAlign w:val="center"/>
          </w:tcPr>
          <w:p w14:paraId="4DD32743">
            <w:pPr>
              <w:rPr>
                <w:color w:val="auto"/>
                <w:highlight w:val="none"/>
              </w:rPr>
            </w:pPr>
            <w:r>
              <w:rPr>
                <w:rFonts w:hint="eastAsia"/>
                <w:color w:val="auto"/>
                <w:highlight w:val="none"/>
              </w:rPr>
              <w:t>编程开发</w:t>
            </w:r>
          </w:p>
        </w:tc>
        <w:tc>
          <w:tcPr>
            <w:tcW w:w="1294" w:type="pct"/>
            <w:tcBorders>
              <w:top w:val="nil"/>
              <w:left w:val="nil"/>
              <w:bottom w:val="single" w:color="000000" w:sz="8" w:space="0"/>
              <w:right w:val="single" w:color="000000" w:sz="8" w:space="0"/>
            </w:tcBorders>
            <w:noWrap w:val="0"/>
            <w:vAlign w:val="center"/>
          </w:tcPr>
          <w:p w14:paraId="61D922CD">
            <w:pPr>
              <w:rPr>
                <w:color w:val="auto"/>
                <w:highlight w:val="none"/>
              </w:rPr>
            </w:pPr>
            <w:r>
              <w:rPr>
                <w:color w:val="auto"/>
                <w:highlight w:val="none"/>
              </w:rPr>
              <w:t>　</w:t>
            </w:r>
            <w:r>
              <w:rPr>
                <w:rFonts w:hint="eastAsia"/>
                <w:color w:val="auto"/>
                <w:highlight w:val="none"/>
              </w:rPr>
              <w:t>上位机、下位机等自控系统程序编程</w:t>
            </w:r>
          </w:p>
        </w:tc>
        <w:tc>
          <w:tcPr>
            <w:tcW w:w="344" w:type="pct"/>
            <w:tcBorders>
              <w:top w:val="nil"/>
              <w:left w:val="nil"/>
              <w:bottom w:val="single" w:color="000000" w:sz="8" w:space="0"/>
              <w:right w:val="single" w:color="000000" w:sz="8" w:space="0"/>
            </w:tcBorders>
            <w:noWrap w:val="0"/>
            <w:vAlign w:val="center"/>
          </w:tcPr>
          <w:p w14:paraId="77BAC8A2">
            <w:pPr>
              <w:jc w:val="center"/>
              <w:rPr>
                <w:color w:val="auto"/>
                <w:highlight w:val="none"/>
              </w:rPr>
            </w:pPr>
            <w:r>
              <w:rPr>
                <w:rFonts w:hint="eastAsia"/>
                <w:color w:val="auto"/>
                <w:highlight w:val="none"/>
              </w:rPr>
              <w:t>项</w:t>
            </w:r>
          </w:p>
        </w:tc>
        <w:tc>
          <w:tcPr>
            <w:tcW w:w="374" w:type="pct"/>
            <w:tcBorders>
              <w:top w:val="nil"/>
              <w:left w:val="nil"/>
              <w:bottom w:val="single" w:color="000000" w:sz="8" w:space="0"/>
              <w:right w:val="single" w:color="000000" w:sz="8" w:space="0"/>
            </w:tcBorders>
            <w:noWrap w:val="0"/>
            <w:vAlign w:val="center"/>
          </w:tcPr>
          <w:p w14:paraId="16B7ED05">
            <w:pPr>
              <w:jc w:val="center"/>
              <w:rPr>
                <w:color w:val="auto"/>
                <w:highlight w:val="none"/>
              </w:rPr>
            </w:pPr>
            <w:r>
              <w:rPr>
                <w:rFonts w:hint="eastAsia"/>
                <w:color w:val="auto"/>
                <w:highlight w:val="none"/>
              </w:rPr>
              <w:t>1</w:t>
            </w:r>
          </w:p>
        </w:tc>
        <w:tc>
          <w:tcPr>
            <w:tcW w:w="646" w:type="pct"/>
            <w:tcBorders>
              <w:top w:val="nil"/>
              <w:left w:val="nil"/>
              <w:bottom w:val="single" w:color="000000" w:sz="8" w:space="0"/>
              <w:right w:val="single" w:color="000000" w:sz="8" w:space="0"/>
            </w:tcBorders>
            <w:noWrap w:val="0"/>
            <w:vAlign w:val="center"/>
          </w:tcPr>
          <w:p w14:paraId="4F25606B">
            <w:pPr>
              <w:jc w:val="center"/>
              <w:rPr>
                <w:color w:val="auto"/>
                <w:highlight w:val="none"/>
              </w:rPr>
            </w:pPr>
          </w:p>
        </w:tc>
        <w:tc>
          <w:tcPr>
            <w:tcW w:w="360" w:type="pct"/>
            <w:tcBorders>
              <w:top w:val="nil"/>
              <w:left w:val="nil"/>
              <w:bottom w:val="single" w:color="000000" w:sz="8" w:space="0"/>
              <w:right w:val="single" w:color="000000" w:sz="8" w:space="0"/>
            </w:tcBorders>
            <w:noWrap w:val="0"/>
            <w:vAlign w:val="center"/>
          </w:tcPr>
          <w:p w14:paraId="7D006D92">
            <w:pPr>
              <w:jc w:val="center"/>
              <w:rPr>
                <w:color w:val="auto"/>
                <w:highlight w:val="none"/>
              </w:rPr>
            </w:pPr>
          </w:p>
        </w:tc>
        <w:tc>
          <w:tcPr>
            <w:tcW w:w="773" w:type="pct"/>
            <w:tcBorders>
              <w:top w:val="nil"/>
              <w:left w:val="nil"/>
              <w:bottom w:val="single" w:color="000000" w:sz="8" w:space="0"/>
              <w:right w:val="single" w:color="auto" w:sz="8" w:space="0"/>
            </w:tcBorders>
            <w:noWrap w:val="0"/>
            <w:vAlign w:val="center"/>
          </w:tcPr>
          <w:p w14:paraId="27AE852F">
            <w:pPr>
              <w:rPr>
                <w:color w:val="auto"/>
                <w:highlight w:val="none"/>
              </w:rPr>
            </w:pPr>
            <w:r>
              <w:rPr>
                <w:color w:val="auto"/>
                <w:highlight w:val="none"/>
              </w:rPr>
              <w:t>　</w:t>
            </w:r>
          </w:p>
        </w:tc>
      </w:tr>
      <w:tr w14:paraId="13200AB2">
        <w:tblPrEx>
          <w:tblCellMar>
            <w:top w:w="0" w:type="dxa"/>
            <w:left w:w="108" w:type="dxa"/>
            <w:bottom w:w="0" w:type="dxa"/>
            <w:right w:w="108" w:type="dxa"/>
          </w:tblCellMar>
        </w:tblPrEx>
        <w:trPr>
          <w:trHeight w:val="405" w:hRule="atLeast"/>
        </w:trPr>
        <w:tc>
          <w:tcPr>
            <w:tcW w:w="271" w:type="pct"/>
            <w:tcBorders>
              <w:top w:val="nil"/>
              <w:left w:val="single" w:color="auto" w:sz="8" w:space="0"/>
              <w:bottom w:val="single" w:color="000000" w:sz="8" w:space="0"/>
              <w:right w:val="single" w:color="000000" w:sz="8" w:space="0"/>
            </w:tcBorders>
            <w:noWrap w:val="0"/>
            <w:vAlign w:val="center"/>
          </w:tcPr>
          <w:p w14:paraId="02FD3D58">
            <w:pPr>
              <w:rPr>
                <w:color w:val="auto"/>
                <w:highlight w:val="none"/>
              </w:rPr>
            </w:pPr>
            <w:r>
              <w:rPr>
                <w:rFonts w:hint="eastAsia"/>
                <w:color w:val="auto"/>
                <w:highlight w:val="none"/>
              </w:rPr>
              <w:t>4</w:t>
            </w:r>
          </w:p>
        </w:tc>
        <w:tc>
          <w:tcPr>
            <w:tcW w:w="937" w:type="pct"/>
            <w:tcBorders>
              <w:top w:val="nil"/>
              <w:left w:val="nil"/>
              <w:bottom w:val="single" w:color="000000" w:sz="8" w:space="0"/>
              <w:right w:val="single" w:color="000000" w:sz="8" w:space="0"/>
            </w:tcBorders>
            <w:noWrap w:val="0"/>
            <w:vAlign w:val="center"/>
          </w:tcPr>
          <w:p w14:paraId="31A375A0">
            <w:pPr>
              <w:rPr>
                <w:color w:val="auto"/>
                <w:highlight w:val="none"/>
              </w:rPr>
            </w:pPr>
            <w:r>
              <w:rPr>
                <w:rFonts w:hint="eastAsia"/>
                <w:color w:val="auto"/>
                <w:highlight w:val="none"/>
              </w:rPr>
              <w:t>SCAD软件开发版</w:t>
            </w:r>
          </w:p>
        </w:tc>
        <w:tc>
          <w:tcPr>
            <w:tcW w:w="1294" w:type="pct"/>
            <w:tcBorders>
              <w:top w:val="nil"/>
              <w:left w:val="nil"/>
              <w:bottom w:val="single" w:color="000000" w:sz="8" w:space="0"/>
              <w:right w:val="single" w:color="000000" w:sz="8" w:space="0"/>
            </w:tcBorders>
            <w:noWrap w:val="0"/>
            <w:vAlign w:val="center"/>
          </w:tcPr>
          <w:p w14:paraId="76685764">
            <w:pPr>
              <w:rPr>
                <w:color w:val="auto"/>
                <w:highlight w:val="none"/>
              </w:rPr>
            </w:pPr>
            <w:r>
              <w:rPr>
                <w:rFonts w:hint="eastAsia"/>
                <w:color w:val="auto"/>
                <w:highlight w:val="none"/>
              </w:rPr>
              <w:t>最新版</w:t>
            </w:r>
            <w:r>
              <w:rPr>
                <w:color w:val="auto"/>
                <w:highlight w:val="none"/>
              </w:rPr>
              <w:t>无限点数授权</w:t>
            </w:r>
            <w:r>
              <w:rPr>
                <w:rFonts w:hint="eastAsia"/>
                <w:color w:val="auto"/>
                <w:highlight w:val="none"/>
              </w:rPr>
              <w:t>，含Historian client合并授权</w:t>
            </w:r>
          </w:p>
        </w:tc>
        <w:tc>
          <w:tcPr>
            <w:tcW w:w="344" w:type="pct"/>
            <w:tcBorders>
              <w:top w:val="nil"/>
              <w:left w:val="nil"/>
              <w:bottom w:val="single" w:color="000000" w:sz="8" w:space="0"/>
              <w:right w:val="single" w:color="000000" w:sz="8" w:space="0"/>
            </w:tcBorders>
            <w:noWrap w:val="0"/>
            <w:vAlign w:val="center"/>
          </w:tcPr>
          <w:p w14:paraId="7E1B30A9">
            <w:pPr>
              <w:jc w:val="center"/>
              <w:rPr>
                <w:color w:val="auto"/>
                <w:highlight w:val="none"/>
              </w:rPr>
            </w:pPr>
            <w:r>
              <w:rPr>
                <w:rFonts w:hint="eastAsia"/>
                <w:color w:val="auto"/>
                <w:highlight w:val="none"/>
              </w:rPr>
              <w:t>套</w:t>
            </w:r>
          </w:p>
        </w:tc>
        <w:tc>
          <w:tcPr>
            <w:tcW w:w="374" w:type="pct"/>
            <w:tcBorders>
              <w:top w:val="nil"/>
              <w:left w:val="nil"/>
              <w:bottom w:val="single" w:color="000000" w:sz="8" w:space="0"/>
              <w:right w:val="single" w:color="000000" w:sz="8" w:space="0"/>
            </w:tcBorders>
            <w:noWrap w:val="0"/>
            <w:vAlign w:val="center"/>
          </w:tcPr>
          <w:p w14:paraId="0D026B41">
            <w:pPr>
              <w:jc w:val="center"/>
              <w:rPr>
                <w:color w:val="auto"/>
                <w:highlight w:val="none"/>
              </w:rPr>
            </w:pPr>
            <w:r>
              <w:rPr>
                <w:rFonts w:hint="eastAsia"/>
                <w:color w:val="auto"/>
                <w:highlight w:val="none"/>
              </w:rPr>
              <w:t>1</w:t>
            </w:r>
          </w:p>
        </w:tc>
        <w:tc>
          <w:tcPr>
            <w:tcW w:w="646" w:type="pct"/>
            <w:tcBorders>
              <w:top w:val="nil"/>
              <w:left w:val="nil"/>
              <w:bottom w:val="single" w:color="000000" w:sz="8" w:space="0"/>
              <w:right w:val="single" w:color="000000" w:sz="8" w:space="0"/>
            </w:tcBorders>
            <w:noWrap w:val="0"/>
            <w:vAlign w:val="center"/>
          </w:tcPr>
          <w:p w14:paraId="6EE38513">
            <w:pPr>
              <w:jc w:val="center"/>
              <w:rPr>
                <w:color w:val="auto"/>
                <w:highlight w:val="none"/>
              </w:rPr>
            </w:pPr>
            <w:r>
              <w:rPr>
                <w:rFonts w:hint="eastAsia"/>
                <w:color w:val="auto"/>
                <w:highlight w:val="none"/>
              </w:rPr>
              <w:t>中控室</w:t>
            </w:r>
          </w:p>
        </w:tc>
        <w:tc>
          <w:tcPr>
            <w:tcW w:w="360" w:type="pct"/>
            <w:tcBorders>
              <w:top w:val="nil"/>
              <w:left w:val="nil"/>
              <w:bottom w:val="single" w:color="000000" w:sz="8" w:space="0"/>
              <w:right w:val="single" w:color="000000" w:sz="8" w:space="0"/>
            </w:tcBorders>
            <w:noWrap w:val="0"/>
            <w:vAlign w:val="center"/>
          </w:tcPr>
          <w:p w14:paraId="22DB3C23">
            <w:pPr>
              <w:jc w:val="center"/>
              <w:rPr>
                <w:color w:val="auto"/>
                <w:highlight w:val="none"/>
              </w:rPr>
            </w:pPr>
          </w:p>
        </w:tc>
        <w:tc>
          <w:tcPr>
            <w:tcW w:w="773" w:type="pct"/>
            <w:vMerge w:val="restart"/>
            <w:tcBorders>
              <w:top w:val="nil"/>
              <w:left w:val="nil"/>
              <w:right w:val="single" w:color="auto" w:sz="8" w:space="0"/>
            </w:tcBorders>
            <w:noWrap w:val="0"/>
            <w:vAlign w:val="center"/>
          </w:tcPr>
          <w:p w14:paraId="48A14143">
            <w:pPr>
              <w:rPr>
                <w:color w:val="auto"/>
                <w:highlight w:val="none"/>
              </w:rPr>
            </w:pPr>
            <w:r>
              <w:rPr>
                <w:color w:val="auto"/>
                <w:highlight w:val="none"/>
              </w:rPr>
              <w:t>　</w:t>
            </w:r>
            <w:r>
              <w:rPr>
                <w:rFonts w:hint="eastAsia"/>
                <w:color w:val="auto"/>
                <w:highlight w:val="none"/>
              </w:rPr>
              <w:t>Wonderware、</w:t>
            </w:r>
            <w:r>
              <w:rPr>
                <w:color w:val="auto"/>
                <w:highlight w:val="none"/>
              </w:rPr>
              <w:t>　</w:t>
            </w:r>
          </w:p>
        </w:tc>
      </w:tr>
      <w:tr w14:paraId="1B819F8B">
        <w:tblPrEx>
          <w:tblCellMar>
            <w:top w:w="0" w:type="dxa"/>
            <w:left w:w="108" w:type="dxa"/>
            <w:bottom w:w="0" w:type="dxa"/>
            <w:right w:w="108" w:type="dxa"/>
          </w:tblCellMar>
        </w:tblPrEx>
        <w:trPr>
          <w:trHeight w:val="405" w:hRule="atLeast"/>
        </w:trPr>
        <w:tc>
          <w:tcPr>
            <w:tcW w:w="271" w:type="pct"/>
            <w:tcBorders>
              <w:top w:val="nil"/>
              <w:left w:val="single" w:color="auto" w:sz="8" w:space="0"/>
              <w:bottom w:val="single" w:color="000000" w:sz="8" w:space="0"/>
              <w:right w:val="single" w:color="000000" w:sz="8" w:space="0"/>
            </w:tcBorders>
            <w:noWrap w:val="0"/>
            <w:vAlign w:val="center"/>
          </w:tcPr>
          <w:p w14:paraId="7543A85F">
            <w:pPr>
              <w:rPr>
                <w:color w:val="auto"/>
                <w:highlight w:val="none"/>
              </w:rPr>
            </w:pPr>
            <w:r>
              <w:rPr>
                <w:rFonts w:hint="eastAsia"/>
                <w:color w:val="auto"/>
                <w:highlight w:val="none"/>
              </w:rPr>
              <w:t>5</w:t>
            </w:r>
          </w:p>
        </w:tc>
        <w:tc>
          <w:tcPr>
            <w:tcW w:w="937" w:type="pct"/>
            <w:tcBorders>
              <w:top w:val="nil"/>
              <w:left w:val="nil"/>
              <w:bottom w:val="single" w:color="000000" w:sz="8" w:space="0"/>
              <w:right w:val="single" w:color="000000" w:sz="8" w:space="0"/>
            </w:tcBorders>
            <w:noWrap w:val="0"/>
            <w:vAlign w:val="center"/>
          </w:tcPr>
          <w:p w14:paraId="3C13559D">
            <w:pPr>
              <w:rPr>
                <w:color w:val="auto"/>
                <w:highlight w:val="none"/>
              </w:rPr>
            </w:pPr>
            <w:r>
              <w:rPr>
                <w:rFonts w:hint="eastAsia"/>
                <w:color w:val="auto"/>
                <w:highlight w:val="none"/>
              </w:rPr>
              <w:t>SCADA软件运行版</w:t>
            </w:r>
          </w:p>
        </w:tc>
        <w:tc>
          <w:tcPr>
            <w:tcW w:w="1294" w:type="pct"/>
            <w:tcBorders>
              <w:top w:val="nil"/>
              <w:left w:val="nil"/>
              <w:bottom w:val="single" w:color="000000" w:sz="8" w:space="0"/>
              <w:right w:val="single" w:color="000000" w:sz="8" w:space="0"/>
            </w:tcBorders>
            <w:noWrap w:val="0"/>
            <w:vAlign w:val="center"/>
          </w:tcPr>
          <w:p w14:paraId="6AC01DE3">
            <w:pPr>
              <w:rPr>
                <w:color w:val="auto"/>
                <w:highlight w:val="none"/>
              </w:rPr>
            </w:pPr>
            <w:r>
              <w:rPr>
                <w:rFonts w:hint="eastAsia"/>
                <w:color w:val="auto"/>
                <w:highlight w:val="none"/>
              </w:rPr>
              <w:t>最新版5000点</w:t>
            </w:r>
            <w:r>
              <w:rPr>
                <w:color w:val="auto"/>
                <w:highlight w:val="none"/>
              </w:rPr>
              <w:t>数授权</w:t>
            </w:r>
            <w:r>
              <w:rPr>
                <w:rFonts w:hint="eastAsia"/>
                <w:color w:val="auto"/>
                <w:highlight w:val="none"/>
              </w:rPr>
              <w:t>，含Historian client合并授权</w:t>
            </w:r>
          </w:p>
        </w:tc>
        <w:tc>
          <w:tcPr>
            <w:tcW w:w="344" w:type="pct"/>
            <w:tcBorders>
              <w:top w:val="nil"/>
              <w:left w:val="nil"/>
              <w:bottom w:val="single" w:color="000000" w:sz="8" w:space="0"/>
              <w:right w:val="single" w:color="000000" w:sz="8" w:space="0"/>
            </w:tcBorders>
            <w:noWrap w:val="0"/>
            <w:vAlign w:val="center"/>
          </w:tcPr>
          <w:p w14:paraId="7934D9BE">
            <w:pPr>
              <w:jc w:val="center"/>
              <w:rPr>
                <w:color w:val="auto"/>
                <w:highlight w:val="none"/>
              </w:rPr>
            </w:pPr>
            <w:r>
              <w:rPr>
                <w:rFonts w:hint="eastAsia"/>
                <w:color w:val="auto"/>
                <w:highlight w:val="none"/>
              </w:rPr>
              <w:t>套</w:t>
            </w:r>
          </w:p>
        </w:tc>
        <w:tc>
          <w:tcPr>
            <w:tcW w:w="374" w:type="pct"/>
            <w:tcBorders>
              <w:top w:val="nil"/>
              <w:left w:val="nil"/>
              <w:bottom w:val="single" w:color="000000" w:sz="8" w:space="0"/>
              <w:right w:val="single" w:color="000000" w:sz="8" w:space="0"/>
            </w:tcBorders>
            <w:noWrap w:val="0"/>
            <w:vAlign w:val="center"/>
          </w:tcPr>
          <w:p w14:paraId="36D4446E">
            <w:pPr>
              <w:jc w:val="center"/>
              <w:rPr>
                <w:color w:val="auto"/>
                <w:highlight w:val="none"/>
              </w:rPr>
            </w:pPr>
            <w:r>
              <w:rPr>
                <w:rFonts w:hint="eastAsia"/>
                <w:color w:val="auto"/>
                <w:highlight w:val="none"/>
              </w:rPr>
              <w:t>1</w:t>
            </w:r>
          </w:p>
        </w:tc>
        <w:tc>
          <w:tcPr>
            <w:tcW w:w="646" w:type="pct"/>
            <w:tcBorders>
              <w:top w:val="nil"/>
              <w:left w:val="nil"/>
              <w:bottom w:val="single" w:color="000000" w:sz="8" w:space="0"/>
              <w:right w:val="single" w:color="000000" w:sz="8" w:space="0"/>
            </w:tcBorders>
            <w:noWrap w:val="0"/>
            <w:vAlign w:val="center"/>
          </w:tcPr>
          <w:p w14:paraId="059777B5">
            <w:pPr>
              <w:jc w:val="center"/>
              <w:rPr>
                <w:color w:val="auto"/>
                <w:highlight w:val="none"/>
              </w:rPr>
            </w:pPr>
            <w:r>
              <w:rPr>
                <w:rFonts w:hint="eastAsia"/>
                <w:color w:val="auto"/>
                <w:highlight w:val="none"/>
              </w:rPr>
              <w:t>中控室</w:t>
            </w:r>
          </w:p>
        </w:tc>
        <w:tc>
          <w:tcPr>
            <w:tcW w:w="360" w:type="pct"/>
            <w:tcBorders>
              <w:top w:val="nil"/>
              <w:left w:val="nil"/>
              <w:bottom w:val="single" w:color="000000" w:sz="8" w:space="0"/>
              <w:right w:val="single" w:color="000000" w:sz="8" w:space="0"/>
            </w:tcBorders>
            <w:noWrap w:val="0"/>
            <w:vAlign w:val="center"/>
          </w:tcPr>
          <w:p w14:paraId="10E1A24A">
            <w:pPr>
              <w:jc w:val="center"/>
              <w:rPr>
                <w:color w:val="auto"/>
                <w:highlight w:val="none"/>
              </w:rPr>
            </w:pPr>
          </w:p>
        </w:tc>
        <w:tc>
          <w:tcPr>
            <w:tcW w:w="773" w:type="pct"/>
            <w:vMerge w:val="continue"/>
            <w:tcBorders>
              <w:left w:val="nil"/>
              <w:right w:val="single" w:color="auto" w:sz="8" w:space="0"/>
            </w:tcBorders>
            <w:noWrap w:val="0"/>
            <w:vAlign w:val="center"/>
          </w:tcPr>
          <w:p w14:paraId="32F1EC81">
            <w:pPr>
              <w:rPr>
                <w:color w:val="auto"/>
                <w:highlight w:val="none"/>
              </w:rPr>
            </w:pPr>
          </w:p>
        </w:tc>
      </w:tr>
      <w:tr w14:paraId="6DADD2CE">
        <w:tblPrEx>
          <w:tblCellMar>
            <w:top w:w="0" w:type="dxa"/>
            <w:left w:w="108" w:type="dxa"/>
            <w:bottom w:w="0" w:type="dxa"/>
            <w:right w:w="108" w:type="dxa"/>
          </w:tblCellMar>
        </w:tblPrEx>
        <w:trPr>
          <w:trHeight w:val="540" w:hRule="atLeast"/>
        </w:trPr>
        <w:tc>
          <w:tcPr>
            <w:tcW w:w="271" w:type="pct"/>
            <w:tcBorders>
              <w:top w:val="nil"/>
              <w:left w:val="single" w:color="auto" w:sz="8" w:space="0"/>
              <w:bottom w:val="single" w:color="000000" w:sz="8" w:space="0"/>
              <w:right w:val="single" w:color="000000" w:sz="8" w:space="0"/>
            </w:tcBorders>
            <w:noWrap w:val="0"/>
            <w:vAlign w:val="center"/>
          </w:tcPr>
          <w:p w14:paraId="307D9330">
            <w:pPr>
              <w:rPr>
                <w:color w:val="auto"/>
                <w:highlight w:val="none"/>
              </w:rPr>
            </w:pPr>
            <w:r>
              <w:rPr>
                <w:rFonts w:hint="eastAsia"/>
                <w:color w:val="auto"/>
                <w:highlight w:val="none"/>
              </w:rPr>
              <w:t>6</w:t>
            </w:r>
          </w:p>
        </w:tc>
        <w:tc>
          <w:tcPr>
            <w:tcW w:w="937" w:type="pct"/>
            <w:tcBorders>
              <w:top w:val="nil"/>
              <w:left w:val="nil"/>
              <w:bottom w:val="nil"/>
              <w:right w:val="single" w:color="000000" w:sz="8" w:space="0"/>
            </w:tcBorders>
            <w:noWrap w:val="0"/>
            <w:vAlign w:val="center"/>
          </w:tcPr>
          <w:p w14:paraId="659A68C4">
            <w:pPr>
              <w:rPr>
                <w:color w:val="auto"/>
                <w:highlight w:val="none"/>
              </w:rPr>
            </w:pPr>
            <w:r>
              <w:rPr>
                <w:rFonts w:hint="eastAsia"/>
                <w:color w:val="auto"/>
                <w:highlight w:val="none"/>
              </w:rPr>
              <w:t>通讯服务器软件</w:t>
            </w:r>
          </w:p>
        </w:tc>
        <w:tc>
          <w:tcPr>
            <w:tcW w:w="1294" w:type="pct"/>
            <w:tcBorders>
              <w:top w:val="nil"/>
              <w:left w:val="nil"/>
              <w:bottom w:val="nil"/>
              <w:right w:val="single" w:color="000000" w:sz="8" w:space="0"/>
            </w:tcBorders>
            <w:noWrap w:val="0"/>
            <w:vAlign w:val="center"/>
          </w:tcPr>
          <w:p w14:paraId="68B111A7">
            <w:pPr>
              <w:rPr>
                <w:color w:val="auto"/>
                <w:highlight w:val="none"/>
              </w:rPr>
            </w:pPr>
            <w:r>
              <w:rPr>
                <w:rFonts w:hint="eastAsia"/>
                <w:color w:val="auto"/>
                <w:highlight w:val="none"/>
              </w:rPr>
              <w:t>最新版DA/DI Server通讯</w:t>
            </w:r>
            <w:r>
              <w:rPr>
                <w:color w:val="auto"/>
                <w:highlight w:val="none"/>
              </w:rPr>
              <w:t>软件</w:t>
            </w:r>
          </w:p>
        </w:tc>
        <w:tc>
          <w:tcPr>
            <w:tcW w:w="344" w:type="pct"/>
            <w:tcBorders>
              <w:top w:val="nil"/>
              <w:left w:val="nil"/>
              <w:bottom w:val="nil"/>
              <w:right w:val="single" w:color="000000" w:sz="8" w:space="0"/>
            </w:tcBorders>
            <w:noWrap w:val="0"/>
            <w:vAlign w:val="center"/>
          </w:tcPr>
          <w:p w14:paraId="4AABB029">
            <w:pPr>
              <w:jc w:val="center"/>
              <w:rPr>
                <w:color w:val="auto"/>
                <w:highlight w:val="none"/>
              </w:rPr>
            </w:pPr>
            <w:r>
              <w:rPr>
                <w:rFonts w:hint="eastAsia"/>
                <w:color w:val="auto"/>
                <w:highlight w:val="none"/>
              </w:rPr>
              <w:t>套</w:t>
            </w:r>
          </w:p>
        </w:tc>
        <w:tc>
          <w:tcPr>
            <w:tcW w:w="374" w:type="pct"/>
            <w:tcBorders>
              <w:top w:val="nil"/>
              <w:left w:val="nil"/>
              <w:bottom w:val="nil"/>
              <w:right w:val="single" w:color="000000" w:sz="8" w:space="0"/>
            </w:tcBorders>
            <w:noWrap w:val="0"/>
            <w:vAlign w:val="center"/>
          </w:tcPr>
          <w:p w14:paraId="5AAD2AF8">
            <w:pPr>
              <w:jc w:val="center"/>
              <w:rPr>
                <w:color w:val="auto"/>
                <w:highlight w:val="none"/>
              </w:rPr>
            </w:pPr>
            <w:r>
              <w:rPr>
                <w:rFonts w:hint="eastAsia"/>
                <w:color w:val="auto"/>
                <w:highlight w:val="none"/>
              </w:rPr>
              <w:t>1</w:t>
            </w:r>
          </w:p>
        </w:tc>
        <w:tc>
          <w:tcPr>
            <w:tcW w:w="646" w:type="pct"/>
            <w:tcBorders>
              <w:top w:val="nil"/>
              <w:left w:val="nil"/>
              <w:bottom w:val="nil"/>
              <w:right w:val="single" w:color="000000" w:sz="8" w:space="0"/>
            </w:tcBorders>
            <w:noWrap w:val="0"/>
            <w:vAlign w:val="center"/>
          </w:tcPr>
          <w:p w14:paraId="37EF69A3">
            <w:pPr>
              <w:jc w:val="center"/>
              <w:rPr>
                <w:color w:val="auto"/>
                <w:highlight w:val="none"/>
              </w:rPr>
            </w:pPr>
            <w:r>
              <w:rPr>
                <w:rFonts w:hint="eastAsia"/>
                <w:color w:val="auto"/>
                <w:highlight w:val="none"/>
              </w:rPr>
              <w:t>中控室</w:t>
            </w:r>
          </w:p>
        </w:tc>
        <w:tc>
          <w:tcPr>
            <w:tcW w:w="360" w:type="pct"/>
            <w:tcBorders>
              <w:top w:val="nil"/>
              <w:left w:val="nil"/>
              <w:bottom w:val="nil"/>
              <w:right w:val="single" w:color="000000" w:sz="8" w:space="0"/>
            </w:tcBorders>
            <w:noWrap w:val="0"/>
            <w:vAlign w:val="center"/>
          </w:tcPr>
          <w:p w14:paraId="1CABE913">
            <w:pPr>
              <w:jc w:val="center"/>
              <w:rPr>
                <w:color w:val="auto"/>
                <w:highlight w:val="none"/>
              </w:rPr>
            </w:pPr>
          </w:p>
        </w:tc>
        <w:tc>
          <w:tcPr>
            <w:tcW w:w="773" w:type="pct"/>
            <w:vMerge w:val="continue"/>
            <w:tcBorders>
              <w:left w:val="nil"/>
              <w:right w:val="single" w:color="auto" w:sz="8" w:space="0"/>
            </w:tcBorders>
            <w:noWrap w:val="0"/>
            <w:vAlign w:val="center"/>
          </w:tcPr>
          <w:p w14:paraId="1BA03FD1">
            <w:pPr>
              <w:rPr>
                <w:color w:val="auto"/>
                <w:highlight w:val="none"/>
              </w:rPr>
            </w:pPr>
          </w:p>
        </w:tc>
      </w:tr>
      <w:tr w14:paraId="75814C7D">
        <w:tblPrEx>
          <w:tblCellMar>
            <w:top w:w="0" w:type="dxa"/>
            <w:left w:w="108" w:type="dxa"/>
            <w:bottom w:w="0" w:type="dxa"/>
            <w:right w:w="108" w:type="dxa"/>
          </w:tblCellMar>
        </w:tblPrEx>
        <w:trPr>
          <w:trHeight w:val="540" w:hRule="atLeast"/>
        </w:trPr>
        <w:tc>
          <w:tcPr>
            <w:tcW w:w="271" w:type="pct"/>
            <w:tcBorders>
              <w:top w:val="nil"/>
              <w:left w:val="single" w:color="auto" w:sz="8" w:space="0"/>
              <w:bottom w:val="single" w:color="000000" w:sz="8" w:space="0"/>
              <w:right w:val="single" w:color="000000" w:sz="8" w:space="0"/>
            </w:tcBorders>
            <w:noWrap w:val="0"/>
            <w:vAlign w:val="center"/>
          </w:tcPr>
          <w:p w14:paraId="1D581E53">
            <w:pPr>
              <w:rPr>
                <w:color w:val="auto"/>
                <w:highlight w:val="none"/>
              </w:rPr>
            </w:pPr>
            <w:r>
              <w:rPr>
                <w:rFonts w:hint="eastAsia"/>
                <w:color w:val="auto"/>
                <w:highlight w:val="none"/>
              </w:rPr>
              <w:t>7</w:t>
            </w:r>
          </w:p>
        </w:tc>
        <w:tc>
          <w:tcPr>
            <w:tcW w:w="937" w:type="pct"/>
            <w:tcBorders>
              <w:top w:val="single" w:color="auto" w:sz="4" w:space="0"/>
              <w:left w:val="single" w:color="auto" w:sz="4" w:space="0"/>
              <w:bottom w:val="single" w:color="auto" w:sz="4" w:space="0"/>
              <w:right w:val="single" w:color="auto" w:sz="4" w:space="0"/>
            </w:tcBorders>
            <w:noWrap w:val="0"/>
            <w:vAlign w:val="center"/>
          </w:tcPr>
          <w:p w14:paraId="1F15610D">
            <w:pPr>
              <w:rPr>
                <w:color w:val="auto"/>
                <w:highlight w:val="none"/>
              </w:rPr>
            </w:pPr>
            <w:r>
              <w:rPr>
                <w:rFonts w:hint="eastAsia"/>
                <w:color w:val="auto"/>
                <w:highlight w:val="none"/>
              </w:rPr>
              <w:t>历史实时数据库软件</w:t>
            </w:r>
          </w:p>
        </w:tc>
        <w:tc>
          <w:tcPr>
            <w:tcW w:w="1294" w:type="pct"/>
            <w:tcBorders>
              <w:top w:val="single" w:color="auto" w:sz="4" w:space="0"/>
              <w:left w:val="nil"/>
              <w:bottom w:val="single" w:color="auto" w:sz="4" w:space="0"/>
              <w:right w:val="single" w:color="auto" w:sz="4" w:space="0"/>
            </w:tcBorders>
            <w:noWrap w:val="0"/>
            <w:vAlign w:val="center"/>
          </w:tcPr>
          <w:p w14:paraId="70D6C02D">
            <w:pPr>
              <w:rPr>
                <w:color w:val="auto"/>
                <w:highlight w:val="none"/>
              </w:rPr>
            </w:pPr>
            <w:r>
              <w:rPr>
                <w:rFonts w:hint="eastAsia"/>
                <w:color w:val="auto"/>
                <w:highlight w:val="none"/>
              </w:rPr>
              <w:t>最新版工业</w:t>
            </w:r>
            <w:r>
              <w:rPr>
                <w:color w:val="auto"/>
                <w:highlight w:val="none"/>
              </w:rPr>
              <w:t>历史实时数据库,授权</w:t>
            </w:r>
            <w:r>
              <w:rPr>
                <w:rFonts w:hint="eastAsia"/>
                <w:color w:val="auto"/>
                <w:highlight w:val="none"/>
              </w:rPr>
              <w:t>50</w:t>
            </w:r>
            <w:r>
              <w:rPr>
                <w:color w:val="auto"/>
                <w:highlight w:val="none"/>
              </w:rPr>
              <w:t>00点.</w:t>
            </w:r>
            <w:r>
              <w:rPr>
                <w:rFonts w:hint="eastAsia"/>
                <w:color w:val="auto"/>
                <w:highlight w:val="none"/>
              </w:rPr>
              <w:t xml:space="preserve"> 带Historian client合并授权</w:t>
            </w:r>
          </w:p>
        </w:tc>
        <w:tc>
          <w:tcPr>
            <w:tcW w:w="344" w:type="pct"/>
            <w:tcBorders>
              <w:top w:val="single" w:color="auto" w:sz="4" w:space="0"/>
              <w:left w:val="nil"/>
              <w:bottom w:val="single" w:color="auto" w:sz="4" w:space="0"/>
              <w:right w:val="single" w:color="auto" w:sz="4" w:space="0"/>
            </w:tcBorders>
            <w:noWrap w:val="0"/>
            <w:vAlign w:val="center"/>
          </w:tcPr>
          <w:p w14:paraId="671B4E61">
            <w:pPr>
              <w:jc w:val="center"/>
              <w:rPr>
                <w:color w:val="auto"/>
                <w:highlight w:val="none"/>
              </w:rPr>
            </w:pPr>
            <w:r>
              <w:rPr>
                <w:rFonts w:hint="eastAsia"/>
                <w:color w:val="auto"/>
                <w:highlight w:val="none"/>
              </w:rPr>
              <w:t>套</w:t>
            </w:r>
          </w:p>
        </w:tc>
        <w:tc>
          <w:tcPr>
            <w:tcW w:w="374" w:type="pct"/>
            <w:tcBorders>
              <w:top w:val="single" w:color="auto" w:sz="4" w:space="0"/>
              <w:left w:val="nil"/>
              <w:bottom w:val="single" w:color="auto" w:sz="4" w:space="0"/>
              <w:right w:val="single" w:color="auto" w:sz="4" w:space="0"/>
            </w:tcBorders>
            <w:noWrap w:val="0"/>
            <w:vAlign w:val="center"/>
          </w:tcPr>
          <w:p w14:paraId="23723B55">
            <w:pPr>
              <w:jc w:val="center"/>
              <w:rPr>
                <w:color w:val="auto"/>
                <w:highlight w:val="none"/>
              </w:rPr>
            </w:pPr>
            <w:r>
              <w:rPr>
                <w:rFonts w:hint="eastAsia"/>
                <w:color w:val="auto"/>
                <w:highlight w:val="none"/>
              </w:rPr>
              <w:t>1</w:t>
            </w:r>
          </w:p>
        </w:tc>
        <w:tc>
          <w:tcPr>
            <w:tcW w:w="646" w:type="pct"/>
            <w:tcBorders>
              <w:top w:val="single" w:color="auto" w:sz="4" w:space="0"/>
              <w:left w:val="nil"/>
              <w:bottom w:val="single" w:color="auto" w:sz="4" w:space="0"/>
              <w:right w:val="single" w:color="auto" w:sz="4" w:space="0"/>
            </w:tcBorders>
            <w:noWrap w:val="0"/>
            <w:vAlign w:val="center"/>
          </w:tcPr>
          <w:p w14:paraId="19338A74">
            <w:pPr>
              <w:jc w:val="center"/>
              <w:rPr>
                <w:color w:val="auto"/>
                <w:highlight w:val="none"/>
              </w:rPr>
            </w:pPr>
            <w:r>
              <w:rPr>
                <w:rFonts w:hint="eastAsia"/>
                <w:color w:val="auto"/>
                <w:highlight w:val="none"/>
              </w:rPr>
              <w:t>中控室</w:t>
            </w:r>
          </w:p>
        </w:tc>
        <w:tc>
          <w:tcPr>
            <w:tcW w:w="360" w:type="pct"/>
            <w:tcBorders>
              <w:top w:val="single" w:color="auto" w:sz="4" w:space="0"/>
              <w:left w:val="nil"/>
              <w:bottom w:val="single" w:color="auto" w:sz="4" w:space="0"/>
              <w:right w:val="single" w:color="auto" w:sz="4" w:space="0"/>
            </w:tcBorders>
            <w:noWrap w:val="0"/>
            <w:vAlign w:val="center"/>
          </w:tcPr>
          <w:p w14:paraId="07ECD3F6">
            <w:pPr>
              <w:jc w:val="center"/>
              <w:rPr>
                <w:color w:val="auto"/>
                <w:highlight w:val="none"/>
              </w:rPr>
            </w:pPr>
          </w:p>
        </w:tc>
        <w:tc>
          <w:tcPr>
            <w:tcW w:w="773" w:type="pct"/>
            <w:vMerge w:val="continue"/>
            <w:tcBorders>
              <w:left w:val="nil"/>
              <w:right w:val="single" w:color="auto" w:sz="8" w:space="0"/>
            </w:tcBorders>
            <w:noWrap w:val="0"/>
            <w:vAlign w:val="center"/>
          </w:tcPr>
          <w:p w14:paraId="173BA5F3">
            <w:pPr>
              <w:rPr>
                <w:color w:val="auto"/>
                <w:highlight w:val="none"/>
              </w:rPr>
            </w:pPr>
          </w:p>
        </w:tc>
      </w:tr>
      <w:tr w14:paraId="24E8D58C">
        <w:tblPrEx>
          <w:tblCellMar>
            <w:top w:w="0" w:type="dxa"/>
            <w:left w:w="108" w:type="dxa"/>
            <w:bottom w:w="0" w:type="dxa"/>
            <w:right w:w="108" w:type="dxa"/>
          </w:tblCellMar>
        </w:tblPrEx>
        <w:trPr>
          <w:trHeight w:val="540" w:hRule="atLeast"/>
        </w:trPr>
        <w:tc>
          <w:tcPr>
            <w:tcW w:w="271" w:type="pct"/>
            <w:tcBorders>
              <w:top w:val="nil"/>
              <w:left w:val="single" w:color="auto" w:sz="8" w:space="0"/>
              <w:bottom w:val="single" w:color="auto" w:sz="8" w:space="0"/>
              <w:right w:val="single" w:color="000000" w:sz="8" w:space="0"/>
            </w:tcBorders>
            <w:noWrap w:val="0"/>
            <w:vAlign w:val="center"/>
          </w:tcPr>
          <w:p w14:paraId="6BE12DBF">
            <w:pPr>
              <w:rPr>
                <w:color w:val="auto"/>
                <w:highlight w:val="none"/>
              </w:rPr>
            </w:pPr>
            <w:r>
              <w:rPr>
                <w:rFonts w:hint="eastAsia"/>
                <w:color w:val="auto"/>
                <w:highlight w:val="none"/>
              </w:rPr>
              <w:t>8</w:t>
            </w:r>
          </w:p>
        </w:tc>
        <w:tc>
          <w:tcPr>
            <w:tcW w:w="937" w:type="pct"/>
            <w:tcBorders>
              <w:top w:val="nil"/>
              <w:left w:val="single" w:color="auto" w:sz="4" w:space="0"/>
              <w:bottom w:val="single" w:color="auto" w:sz="8" w:space="0"/>
              <w:right w:val="single" w:color="auto" w:sz="4" w:space="0"/>
            </w:tcBorders>
            <w:noWrap w:val="0"/>
            <w:vAlign w:val="center"/>
          </w:tcPr>
          <w:p w14:paraId="725BC9DD">
            <w:pPr>
              <w:rPr>
                <w:color w:val="auto"/>
                <w:highlight w:val="none"/>
              </w:rPr>
            </w:pPr>
            <w:r>
              <w:rPr>
                <w:rFonts w:hint="eastAsia"/>
                <w:color w:val="auto"/>
                <w:highlight w:val="none"/>
              </w:rPr>
              <w:t>工业</w:t>
            </w:r>
            <w:r>
              <w:rPr>
                <w:color w:val="auto"/>
                <w:highlight w:val="none"/>
              </w:rPr>
              <w:t>历史实时数据库</w:t>
            </w:r>
            <w:r>
              <w:rPr>
                <w:rFonts w:hint="eastAsia"/>
                <w:color w:val="auto"/>
                <w:highlight w:val="none"/>
              </w:rPr>
              <w:t>客户端工具</w:t>
            </w:r>
          </w:p>
        </w:tc>
        <w:tc>
          <w:tcPr>
            <w:tcW w:w="1294" w:type="pct"/>
            <w:tcBorders>
              <w:top w:val="nil"/>
              <w:left w:val="nil"/>
              <w:bottom w:val="single" w:color="auto" w:sz="8" w:space="0"/>
              <w:right w:val="single" w:color="auto" w:sz="4" w:space="0"/>
            </w:tcBorders>
            <w:noWrap w:val="0"/>
            <w:vAlign w:val="center"/>
          </w:tcPr>
          <w:p w14:paraId="7B4CE5D3">
            <w:pPr>
              <w:rPr>
                <w:color w:val="auto"/>
                <w:highlight w:val="none"/>
              </w:rPr>
            </w:pPr>
            <w:r>
              <w:rPr>
                <w:rFonts w:hint="eastAsia"/>
                <w:color w:val="auto"/>
                <w:highlight w:val="none"/>
              </w:rPr>
              <w:t>最新版Historian client</w:t>
            </w:r>
          </w:p>
        </w:tc>
        <w:tc>
          <w:tcPr>
            <w:tcW w:w="344" w:type="pct"/>
            <w:tcBorders>
              <w:top w:val="nil"/>
              <w:left w:val="nil"/>
              <w:bottom w:val="single" w:color="auto" w:sz="8" w:space="0"/>
              <w:right w:val="single" w:color="auto" w:sz="4" w:space="0"/>
            </w:tcBorders>
            <w:noWrap w:val="0"/>
            <w:vAlign w:val="center"/>
          </w:tcPr>
          <w:p w14:paraId="022E3364">
            <w:pPr>
              <w:jc w:val="center"/>
              <w:rPr>
                <w:color w:val="auto"/>
                <w:highlight w:val="none"/>
              </w:rPr>
            </w:pPr>
            <w:r>
              <w:rPr>
                <w:rFonts w:hint="eastAsia"/>
                <w:color w:val="auto"/>
                <w:highlight w:val="none"/>
              </w:rPr>
              <w:t>套</w:t>
            </w:r>
          </w:p>
        </w:tc>
        <w:tc>
          <w:tcPr>
            <w:tcW w:w="374" w:type="pct"/>
            <w:tcBorders>
              <w:top w:val="nil"/>
              <w:left w:val="nil"/>
              <w:bottom w:val="single" w:color="auto" w:sz="8" w:space="0"/>
              <w:right w:val="single" w:color="auto" w:sz="4" w:space="0"/>
            </w:tcBorders>
            <w:noWrap w:val="0"/>
            <w:vAlign w:val="center"/>
          </w:tcPr>
          <w:p w14:paraId="3F2E864E">
            <w:pPr>
              <w:jc w:val="center"/>
              <w:rPr>
                <w:color w:val="auto"/>
                <w:highlight w:val="none"/>
              </w:rPr>
            </w:pPr>
            <w:r>
              <w:rPr>
                <w:rFonts w:hint="eastAsia"/>
                <w:color w:val="auto"/>
                <w:highlight w:val="none"/>
              </w:rPr>
              <w:t>2</w:t>
            </w:r>
          </w:p>
        </w:tc>
        <w:tc>
          <w:tcPr>
            <w:tcW w:w="646" w:type="pct"/>
            <w:tcBorders>
              <w:top w:val="nil"/>
              <w:left w:val="nil"/>
              <w:bottom w:val="single" w:color="auto" w:sz="8" w:space="0"/>
              <w:right w:val="single" w:color="auto" w:sz="4" w:space="0"/>
            </w:tcBorders>
            <w:noWrap w:val="0"/>
            <w:vAlign w:val="center"/>
          </w:tcPr>
          <w:p w14:paraId="3B37ED95">
            <w:pPr>
              <w:jc w:val="center"/>
              <w:rPr>
                <w:color w:val="auto"/>
                <w:highlight w:val="none"/>
              </w:rPr>
            </w:pPr>
            <w:r>
              <w:rPr>
                <w:rFonts w:hint="eastAsia"/>
                <w:color w:val="auto"/>
                <w:highlight w:val="none"/>
              </w:rPr>
              <w:t>中控室</w:t>
            </w:r>
          </w:p>
        </w:tc>
        <w:tc>
          <w:tcPr>
            <w:tcW w:w="360" w:type="pct"/>
            <w:tcBorders>
              <w:top w:val="nil"/>
              <w:left w:val="nil"/>
              <w:bottom w:val="single" w:color="auto" w:sz="8" w:space="0"/>
              <w:right w:val="single" w:color="auto" w:sz="4" w:space="0"/>
            </w:tcBorders>
            <w:noWrap w:val="0"/>
            <w:vAlign w:val="center"/>
          </w:tcPr>
          <w:p w14:paraId="17EFF32F">
            <w:pPr>
              <w:jc w:val="center"/>
              <w:rPr>
                <w:color w:val="auto"/>
                <w:highlight w:val="none"/>
              </w:rPr>
            </w:pPr>
          </w:p>
        </w:tc>
        <w:tc>
          <w:tcPr>
            <w:tcW w:w="773" w:type="pct"/>
            <w:vMerge w:val="continue"/>
            <w:tcBorders>
              <w:left w:val="nil"/>
              <w:bottom w:val="single" w:color="auto" w:sz="8" w:space="0"/>
              <w:right w:val="single" w:color="auto" w:sz="8" w:space="0"/>
            </w:tcBorders>
            <w:noWrap w:val="0"/>
            <w:vAlign w:val="center"/>
          </w:tcPr>
          <w:p w14:paraId="35CA13D3">
            <w:pPr>
              <w:rPr>
                <w:color w:val="auto"/>
                <w:highlight w:val="none"/>
              </w:rPr>
            </w:pPr>
          </w:p>
        </w:tc>
      </w:tr>
      <w:bookmarkEnd w:id="228"/>
      <w:bookmarkEnd w:id="229"/>
      <w:bookmarkEnd w:id="230"/>
      <w:bookmarkEnd w:id="231"/>
      <w:bookmarkEnd w:id="232"/>
    </w:tbl>
    <w:p w14:paraId="3C06B658">
      <w:pPr>
        <w:spacing w:line="440" w:lineRule="atLeast"/>
        <w:rPr>
          <w:rFonts w:hint="eastAsia" w:ascii="宋体" w:hAnsi="宋体" w:cs="宋体"/>
          <w:color w:val="auto"/>
          <w:sz w:val="22"/>
          <w:szCs w:val="22"/>
          <w:highlight w:val="none"/>
        </w:rPr>
      </w:pPr>
    </w:p>
    <w:p w14:paraId="25E33BDF">
      <w:pPr>
        <w:spacing w:line="440" w:lineRule="atLeast"/>
        <w:ind w:left="109" w:hanging="330"/>
        <w:rPr>
          <w:rFonts w:hint="eastAsia"/>
          <w:b/>
          <w:color w:val="auto"/>
          <w:highlight w:val="none"/>
        </w:rPr>
      </w:pPr>
      <w:r>
        <w:rPr>
          <w:rFonts w:hint="eastAsia" w:ascii="宋体" w:hAnsi="宋体" w:cs="宋体"/>
          <w:b/>
          <w:bCs/>
          <w:color w:val="auto"/>
          <w:sz w:val="22"/>
          <w:szCs w:val="22"/>
          <w:highlight w:val="none"/>
        </w:rPr>
        <w:t>六、</w:t>
      </w:r>
      <w:r>
        <w:rPr>
          <w:rFonts w:hint="eastAsia"/>
          <w:b/>
          <w:color w:val="auto"/>
          <w:highlight w:val="none"/>
        </w:rPr>
        <w:t>项目管理考核细则：</w:t>
      </w:r>
    </w:p>
    <w:p w14:paraId="02BED686">
      <w:pPr>
        <w:pStyle w:val="26"/>
        <w:rPr>
          <w:rFonts w:hint="eastAsia"/>
          <w:color w:val="auto"/>
          <w:highlight w:val="none"/>
        </w:rPr>
      </w:pPr>
      <w:r>
        <w:rPr>
          <w:rFonts w:hint="eastAsia"/>
          <w:color w:val="auto"/>
          <w:highlight w:val="none"/>
        </w:rPr>
        <w:t>附件1：</w:t>
      </w:r>
    </w:p>
    <w:tbl>
      <w:tblPr>
        <w:tblStyle w:val="62"/>
        <w:tblW w:w="5179" w:type="pct"/>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4"/>
        <w:gridCol w:w="1133"/>
        <w:gridCol w:w="708"/>
        <w:gridCol w:w="5953"/>
        <w:gridCol w:w="710"/>
        <w:gridCol w:w="709"/>
      </w:tblGrid>
      <w:tr w14:paraId="6CAE7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87" w:type="pct"/>
            <w:noWrap w:val="0"/>
            <w:vAlign w:val="center"/>
          </w:tcPr>
          <w:p w14:paraId="260C7A16">
            <w:pPr>
              <w:jc w:val="center"/>
              <w:rPr>
                <w:rFonts w:ascii="宋体" w:hAnsi="宋体"/>
                <w:color w:val="auto"/>
                <w:highlight w:val="none"/>
              </w:rPr>
            </w:pPr>
            <w:r>
              <w:rPr>
                <w:rFonts w:hint="eastAsia" w:ascii="宋体" w:hAnsi="宋体"/>
                <w:color w:val="auto"/>
                <w:highlight w:val="none"/>
              </w:rPr>
              <w:t>评价一级指标</w:t>
            </w:r>
          </w:p>
        </w:tc>
        <w:tc>
          <w:tcPr>
            <w:tcW w:w="555" w:type="pct"/>
            <w:noWrap w:val="0"/>
            <w:vAlign w:val="center"/>
          </w:tcPr>
          <w:p w14:paraId="6FF98BEE">
            <w:pPr>
              <w:jc w:val="center"/>
              <w:rPr>
                <w:rFonts w:ascii="宋体" w:hAnsi="宋体"/>
                <w:color w:val="auto"/>
                <w:highlight w:val="none"/>
              </w:rPr>
            </w:pPr>
            <w:r>
              <w:rPr>
                <w:rFonts w:hint="eastAsia" w:ascii="宋体" w:hAnsi="宋体"/>
                <w:color w:val="auto"/>
                <w:highlight w:val="none"/>
              </w:rPr>
              <w:t>评价二级指标</w:t>
            </w:r>
          </w:p>
        </w:tc>
        <w:tc>
          <w:tcPr>
            <w:tcW w:w="347" w:type="pct"/>
            <w:noWrap w:val="0"/>
            <w:vAlign w:val="center"/>
          </w:tcPr>
          <w:p w14:paraId="46A5FEC5">
            <w:pPr>
              <w:jc w:val="center"/>
              <w:rPr>
                <w:rFonts w:ascii="宋体" w:hAnsi="宋体"/>
                <w:color w:val="auto"/>
                <w:highlight w:val="none"/>
              </w:rPr>
            </w:pPr>
            <w:r>
              <w:rPr>
                <w:rFonts w:hint="eastAsia" w:ascii="宋体" w:hAnsi="宋体"/>
                <w:color w:val="auto"/>
                <w:highlight w:val="none"/>
              </w:rPr>
              <w:t>标准分值</w:t>
            </w:r>
          </w:p>
        </w:tc>
        <w:tc>
          <w:tcPr>
            <w:tcW w:w="2916" w:type="pct"/>
            <w:noWrap w:val="0"/>
            <w:vAlign w:val="center"/>
          </w:tcPr>
          <w:p w14:paraId="4FB6BAAF">
            <w:pPr>
              <w:jc w:val="center"/>
              <w:rPr>
                <w:rFonts w:ascii="宋体" w:hAnsi="宋体"/>
                <w:color w:val="auto"/>
                <w:highlight w:val="none"/>
              </w:rPr>
            </w:pPr>
            <w:r>
              <w:rPr>
                <w:rFonts w:hint="eastAsia" w:ascii="宋体" w:hAnsi="宋体"/>
                <w:color w:val="auto"/>
                <w:highlight w:val="none"/>
              </w:rPr>
              <w:t>评分细则</w:t>
            </w:r>
          </w:p>
        </w:tc>
        <w:tc>
          <w:tcPr>
            <w:tcW w:w="348" w:type="pct"/>
            <w:noWrap w:val="0"/>
            <w:vAlign w:val="center"/>
          </w:tcPr>
          <w:p w14:paraId="559718C8">
            <w:pPr>
              <w:jc w:val="center"/>
              <w:rPr>
                <w:rFonts w:ascii="宋体" w:hAnsi="宋体"/>
                <w:color w:val="auto"/>
                <w:highlight w:val="none"/>
              </w:rPr>
            </w:pPr>
            <w:r>
              <w:rPr>
                <w:rFonts w:hint="eastAsia" w:ascii="宋体" w:hAnsi="宋体"/>
                <w:color w:val="auto"/>
                <w:highlight w:val="none"/>
              </w:rPr>
              <w:t>得分</w:t>
            </w:r>
          </w:p>
        </w:tc>
        <w:tc>
          <w:tcPr>
            <w:tcW w:w="347" w:type="pct"/>
            <w:noWrap w:val="0"/>
            <w:vAlign w:val="center"/>
          </w:tcPr>
          <w:p w14:paraId="0F281776">
            <w:pPr>
              <w:jc w:val="center"/>
              <w:rPr>
                <w:rFonts w:hint="eastAsia" w:ascii="宋体" w:hAnsi="宋体"/>
                <w:color w:val="auto"/>
                <w:highlight w:val="none"/>
              </w:rPr>
            </w:pPr>
            <w:r>
              <w:rPr>
                <w:rFonts w:hint="eastAsia" w:ascii="宋体" w:hAnsi="宋体"/>
                <w:color w:val="auto"/>
                <w:highlight w:val="none"/>
              </w:rPr>
              <w:t>扣分原因</w:t>
            </w:r>
          </w:p>
        </w:tc>
      </w:tr>
      <w:tr w14:paraId="32791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87" w:type="pct"/>
            <w:vMerge w:val="restart"/>
            <w:noWrap w:val="0"/>
            <w:vAlign w:val="center"/>
          </w:tcPr>
          <w:p w14:paraId="174C5904">
            <w:pPr>
              <w:jc w:val="center"/>
              <w:rPr>
                <w:rFonts w:ascii="宋体" w:hAnsi="宋体"/>
                <w:color w:val="auto"/>
                <w:highlight w:val="none"/>
              </w:rPr>
            </w:pPr>
            <w:r>
              <w:rPr>
                <w:rFonts w:hint="eastAsia" w:ascii="宋体" w:hAnsi="宋体"/>
                <w:color w:val="auto"/>
                <w:highlight w:val="none"/>
              </w:rPr>
              <w:t>内控制度（18分）</w:t>
            </w:r>
          </w:p>
        </w:tc>
        <w:tc>
          <w:tcPr>
            <w:tcW w:w="555" w:type="pct"/>
            <w:noWrap w:val="0"/>
            <w:vAlign w:val="center"/>
          </w:tcPr>
          <w:p w14:paraId="53974AA9">
            <w:pPr>
              <w:jc w:val="center"/>
              <w:rPr>
                <w:rFonts w:ascii="宋体" w:hAnsi="宋体"/>
                <w:color w:val="auto"/>
                <w:highlight w:val="none"/>
              </w:rPr>
            </w:pPr>
            <w:r>
              <w:rPr>
                <w:rFonts w:hint="eastAsia" w:ascii="宋体" w:hAnsi="宋体"/>
                <w:color w:val="auto"/>
                <w:highlight w:val="none"/>
              </w:rPr>
              <w:t>岗位设置</w:t>
            </w:r>
          </w:p>
        </w:tc>
        <w:tc>
          <w:tcPr>
            <w:tcW w:w="347" w:type="pct"/>
            <w:noWrap w:val="0"/>
            <w:vAlign w:val="center"/>
          </w:tcPr>
          <w:p w14:paraId="18169E50">
            <w:pPr>
              <w:jc w:val="center"/>
              <w:rPr>
                <w:rFonts w:ascii="宋体" w:hAnsi="宋体"/>
                <w:color w:val="auto"/>
                <w:highlight w:val="none"/>
              </w:rPr>
            </w:pPr>
            <w:r>
              <w:rPr>
                <w:rFonts w:hint="eastAsia" w:ascii="宋体" w:hAnsi="宋体"/>
                <w:color w:val="auto"/>
                <w:highlight w:val="none"/>
              </w:rPr>
              <w:t>4</w:t>
            </w:r>
          </w:p>
        </w:tc>
        <w:tc>
          <w:tcPr>
            <w:tcW w:w="2916" w:type="pct"/>
            <w:noWrap w:val="0"/>
            <w:vAlign w:val="center"/>
          </w:tcPr>
          <w:p w14:paraId="543C7720">
            <w:pPr>
              <w:rPr>
                <w:rFonts w:ascii="宋体" w:hAnsi="宋体"/>
                <w:color w:val="auto"/>
                <w:highlight w:val="none"/>
              </w:rPr>
            </w:pPr>
            <w:r>
              <w:rPr>
                <w:rFonts w:hint="eastAsia" w:ascii="宋体" w:hAnsi="宋体"/>
                <w:color w:val="auto"/>
                <w:highlight w:val="none"/>
              </w:rPr>
              <w:t>统管单位未配备综合管理岗、运行管理岗、计量检测岗、安装服务岗等岗位或岗位人员配置不达标的，每个岗位扣0.5分，扣完为止。</w:t>
            </w:r>
          </w:p>
        </w:tc>
        <w:tc>
          <w:tcPr>
            <w:tcW w:w="348" w:type="pct"/>
            <w:noWrap w:val="0"/>
            <w:vAlign w:val="center"/>
          </w:tcPr>
          <w:p w14:paraId="2592ABF1">
            <w:pPr>
              <w:jc w:val="center"/>
              <w:rPr>
                <w:rFonts w:ascii="宋体" w:hAnsi="宋体"/>
                <w:color w:val="auto"/>
                <w:highlight w:val="none"/>
              </w:rPr>
            </w:pPr>
          </w:p>
        </w:tc>
        <w:tc>
          <w:tcPr>
            <w:tcW w:w="347" w:type="pct"/>
            <w:noWrap w:val="0"/>
            <w:vAlign w:val="top"/>
          </w:tcPr>
          <w:p w14:paraId="37B2CFA4">
            <w:pPr>
              <w:jc w:val="center"/>
              <w:rPr>
                <w:rFonts w:ascii="宋体" w:hAnsi="宋体"/>
                <w:color w:val="auto"/>
                <w:highlight w:val="none"/>
              </w:rPr>
            </w:pPr>
          </w:p>
        </w:tc>
      </w:tr>
      <w:tr w14:paraId="64DB2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487" w:type="pct"/>
            <w:vMerge w:val="continue"/>
            <w:noWrap w:val="0"/>
            <w:vAlign w:val="center"/>
          </w:tcPr>
          <w:p w14:paraId="7A2FDB7E">
            <w:pPr>
              <w:jc w:val="center"/>
              <w:rPr>
                <w:rFonts w:ascii="宋体" w:hAnsi="宋体"/>
                <w:color w:val="auto"/>
                <w:highlight w:val="none"/>
              </w:rPr>
            </w:pPr>
          </w:p>
        </w:tc>
        <w:tc>
          <w:tcPr>
            <w:tcW w:w="555" w:type="pct"/>
            <w:noWrap w:val="0"/>
            <w:vAlign w:val="center"/>
          </w:tcPr>
          <w:p w14:paraId="7A3E2B8F">
            <w:pPr>
              <w:jc w:val="center"/>
              <w:rPr>
                <w:rFonts w:ascii="宋体" w:hAnsi="宋体"/>
                <w:color w:val="auto"/>
                <w:highlight w:val="none"/>
              </w:rPr>
            </w:pPr>
            <w:r>
              <w:rPr>
                <w:rFonts w:hint="eastAsia" w:ascii="宋体" w:hAnsi="宋体"/>
                <w:color w:val="auto"/>
                <w:highlight w:val="none"/>
              </w:rPr>
              <w:t>管理制度</w:t>
            </w:r>
          </w:p>
        </w:tc>
        <w:tc>
          <w:tcPr>
            <w:tcW w:w="347" w:type="pct"/>
            <w:noWrap w:val="0"/>
            <w:vAlign w:val="center"/>
          </w:tcPr>
          <w:p w14:paraId="7033B79D">
            <w:pPr>
              <w:jc w:val="center"/>
              <w:rPr>
                <w:rFonts w:ascii="宋体" w:hAnsi="宋体"/>
                <w:color w:val="auto"/>
                <w:highlight w:val="none"/>
              </w:rPr>
            </w:pPr>
            <w:r>
              <w:rPr>
                <w:rFonts w:hint="eastAsia" w:ascii="宋体" w:hAnsi="宋体"/>
                <w:color w:val="auto"/>
                <w:highlight w:val="none"/>
              </w:rPr>
              <w:t>4</w:t>
            </w:r>
          </w:p>
        </w:tc>
        <w:tc>
          <w:tcPr>
            <w:tcW w:w="2916" w:type="pct"/>
            <w:noWrap w:val="0"/>
            <w:vAlign w:val="center"/>
          </w:tcPr>
          <w:p w14:paraId="7294F9B6">
            <w:pPr>
              <w:rPr>
                <w:rFonts w:ascii="宋体" w:hAnsi="宋体"/>
                <w:color w:val="auto"/>
                <w:highlight w:val="none"/>
              </w:rPr>
            </w:pPr>
            <w:r>
              <w:rPr>
                <w:rFonts w:hint="eastAsia" w:ascii="宋体" w:hAnsi="宋体"/>
                <w:color w:val="auto"/>
                <w:highlight w:val="none"/>
              </w:rPr>
              <w:t>统管单位未制定工程运行管理制度的，扣2分；</w:t>
            </w:r>
            <w:r>
              <w:rPr>
                <w:rFonts w:hint="eastAsia" w:ascii="宋体" w:hAnsi="宋体"/>
                <w:color w:val="auto"/>
                <w:highlight w:val="none"/>
              </w:rPr>
              <w:br w:type="textWrapping"/>
            </w:r>
            <w:r>
              <w:rPr>
                <w:rFonts w:hint="eastAsia" w:ascii="宋体" w:hAnsi="宋体"/>
                <w:color w:val="auto"/>
                <w:highlight w:val="none"/>
              </w:rPr>
              <w:t>管理制度缺少岗位责任、运行操作、安全生产、水源保护、水质检测、维修养护、应急保供、计量收费、财务管理、培训考核等规章的，每少一项扣0.5分；</w:t>
            </w:r>
            <w:r>
              <w:rPr>
                <w:rFonts w:hint="eastAsia" w:ascii="宋体" w:hAnsi="宋体"/>
                <w:color w:val="auto"/>
                <w:highlight w:val="none"/>
              </w:rPr>
              <w:br w:type="textWrapping"/>
            </w:r>
            <w:r>
              <w:rPr>
                <w:rFonts w:hint="eastAsia" w:ascii="宋体" w:hAnsi="宋体"/>
                <w:color w:val="auto"/>
                <w:highlight w:val="none"/>
              </w:rPr>
              <w:t>乡镇水厂未单独编制保供制度的，每座扣1分，扣完为止。</w:t>
            </w:r>
          </w:p>
        </w:tc>
        <w:tc>
          <w:tcPr>
            <w:tcW w:w="348" w:type="pct"/>
            <w:noWrap w:val="0"/>
            <w:vAlign w:val="center"/>
          </w:tcPr>
          <w:p w14:paraId="494F8C42">
            <w:pPr>
              <w:jc w:val="center"/>
              <w:rPr>
                <w:rFonts w:ascii="宋体" w:hAnsi="宋体"/>
                <w:color w:val="auto"/>
                <w:highlight w:val="none"/>
              </w:rPr>
            </w:pPr>
          </w:p>
        </w:tc>
        <w:tc>
          <w:tcPr>
            <w:tcW w:w="347" w:type="pct"/>
            <w:noWrap w:val="0"/>
            <w:vAlign w:val="top"/>
          </w:tcPr>
          <w:p w14:paraId="0DEA2C65">
            <w:pPr>
              <w:jc w:val="center"/>
              <w:rPr>
                <w:rFonts w:ascii="宋体" w:hAnsi="宋体"/>
                <w:color w:val="auto"/>
                <w:highlight w:val="none"/>
              </w:rPr>
            </w:pPr>
          </w:p>
        </w:tc>
      </w:tr>
      <w:tr w14:paraId="1CC50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487" w:type="pct"/>
            <w:vMerge w:val="continue"/>
            <w:noWrap w:val="0"/>
            <w:vAlign w:val="center"/>
          </w:tcPr>
          <w:p w14:paraId="19B521C0">
            <w:pPr>
              <w:jc w:val="center"/>
              <w:rPr>
                <w:rFonts w:ascii="宋体" w:hAnsi="宋体"/>
                <w:color w:val="auto"/>
                <w:highlight w:val="none"/>
              </w:rPr>
            </w:pPr>
          </w:p>
        </w:tc>
        <w:tc>
          <w:tcPr>
            <w:tcW w:w="555" w:type="pct"/>
            <w:noWrap w:val="0"/>
            <w:vAlign w:val="center"/>
          </w:tcPr>
          <w:p w14:paraId="4F98143F">
            <w:pPr>
              <w:jc w:val="center"/>
              <w:rPr>
                <w:rFonts w:ascii="宋体" w:hAnsi="宋体"/>
                <w:color w:val="auto"/>
                <w:highlight w:val="none"/>
              </w:rPr>
            </w:pPr>
            <w:r>
              <w:rPr>
                <w:rFonts w:hint="eastAsia" w:ascii="宋体" w:hAnsi="宋体"/>
                <w:color w:val="auto"/>
                <w:highlight w:val="none"/>
              </w:rPr>
              <w:t>应急预案</w:t>
            </w:r>
          </w:p>
        </w:tc>
        <w:tc>
          <w:tcPr>
            <w:tcW w:w="347" w:type="pct"/>
            <w:noWrap w:val="0"/>
            <w:vAlign w:val="center"/>
          </w:tcPr>
          <w:p w14:paraId="2F6C0B14">
            <w:pPr>
              <w:jc w:val="center"/>
              <w:rPr>
                <w:rFonts w:ascii="宋体" w:hAnsi="宋体"/>
                <w:color w:val="auto"/>
                <w:highlight w:val="none"/>
              </w:rPr>
            </w:pPr>
            <w:r>
              <w:rPr>
                <w:rFonts w:hint="eastAsia" w:ascii="宋体" w:hAnsi="宋体"/>
                <w:color w:val="auto"/>
                <w:highlight w:val="none"/>
              </w:rPr>
              <w:t>4</w:t>
            </w:r>
          </w:p>
        </w:tc>
        <w:tc>
          <w:tcPr>
            <w:tcW w:w="2916" w:type="pct"/>
            <w:noWrap w:val="0"/>
            <w:vAlign w:val="center"/>
          </w:tcPr>
          <w:p w14:paraId="6ECE0CE6">
            <w:pPr>
              <w:rPr>
                <w:rFonts w:ascii="宋体" w:hAnsi="宋体"/>
                <w:color w:val="auto"/>
                <w:highlight w:val="none"/>
              </w:rPr>
            </w:pPr>
            <w:r>
              <w:rPr>
                <w:rFonts w:hint="eastAsia" w:ascii="宋体" w:hAnsi="宋体"/>
                <w:color w:val="auto"/>
                <w:highlight w:val="none"/>
              </w:rPr>
              <w:t>统管单位未制定应急预案的扣2分；</w:t>
            </w:r>
            <w:r>
              <w:rPr>
                <w:rFonts w:hint="eastAsia" w:ascii="宋体" w:hAnsi="宋体"/>
                <w:color w:val="auto"/>
                <w:highlight w:val="none"/>
              </w:rPr>
              <w:br w:type="textWrapping"/>
            </w:r>
            <w:r>
              <w:rPr>
                <w:rFonts w:hint="eastAsia" w:ascii="宋体" w:hAnsi="宋体"/>
                <w:color w:val="auto"/>
                <w:highlight w:val="none"/>
              </w:rPr>
              <w:t>年度未开展应急演练的扣2分。</w:t>
            </w:r>
          </w:p>
        </w:tc>
        <w:tc>
          <w:tcPr>
            <w:tcW w:w="348" w:type="pct"/>
            <w:noWrap w:val="0"/>
            <w:vAlign w:val="center"/>
          </w:tcPr>
          <w:p w14:paraId="0BFC1D1B">
            <w:pPr>
              <w:jc w:val="center"/>
              <w:rPr>
                <w:rFonts w:ascii="宋体" w:hAnsi="宋体"/>
                <w:color w:val="auto"/>
                <w:highlight w:val="none"/>
              </w:rPr>
            </w:pPr>
          </w:p>
        </w:tc>
        <w:tc>
          <w:tcPr>
            <w:tcW w:w="347" w:type="pct"/>
            <w:noWrap w:val="0"/>
            <w:vAlign w:val="top"/>
          </w:tcPr>
          <w:p w14:paraId="442DA099">
            <w:pPr>
              <w:jc w:val="center"/>
              <w:rPr>
                <w:rFonts w:ascii="宋体" w:hAnsi="宋体"/>
                <w:color w:val="auto"/>
                <w:highlight w:val="none"/>
              </w:rPr>
            </w:pPr>
          </w:p>
        </w:tc>
      </w:tr>
      <w:tr w14:paraId="63026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487" w:type="pct"/>
            <w:vMerge w:val="continue"/>
            <w:noWrap w:val="0"/>
            <w:vAlign w:val="center"/>
          </w:tcPr>
          <w:p w14:paraId="0752138B">
            <w:pPr>
              <w:jc w:val="center"/>
              <w:rPr>
                <w:rFonts w:ascii="宋体" w:hAnsi="宋体"/>
                <w:color w:val="auto"/>
                <w:highlight w:val="none"/>
              </w:rPr>
            </w:pPr>
          </w:p>
        </w:tc>
        <w:tc>
          <w:tcPr>
            <w:tcW w:w="555" w:type="pct"/>
            <w:noWrap w:val="0"/>
            <w:vAlign w:val="center"/>
          </w:tcPr>
          <w:p w14:paraId="605CFFA0">
            <w:pPr>
              <w:jc w:val="center"/>
              <w:rPr>
                <w:rFonts w:ascii="宋体" w:hAnsi="宋体"/>
                <w:color w:val="auto"/>
                <w:highlight w:val="none"/>
              </w:rPr>
            </w:pPr>
            <w:r>
              <w:rPr>
                <w:rFonts w:hint="eastAsia" w:ascii="宋体" w:hAnsi="宋体"/>
                <w:color w:val="auto"/>
                <w:highlight w:val="none"/>
              </w:rPr>
              <w:t>人员要求</w:t>
            </w:r>
          </w:p>
        </w:tc>
        <w:tc>
          <w:tcPr>
            <w:tcW w:w="347" w:type="pct"/>
            <w:noWrap w:val="0"/>
            <w:vAlign w:val="center"/>
          </w:tcPr>
          <w:p w14:paraId="3CBD2FA5">
            <w:pPr>
              <w:jc w:val="center"/>
              <w:rPr>
                <w:rFonts w:ascii="宋体" w:hAnsi="宋体"/>
                <w:color w:val="auto"/>
                <w:highlight w:val="none"/>
              </w:rPr>
            </w:pPr>
            <w:r>
              <w:rPr>
                <w:rFonts w:hint="eastAsia" w:ascii="宋体" w:hAnsi="宋体"/>
                <w:color w:val="auto"/>
                <w:highlight w:val="none"/>
              </w:rPr>
              <w:t>4</w:t>
            </w:r>
          </w:p>
        </w:tc>
        <w:tc>
          <w:tcPr>
            <w:tcW w:w="2916" w:type="pct"/>
            <w:noWrap w:val="0"/>
            <w:vAlign w:val="center"/>
          </w:tcPr>
          <w:p w14:paraId="50C9ACF2">
            <w:pPr>
              <w:rPr>
                <w:rFonts w:ascii="宋体" w:hAnsi="宋体"/>
                <w:color w:val="auto"/>
                <w:highlight w:val="none"/>
              </w:rPr>
            </w:pPr>
            <w:r>
              <w:rPr>
                <w:rFonts w:hint="eastAsia" w:ascii="宋体" w:hAnsi="宋体"/>
                <w:color w:val="auto"/>
                <w:highlight w:val="none"/>
              </w:rPr>
              <w:t>专业岗位人员未取得行业职业资格或专业技术资格的，每项扣1分；未制定培训计划的，扣1分；未开展员工培训的，扣2分;扣完为止。</w:t>
            </w:r>
          </w:p>
        </w:tc>
        <w:tc>
          <w:tcPr>
            <w:tcW w:w="348" w:type="pct"/>
            <w:noWrap w:val="0"/>
            <w:vAlign w:val="center"/>
          </w:tcPr>
          <w:p w14:paraId="082DFADA">
            <w:pPr>
              <w:jc w:val="center"/>
              <w:rPr>
                <w:rFonts w:ascii="宋体" w:hAnsi="宋体"/>
                <w:color w:val="auto"/>
                <w:highlight w:val="none"/>
              </w:rPr>
            </w:pPr>
          </w:p>
        </w:tc>
        <w:tc>
          <w:tcPr>
            <w:tcW w:w="347" w:type="pct"/>
            <w:noWrap w:val="0"/>
            <w:vAlign w:val="top"/>
          </w:tcPr>
          <w:p w14:paraId="4A374079">
            <w:pPr>
              <w:jc w:val="center"/>
              <w:rPr>
                <w:rFonts w:ascii="宋体" w:hAnsi="宋体"/>
                <w:color w:val="auto"/>
                <w:highlight w:val="none"/>
              </w:rPr>
            </w:pPr>
          </w:p>
        </w:tc>
      </w:tr>
      <w:tr w14:paraId="6ABB8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continue"/>
            <w:noWrap w:val="0"/>
            <w:vAlign w:val="center"/>
          </w:tcPr>
          <w:p w14:paraId="50363F9A">
            <w:pPr>
              <w:jc w:val="center"/>
              <w:rPr>
                <w:rFonts w:ascii="宋体" w:hAnsi="宋体"/>
                <w:color w:val="auto"/>
                <w:highlight w:val="none"/>
              </w:rPr>
            </w:pPr>
          </w:p>
        </w:tc>
        <w:tc>
          <w:tcPr>
            <w:tcW w:w="555" w:type="pct"/>
            <w:noWrap w:val="0"/>
            <w:vAlign w:val="center"/>
          </w:tcPr>
          <w:p w14:paraId="42FFA9D1">
            <w:pPr>
              <w:jc w:val="center"/>
              <w:rPr>
                <w:rFonts w:ascii="宋体" w:hAnsi="宋体"/>
                <w:color w:val="auto"/>
                <w:highlight w:val="none"/>
              </w:rPr>
            </w:pPr>
            <w:r>
              <w:rPr>
                <w:rFonts w:hint="eastAsia" w:ascii="宋体" w:hAnsi="宋体"/>
                <w:color w:val="auto"/>
                <w:highlight w:val="none"/>
              </w:rPr>
              <w:t>管理档案</w:t>
            </w:r>
          </w:p>
        </w:tc>
        <w:tc>
          <w:tcPr>
            <w:tcW w:w="347" w:type="pct"/>
            <w:noWrap w:val="0"/>
            <w:vAlign w:val="center"/>
          </w:tcPr>
          <w:p w14:paraId="49F394FF">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3C3DDDEE">
            <w:pPr>
              <w:rPr>
                <w:rFonts w:ascii="宋体" w:hAnsi="宋体"/>
                <w:color w:val="auto"/>
                <w:highlight w:val="none"/>
              </w:rPr>
            </w:pPr>
            <w:r>
              <w:rPr>
                <w:rFonts w:hint="eastAsia" w:ascii="宋体" w:hAnsi="宋体"/>
                <w:color w:val="auto"/>
                <w:highlight w:val="none"/>
              </w:rPr>
              <w:t>统管单位未对水厂（站）实施全生命安全周期管理，建立全过程档案的，扣1分；对供水工程更新不及时的，发现一处扣0.5分，扣完为止。</w:t>
            </w:r>
          </w:p>
        </w:tc>
        <w:tc>
          <w:tcPr>
            <w:tcW w:w="348" w:type="pct"/>
            <w:noWrap w:val="0"/>
            <w:vAlign w:val="center"/>
          </w:tcPr>
          <w:p w14:paraId="3FA75FAF">
            <w:pPr>
              <w:jc w:val="center"/>
              <w:rPr>
                <w:rFonts w:ascii="宋体" w:hAnsi="宋体"/>
                <w:color w:val="auto"/>
                <w:highlight w:val="none"/>
              </w:rPr>
            </w:pPr>
          </w:p>
        </w:tc>
        <w:tc>
          <w:tcPr>
            <w:tcW w:w="347" w:type="pct"/>
            <w:noWrap w:val="0"/>
            <w:vAlign w:val="top"/>
          </w:tcPr>
          <w:p w14:paraId="454E106B">
            <w:pPr>
              <w:jc w:val="center"/>
              <w:rPr>
                <w:rFonts w:ascii="宋体" w:hAnsi="宋体"/>
                <w:color w:val="auto"/>
                <w:highlight w:val="none"/>
              </w:rPr>
            </w:pPr>
          </w:p>
        </w:tc>
      </w:tr>
      <w:tr w14:paraId="197D2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487" w:type="pct"/>
            <w:vMerge w:val="restart"/>
            <w:noWrap w:val="0"/>
            <w:vAlign w:val="center"/>
          </w:tcPr>
          <w:p w14:paraId="5C732C06">
            <w:pPr>
              <w:jc w:val="center"/>
              <w:rPr>
                <w:rFonts w:ascii="宋体" w:hAnsi="宋体"/>
                <w:color w:val="auto"/>
                <w:highlight w:val="none"/>
              </w:rPr>
            </w:pPr>
            <w:r>
              <w:rPr>
                <w:rFonts w:hint="eastAsia" w:ascii="宋体" w:hAnsi="宋体"/>
                <w:color w:val="auto"/>
                <w:highlight w:val="none"/>
              </w:rPr>
              <w:t>水源管理（13分）</w:t>
            </w:r>
          </w:p>
        </w:tc>
        <w:tc>
          <w:tcPr>
            <w:tcW w:w="555" w:type="pct"/>
            <w:noWrap w:val="0"/>
            <w:vAlign w:val="center"/>
          </w:tcPr>
          <w:p w14:paraId="3EA537E6">
            <w:pPr>
              <w:jc w:val="center"/>
              <w:rPr>
                <w:rFonts w:ascii="宋体" w:hAnsi="宋体"/>
                <w:color w:val="auto"/>
                <w:highlight w:val="none"/>
              </w:rPr>
            </w:pPr>
            <w:r>
              <w:rPr>
                <w:rFonts w:hint="eastAsia" w:ascii="宋体" w:hAnsi="宋体"/>
                <w:color w:val="auto"/>
                <w:highlight w:val="none"/>
              </w:rPr>
              <w:t>水源配备</w:t>
            </w:r>
          </w:p>
        </w:tc>
        <w:tc>
          <w:tcPr>
            <w:tcW w:w="347" w:type="pct"/>
            <w:noWrap w:val="0"/>
            <w:vAlign w:val="center"/>
          </w:tcPr>
          <w:p w14:paraId="3977D911">
            <w:pPr>
              <w:jc w:val="center"/>
              <w:rPr>
                <w:rFonts w:ascii="宋体" w:hAnsi="宋体"/>
                <w:color w:val="auto"/>
                <w:highlight w:val="none"/>
              </w:rPr>
            </w:pPr>
            <w:r>
              <w:rPr>
                <w:rFonts w:hint="eastAsia" w:ascii="宋体" w:hAnsi="宋体"/>
                <w:color w:val="auto"/>
                <w:highlight w:val="none"/>
              </w:rPr>
              <w:t>5</w:t>
            </w:r>
          </w:p>
        </w:tc>
        <w:tc>
          <w:tcPr>
            <w:tcW w:w="2916" w:type="pct"/>
            <w:noWrap w:val="0"/>
            <w:vAlign w:val="center"/>
          </w:tcPr>
          <w:p w14:paraId="1AC4475C">
            <w:pPr>
              <w:rPr>
                <w:rFonts w:ascii="宋体" w:hAnsi="宋体"/>
                <w:color w:val="auto"/>
                <w:highlight w:val="none"/>
              </w:rPr>
            </w:pPr>
            <w:r>
              <w:rPr>
                <w:rFonts w:hint="eastAsia" w:ascii="宋体" w:hAnsi="宋体"/>
                <w:color w:val="auto"/>
                <w:highlight w:val="none"/>
              </w:rPr>
              <w:t>千人以上水厂配备1处备用水源的得3分，否则按比例得分；</w:t>
            </w:r>
            <w:r>
              <w:rPr>
                <w:rFonts w:hint="eastAsia" w:ascii="宋体" w:hAnsi="宋体"/>
                <w:color w:val="auto"/>
                <w:highlight w:val="none"/>
              </w:rPr>
              <w:br w:type="textWrapping"/>
            </w:r>
            <w:r>
              <w:rPr>
                <w:rFonts w:hint="eastAsia" w:ascii="宋体" w:hAnsi="宋体"/>
                <w:color w:val="auto"/>
                <w:highlight w:val="none"/>
              </w:rPr>
              <w:t>乡镇水厂配备不少于主水源可用水量20%以上、以山塘水库为备用水源的得2分，否则按比例得分。</w:t>
            </w:r>
          </w:p>
        </w:tc>
        <w:tc>
          <w:tcPr>
            <w:tcW w:w="348" w:type="pct"/>
            <w:noWrap w:val="0"/>
            <w:vAlign w:val="center"/>
          </w:tcPr>
          <w:p w14:paraId="41A3BBA7">
            <w:pPr>
              <w:jc w:val="center"/>
              <w:rPr>
                <w:rFonts w:ascii="宋体" w:hAnsi="宋体"/>
                <w:color w:val="auto"/>
                <w:highlight w:val="none"/>
              </w:rPr>
            </w:pPr>
          </w:p>
        </w:tc>
        <w:tc>
          <w:tcPr>
            <w:tcW w:w="347" w:type="pct"/>
            <w:noWrap w:val="0"/>
            <w:vAlign w:val="top"/>
          </w:tcPr>
          <w:p w14:paraId="67B92287">
            <w:pPr>
              <w:jc w:val="center"/>
              <w:rPr>
                <w:rFonts w:ascii="宋体" w:hAnsi="宋体"/>
                <w:color w:val="auto"/>
                <w:highlight w:val="none"/>
              </w:rPr>
            </w:pPr>
          </w:p>
        </w:tc>
      </w:tr>
      <w:tr w14:paraId="1F7AC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487" w:type="pct"/>
            <w:vMerge w:val="continue"/>
            <w:noWrap w:val="0"/>
            <w:vAlign w:val="center"/>
          </w:tcPr>
          <w:p w14:paraId="1BB0073D">
            <w:pPr>
              <w:jc w:val="center"/>
              <w:rPr>
                <w:rFonts w:ascii="宋体" w:hAnsi="宋体"/>
                <w:color w:val="auto"/>
                <w:highlight w:val="none"/>
              </w:rPr>
            </w:pPr>
          </w:p>
        </w:tc>
        <w:tc>
          <w:tcPr>
            <w:tcW w:w="555" w:type="pct"/>
            <w:noWrap w:val="0"/>
            <w:vAlign w:val="center"/>
          </w:tcPr>
          <w:p w14:paraId="4F0E0BC3">
            <w:pPr>
              <w:jc w:val="center"/>
              <w:rPr>
                <w:rFonts w:ascii="宋体" w:hAnsi="宋体"/>
                <w:color w:val="auto"/>
                <w:highlight w:val="none"/>
              </w:rPr>
            </w:pPr>
            <w:r>
              <w:rPr>
                <w:rFonts w:hint="eastAsia" w:ascii="宋体" w:hAnsi="宋体"/>
                <w:color w:val="auto"/>
                <w:highlight w:val="none"/>
              </w:rPr>
              <w:t>水源保护</w:t>
            </w:r>
          </w:p>
        </w:tc>
        <w:tc>
          <w:tcPr>
            <w:tcW w:w="347" w:type="pct"/>
            <w:noWrap w:val="0"/>
            <w:vAlign w:val="center"/>
          </w:tcPr>
          <w:p w14:paraId="6760C0C9">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6AC91BB6">
            <w:pPr>
              <w:rPr>
                <w:rFonts w:ascii="宋体" w:hAnsi="宋体"/>
                <w:color w:val="auto"/>
                <w:highlight w:val="none"/>
              </w:rPr>
            </w:pPr>
            <w:r>
              <w:rPr>
                <w:rFonts w:hint="eastAsia" w:ascii="宋体" w:hAnsi="宋体"/>
                <w:color w:val="auto"/>
                <w:highlight w:val="none"/>
              </w:rPr>
              <w:t>协助完成农村供水工程水源保护区或保护范围划定和建设工作得2分，否则按比例得分。</w:t>
            </w:r>
          </w:p>
        </w:tc>
        <w:tc>
          <w:tcPr>
            <w:tcW w:w="348" w:type="pct"/>
            <w:noWrap w:val="0"/>
            <w:vAlign w:val="center"/>
          </w:tcPr>
          <w:p w14:paraId="6EDD0811">
            <w:pPr>
              <w:jc w:val="center"/>
              <w:rPr>
                <w:rFonts w:ascii="宋体" w:hAnsi="宋体"/>
                <w:color w:val="auto"/>
                <w:highlight w:val="none"/>
              </w:rPr>
            </w:pPr>
          </w:p>
        </w:tc>
        <w:tc>
          <w:tcPr>
            <w:tcW w:w="347" w:type="pct"/>
            <w:noWrap w:val="0"/>
            <w:vAlign w:val="top"/>
          </w:tcPr>
          <w:p w14:paraId="6DD77740">
            <w:pPr>
              <w:jc w:val="center"/>
              <w:rPr>
                <w:rFonts w:ascii="宋体" w:hAnsi="宋体"/>
                <w:color w:val="auto"/>
                <w:highlight w:val="none"/>
              </w:rPr>
            </w:pPr>
          </w:p>
        </w:tc>
      </w:tr>
      <w:tr w14:paraId="538F7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487" w:type="pct"/>
            <w:vMerge w:val="continue"/>
            <w:noWrap w:val="0"/>
            <w:vAlign w:val="center"/>
          </w:tcPr>
          <w:p w14:paraId="126456E9">
            <w:pPr>
              <w:jc w:val="center"/>
              <w:rPr>
                <w:rFonts w:ascii="宋体" w:hAnsi="宋体"/>
                <w:color w:val="auto"/>
                <w:highlight w:val="none"/>
              </w:rPr>
            </w:pPr>
          </w:p>
        </w:tc>
        <w:tc>
          <w:tcPr>
            <w:tcW w:w="555" w:type="pct"/>
            <w:noWrap w:val="0"/>
            <w:vAlign w:val="center"/>
          </w:tcPr>
          <w:p w14:paraId="412BA408">
            <w:pPr>
              <w:jc w:val="center"/>
              <w:rPr>
                <w:rFonts w:ascii="宋体" w:hAnsi="宋体"/>
                <w:color w:val="auto"/>
                <w:highlight w:val="none"/>
              </w:rPr>
            </w:pPr>
            <w:r>
              <w:rPr>
                <w:rFonts w:hint="eastAsia" w:ascii="宋体" w:hAnsi="宋体"/>
                <w:color w:val="auto"/>
                <w:highlight w:val="none"/>
              </w:rPr>
              <w:t>水源水质</w:t>
            </w:r>
          </w:p>
        </w:tc>
        <w:tc>
          <w:tcPr>
            <w:tcW w:w="347" w:type="pct"/>
            <w:noWrap w:val="0"/>
            <w:vAlign w:val="center"/>
          </w:tcPr>
          <w:p w14:paraId="6CC87959">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6D184224">
            <w:pPr>
              <w:rPr>
                <w:rFonts w:ascii="宋体" w:hAnsi="宋体"/>
                <w:color w:val="auto"/>
                <w:highlight w:val="none"/>
              </w:rPr>
            </w:pPr>
            <w:r>
              <w:rPr>
                <w:rFonts w:hint="eastAsia" w:ascii="宋体" w:hAnsi="宋体"/>
                <w:color w:val="auto"/>
                <w:highlight w:val="none"/>
              </w:rPr>
              <w:t>水源水质不符合国家标准的，每处扣2分；当水源水质不符合要求，而限于条件需加以利用时，水厂（站）配备的处理设施设备后，经净化达到《生活饮用水卫生标准》(GB 5749-2022)的，扣0.5分，扣完为止。</w:t>
            </w:r>
          </w:p>
        </w:tc>
        <w:tc>
          <w:tcPr>
            <w:tcW w:w="348" w:type="pct"/>
            <w:noWrap w:val="0"/>
            <w:vAlign w:val="center"/>
          </w:tcPr>
          <w:p w14:paraId="34B802D2">
            <w:pPr>
              <w:jc w:val="center"/>
              <w:rPr>
                <w:rFonts w:ascii="宋体" w:hAnsi="宋体"/>
                <w:color w:val="auto"/>
                <w:highlight w:val="none"/>
              </w:rPr>
            </w:pPr>
          </w:p>
        </w:tc>
        <w:tc>
          <w:tcPr>
            <w:tcW w:w="347" w:type="pct"/>
            <w:noWrap w:val="0"/>
            <w:vAlign w:val="top"/>
          </w:tcPr>
          <w:p w14:paraId="174B618F">
            <w:pPr>
              <w:jc w:val="center"/>
              <w:rPr>
                <w:rFonts w:ascii="宋体" w:hAnsi="宋体"/>
                <w:color w:val="auto"/>
                <w:highlight w:val="none"/>
              </w:rPr>
            </w:pPr>
          </w:p>
        </w:tc>
      </w:tr>
      <w:tr w14:paraId="5076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87" w:type="pct"/>
            <w:vMerge w:val="continue"/>
            <w:noWrap w:val="0"/>
            <w:vAlign w:val="center"/>
          </w:tcPr>
          <w:p w14:paraId="34B069A0">
            <w:pPr>
              <w:jc w:val="center"/>
              <w:rPr>
                <w:rFonts w:ascii="宋体" w:hAnsi="宋体"/>
                <w:color w:val="auto"/>
                <w:highlight w:val="none"/>
              </w:rPr>
            </w:pPr>
          </w:p>
        </w:tc>
        <w:tc>
          <w:tcPr>
            <w:tcW w:w="555" w:type="pct"/>
            <w:noWrap w:val="0"/>
            <w:vAlign w:val="center"/>
          </w:tcPr>
          <w:p w14:paraId="1522095F">
            <w:pPr>
              <w:jc w:val="center"/>
              <w:rPr>
                <w:rFonts w:ascii="宋体" w:hAnsi="宋体"/>
                <w:color w:val="auto"/>
                <w:highlight w:val="none"/>
              </w:rPr>
            </w:pPr>
            <w:r>
              <w:rPr>
                <w:rFonts w:hint="eastAsia" w:ascii="宋体" w:hAnsi="宋体"/>
                <w:color w:val="auto"/>
                <w:highlight w:val="none"/>
              </w:rPr>
              <w:t>水源管理</w:t>
            </w:r>
          </w:p>
        </w:tc>
        <w:tc>
          <w:tcPr>
            <w:tcW w:w="347" w:type="pct"/>
            <w:noWrap w:val="0"/>
            <w:vAlign w:val="center"/>
          </w:tcPr>
          <w:p w14:paraId="254C06CE">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7DA3BF1B">
            <w:pPr>
              <w:rPr>
                <w:rFonts w:ascii="宋体" w:hAnsi="宋体"/>
                <w:color w:val="auto"/>
                <w:highlight w:val="none"/>
              </w:rPr>
            </w:pPr>
            <w:r>
              <w:rPr>
                <w:rFonts w:hint="eastAsia" w:ascii="宋体" w:hAnsi="宋体"/>
                <w:color w:val="auto"/>
                <w:highlight w:val="none"/>
              </w:rPr>
              <w:t>未按照每月不少于1次的频次开展水源地巡查的，每处每月扣0.2分，扣完为止。</w:t>
            </w:r>
          </w:p>
        </w:tc>
        <w:tc>
          <w:tcPr>
            <w:tcW w:w="348" w:type="pct"/>
            <w:noWrap w:val="0"/>
            <w:vAlign w:val="center"/>
          </w:tcPr>
          <w:p w14:paraId="6DFAB886">
            <w:pPr>
              <w:jc w:val="center"/>
              <w:rPr>
                <w:rFonts w:ascii="宋体" w:hAnsi="宋体"/>
                <w:color w:val="auto"/>
                <w:highlight w:val="none"/>
              </w:rPr>
            </w:pPr>
          </w:p>
        </w:tc>
        <w:tc>
          <w:tcPr>
            <w:tcW w:w="347" w:type="pct"/>
            <w:noWrap w:val="0"/>
            <w:vAlign w:val="top"/>
          </w:tcPr>
          <w:p w14:paraId="1B4F4969">
            <w:pPr>
              <w:jc w:val="center"/>
              <w:rPr>
                <w:rFonts w:ascii="宋体" w:hAnsi="宋体"/>
                <w:color w:val="auto"/>
                <w:highlight w:val="none"/>
              </w:rPr>
            </w:pPr>
          </w:p>
        </w:tc>
      </w:tr>
      <w:tr w14:paraId="78C15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trPr>
        <w:tc>
          <w:tcPr>
            <w:tcW w:w="487" w:type="pct"/>
            <w:vMerge w:val="restart"/>
            <w:noWrap w:val="0"/>
            <w:vAlign w:val="center"/>
          </w:tcPr>
          <w:p w14:paraId="7276E065">
            <w:pPr>
              <w:jc w:val="center"/>
              <w:rPr>
                <w:rFonts w:ascii="宋体" w:hAnsi="宋体"/>
                <w:color w:val="auto"/>
                <w:highlight w:val="none"/>
              </w:rPr>
            </w:pPr>
            <w:r>
              <w:rPr>
                <w:rFonts w:hint="eastAsia" w:ascii="宋体" w:hAnsi="宋体"/>
                <w:color w:val="auto"/>
                <w:highlight w:val="none"/>
              </w:rPr>
              <w:t>水厂（站）管理（18分）</w:t>
            </w:r>
          </w:p>
        </w:tc>
        <w:tc>
          <w:tcPr>
            <w:tcW w:w="555" w:type="pct"/>
            <w:noWrap w:val="0"/>
            <w:vAlign w:val="center"/>
          </w:tcPr>
          <w:p w14:paraId="5E03FFF6">
            <w:pPr>
              <w:jc w:val="center"/>
              <w:rPr>
                <w:rFonts w:ascii="宋体" w:hAnsi="宋体"/>
                <w:color w:val="auto"/>
                <w:highlight w:val="none"/>
              </w:rPr>
            </w:pPr>
            <w:r>
              <w:rPr>
                <w:rFonts w:hint="eastAsia" w:ascii="宋体" w:hAnsi="宋体"/>
                <w:color w:val="auto"/>
                <w:highlight w:val="none"/>
              </w:rPr>
              <w:t>水厂巡查</w:t>
            </w:r>
          </w:p>
        </w:tc>
        <w:tc>
          <w:tcPr>
            <w:tcW w:w="347" w:type="pct"/>
            <w:noWrap w:val="0"/>
            <w:vAlign w:val="center"/>
          </w:tcPr>
          <w:p w14:paraId="21A31181">
            <w:pPr>
              <w:jc w:val="center"/>
              <w:rPr>
                <w:rFonts w:ascii="宋体" w:hAnsi="宋体"/>
                <w:color w:val="auto"/>
                <w:highlight w:val="none"/>
              </w:rPr>
            </w:pPr>
            <w:r>
              <w:rPr>
                <w:rFonts w:hint="eastAsia" w:ascii="宋体" w:hAnsi="宋体"/>
                <w:color w:val="auto"/>
                <w:highlight w:val="none"/>
              </w:rPr>
              <w:t>5</w:t>
            </w:r>
          </w:p>
        </w:tc>
        <w:tc>
          <w:tcPr>
            <w:tcW w:w="2916" w:type="pct"/>
            <w:noWrap w:val="0"/>
            <w:vAlign w:val="center"/>
          </w:tcPr>
          <w:p w14:paraId="6FA20776">
            <w:pPr>
              <w:rPr>
                <w:rFonts w:hint="eastAsia" w:ascii="宋体" w:hAnsi="宋体"/>
                <w:color w:val="auto"/>
                <w:highlight w:val="none"/>
              </w:rPr>
            </w:pPr>
            <w:r>
              <w:rPr>
                <w:rFonts w:hint="eastAsia" w:ascii="宋体" w:hAnsi="宋体"/>
                <w:color w:val="auto"/>
                <w:highlight w:val="none"/>
              </w:rPr>
              <w:t>统管单位未制定水厂（站）巡查制度以及巡查路线的，扣2分；</w:t>
            </w:r>
            <w:r>
              <w:rPr>
                <w:rFonts w:hint="eastAsia" w:ascii="宋体" w:hAnsi="宋体"/>
                <w:color w:val="auto"/>
                <w:highlight w:val="none"/>
              </w:rPr>
              <w:br w:type="textWrapping"/>
            </w:r>
            <w:r>
              <w:rPr>
                <w:rFonts w:hint="eastAsia" w:ascii="宋体" w:hAnsi="宋体"/>
                <w:color w:val="auto"/>
                <w:highlight w:val="none"/>
              </w:rPr>
              <w:t>乡镇水厂未实行24小时值班制度，且每日巡查不足3次的，每座扣1分；</w:t>
            </w:r>
          </w:p>
          <w:p w14:paraId="7D424F24">
            <w:pPr>
              <w:rPr>
                <w:rFonts w:hint="eastAsia" w:ascii="宋体" w:hAnsi="宋体"/>
                <w:color w:val="auto"/>
                <w:highlight w:val="none"/>
              </w:rPr>
            </w:pPr>
            <w:r>
              <w:rPr>
                <w:rFonts w:hint="eastAsia" w:ascii="宋体" w:hAnsi="宋体"/>
                <w:color w:val="auto"/>
                <w:highlight w:val="none"/>
              </w:rPr>
              <w:t>联村单村水站每周未至少巡查1次的，每座扣0.5分；</w:t>
            </w:r>
          </w:p>
          <w:p w14:paraId="7C55BBF9">
            <w:pPr>
              <w:rPr>
                <w:rFonts w:ascii="宋体" w:hAnsi="宋体"/>
                <w:color w:val="auto"/>
                <w:highlight w:val="none"/>
              </w:rPr>
            </w:pPr>
            <w:r>
              <w:rPr>
                <w:rFonts w:hint="eastAsia" w:ascii="宋体" w:hAnsi="宋体"/>
                <w:color w:val="auto"/>
                <w:highlight w:val="none"/>
              </w:rPr>
              <w:t>发现问题未及时上报处理，并如实记录相关情况的，每处扣1分，扣完为止。</w:t>
            </w:r>
          </w:p>
        </w:tc>
        <w:tc>
          <w:tcPr>
            <w:tcW w:w="348" w:type="pct"/>
            <w:noWrap w:val="0"/>
            <w:vAlign w:val="center"/>
          </w:tcPr>
          <w:p w14:paraId="0B5F91CD">
            <w:pPr>
              <w:jc w:val="center"/>
              <w:rPr>
                <w:rFonts w:ascii="宋体" w:hAnsi="宋体"/>
                <w:color w:val="auto"/>
                <w:highlight w:val="none"/>
              </w:rPr>
            </w:pPr>
          </w:p>
        </w:tc>
        <w:tc>
          <w:tcPr>
            <w:tcW w:w="347" w:type="pct"/>
            <w:noWrap w:val="0"/>
            <w:vAlign w:val="top"/>
          </w:tcPr>
          <w:p w14:paraId="6CB80666">
            <w:pPr>
              <w:jc w:val="center"/>
              <w:rPr>
                <w:rFonts w:ascii="宋体" w:hAnsi="宋体"/>
                <w:color w:val="auto"/>
                <w:highlight w:val="none"/>
              </w:rPr>
            </w:pPr>
          </w:p>
        </w:tc>
      </w:tr>
      <w:tr w14:paraId="3C771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487" w:type="pct"/>
            <w:vMerge w:val="continue"/>
            <w:noWrap w:val="0"/>
            <w:vAlign w:val="center"/>
          </w:tcPr>
          <w:p w14:paraId="57B6A9A3">
            <w:pPr>
              <w:jc w:val="center"/>
              <w:rPr>
                <w:rFonts w:ascii="宋体" w:hAnsi="宋体"/>
                <w:color w:val="auto"/>
                <w:highlight w:val="none"/>
              </w:rPr>
            </w:pPr>
          </w:p>
        </w:tc>
        <w:tc>
          <w:tcPr>
            <w:tcW w:w="555" w:type="pct"/>
            <w:noWrap w:val="0"/>
            <w:vAlign w:val="center"/>
          </w:tcPr>
          <w:p w14:paraId="3640592B">
            <w:pPr>
              <w:jc w:val="center"/>
              <w:rPr>
                <w:rFonts w:ascii="宋体" w:hAnsi="宋体"/>
                <w:color w:val="auto"/>
                <w:highlight w:val="none"/>
              </w:rPr>
            </w:pPr>
            <w:r>
              <w:rPr>
                <w:rFonts w:hint="eastAsia" w:ascii="宋体" w:hAnsi="宋体"/>
                <w:color w:val="auto"/>
                <w:highlight w:val="none"/>
              </w:rPr>
              <w:t>日常维护</w:t>
            </w:r>
          </w:p>
        </w:tc>
        <w:tc>
          <w:tcPr>
            <w:tcW w:w="347" w:type="pct"/>
            <w:noWrap w:val="0"/>
            <w:vAlign w:val="center"/>
          </w:tcPr>
          <w:p w14:paraId="22F55504">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420D4EF0">
            <w:pPr>
              <w:rPr>
                <w:rFonts w:ascii="宋体" w:hAnsi="宋体"/>
                <w:color w:val="auto"/>
                <w:highlight w:val="none"/>
              </w:rPr>
            </w:pPr>
            <w:r>
              <w:rPr>
                <w:rFonts w:hint="eastAsia" w:ascii="宋体" w:hAnsi="宋体"/>
                <w:color w:val="auto"/>
                <w:highlight w:val="none"/>
              </w:rPr>
              <w:t>净化消毒设施设备的维护、加药、数字化设备的校准、电气设备的检修等工作，未落实专业管理人员开展的，每项扣1分，扣完为止。</w:t>
            </w:r>
          </w:p>
        </w:tc>
        <w:tc>
          <w:tcPr>
            <w:tcW w:w="348" w:type="pct"/>
            <w:noWrap w:val="0"/>
            <w:vAlign w:val="center"/>
          </w:tcPr>
          <w:p w14:paraId="31D2EAB5">
            <w:pPr>
              <w:jc w:val="center"/>
              <w:rPr>
                <w:rFonts w:ascii="宋体" w:hAnsi="宋体"/>
                <w:color w:val="auto"/>
                <w:highlight w:val="none"/>
              </w:rPr>
            </w:pPr>
          </w:p>
        </w:tc>
        <w:tc>
          <w:tcPr>
            <w:tcW w:w="347" w:type="pct"/>
            <w:noWrap w:val="0"/>
            <w:vAlign w:val="top"/>
          </w:tcPr>
          <w:p w14:paraId="3DA4E8EF">
            <w:pPr>
              <w:jc w:val="center"/>
              <w:rPr>
                <w:rFonts w:ascii="宋体" w:hAnsi="宋体"/>
                <w:color w:val="auto"/>
                <w:highlight w:val="none"/>
              </w:rPr>
            </w:pPr>
          </w:p>
        </w:tc>
      </w:tr>
      <w:tr w14:paraId="53318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trPr>
        <w:tc>
          <w:tcPr>
            <w:tcW w:w="487" w:type="pct"/>
            <w:vMerge w:val="continue"/>
            <w:noWrap w:val="0"/>
            <w:vAlign w:val="center"/>
          </w:tcPr>
          <w:p w14:paraId="2F3C0FB7">
            <w:pPr>
              <w:jc w:val="center"/>
              <w:rPr>
                <w:rFonts w:ascii="宋体" w:hAnsi="宋体"/>
                <w:color w:val="auto"/>
                <w:highlight w:val="none"/>
              </w:rPr>
            </w:pPr>
          </w:p>
        </w:tc>
        <w:tc>
          <w:tcPr>
            <w:tcW w:w="555" w:type="pct"/>
            <w:noWrap w:val="0"/>
            <w:vAlign w:val="center"/>
          </w:tcPr>
          <w:p w14:paraId="717E196A">
            <w:pPr>
              <w:jc w:val="center"/>
              <w:rPr>
                <w:rFonts w:ascii="宋体" w:hAnsi="宋体"/>
                <w:color w:val="auto"/>
                <w:highlight w:val="none"/>
              </w:rPr>
            </w:pPr>
            <w:r>
              <w:rPr>
                <w:rFonts w:hint="eastAsia" w:ascii="宋体" w:hAnsi="宋体"/>
                <w:color w:val="auto"/>
                <w:highlight w:val="none"/>
              </w:rPr>
              <w:t>设施配备</w:t>
            </w:r>
          </w:p>
        </w:tc>
        <w:tc>
          <w:tcPr>
            <w:tcW w:w="347" w:type="pct"/>
            <w:noWrap w:val="0"/>
            <w:vAlign w:val="center"/>
          </w:tcPr>
          <w:p w14:paraId="1A0EB511">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43AEDFFE">
            <w:pPr>
              <w:rPr>
                <w:rFonts w:ascii="宋体" w:hAnsi="宋体"/>
                <w:color w:val="auto"/>
                <w:highlight w:val="none"/>
              </w:rPr>
            </w:pPr>
            <w:r>
              <w:rPr>
                <w:rFonts w:hint="eastAsia" w:ascii="宋体" w:hAnsi="宋体"/>
                <w:color w:val="auto"/>
                <w:highlight w:val="none"/>
              </w:rPr>
              <w:t>乡镇水厂净水设施配备未采用常规处理工艺的，每座扣1分；</w:t>
            </w:r>
            <w:r>
              <w:rPr>
                <w:rFonts w:hint="eastAsia" w:ascii="宋体" w:hAnsi="宋体"/>
                <w:color w:val="auto"/>
                <w:highlight w:val="none"/>
              </w:rPr>
              <w:br w:type="textWrapping"/>
            </w:r>
            <w:r>
              <w:rPr>
                <w:rFonts w:hint="eastAsia" w:ascii="宋体" w:hAnsi="宋体"/>
                <w:color w:val="auto"/>
                <w:highlight w:val="none"/>
              </w:rPr>
              <w:t>联村、单村水站未配备完备的净化设施、药剂投加设备的每座扣0.5分，扣完为止。</w:t>
            </w:r>
          </w:p>
        </w:tc>
        <w:tc>
          <w:tcPr>
            <w:tcW w:w="348" w:type="pct"/>
            <w:noWrap w:val="0"/>
            <w:vAlign w:val="center"/>
          </w:tcPr>
          <w:p w14:paraId="026D54A0">
            <w:pPr>
              <w:jc w:val="center"/>
              <w:rPr>
                <w:rFonts w:ascii="宋体" w:hAnsi="宋体"/>
                <w:color w:val="auto"/>
                <w:highlight w:val="none"/>
              </w:rPr>
            </w:pPr>
          </w:p>
        </w:tc>
        <w:tc>
          <w:tcPr>
            <w:tcW w:w="347" w:type="pct"/>
            <w:noWrap w:val="0"/>
            <w:vAlign w:val="top"/>
          </w:tcPr>
          <w:p w14:paraId="3A950E0D">
            <w:pPr>
              <w:jc w:val="center"/>
              <w:rPr>
                <w:rFonts w:ascii="宋体" w:hAnsi="宋体"/>
                <w:color w:val="auto"/>
                <w:highlight w:val="none"/>
              </w:rPr>
            </w:pPr>
          </w:p>
        </w:tc>
      </w:tr>
      <w:tr w14:paraId="5C0C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487" w:type="pct"/>
            <w:vMerge w:val="continue"/>
            <w:noWrap w:val="0"/>
            <w:vAlign w:val="center"/>
          </w:tcPr>
          <w:p w14:paraId="7351EE3B">
            <w:pPr>
              <w:jc w:val="center"/>
              <w:rPr>
                <w:rFonts w:ascii="宋体" w:hAnsi="宋体"/>
                <w:color w:val="auto"/>
                <w:highlight w:val="none"/>
              </w:rPr>
            </w:pPr>
          </w:p>
        </w:tc>
        <w:tc>
          <w:tcPr>
            <w:tcW w:w="555" w:type="pct"/>
            <w:noWrap w:val="0"/>
            <w:vAlign w:val="center"/>
          </w:tcPr>
          <w:p w14:paraId="45A5C9FF">
            <w:pPr>
              <w:jc w:val="center"/>
              <w:rPr>
                <w:rFonts w:ascii="宋体" w:hAnsi="宋体"/>
                <w:color w:val="auto"/>
                <w:highlight w:val="none"/>
              </w:rPr>
            </w:pPr>
            <w:r>
              <w:rPr>
                <w:rFonts w:hint="eastAsia" w:ascii="宋体" w:hAnsi="宋体"/>
                <w:color w:val="auto"/>
                <w:highlight w:val="none"/>
              </w:rPr>
              <w:t>工艺评定</w:t>
            </w:r>
          </w:p>
        </w:tc>
        <w:tc>
          <w:tcPr>
            <w:tcW w:w="347" w:type="pct"/>
            <w:noWrap w:val="0"/>
            <w:vAlign w:val="center"/>
          </w:tcPr>
          <w:p w14:paraId="31BF1D38">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5F813559">
            <w:pPr>
              <w:rPr>
                <w:rFonts w:ascii="宋体" w:hAnsi="宋体"/>
                <w:color w:val="auto"/>
                <w:highlight w:val="none"/>
              </w:rPr>
            </w:pPr>
            <w:r>
              <w:rPr>
                <w:rFonts w:hint="eastAsia" w:ascii="宋体" w:hAnsi="宋体"/>
                <w:color w:val="auto"/>
                <w:highlight w:val="none"/>
              </w:rPr>
              <w:t>乡镇水厂未对主要工艺运行情况及其运行中的动态技术参数制定和实施质量控制点检测制度的，每座扣1分；</w:t>
            </w:r>
            <w:r>
              <w:rPr>
                <w:rFonts w:hint="eastAsia" w:ascii="宋体" w:hAnsi="宋体"/>
                <w:color w:val="auto"/>
                <w:highlight w:val="none"/>
              </w:rPr>
              <w:br w:type="textWrapping"/>
            </w:r>
            <w:r>
              <w:rPr>
                <w:rFonts w:hint="eastAsia" w:ascii="宋体" w:hAnsi="宋体"/>
                <w:color w:val="auto"/>
                <w:highlight w:val="none"/>
              </w:rPr>
              <w:t>当相关参数经调整后长时间仍不能达标的，未开展水厂更新改造论证，及时提升制水工艺的每座扣2分，扣完为止。</w:t>
            </w:r>
          </w:p>
        </w:tc>
        <w:tc>
          <w:tcPr>
            <w:tcW w:w="348" w:type="pct"/>
            <w:noWrap w:val="0"/>
            <w:vAlign w:val="center"/>
          </w:tcPr>
          <w:p w14:paraId="70C2AF67">
            <w:pPr>
              <w:jc w:val="center"/>
              <w:rPr>
                <w:rFonts w:ascii="宋体" w:hAnsi="宋体"/>
                <w:color w:val="auto"/>
                <w:highlight w:val="none"/>
              </w:rPr>
            </w:pPr>
          </w:p>
        </w:tc>
        <w:tc>
          <w:tcPr>
            <w:tcW w:w="347" w:type="pct"/>
            <w:noWrap w:val="0"/>
            <w:vAlign w:val="top"/>
          </w:tcPr>
          <w:p w14:paraId="548897A7">
            <w:pPr>
              <w:jc w:val="center"/>
              <w:rPr>
                <w:rFonts w:ascii="宋体" w:hAnsi="宋体"/>
                <w:color w:val="auto"/>
                <w:highlight w:val="none"/>
              </w:rPr>
            </w:pPr>
          </w:p>
        </w:tc>
      </w:tr>
      <w:tr w14:paraId="0A386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487" w:type="pct"/>
            <w:vMerge w:val="continue"/>
            <w:noWrap w:val="0"/>
            <w:vAlign w:val="center"/>
          </w:tcPr>
          <w:p w14:paraId="5200490D">
            <w:pPr>
              <w:jc w:val="center"/>
              <w:rPr>
                <w:rFonts w:ascii="宋体" w:hAnsi="宋体"/>
                <w:color w:val="auto"/>
                <w:highlight w:val="none"/>
              </w:rPr>
            </w:pPr>
          </w:p>
        </w:tc>
        <w:tc>
          <w:tcPr>
            <w:tcW w:w="555" w:type="pct"/>
            <w:noWrap w:val="0"/>
            <w:vAlign w:val="center"/>
          </w:tcPr>
          <w:p w14:paraId="3D274208">
            <w:pPr>
              <w:jc w:val="center"/>
              <w:rPr>
                <w:rFonts w:ascii="宋体" w:hAnsi="宋体"/>
                <w:color w:val="auto"/>
                <w:highlight w:val="none"/>
              </w:rPr>
            </w:pPr>
            <w:r>
              <w:rPr>
                <w:rFonts w:hint="eastAsia" w:ascii="宋体" w:hAnsi="宋体"/>
                <w:color w:val="auto"/>
                <w:highlight w:val="none"/>
              </w:rPr>
              <w:t>技术测定</w:t>
            </w:r>
          </w:p>
        </w:tc>
        <w:tc>
          <w:tcPr>
            <w:tcW w:w="347" w:type="pct"/>
            <w:noWrap w:val="0"/>
            <w:vAlign w:val="center"/>
          </w:tcPr>
          <w:p w14:paraId="33818F6C">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3BC8876F">
            <w:pPr>
              <w:rPr>
                <w:rFonts w:ascii="宋体" w:hAnsi="宋体"/>
                <w:color w:val="auto"/>
                <w:highlight w:val="none"/>
              </w:rPr>
            </w:pPr>
            <w:r>
              <w:rPr>
                <w:rFonts w:hint="eastAsia" w:ascii="宋体" w:hAnsi="宋体"/>
                <w:color w:val="auto"/>
                <w:highlight w:val="none"/>
              </w:rPr>
              <w:t>乡镇水厂未对净化设施混合时间、絮凝池流速及停留时间、清水池消毒液浓度与反应时间等开展年度技术测定的，每座扣1分，扣完为止。</w:t>
            </w:r>
          </w:p>
        </w:tc>
        <w:tc>
          <w:tcPr>
            <w:tcW w:w="348" w:type="pct"/>
            <w:noWrap w:val="0"/>
            <w:vAlign w:val="center"/>
          </w:tcPr>
          <w:p w14:paraId="013A53B3">
            <w:pPr>
              <w:jc w:val="center"/>
              <w:rPr>
                <w:rFonts w:ascii="宋体" w:hAnsi="宋体"/>
                <w:color w:val="auto"/>
                <w:highlight w:val="none"/>
              </w:rPr>
            </w:pPr>
          </w:p>
        </w:tc>
        <w:tc>
          <w:tcPr>
            <w:tcW w:w="347" w:type="pct"/>
            <w:noWrap w:val="0"/>
            <w:vAlign w:val="top"/>
          </w:tcPr>
          <w:p w14:paraId="62F4045F">
            <w:pPr>
              <w:jc w:val="center"/>
              <w:rPr>
                <w:rFonts w:ascii="宋体" w:hAnsi="宋体"/>
                <w:color w:val="auto"/>
                <w:highlight w:val="none"/>
              </w:rPr>
            </w:pPr>
          </w:p>
        </w:tc>
      </w:tr>
      <w:tr w14:paraId="7F539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487" w:type="pct"/>
            <w:vMerge w:val="continue"/>
            <w:noWrap w:val="0"/>
            <w:vAlign w:val="center"/>
          </w:tcPr>
          <w:p w14:paraId="0789D3BC">
            <w:pPr>
              <w:jc w:val="center"/>
              <w:rPr>
                <w:rFonts w:ascii="宋体" w:hAnsi="宋体"/>
                <w:color w:val="auto"/>
                <w:highlight w:val="none"/>
              </w:rPr>
            </w:pPr>
          </w:p>
        </w:tc>
        <w:tc>
          <w:tcPr>
            <w:tcW w:w="555" w:type="pct"/>
            <w:noWrap w:val="0"/>
            <w:vAlign w:val="center"/>
          </w:tcPr>
          <w:p w14:paraId="32C2FF18">
            <w:pPr>
              <w:jc w:val="center"/>
              <w:rPr>
                <w:rFonts w:ascii="宋体" w:hAnsi="宋体"/>
                <w:color w:val="auto"/>
                <w:highlight w:val="none"/>
              </w:rPr>
            </w:pPr>
            <w:r>
              <w:rPr>
                <w:rFonts w:hint="eastAsia" w:ascii="宋体" w:hAnsi="宋体"/>
                <w:color w:val="auto"/>
                <w:highlight w:val="none"/>
              </w:rPr>
              <w:t>供水能力评估</w:t>
            </w:r>
          </w:p>
        </w:tc>
        <w:tc>
          <w:tcPr>
            <w:tcW w:w="347" w:type="pct"/>
            <w:noWrap w:val="0"/>
            <w:vAlign w:val="center"/>
          </w:tcPr>
          <w:p w14:paraId="1E66015E">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7163F701">
            <w:pPr>
              <w:rPr>
                <w:rFonts w:ascii="宋体" w:hAnsi="宋体"/>
                <w:color w:val="auto"/>
                <w:highlight w:val="none"/>
              </w:rPr>
            </w:pPr>
            <w:r>
              <w:rPr>
                <w:rFonts w:hint="eastAsia" w:ascii="宋体" w:hAnsi="宋体"/>
                <w:color w:val="auto"/>
                <w:highlight w:val="none"/>
              </w:rPr>
              <w:t>未对一年中1/4天数日供水量超过建设规模95%以上的规模以上水厂及时开展改建扩建必要性论证的，每座扣1分，扣完为止。</w:t>
            </w:r>
          </w:p>
        </w:tc>
        <w:tc>
          <w:tcPr>
            <w:tcW w:w="348" w:type="pct"/>
            <w:noWrap w:val="0"/>
            <w:vAlign w:val="center"/>
          </w:tcPr>
          <w:p w14:paraId="21867D12">
            <w:pPr>
              <w:jc w:val="center"/>
              <w:rPr>
                <w:rFonts w:ascii="宋体" w:hAnsi="宋体"/>
                <w:color w:val="auto"/>
                <w:highlight w:val="none"/>
              </w:rPr>
            </w:pPr>
          </w:p>
        </w:tc>
        <w:tc>
          <w:tcPr>
            <w:tcW w:w="347" w:type="pct"/>
            <w:noWrap w:val="0"/>
            <w:vAlign w:val="top"/>
          </w:tcPr>
          <w:p w14:paraId="0C4C4248">
            <w:pPr>
              <w:jc w:val="center"/>
              <w:rPr>
                <w:rFonts w:ascii="宋体" w:hAnsi="宋体"/>
                <w:color w:val="auto"/>
                <w:highlight w:val="none"/>
              </w:rPr>
            </w:pPr>
          </w:p>
        </w:tc>
      </w:tr>
      <w:tr w14:paraId="2D719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restart"/>
            <w:noWrap w:val="0"/>
            <w:vAlign w:val="center"/>
          </w:tcPr>
          <w:p w14:paraId="478856C6">
            <w:pPr>
              <w:jc w:val="center"/>
              <w:rPr>
                <w:rFonts w:ascii="宋体" w:hAnsi="宋体"/>
                <w:color w:val="auto"/>
                <w:highlight w:val="none"/>
              </w:rPr>
            </w:pPr>
            <w:r>
              <w:rPr>
                <w:rFonts w:hint="eastAsia" w:ascii="宋体" w:hAnsi="宋体"/>
                <w:color w:val="auto"/>
                <w:highlight w:val="none"/>
              </w:rPr>
              <w:t>水质检测（13分）</w:t>
            </w:r>
          </w:p>
        </w:tc>
        <w:tc>
          <w:tcPr>
            <w:tcW w:w="555" w:type="pct"/>
            <w:noWrap w:val="0"/>
            <w:vAlign w:val="center"/>
          </w:tcPr>
          <w:p w14:paraId="54F5320F">
            <w:pPr>
              <w:jc w:val="center"/>
              <w:rPr>
                <w:rFonts w:ascii="宋体" w:hAnsi="宋体"/>
                <w:color w:val="auto"/>
                <w:highlight w:val="none"/>
              </w:rPr>
            </w:pPr>
            <w:r>
              <w:rPr>
                <w:rFonts w:hint="eastAsia" w:ascii="宋体" w:hAnsi="宋体"/>
                <w:color w:val="auto"/>
                <w:highlight w:val="none"/>
              </w:rPr>
              <w:t>水质检测中心设置</w:t>
            </w:r>
          </w:p>
        </w:tc>
        <w:tc>
          <w:tcPr>
            <w:tcW w:w="347" w:type="pct"/>
            <w:noWrap w:val="0"/>
            <w:vAlign w:val="center"/>
          </w:tcPr>
          <w:p w14:paraId="564CB7E7">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5785E031">
            <w:pPr>
              <w:rPr>
                <w:rFonts w:ascii="宋体" w:hAnsi="宋体"/>
                <w:color w:val="auto"/>
                <w:highlight w:val="none"/>
              </w:rPr>
            </w:pPr>
            <w:r>
              <w:rPr>
                <w:rFonts w:hint="eastAsia" w:ascii="宋体" w:hAnsi="宋体"/>
                <w:color w:val="auto"/>
                <w:highlight w:val="none"/>
              </w:rPr>
              <w:t>统管单位未设置县级农村供水检测中心（或委托有资质的第三方）开展水质检测工作的，扣2分；</w:t>
            </w:r>
            <w:r>
              <w:rPr>
                <w:rFonts w:hint="eastAsia" w:ascii="宋体" w:hAnsi="宋体"/>
                <w:color w:val="auto"/>
                <w:highlight w:val="none"/>
              </w:rPr>
              <w:br w:type="textWrapping"/>
            </w:r>
            <w:r>
              <w:rPr>
                <w:rFonts w:hint="eastAsia" w:ascii="宋体" w:hAnsi="宋体"/>
                <w:color w:val="auto"/>
                <w:highlight w:val="none"/>
              </w:rPr>
              <w:t>规模以下水厂（站）未开展水质检测工作的，每座1次扣0.5分，扣完为止。</w:t>
            </w:r>
          </w:p>
        </w:tc>
        <w:tc>
          <w:tcPr>
            <w:tcW w:w="348" w:type="pct"/>
            <w:noWrap w:val="0"/>
            <w:vAlign w:val="center"/>
          </w:tcPr>
          <w:p w14:paraId="2644B27E">
            <w:pPr>
              <w:jc w:val="center"/>
              <w:rPr>
                <w:rFonts w:ascii="宋体" w:hAnsi="宋体"/>
                <w:color w:val="auto"/>
                <w:highlight w:val="none"/>
              </w:rPr>
            </w:pPr>
          </w:p>
        </w:tc>
        <w:tc>
          <w:tcPr>
            <w:tcW w:w="347" w:type="pct"/>
            <w:noWrap w:val="0"/>
            <w:vAlign w:val="top"/>
          </w:tcPr>
          <w:p w14:paraId="13792712">
            <w:pPr>
              <w:jc w:val="center"/>
              <w:rPr>
                <w:rFonts w:ascii="宋体" w:hAnsi="宋体"/>
                <w:color w:val="auto"/>
                <w:highlight w:val="none"/>
              </w:rPr>
            </w:pPr>
          </w:p>
        </w:tc>
      </w:tr>
      <w:tr w14:paraId="35D89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atLeast"/>
        </w:trPr>
        <w:tc>
          <w:tcPr>
            <w:tcW w:w="487" w:type="pct"/>
            <w:vMerge w:val="continue"/>
            <w:noWrap w:val="0"/>
            <w:vAlign w:val="center"/>
          </w:tcPr>
          <w:p w14:paraId="70A92BCB">
            <w:pPr>
              <w:jc w:val="center"/>
              <w:rPr>
                <w:rFonts w:ascii="宋体" w:hAnsi="宋体"/>
                <w:color w:val="auto"/>
                <w:highlight w:val="none"/>
              </w:rPr>
            </w:pPr>
          </w:p>
        </w:tc>
        <w:tc>
          <w:tcPr>
            <w:tcW w:w="555" w:type="pct"/>
            <w:noWrap w:val="0"/>
            <w:vAlign w:val="center"/>
          </w:tcPr>
          <w:p w14:paraId="0B938590">
            <w:pPr>
              <w:jc w:val="center"/>
              <w:rPr>
                <w:rFonts w:ascii="宋体" w:hAnsi="宋体"/>
                <w:color w:val="auto"/>
                <w:highlight w:val="none"/>
              </w:rPr>
            </w:pPr>
            <w:r>
              <w:rPr>
                <w:rFonts w:hint="eastAsia" w:ascii="宋体" w:hAnsi="宋体"/>
                <w:color w:val="auto"/>
                <w:highlight w:val="none"/>
              </w:rPr>
              <w:t>水质化验室配备</w:t>
            </w:r>
          </w:p>
        </w:tc>
        <w:tc>
          <w:tcPr>
            <w:tcW w:w="347" w:type="pct"/>
            <w:noWrap w:val="0"/>
            <w:vAlign w:val="center"/>
          </w:tcPr>
          <w:p w14:paraId="0F2D74BA">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61606658">
            <w:pPr>
              <w:rPr>
                <w:rFonts w:ascii="宋体" w:hAnsi="宋体"/>
                <w:color w:val="auto"/>
                <w:highlight w:val="none"/>
              </w:rPr>
            </w:pPr>
            <w:r>
              <w:rPr>
                <w:rFonts w:hint="eastAsia" w:ascii="宋体" w:hAnsi="宋体"/>
                <w:color w:val="auto"/>
                <w:highlight w:val="none"/>
              </w:rPr>
              <w:t>规模以上水厂未配备水质化验室的，每座扣1分；</w:t>
            </w:r>
            <w:r>
              <w:rPr>
                <w:rFonts w:hint="eastAsia" w:ascii="宋体" w:hAnsi="宋体"/>
                <w:color w:val="auto"/>
                <w:highlight w:val="none"/>
              </w:rPr>
              <w:br w:type="textWrapping"/>
            </w:r>
            <w:r>
              <w:rPr>
                <w:rFonts w:hint="eastAsia" w:ascii="宋体" w:hAnsi="宋体"/>
                <w:color w:val="auto"/>
                <w:highlight w:val="none"/>
              </w:rPr>
              <w:t>化验室检测指标包括色度、浑浊度、臭和味、肉眼可见物、pH值、耗氧量、总大肠菌群、菌落总数、消毒剂余量等日常性指标和超标风险高的非常规指标，未达到要求的，每座扣0.5分，扣完为止。</w:t>
            </w:r>
          </w:p>
        </w:tc>
        <w:tc>
          <w:tcPr>
            <w:tcW w:w="348" w:type="pct"/>
            <w:noWrap w:val="0"/>
            <w:vAlign w:val="center"/>
          </w:tcPr>
          <w:p w14:paraId="1096D2BF">
            <w:pPr>
              <w:jc w:val="center"/>
              <w:rPr>
                <w:rFonts w:ascii="宋体" w:hAnsi="宋体"/>
                <w:color w:val="auto"/>
                <w:highlight w:val="none"/>
              </w:rPr>
            </w:pPr>
          </w:p>
        </w:tc>
        <w:tc>
          <w:tcPr>
            <w:tcW w:w="347" w:type="pct"/>
            <w:noWrap w:val="0"/>
            <w:vAlign w:val="top"/>
          </w:tcPr>
          <w:p w14:paraId="1D162397">
            <w:pPr>
              <w:jc w:val="center"/>
              <w:rPr>
                <w:rFonts w:ascii="宋体" w:hAnsi="宋体"/>
                <w:color w:val="auto"/>
                <w:highlight w:val="none"/>
              </w:rPr>
            </w:pPr>
          </w:p>
        </w:tc>
      </w:tr>
      <w:tr w14:paraId="1388E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trPr>
        <w:tc>
          <w:tcPr>
            <w:tcW w:w="487" w:type="pct"/>
            <w:vMerge w:val="continue"/>
            <w:noWrap w:val="0"/>
            <w:vAlign w:val="center"/>
          </w:tcPr>
          <w:p w14:paraId="2F4818BA">
            <w:pPr>
              <w:jc w:val="center"/>
              <w:rPr>
                <w:rFonts w:ascii="宋体" w:hAnsi="宋体"/>
                <w:color w:val="auto"/>
                <w:highlight w:val="none"/>
              </w:rPr>
            </w:pPr>
          </w:p>
        </w:tc>
        <w:tc>
          <w:tcPr>
            <w:tcW w:w="555" w:type="pct"/>
            <w:noWrap w:val="0"/>
            <w:vAlign w:val="center"/>
          </w:tcPr>
          <w:p w14:paraId="4DC5E044">
            <w:pPr>
              <w:jc w:val="center"/>
              <w:rPr>
                <w:rFonts w:ascii="宋体" w:hAnsi="宋体"/>
                <w:color w:val="auto"/>
                <w:highlight w:val="none"/>
              </w:rPr>
            </w:pPr>
            <w:r>
              <w:rPr>
                <w:rFonts w:hint="eastAsia" w:ascii="宋体" w:hAnsi="宋体"/>
                <w:color w:val="auto"/>
                <w:highlight w:val="none"/>
              </w:rPr>
              <w:t>原水检测</w:t>
            </w:r>
          </w:p>
        </w:tc>
        <w:tc>
          <w:tcPr>
            <w:tcW w:w="347" w:type="pct"/>
            <w:noWrap w:val="0"/>
            <w:vAlign w:val="center"/>
          </w:tcPr>
          <w:p w14:paraId="4D51FEC1">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635040F3">
            <w:pPr>
              <w:rPr>
                <w:rFonts w:ascii="宋体" w:hAnsi="宋体"/>
                <w:color w:val="auto"/>
                <w:highlight w:val="none"/>
              </w:rPr>
            </w:pPr>
            <w:r>
              <w:rPr>
                <w:rFonts w:hint="eastAsia" w:ascii="宋体" w:hAnsi="宋体"/>
                <w:color w:val="auto"/>
                <w:highlight w:val="none"/>
              </w:rPr>
              <w:t>统管单位未建立原水水质检测制度的，扣2分；</w:t>
            </w:r>
            <w:r>
              <w:rPr>
                <w:rFonts w:hint="eastAsia" w:ascii="宋体" w:hAnsi="宋体"/>
                <w:color w:val="auto"/>
                <w:highlight w:val="none"/>
              </w:rPr>
              <w:br w:type="page"/>
            </w:r>
            <w:r>
              <w:rPr>
                <w:rFonts w:hint="eastAsia" w:ascii="宋体" w:hAnsi="宋体"/>
                <w:color w:val="auto"/>
                <w:highlight w:val="none"/>
              </w:rPr>
              <w:t>乡镇水厂未按照GB3838中有关水质检验基本项目和补充项目共29项，每半年开展检测1次及以上的，每处扣0.5分；</w:t>
            </w:r>
            <w:r>
              <w:rPr>
                <w:rFonts w:hint="eastAsia" w:ascii="宋体" w:hAnsi="宋体"/>
                <w:color w:val="auto"/>
                <w:highlight w:val="none"/>
              </w:rPr>
              <w:br w:type="page"/>
            </w:r>
            <w:r>
              <w:rPr>
                <w:rFonts w:hint="eastAsia" w:ascii="宋体" w:hAnsi="宋体"/>
                <w:color w:val="auto"/>
                <w:highlight w:val="none"/>
              </w:rPr>
              <w:t>乡镇水厂原水未按照每月检测1次及以上的，每座扣1分；</w:t>
            </w:r>
            <w:r>
              <w:rPr>
                <w:rFonts w:hint="eastAsia" w:ascii="宋体" w:hAnsi="宋体"/>
                <w:color w:val="auto"/>
                <w:highlight w:val="none"/>
              </w:rPr>
              <w:br w:type="page"/>
            </w:r>
            <w:r>
              <w:rPr>
                <w:rFonts w:hint="eastAsia" w:ascii="宋体" w:hAnsi="宋体"/>
                <w:color w:val="auto"/>
                <w:highlight w:val="none"/>
              </w:rPr>
              <w:t>乡镇水厂原水检测指标至少包括色度、浑浊度、臭和味、肉眼可见物、pH值、耗氧量、总大肠菌群、菌落总数和超标风险高的指标，没少一项扣0.2分，扣完为止。</w:t>
            </w:r>
          </w:p>
        </w:tc>
        <w:tc>
          <w:tcPr>
            <w:tcW w:w="348" w:type="pct"/>
            <w:noWrap w:val="0"/>
            <w:vAlign w:val="center"/>
          </w:tcPr>
          <w:p w14:paraId="1EE29DFD">
            <w:pPr>
              <w:jc w:val="center"/>
              <w:rPr>
                <w:rFonts w:ascii="宋体" w:hAnsi="宋体"/>
                <w:color w:val="auto"/>
                <w:highlight w:val="none"/>
              </w:rPr>
            </w:pPr>
          </w:p>
        </w:tc>
        <w:tc>
          <w:tcPr>
            <w:tcW w:w="347" w:type="pct"/>
            <w:noWrap w:val="0"/>
            <w:vAlign w:val="top"/>
          </w:tcPr>
          <w:p w14:paraId="48D66362">
            <w:pPr>
              <w:jc w:val="center"/>
              <w:rPr>
                <w:rFonts w:ascii="宋体" w:hAnsi="宋体"/>
                <w:color w:val="auto"/>
                <w:highlight w:val="none"/>
              </w:rPr>
            </w:pPr>
          </w:p>
        </w:tc>
      </w:tr>
      <w:tr w14:paraId="17640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9" w:hRule="atLeast"/>
        </w:trPr>
        <w:tc>
          <w:tcPr>
            <w:tcW w:w="487" w:type="pct"/>
            <w:vMerge w:val="continue"/>
            <w:noWrap w:val="0"/>
            <w:vAlign w:val="center"/>
          </w:tcPr>
          <w:p w14:paraId="46BC7DCE">
            <w:pPr>
              <w:jc w:val="center"/>
              <w:rPr>
                <w:rFonts w:ascii="宋体" w:hAnsi="宋体"/>
                <w:color w:val="auto"/>
                <w:highlight w:val="none"/>
              </w:rPr>
            </w:pPr>
          </w:p>
        </w:tc>
        <w:tc>
          <w:tcPr>
            <w:tcW w:w="555" w:type="pct"/>
            <w:noWrap w:val="0"/>
            <w:vAlign w:val="center"/>
          </w:tcPr>
          <w:p w14:paraId="22E4D223">
            <w:pPr>
              <w:jc w:val="center"/>
              <w:rPr>
                <w:rFonts w:ascii="宋体" w:hAnsi="宋体"/>
                <w:color w:val="auto"/>
                <w:highlight w:val="none"/>
              </w:rPr>
            </w:pPr>
            <w:r>
              <w:rPr>
                <w:rFonts w:hint="eastAsia" w:ascii="宋体" w:hAnsi="宋体"/>
                <w:color w:val="auto"/>
                <w:highlight w:val="none"/>
              </w:rPr>
              <w:t>供水检测</w:t>
            </w:r>
          </w:p>
        </w:tc>
        <w:tc>
          <w:tcPr>
            <w:tcW w:w="347" w:type="pct"/>
            <w:noWrap w:val="0"/>
            <w:vAlign w:val="center"/>
          </w:tcPr>
          <w:p w14:paraId="51F19C3B">
            <w:pPr>
              <w:jc w:val="center"/>
              <w:rPr>
                <w:rFonts w:ascii="宋体" w:hAnsi="宋体"/>
                <w:color w:val="auto"/>
                <w:highlight w:val="none"/>
              </w:rPr>
            </w:pPr>
            <w:r>
              <w:rPr>
                <w:rFonts w:hint="eastAsia" w:ascii="宋体" w:hAnsi="宋体"/>
                <w:color w:val="auto"/>
                <w:highlight w:val="none"/>
              </w:rPr>
              <w:t>4</w:t>
            </w:r>
          </w:p>
        </w:tc>
        <w:tc>
          <w:tcPr>
            <w:tcW w:w="2916" w:type="pct"/>
            <w:noWrap w:val="0"/>
            <w:vAlign w:val="center"/>
          </w:tcPr>
          <w:p w14:paraId="1EF2A4D4">
            <w:pPr>
              <w:rPr>
                <w:rFonts w:hint="eastAsia" w:ascii="宋体" w:hAnsi="宋体"/>
                <w:color w:val="auto"/>
                <w:highlight w:val="none"/>
              </w:rPr>
            </w:pPr>
            <w:r>
              <w:rPr>
                <w:rFonts w:hint="eastAsia" w:ascii="宋体" w:hAnsi="宋体"/>
                <w:color w:val="auto"/>
                <w:highlight w:val="none"/>
              </w:rPr>
              <w:t>规模以上水厂的出厂水应每日开展检测，每年不少于1次全分析（或常规指标+风险指标），未开展的，每座扣1分；联村单村水站出厂水每月检测不少于1次，未开展的，每座扣0.5分；</w:t>
            </w:r>
          </w:p>
          <w:p w14:paraId="2DD3740A">
            <w:pPr>
              <w:rPr>
                <w:rFonts w:hint="eastAsia" w:ascii="宋体" w:hAnsi="宋体"/>
                <w:color w:val="auto"/>
                <w:highlight w:val="none"/>
              </w:rPr>
            </w:pPr>
            <w:r>
              <w:rPr>
                <w:rFonts w:hint="eastAsia" w:ascii="宋体" w:hAnsi="宋体"/>
                <w:color w:val="auto"/>
                <w:highlight w:val="none"/>
              </w:rPr>
              <w:t>管网水与管网末梢水的检测每月不少于1次，未开展的，每座扣1分：</w:t>
            </w:r>
          </w:p>
          <w:p w14:paraId="5FB33040">
            <w:pPr>
              <w:rPr>
                <w:rFonts w:ascii="宋体" w:hAnsi="宋体"/>
                <w:color w:val="auto"/>
                <w:highlight w:val="none"/>
              </w:rPr>
            </w:pPr>
            <w:r>
              <w:rPr>
                <w:rFonts w:hint="eastAsia" w:ascii="宋体" w:hAnsi="宋体"/>
                <w:color w:val="auto"/>
                <w:highlight w:val="none"/>
              </w:rPr>
              <w:t>当水质检测结果出现异常时，应增加相关水质检验项目和检测频次，未开展的1次扣1分，扣完为止。</w:t>
            </w:r>
          </w:p>
        </w:tc>
        <w:tc>
          <w:tcPr>
            <w:tcW w:w="348" w:type="pct"/>
            <w:noWrap w:val="0"/>
            <w:vAlign w:val="center"/>
          </w:tcPr>
          <w:p w14:paraId="21817BCE">
            <w:pPr>
              <w:jc w:val="center"/>
              <w:rPr>
                <w:rFonts w:ascii="宋体" w:hAnsi="宋体"/>
                <w:color w:val="auto"/>
                <w:highlight w:val="none"/>
              </w:rPr>
            </w:pPr>
          </w:p>
        </w:tc>
        <w:tc>
          <w:tcPr>
            <w:tcW w:w="347" w:type="pct"/>
            <w:noWrap w:val="0"/>
            <w:vAlign w:val="top"/>
          </w:tcPr>
          <w:p w14:paraId="13032E76">
            <w:pPr>
              <w:jc w:val="center"/>
              <w:rPr>
                <w:rFonts w:ascii="宋体" w:hAnsi="宋体"/>
                <w:color w:val="auto"/>
                <w:highlight w:val="none"/>
              </w:rPr>
            </w:pPr>
          </w:p>
        </w:tc>
      </w:tr>
      <w:tr w14:paraId="2E73E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487" w:type="pct"/>
            <w:vMerge w:val="restart"/>
            <w:noWrap w:val="0"/>
            <w:vAlign w:val="center"/>
          </w:tcPr>
          <w:p w14:paraId="00D91CFF">
            <w:pPr>
              <w:jc w:val="center"/>
              <w:rPr>
                <w:rFonts w:ascii="宋体" w:hAnsi="宋体"/>
                <w:color w:val="auto"/>
                <w:highlight w:val="none"/>
              </w:rPr>
            </w:pPr>
            <w:r>
              <w:rPr>
                <w:rFonts w:hint="eastAsia" w:ascii="宋体" w:hAnsi="宋体"/>
                <w:color w:val="auto"/>
                <w:highlight w:val="none"/>
              </w:rPr>
              <w:t>供水管网（8分）</w:t>
            </w:r>
          </w:p>
        </w:tc>
        <w:tc>
          <w:tcPr>
            <w:tcW w:w="555" w:type="pct"/>
            <w:noWrap w:val="0"/>
            <w:vAlign w:val="center"/>
          </w:tcPr>
          <w:p w14:paraId="6725A3DF">
            <w:pPr>
              <w:jc w:val="center"/>
              <w:rPr>
                <w:rFonts w:ascii="宋体" w:hAnsi="宋体"/>
                <w:color w:val="auto"/>
                <w:highlight w:val="none"/>
              </w:rPr>
            </w:pPr>
            <w:r>
              <w:rPr>
                <w:rFonts w:hint="eastAsia" w:ascii="宋体" w:hAnsi="宋体"/>
                <w:color w:val="auto"/>
                <w:highlight w:val="none"/>
              </w:rPr>
              <w:t>水压要求</w:t>
            </w:r>
          </w:p>
        </w:tc>
        <w:tc>
          <w:tcPr>
            <w:tcW w:w="347" w:type="pct"/>
            <w:noWrap w:val="0"/>
            <w:vAlign w:val="center"/>
          </w:tcPr>
          <w:p w14:paraId="1CF68729">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1789B4A3">
            <w:pPr>
              <w:rPr>
                <w:rFonts w:hint="eastAsia" w:ascii="宋体" w:hAnsi="宋体"/>
                <w:color w:val="auto"/>
                <w:highlight w:val="none"/>
              </w:rPr>
            </w:pPr>
            <w:r>
              <w:rPr>
                <w:rFonts w:hint="eastAsia" w:ascii="宋体" w:hAnsi="宋体"/>
                <w:color w:val="auto"/>
                <w:highlight w:val="none"/>
              </w:rPr>
              <w:t>正常供水情况下，供水服务压力不低于0.14MPa，否则发现1次扣0.5分；</w:t>
            </w:r>
          </w:p>
          <w:p w14:paraId="17FD4AC7">
            <w:pPr>
              <w:rPr>
                <w:rFonts w:ascii="宋体" w:hAnsi="宋体"/>
                <w:color w:val="auto"/>
                <w:highlight w:val="none"/>
              </w:rPr>
            </w:pPr>
            <w:r>
              <w:rPr>
                <w:rFonts w:hint="eastAsia" w:ascii="宋体" w:hAnsi="宋体"/>
                <w:color w:val="auto"/>
                <w:highlight w:val="none"/>
              </w:rPr>
              <w:t>供水管网中设置增压泵站的上游管网水压不低于服务压力，二次加压不得影响管网正常供水，发现1处不达标扣0.5分，扣完为止。</w:t>
            </w:r>
          </w:p>
        </w:tc>
        <w:tc>
          <w:tcPr>
            <w:tcW w:w="348" w:type="pct"/>
            <w:noWrap w:val="0"/>
            <w:vAlign w:val="center"/>
          </w:tcPr>
          <w:p w14:paraId="192F96C4">
            <w:pPr>
              <w:jc w:val="center"/>
              <w:rPr>
                <w:rFonts w:ascii="宋体" w:hAnsi="宋体"/>
                <w:color w:val="auto"/>
                <w:highlight w:val="none"/>
              </w:rPr>
            </w:pPr>
          </w:p>
        </w:tc>
        <w:tc>
          <w:tcPr>
            <w:tcW w:w="347" w:type="pct"/>
            <w:noWrap w:val="0"/>
            <w:vAlign w:val="top"/>
          </w:tcPr>
          <w:p w14:paraId="11E55FEA">
            <w:pPr>
              <w:jc w:val="center"/>
              <w:rPr>
                <w:rFonts w:ascii="宋体" w:hAnsi="宋体"/>
                <w:color w:val="auto"/>
                <w:highlight w:val="none"/>
              </w:rPr>
            </w:pPr>
          </w:p>
        </w:tc>
      </w:tr>
      <w:tr w14:paraId="2E70C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87" w:type="pct"/>
            <w:vMerge w:val="continue"/>
            <w:noWrap w:val="0"/>
            <w:vAlign w:val="center"/>
          </w:tcPr>
          <w:p w14:paraId="7C8CFA33">
            <w:pPr>
              <w:jc w:val="center"/>
              <w:rPr>
                <w:rFonts w:ascii="宋体" w:hAnsi="宋体"/>
                <w:color w:val="auto"/>
                <w:highlight w:val="none"/>
              </w:rPr>
            </w:pPr>
          </w:p>
        </w:tc>
        <w:tc>
          <w:tcPr>
            <w:tcW w:w="555" w:type="pct"/>
            <w:noWrap w:val="0"/>
            <w:vAlign w:val="center"/>
          </w:tcPr>
          <w:p w14:paraId="3A00275F">
            <w:pPr>
              <w:jc w:val="center"/>
              <w:rPr>
                <w:rFonts w:ascii="宋体" w:hAnsi="宋体"/>
                <w:color w:val="auto"/>
                <w:highlight w:val="none"/>
              </w:rPr>
            </w:pPr>
            <w:r>
              <w:rPr>
                <w:rFonts w:hint="eastAsia" w:ascii="宋体" w:hAnsi="宋体"/>
                <w:color w:val="auto"/>
                <w:highlight w:val="none"/>
              </w:rPr>
              <w:t>管网漏损</w:t>
            </w:r>
          </w:p>
        </w:tc>
        <w:tc>
          <w:tcPr>
            <w:tcW w:w="347" w:type="pct"/>
            <w:noWrap w:val="0"/>
            <w:vAlign w:val="center"/>
          </w:tcPr>
          <w:p w14:paraId="305BEBC3">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0548D5B0">
            <w:pPr>
              <w:rPr>
                <w:rFonts w:ascii="宋体" w:hAnsi="宋体"/>
                <w:color w:val="auto"/>
                <w:highlight w:val="none"/>
              </w:rPr>
            </w:pPr>
            <w:r>
              <w:rPr>
                <w:rFonts w:hint="eastAsia" w:ascii="宋体" w:hAnsi="宋体"/>
                <w:color w:val="auto"/>
                <w:highlight w:val="none"/>
              </w:rPr>
              <w:t>每年开展供水管网的检测与评估，对使用超年限以及漏损较大的管道进行更新改造，未开展扣2分；</w:t>
            </w:r>
          </w:p>
        </w:tc>
        <w:tc>
          <w:tcPr>
            <w:tcW w:w="348" w:type="pct"/>
            <w:noWrap w:val="0"/>
            <w:vAlign w:val="center"/>
          </w:tcPr>
          <w:p w14:paraId="655DFE9E">
            <w:pPr>
              <w:jc w:val="center"/>
              <w:rPr>
                <w:rFonts w:ascii="宋体" w:hAnsi="宋体"/>
                <w:color w:val="auto"/>
                <w:highlight w:val="none"/>
              </w:rPr>
            </w:pPr>
          </w:p>
        </w:tc>
        <w:tc>
          <w:tcPr>
            <w:tcW w:w="347" w:type="pct"/>
            <w:noWrap w:val="0"/>
            <w:vAlign w:val="top"/>
          </w:tcPr>
          <w:p w14:paraId="79FEFD88">
            <w:pPr>
              <w:jc w:val="center"/>
              <w:rPr>
                <w:rFonts w:ascii="宋体" w:hAnsi="宋体"/>
                <w:color w:val="auto"/>
                <w:highlight w:val="none"/>
              </w:rPr>
            </w:pPr>
          </w:p>
        </w:tc>
      </w:tr>
      <w:tr w14:paraId="69BE2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87" w:type="pct"/>
            <w:vMerge w:val="continue"/>
            <w:noWrap w:val="0"/>
            <w:vAlign w:val="center"/>
          </w:tcPr>
          <w:p w14:paraId="188534FE">
            <w:pPr>
              <w:jc w:val="center"/>
              <w:rPr>
                <w:rFonts w:ascii="宋体" w:hAnsi="宋体"/>
                <w:color w:val="auto"/>
                <w:highlight w:val="none"/>
              </w:rPr>
            </w:pPr>
          </w:p>
        </w:tc>
        <w:tc>
          <w:tcPr>
            <w:tcW w:w="555" w:type="pct"/>
            <w:noWrap w:val="0"/>
            <w:vAlign w:val="center"/>
          </w:tcPr>
          <w:p w14:paraId="2DC9091A">
            <w:pPr>
              <w:jc w:val="center"/>
              <w:rPr>
                <w:rFonts w:ascii="宋体" w:hAnsi="宋体"/>
                <w:color w:val="auto"/>
                <w:highlight w:val="none"/>
              </w:rPr>
            </w:pPr>
            <w:r>
              <w:rPr>
                <w:rFonts w:hint="eastAsia" w:ascii="宋体" w:hAnsi="宋体"/>
                <w:color w:val="auto"/>
                <w:highlight w:val="none"/>
              </w:rPr>
              <w:t>管网串接情况</w:t>
            </w:r>
          </w:p>
        </w:tc>
        <w:tc>
          <w:tcPr>
            <w:tcW w:w="347" w:type="pct"/>
            <w:noWrap w:val="0"/>
            <w:vAlign w:val="center"/>
          </w:tcPr>
          <w:p w14:paraId="38F673B8">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0CE2B631">
            <w:pPr>
              <w:rPr>
                <w:rFonts w:ascii="宋体" w:hAnsi="宋体"/>
                <w:color w:val="auto"/>
                <w:highlight w:val="none"/>
              </w:rPr>
            </w:pPr>
            <w:r>
              <w:rPr>
                <w:rFonts w:hint="eastAsia" w:ascii="宋体" w:hAnsi="宋体"/>
                <w:color w:val="auto"/>
                <w:highlight w:val="none"/>
              </w:rPr>
              <w:t>自备水源的供水管网及非生活饮用水管网与乡镇水厂、联村单村水站的供水管网存在非法串接串联情况的，每处扣0.5分，扣完为止。</w:t>
            </w:r>
          </w:p>
        </w:tc>
        <w:tc>
          <w:tcPr>
            <w:tcW w:w="348" w:type="pct"/>
            <w:noWrap w:val="0"/>
            <w:vAlign w:val="center"/>
          </w:tcPr>
          <w:p w14:paraId="60E13141">
            <w:pPr>
              <w:jc w:val="center"/>
              <w:rPr>
                <w:rFonts w:ascii="宋体" w:hAnsi="宋体"/>
                <w:color w:val="auto"/>
                <w:highlight w:val="none"/>
              </w:rPr>
            </w:pPr>
          </w:p>
        </w:tc>
        <w:tc>
          <w:tcPr>
            <w:tcW w:w="347" w:type="pct"/>
            <w:noWrap w:val="0"/>
            <w:vAlign w:val="top"/>
          </w:tcPr>
          <w:p w14:paraId="05FB7AD7">
            <w:pPr>
              <w:jc w:val="center"/>
              <w:rPr>
                <w:rFonts w:ascii="宋体" w:hAnsi="宋体"/>
                <w:color w:val="auto"/>
                <w:highlight w:val="none"/>
              </w:rPr>
            </w:pPr>
          </w:p>
        </w:tc>
      </w:tr>
      <w:tr w14:paraId="2DE8F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487" w:type="pct"/>
            <w:vMerge w:val="continue"/>
            <w:noWrap w:val="0"/>
            <w:vAlign w:val="center"/>
          </w:tcPr>
          <w:p w14:paraId="290338CA">
            <w:pPr>
              <w:jc w:val="center"/>
              <w:rPr>
                <w:rFonts w:ascii="宋体" w:hAnsi="宋体"/>
                <w:color w:val="auto"/>
                <w:highlight w:val="none"/>
              </w:rPr>
            </w:pPr>
          </w:p>
        </w:tc>
        <w:tc>
          <w:tcPr>
            <w:tcW w:w="555" w:type="pct"/>
            <w:noWrap w:val="0"/>
            <w:vAlign w:val="center"/>
          </w:tcPr>
          <w:p w14:paraId="10AFA145">
            <w:pPr>
              <w:jc w:val="center"/>
              <w:rPr>
                <w:rFonts w:ascii="宋体" w:hAnsi="宋体"/>
                <w:color w:val="auto"/>
                <w:highlight w:val="none"/>
              </w:rPr>
            </w:pPr>
            <w:r>
              <w:rPr>
                <w:rFonts w:hint="eastAsia" w:ascii="宋体" w:hAnsi="宋体"/>
                <w:color w:val="auto"/>
                <w:highlight w:val="none"/>
              </w:rPr>
              <w:t>管网维护</w:t>
            </w:r>
          </w:p>
        </w:tc>
        <w:tc>
          <w:tcPr>
            <w:tcW w:w="347" w:type="pct"/>
            <w:noWrap w:val="0"/>
            <w:vAlign w:val="center"/>
          </w:tcPr>
          <w:p w14:paraId="3A68807C">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4AC423BC">
            <w:pPr>
              <w:rPr>
                <w:rFonts w:ascii="宋体" w:hAnsi="宋体"/>
                <w:color w:val="auto"/>
                <w:highlight w:val="none"/>
              </w:rPr>
            </w:pPr>
            <w:r>
              <w:rPr>
                <w:rFonts w:hint="eastAsia" w:ascii="宋体" w:hAnsi="宋体"/>
                <w:color w:val="auto"/>
                <w:highlight w:val="none"/>
              </w:rPr>
              <w:t>定期对末梢管网定期冲洗、排空，未实施的扣1分；</w:t>
            </w:r>
            <w:r>
              <w:rPr>
                <w:rFonts w:hint="eastAsia" w:ascii="宋体" w:hAnsi="宋体"/>
                <w:color w:val="auto"/>
                <w:highlight w:val="none"/>
              </w:rPr>
              <w:br w:type="textWrapping"/>
            </w:r>
            <w:r>
              <w:rPr>
                <w:rFonts w:hint="eastAsia" w:ascii="宋体" w:hAnsi="宋体"/>
                <w:color w:val="auto"/>
                <w:highlight w:val="none"/>
              </w:rPr>
              <w:t>建立供水管网运行维护记录，未开展的扣1分。</w:t>
            </w:r>
          </w:p>
        </w:tc>
        <w:tc>
          <w:tcPr>
            <w:tcW w:w="348" w:type="pct"/>
            <w:noWrap w:val="0"/>
            <w:vAlign w:val="center"/>
          </w:tcPr>
          <w:p w14:paraId="137E848D">
            <w:pPr>
              <w:jc w:val="center"/>
              <w:rPr>
                <w:rFonts w:ascii="宋体" w:hAnsi="宋体"/>
                <w:color w:val="auto"/>
                <w:highlight w:val="none"/>
              </w:rPr>
            </w:pPr>
          </w:p>
        </w:tc>
        <w:tc>
          <w:tcPr>
            <w:tcW w:w="347" w:type="pct"/>
            <w:noWrap w:val="0"/>
            <w:vAlign w:val="top"/>
          </w:tcPr>
          <w:p w14:paraId="3DBF899D">
            <w:pPr>
              <w:jc w:val="center"/>
              <w:rPr>
                <w:rFonts w:ascii="宋体" w:hAnsi="宋体"/>
                <w:color w:val="auto"/>
                <w:highlight w:val="none"/>
              </w:rPr>
            </w:pPr>
          </w:p>
        </w:tc>
      </w:tr>
      <w:tr w14:paraId="46F2B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restart"/>
            <w:noWrap w:val="0"/>
            <w:vAlign w:val="center"/>
          </w:tcPr>
          <w:p w14:paraId="601CF63E">
            <w:pPr>
              <w:jc w:val="center"/>
              <w:rPr>
                <w:rFonts w:ascii="宋体" w:hAnsi="宋体"/>
                <w:color w:val="auto"/>
                <w:highlight w:val="none"/>
              </w:rPr>
            </w:pPr>
            <w:r>
              <w:rPr>
                <w:rFonts w:hint="eastAsia" w:ascii="宋体" w:hAnsi="宋体"/>
                <w:color w:val="auto"/>
                <w:highlight w:val="none"/>
              </w:rPr>
              <w:t>数字化要求（12分）</w:t>
            </w:r>
          </w:p>
        </w:tc>
        <w:tc>
          <w:tcPr>
            <w:tcW w:w="555" w:type="pct"/>
            <w:noWrap w:val="0"/>
            <w:vAlign w:val="center"/>
          </w:tcPr>
          <w:p w14:paraId="59A3F94C">
            <w:pPr>
              <w:jc w:val="center"/>
              <w:rPr>
                <w:rFonts w:ascii="宋体" w:hAnsi="宋体"/>
                <w:color w:val="auto"/>
                <w:highlight w:val="none"/>
              </w:rPr>
            </w:pPr>
            <w:r>
              <w:rPr>
                <w:rFonts w:hint="eastAsia" w:ascii="宋体" w:hAnsi="宋体"/>
                <w:color w:val="auto"/>
                <w:highlight w:val="none"/>
              </w:rPr>
              <w:t>农村供水管理平台</w:t>
            </w:r>
          </w:p>
        </w:tc>
        <w:tc>
          <w:tcPr>
            <w:tcW w:w="347" w:type="pct"/>
            <w:noWrap w:val="0"/>
            <w:vAlign w:val="center"/>
          </w:tcPr>
          <w:p w14:paraId="5BD97A71">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0624283F">
            <w:pPr>
              <w:rPr>
                <w:rFonts w:hint="eastAsia" w:ascii="宋体" w:hAnsi="宋体"/>
                <w:color w:val="auto"/>
                <w:highlight w:val="none"/>
              </w:rPr>
            </w:pPr>
            <w:r>
              <w:rPr>
                <w:rFonts w:hint="eastAsia" w:ascii="宋体" w:hAnsi="宋体"/>
                <w:color w:val="auto"/>
                <w:highlight w:val="none"/>
              </w:rPr>
              <w:t>统管单位未设置县级农村水务数字化运行管理平台的，扣2分；</w:t>
            </w:r>
          </w:p>
          <w:p w14:paraId="5E6DB9AC">
            <w:pPr>
              <w:rPr>
                <w:rFonts w:ascii="宋体" w:hAnsi="宋体"/>
                <w:color w:val="auto"/>
                <w:highlight w:val="none"/>
              </w:rPr>
            </w:pPr>
            <w:r>
              <w:rPr>
                <w:rFonts w:hint="eastAsia" w:ascii="宋体" w:hAnsi="宋体"/>
                <w:color w:val="auto"/>
                <w:highlight w:val="none"/>
              </w:rPr>
              <w:t>相关数据未及时共享至省、市、县城乡供水数字化监管平台的，每处扣0.2分，扣完为止。</w:t>
            </w:r>
          </w:p>
        </w:tc>
        <w:tc>
          <w:tcPr>
            <w:tcW w:w="348" w:type="pct"/>
            <w:noWrap w:val="0"/>
            <w:vAlign w:val="center"/>
          </w:tcPr>
          <w:p w14:paraId="0A978246">
            <w:pPr>
              <w:jc w:val="center"/>
              <w:rPr>
                <w:rFonts w:ascii="宋体" w:hAnsi="宋体"/>
                <w:color w:val="auto"/>
                <w:highlight w:val="none"/>
              </w:rPr>
            </w:pPr>
          </w:p>
        </w:tc>
        <w:tc>
          <w:tcPr>
            <w:tcW w:w="347" w:type="pct"/>
            <w:noWrap w:val="0"/>
            <w:vAlign w:val="top"/>
          </w:tcPr>
          <w:p w14:paraId="0CEB1E61">
            <w:pPr>
              <w:jc w:val="center"/>
              <w:rPr>
                <w:rFonts w:ascii="宋体" w:hAnsi="宋体"/>
                <w:color w:val="auto"/>
                <w:highlight w:val="none"/>
              </w:rPr>
            </w:pPr>
          </w:p>
        </w:tc>
      </w:tr>
      <w:tr w14:paraId="5F55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87" w:type="pct"/>
            <w:vMerge w:val="continue"/>
            <w:noWrap w:val="0"/>
            <w:vAlign w:val="center"/>
          </w:tcPr>
          <w:p w14:paraId="653ABF41">
            <w:pPr>
              <w:jc w:val="center"/>
              <w:rPr>
                <w:rFonts w:ascii="宋体" w:hAnsi="宋体"/>
                <w:color w:val="auto"/>
                <w:highlight w:val="none"/>
              </w:rPr>
            </w:pPr>
          </w:p>
        </w:tc>
        <w:tc>
          <w:tcPr>
            <w:tcW w:w="555" w:type="pct"/>
            <w:noWrap w:val="0"/>
            <w:vAlign w:val="center"/>
          </w:tcPr>
          <w:p w14:paraId="2D63DAC7">
            <w:pPr>
              <w:jc w:val="center"/>
              <w:rPr>
                <w:rFonts w:ascii="宋体" w:hAnsi="宋体"/>
                <w:color w:val="auto"/>
                <w:highlight w:val="none"/>
              </w:rPr>
            </w:pPr>
            <w:r>
              <w:rPr>
                <w:rFonts w:hint="eastAsia" w:ascii="宋体" w:hAnsi="宋体"/>
                <w:color w:val="auto"/>
                <w:highlight w:val="none"/>
              </w:rPr>
              <w:t>在线监测设置</w:t>
            </w:r>
          </w:p>
        </w:tc>
        <w:tc>
          <w:tcPr>
            <w:tcW w:w="347" w:type="pct"/>
            <w:noWrap w:val="0"/>
            <w:vAlign w:val="center"/>
          </w:tcPr>
          <w:p w14:paraId="574C7068">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1BEAABA4">
            <w:pPr>
              <w:rPr>
                <w:rFonts w:ascii="宋体" w:hAnsi="宋体"/>
                <w:color w:val="auto"/>
                <w:highlight w:val="none"/>
              </w:rPr>
            </w:pPr>
            <w:r>
              <w:rPr>
                <w:rFonts w:hint="eastAsia" w:ascii="宋体" w:hAnsi="宋体"/>
                <w:color w:val="auto"/>
                <w:highlight w:val="none"/>
              </w:rPr>
              <w:t>水库、山塘、河流湖泊等水源地未设置水源地水量、千人以上水厂（站）进水口和出水口水质水量在线监测设备的，每处扣0.2分，扣完为止；</w:t>
            </w:r>
          </w:p>
        </w:tc>
        <w:tc>
          <w:tcPr>
            <w:tcW w:w="348" w:type="pct"/>
            <w:noWrap w:val="0"/>
            <w:vAlign w:val="center"/>
          </w:tcPr>
          <w:p w14:paraId="1C62A42E">
            <w:pPr>
              <w:jc w:val="center"/>
              <w:rPr>
                <w:rFonts w:ascii="宋体" w:hAnsi="宋体"/>
                <w:color w:val="auto"/>
                <w:highlight w:val="none"/>
              </w:rPr>
            </w:pPr>
          </w:p>
        </w:tc>
        <w:tc>
          <w:tcPr>
            <w:tcW w:w="347" w:type="pct"/>
            <w:noWrap w:val="0"/>
            <w:vAlign w:val="top"/>
          </w:tcPr>
          <w:p w14:paraId="67BF556D">
            <w:pPr>
              <w:jc w:val="center"/>
              <w:rPr>
                <w:rFonts w:ascii="宋体" w:hAnsi="宋体"/>
                <w:color w:val="auto"/>
                <w:highlight w:val="none"/>
              </w:rPr>
            </w:pPr>
          </w:p>
        </w:tc>
      </w:tr>
      <w:tr w14:paraId="1EAC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487" w:type="pct"/>
            <w:vMerge w:val="continue"/>
            <w:noWrap w:val="0"/>
            <w:vAlign w:val="center"/>
          </w:tcPr>
          <w:p w14:paraId="68821B2A">
            <w:pPr>
              <w:jc w:val="center"/>
              <w:rPr>
                <w:rFonts w:ascii="宋体" w:hAnsi="宋体"/>
                <w:color w:val="auto"/>
                <w:highlight w:val="none"/>
              </w:rPr>
            </w:pPr>
          </w:p>
        </w:tc>
        <w:tc>
          <w:tcPr>
            <w:tcW w:w="555" w:type="pct"/>
            <w:noWrap w:val="0"/>
            <w:vAlign w:val="center"/>
          </w:tcPr>
          <w:p w14:paraId="3D5D5686">
            <w:pPr>
              <w:jc w:val="center"/>
              <w:rPr>
                <w:rFonts w:ascii="宋体" w:hAnsi="宋体"/>
                <w:color w:val="auto"/>
                <w:highlight w:val="none"/>
              </w:rPr>
            </w:pPr>
            <w:r>
              <w:rPr>
                <w:rFonts w:hint="eastAsia" w:ascii="宋体" w:hAnsi="宋体"/>
                <w:color w:val="auto"/>
                <w:highlight w:val="none"/>
              </w:rPr>
              <w:t>视频监控</w:t>
            </w:r>
          </w:p>
        </w:tc>
        <w:tc>
          <w:tcPr>
            <w:tcW w:w="347" w:type="pct"/>
            <w:noWrap w:val="0"/>
            <w:vAlign w:val="center"/>
          </w:tcPr>
          <w:p w14:paraId="73F435A1">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5E3C80EE">
            <w:pPr>
              <w:rPr>
                <w:rFonts w:ascii="宋体" w:hAnsi="宋体"/>
                <w:color w:val="auto"/>
                <w:highlight w:val="none"/>
              </w:rPr>
            </w:pPr>
            <w:r>
              <w:rPr>
                <w:rFonts w:hint="eastAsia" w:ascii="宋体" w:hAnsi="宋体"/>
                <w:color w:val="auto"/>
                <w:highlight w:val="none"/>
              </w:rPr>
              <w:t>千人以上水厂（站）水源地取水口、水厂（站）加药间、厂区大门等关键位置未设置视频在线监控，并配备中控室与中控系统的，每处扣0.2分，扣完为止。</w:t>
            </w:r>
          </w:p>
        </w:tc>
        <w:tc>
          <w:tcPr>
            <w:tcW w:w="348" w:type="pct"/>
            <w:noWrap w:val="0"/>
            <w:vAlign w:val="center"/>
          </w:tcPr>
          <w:p w14:paraId="4B8E0338">
            <w:pPr>
              <w:jc w:val="center"/>
              <w:rPr>
                <w:rFonts w:ascii="宋体" w:hAnsi="宋体"/>
                <w:color w:val="auto"/>
                <w:highlight w:val="none"/>
              </w:rPr>
            </w:pPr>
          </w:p>
        </w:tc>
        <w:tc>
          <w:tcPr>
            <w:tcW w:w="347" w:type="pct"/>
            <w:noWrap w:val="0"/>
            <w:vAlign w:val="top"/>
          </w:tcPr>
          <w:p w14:paraId="6FC9F8E9">
            <w:pPr>
              <w:jc w:val="center"/>
              <w:rPr>
                <w:rFonts w:ascii="宋体" w:hAnsi="宋体"/>
                <w:color w:val="auto"/>
                <w:highlight w:val="none"/>
              </w:rPr>
            </w:pPr>
          </w:p>
        </w:tc>
      </w:tr>
      <w:tr w14:paraId="7C15F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continue"/>
            <w:noWrap w:val="0"/>
            <w:vAlign w:val="center"/>
          </w:tcPr>
          <w:p w14:paraId="381365E0">
            <w:pPr>
              <w:jc w:val="center"/>
              <w:rPr>
                <w:rFonts w:ascii="宋体" w:hAnsi="宋体"/>
                <w:color w:val="auto"/>
                <w:highlight w:val="none"/>
              </w:rPr>
            </w:pPr>
          </w:p>
        </w:tc>
        <w:tc>
          <w:tcPr>
            <w:tcW w:w="555" w:type="pct"/>
            <w:noWrap w:val="0"/>
            <w:vAlign w:val="center"/>
          </w:tcPr>
          <w:p w14:paraId="1637E019">
            <w:pPr>
              <w:jc w:val="center"/>
              <w:rPr>
                <w:rFonts w:ascii="宋体" w:hAnsi="宋体"/>
                <w:color w:val="auto"/>
                <w:highlight w:val="none"/>
              </w:rPr>
            </w:pPr>
            <w:r>
              <w:rPr>
                <w:rFonts w:hint="eastAsia" w:ascii="宋体" w:hAnsi="宋体"/>
                <w:color w:val="auto"/>
                <w:highlight w:val="none"/>
              </w:rPr>
              <w:t>制水自动化</w:t>
            </w:r>
          </w:p>
        </w:tc>
        <w:tc>
          <w:tcPr>
            <w:tcW w:w="347" w:type="pct"/>
            <w:noWrap w:val="0"/>
            <w:vAlign w:val="center"/>
          </w:tcPr>
          <w:p w14:paraId="243A87FC">
            <w:pPr>
              <w:jc w:val="center"/>
              <w:rPr>
                <w:rFonts w:ascii="宋体" w:hAnsi="宋体"/>
                <w:color w:val="auto"/>
                <w:highlight w:val="none"/>
              </w:rPr>
            </w:pPr>
            <w:r>
              <w:rPr>
                <w:rFonts w:hint="eastAsia" w:ascii="宋体" w:hAnsi="宋体"/>
                <w:color w:val="auto"/>
                <w:highlight w:val="none"/>
              </w:rPr>
              <w:t>3</w:t>
            </w:r>
          </w:p>
        </w:tc>
        <w:tc>
          <w:tcPr>
            <w:tcW w:w="2916" w:type="pct"/>
            <w:noWrap w:val="0"/>
            <w:vAlign w:val="center"/>
          </w:tcPr>
          <w:p w14:paraId="2E6D8123">
            <w:pPr>
              <w:rPr>
                <w:rFonts w:ascii="宋体" w:hAnsi="宋体"/>
                <w:color w:val="auto"/>
                <w:highlight w:val="none"/>
              </w:rPr>
            </w:pPr>
            <w:r>
              <w:rPr>
                <w:rFonts w:hint="eastAsia" w:ascii="宋体" w:hAnsi="宋体"/>
                <w:color w:val="auto"/>
                <w:highlight w:val="none"/>
              </w:rPr>
              <w:t>千人以上水厂（站）药剂投加设备未实现自动投加、智能调控的，每座扣0.5分，扣完为止；</w:t>
            </w:r>
            <w:r>
              <w:rPr>
                <w:rFonts w:hint="eastAsia" w:ascii="宋体" w:hAnsi="宋体"/>
                <w:color w:val="auto"/>
                <w:highlight w:val="none"/>
              </w:rPr>
              <w:br w:type="page"/>
            </w:r>
            <w:r>
              <w:rPr>
                <w:rFonts w:hint="eastAsia" w:ascii="宋体" w:hAnsi="宋体"/>
                <w:color w:val="auto"/>
                <w:highlight w:val="none"/>
              </w:rPr>
              <w:t>千人以下水站均参照设置的得1分，否则按比例得分。</w:t>
            </w:r>
          </w:p>
        </w:tc>
        <w:tc>
          <w:tcPr>
            <w:tcW w:w="348" w:type="pct"/>
            <w:noWrap w:val="0"/>
            <w:vAlign w:val="center"/>
          </w:tcPr>
          <w:p w14:paraId="08D799CB">
            <w:pPr>
              <w:jc w:val="center"/>
              <w:rPr>
                <w:rFonts w:ascii="宋体" w:hAnsi="宋体"/>
                <w:color w:val="auto"/>
                <w:highlight w:val="none"/>
              </w:rPr>
            </w:pPr>
          </w:p>
        </w:tc>
        <w:tc>
          <w:tcPr>
            <w:tcW w:w="347" w:type="pct"/>
            <w:noWrap w:val="0"/>
            <w:vAlign w:val="top"/>
          </w:tcPr>
          <w:p w14:paraId="468F3AF8">
            <w:pPr>
              <w:jc w:val="center"/>
              <w:rPr>
                <w:rFonts w:ascii="宋体" w:hAnsi="宋体"/>
                <w:color w:val="auto"/>
                <w:highlight w:val="none"/>
              </w:rPr>
            </w:pPr>
          </w:p>
        </w:tc>
      </w:tr>
      <w:tr w14:paraId="43320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487" w:type="pct"/>
            <w:vMerge w:val="continue"/>
            <w:noWrap w:val="0"/>
            <w:vAlign w:val="center"/>
          </w:tcPr>
          <w:p w14:paraId="18C7947C">
            <w:pPr>
              <w:jc w:val="center"/>
              <w:rPr>
                <w:rFonts w:ascii="宋体" w:hAnsi="宋体"/>
                <w:color w:val="auto"/>
                <w:highlight w:val="none"/>
              </w:rPr>
            </w:pPr>
          </w:p>
        </w:tc>
        <w:tc>
          <w:tcPr>
            <w:tcW w:w="555" w:type="pct"/>
            <w:noWrap w:val="0"/>
            <w:vAlign w:val="center"/>
          </w:tcPr>
          <w:p w14:paraId="550A57C0">
            <w:pPr>
              <w:jc w:val="center"/>
              <w:rPr>
                <w:rFonts w:ascii="宋体" w:hAnsi="宋体"/>
                <w:color w:val="auto"/>
                <w:highlight w:val="none"/>
              </w:rPr>
            </w:pPr>
            <w:r>
              <w:rPr>
                <w:rFonts w:hint="eastAsia" w:ascii="宋体" w:hAnsi="宋体"/>
                <w:color w:val="auto"/>
                <w:highlight w:val="none"/>
              </w:rPr>
              <w:t>管网监测</w:t>
            </w:r>
          </w:p>
        </w:tc>
        <w:tc>
          <w:tcPr>
            <w:tcW w:w="347" w:type="pct"/>
            <w:noWrap w:val="0"/>
            <w:vAlign w:val="center"/>
          </w:tcPr>
          <w:p w14:paraId="06CF7B31">
            <w:pPr>
              <w:jc w:val="center"/>
              <w:rPr>
                <w:rFonts w:ascii="宋体" w:hAnsi="宋体"/>
                <w:color w:val="auto"/>
                <w:highlight w:val="none"/>
              </w:rPr>
            </w:pPr>
            <w:r>
              <w:rPr>
                <w:rFonts w:hint="eastAsia" w:ascii="宋体" w:hAnsi="宋体"/>
                <w:color w:val="auto"/>
                <w:highlight w:val="none"/>
              </w:rPr>
              <w:t>1</w:t>
            </w:r>
          </w:p>
        </w:tc>
        <w:tc>
          <w:tcPr>
            <w:tcW w:w="2916" w:type="pct"/>
            <w:noWrap w:val="0"/>
            <w:vAlign w:val="center"/>
          </w:tcPr>
          <w:p w14:paraId="71311502">
            <w:pPr>
              <w:rPr>
                <w:rFonts w:ascii="宋体" w:hAnsi="宋体"/>
                <w:color w:val="auto"/>
                <w:highlight w:val="none"/>
              </w:rPr>
            </w:pPr>
            <w:r>
              <w:rPr>
                <w:rFonts w:hint="eastAsia" w:ascii="宋体" w:hAnsi="宋体"/>
                <w:color w:val="auto"/>
                <w:highlight w:val="none"/>
              </w:rPr>
              <w:t>统管单位对乡镇水厂的主管道设置压力监测点，按比例得分。</w:t>
            </w:r>
          </w:p>
        </w:tc>
        <w:tc>
          <w:tcPr>
            <w:tcW w:w="348" w:type="pct"/>
            <w:noWrap w:val="0"/>
            <w:vAlign w:val="center"/>
          </w:tcPr>
          <w:p w14:paraId="6F276786">
            <w:pPr>
              <w:jc w:val="center"/>
              <w:rPr>
                <w:rFonts w:ascii="宋体" w:hAnsi="宋体"/>
                <w:color w:val="auto"/>
                <w:highlight w:val="none"/>
              </w:rPr>
            </w:pPr>
          </w:p>
        </w:tc>
        <w:tc>
          <w:tcPr>
            <w:tcW w:w="347" w:type="pct"/>
            <w:noWrap w:val="0"/>
            <w:vAlign w:val="top"/>
          </w:tcPr>
          <w:p w14:paraId="541EF09C">
            <w:pPr>
              <w:jc w:val="center"/>
              <w:rPr>
                <w:rFonts w:ascii="宋体" w:hAnsi="宋体"/>
                <w:color w:val="auto"/>
                <w:highlight w:val="none"/>
              </w:rPr>
            </w:pPr>
          </w:p>
        </w:tc>
      </w:tr>
      <w:tr w14:paraId="32DEF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487" w:type="pct"/>
            <w:vMerge w:val="restart"/>
            <w:noWrap w:val="0"/>
            <w:vAlign w:val="center"/>
          </w:tcPr>
          <w:p w14:paraId="03F58264">
            <w:pPr>
              <w:jc w:val="center"/>
              <w:rPr>
                <w:rFonts w:ascii="宋体" w:hAnsi="宋体"/>
                <w:color w:val="auto"/>
                <w:highlight w:val="none"/>
              </w:rPr>
            </w:pPr>
            <w:r>
              <w:rPr>
                <w:rFonts w:hint="eastAsia" w:ascii="宋体" w:hAnsi="宋体"/>
                <w:color w:val="auto"/>
                <w:highlight w:val="none"/>
              </w:rPr>
              <w:t>供水服务（8分）</w:t>
            </w:r>
          </w:p>
        </w:tc>
        <w:tc>
          <w:tcPr>
            <w:tcW w:w="555" w:type="pct"/>
            <w:noWrap w:val="0"/>
            <w:vAlign w:val="center"/>
          </w:tcPr>
          <w:p w14:paraId="1412B723">
            <w:pPr>
              <w:jc w:val="center"/>
              <w:rPr>
                <w:rFonts w:ascii="宋体" w:hAnsi="宋体"/>
                <w:color w:val="auto"/>
                <w:highlight w:val="none"/>
              </w:rPr>
            </w:pPr>
            <w:r>
              <w:rPr>
                <w:rFonts w:hint="eastAsia" w:ascii="宋体" w:hAnsi="宋体"/>
                <w:color w:val="auto"/>
                <w:highlight w:val="none"/>
              </w:rPr>
              <w:t>服务热线</w:t>
            </w:r>
          </w:p>
        </w:tc>
        <w:tc>
          <w:tcPr>
            <w:tcW w:w="347" w:type="pct"/>
            <w:noWrap w:val="0"/>
            <w:vAlign w:val="center"/>
          </w:tcPr>
          <w:p w14:paraId="43EB0B46">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41BDC3A5">
            <w:pPr>
              <w:rPr>
                <w:rFonts w:ascii="宋体" w:hAnsi="宋体"/>
                <w:color w:val="auto"/>
                <w:highlight w:val="none"/>
              </w:rPr>
            </w:pPr>
            <w:r>
              <w:rPr>
                <w:rFonts w:hint="eastAsia" w:ascii="宋体" w:hAnsi="宋体"/>
                <w:color w:val="auto"/>
                <w:highlight w:val="none"/>
              </w:rPr>
              <w:t>统管单位未设置24小时服务热线的，扣2分。</w:t>
            </w:r>
          </w:p>
        </w:tc>
        <w:tc>
          <w:tcPr>
            <w:tcW w:w="348" w:type="pct"/>
            <w:noWrap w:val="0"/>
            <w:vAlign w:val="center"/>
          </w:tcPr>
          <w:p w14:paraId="4A89FE39">
            <w:pPr>
              <w:jc w:val="center"/>
              <w:rPr>
                <w:rFonts w:ascii="宋体" w:hAnsi="宋体"/>
                <w:color w:val="auto"/>
                <w:highlight w:val="none"/>
              </w:rPr>
            </w:pPr>
          </w:p>
        </w:tc>
        <w:tc>
          <w:tcPr>
            <w:tcW w:w="347" w:type="pct"/>
            <w:noWrap w:val="0"/>
            <w:vAlign w:val="top"/>
          </w:tcPr>
          <w:p w14:paraId="548C8034">
            <w:pPr>
              <w:jc w:val="center"/>
              <w:rPr>
                <w:rFonts w:ascii="宋体" w:hAnsi="宋体"/>
                <w:color w:val="auto"/>
                <w:highlight w:val="none"/>
              </w:rPr>
            </w:pPr>
          </w:p>
        </w:tc>
      </w:tr>
      <w:tr w14:paraId="1B6EE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continue"/>
            <w:noWrap w:val="0"/>
            <w:vAlign w:val="center"/>
          </w:tcPr>
          <w:p w14:paraId="37E4010E">
            <w:pPr>
              <w:jc w:val="center"/>
              <w:rPr>
                <w:rFonts w:ascii="宋体" w:hAnsi="宋体"/>
                <w:color w:val="auto"/>
                <w:highlight w:val="none"/>
              </w:rPr>
            </w:pPr>
          </w:p>
        </w:tc>
        <w:tc>
          <w:tcPr>
            <w:tcW w:w="555" w:type="pct"/>
            <w:noWrap w:val="0"/>
            <w:vAlign w:val="center"/>
          </w:tcPr>
          <w:p w14:paraId="37920DD3">
            <w:pPr>
              <w:jc w:val="center"/>
              <w:rPr>
                <w:rFonts w:ascii="宋体" w:hAnsi="宋体"/>
                <w:color w:val="auto"/>
                <w:highlight w:val="none"/>
              </w:rPr>
            </w:pPr>
            <w:r>
              <w:rPr>
                <w:rFonts w:hint="eastAsia" w:ascii="宋体" w:hAnsi="宋体"/>
                <w:color w:val="auto"/>
                <w:highlight w:val="none"/>
              </w:rPr>
              <w:t>服务队伍</w:t>
            </w:r>
          </w:p>
        </w:tc>
        <w:tc>
          <w:tcPr>
            <w:tcW w:w="347" w:type="pct"/>
            <w:noWrap w:val="0"/>
            <w:vAlign w:val="center"/>
          </w:tcPr>
          <w:p w14:paraId="1BC80F67">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6D11A352">
            <w:pPr>
              <w:rPr>
                <w:rFonts w:hint="eastAsia" w:ascii="宋体" w:hAnsi="宋体"/>
                <w:color w:val="auto"/>
                <w:highlight w:val="none"/>
              </w:rPr>
            </w:pPr>
            <w:r>
              <w:rPr>
                <w:rFonts w:hint="eastAsia" w:ascii="宋体" w:hAnsi="宋体"/>
                <w:color w:val="auto"/>
                <w:highlight w:val="none"/>
              </w:rPr>
              <w:t>统管单位未配备专业应急抢修队伍，实行24小时值班的，扣1分；</w:t>
            </w:r>
          </w:p>
          <w:p w14:paraId="31E62367">
            <w:pPr>
              <w:rPr>
                <w:rFonts w:ascii="宋体" w:hAnsi="宋体"/>
                <w:color w:val="auto"/>
                <w:highlight w:val="none"/>
              </w:rPr>
            </w:pPr>
            <w:r>
              <w:rPr>
                <w:rFonts w:hint="eastAsia" w:ascii="宋体" w:hAnsi="宋体"/>
                <w:color w:val="auto"/>
                <w:highlight w:val="none"/>
              </w:rPr>
              <w:t>未配备完善的快速抢修器材、机具，未实现3小时供水服务圈的，扣1分。</w:t>
            </w:r>
          </w:p>
        </w:tc>
        <w:tc>
          <w:tcPr>
            <w:tcW w:w="348" w:type="pct"/>
            <w:noWrap w:val="0"/>
            <w:vAlign w:val="center"/>
          </w:tcPr>
          <w:p w14:paraId="39A3CD06">
            <w:pPr>
              <w:jc w:val="center"/>
              <w:rPr>
                <w:rFonts w:ascii="宋体" w:hAnsi="宋体"/>
                <w:color w:val="auto"/>
                <w:highlight w:val="none"/>
              </w:rPr>
            </w:pPr>
          </w:p>
        </w:tc>
        <w:tc>
          <w:tcPr>
            <w:tcW w:w="347" w:type="pct"/>
            <w:noWrap w:val="0"/>
            <w:vAlign w:val="top"/>
          </w:tcPr>
          <w:p w14:paraId="490A620C">
            <w:pPr>
              <w:jc w:val="center"/>
              <w:rPr>
                <w:rFonts w:ascii="宋体" w:hAnsi="宋体"/>
                <w:color w:val="auto"/>
                <w:highlight w:val="none"/>
              </w:rPr>
            </w:pPr>
          </w:p>
        </w:tc>
      </w:tr>
      <w:tr w14:paraId="33E73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87" w:type="pct"/>
            <w:vMerge w:val="continue"/>
            <w:noWrap w:val="0"/>
            <w:vAlign w:val="center"/>
          </w:tcPr>
          <w:p w14:paraId="2FB77F9C">
            <w:pPr>
              <w:jc w:val="center"/>
              <w:rPr>
                <w:rFonts w:ascii="宋体" w:hAnsi="宋体"/>
                <w:color w:val="auto"/>
                <w:highlight w:val="none"/>
              </w:rPr>
            </w:pPr>
          </w:p>
        </w:tc>
        <w:tc>
          <w:tcPr>
            <w:tcW w:w="555" w:type="pct"/>
            <w:noWrap w:val="0"/>
            <w:vAlign w:val="center"/>
          </w:tcPr>
          <w:p w14:paraId="58558BD3">
            <w:pPr>
              <w:jc w:val="center"/>
              <w:rPr>
                <w:rFonts w:ascii="宋体" w:hAnsi="宋体"/>
                <w:color w:val="auto"/>
                <w:highlight w:val="none"/>
              </w:rPr>
            </w:pPr>
            <w:r>
              <w:rPr>
                <w:rFonts w:hint="eastAsia" w:ascii="宋体" w:hAnsi="宋体"/>
                <w:color w:val="auto"/>
                <w:highlight w:val="none"/>
              </w:rPr>
              <w:t>通知公告</w:t>
            </w:r>
          </w:p>
        </w:tc>
        <w:tc>
          <w:tcPr>
            <w:tcW w:w="347" w:type="pct"/>
            <w:noWrap w:val="0"/>
            <w:vAlign w:val="center"/>
          </w:tcPr>
          <w:p w14:paraId="55306C65">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4E38A975">
            <w:pPr>
              <w:rPr>
                <w:rFonts w:ascii="宋体" w:hAnsi="宋体"/>
                <w:color w:val="auto"/>
                <w:highlight w:val="none"/>
              </w:rPr>
            </w:pPr>
            <w:r>
              <w:rPr>
                <w:rFonts w:hint="eastAsia" w:ascii="宋体" w:hAnsi="宋体"/>
                <w:color w:val="auto"/>
                <w:highlight w:val="none"/>
              </w:rPr>
              <w:t>县级统管单位应建立信息发布和公告制度的，扣1分；</w:t>
            </w:r>
            <w:r>
              <w:rPr>
                <w:rFonts w:hint="eastAsia" w:ascii="宋体" w:hAnsi="宋体"/>
                <w:color w:val="auto"/>
                <w:highlight w:val="none"/>
              </w:rPr>
              <w:br w:type="textWrapping"/>
            </w:r>
            <w:r>
              <w:rPr>
                <w:rFonts w:hint="eastAsia" w:ascii="宋体" w:hAnsi="宋体"/>
                <w:color w:val="auto"/>
                <w:highlight w:val="none"/>
              </w:rPr>
              <w:t>当供水工程需要应急停水时，未通过短信等方式提前通告的，每次扣0.5分，扣完为止。</w:t>
            </w:r>
          </w:p>
        </w:tc>
        <w:tc>
          <w:tcPr>
            <w:tcW w:w="348" w:type="pct"/>
            <w:noWrap w:val="0"/>
            <w:vAlign w:val="center"/>
          </w:tcPr>
          <w:p w14:paraId="0B5E3785">
            <w:pPr>
              <w:jc w:val="center"/>
              <w:rPr>
                <w:rFonts w:ascii="宋体" w:hAnsi="宋体"/>
                <w:color w:val="auto"/>
                <w:highlight w:val="none"/>
              </w:rPr>
            </w:pPr>
          </w:p>
        </w:tc>
        <w:tc>
          <w:tcPr>
            <w:tcW w:w="347" w:type="pct"/>
            <w:noWrap w:val="0"/>
            <w:vAlign w:val="top"/>
          </w:tcPr>
          <w:p w14:paraId="5575123A">
            <w:pPr>
              <w:jc w:val="center"/>
              <w:rPr>
                <w:rFonts w:ascii="宋体" w:hAnsi="宋体"/>
                <w:color w:val="auto"/>
                <w:highlight w:val="none"/>
              </w:rPr>
            </w:pPr>
          </w:p>
        </w:tc>
      </w:tr>
      <w:tr w14:paraId="07ECC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487" w:type="pct"/>
            <w:vMerge w:val="continue"/>
            <w:noWrap w:val="0"/>
            <w:vAlign w:val="center"/>
          </w:tcPr>
          <w:p w14:paraId="52A0774F">
            <w:pPr>
              <w:jc w:val="center"/>
              <w:rPr>
                <w:rFonts w:ascii="宋体" w:hAnsi="宋体"/>
                <w:color w:val="auto"/>
                <w:highlight w:val="none"/>
              </w:rPr>
            </w:pPr>
          </w:p>
        </w:tc>
        <w:tc>
          <w:tcPr>
            <w:tcW w:w="555" w:type="pct"/>
            <w:noWrap w:val="0"/>
            <w:vAlign w:val="center"/>
          </w:tcPr>
          <w:p w14:paraId="78F4E5A5">
            <w:pPr>
              <w:jc w:val="center"/>
              <w:rPr>
                <w:rFonts w:ascii="宋体" w:hAnsi="宋体"/>
                <w:color w:val="auto"/>
                <w:highlight w:val="none"/>
              </w:rPr>
            </w:pPr>
            <w:r>
              <w:rPr>
                <w:rFonts w:hint="eastAsia" w:ascii="宋体" w:hAnsi="宋体"/>
                <w:color w:val="auto"/>
                <w:highlight w:val="none"/>
              </w:rPr>
              <w:t>应急抢修</w:t>
            </w:r>
          </w:p>
        </w:tc>
        <w:tc>
          <w:tcPr>
            <w:tcW w:w="347" w:type="pct"/>
            <w:noWrap w:val="0"/>
            <w:vAlign w:val="center"/>
          </w:tcPr>
          <w:p w14:paraId="2DA5D494">
            <w:pPr>
              <w:jc w:val="center"/>
              <w:rPr>
                <w:rFonts w:ascii="宋体" w:hAnsi="宋体"/>
                <w:color w:val="auto"/>
                <w:highlight w:val="none"/>
              </w:rPr>
            </w:pPr>
            <w:r>
              <w:rPr>
                <w:rFonts w:hint="eastAsia" w:ascii="宋体" w:hAnsi="宋体"/>
                <w:color w:val="auto"/>
                <w:highlight w:val="none"/>
              </w:rPr>
              <w:t>2</w:t>
            </w:r>
          </w:p>
        </w:tc>
        <w:tc>
          <w:tcPr>
            <w:tcW w:w="2916" w:type="pct"/>
            <w:noWrap w:val="0"/>
            <w:vAlign w:val="center"/>
          </w:tcPr>
          <w:p w14:paraId="45EF539D">
            <w:pPr>
              <w:rPr>
                <w:rFonts w:ascii="宋体" w:hAnsi="宋体"/>
                <w:color w:val="auto"/>
                <w:highlight w:val="none"/>
              </w:rPr>
            </w:pPr>
            <w:r>
              <w:rPr>
                <w:rFonts w:hint="eastAsia" w:ascii="宋体" w:hAnsi="宋体"/>
                <w:color w:val="auto"/>
                <w:highlight w:val="none"/>
              </w:rPr>
              <w:t>发生爆管等事故时，（原则上）未在3日内修复的，每次扣0.5分，扣完为止。</w:t>
            </w:r>
          </w:p>
        </w:tc>
        <w:tc>
          <w:tcPr>
            <w:tcW w:w="348" w:type="pct"/>
            <w:noWrap w:val="0"/>
            <w:vAlign w:val="center"/>
          </w:tcPr>
          <w:p w14:paraId="4F253DB6">
            <w:pPr>
              <w:jc w:val="center"/>
              <w:rPr>
                <w:rFonts w:ascii="宋体" w:hAnsi="宋体"/>
                <w:color w:val="auto"/>
                <w:highlight w:val="none"/>
              </w:rPr>
            </w:pPr>
          </w:p>
        </w:tc>
        <w:tc>
          <w:tcPr>
            <w:tcW w:w="347" w:type="pct"/>
            <w:noWrap w:val="0"/>
            <w:vAlign w:val="top"/>
          </w:tcPr>
          <w:p w14:paraId="4AE660A6">
            <w:pPr>
              <w:jc w:val="center"/>
              <w:rPr>
                <w:rFonts w:ascii="宋体" w:hAnsi="宋体"/>
                <w:color w:val="auto"/>
                <w:highlight w:val="none"/>
              </w:rPr>
            </w:pPr>
          </w:p>
        </w:tc>
      </w:tr>
      <w:tr w14:paraId="0BC79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87" w:type="pct"/>
            <w:vMerge w:val="restart"/>
            <w:noWrap w:val="0"/>
            <w:vAlign w:val="center"/>
          </w:tcPr>
          <w:p w14:paraId="3146EF95">
            <w:pPr>
              <w:jc w:val="center"/>
              <w:rPr>
                <w:rFonts w:ascii="宋体" w:hAnsi="宋体"/>
                <w:color w:val="auto"/>
                <w:highlight w:val="none"/>
              </w:rPr>
            </w:pPr>
            <w:r>
              <w:rPr>
                <w:rFonts w:hint="eastAsia" w:ascii="宋体" w:hAnsi="宋体"/>
                <w:color w:val="auto"/>
                <w:highlight w:val="none"/>
              </w:rPr>
              <w:t>其它要求（10分）</w:t>
            </w:r>
          </w:p>
        </w:tc>
        <w:tc>
          <w:tcPr>
            <w:tcW w:w="555" w:type="pct"/>
            <w:noWrap w:val="0"/>
            <w:vAlign w:val="center"/>
          </w:tcPr>
          <w:p w14:paraId="4E167337">
            <w:pPr>
              <w:jc w:val="center"/>
              <w:rPr>
                <w:rFonts w:ascii="宋体" w:hAnsi="宋体"/>
                <w:color w:val="auto"/>
                <w:highlight w:val="none"/>
              </w:rPr>
            </w:pPr>
            <w:r>
              <w:rPr>
                <w:rFonts w:hint="eastAsia" w:ascii="宋体" w:hAnsi="宋体"/>
                <w:color w:val="auto"/>
                <w:highlight w:val="none"/>
              </w:rPr>
              <w:t>配合工作</w:t>
            </w:r>
          </w:p>
        </w:tc>
        <w:tc>
          <w:tcPr>
            <w:tcW w:w="347" w:type="pct"/>
            <w:noWrap w:val="0"/>
            <w:vAlign w:val="center"/>
          </w:tcPr>
          <w:p w14:paraId="168E5F0F">
            <w:pPr>
              <w:jc w:val="center"/>
              <w:rPr>
                <w:rFonts w:hint="eastAsia" w:ascii="宋体" w:hAnsi="宋体" w:eastAsia="宋体"/>
                <w:color w:val="auto"/>
                <w:highlight w:val="none"/>
                <w:lang w:eastAsia="zh-CN"/>
              </w:rPr>
            </w:pPr>
            <w:r>
              <w:rPr>
                <w:rFonts w:hint="eastAsia" w:ascii="宋体" w:hAnsi="宋体"/>
                <w:color w:val="auto"/>
                <w:highlight w:val="none"/>
                <w:lang w:val="en-US" w:eastAsia="zh-CN"/>
              </w:rPr>
              <w:t>4</w:t>
            </w:r>
          </w:p>
        </w:tc>
        <w:tc>
          <w:tcPr>
            <w:tcW w:w="2916" w:type="pct"/>
            <w:noWrap w:val="0"/>
            <w:vAlign w:val="center"/>
          </w:tcPr>
          <w:p w14:paraId="3D47AF96">
            <w:pPr>
              <w:rPr>
                <w:rFonts w:hint="default" w:ascii="宋体" w:hAnsi="宋体" w:eastAsia="仿宋"/>
                <w:color w:val="auto"/>
                <w:highlight w:val="none"/>
                <w:lang w:val="en-US" w:eastAsia="zh-CN"/>
              </w:rPr>
            </w:pPr>
            <w:r>
              <w:rPr>
                <w:rFonts w:hint="eastAsia" w:ascii="宋体" w:hAnsi="宋体" w:eastAsia="宋体" w:cs="Times New Roman"/>
                <w:color w:val="auto"/>
                <w:highlight w:val="none"/>
              </w:rPr>
              <w:t>配合开展上级部门对农饮水规范化水厂、标准化建设、督查等工作。</w:t>
            </w:r>
          </w:p>
        </w:tc>
        <w:tc>
          <w:tcPr>
            <w:tcW w:w="348" w:type="pct"/>
            <w:noWrap w:val="0"/>
            <w:vAlign w:val="center"/>
          </w:tcPr>
          <w:p w14:paraId="6DEC51E1">
            <w:pPr>
              <w:jc w:val="center"/>
              <w:rPr>
                <w:rFonts w:ascii="宋体" w:hAnsi="宋体"/>
                <w:color w:val="auto"/>
                <w:highlight w:val="none"/>
              </w:rPr>
            </w:pPr>
          </w:p>
        </w:tc>
        <w:tc>
          <w:tcPr>
            <w:tcW w:w="347" w:type="pct"/>
            <w:noWrap w:val="0"/>
            <w:vAlign w:val="top"/>
          </w:tcPr>
          <w:p w14:paraId="49A8E052">
            <w:pPr>
              <w:jc w:val="center"/>
              <w:rPr>
                <w:rFonts w:ascii="宋体" w:hAnsi="宋体"/>
                <w:color w:val="auto"/>
                <w:highlight w:val="none"/>
              </w:rPr>
            </w:pPr>
          </w:p>
        </w:tc>
      </w:tr>
      <w:tr w14:paraId="145E1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87" w:type="pct"/>
            <w:vMerge w:val="continue"/>
            <w:noWrap w:val="0"/>
            <w:vAlign w:val="center"/>
          </w:tcPr>
          <w:p w14:paraId="4D1AEE6E">
            <w:pPr>
              <w:jc w:val="center"/>
              <w:rPr>
                <w:rFonts w:hint="eastAsia" w:ascii="宋体" w:hAnsi="宋体"/>
                <w:color w:val="auto"/>
                <w:highlight w:val="none"/>
              </w:rPr>
            </w:pPr>
          </w:p>
        </w:tc>
        <w:tc>
          <w:tcPr>
            <w:tcW w:w="555" w:type="pct"/>
            <w:noWrap w:val="0"/>
            <w:vAlign w:val="center"/>
          </w:tcPr>
          <w:p w14:paraId="11B75E58">
            <w:pPr>
              <w:jc w:val="center"/>
              <w:rPr>
                <w:rFonts w:hint="eastAsia" w:ascii="宋体" w:hAnsi="宋体"/>
                <w:color w:val="auto"/>
                <w:highlight w:val="none"/>
              </w:rPr>
            </w:pPr>
            <w:r>
              <w:rPr>
                <w:rFonts w:hint="eastAsia" w:ascii="宋体" w:hAnsi="宋体" w:eastAsia="宋体" w:cs="Times New Roman"/>
                <w:color w:val="auto"/>
                <w:highlight w:val="none"/>
              </w:rPr>
              <w:t>供水问题</w:t>
            </w:r>
            <w:r>
              <w:rPr>
                <w:rFonts w:hint="eastAsia" w:ascii="宋体" w:hAnsi="宋体" w:eastAsia="宋体" w:cs="Times New Roman"/>
                <w:color w:val="auto"/>
                <w:highlight w:val="none"/>
                <w:lang w:eastAsia="zh-CN"/>
              </w:rPr>
              <w:t>的</w:t>
            </w:r>
            <w:r>
              <w:rPr>
                <w:rFonts w:hint="eastAsia" w:ascii="宋体" w:hAnsi="宋体" w:eastAsia="宋体" w:cs="Times New Roman"/>
                <w:color w:val="auto"/>
                <w:highlight w:val="none"/>
                <w:lang w:val="en-US" w:eastAsia="zh-CN"/>
              </w:rPr>
              <w:t>解决</w:t>
            </w:r>
          </w:p>
        </w:tc>
        <w:tc>
          <w:tcPr>
            <w:tcW w:w="347" w:type="pct"/>
            <w:noWrap w:val="0"/>
            <w:vAlign w:val="center"/>
          </w:tcPr>
          <w:p w14:paraId="0EE31A04">
            <w:pPr>
              <w:jc w:val="center"/>
              <w:rPr>
                <w:rFonts w:hint="default" w:ascii="宋体" w:hAnsi="宋体"/>
                <w:color w:val="auto"/>
                <w:highlight w:val="none"/>
                <w:lang w:val="en-US" w:eastAsia="zh-CN"/>
              </w:rPr>
            </w:pPr>
            <w:r>
              <w:rPr>
                <w:rFonts w:hint="eastAsia" w:ascii="宋体" w:hAnsi="宋体"/>
                <w:color w:val="auto"/>
                <w:highlight w:val="none"/>
                <w:lang w:val="en-US" w:eastAsia="zh-CN"/>
              </w:rPr>
              <w:t>2</w:t>
            </w:r>
          </w:p>
        </w:tc>
        <w:tc>
          <w:tcPr>
            <w:tcW w:w="2916" w:type="pct"/>
            <w:noWrap w:val="0"/>
            <w:vAlign w:val="center"/>
          </w:tcPr>
          <w:p w14:paraId="4A14C352">
            <w:pPr>
              <w:rPr>
                <w:rFonts w:hint="eastAsia" w:ascii="宋体" w:hAnsi="宋体" w:eastAsia="宋体" w:cs="Times New Roman"/>
                <w:color w:val="auto"/>
                <w:highlight w:val="none"/>
              </w:rPr>
            </w:pPr>
            <w:r>
              <w:rPr>
                <w:rFonts w:hint="eastAsia" w:ascii="宋体" w:hAnsi="宋体" w:eastAsia="宋体" w:cs="Times New Roman"/>
                <w:color w:val="auto"/>
                <w:highlight w:val="none"/>
              </w:rPr>
              <w:t>上级部门监督检查和明查暗访发现</w:t>
            </w:r>
            <w:r>
              <w:rPr>
                <w:rFonts w:hint="eastAsia" w:ascii="宋体" w:hAnsi="宋体" w:eastAsia="宋体" w:cs="Times New Roman"/>
                <w:color w:val="auto"/>
                <w:highlight w:val="none"/>
                <w:lang w:eastAsia="zh-CN"/>
              </w:rPr>
              <w:t>、</w:t>
            </w:r>
            <w:r>
              <w:rPr>
                <w:rFonts w:hint="eastAsia" w:ascii="宋体" w:hAnsi="宋体" w:eastAsia="宋体" w:cs="Times New Roman"/>
                <w:color w:val="auto"/>
                <w:highlight w:val="none"/>
              </w:rPr>
              <w:t>通报</w:t>
            </w:r>
            <w:r>
              <w:rPr>
                <w:rFonts w:hint="eastAsia" w:ascii="宋体" w:hAnsi="宋体" w:eastAsia="宋体" w:cs="Times New Roman"/>
                <w:color w:val="auto"/>
                <w:highlight w:val="none"/>
                <w:lang w:eastAsia="zh-CN"/>
              </w:rPr>
              <w:t>、</w:t>
            </w:r>
            <w:r>
              <w:rPr>
                <w:rFonts w:hint="eastAsia" w:ascii="宋体" w:hAnsi="宋体" w:eastAsia="宋体" w:cs="Times New Roman"/>
                <w:color w:val="auto"/>
                <w:highlight w:val="none"/>
              </w:rPr>
              <w:t>曝光</w:t>
            </w:r>
            <w:r>
              <w:rPr>
                <w:rFonts w:hint="eastAsia" w:ascii="宋体" w:hAnsi="宋体" w:eastAsia="宋体" w:cs="Times New Roman"/>
                <w:color w:val="auto"/>
                <w:highlight w:val="none"/>
                <w:lang w:eastAsia="zh-CN"/>
              </w:rPr>
              <w:t>的</w:t>
            </w:r>
            <w:r>
              <w:rPr>
                <w:rFonts w:hint="eastAsia" w:ascii="宋体" w:hAnsi="宋体" w:eastAsia="宋体" w:cs="Times New Roman"/>
                <w:color w:val="auto"/>
                <w:highlight w:val="none"/>
              </w:rPr>
              <w:t>供水问题</w:t>
            </w:r>
            <w:r>
              <w:rPr>
                <w:rFonts w:hint="eastAsia" w:ascii="宋体" w:hAnsi="宋体" w:eastAsia="宋体" w:cs="Times New Roman"/>
                <w:color w:val="auto"/>
                <w:highlight w:val="none"/>
                <w:lang w:eastAsia="zh-CN"/>
              </w:rPr>
              <w:t>的</w:t>
            </w:r>
            <w:r>
              <w:rPr>
                <w:rFonts w:hint="eastAsia" w:ascii="宋体" w:hAnsi="宋体" w:eastAsia="宋体" w:cs="Times New Roman"/>
                <w:color w:val="auto"/>
                <w:highlight w:val="none"/>
                <w:lang w:val="en-US" w:eastAsia="zh-CN"/>
              </w:rPr>
              <w:t>解决情况。存在未及时解决的情况，</w:t>
            </w:r>
            <w:r>
              <w:rPr>
                <w:rFonts w:hint="eastAsia" w:ascii="宋体" w:hAnsi="宋体"/>
                <w:color w:val="auto"/>
                <w:highlight w:val="none"/>
              </w:rPr>
              <w:t>每</w:t>
            </w:r>
            <w:r>
              <w:rPr>
                <w:rFonts w:hint="eastAsia" w:ascii="宋体" w:hAnsi="宋体"/>
                <w:color w:val="auto"/>
                <w:highlight w:val="none"/>
                <w:lang w:val="en-US" w:eastAsia="zh-CN"/>
              </w:rPr>
              <w:t>次</w:t>
            </w:r>
            <w:r>
              <w:rPr>
                <w:rFonts w:hint="eastAsia" w:ascii="宋体" w:hAnsi="宋体"/>
                <w:color w:val="auto"/>
                <w:highlight w:val="none"/>
              </w:rPr>
              <w:t>扣0.</w:t>
            </w:r>
            <w:r>
              <w:rPr>
                <w:rFonts w:hint="eastAsia" w:ascii="宋体" w:hAnsi="宋体"/>
                <w:color w:val="auto"/>
                <w:highlight w:val="none"/>
                <w:lang w:val="en-US" w:eastAsia="zh-CN"/>
              </w:rPr>
              <w:t>5</w:t>
            </w:r>
            <w:r>
              <w:rPr>
                <w:rFonts w:hint="eastAsia" w:ascii="宋体" w:hAnsi="宋体"/>
                <w:color w:val="auto"/>
                <w:highlight w:val="none"/>
              </w:rPr>
              <w:t>分，扣完为止。</w:t>
            </w:r>
          </w:p>
        </w:tc>
        <w:tc>
          <w:tcPr>
            <w:tcW w:w="348" w:type="pct"/>
            <w:noWrap w:val="0"/>
            <w:vAlign w:val="center"/>
          </w:tcPr>
          <w:p w14:paraId="58FEAE50">
            <w:pPr>
              <w:jc w:val="center"/>
              <w:rPr>
                <w:rFonts w:ascii="宋体" w:hAnsi="宋体"/>
                <w:color w:val="auto"/>
                <w:highlight w:val="none"/>
              </w:rPr>
            </w:pPr>
          </w:p>
        </w:tc>
        <w:tc>
          <w:tcPr>
            <w:tcW w:w="347" w:type="pct"/>
            <w:noWrap w:val="0"/>
            <w:vAlign w:val="top"/>
          </w:tcPr>
          <w:p w14:paraId="253A71CD">
            <w:pPr>
              <w:jc w:val="center"/>
              <w:rPr>
                <w:rFonts w:ascii="宋体" w:hAnsi="宋体"/>
                <w:color w:val="auto"/>
                <w:highlight w:val="none"/>
              </w:rPr>
            </w:pPr>
          </w:p>
        </w:tc>
      </w:tr>
      <w:tr w14:paraId="47398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87" w:type="pct"/>
            <w:vMerge w:val="continue"/>
            <w:noWrap w:val="0"/>
            <w:vAlign w:val="center"/>
          </w:tcPr>
          <w:p w14:paraId="7669879E">
            <w:pPr>
              <w:jc w:val="center"/>
              <w:rPr>
                <w:rFonts w:ascii="宋体" w:hAnsi="宋体"/>
                <w:color w:val="auto"/>
                <w:highlight w:val="none"/>
              </w:rPr>
            </w:pPr>
          </w:p>
        </w:tc>
        <w:tc>
          <w:tcPr>
            <w:tcW w:w="555" w:type="pct"/>
            <w:noWrap w:val="0"/>
            <w:vAlign w:val="center"/>
          </w:tcPr>
          <w:p w14:paraId="58ADC325">
            <w:pPr>
              <w:jc w:val="center"/>
              <w:rPr>
                <w:rFonts w:ascii="宋体" w:hAnsi="宋体"/>
                <w:color w:val="auto"/>
                <w:highlight w:val="none"/>
              </w:rPr>
            </w:pPr>
            <w:r>
              <w:rPr>
                <w:rFonts w:hint="eastAsia" w:ascii="宋体" w:hAnsi="宋体"/>
                <w:color w:val="auto"/>
                <w:highlight w:val="none"/>
              </w:rPr>
              <w:t>信息宣传工作</w:t>
            </w:r>
          </w:p>
        </w:tc>
        <w:tc>
          <w:tcPr>
            <w:tcW w:w="347" w:type="pct"/>
            <w:noWrap w:val="0"/>
            <w:vAlign w:val="center"/>
          </w:tcPr>
          <w:p w14:paraId="1E606512">
            <w:pPr>
              <w:jc w:val="center"/>
              <w:rPr>
                <w:rFonts w:hint="eastAsia" w:ascii="宋体" w:hAnsi="宋体" w:eastAsia="宋体"/>
                <w:color w:val="auto"/>
                <w:highlight w:val="none"/>
                <w:lang w:eastAsia="zh-CN"/>
              </w:rPr>
            </w:pPr>
            <w:r>
              <w:rPr>
                <w:rFonts w:hint="eastAsia" w:ascii="宋体" w:hAnsi="宋体"/>
                <w:color w:val="auto"/>
                <w:highlight w:val="none"/>
                <w:lang w:val="en-US" w:eastAsia="zh-CN"/>
              </w:rPr>
              <w:t>4</w:t>
            </w:r>
          </w:p>
        </w:tc>
        <w:tc>
          <w:tcPr>
            <w:tcW w:w="2916" w:type="pct"/>
            <w:noWrap w:val="0"/>
            <w:vAlign w:val="center"/>
          </w:tcPr>
          <w:p w14:paraId="7AD794BA">
            <w:pPr>
              <w:rPr>
                <w:rFonts w:ascii="宋体" w:hAnsi="宋体"/>
                <w:color w:val="auto"/>
                <w:highlight w:val="none"/>
              </w:rPr>
            </w:pPr>
            <w:r>
              <w:rPr>
                <w:rFonts w:hint="eastAsia" w:ascii="宋体" w:hAnsi="宋体"/>
                <w:color w:val="auto"/>
                <w:highlight w:val="none"/>
              </w:rPr>
              <w:t>在省、市政府、水利及各媒体正面宣传农饮水工作相关信息。省级1条2分，市级1分，区级0.5分。</w:t>
            </w:r>
          </w:p>
        </w:tc>
        <w:tc>
          <w:tcPr>
            <w:tcW w:w="348" w:type="pct"/>
            <w:noWrap w:val="0"/>
            <w:vAlign w:val="center"/>
          </w:tcPr>
          <w:p w14:paraId="0A969424">
            <w:pPr>
              <w:jc w:val="center"/>
              <w:rPr>
                <w:rFonts w:ascii="宋体" w:hAnsi="宋体"/>
                <w:color w:val="auto"/>
                <w:highlight w:val="none"/>
              </w:rPr>
            </w:pPr>
          </w:p>
        </w:tc>
        <w:tc>
          <w:tcPr>
            <w:tcW w:w="347" w:type="pct"/>
            <w:noWrap w:val="0"/>
            <w:vAlign w:val="top"/>
          </w:tcPr>
          <w:p w14:paraId="11B82EFD">
            <w:pPr>
              <w:jc w:val="center"/>
              <w:rPr>
                <w:rFonts w:ascii="宋体" w:hAnsi="宋体"/>
                <w:color w:val="auto"/>
                <w:highlight w:val="none"/>
              </w:rPr>
            </w:pPr>
          </w:p>
        </w:tc>
      </w:tr>
      <w:tr w14:paraId="4CEC7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487" w:type="pct"/>
            <w:vMerge w:val="continue"/>
            <w:noWrap w:val="0"/>
            <w:vAlign w:val="center"/>
          </w:tcPr>
          <w:p w14:paraId="4397A9EA">
            <w:pPr>
              <w:jc w:val="center"/>
              <w:rPr>
                <w:rFonts w:ascii="宋体" w:hAnsi="宋体"/>
                <w:color w:val="auto"/>
                <w:highlight w:val="none"/>
              </w:rPr>
            </w:pPr>
          </w:p>
        </w:tc>
        <w:tc>
          <w:tcPr>
            <w:tcW w:w="555" w:type="pct"/>
            <w:noWrap w:val="0"/>
            <w:vAlign w:val="center"/>
          </w:tcPr>
          <w:p w14:paraId="102E61D1">
            <w:pPr>
              <w:jc w:val="center"/>
              <w:rPr>
                <w:rFonts w:ascii="宋体" w:hAnsi="宋体"/>
                <w:color w:val="auto"/>
                <w:highlight w:val="none"/>
              </w:rPr>
            </w:pPr>
            <w:r>
              <w:rPr>
                <w:rFonts w:hint="eastAsia" w:ascii="宋体" w:hAnsi="宋体"/>
                <w:color w:val="auto"/>
                <w:highlight w:val="none"/>
              </w:rPr>
              <w:t>亮点工作</w:t>
            </w:r>
          </w:p>
        </w:tc>
        <w:tc>
          <w:tcPr>
            <w:tcW w:w="347" w:type="pct"/>
            <w:noWrap w:val="0"/>
            <w:vAlign w:val="center"/>
          </w:tcPr>
          <w:p w14:paraId="12334CD4">
            <w:pPr>
              <w:jc w:val="center"/>
              <w:rPr>
                <w:rFonts w:ascii="宋体" w:hAnsi="宋体"/>
                <w:color w:val="auto"/>
                <w:highlight w:val="none"/>
              </w:rPr>
            </w:pPr>
            <w:r>
              <w:rPr>
                <w:rFonts w:hint="eastAsia" w:ascii="宋体" w:hAnsi="宋体"/>
                <w:color w:val="auto"/>
                <w:highlight w:val="none"/>
              </w:rPr>
              <w:t>10</w:t>
            </w:r>
          </w:p>
        </w:tc>
        <w:tc>
          <w:tcPr>
            <w:tcW w:w="2916" w:type="pct"/>
            <w:noWrap w:val="0"/>
            <w:vAlign w:val="center"/>
          </w:tcPr>
          <w:p w14:paraId="6EAEE67A">
            <w:pPr>
              <w:rPr>
                <w:rFonts w:ascii="宋体" w:hAnsi="宋体"/>
                <w:color w:val="auto"/>
                <w:highlight w:val="none"/>
              </w:rPr>
            </w:pPr>
            <w:r>
              <w:rPr>
                <w:rFonts w:hint="eastAsia" w:ascii="宋体" w:hAnsi="宋体"/>
                <w:color w:val="auto"/>
                <w:highlight w:val="none"/>
              </w:rPr>
              <w:t>工作做法被省委省政府、水利部、水利厅作为典型经验刊发推广，承办省委省政府或水利部（含办公厅）召开的现场会，工作获水利部、省委省政府主要领导正面肯定批示。部级每次10分，厅级5分。</w:t>
            </w:r>
          </w:p>
        </w:tc>
        <w:tc>
          <w:tcPr>
            <w:tcW w:w="348" w:type="pct"/>
            <w:noWrap w:val="0"/>
            <w:vAlign w:val="center"/>
          </w:tcPr>
          <w:p w14:paraId="124F0F68">
            <w:pPr>
              <w:jc w:val="center"/>
              <w:rPr>
                <w:rFonts w:ascii="宋体" w:hAnsi="宋体"/>
                <w:color w:val="auto"/>
                <w:highlight w:val="none"/>
              </w:rPr>
            </w:pPr>
            <w:r>
              <w:rPr>
                <w:rFonts w:hint="eastAsia" w:ascii="宋体" w:hAnsi="宋体"/>
                <w:color w:val="auto"/>
                <w:highlight w:val="none"/>
              </w:rPr>
              <w:t>附加分</w:t>
            </w:r>
          </w:p>
        </w:tc>
        <w:tc>
          <w:tcPr>
            <w:tcW w:w="347" w:type="pct"/>
            <w:noWrap w:val="0"/>
            <w:vAlign w:val="top"/>
          </w:tcPr>
          <w:p w14:paraId="426F3E04">
            <w:pPr>
              <w:jc w:val="center"/>
              <w:rPr>
                <w:rFonts w:hint="eastAsia" w:ascii="宋体" w:hAnsi="宋体"/>
                <w:color w:val="auto"/>
                <w:highlight w:val="none"/>
              </w:rPr>
            </w:pPr>
          </w:p>
        </w:tc>
      </w:tr>
      <w:tr w14:paraId="26FE0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042" w:type="pct"/>
            <w:gridSpan w:val="2"/>
            <w:noWrap w:val="0"/>
            <w:vAlign w:val="center"/>
          </w:tcPr>
          <w:p w14:paraId="1C7994B3">
            <w:pPr>
              <w:jc w:val="center"/>
              <w:rPr>
                <w:rFonts w:hint="eastAsia" w:ascii="宋体" w:hAnsi="宋体"/>
                <w:b/>
                <w:color w:val="auto"/>
                <w:highlight w:val="none"/>
              </w:rPr>
            </w:pPr>
            <w:r>
              <w:rPr>
                <w:rFonts w:hint="eastAsia" w:ascii="宋体" w:hAnsi="宋体"/>
                <w:b/>
                <w:color w:val="auto"/>
                <w:highlight w:val="none"/>
              </w:rPr>
              <w:t>合计</w:t>
            </w:r>
          </w:p>
        </w:tc>
        <w:tc>
          <w:tcPr>
            <w:tcW w:w="347" w:type="pct"/>
            <w:noWrap w:val="0"/>
            <w:vAlign w:val="center"/>
          </w:tcPr>
          <w:p w14:paraId="58C609C3">
            <w:pPr>
              <w:rPr>
                <w:rFonts w:hint="eastAsia" w:ascii="宋体" w:hAnsi="宋体"/>
                <w:b/>
                <w:color w:val="auto"/>
                <w:highlight w:val="none"/>
              </w:rPr>
            </w:pPr>
            <w:r>
              <w:rPr>
                <w:rFonts w:hint="eastAsia" w:ascii="宋体" w:hAnsi="宋体"/>
                <w:b/>
                <w:color w:val="auto"/>
                <w:highlight w:val="none"/>
              </w:rPr>
              <w:t>100</w:t>
            </w:r>
          </w:p>
        </w:tc>
        <w:tc>
          <w:tcPr>
            <w:tcW w:w="2916" w:type="pct"/>
            <w:noWrap w:val="0"/>
            <w:vAlign w:val="center"/>
          </w:tcPr>
          <w:p w14:paraId="1B0D34C7">
            <w:pPr>
              <w:jc w:val="center"/>
              <w:rPr>
                <w:rFonts w:hint="eastAsia" w:ascii="宋体" w:hAnsi="宋体"/>
                <w:b/>
                <w:color w:val="auto"/>
                <w:highlight w:val="none"/>
              </w:rPr>
            </w:pPr>
          </w:p>
        </w:tc>
        <w:tc>
          <w:tcPr>
            <w:tcW w:w="348" w:type="pct"/>
            <w:noWrap w:val="0"/>
            <w:vAlign w:val="center"/>
          </w:tcPr>
          <w:p w14:paraId="386FDEF7">
            <w:pPr>
              <w:jc w:val="center"/>
              <w:rPr>
                <w:rFonts w:hint="eastAsia" w:ascii="宋体" w:hAnsi="宋体"/>
                <w:color w:val="auto"/>
                <w:highlight w:val="none"/>
              </w:rPr>
            </w:pPr>
          </w:p>
        </w:tc>
        <w:tc>
          <w:tcPr>
            <w:tcW w:w="347" w:type="pct"/>
            <w:noWrap w:val="0"/>
            <w:vAlign w:val="top"/>
          </w:tcPr>
          <w:p w14:paraId="3AE97392">
            <w:pPr>
              <w:jc w:val="center"/>
              <w:rPr>
                <w:rFonts w:hint="eastAsia" w:ascii="宋体" w:hAnsi="宋体"/>
                <w:color w:val="auto"/>
                <w:highlight w:val="none"/>
              </w:rPr>
            </w:pPr>
          </w:p>
        </w:tc>
      </w:tr>
    </w:tbl>
    <w:p w14:paraId="26AC8485">
      <w:pPr>
        <w:rPr>
          <w:rFonts w:hint="eastAsia"/>
          <w:color w:val="auto"/>
          <w:highlight w:val="none"/>
        </w:rPr>
      </w:pPr>
    </w:p>
    <w:p w14:paraId="5B79632A">
      <w:pPr>
        <w:spacing w:line="440" w:lineRule="atLeast"/>
        <w:ind w:left="-284" w:firstLine="63"/>
        <w:rPr>
          <w:rFonts w:hint="eastAsia" w:ascii="宋体" w:hAnsi="宋体" w:cs="宋体"/>
          <w:color w:val="auto"/>
          <w:sz w:val="22"/>
          <w:szCs w:val="22"/>
          <w:highlight w:val="none"/>
        </w:rPr>
      </w:pPr>
      <w:r>
        <w:rPr>
          <w:rFonts w:hint="eastAsia" w:ascii="宋体" w:hAnsi="宋体" w:cs="宋体"/>
          <w:b/>
          <w:bCs/>
          <w:color w:val="auto"/>
          <w:sz w:val="22"/>
          <w:szCs w:val="22"/>
          <w:highlight w:val="none"/>
        </w:rPr>
        <w:t>七、其他说明</w:t>
      </w:r>
    </w:p>
    <w:p w14:paraId="7B37621F">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1.本项目为一个标段，投标供应商必须对本采购文件的所有内容进行投标，不得仅对其中部分内容进行投标。</w:t>
      </w:r>
    </w:p>
    <w:p w14:paraId="43605DB5">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2.本项目实行投标总价一次性包干制，因此投标供应商需充分考虑报价内容及其他风险因素。</w:t>
      </w:r>
    </w:p>
    <w:p w14:paraId="33C248F0">
      <w:pPr>
        <w:spacing w:line="440" w:lineRule="atLeast"/>
        <w:ind w:firstLine="442" w:firstLineChars="200"/>
        <w:rPr>
          <w:rFonts w:hint="eastAsia" w:ascii="宋体" w:hAnsi="宋体" w:cs="宋体"/>
          <w:b/>
          <w:color w:val="auto"/>
          <w:sz w:val="22"/>
          <w:szCs w:val="22"/>
          <w:highlight w:val="none"/>
        </w:rPr>
      </w:pPr>
      <w:r>
        <w:rPr>
          <w:rFonts w:hint="eastAsia" w:ascii="宋体" w:hAnsi="宋体" w:cs="宋体"/>
          <w:b/>
          <w:color w:val="auto"/>
          <w:sz w:val="22"/>
          <w:szCs w:val="22"/>
          <w:highlight w:val="none"/>
        </w:rPr>
        <w:t>3.</w:t>
      </w:r>
      <w:r>
        <w:rPr>
          <w:rFonts w:hint="eastAsia" w:ascii="宋体" w:hAnsi="宋体" w:cs="宋体"/>
          <w:b/>
          <w:color w:val="auto"/>
          <w:sz w:val="22"/>
          <w:szCs w:val="22"/>
          <w:highlight w:val="none"/>
          <w:u w:val="single"/>
        </w:rPr>
        <w:t>▲本项目采购预算为365.9814万元，投标供应商的投标报价不得超过该预算，否则其响应文件作无效标处理</w:t>
      </w:r>
      <w:r>
        <w:rPr>
          <w:rFonts w:hint="eastAsia" w:ascii="宋体" w:hAnsi="宋体" w:cs="宋体"/>
          <w:b/>
          <w:color w:val="auto"/>
          <w:sz w:val="22"/>
          <w:szCs w:val="22"/>
          <w:highlight w:val="none"/>
        </w:rPr>
        <w:t>。</w:t>
      </w:r>
    </w:p>
    <w:p w14:paraId="3F7F077F">
      <w:pPr>
        <w:widowControl/>
        <w:spacing w:line="44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八、付款方式</w:t>
      </w:r>
    </w:p>
    <w:p w14:paraId="38DA9E6C">
      <w:pPr>
        <w:spacing w:line="440" w:lineRule="atLeast"/>
        <w:ind w:firstLine="442" w:firstLineChars="200"/>
        <w:rPr>
          <w:rFonts w:hint="eastAsia" w:ascii="宋体" w:hAnsi="宋体" w:cs="宋体"/>
          <w:b/>
          <w:color w:val="auto"/>
          <w:sz w:val="22"/>
          <w:szCs w:val="22"/>
          <w:highlight w:val="none"/>
          <w:u w:val="single"/>
        </w:rPr>
      </w:pPr>
      <w:bookmarkStart w:id="234" w:name="_Hlk36299731"/>
      <w:r>
        <w:rPr>
          <w:rFonts w:hint="eastAsia" w:ascii="宋体" w:hAnsi="宋体" w:cs="宋体"/>
          <w:b/>
          <w:color w:val="auto"/>
          <w:sz w:val="22"/>
          <w:szCs w:val="22"/>
          <w:highlight w:val="none"/>
          <w:u w:val="single"/>
        </w:rPr>
        <w:t>本合同管理费用分三期支</w:t>
      </w:r>
      <w:r>
        <w:rPr>
          <w:rFonts w:hint="eastAsia" w:ascii="宋体" w:hAnsi="宋体" w:eastAsia="宋体" w:cs="宋体"/>
          <w:b/>
          <w:color w:val="auto"/>
          <w:sz w:val="22"/>
          <w:szCs w:val="22"/>
          <w:highlight w:val="none"/>
          <w:u w:val="single"/>
        </w:rPr>
        <w:t>付，由甲方支付给乙方。</w:t>
      </w:r>
      <w:r>
        <w:rPr>
          <w:rFonts w:hint="eastAsia" w:ascii="宋体" w:hAnsi="宋体" w:eastAsia="宋体" w:cs="宋体"/>
          <w:b/>
          <w:color w:val="auto"/>
          <w:sz w:val="22"/>
          <w:szCs w:val="22"/>
          <w:highlight w:val="none"/>
          <w:u w:val="single"/>
          <w:lang w:val="ru-RU" w:eastAsia="zh-CN"/>
        </w:rPr>
        <w:t>合同签订生效以及具备实施条件后7个工作日内</w:t>
      </w:r>
      <w:r>
        <w:rPr>
          <w:rFonts w:hint="eastAsia" w:ascii="宋体" w:hAnsi="宋体" w:eastAsia="宋体" w:cs="宋体"/>
          <w:b/>
          <w:color w:val="auto"/>
          <w:sz w:val="22"/>
          <w:szCs w:val="22"/>
          <w:highlight w:val="none"/>
          <w:u w:val="single"/>
        </w:rPr>
        <w:t>甲方</w:t>
      </w:r>
      <w:r>
        <w:rPr>
          <w:rFonts w:hint="eastAsia" w:ascii="宋体" w:hAnsi="宋体" w:eastAsia="宋体" w:cs="宋体"/>
          <w:b/>
          <w:color w:val="auto"/>
          <w:sz w:val="22"/>
          <w:szCs w:val="22"/>
          <w:highlight w:val="none"/>
          <w:u w:val="single"/>
          <w:lang w:val="ru-RU" w:eastAsia="zh-CN"/>
        </w:rPr>
        <w:t>支付合同总金额</w:t>
      </w:r>
      <w:r>
        <w:rPr>
          <w:rFonts w:hint="eastAsia" w:ascii="宋体" w:hAnsi="宋体" w:eastAsia="宋体" w:cs="宋体"/>
          <w:b/>
          <w:color w:val="auto"/>
          <w:sz w:val="22"/>
          <w:szCs w:val="22"/>
          <w:highlight w:val="none"/>
          <w:u w:val="single"/>
          <w:lang w:val="en-US" w:eastAsia="zh-CN"/>
        </w:rPr>
        <w:t>3</w:t>
      </w:r>
      <w:r>
        <w:rPr>
          <w:rFonts w:hint="eastAsia" w:ascii="宋体" w:hAnsi="宋体" w:eastAsia="宋体" w:cs="宋体"/>
          <w:b/>
          <w:color w:val="auto"/>
          <w:sz w:val="22"/>
          <w:szCs w:val="22"/>
          <w:highlight w:val="none"/>
          <w:u w:val="single"/>
          <w:lang w:val="ru-RU" w:eastAsia="zh-CN"/>
        </w:rPr>
        <w:t>0%的预付款，</w:t>
      </w:r>
      <w:r>
        <w:rPr>
          <w:rFonts w:hint="eastAsia" w:ascii="宋体" w:hAnsi="宋体" w:eastAsia="宋体" w:cs="宋体"/>
          <w:b/>
          <w:color w:val="auto"/>
          <w:sz w:val="22"/>
          <w:szCs w:val="22"/>
          <w:highlight w:val="none"/>
          <w:u w:val="single"/>
          <w:lang w:val="en-US" w:eastAsia="zh-CN"/>
        </w:rPr>
        <w:t>服务6</w:t>
      </w:r>
      <w:r>
        <w:rPr>
          <w:rFonts w:hint="eastAsia" w:ascii="宋体" w:hAnsi="宋体" w:cs="宋体"/>
          <w:b/>
          <w:color w:val="auto"/>
          <w:sz w:val="22"/>
          <w:szCs w:val="22"/>
          <w:highlight w:val="none"/>
          <w:u w:val="single"/>
          <w:lang w:val="en-US" w:eastAsia="zh-CN"/>
        </w:rPr>
        <w:t>个月后支付</w:t>
      </w:r>
      <w:r>
        <w:rPr>
          <w:rFonts w:hint="eastAsia" w:ascii="宋体" w:hAnsi="宋体" w:eastAsia="宋体" w:cs="宋体"/>
          <w:b/>
          <w:color w:val="auto"/>
          <w:sz w:val="22"/>
          <w:szCs w:val="22"/>
          <w:highlight w:val="none"/>
          <w:u w:val="single"/>
          <w:lang w:val="ru-RU" w:eastAsia="zh-CN"/>
        </w:rPr>
        <w:t>合同总金额</w:t>
      </w:r>
      <w:r>
        <w:rPr>
          <w:rFonts w:hint="eastAsia" w:ascii="宋体" w:hAnsi="宋体" w:cs="宋体"/>
          <w:b/>
          <w:color w:val="auto"/>
          <w:sz w:val="22"/>
          <w:szCs w:val="22"/>
          <w:highlight w:val="none"/>
          <w:u w:val="single"/>
          <w:lang w:val="en-US" w:eastAsia="zh-CN"/>
        </w:rPr>
        <w:t>40%的</w:t>
      </w:r>
      <w:r>
        <w:rPr>
          <w:rFonts w:hint="eastAsia" w:ascii="宋体" w:hAnsi="宋体" w:cs="宋体"/>
          <w:b/>
          <w:color w:val="auto"/>
          <w:sz w:val="22"/>
          <w:szCs w:val="22"/>
          <w:highlight w:val="none"/>
          <w:u w:val="single"/>
        </w:rPr>
        <w:t>进度款</w:t>
      </w:r>
      <w:r>
        <w:rPr>
          <w:rFonts w:hint="eastAsia" w:ascii="宋体" w:hAnsi="宋体" w:cs="宋体"/>
          <w:b/>
          <w:color w:val="auto"/>
          <w:sz w:val="22"/>
          <w:szCs w:val="22"/>
          <w:highlight w:val="none"/>
          <w:u w:val="single"/>
          <w:lang w:eastAsia="zh-CN"/>
        </w:rPr>
        <w:t>，</w:t>
      </w:r>
      <w:r>
        <w:rPr>
          <w:rFonts w:hint="eastAsia" w:ascii="宋体" w:hAnsi="宋体" w:cs="宋体"/>
          <w:b/>
          <w:color w:val="auto"/>
          <w:sz w:val="22"/>
          <w:szCs w:val="22"/>
          <w:highlight w:val="none"/>
          <w:u w:val="single"/>
          <w:lang w:val="en-US" w:eastAsia="zh-CN"/>
        </w:rPr>
        <w:t>服务完成后支付</w:t>
      </w:r>
      <w:r>
        <w:rPr>
          <w:rFonts w:hint="eastAsia" w:ascii="宋体" w:hAnsi="宋体" w:eastAsia="宋体" w:cs="宋体"/>
          <w:b/>
          <w:color w:val="auto"/>
          <w:sz w:val="22"/>
          <w:szCs w:val="22"/>
          <w:highlight w:val="none"/>
          <w:u w:val="single"/>
          <w:lang w:val="ru-RU" w:eastAsia="zh-CN"/>
        </w:rPr>
        <w:t>合同总金额</w:t>
      </w:r>
      <w:r>
        <w:rPr>
          <w:rFonts w:hint="eastAsia" w:ascii="宋体" w:hAnsi="宋体" w:cs="宋体"/>
          <w:b/>
          <w:color w:val="auto"/>
          <w:sz w:val="22"/>
          <w:szCs w:val="22"/>
          <w:highlight w:val="none"/>
          <w:u w:val="single"/>
          <w:lang w:val="en-US" w:eastAsia="zh-CN"/>
        </w:rPr>
        <w:t>30%的</w:t>
      </w:r>
      <w:r>
        <w:rPr>
          <w:rFonts w:hint="eastAsia" w:ascii="宋体" w:hAnsi="宋体" w:cs="宋体"/>
          <w:b/>
          <w:color w:val="auto"/>
          <w:sz w:val="22"/>
          <w:szCs w:val="22"/>
          <w:highlight w:val="none"/>
          <w:u w:val="single"/>
        </w:rPr>
        <w:t>进度款</w:t>
      </w:r>
      <w:r>
        <w:rPr>
          <w:rFonts w:hint="eastAsia" w:ascii="宋体" w:hAnsi="宋体" w:cs="宋体"/>
          <w:b/>
          <w:color w:val="auto"/>
          <w:sz w:val="22"/>
          <w:szCs w:val="22"/>
          <w:highlight w:val="none"/>
          <w:u w:val="single"/>
          <w:lang w:eastAsia="zh-CN"/>
        </w:rPr>
        <w:t>，</w:t>
      </w:r>
      <w:r>
        <w:rPr>
          <w:rFonts w:hint="eastAsia" w:ascii="宋体" w:hAnsi="宋体" w:cs="宋体"/>
          <w:b/>
          <w:color w:val="auto"/>
          <w:sz w:val="22"/>
          <w:szCs w:val="22"/>
          <w:highlight w:val="none"/>
          <w:u w:val="single"/>
        </w:rPr>
        <w:t>两期进度款根据半年考核结果情况，甲方</w:t>
      </w:r>
      <w:r>
        <w:rPr>
          <w:rFonts w:hint="eastAsia" w:ascii="宋体" w:hAnsi="宋体" w:cs="宋体"/>
          <w:b/>
          <w:color w:val="auto"/>
          <w:sz w:val="22"/>
          <w:szCs w:val="22"/>
          <w:highlight w:val="none"/>
          <w:u w:val="single"/>
          <w:lang w:val="en-US" w:eastAsia="zh-CN"/>
        </w:rPr>
        <w:t>在</w:t>
      </w:r>
      <w:r>
        <w:rPr>
          <w:rFonts w:hint="eastAsia" w:ascii="宋体" w:hAnsi="宋体" w:cs="宋体"/>
          <w:b/>
          <w:color w:val="auto"/>
          <w:sz w:val="22"/>
          <w:szCs w:val="22"/>
          <w:highlight w:val="none"/>
          <w:u w:val="single"/>
        </w:rPr>
        <w:t>一个月内向乙方支付半年委托管理费用进度款。</w:t>
      </w:r>
    </w:p>
    <w:p w14:paraId="650604A9">
      <w:pPr>
        <w:spacing w:line="440" w:lineRule="atLeast"/>
        <w:ind w:firstLine="442" w:firstLineChars="200"/>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半年考核分在90分（含）以上，</w:t>
      </w:r>
      <w:r>
        <w:rPr>
          <w:rFonts w:hint="eastAsia" w:ascii="宋体" w:hAnsi="宋体" w:cs="宋体"/>
          <w:b/>
          <w:color w:val="auto"/>
          <w:sz w:val="22"/>
          <w:szCs w:val="22"/>
          <w:highlight w:val="none"/>
          <w:u w:val="single"/>
          <w:lang w:val="en-US" w:eastAsia="zh-CN"/>
        </w:rPr>
        <w:t>全额</w:t>
      </w:r>
      <w:r>
        <w:rPr>
          <w:rFonts w:hint="eastAsia" w:ascii="宋体" w:hAnsi="宋体" w:cs="宋体"/>
          <w:b/>
          <w:color w:val="auto"/>
          <w:sz w:val="22"/>
          <w:szCs w:val="22"/>
          <w:highlight w:val="none"/>
          <w:u w:val="single"/>
        </w:rPr>
        <w:t>委托管理费用进度款。90分以下进度款=</w:t>
      </w:r>
      <w:r>
        <w:rPr>
          <w:rFonts w:hint="eastAsia" w:ascii="宋体" w:hAnsi="宋体" w:cs="宋体"/>
          <w:b/>
          <w:color w:val="auto"/>
          <w:sz w:val="22"/>
          <w:szCs w:val="22"/>
          <w:highlight w:val="none"/>
          <w:u w:val="single"/>
          <w:lang w:val="en-US" w:eastAsia="zh-CN"/>
        </w:rPr>
        <w:t>全额</w:t>
      </w:r>
      <w:r>
        <w:rPr>
          <w:rFonts w:hint="eastAsia" w:ascii="宋体" w:hAnsi="宋体" w:cs="宋体"/>
          <w:b/>
          <w:color w:val="auto"/>
          <w:sz w:val="22"/>
          <w:szCs w:val="22"/>
          <w:highlight w:val="none"/>
          <w:u w:val="single"/>
        </w:rPr>
        <w:t>委托管理费用进度款-（90%-考核得分率）*100*0.5(总进度款不得大于合同总金额,单位：万元)。</w:t>
      </w:r>
    </w:p>
    <w:bookmarkEnd w:id="234"/>
    <w:p w14:paraId="2AF32D0C">
      <w:pPr>
        <w:widowControl/>
        <w:spacing w:line="44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九、服务约定</w:t>
      </w:r>
    </w:p>
    <w:p w14:paraId="473824EC">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1.合同签订时按要求签订保密协议。并在项目实施过程中，严格遵守国家相关保密与安全法律法规，遵循采购人各项安全保密制度和规章；</w:t>
      </w:r>
    </w:p>
    <w:p w14:paraId="022DA9BC">
      <w:pPr>
        <w:spacing w:line="440" w:lineRule="atLeas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2.要求服务工作人员对工作中涉及到的用户的数据、文件等任何资料进行保密。因工作人员的行为造成泄密等问题由中标人承担相应的责任。</w:t>
      </w:r>
    </w:p>
    <w:p w14:paraId="5E0BAC76">
      <w:pPr>
        <w:widowControl/>
        <w:spacing w:line="44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十、其他要求见采购文件其他内容。</w:t>
      </w:r>
    </w:p>
    <w:p w14:paraId="09997E1F">
      <w:pPr>
        <w:pStyle w:val="5"/>
        <w:rPr>
          <w:rFonts w:hint="eastAsia" w:ascii="宋体" w:hAnsi="宋体" w:eastAsia="宋体" w:cs="宋体"/>
          <w:color w:val="auto"/>
          <w:sz w:val="36"/>
          <w:szCs w:val="36"/>
          <w:highlight w:val="none"/>
        </w:rPr>
      </w:pPr>
      <w:bookmarkStart w:id="235" w:name="_Toc221423626"/>
      <w:bookmarkStart w:id="236" w:name="_Toc245191321"/>
      <w:bookmarkStart w:id="237" w:name="_Toc249758722"/>
      <w:bookmarkStart w:id="238" w:name="_Toc245722288"/>
      <w:bookmarkStart w:id="239" w:name="_Toc222114886"/>
      <w:bookmarkStart w:id="240" w:name="_Toc223716005"/>
      <w:bookmarkStart w:id="241" w:name="_Toc241404209"/>
      <w:bookmarkStart w:id="242" w:name="_Toc262105511"/>
      <w:bookmarkStart w:id="243" w:name="_Toc246261272"/>
      <w:bookmarkStart w:id="244" w:name="_Toc239145361"/>
      <w:bookmarkStart w:id="245" w:name="_Toc262049426"/>
      <w:bookmarkStart w:id="246" w:name="_Toc249758872"/>
      <w:r>
        <w:rPr>
          <w:rFonts w:hint="eastAsia" w:ascii="宋体" w:hAnsi="宋体" w:eastAsia="宋体" w:cs="宋体"/>
          <w:color w:val="auto"/>
          <w:sz w:val="36"/>
          <w:szCs w:val="36"/>
          <w:highlight w:val="none"/>
        </w:rPr>
        <w:br w:type="page"/>
      </w:r>
      <w:bookmarkStart w:id="247" w:name="_Toc24604"/>
      <w:r>
        <w:rPr>
          <w:rFonts w:hint="eastAsia" w:ascii="宋体" w:hAnsi="宋体" w:eastAsia="宋体" w:cs="宋体"/>
          <w:color w:val="auto"/>
          <w:sz w:val="36"/>
          <w:szCs w:val="36"/>
          <w:highlight w:val="none"/>
        </w:rPr>
        <w:t>第五部分   评审原则及方法</w:t>
      </w:r>
      <w:bookmarkEnd w:id="225"/>
      <w:bookmarkEnd w:id="226"/>
      <w:bookmarkEnd w:id="227"/>
      <w:bookmarkEnd w:id="235"/>
      <w:bookmarkEnd w:id="236"/>
      <w:bookmarkEnd w:id="237"/>
      <w:bookmarkEnd w:id="238"/>
      <w:bookmarkEnd w:id="239"/>
      <w:bookmarkEnd w:id="240"/>
      <w:bookmarkEnd w:id="241"/>
      <w:bookmarkEnd w:id="242"/>
      <w:bookmarkEnd w:id="243"/>
      <w:bookmarkEnd w:id="244"/>
      <w:bookmarkEnd w:id="245"/>
      <w:bookmarkEnd w:id="246"/>
      <w:bookmarkEnd w:id="247"/>
    </w:p>
    <w:p w14:paraId="7B7AFA6F">
      <w:pPr>
        <w:rPr>
          <w:rFonts w:hint="eastAsia" w:ascii="宋体" w:hAnsi="宋体" w:cs="宋体"/>
          <w:color w:val="auto"/>
          <w:highlight w:val="none"/>
        </w:rPr>
      </w:pPr>
    </w:p>
    <w:p w14:paraId="39595BE6">
      <w:pPr>
        <w:spacing w:line="420" w:lineRule="exact"/>
        <w:ind w:left="439" w:leftChars="209"/>
        <w:rPr>
          <w:rFonts w:hint="eastAsia" w:ascii="宋体" w:hAnsi="宋体" w:cs="宋体"/>
          <w:b/>
          <w:color w:val="auto"/>
          <w:sz w:val="22"/>
          <w:szCs w:val="22"/>
          <w:highlight w:val="none"/>
        </w:rPr>
      </w:pPr>
      <w:r>
        <w:rPr>
          <w:rFonts w:hint="eastAsia" w:ascii="宋体" w:hAnsi="宋体" w:cs="宋体"/>
          <w:b/>
          <w:color w:val="auto"/>
          <w:sz w:val="22"/>
          <w:szCs w:val="22"/>
          <w:highlight w:val="none"/>
        </w:rPr>
        <w:t>据《中华人民共和国政府采购法》等相关法规特制定以下评标办法。</w:t>
      </w:r>
    </w:p>
    <w:p w14:paraId="3C91E0CB">
      <w:pPr>
        <w:pStyle w:val="26"/>
        <w:spacing w:before="120" w:beforeLines="50" w:afterLines="50"/>
        <w:rPr>
          <w:rFonts w:hint="eastAsia" w:ascii="宋体" w:hAnsi="宋体" w:cs="宋体"/>
          <w:b/>
          <w:color w:val="auto"/>
          <w:highlight w:val="none"/>
        </w:rPr>
      </w:pPr>
      <w:bookmarkStart w:id="248" w:name="_Toc221356898"/>
      <w:bookmarkStart w:id="249" w:name="_Toc221356961"/>
    </w:p>
    <w:p w14:paraId="73BDE126">
      <w:pPr>
        <w:pStyle w:val="26"/>
        <w:spacing w:before="120" w:beforeLines="50" w:afterLines="50"/>
        <w:rPr>
          <w:rFonts w:hint="eastAsia" w:ascii="宋体" w:hAnsi="宋体" w:cs="宋体"/>
          <w:b/>
          <w:color w:val="auto"/>
          <w:sz w:val="22"/>
          <w:szCs w:val="22"/>
          <w:highlight w:val="none"/>
        </w:rPr>
      </w:pPr>
      <w:r>
        <w:rPr>
          <w:rFonts w:hint="eastAsia" w:ascii="宋体" w:hAnsi="宋体" w:cs="宋体"/>
          <w:b/>
          <w:color w:val="auto"/>
          <w:sz w:val="22"/>
          <w:szCs w:val="22"/>
          <w:highlight w:val="none"/>
        </w:rPr>
        <w:t>一. 总  则</w:t>
      </w:r>
      <w:bookmarkEnd w:id="248"/>
      <w:bookmarkEnd w:id="249"/>
    </w:p>
    <w:p w14:paraId="1DD459C6">
      <w:pPr>
        <w:adjustRightInd w:val="0"/>
        <w:snapToGrid w:val="0"/>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谈判工作遵循公平、公正、科学、择优原则和诚实、信誉、效率的服务原则。最大限度的保护当事人权益，严格按照单一来源采购文件的要求，对报价文件进行综合评审。谈判供应商不得以任何方式干扰政府采购工作的进行，一经发现其报价文件将被拒绝。</w:t>
      </w:r>
    </w:p>
    <w:p w14:paraId="44B7C8ED">
      <w:pPr>
        <w:spacing w:line="420" w:lineRule="exact"/>
        <w:rPr>
          <w:rFonts w:hint="eastAsia" w:ascii="宋体" w:hAnsi="宋体" w:cs="宋体"/>
          <w:b/>
          <w:color w:val="auto"/>
          <w:sz w:val="22"/>
          <w:highlight w:val="none"/>
        </w:rPr>
      </w:pPr>
      <w:r>
        <w:rPr>
          <w:rFonts w:hint="eastAsia" w:ascii="宋体" w:hAnsi="宋体" w:cs="宋体"/>
          <w:b/>
          <w:color w:val="auto"/>
          <w:sz w:val="22"/>
          <w:highlight w:val="none"/>
        </w:rPr>
        <w:t>二、评审组织</w:t>
      </w:r>
    </w:p>
    <w:p w14:paraId="6E04A722">
      <w:pPr>
        <w:spacing w:line="42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谈判工作由采购人依法组建的谈判小组负责，谈判过程由相关部门指导监督。</w:t>
      </w:r>
    </w:p>
    <w:p w14:paraId="304ECF6C">
      <w:pPr>
        <w:spacing w:line="420" w:lineRule="exact"/>
        <w:rPr>
          <w:rFonts w:hint="eastAsia" w:ascii="宋体" w:hAnsi="宋体" w:cs="宋体"/>
          <w:b/>
          <w:color w:val="auto"/>
          <w:sz w:val="22"/>
          <w:highlight w:val="none"/>
        </w:rPr>
      </w:pPr>
      <w:r>
        <w:rPr>
          <w:rFonts w:hint="eastAsia" w:ascii="宋体" w:hAnsi="宋体" w:cs="宋体"/>
          <w:b/>
          <w:color w:val="auto"/>
          <w:sz w:val="22"/>
          <w:highlight w:val="none"/>
        </w:rPr>
        <w:t>三、评审程序</w:t>
      </w:r>
    </w:p>
    <w:p w14:paraId="293CB4E6">
      <w:pPr>
        <w:adjustRightInd w:val="0"/>
        <w:snapToGrid w:val="0"/>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本次谈判分三个阶段进行，具体详见本采购文件《第一部分 供应商须知》“五 谈判和评审”。</w:t>
      </w:r>
    </w:p>
    <w:p w14:paraId="1345435B">
      <w:pPr>
        <w:spacing w:line="420" w:lineRule="exact"/>
        <w:rPr>
          <w:rFonts w:hint="eastAsia" w:ascii="宋体" w:hAnsi="宋体" w:cs="宋体"/>
          <w:color w:val="auto"/>
          <w:sz w:val="22"/>
          <w:highlight w:val="none"/>
        </w:rPr>
      </w:pPr>
      <w:bookmarkStart w:id="250" w:name="_Toc221356965"/>
      <w:bookmarkStart w:id="251" w:name="_Toc221356902"/>
      <w:r>
        <w:rPr>
          <w:rFonts w:hint="eastAsia" w:ascii="宋体" w:hAnsi="宋体" w:cs="宋体"/>
          <w:b/>
          <w:color w:val="auto"/>
          <w:sz w:val="22"/>
          <w:highlight w:val="none"/>
        </w:rPr>
        <w:t>四、</w:t>
      </w:r>
      <w:bookmarkEnd w:id="250"/>
      <w:bookmarkEnd w:id="251"/>
      <w:bookmarkStart w:id="252" w:name="_Toc221356966"/>
      <w:bookmarkStart w:id="253" w:name="_Toc221356903"/>
      <w:r>
        <w:rPr>
          <w:rFonts w:hint="eastAsia" w:ascii="宋体" w:hAnsi="宋体" w:cs="宋体"/>
          <w:b/>
          <w:color w:val="auto"/>
          <w:sz w:val="22"/>
          <w:szCs w:val="22"/>
          <w:highlight w:val="none"/>
        </w:rPr>
        <w:t>确定成交供应商</w:t>
      </w:r>
    </w:p>
    <w:p w14:paraId="54249A91">
      <w:pPr>
        <w:tabs>
          <w:tab w:val="left" w:pos="525"/>
        </w:tabs>
        <w:spacing w:line="44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1.本次采购由谈判小组推荐成交供应商。</w:t>
      </w:r>
    </w:p>
    <w:p w14:paraId="3F2281FE">
      <w:pPr>
        <w:pStyle w:val="35"/>
        <w:tabs>
          <w:tab w:val="left" w:pos="315"/>
        </w:tabs>
        <w:snapToGrid w:val="0"/>
        <w:spacing w:line="440" w:lineRule="exact"/>
        <w:ind w:firstLine="442" w:firstLineChars="200"/>
        <w:rPr>
          <w:rFonts w:hint="eastAsia" w:hAnsi="宋体" w:cs="宋体"/>
          <w:color w:val="auto"/>
          <w:sz w:val="22"/>
          <w:szCs w:val="22"/>
          <w:highlight w:val="none"/>
        </w:rPr>
      </w:pPr>
      <w:r>
        <w:rPr>
          <w:rFonts w:hint="eastAsia" w:hAnsi="宋体" w:cs="宋体"/>
          <w:b/>
          <w:bCs/>
          <w:color w:val="auto"/>
          <w:sz w:val="22"/>
          <w:szCs w:val="22"/>
          <w:highlight w:val="none"/>
        </w:rPr>
        <w:t>2.▲</w:t>
      </w:r>
      <w:r>
        <w:rPr>
          <w:rFonts w:hint="eastAsia" w:hAnsi="宋体" w:cs="宋体"/>
          <w:b/>
          <w:color w:val="auto"/>
          <w:sz w:val="22"/>
          <w:szCs w:val="22"/>
          <w:highlight w:val="none"/>
          <w:u w:val="single"/>
        </w:rPr>
        <w:t>本项目财政预算为：365.9814万元，最终报价均超采购预算，作流标处理，重新组织采购。</w:t>
      </w:r>
    </w:p>
    <w:p w14:paraId="7B22400B">
      <w:pPr>
        <w:tabs>
          <w:tab w:val="left" w:pos="525"/>
        </w:tabs>
        <w:spacing w:line="44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3.谈判小组根据符合采购需求、质量和服务相等且有效报价的原则，推荐最终有效报价的谈判供应商为成交候选人，并提交评审报告。</w:t>
      </w:r>
    </w:p>
    <w:p w14:paraId="7E3B9EBC">
      <w:pPr>
        <w:tabs>
          <w:tab w:val="left" w:pos="315"/>
        </w:tabs>
        <w:adjustRightInd w:val="0"/>
        <w:snapToGrid w:val="0"/>
        <w:spacing w:line="44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4. 若成交候选人放弃成交、因不可抗力提出不能履行合同，则视为其违约，本项目按流标处理，由采购人重新组织采购。</w:t>
      </w:r>
    </w:p>
    <w:p w14:paraId="0752CDB3">
      <w:pPr>
        <w:spacing w:line="420" w:lineRule="exact"/>
        <w:rPr>
          <w:rFonts w:hint="eastAsia" w:ascii="宋体" w:hAnsi="宋体" w:cs="宋体"/>
          <w:b/>
          <w:color w:val="auto"/>
          <w:sz w:val="22"/>
          <w:highlight w:val="none"/>
        </w:rPr>
      </w:pPr>
      <w:r>
        <w:rPr>
          <w:rFonts w:hint="eastAsia" w:ascii="宋体" w:hAnsi="宋体" w:cs="宋体"/>
          <w:b/>
          <w:color w:val="auto"/>
          <w:sz w:val="22"/>
          <w:highlight w:val="none"/>
        </w:rPr>
        <w:t>五、</w:t>
      </w:r>
      <w:bookmarkEnd w:id="252"/>
      <w:bookmarkEnd w:id="253"/>
      <w:r>
        <w:rPr>
          <w:rFonts w:hint="eastAsia" w:ascii="宋体" w:hAnsi="宋体" w:cs="宋体"/>
          <w:b/>
          <w:color w:val="auto"/>
          <w:sz w:val="22"/>
          <w:highlight w:val="none"/>
        </w:rPr>
        <w:t>供应商义务</w:t>
      </w:r>
    </w:p>
    <w:p w14:paraId="751FE3CF">
      <w:pPr>
        <w:spacing w:line="440" w:lineRule="exact"/>
        <w:ind w:left="439" w:leftChars="209"/>
        <w:rPr>
          <w:rFonts w:hint="eastAsia" w:ascii="宋体" w:hAnsi="宋体" w:cs="宋体"/>
          <w:color w:val="auto"/>
          <w:sz w:val="22"/>
          <w:szCs w:val="22"/>
          <w:highlight w:val="none"/>
        </w:rPr>
      </w:pPr>
      <w:bookmarkStart w:id="254" w:name="_Toc221356967"/>
      <w:bookmarkStart w:id="255" w:name="_Toc221356904"/>
      <w:r>
        <w:rPr>
          <w:rFonts w:hint="eastAsia" w:ascii="宋体" w:hAnsi="宋体" w:cs="宋体"/>
          <w:color w:val="auto"/>
          <w:sz w:val="22"/>
          <w:szCs w:val="22"/>
          <w:highlight w:val="none"/>
        </w:rPr>
        <w:t>谈判供应商应随时接受谈判小组的询标，解答包括有关的商务、技术问题等。评标结束，所有评</w:t>
      </w:r>
    </w:p>
    <w:p w14:paraId="4133CD69">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标资料存采购单位备查。</w:t>
      </w:r>
    </w:p>
    <w:bookmarkEnd w:id="254"/>
    <w:bookmarkEnd w:id="255"/>
    <w:p w14:paraId="03D90840">
      <w:pPr>
        <w:widowControl/>
        <w:jc w:val="left"/>
        <w:rPr>
          <w:rFonts w:hint="eastAsia" w:ascii="宋体" w:hAnsi="宋体" w:cs="宋体"/>
          <w:color w:val="auto"/>
          <w:sz w:val="22"/>
          <w:szCs w:val="22"/>
          <w:highlight w:val="none"/>
        </w:rPr>
      </w:pPr>
      <w:r>
        <w:rPr>
          <w:rFonts w:hint="eastAsia" w:ascii="宋体" w:hAnsi="宋体" w:cs="宋体"/>
          <w:color w:val="auto"/>
          <w:sz w:val="22"/>
          <w:szCs w:val="22"/>
          <w:highlight w:val="none"/>
        </w:rPr>
        <w:br w:type="page"/>
      </w:r>
    </w:p>
    <w:p w14:paraId="1AE43C2C">
      <w:pPr>
        <w:pStyle w:val="60"/>
        <w:rPr>
          <w:rFonts w:hint="eastAsia" w:ascii="宋体" w:hAnsi="宋体" w:eastAsia="宋体" w:cs="宋体"/>
          <w:color w:val="auto"/>
          <w:kern w:val="2"/>
          <w:sz w:val="36"/>
          <w:szCs w:val="36"/>
          <w:highlight w:val="none"/>
        </w:rPr>
      </w:pPr>
      <w:r>
        <w:rPr>
          <w:rFonts w:hint="eastAsia" w:ascii="宋体" w:hAnsi="宋体" w:eastAsia="宋体" w:cs="宋体"/>
          <w:color w:val="auto"/>
          <w:kern w:val="2"/>
          <w:sz w:val="36"/>
          <w:szCs w:val="36"/>
          <w:highlight w:val="none"/>
        </w:rPr>
        <w:t>政府采购政策功能相关说明</w:t>
      </w:r>
    </w:p>
    <w:p w14:paraId="0DF55D41">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一、小、微企业（含监狱企业、残疾人福利性单位）扶持政策说明</w:t>
      </w:r>
    </w:p>
    <w:p w14:paraId="09FB9DEC">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1、文件依据</w:t>
      </w:r>
    </w:p>
    <w:p w14:paraId="3709D9F1">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（1）关于《政府采购促进中小企业发展管理办法》（财库﹝2020﹞46 号）</w:t>
      </w:r>
    </w:p>
    <w:p w14:paraId="765C78EB">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（2）浙江省财政厅转发财政部工业和信息化部关于印发《政府采购促进中小企业发展暂行办法》的通知（浙财采监[2012]11号）</w:t>
      </w:r>
    </w:p>
    <w:p w14:paraId="4FA9F220">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（3）浙江省省财政厅《关于开展政府采购供应商网上注册登记和诚信管理工作的通知》（浙财采监〔2010〕8号)</w:t>
      </w:r>
    </w:p>
    <w:p w14:paraId="0B6E583C">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（4）《工业和信息化部、国家统计局、国家发展和改革委员会、财政部关于印发中小企业划型标准规定的通知》（工信部联企业[2011]300号）</w:t>
      </w:r>
    </w:p>
    <w:p w14:paraId="6AECF058">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（5）财政部、司法部《关于政府采购支持监狱企业发展有关问题的通知》（财库〔2014〕68号）</w:t>
      </w:r>
    </w:p>
    <w:p w14:paraId="46FCF992">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（6）《财政部 民政部 中国残疾人联合会关于促进残疾人就业政府采购政策的通知》（财库〔2017〕 141号）</w:t>
      </w:r>
    </w:p>
    <w:p w14:paraId="30F82041">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（7）《浙江省财政厅  浙江省经济和信息化委员会关于简化中小企业类别确认流程有关事项的通知》（浙财采监〔2018〕2号)</w:t>
      </w:r>
    </w:p>
    <w:p w14:paraId="5125AAAC">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（8）《温州市财政局转发浙江省财政厅关于进一步发挥政府采购政策功能全力推动经济稳进提质的通知》温财采〔2022〕1号</w:t>
      </w:r>
    </w:p>
    <w:p w14:paraId="40F88AEA">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（9）《浙江省财政厅关于进一步发挥政府采购政策功能全力推动经济稳进提质的通知》 （浙财采监（2022）3号）</w:t>
      </w:r>
    </w:p>
    <w:p w14:paraId="3D4D273E">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（10） 《浙江省财政厅关于进一步促进政府采购公平竞争打造最优营商环境的通知》（浙财采监（2021）22号）</w:t>
      </w:r>
    </w:p>
    <w:p w14:paraId="31AD2EFE">
      <w:pPr>
        <w:spacing w:line="400" w:lineRule="exact"/>
        <w:jc w:val="left"/>
        <w:rPr>
          <w:rFonts w:hint="eastAsia" w:ascii="宋体" w:hAnsi="宋体" w:cs="宋体"/>
          <w:bCs/>
          <w:color w:val="auto"/>
          <w:sz w:val="22"/>
          <w:highlight w:val="none"/>
        </w:rPr>
      </w:pPr>
      <w:r>
        <w:rPr>
          <w:rFonts w:hint="eastAsia" w:ascii="宋体" w:hAnsi="宋体" w:cs="宋体"/>
          <w:bCs/>
          <w:color w:val="auto"/>
          <w:sz w:val="22"/>
          <w:szCs w:val="22"/>
          <w:highlight w:val="none"/>
        </w:rPr>
        <w:t>（11）《浙江省财政厅关于进一步加大政府采购支持中小企业力度 助力扎实稳住经济的通知》（浙财采监[2022]8号）</w:t>
      </w:r>
    </w:p>
    <w:p w14:paraId="1D873566">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2、在政府采购活动中，供应商提供的货物、工程或者服务符合下列情形的，享受中小企业扶持政策：</w:t>
      </w:r>
    </w:p>
    <w:p w14:paraId="0A461739">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 xml:space="preserve">（1）在货物采购项目中，货物由中小企业制造，即货物由中小企业生产且使用该中小企业商号或者注册商标； </w:t>
      </w:r>
    </w:p>
    <w:p w14:paraId="49D90C88">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 xml:space="preserve">（2）在工程采购项目中，工程由中小企业承建，即工程施工单位为中小企业； </w:t>
      </w:r>
    </w:p>
    <w:p w14:paraId="103F5435">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 xml:space="preserve">（3）在服务采购项目中，服务由中小企业承接，即提供服务的人员为中小企业依照《中华人民共和国劳动民法典》订立劳动合同的从业人员。 </w:t>
      </w:r>
    </w:p>
    <w:p w14:paraId="036EB0C5">
      <w:pPr>
        <w:spacing w:line="400" w:lineRule="exact"/>
        <w:ind w:firstLine="442" w:firstLineChars="200"/>
        <w:jc w:val="left"/>
        <w:rPr>
          <w:rFonts w:hint="eastAsia" w:ascii="宋体" w:hAnsi="宋体" w:cs="宋体"/>
          <w:b/>
          <w:bCs/>
          <w:color w:val="auto"/>
          <w:sz w:val="22"/>
          <w:highlight w:val="none"/>
        </w:rPr>
      </w:pPr>
      <w:r>
        <w:rPr>
          <w:rFonts w:hint="eastAsia" w:ascii="宋体" w:hAnsi="宋体" w:cs="宋体"/>
          <w:b/>
          <w:bCs/>
          <w:color w:val="auto"/>
          <w:sz w:val="22"/>
          <w:highlight w:val="none"/>
        </w:rPr>
        <w:t>在货物采购项目中，供应商提供的货物既有中小企业制造货物，也有大型企业制造货物的，不享受规定的中小企业扶持政策。</w:t>
      </w:r>
    </w:p>
    <w:p w14:paraId="29F3CE1A">
      <w:pPr>
        <w:spacing w:line="400" w:lineRule="exact"/>
        <w:ind w:firstLine="442" w:firstLineChars="200"/>
        <w:jc w:val="left"/>
        <w:rPr>
          <w:rFonts w:hint="eastAsia" w:ascii="宋体" w:hAnsi="宋体" w:cs="宋体"/>
          <w:b/>
          <w:bCs/>
          <w:color w:val="auto"/>
          <w:sz w:val="22"/>
          <w:highlight w:val="none"/>
        </w:rPr>
      </w:pPr>
      <w:r>
        <w:rPr>
          <w:rFonts w:hint="eastAsia" w:ascii="宋体" w:hAnsi="宋体" w:cs="宋体"/>
          <w:b/>
          <w:bCs/>
          <w:color w:val="auto"/>
          <w:sz w:val="22"/>
          <w:highlight w:val="none"/>
        </w:rPr>
        <w:t>以联合体形式参加政府采购活动，联合体各方均为中小业的，联合体视为中小企业。其中，联合体各方均为小微企业的，联合体视同小微企业。</w:t>
      </w:r>
    </w:p>
    <w:p w14:paraId="3B571D57">
      <w:pPr>
        <w:spacing w:line="400" w:lineRule="exact"/>
        <w:ind w:firstLine="442" w:firstLineChars="200"/>
        <w:jc w:val="left"/>
        <w:rPr>
          <w:rFonts w:hint="eastAsia" w:ascii="宋体" w:hAnsi="宋体" w:cs="宋体"/>
          <w:b/>
          <w:bCs/>
          <w:color w:val="auto"/>
          <w:sz w:val="22"/>
          <w:highlight w:val="none"/>
        </w:rPr>
      </w:pPr>
      <w:r>
        <w:rPr>
          <w:rFonts w:hint="eastAsia" w:ascii="宋体" w:hAnsi="宋体" w:cs="宋体"/>
          <w:b/>
          <w:bCs/>
          <w:color w:val="auto"/>
          <w:sz w:val="22"/>
          <w:highlight w:val="none"/>
        </w:rPr>
        <w:t>中小企业的认定：中小企业是指在中华人民共和国境内依法设立，依据国务院批准的中小企业划分标准确定的中型企业、小型企业和微型企业，但与大企业的负责人为同一人，或者与大企业存在直接控股、管理关系的除外。</w:t>
      </w:r>
    </w:p>
    <w:p w14:paraId="606A3342">
      <w:pPr>
        <w:spacing w:line="400" w:lineRule="exact"/>
        <w:ind w:firstLine="442" w:firstLineChars="200"/>
        <w:jc w:val="left"/>
        <w:rPr>
          <w:rFonts w:hint="eastAsia" w:ascii="宋体" w:hAnsi="宋体" w:cs="宋体"/>
          <w:b/>
          <w:bCs/>
          <w:color w:val="auto"/>
          <w:sz w:val="22"/>
          <w:highlight w:val="none"/>
        </w:rPr>
      </w:pPr>
      <w:r>
        <w:rPr>
          <w:rFonts w:hint="eastAsia" w:ascii="宋体" w:hAnsi="宋体" w:cs="宋体"/>
          <w:b/>
          <w:bCs/>
          <w:color w:val="auto"/>
          <w:sz w:val="22"/>
          <w:highlight w:val="none"/>
        </w:rPr>
        <w:t>符合中小企业划分标准的个体工商户，在政府采购活动中视同中小企业。</w:t>
      </w:r>
    </w:p>
    <w:p w14:paraId="55039867">
      <w:pPr>
        <w:spacing w:line="400" w:lineRule="exact"/>
        <w:ind w:firstLine="420" w:firstLineChars="200"/>
        <w:jc w:val="left"/>
        <w:rPr>
          <w:rFonts w:hint="eastAsia" w:ascii="宋体" w:hAnsi="宋体" w:cs="宋体"/>
          <w:b/>
          <w:bCs/>
          <w:color w:val="auto"/>
          <w:sz w:val="22"/>
          <w:highlight w:val="none"/>
        </w:rPr>
      </w:pPr>
      <w:r>
        <w:rPr>
          <w:rFonts w:hint="eastAsia" w:ascii="宋体" w:hAnsi="宋体" w:cs="宋体"/>
          <w:color w:val="auto"/>
          <w:highlight w:val="none"/>
        </w:rPr>
        <w:t>中小企业划分标准：</w:t>
      </w:r>
      <w:r>
        <w:rPr>
          <w:rFonts w:hint="eastAsia" w:ascii="宋体" w:hAnsi="宋体" w:cs="宋体"/>
          <w:bCs/>
          <w:color w:val="auto"/>
          <w:sz w:val="22"/>
          <w:highlight w:val="none"/>
        </w:rPr>
        <w:t>是指国务院有关部门根据企业从业人员、营业收入、资产总额等指标制定的中小企业划型标准，按《工业和信息化部、国家统计局、国家发展和改革委员会、财政部关于印发中小企业划型标准规定的通知》（工信部联企业[2011]300号）规定划分。</w:t>
      </w:r>
    </w:p>
    <w:p w14:paraId="1982BB39">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3、享受小微企业（含监狱企业、残疾人福利性单位）价格折扣比例</w:t>
      </w:r>
    </w:p>
    <w:p w14:paraId="7D63A0C5">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（1）在货物或服务项目采购中，对小微企业报价给予20%的扣除，用扣除后的价格参加评审；</w:t>
      </w:r>
      <w:r>
        <w:rPr>
          <w:rFonts w:hint="eastAsia" w:ascii="宋体" w:hAnsi="宋体" w:cs="宋体"/>
          <w:bCs/>
          <w:color w:val="auto"/>
          <w:sz w:val="22"/>
          <w:highlight w:val="none"/>
        </w:rPr>
        <w:br w:type="textWrapping"/>
      </w:r>
      <w:r>
        <w:rPr>
          <w:rFonts w:hint="eastAsia" w:ascii="宋体" w:hAnsi="宋体" w:cs="宋体"/>
          <w:bCs/>
          <w:color w:val="auto"/>
          <w:sz w:val="22"/>
          <w:highlight w:val="none"/>
        </w:rPr>
        <w:t>（2）在工程项目采购中，对小微企业报价给予5%的扣除，用扣除后的价格参加评审。</w:t>
      </w:r>
    </w:p>
    <w:p w14:paraId="454840A4">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（3）接受大中型企业与小微企业组成联合体或者允许大中型企业向一家或者多家小微企业分包的采购项目，对于联合协议或者分包意向协议约定小微企业的合同份额占到合同总金额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6%（工程项目为2%）的扣除，用扣除后的价格参加评审。组成联合体或者接受分包的小微企业与联合体内其他企业、分包企业之间存在直接控股、管理关系的，不享受价格扣除优惠政策。</w:t>
      </w:r>
      <w:r>
        <w:rPr>
          <w:rFonts w:hint="eastAsia" w:ascii="宋体" w:hAnsi="宋体" w:cs="宋体"/>
          <w:b/>
          <w:bCs/>
          <w:color w:val="auto"/>
          <w:sz w:val="22"/>
          <w:highlight w:val="none"/>
        </w:rPr>
        <w:br w:type="textWrapping"/>
      </w:r>
      <w:r>
        <w:rPr>
          <w:rFonts w:hint="eastAsia" w:ascii="宋体" w:hAnsi="宋体" w:cs="宋体"/>
          <w:b/>
          <w:bCs/>
          <w:color w:val="auto"/>
          <w:sz w:val="22"/>
          <w:highlight w:val="none"/>
          <w:u w:val="single"/>
        </w:rPr>
        <w:t>4、享受小微企业价格折扣应提供以下证明材料（电子投标文件中，不提供的不享受价格扣除）</w:t>
      </w:r>
      <w:r>
        <w:rPr>
          <w:rFonts w:hint="eastAsia" w:ascii="宋体" w:hAnsi="宋体" w:cs="宋体"/>
          <w:b/>
          <w:bCs/>
          <w:color w:val="auto"/>
          <w:sz w:val="22"/>
          <w:highlight w:val="none"/>
        </w:rPr>
        <w:t>：</w:t>
      </w:r>
    </w:p>
    <w:p w14:paraId="1F8EAD19">
      <w:pPr>
        <w:spacing w:line="400" w:lineRule="exact"/>
        <w:jc w:val="left"/>
        <w:rPr>
          <w:rFonts w:hint="eastAsia" w:ascii="宋体" w:hAnsi="宋体" w:cs="宋体"/>
          <w:b/>
          <w:bCs/>
          <w:color w:val="auto"/>
          <w:sz w:val="22"/>
          <w:szCs w:val="22"/>
          <w:highlight w:val="none"/>
        </w:rPr>
      </w:pPr>
      <w:r>
        <w:rPr>
          <w:rFonts w:hint="eastAsia" w:ascii="宋体" w:hAnsi="宋体" w:cs="宋体"/>
          <w:b/>
          <w:bCs/>
          <w:color w:val="auto"/>
          <w:sz w:val="22"/>
          <w:highlight w:val="none"/>
        </w:rPr>
        <w:t>（1）《中小企业</w:t>
      </w:r>
      <w:r>
        <w:rPr>
          <w:rFonts w:hint="eastAsia" w:ascii="宋体" w:hAnsi="宋体" w:cs="宋体"/>
          <w:b/>
          <w:bCs/>
          <w:color w:val="auto"/>
          <w:sz w:val="22"/>
          <w:szCs w:val="22"/>
          <w:highlight w:val="none"/>
        </w:rPr>
        <w:t>声明函》（原件上传后进行CA电子签章，格式见附件）</w:t>
      </w:r>
    </w:p>
    <w:p w14:paraId="19EB9CD8">
      <w:pPr>
        <w:spacing w:line="400" w:lineRule="exact"/>
        <w:jc w:val="left"/>
        <w:rPr>
          <w:rFonts w:hint="eastAsia" w:ascii="宋体" w:hAnsi="宋体" w:cs="宋体"/>
          <w:b/>
          <w:bCs/>
          <w:color w:val="auto"/>
          <w:sz w:val="22"/>
          <w:highlight w:val="none"/>
          <w:u w:val="single"/>
        </w:rPr>
      </w:pPr>
      <w:r>
        <w:rPr>
          <w:rFonts w:hint="eastAsia" w:ascii="宋体" w:hAnsi="宋体" w:cs="宋体"/>
          <w:b/>
          <w:bCs/>
          <w:color w:val="auto"/>
          <w:sz w:val="22"/>
          <w:highlight w:val="none"/>
          <w:u w:val="single"/>
        </w:rPr>
        <w:t>5、享受监狱企业价格折扣应提供以下证明材料（电子投标文件中,不提供的不享受价格折扣）：</w:t>
      </w:r>
    </w:p>
    <w:p w14:paraId="54AB1E4C">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1）监狱企业参加政府采购活动时，应当提供由省级以上监狱管理局、戒毒管理局(含新疆生产建设兵团)出具的属于监狱企业的证明文件（原件或复印件上传后进行CA电子签章）。在政府采购活动中，监狱企业视同小型、微型企业，享受评审中价格扣除政策。</w:t>
      </w:r>
    </w:p>
    <w:p w14:paraId="4863CF34">
      <w:pPr>
        <w:adjustRightInd w:val="0"/>
        <w:snapToGrid w:val="0"/>
        <w:spacing w:line="400" w:lineRule="exact"/>
        <w:ind w:firstLine="348" w:firstLineChars="150"/>
        <w:rPr>
          <w:rFonts w:hint="eastAsia" w:ascii="宋体" w:hAnsi="宋体" w:cs="宋体"/>
          <w:bCs/>
          <w:color w:val="auto"/>
          <w:sz w:val="22"/>
          <w:highlight w:val="none"/>
        </w:rPr>
      </w:pPr>
      <w:r>
        <w:rPr>
          <w:rFonts w:hint="eastAsia" w:ascii="宋体" w:hAnsi="宋体" w:cs="宋体"/>
          <w:color w:val="auto"/>
          <w:spacing w:val="6"/>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80FAF09">
      <w:pPr>
        <w:spacing w:line="400" w:lineRule="exact"/>
        <w:jc w:val="left"/>
        <w:rPr>
          <w:rFonts w:hint="eastAsia" w:ascii="宋体" w:hAnsi="宋体" w:cs="宋体"/>
          <w:bCs/>
          <w:color w:val="auto"/>
          <w:sz w:val="22"/>
          <w:highlight w:val="none"/>
        </w:rPr>
      </w:pPr>
      <w:r>
        <w:rPr>
          <w:rFonts w:hint="eastAsia" w:ascii="宋体" w:hAnsi="宋体" w:cs="宋体"/>
          <w:b/>
          <w:bCs/>
          <w:color w:val="auto"/>
          <w:sz w:val="22"/>
          <w:highlight w:val="none"/>
          <w:u w:val="single"/>
        </w:rPr>
        <w:t>6、享受残疾人福利性单位格折扣应提供以下证明材料（电子投标文件中，不提供的不享受价格折扣）</w:t>
      </w:r>
      <w:r>
        <w:rPr>
          <w:rFonts w:hint="eastAsia" w:ascii="宋体" w:hAnsi="宋体" w:cs="宋体"/>
          <w:bCs/>
          <w:color w:val="auto"/>
          <w:sz w:val="22"/>
          <w:highlight w:val="none"/>
        </w:rPr>
        <w:t>：</w:t>
      </w:r>
    </w:p>
    <w:p w14:paraId="79D96BC6">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（1）残疾人福利性单位声明函（上传后进行CA电子签章，格式见附件）；在政府采购活动中，残疾人福利性单位视同小型、微型企业，享受评审中价格扣除政策。</w:t>
      </w:r>
    </w:p>
    <w:p w14:paraId="029670A1">
      <w:pPr>
        <w:spacing w:line="400" w:lineRule="exact"/>
        <w:jc w:val="left"/>
        <w:rPr>
          <w:rFonts w:hint="eastAsia" w:ascii="宋体" w:hAnsi="宋体" w:cs="宋体"/>
          <w:bCs/>
          <w:color w:val="auto"/>
          <w:sz w:val="22"/>
          <w:highlight w:val="none"/>
        </w:rPr>
      </w:pPr>
      <w:r>
        <w:rPr>
          <w:rFonts w:hint="eastAsia" w:ascii="宋体" w:hAnsi="宋体" w:cs="宋体"/>
          <w:bCs/>
          <w:color w:val="auto"/>
          <w:sz w:val="22"/>
          <w:highlight w:val="none"/>
        </w:rPr>
        <w:t>7、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r>
        <w:rPr>
          <w:rFonts w:hint="eastAsia" w:ascii="宋体" w:hAnsi="宋体" w:cs="宋体"/>
          <w:b/>
          <w:color w:val="auto"/>
          <w:sz w:val="22"/>
          <w:szCs w:val="22"/>
          <w:highlight w:val="none"/>
        </w:rPr>
        <w:t>属于小微企业（含监狱企业、残疾人福利性单位）的供应商提供其他制造商制造的货物参与投标的，还应提供所投产品制造商属于小微企业（含监狱企业、残疾人福利性单位）的证明材料并加盖制造商公章，否则不享受价格折扣。</w:t>
      </w:r>
    </w:p>
    <w:p w14:paraId="18BDDB7C">
      <w:pPr>
        <w:spacing w:line="400" w:lineRule="exact"/>
        <w:jc w:val="left"/>
        <w:rPr>
          <w:rFonts w:hint="eastAsia" w:ascii="宋体" w:hAnsi="宋体" w:cs="宋体"/>
          <w:b/>
          <w:bCs/>
          <w:color w:val="auto"/>
          <w:sz w:val="22"/>
          <w:highlight w:val="none"/>
        </w:rPr>
      </w:pPr>
      <w:r>
        <w:rPr>
          <w:rFonts w:hint="eastAsia" w:ascii="宋体" w:hAnsi="宋体" w:cs="宋体"/>
          <w:b/>
          <w:bCs/>
          <w:color w:val="auto"/>
          <w:sz w:val="22"/>
          <w:highlight w:val="none"/>
        </w:rPr>
        <w:t>8、享受扶持政策获得政府采购合同的，小微企业不得将合同分包给大中型企业，中型企业不得将合同分包给大型企业。</w:t>
      </w:r>
    </w:p>
    <w:p w14:paraId="5AC8DC7E">
      <w:pPr>
        <w:spacing w:line="400" w:lineRule="exact"/>
        <w:jc w:val="left"/>
        <w:rPr>
          <w:rFonts w:hint="eastAsia" w:ascii="宋体" w:hAnsi="宋体" w:cs="宋体"/>
          <w:color w:val="auto"/>
          <w:highlight w:val="none"/>
        </w:rPr>
      </w:pPr>
      <w:r>
        <w:rPr>
          <w:rFonts w:hint="eastAsia" w:ascii="宋体" w:hAnsi="宋体" w:cs="宋体"/>
          <w:b/>
          <w:bCs/>
          <w:color w:val="auto"/>
          <w:sz w:val="22"/>
          <w:highlight w:val="none"/>
        </w:rPr>
        <w:t>说明：如为专门面向中小企业采购的项目或者标项，不再执行价格评审优惠的扶持政策。</w:t>
      </w:r>
    </w:p>
    <w:p w14:paraId="4BE9F143">
      <w:pPr>
        <w:spacing w:line="400" w:lineRule="exact"/>
        <w:jc w:val="lef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二、节能产品 、环境标志产品扶持政策说明</w:t>
      </w:r>
    </w:p>
    <w:p w14:paraId="4BC46E88">
      <w:pPr>
        <w:pStyle w:val="27"/>
        <w:spacing w:after="0" w:line="400" w:lineRule="exact"/>
        <w:ind w:firstLine="0" w:firstLineChars="0"/>
        <w:rPr>
          <w:rFonts w:hint="eastAsia" w:ascii="宋体" w:hAnsi="宋体" w:cs="宋体"/>
          <w:bCs/>
          <w:color w:val="auto"/>
          <w:sz w:val="22"/>
          <w:szCs w:val="22"/>
          <w:highlight w:val="none"/>
        </w:rPr>
      </w:pPr>
      <w:r>
        <w:rPr>
          <w:rFonts w:hint="eastAsia" w:ascii="宋体" w:hAnsi="宋体" w:cs="宋体"/>
          <w:bCs/>
          <w:color w:val="auto"/>
          <w:sz w:val="22"/>
          <w:szCs w:val="22"/>
          <w:highlight w:val="none"/>
        </w:rPr>
        <w:t>1、根据财政部、国家发展改革委、生态环境部、国家市场监管总局《关于调整优化节能产品、环境标志产品政府采购执行机制的通知》财库〔2019〕9 号文件规定，对政府采购节能产品、环境标志产品实施品目清单管理，依据品目清单和认证证书实施政府优先采购和强制采购。</w:t>
      </w:r>
    </w:p>
    <w:p w14:paraId="47D51D65">
      <w:pPr>
        <w:pStyle w:val="27"/>
        <w:spacing w:after="0" w:line="400" w:lineRule="exact"/>
        <w:ind w:firstLine="0" w:firstLineChars="0"/>
        <w:rPr>
          <w:rFonts w:hint="eastAsia" w:ascii="宋体" w:hAnsi="宋体" w:cs="宋体"/>
          <w:bCs/>
          <w:color w:val="auto"/>
          <w:sz w:val="22"/>
          <w:szCs w:val="22"/>
          <w:highlight w:val="none"/>
        </w:rPr>
      </w:pPr>
      <w:r>
        <w:rPr>
          <w:rFonts w:hint="eastAsia" w:ascii="宋体" w:hAnsi="宋体" w:cs="宋体"/>
          <w:bCs/>
          <w:color w:val="auto"/>
          <w:sz w:val="22"/>
          <w:szCs w:val="22"/>
          <w:highlight w:val="none"/>
        </w:rPr>
        <w:t>2、《节能产品政府采购品目清单》详见《关于印发节能产品政府采购品目清单的通知（财库[2019]19  号）》（如遇调整，按最新清单执行）。产品名称（以“★”标注的为政府强制采购产品）。</w:t>
      </w:r>
    </w:p>
    <w:p w14:paraId="57398A92">
      <w:pPr>
        <w:pStyle w:val="27"/>
        <w:spacing w:after="0" w:line="400" w:lineRule="exact"/>
        <w:ind w:firstLine="0" w:firstLineChars="0"/>
        <w:rPr>
          <w:rFonts w:hint="eastAsia" w:ascii="宋体" w:hAnsi="宋体" w:cs="宋体"/>
          <w:bCs/>
          <w:color w:val="auto"/>
          <w:sz w:val="22"/>
          <w:szCs w:val="22"/>
          <w:highlight w:val="none"/>
        </w:rPr>
      </w:pPr>
      <w:r>
        <w:rPr>
          <w:rFonts w:hint="eastAsia" w:ascii="宋体" w:hAnsi="宋体" w:cs="宋体"/>
          <w:bCs/>
          <w:color w:val="auto"/>
          <w:sz w:val="22"/>
          <w:szCs w:val="22"/>
          <w:highlight w:val="none"/>
        </w:rPr>
        <w:t>3、本次采购对属于节能产品政府采购品目清单规定的政府强制采购产品范围内的产品实施强制采购。供应商应当在投标文件中提供国家确定的认证机构出具的、处于有效期之内的节能产品认证证书（复印件、加盖公章）。 不能提供上述证书的，</w:t>
      </w:r>
      <w:r>
        <w:rPr>
          <w:rFonts w:hint="eastAsia" w:ascii="宋体" w:hAnsi="宋体" w:cs="宋体"/>
          <w:bCs/>
          <w:color w:val="auto"/>
          <w:sz w:val="22"/>
          <w:highlight w:val="none"/>
        </w:rPr>
        <w:t>投标</w:t>
      </w:r>
      <w:r>
        <w:rPr>
          <w:rFonts w:hint="eastAsia" w:ascii="宋体" w:hAnsi="宋体" w:cs="宋体"/>
          <w:bCs/>
          <w:color w:val="auto"/>
          <w:sz w:val="22"/>
          <w:szCs w:val="22"/>
          <w:highlight w:val="none"/>
        </w:rPr>
        <w:t>文件无效。</w:t>
      </w:r>
    </w:p>
    <w:p w14:paraId="44C5A663">
      <w:pPr>
        <w:pStyle w:val="27"/>
        <w:spacing w:after="0" w:line="400" w:lineRule="exact"/>
        <w:ind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4、《环境标志产品政府采购品目清单》详见《关于印发环境标志产品政府采购品目清单的通知（财库[2019]18 号）》（如遇调整，按最新清单执行）。</w:t>
      </w:r>
    </w:p>
    <w:p w14:paraId="7CDAF229">
      <w:pPr>
        <w:pStyle w:val="27"/>
        <w:spacing w:after="0" w:line="400" w:lineRule="exact"/>
        <w:ind w:firstLine="0" w:firstLineChars="0"/>
        <w:rPr>
          <w:rFonts w:hint="eastAsia" w:ascii="宋体" w:hAnsi="宋体" w:cs="宋体"/>
          <w:color w:val="auto"/>
          <w:sz w:val="22"/>
          <w:szCs w:val="22"/>
          <w:highlight w:val="none"/>
          <w:u w:val="single"/>
        </w:rPr>
      </w:pPr>
      <w:r>
        <w:rPr>
          <w:rFonts w:hint="eastAsia" w:ascii="宋体" w:hAnsi="宋体" w:cs="宋体"/>
          <w:color w:val="auto"/>
          <w:sz w:val="22"/>
          <w:szCs w:val="22"/>
          <w:highlight w:val="none"/>
          <w:u w:val="single"/>
        </w:rPr>
        <w:t>5、本次采购对属于品目清单范围但不属于政府强制采购产品的，实施优先采购，详见采购文件《第五部分 评标原则及方法》。供应商在投标文件中提供国家确定的认证机构出具的、处于有效期之内的节能产品或环境标志产品认证证书（复印件）并提供品目清单核对，否则不享受加分。</w:t>
      </w:r>
    </w:p>
    <w:p w14:paraId="770930CA">
      <w:pPr>
        <w:pStyle w:val="27"/>
        <w:spacing w:after="0" w:line="400" w:lineRule="exact"/>
        <w:ind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6、节能产品政府采购品目清单，以财政部、国家发展改革委发布的最新一期节能产品政府采购品目清单为准。环境标志产品政府采购品目清单，以财政部、生态环境部发布的最新一期环境标志产品政府采购品目清单为准。</w:t>
      </w:r>
    </w:p>
    <w:p w14:paraId="050F0395">
      <w:pPr>
        <w:pStyle w:val="27"/>
        <w:spacing w:after="0" w:line="400" w:lineRule="exact"/>
        <w:ind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7、国家确定的认证机构以国家市场监管总局发布的参与实施政府采购节能产品、环境标志产品认证机构名录为准，详见《市场监管总局关于发布参与实施政府采购节能产品、环境标志产品认证机构名录的公告》（ 2019 年第16号）。</w:t>
      </w:r>
    </w:p>
    <w:p w14:paraId="20274AC6">
      <w:pPr>
        <w:spacing w:line="400" w:lineRule="exact"/>
        <w:jc w:val="left"/>
        <w:rPr>
          <w:rFonts w:hint="eastAsia" w:ascii="宋体" w:hAnsi="宋体" w:cs="宋体"/>
          <w:b/>
          <w:color w:val="auto"/>
          <w:sz w:val="22"/>
          <w:szCs w:val="22"/>
          <w:highlight w:val="none"/>
        </w:rPr>
      </w:pPr>
      <w:r>
        <w:rPr>
          <w:rFonts w:hint="eastAsia" w:ascii="宋体" w:hAnsi="宋体" w:cs="宋体"/>
          <w:b/>
          <w:color w:val="auto"/>
          <w:sz w:val="22"/>
          <w:szCs w:val="22"/>
          <w:highlight w:val="none"/>
        </w:rPr>
        <w:t>三、优化政府采金融服务</w:t>
      </w:r>
    </w:p>
    <w:p w14:paraId="7301DF18">
      <w:pPr>
        <w:spacing w:line="400" w:lineRule="exact"/>
        <w:rPr>
          <w:rFonts w:hint="eastAsia" w:hAnsi="宋体" w:cs="宋体"/>
          <w:bCs/>
          <w:color w:val="auto"/>
          <w:sz w:val="22"/>
          <w:szCs w:val="22"/>
          <w:highlight w:val="none"/>
        </w:rPr>
      </w:pPr>
      <w:r>
        <w:rPr>
          <w:rFonts w:hint="eastAsia" w:ascii="宋体" w:hAnsi="宋体" w:cs="宋体"/>
          <w:color w:val="auto"/>
          <w:kern w:val="0"/>
          <w:sz w:val="22"/>
          <w:szCs w:val="22"/>
          <w:highlight w:val="none"/>
        </w:rPr>
        <w:t>详见《温州市财政局关于温州市政府采购支持中小企业信用融资的通知》（温财采〔2020〕3号）文件，供应商若有融资意向，可直接登录http://jinrong.zcygov.cn，查看信用融资政策文件及各相关银行服务方案，也可直接向各银行咨询相关业务。</w:t>
      </w:r>
    </w:p>
    <w:p w14:paraId="4BC78A1D">
      <w:pPr>
        <w:pStyle w:val="27"/>
        <w:ind w:firstLine="210"/>
        <w:rPr>
          <w:rFonts w:hint="eastAsia"/>
          <w:color w:val="auto"/>
          <w:highlight w:val="none"/>
        </w:rPr>
      </w:pPr>
    </w:p>
    <w:p w14:paraId="1D0F49E5">
      <w:pPr>
        <w:widowControl/>
        <w:jc w:val="left"/>
        <w:rPr>
          <w:rFonts w:hint="eastAsia" w:ascii="宋体" w:hAnsi="宋体" w:cs="宋体"/>
          <w:b/>
          <w:bCs/>
          <w:color w:val="auto"/>
          <w:sz w:val="36"/>
          <w:szCs w:val="36"/>
          <w:highlight w:val="none"/>
        </w:rPr>
      </w:pPr>
    </w:p>
    <w:p w14:paraId="3940AEC4">
      <w:pPr>
        <w:spacing w:line="380" w:lineRule="exact"/>
        <w:rPr>
          <w:rFonts w:hint="eastAsia" w:ascii="宋体" w:hAnsi="宋体"/>
          <w:b/>
          <w:bCs/>
          <w:color w:val="auto"/>
          <w:sz w:val="22"/>
          <w:szCs w:val="22"/>
          <w:highlight w:val="none"/>
        </w:rPr>
      </w:pPr>
      <w:r>
        <w:rPr>
          <w:rFonts w:hint="eastAsia" w:ascii="宋体" w:hAnsi="宋体"/>
          <w:b/>
          <w:bCs/>
          <w:color w:val="auto"/>
          <w:sz w:val="22"/>
          <w:szCs w:val="22"/>
          <w:highlight w:val="none"/>
        </w:rPr>
        <w:br w:type="page"/>
      </w:r>
      <w:r>
        <w:rPr>
          <w:rFonts w:hint="eastAsia" w:ascii="宋体" w:hAnsi="宋体"/>
          <w:b/>
          <w:bCs/>
          <w:color w:val="auto"/>
          <w:sz w:val="22"/>
          <w:szCs w:val="22"/>
          <w:highlight w:val="none"/>
        </w:rPr>
        <w:t>附件</w:t>
      </w:r>
    </w:p>
    <w:p w14:paraId="3C6B04D0">
      <w:pPr>
        <w:widowControl/>
        <w:spacing w:before="100" w:beforeAutospacing="1" w:after="100" w:afterAutospacing="1" w:line="440" w:lineRule="atLeast"/>
        <w:jc w:val="center"/>
        <w:rPr>
          <w:rFonts w:hint="eastAsia" w:ascii="宋体" w:hAnsi="宋体" w:cs="宋体"/>
          <w:b/>
          <w:color w:val="auto"/>
          <w:sz w:val="24"/>
          <w:highlight w:val="none"/>
        </w:rPr>
      </w:pPr>
      <w:r>
        <w:rPr>
          <w:rFonts w:hint="eastAsia" w:ascii="宋体" w:hAnsi="宋体" w:cs="宋体"/>
          <w:b/>
          <w:bCs/>
          <w:color w:val="auto"/>
          <w:sz w:val="24"/>
          <w:highlight w:val="none"/>
        </w:rPr>
        <w:t>（1)中小企业声明函（工程、服务）</w:t>
      </w:r>
    </w:p>
    <w:p w14:paraId="55C6047B">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本公司（联合体）郑重声明，根据《政府采购促进中小企业发展管理办法》（财库﹝2020﹞46 号）的规定，本公司（联合体）参加 </w:t>
      </w:r>
      <w:r>
        <w:rPr>
          <w:rFonts w:hint="eastAsia" w:ascii="宋体" w:hAnsi="宋体" w:cs="宋体"/>
          <w:bCs/>
          <w:i/>
          <w:color w:val="auto"/>
          <w:sz w:val="22"/>
          <w:szCs w:val="22"/>
          <w:highlight w:val="none"/>
          <w:u w:val="single"/>
        </w:rPr>
        <w:t>（单位名称）</w:t>
      </w:r>
      <w:r>
        <w:rPr>
          <w:rFonts w:hint="eastAsia" w:ascii="宋体" w:hAnsi="宋体" w:cs="宋体"/>
          <w:bCs/>
          <w:color w:val="auto"/>
          <w:sz w:val="22"/>
          <w:szCs w:val="22"/>
          <w:highlight w:val="none"/>
        </w:rPr>
        <w:t xml:space="preserve"> 的</w:t>
      </w:r>
      <w:r>
        <w:rPr>
          <w:rFonts w:hint="eastAsia" w:ascii="宋体" w:hAnsi="宋体" w:cs="宋体"/>
          <w:bCs/>
          <w:color w:val="auto"/>
          <w:sz w:val="22"/>
          <w:szCs w:val="22"/>
          <w:highlight w:val="none"/>
          <w:u w:val="single"/>
        </w:rPr>
        <w:t xml:space="preserve"> </w:t>
      </w:r>
      <w:r>
        <w:rPr>
          <w:rFonts w:hint="eastAsia" w:ascii="宋体" w:hAnsi="宋体" w:cs="宋体"/>
          <w:bCs/>
          <w:i/>
          <w:color w:val="auto"/>
          <w:sz w:val="22"/>
          <w:szCs w:val="22"/>
          <w:highlight w:val="none"/>
          <w:u w:val="single"/>
        </w:rPr>
        <w:t>（项目名称）</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DB1AD59">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1. </w:t>
      </w:r>
      <w:r>
        <w:rPr>
          <w:rFonts w:hint="eastAsia" w:ascii="宋体" w:hAnsi="宋体" w:cs="宋体"/>
          <w:bCs/>
          <w:i/>
          <w:color w:val="auto"/>
          <w:sz w:val="22"/>
          <w:szCs w:val="22"/>
          <w:highlight w:val="none"/>
          <w:u w:val="single"/>
        </w:rPr>
        <w:t>（标的名称）</w:t>
      </w:r>
      <w:r>
        <w:rPr>
          <w:rFonts w:hint="eastAsia" w:ascii="宋体" w:hAnsi="宋体" w:cs="宋体"/>
          <w:bCs/>
          <w:color w:val="auto"/>
          <w:sz w:val="22"/>
          <w:szCs w:val="22"/>
          <w:highlight w:val="none"/>
        </w:rPr>
        <w:t xml:space="preserve"> ，属于</w:t>
      </w:r>
      <w:r>
        <w:rPr>
          <w:rFonts w:hint="eastAsia" w:ascii="宋体" w:hAnsi="宋体" w:cs="宋体"/>
          <w:bCs/>
          <w:i/>
          <w:color w:val="auto"/>
          <w:sz w:val="22"/>
          <w:szCs w:val="22"/>
          <w:highlight w:val="none"/>
          <w:u w:val="single"/>
        </w:rPr>
        <w:t xml:space="preserve"> （采购文件中明确的所属行业）</w:t>
      </w:r>
      <w:r>
        <w:rPr>
          <w:rFonts w:hint="eastAsia" w:ascii="宋体" w:hAnsi="宋体" w:cs="宋体"/>
          <w:bCs/>
          <w:color w:val="auto"/>
          <w:sz w:val="22"/>
          <w:szCs w:val="22"/>
          <w:highlight w:val="none"/>
        </w:rPr>
        <w:t>行业 ；承建（承接）企业为</w:t>
      </w:r>
      <w:r>
        <w:rPr>
          <w:rFonts w:hint="eastAsia" w:ascii="宋体" w:hAnsi="宋体" w:cs="宋体"/>
          <w:bCs/>
          <w:color w:val="auto"/>
          <w:sz w:val="22"/>
          <w:szCs w:val="22"/>
          <w:highlight w:val="none"/>
          <w:u w:val="single"/>
        </w:rPr>
        <w:t xml:space="preserve"> </w:t>
      </w:r>
      <w:r>
        <w:rPr>
          <w:rFonts w:hint="eastAsia" w:ascii="宋体" w:hAnsi="宋体" w:cs="宋体"/>
          <w:bCs/>
          <w:i/>
          <w:color w:val="auto"/>
          <w:sz w:val="22"/>
          <w:szCs w:val="22"/>
          <w:highlight w:val="none"/>
          <w:u w:val="single"/>
        </w:rPr>
        <w:t xml:space="preserve">（企业名称）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w:t>
      </w:r>
      <w:r>
        <w:rPr>
          <w:rFonts w:hint="eastAsia" w:ascii="宋体" w:hAnsi="宋体" w:cs="宋体"/>
          <w:bCs/>
          <w:color w:val="auto"/>
          <w:sz w:val="22"/>
          <w:szCs w:val="22"/>
          <w:highlight w:val="none"/>
          <w:vertAlign w:val="superscript"/>
        </w:rPr>
        <w:t>1</w:t>
      </w:r>
      <w:r>
        <w:rPr>
          <w:rFonts w:hint="eastAsia" w:ascii="宋体" w:hAnsi="宋体" w:cs="宋体"/>
          <w:bCs/>
          <w:color w:val="auto"/>
          <w:sz w:val="22"/>
          <w:szCs w:val="22"/>
          <w:highlight w:val="none"/>
        </w:rPr>
        <w:t>，属于</w:t>
      </w:r>
      <w:r>
        <w:rPr>
          <w:rFonts w:hint="eastAsia" w:ascii="宋体" w:hAnsi="宋体" w:cs="宋体"/>
          <w:bCs/>
          <w:i/>
          <w:color w:val="auto"/>
          <w:sz w:val="22"/>
          <w:szCs w:val="22"/>
          <w:highlight w:val="none"/>
          <w:u w:val="single"/>
        </w:rPr>
        <w:t>（中型企业、小型企业、微型企业）</w:t>
      </w:r>
      <w:r>
        <w:rPr>
          <w:rFonts w:hint="eastAsia" w:ascii="宋体" w:hAnsi="宋体" w:cs="宋体"/>
          <w:bCs/>
          <w:color w:val="auto"/>
          <w:sz w:val="22"/>
          <w:szCs w:val="22"/>
          <w:highlight w:val="none"/>
        </w:rPr>
        <w:t>；</w:t>
      </w:r>
    </w:p>
    <w:p w14:paraId="4BAE651E">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2. </w:t>
      </w:r>
      <w:r>
        <w:rPr>
          <w:rFonts w:hint="eastAsia" w:ascii="宋体" w:hAnsi="宋体" w:cs="宋体"/>
          <w:bCs/>
          <w:i/>
          <w:color w:val="auto"/>
          <w:sz w:val="22"/>
          <w:szCs w:val="22"/>
          <w:highlight w:val="none"/>
          <w:u w:val="single"/>
        </w:rPr>
        <w:t>（标的名称）</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，属于</w:t>
      </w:r>
      <w:r>
        <w:rPr>
          <w:rFonts w:hint="eastAsia" w:ascii="宋体" w:hAnsi="宋体" w:cs="宋体"/>
          <w:bCs/>
          <w:color w:val="auto"/>
          <w:sz w:val="22"/>
          <w:szCs w:val="22"/>
          <w:highlight w:val="none"/>
          <w:u w:val="single"/>
        </w:rPr>
        <w:t xml:space="preserve"> </w:t>
      </w:r>
      <w:r>
        <w:rPr>
          <w:rFonts w:hint="eastAsia" w:ascii="宋体" w:hAnsi="宋体" w:cs="宋体"/>
          <w:bCs/>
          <w:i/>
          <w:color w:val="auto"/>
          <w:sz w:val="22"/>
          <w:szCs w:val="22"/>
          <w:highlight w:val="none"/>
          <w:u w:val="single"/>
        </w:rPr>
        <w:t>（采购文件中明确的所属行业）</w:t>
      </w:r>
      <w:r>
        <w:rPr>
          <w:rFonts w:hint="eastAsia" w:ascii="宋体" w:hAnsi="宋体" w:cs="宋体"/>
          <w:bCs/>
          <w:color w:val="auto"/>
          <w:sz w:val="22"/>
          <w:szCs w:val="22"/>
          <w:highlight w:val="none"/>
        </w:rPr>
        <w:t>行业 ；承建（承接）企业为</w:t>
      </w:r>
      <w:r>
        <w:rPr>
          <w:rFonts w:hint="eastAsia" w:ascii="宋体" w:hAnsi="宋体" w:cs="宋体"/>
          <w:bCs/>
          <w:i/>
          <w:color w:val="auto"/>
          <w:sz w:val="22"/>
          <w:szCs w:val="22"/>
          <w:highlight w:val="none"/>
          <w:u w:val="single"/>
        </w:rPr>
        <w:t>（企业名称）</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万元，属于 （中型企业、小型企业、微型企业） ；</w:t>
      </w:r>
    </w:p>
    <w:p w14:paraId="4AAE4EF0">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w:t>
      </w:r>
    </w:p>
    <w:p w14:paraId="6361743A">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以上企业，不属于大企业的分支机构，不存在控股股东为大企业的情形，也不存在与大企业的负责人为同一人的情形。</w:t>
      </w:r>
    </w:p>
    <w:p w14:paraId="01BEB92B">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本企业对上述声明内容的真实性负责。如有虚假，将依法承担相应责任。</w:t>
      </w:r>
    </w:p>
    <w:p w14:paraId="7A2F6914">
      <w:pPr>
        <w:widowControl/>
        <w:spacing w:line="50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企业名称（盖章）：</w:t>
      </w:r>
    </w:p>
    <w:p w14:paraId="19978E0E">
      <w:pPr>
        <w:widowControl/>
        <w:spacing w:line="50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日 期：</w:t>
      </w:r>
    </w:p>
    <w:p w14:paraId="07843B8A">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14:paraId="61CEA847">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14:paraId="4D42B9AB">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14:paraId="2F7028D3">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14:paraId="3C6575A6">
      <w:pPr>
        <w:widowControl/>
        <w:tabs>
          <w:tab w:val="left" w:pos="312"/>
        </w:tabs>
        <w:spacing w:line="500" w:lineRule="atLeas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注1.从业人员、营业收入、资产总额填报上一年度数据，无上一年度数据的新成立企业可不填报。</w:t>
      </w:r>
    </w:p>
    <w:p w14:paraId="11C50E6C">
      <w:pPr>
        <w:spacing w:line="500" w:lineRule="exact"/>
        <w:ind w:firstLine="586"/>
        <w:jc w:val="center"/>
        <w:rPr>
          <w:rFonts w:hint="eastAsia" w:ascii="宋体" w:hAnsi="宋体" w:cs="宋体"/>
          <w:color w:val="auto"/>
          <w:spacing w:val="6"/>
          <w:sz w:val="28"/>
          <w:szCs w:val="28"/>
          <w:highlight w:val="none"/>
        </w:rPr>
      </w:pPr>
      <w:r>
        <w:rPr>
          <w:rFonts w:hint="eastAsia" w:ascii="宋体" w:hAnsi="宋体" w:cs="宋体"/>
          <w:b/>
          <w:color w:val="auto"/>
          <w:spacing w:val="6"/>
          <w:sz w:val="28"/>
          <w:szCs w:val="28"/>
          <w:highlight w:val="none"/>
        </w:rPr>
        <w:br w:type="page"/>
      </w:r>
      <w:r>
        <w:rPr>
          <w:rFonts w:hint="eastAsia" w:ascii="宋体" w:hAnsi="宋体" w:cs="宋体"/>
          <w:b/>
          <w:color w:val="auto"/>
          <w:spacing w:val="6"/>
          <w:sz w:val="28"/>
          <w:szCs w:val="28"/>
          <w:highlight w:val="none"/>
        </w:rPr>
        <w:t>（2）残疾人福利性单位声明函</w:t>
      </w:r>
    </w:p>
    <w:p w14:paraId="5DC5D391">
      <w:pPr>
        <w:widowControl/>
        <w:adjustRightInd w:val="0"/>
        <w:snapToGrid w:val="0"/>
        <w:spacing w:line="500" w:lineRule="exact"/>
        <w:ind w:firstLine="420"/>
        <w:jc w:val="center"/>
        <w:rPr>
          <w:rFonts w:hint="eastAsia" w:ascii="宋体" w:hAnsi="宋体" w:cs="宋体"/>
          <w:color w:val="auto"/>
          <w:kern w:val="0"/>
          <w:sz w:val="22"/>
          <w:szCs w:val="21"/>
          <w:highlight w:val="none"/>
        </w:rPr>
      </w:pPr>
      <w:r>
        <w:rPr>
          <w:rFonts w:hint="eastAsia" w:ascii="宋体" w:hAnsi="宋体" w:cs="宋体"/>
          <w:color w:val="auto"/>
          <w:kern w:val="0"/>
          <w:sz w:val="22"/>
          <w:szCs w:val="21"/>
          <w:highlight w:val="none"/>
        </w:rPr>
        <w:t>【不属于残疾人福利性单位的无需填写、递交】</w:t>
      </w:r>
    </w:p>
    <w:p w14:paraId="23CCF8BC">
      <w:pPr>
        <w:snapToGrid w:val="0"/>
        <w:spacing w:line="500" w:lineRule="exact"/>
        <w:ind w:firstLine="422"/>
        <w:jc w:val="center"/>
        <w:rPr>
          <w:rFonts w:hint="eastAsia" w:ascii="宋体" w:hAnsi="宋体" w:cs="宋体"/>
          <w:b/>
          <w:bCs/>
          <w:color w:val="auto"/>
          <w:sz w:val="22"/>
          <w:szCs w:val="21"/>
          <w:highlight w:val="none"/>
        </w:rPr>
      </w:pPr>
    </w:p>
    <w:p w14:paraId="7FD99965">
      <w:pPr>
        <w:snapToGrid w:val="0"/>
        <w:spacing w:line="500" w:lineRule="exact"/>
        <w:ind w:firstLine="444"/>
        <w:rPr>
          <w:rFonts w:hint="eastAsia" w:ascii="宋体" w:hAnsi="宋体" w:cs="宋体"/>
          <w:color w:val="auto"/>
          <w:spacing w:val="6"/>
          <w:sz w:val="22"/>
          <w:szCs w:val="21"/>
          <w:highlight w:val="none"/>
        </w:rPr>
      </w:pPr>
      <w:r>
        <w:rPr>
          <w:rFonts w:hint="eastAsia" w:ascii="宋体" w:hAnsi="宋体" w:cs="宋体"/>
          <w:color w:val="auto"/>
          <w:spacing w:val="6"/>
          <w:sz w:val="22"/>
          <w:szCs w:val="21"/>
          <w:highlight w:val="none"/>
        </w:rPr>
        <w:t>本单位郑重声明，根据《财政部民政部中国残疾人联合会关于促进残疾人就业政府采购政策的通知》（财库</w:t>
      </w:r>
      <w:r>
        <w:rPr>
          <w:rFonts w:hint="eastAsia" w:ascii="宋体" w:hAnsi="宋体" w:cs="宋体"/>
          <w:color w:val="auto"/>
          <w:sz w:val="22"/>
          <w:szCs w:val="21"/>
          <w:highlight w:val="none"/>
        </w:rPr>
        <w:t>〔2017〕141</w:t>
      </w:r>
      <w:r>
        <w:rPr>
          <w:rFonts w:hint="eastAsia" w:ascii="宋体" w:hAnsi="宋体" w:cs="宋体"/>
          <w:color w:val="auto"/>
          <w:spacing w:val="6"/>
          <w:sz w:val="22"/>
          <w:szCs w:val="21"/>
          <w:highlight w:val="none"/>
        </w:rPr>
        <w:t>号）的规定，本单位为符合条件的残疾人福利性单位，且本单位参加</w:t>
      </w:r>
      <w:r>
        <w:rPr>
          <w:rFonts w:hint="eastAsia" w:ascii="宋体" w:hAnsi="宋体" w:cs="宋体"/>
          <w:i/>
          <w:color w:val="auto"/>
          <w:spacing w:val="6"/>
          <w:sz w:val="22"/>
          <w:szCs w:val="21"/>
          <w:highlight w:val="none"/>
          <w:u w:val="single"/>
        </w:rPr>
        <w:t>（采购人名称）</w:t>
      </w:r>
      <w:r>
        <w:rPr>
          <w:rFonts w:hint="eastAsia" w:ascii="宋体" w:hAnsi="宋体" w:cs="宋体"/>
          <w:color w:val="auto"/>
          <w:spacing w:val="6"/>
          <w:sz w:val="22"/>
          <w:szCs w:val="21"/>
          <w:highlight w:val="none"/>
        </w:rPr>
        <w:t>单位的</w:t>
      </w:r>
      <w:r>
        <w:rPr>
          <w:rFonts w:hint="eastAsia" w:ascii="宋体" w:hAnsi="宋体" w:cs="宋体"/>
          <w:i/>
          <w:color w:val="auto"/>
          <w:spacing w:val="6"/>
          <w:sz w:val="22"/>
          <w:szCs w:val="21"/>
          <w:highlight w:val="none"/>
          <w:u w:val="single"/>
        </w:rPr>
        <w:t>（项目名称）</w:t>
      </w:r>
      <w:r>
        <w:rPr>
          <w:rFonts w:hint="eastAsia" w:ascii="宋体" w:hAnsi="宋体" w:cs="宋体"/>
          <w:color w:val="auto"/>
          <w:spacing w:val="6"/>
          <w:sz w:val="22"/>
          <w:szCs w:val="21"/>
          <w:highlight w:val="none"/>
        </w:rPr>
        <w:t>项目采购活动提供本单位制造的货物（由本单位承担工程/提供服务），或者提供其他残疾人福利性单位制造的货物（不包括使用非残疾人福利性单位注册商标的货物）。</w:t>
      </w:r>
    </w:p>
    <w:p w14:paraId="7B01C346">
      <w:pPr>
        <w:snapToGrid w:val="0"/>
        <w:spacing w:line="500" w:lineRule="exact"/>
        <w:ind w:firstLine="444"/>
        <w:rPr>
          <w:rFonts w:hint="eastAsia" w:ascii="宋体" w:hAnsi="宋体" w:cs="宋体"/>
          <w:color w:val="auto"/>
          <w:spacing w:val="6"/>
          <w:sz w:val="22"/>
          <w:szCs w:val="21"/>
          <w:highlight w:val="none"/>
        </w:rPr>
      </w:pPr>
      <w:r>
        <w:rPr>
          <w:rFonts w:hint="eastAsia" w:ascii="宋体" w:hAnsi="宋体" w:cs="宋体"/>
          <w:color w:val="auto"/>
          <w:spacing w:val="6"/>
          <w:sz w:val="22"/>
          <w:szCs w:val="21"/>
          <w:highlight w:val="none"/>
        </w:rPr>
        <w:t>本单位对上述声明的真实性负责。如有虚假，将依法承担相应责任。</w:t>
      </w:r>
    </w:p>
    <w:p w14:paraId="62867089">
      <w:pPr>
        <w:snapToGrid w:val="0"/>
        <w:spacing w:line="500" w:lineRule="exact"/>
        <w:ind w:firstLine="444"/>
        <w:rPr>
          <w:rFonts w:hint="eastAsia" w:ascii="宋体" w:hAnsi="宋体" w:cs="宋体"/>
          <w:color w:val="auto"/>
          <w:spacing w:val="6"/>
          <w:sz w:val="22"/>
          <w:szCs w:val="21"/>
          <w:highlight w:val="none"/>
        </w:rPr>
      </w:pPr>
    </w:p>
    <w:p w14:paraId="22F90B61">
      <w:pPr>
        <w:snapToGrid w:val="0"/>
        <w:spacing w:line="500" w:lineRule="exact"/>
        <w:ind w:firstLine="444"/>
        <w:rPr>
          <w:rFonts w:hint="eastAsia" w:ascii="宋体" w:hAnsi="宋体" w:cs="宋体"/>
          <w:color w:val="auto"/>
          <w:spacing w:val="6"/>
          <w:sz w:val="22"/>
          <w:szCs w:val="21"/>
          <w:highlight w:val="none"/>
        </w:rPr>
      </w:pPr>
    </w:p>
    <w:p w14:paraId="268A5765">
      <w:pPr>
        <w:adjustRightInd w:val="0"/>
        <w:snapToGrid w:val="0"/>
        <w:spacing w:line="500" w:lineRule="exact"/>
        <w:ind w:firstLine="420"/>
        <w:rPr>
          <w:rFonts w:hint="eastAsia" w:ascii="宋体" w:hAnsi="宋体" w:cs="宋体"/>
          <w:color w:val="auto"/>
          <w:kern w:val="0"/>
          <w:sz w:val="22"/>
          <w:szCs w:val="21"/>
          <w:highlight w:val="none"/>
          <w:u w:val="single"/>
        </w:rPr>
      </w:pPr>
      <w:r>
        <w:rPr>
          <w:rFonts w:hint="eastAsia" w:ascii="宋体" w:hAnsi="宋体" w:cs="宋体"/>
          <w:color w:val="auto"/>
          <w:kern w:val="0"/>
          <w:sz w:val="22"/>
          <w:szCs w:val="21"/>
          <w:highlight w:val="none"/>
        </w:rPr>
        <w:t>投标人全称（盖章）：</w:t>
      </w:r>
      <w:r>
        <w:rPr>
          <w:rFonts w:hint="eastAsia" w:ascii="宋体" w:hAnsi="宋体" w:cs="宋体"/>
          <w:color w:val="auto"/>
          <w:kern w:val="0"/>
          <w:sz w:val="22"/>
          <w:szCs w:val="21"/>
          <w:highlight w:val="none"/>
          <w:u w:val="single"/>
        </w:rPr>
        <w:t xml:space="preserve">                    </w:t>
      </w:r>
    </w:p>
    <w:p w14:paraId="6E1040C9">
      <w:pPr>
        <w:adjustRightInd w:val="0"/>
        <w:snapToGrid w:val="0"/>
        <w:spacing w:line="500" w:lineRule="exact"/>
        <w:ind w:firstLine="420"/>
        <w:rPr>
          <w:rFonts w:hint="eastAsia" w:ascii="宋体" w:hAnsi="宋体" w:cs="宋体"/>
          <w:color w:val="auto"/>
          <w:kern w:val="0"/>
          <w:sz w:val="22"/>
          <w:szCs w:val="21"/>
          <w:highlight w:val="none"/>
        </w:rPr>
      </w:pPr>
      <w:r>
        <w:rPr>
          <w:rFonts w:hint="eastAsia" w:ascii="宋体" w:hAnsi="宋体" w:cs="宋体"/>
          <w:color w:val="auto"/>
          <w:kern w:val="0"/>
          <w:sz w:val="22"/>
          <w:szCs w:val="21"/>
          <w:highlight w:val="none"/>
        </w:rPr>
        <w:t>日期：    年   月  日</w:t>
      </w:r>
    </w:p>
    <w:p w14:paraId="66E2D9E3">
      <w:pPr>
        <w:adjustRightInd w:val="0"/>
        <w:snapToGrid w:val="0"/>
        <w:spacing w:line="300" w:lineRule="auto"/>
        <w:ind w:firstLine="420"/>
        <w:rPr>
          <w:rFonts w:hint="eastAsia" w:ascii="宋体" w:hAnsi="宋体" w:cs="宋体"/>
          <w:color w:val="auto"/>
          <w:kern w:val="0"/>
          <w:sz w:val="22"/>
          <w:szCs w:val="21"/>
          <w:highlight w:val="none"/>
        </w:rPr>
      </w:pPr>
    </w:p>
    <w:p w14:paraId="149D4265">
      <w:pPr>
        <w:spacing w:before="240" w:beforeLines="100" w:line="440" w:lineRule="atLeast"/>
        <w:ind w:firstLine="422"/>
        <w:rPr>
          <w:rFonts w:hint="eastAsia" w:ascii="宋体" w:hAnsi="宋体" w:cs="宋体"/>
          <w:b/>
          <w:color w:val="auto"/>
          <w:sz w:val="22"/>
          <w:szCs w:val="21"/>
          <w:highlight w:val="none"/>
        </w:rPr>
      </w:pPr>
      <w:r>
        <w:rPr>
          <w:rFonts w:hint="eastAsia" w:ascii="宋体" w:hAnsi="宋体" w:cs="宋体"/>
          <w:b/>
          <w:color w:val="auto"/>
          <w:sz w:val="22"/>
          <w:szCs w:val="21"/>
          <w:highlight w:val="none"/>
        </w:rPr>
        <w:t>说明：</w:t>
      </w:r>
    </w:p>
    <w:p w14:paraId="3FAA8053">
      <w:pPr>
        <w:tabs>
          <w:tab w:val="left" w:pos="4860"/>
        </w:tabs>
        <w:spacing w:line="588" w:lineRule="exact"/>
        <w:ind w:right="114" w:firstLine="422"/>
        <w:jc w:val="left"/>
        <w:rPr>
          <w:rFonts w:hint="eastAsia" w:ascii="宋体" w:hAnsi="宋体" w:cs="宋体"/>
          <w:b/>
          <w:color w:val="auto"/>
          <w:sz w:val="22"/>
          <w:szCs w:val="21"/>
          <w:highlight w:val="none"/>
        </w:rPr>
      </w:pPr>
      <w:r>
        <w:rPr>
          <w:rFonts w:hint="eastAsia" w:ascii="宋体" w:hAnsi="宋体" w:cs="宋体"/>
          <w:b/>
          <w:color w:val="auto"/>
          <w:sz w:val="22"/>
          <w:szCs w:val="21"/>
          <w:highlight w:val="none"/>
        </w:rPr>
        <w:t>1、如成交，将在成交公示中将此</w:t>
      </w:r>
      <w:r>
        <w:rPr>
          <w:rFonts w:hint="eastAsia" w:ascii="宋体" w:hAnsi="宋体" w:cs="宋体"/>
          <w:b/>
          <w:color w:val="auto"/>
          <w:spacing w:val="6"/>
          <w:sz w:val="22"/>
          <w:szCs w:val="21"/>
          <w:highlight w:val="none"/>
        </w:rPr>
        <w:t>残疾人福利性单位声明函</w:t>
      </w:r>
      <w:r>
        <w:rPr>
          <w:rFonts w:hint="eastAsia" w:ascii="宋体" w:hAnsi="宋体" w:cs="宋体"/>
          <w:b/>
          <w:color w:val="auto"/>
          <w:sz w:val="22"/>
          <w:szCs w:val="21"/>
          <w:highlight w:val="none"/>
        </w:rPr>
        <w:t>予以公示，接受社会监督；</w:t>
      </w:r>
    </w:p>
    <w:p w14:paraId="354FAD2A">
      <w:pPr>
        <w:widowControl/>
        <w:jc w:val="left"/>
        <w:rPr>
          <w:rFonts w:hint="eastAsia" w:ascii="宋体" w:hAnsi="宋体" w:cs="宋体"/>
          <w:color w:val="auto"/>
          <w:sz w:val="22"/>
          <w:szCs w:val="22"/>
          <w:highlight w:val="none"/>
        </w:rPr>
      </w:pPr>
      <w:r>
        <w:rPr>
          <w:rFonts w:hint="eastAsia" w:ascii="宋体" w:hAnsi="宋体" w:cs="宋体"/>
          <w:color w:val="auto"/>
          <w:sz w:val="22"/>
          <w:szCs w:val="21"/>
          <w:highlight w:val="none"/>
        </w:rPr>
        <w:t>2、投标人提供的《残疾人福利性单位声明函》与事实不符的，依照《中华人民共和国政府采购法》第七十七条第一款的规定追究法律责任。</w:t>
      </w:r>
    </w:p>
    <w:sectPr>
      <w:headerReference r:id="rId10" w:type="default"/>
      <w:type w:val="nextColumn"/>
      <w:pgSz w:w="11906" w:h="16838"/>
      <w:pgMar w:top="1134" w:right="1134" w:bottom="1134" w:left="113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Century Gothic">
    <w:panose1 w:val="020B0502020202020204"/>
    <w:charset w:val="00"/>
    <w:family w:val="swiss"/>
    <w:pitch w:val="default"/>
    <w:sig w:usb0="00000287" w:usb1="00000000" w:usb2="00000000" w:usb3="00000000" w:csb0="2000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panose1 w:val="020B0504020202030204"/>
    <w:charset w:val="00"/>
    <w:family w:val="swiss"/>
    <w:pitch w:val="default"/>
    <w:sig w:usb0="00000007" w:usb1="00000000" w:usb2="00000000" w:usb3="00000000" w:csb0="00000093" w:csb1="00000000"/>
  </w:font>
  <w:font w:name="Arial Unicode MS">
    <w:panose1 w:val="020B0604020202020204"/>
    <w:charset w:val="86"/>
    <w:family w:val="swiss"/>
    <w:pitch w:val="default"/>
    <w:sig w:usb0="FFFFFFFF" w:usb1="E9FFFFFF" w:usb2="0000003F" w:usb3="00000000" w:csb0="603F01FF" w:csb1="FFFF0000"/>
  </w:font>
  <w:font w:name="华文中宋">
    <w:panose1 w:val="02010600040101010101"/>
    <w:charset w:val="86"/>
    <w:family w:val="auto"/>
    <w:pitch w:val="default"/>
    <w:sig w:usb0="00000287" w:usb1="080F0000" w:usb2="00000000" w:usb3="00000000" w:csb0="0004009F" w:csb1="DFD70000"/>
  </w:font>
  <w:font w:name="宋体,Verdana,Arial">
    <w:altName w:val="宋体"/>
    <w:panose1 w:val="00000000000000000000"/>
    <w:charset w:val="86"/>
    <w:family w:val="roman"/>
    <w:pitch w:val="default"/>
    <w:sig w:usb0="00000000" w:usb1="00000000" w:usb2="00000010" w:usb3="00000000" w:csb0="00040000" w:csb1="00000000"/>
  </w:font>
  <w:font w:name="华文细黑">
    <w:panose1 w:val="02010600040101010101"/>
    <w:charset w:val="86"/>
    <w:family w:val="auto"/>
    <w:pitch w:val="default"/>
    <w:sig w:usb0="00000287" w:usb1="080F0000" w:usb2="00000000" w:usb3="00000000" w:csb0="0004009F" w:csb1="DFD70000"/>
  </w:font>
  <w:font w:name="TimesNewRomanPSMT">
    <w:altName w:val="Times New Roman"/>
    <w:panose1 w:val="00000000000000000000"/>
    <w:charset w:val="00"/>
    <w:family w:val="auto"/>
    <w:pitch w:val="default"/>
    <w:sig w:usb0="00000000" w:usb1="00000000" w:usb2="00000000"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Calibri Light">
    <w:panose1 w:val="020F0302020204030204"/>
    <w:charset w:val="00"/>
    <w:family w:val="swiss"/>
    <w:pitch w:val="default"/>
    <w:sig w:usb0="E0002AFF" w:usb1="C000247B" w:usb2="00000009" w:usb3="00000000" w:csb0="200001FF" w:csb1="00000000"/>
  </w:font>
  <w:font w:name="全真楷書">
    <w:altName w:val="宋体"/>
    <w:panose1 w:val="00000000000000000000"/>
    <w:charset w:val="86"/>
    <w:family w:val="roman"/>
    <w:pitch w:val="default"/>
    <w:sig w:usb0="00000000" w:usb1="00000000" w:usb2="00000000" w:usb3="00000000" w:csb0="00040001" w:csb1="00000000"/>
  </w:font>
  <w:font w:name="Trebuchet MS">
    <w:panose1 w:val="020B0603020202020204"/>
    <w:charset w:val="00"/>
    <w:family w:val="swiss"/>
    <w:pitch w:val="default"/>
    <w:sig w:usb0="00000687" w:usb1="00000000"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Times">
    <w:altName w:val="Times New Roman"/>
    <w:panose1 w:val="02020603050405020304"/>
    <w:charset w:val="00"/>
    <w:family w:val="roman"/>
    <w:pitch w:val="default"/>
    <w:sig w:usb0="00000000" w:usb1="00000000" w:usb2="00000009" w:usb3="00000000" w:csb0="000001FF" w:csb1="00000000"/>
  </w:font>
  <w:font w:name="Helvetica Neue">
    <w:altName w:val="黑体"/>
    <w:panose1 w:val="00000000000000000000"/>
    <w:charset w:val="00"/>
    <w:family w:val="auto"/>
    <w:pitch w:val="default"/>
    <w:sig w:usb0="00000000" w:usb1="00000000"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D0276">
    <w:pPr>
      <w:pStyle w:val="42"/>
      <w:ind w:right="360"/>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CFF2F51">
                          <w:pPr>
                            <w:pStyle w:val="4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Si84BAACnAwAADgAAAGRycy9lMm9Eb2MueG1srVPNjtMwEL4j8Q6W&#10;7zRptU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Pv5kovOAQAApwMAAA4AAAAAAAAAAQAgAAAAHgEAAGRycy9l&#10;Mm9Eb2MueG1sUEsFBgAAAAAGAAYAWQEAAF4FAAAAAA==&#10;">
              <v:fill on="f" focussize="0,0"/>
              <v:stroke on="f"/>
              <v:imagedata o:title=""/>
              <o:lock v:ext="edit" aspectratio="f"/>
              <v:textbox inset="0mm,0mm,0mm,0mm" style="mso-fit-shape-to-text:t;">
                <w:txbxContent>
                  <w:p w14:paraId="5CFF2F51">
                    <w:pPr>
                      <w:pStyle w:val="4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p w14:paraId="2B801B29">
    <w:pPr>
      <w:pStyle w:val="4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F7A71">
    <w:pPr>
      <w:pStyle w:val="4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712A21E">
                          <w:pPr>
                            <w:pStyle w:val="42"/>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GpC43M0BAACnAwAADgAAAAAAAAABACAAAAAeAQAAZHJzL2Uy&#10;b0RvYy54bWxQSwUGAAAAAAYABgBZAQAAXQUAAAAA&#10;">
              <v:fill on="f" focussize="0,0"/>
              <v:stroke on="f"/>
              <v:imagedata o:title=""/>
              <o:lock v:ext="edit" aspectratio="f"/>
              <v:textbox inset="0mm,0mm,0mm,0mm" style="mso-fit-shape-to-text:t;">
                <w:txbxContent>
                  <w:p w14:paraId="6712A21E">
                    <w:pPr>
                      <w:pStyle w:val="42"/>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D294F">
    <w:pPr>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0D00C37">
                          <w:pPr>
                            <w:jc w:val="center"/>
                          </w:pPr>
                          <w:r>
                            <w:fldChar w:fldCharType="begin"/>
                          </w:r>
                          <w:r>
                            <w:instrText xml:space="preserve"> PAGE   \* MERGEFORMAT </w:instrText>
                          </w:r>
                          <w:r>
                            <w:fldChar w:fldCharType="separate"/>
                          </w:r>
                          <w:r>
                            <w:rPr>
                              <w:lang w:val="zh-CN"/>
                            </w:rPr>
                            <w:t>11</w:t>
                          </w:r>
                          <w:r>
                            <w:rPr>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00D00C37">
                    <w:pPr>
                      <w:jc w:val="center"/>
                    </w:pPr>
                    <w:r>
                      <w:fldChar w:fldCharType="begin"/>
                    </w:r>
                    <w:r>
                      <w:instrText xml:space="preserve"> PAGE   \* MERGEFORMAT </w:instrText>
                    </w:r>
                    <w:r>
                      <w:fldChar w:fldCharType="separate"/>
                    </w:r>
                    <w:r>
                      <w:rPr>
                        <w:lang w:val="zh-CN"/>
                      </w:rPr>
                      <w:t>11</w:t>
                    </w:r>
                    <w:r>
                      <w:rPr>
                        <w:lang w:val="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BD855">
    <w:pPr>
      <w:pStyle w:val="42"/>
      <w:framePr w:wrap="around" w:vAnchor="text" w:hAnchor="margin" w:xAlign="center" w:y="1"/>
      <w:pBdr>
        <w:bottom w:val="single" w:color="auto" w:sz="6" w:space="3"/>
      </w:pBdr>
      <w:rPr>
        <w:rStyle w:val="68"/>
      </w:rPr>
    </w:pPr>
    <w:r>
      <w:fldChar w:fldCharType="begin"/>
    </w:r>
    <w:r>
      <w:rPr>
        <w:rStyle w:val="68"/>
      </w:rPr>
      <w:instrText xml:space="preserve">PAGE  </w:instrText>
    </w:r>
    <w:r>
      <w:fldChar w:fldCharType="end"/>
    </w:r>
  </w:p>
  <w:p w14:paraId="408F0766">
    <w:pPr>
      <w:pStyle w:val="42"/>
      <w:pBdr>
        <w:bottom w:val="single" w:color="auto" w:sz="6" w:space="3"/>
      </w:pBd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E2320">
    <w:pPr>
      <w:pStyle w:val="4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77D501B">
                          <w:pPr>
                            <w:pStyle w:val="4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077D501B">
                    <w:pPr>
                      <w:pStyle w:val="42"/>
                    </w:pPr>
                    <w:r>
                      <w:fldChar w:fldCharType="begin"/>
                    </w:r>
                    <w:r>
                      <w:instrText xml:space="preserve"> PAGE  \* MERGEFORMAT </w:instrText>
                    </w:r>
                    <w:r>
                      <w:fldChar w:fldCharType="separate"/>
                    </w:r>
                    <w:r>
                      <w:t>31</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51E5455">
                          <w:pPr>
                            <w:pStyle w:val="42"/>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seos0BAACnAwAADgAAAAAAAAABACAAAAAeAQAAZHJzL2Uy&#10;b0RvYy54bWxQSwUGAAAAAAYABgBZAQAAXQUAAAAA&#10;">
              <v:fill on="f" focussize="0,0"/>
              <v:stroke on="f"/>
              <v:imagedata o:title=""/>
              <o:lock v:ext="edit" aspectratio="f"/>
              <v:textbox inset="0mm,0mm,0mm,0mm" style="mso-fit-shape-to-text:t;">
                <w:txbxContent>
                  <w:p w14:paraId="551E5455">
                    <w:pPr>
                      <w:pStyle w:val="42"/>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B0C19">
    <w:pPr>
      <w:tabs>
        <w:tab w:val="center" w:pos="4153"/>
        <w:tab w:val="right" w:pos="8306"/>
      </w:tabs>
      <w:jc w:val="center"/>
      <w:rPr>
        <w:rFonts w:ascii="宋体" w:hAnsi="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1DB47">
    <w:pPr>
      <w:tabs>
        <w:tab w:val="center" w:pos="4153"/>
        <w:tab w:val="right"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560CD">
    <w:pPr>
      <w:pStyle w:val="4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F63189"/>
    <w:multiLevelType w:val="singleLevel"/>
    <w:tmpl w:val="8EF63189"/>
    <w:lvl w:ilvl="0" w:tentative="0">
      <w:start w:val="2"/>
      <w:numFmt w:val="decimal"/>
      <w:suff w:val="space"/>
      <w:lvlText w:val="%1."/>
      <w:lvlJc w:val="left"/>
    </w:lvl>
  </w:abstractNum>
  <w:abstractNum w:abstractNumId="1">
    <w:nsid w:val="FA846784"/>
    <w:multiLevelType w:val="singleLevel"/>
    <w:tmpl w:val="FA846784"/>
    <w:lvl w:ilvl="0" w:tentative="0">
      <w:start w:val="3"/>
      <w:numFmt w:val="decimal"/>
      <w:suff w:val="space"/>
      <w:lvlText w:val="%1."/>
      <w:lvlJc w:val="left"/>
    </w:lvl>
  </w:abstractNum>
  <w:abstractNum w:abstractNumId="2">
    <w:nsid w:val="28B6562D"/>
    <w:multiLevelType w:val="singleLevel"/>
    <w:tmpl w:val="28B6562D"/>
    <w:lvl w:ilvl="0" w:tentative="0">
      <w:start w:val="1"/>
      <w:numFmt w:val="decimal"/>
      <w:suff w:val="nothing"/>
      <w:lvlText w:val="（%1）"/>
      <w:lvlJc w:val="left"/>
    </w:lvl>
  </w:abstractNum>
  <w:abstractNum w:abstractNumId="3">
    <w:nsid w:val="4B8E5DBA"/>
    <w:multiLevelType w:val="multilevel"/>
    <w:tmpl w:val="4B8E5DBA"/>
    <w:lvl w:ilvl="0" w:tentative="0">
      <w:start w:val="1"/>
      <w:numFmt w:val="chineseCountingThousand"/>
      <w:lvlText w:val="(%1)"/>
      <w:lvlJc w:val="left"/>
      <w:pPr>
        <w:ind w:left="420" w:hanging="420"/>
      </w:pPr>
    </w:lvl>
    <w:lvl w:ilvl="1" w:tentative="0">
      <w:start w:val="1"/>
      <w:numFmt w:val="chineseCountingThousand"/>
      <w:lvlText w:val="(%2)"/>
      <w:lvlJc w:val="left"/>
      <w:pPr>
        <w:ind w:left="272" w:firstLine="148"/>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2D7A3B6"/>
    <w:multiLevelType w:val="singleLevel"/>
    <w:tmpl w:val="52D7A3B6"/>
    <w:lvl w:ilvl="0" w:tentative="0">
      <w:start w:val="1"/>
      <w:numFmt w:val="decimal"/>
      <w:suff w:val="nothing"/>
      <w:lvlText w:val="（%1）"/>
      <w:lvlJc w:val="left"/>
    </w:lvl>
  </w:abstractNum>
  <w:abstractNum w:abstractNumId="5">
    <w:nsid w:val="5D873FF2"/>
    <w:multiLevelType w:val="multilevel"/>
    <w:tmpl w:val="5D873FF2"/>
    <w:lvl w:ilvl="0" w:tentative="0">
      <w:start w:val="1"/>
      <w:numFmt w:val="decimal"/>
      <w:lvlText w:val="%1"/>
      <w:lvlJc w:val="left"/>
      <w:pPr>
        <w:tabs>
          <w:tab w:val="left" w:pos="473"/>
        </w:tabs>
        <w:ind w:left="60" w:firstLine="53"/>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6E7F18BA"/>
    <w:multiLevelType w:val="singleLevel"/>
    <w:tmpl w:val="6E7F18BA"/>
    <w:lvl w:ilvl="0" w:tentative="0">
      <w:start w:val="4"/>
      <w:numFmt w:val="decimal"/>
      <w:suff w:val="space"/>
      <w:lvlText w:val="%1."/>
      <w:lvlJc w:val="left"/>
    </w:lvl>
  </w:abstractNum>
  <w:abstractNum w:abstractNumId="7">
    <w:nsid w:val="705B4264"/>
    <w:multiLevelType w:val="multilevel"/>
    <w:tmpl w:val="705B4264"/>
    <w:lvl w:ilvl="0" w:tentative="0">
      <w:start w:val="1"/>
      <w:numFmt w:val="decimal"/>
      <w:lvlText w:val="%1."/>
      <w:lvlJc w:val="left"/>
      <w:pPr>
        <w:tabs>
          <w:tab w:val="left" w:pos="851"/>
        </w:tabs>
        <w:ind w:left="851" w:hanging="851"/>
      </w:pPr>
      <w:rPr>
        <w:rFonts w:hint="default" w:ascii="Arial" w:hAnsi="Arial" w:eastAsia="宋体"/>
        <w:b w:val="0"/>
        <w:i w:val="0"/>
        <w:sz w:val="21"/>
        <w:szCs w:val="21"/>
      </w:rPr>
    </w:lvl>
    <w:lvl w:ilvl="1" w:tentative="0">
      <w:start w:val="1"/>
      <w:numFmt w:val="decimal"/>
      <w:lvlText w:val="%1.%2"/>
      <w:lvlJc w:val="left"/>
      <w:pPr>
        <w:tabs>
          <w:tab w:val="left" w:pos="851"/>
        </w:tabs>
        <w:ind w:left="851" w:hanging="851"/>
      </w:pPr>
      <w:rPr>
        <w:rFonts w:hint="default" w:ascii="宋体" w:hAnsi="宋体" w:eastAsia="宋体"/>
        <w:b/>
        <w:bCs/>
        <w:i w:val="0"/>
        <w:sz w:val="21"/>
        <w:szCs w:val="24"/>
      </w:rPr>
    </w:lvl>
    <w:lvl w:ilvl="2" w:tentative="0">
      <w:start w:val="1"/>
      <w:numFmt w:val="decimal"/>
      <w:lvlText w:val="%1.%2.%3"/>
      <w:lvlJc w:val="left"/>
      <w:pPr>
        <w:tabs>
          <w:tab w:val="left" w:pos="851"/>
        </w:tabs>
        <w:ind w:left="851" w:hanging="851"/>
      </w:pPr>
      <w:rPr>
        <w:rFonts w:hint="default" w:ascii="Arial" w:hAnsi="Arial" w:cs="Arial"/>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num w:numId="1">
    <w:abstractNumId w:val="4"/>
  </w:num>
  <w:num w:numId="2">
    <w:abstractNumId w:val="6"/>
  </w:num>
  <w:num w:numId="3">
    <w:abstractNumId w:val="1"/>
  </w:num>
  <w:num w:numId="4">
    <w:abstractNumId w:val="0"/>
  </w:num>
  <w:num w:numId="5">
    <w:abstractNumId w:val="2"/>
  </w:num>
  <w:num w:numId="6">
    <w:abstractNumId w:val="5"/>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hyphenationZone w:val="360"/>
  <w:drawingGridHorizontalSpacing w:val="105"/>
  <w:drawingGridVerticalSpacing w:val="38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lNGRhNDg1NDczYjlkNzY3MTk2OGE2M2Q3MDEwMjMifQ=="/>
  </w:docVars>
  <w:rsids>
    <w:rsidRoot w:val="00C0263E"/>
    <w:rsid w:val="000009F5"/>
    <w:rsid w:val="0000118C"/>
    <w:rsid w:val="00001380"/>
    <w:rsid w:val="00002CB1"/>
    <w:rsid w:val="0000340D"/>
    <w:rsid w:val="00003A66"/>
    <w:rsid w:val="00003C51"/>
    <w:rsid w:val="000053C0"/>
    <w:rsid w:val="000066EF"/>
    <w:rsid w:val="00007C55"/>
    <w:rsid w:val="00007D33"/>
    <w:rsid w:val="00011067"/>
    <w:rsid w:val="00014395"/>
    <w:rsid w:val="00014C8E"/>
    <w:rsid w:val="00015251"/>
    <w:rsid w:val="000157E0"/>
    <w:rsid w:val="0001618C"/>
    <w:rsid w:val="00016208"/>
    <w:rsid w:val="00016969"/>
    <w:rsid w:val="00021486"/>
    <w:rsid w:val="000229EB"/>
    <w:rsid w:val="000237A7"/>
    <w:rsid w:val="000238E0"/>
    <w:rsid w:val="00023A93"/>
    <w:rsid w:val="00023BA5"/>
    <w:rsid w:val="0002481A"/>
    <w:rsid w:val="00025CDD"/>
    <w:rsid w:val="00026C3B"/>
    <w:rsid w:val="000301C4"/>
    <w:rsid w:val="0003039C"/>
    <w:rsid w:val="00030937"/>
    <w:rsid w:val="000312EC"/>
    <w:rsid w:val="00033B38"/>
    <w:rsid w:val="00034BF8"/>
    <w:rsid w:val="00034E38"/>
    <w:rsid w:val="00035750"/>
    <w:rsid w:val="00035CCB"/>
    <w:rsid w:val="00036E25"/>
    <w:rsid w:val="00036E99"/>
    <w:rsid w:val="0004027D"/>
    <w:rsid w:val="00040402"/>
    <w:rsid w:val="0004164F"/>
    <w:rsid w:val="00042E2F"/>
    <w:rsid w:val="000444E6"/>
    <w:rsid w:val="0004573A"/>
    <w:rsid w:val="0005052D"/>
    <w:rsid w:val="000506B4"/>
    <w:rsid w:val="000515F3"/>
    <w:rsid w:val="00052EC4"/>
    <w:rsid w:val="000548DE"/>
    <w:rsid w:val="00054D5C"/>
    <w:rsid w:val="00054FC6"/>
    <w:rsid w:val="000560AE"/>
    <w:rsid w:val="00060505"/>
    <w:rsid w:val="000611E3"/>
    <w:rsid w:val="000622C1"/>
    <w:rsid w:val="0006286C"/>
    <w:rsid w:val="00063E50"/>
    <w:rsid w:val="0006448F"/>
    <w:rsid w:val="000649D3"/>
    <w:rsid w:val="000665E3"/>
    <w:rsid w:val="000671DC"/>
    <w:rsid w:val="0007024A"/>
    <w:rsid w:val="00070481"/>
    <w:rsid w:val="0007050C"/>
    <w:rsid w:val="000722C5"/>
    <w:rsid w:val="00072310"/>
    <w:rsid w:val="0007247B"/>
    <w:rsid w:val="00073304"/>
    <w:rsid w:val="00074B78"/>
    <w:rsid w:val="00075C22"/>
    <w:rsid w:val="00076686"/>
    <w:rsid w:val="0008019F"/>
    <w:rsid w:val="000803DE"/>
    <w:rsid w:val="00080433"/>
    <w:rsid w:val="000811D4"/>
    <w:rsid w:val="00081E28"/>
    <w:rsid w:val="0008207A"/>
    <w:rsid w:val="000832C8"/>
    <w:rsid w:val="00083799"/>
    <w:rsid w:val="000861D1"/>
    <w:rsid w:val="0008646C"/>
    <w:rsid w:val="000873E1"/>
    <w:rsid w:val="00087F08"/>
    <w:rsid w:val="00090259"/>
    <w:rsid w:val="00092D6D"/>
    <w:rsid w:val="000930EA"/>
    <w:rsid w:val="00094254"/>
    <w:rsid w:val="00095884"/>
    <w:rsid w:val="000966E8"/>
    <w:rsid w:val="00096ABD"/>
    <w:rsid w:val="000A0528"/>
    <w:rsid w:val="000A328D"/>
    <w:rsid w:val="000A390D"/>
    <w:rsid w:val="000A3F6F"/>
    <w:rsid w:val="000A41F4"/>
    <w:rsid w:val="000A4DF8"/>
    <w:rsid w:val="000A5466"/>
    <w:rsid w:val="000A5ADF"/>
    <w:rsid w:val="000A63F5"/>
    <w:rsid w:val="000A7842"/>
    <w:rsid w:val="000B076A"/>
    <w:rsid w:val="000B09D6"/>
    <w:rsid w:val="000B09F3"/>
    <w:rsid w:val="000B1182"/>
    <w:rsid w:val="000B1199"/>
    <w:rsid w:val="000B1688"/>
    <w:rsid w:val="000B36A7"/>
    <w:rsid w:val="000B5427"/>
    <w:rsid w:val="000B5DD6"/>
    <w:rsid w:val="000B5FCA"/>
    <w:rsid w:val="000B6132"/>
    <w:rsid w:val="000C0714"/>
    <w:rsid w:val="000C08BF"/>
    <w:rsid w:val="000C2262"/>
    <w:rsid w:val="000C27EC"/>
    <w:rsid w:val="000C2885"/>
    <w:rsid w:val="000C3D0E"/>
    <w:rsid w:val="000C5FB8"/>
    <w:rsid w:val="000C7809"/>
    <w:rsid w:val="000C7CBF"/>
    <w:rsid w:val="000D3013"/>
    <w:rsid w:val="000D3236"/>
    <w:rsid w:val="000D73D9"/>
    <w:rsid w:val="000D7C89"/>
    <w:rsid w:val="000E2193"/>
    <w:rsid w:val="000E2251"/>
    <w:rsid w:val="000E2A62"/>
    <w:rsid w:val="000E4534"/>
    <w:rsid w:val="000E6B70"/>
    <w:rsid w:val="000E75FB"/>
    <w:rsid w:val="000F0294"/>
    <w:rsid w:val="000F1CB3"/>
    <w:rsid w:val="000F2728"/>
    <w:rsid w:val="000F33BB"/>
    <w:rsid w:val="000F3619"/>
    <w:rsid w:val="000F5693"/>
    <w:rsid w:val="000F64BF"/>
    <w:rsid w:val="000F79A4"/>
    <w:rsid w:val="000F7AE5"/>
    <w:rsid w:val="000F7C73"/>
    <w:rsid w:val="00101644"/>
    <w:rsid w:val="00101A77"/>
    <w:rsid w:val="00101AC0"/>
    <w:rsid w:val="001020F4"/>
    <w:rsid w:val="00103097"/>
    <w:rsid w:val="001030C3"/>
    <w:rsid w:val="001030C6"/>
    <w:rsid w:val="00104AB9"/>
    <w:rsid w:val="0010568D"/>
    <w:rsid w:val="001064A6"/>
    <w:rsid w:val="0010684A"/>
    <w:rsid w:val="00112030"/>
    <w:rsid w:val="00114920"/>
    <w:rsid w:val="001151A7"/>
    <w:rsid w:val="001156FE"/>
    <w:rsid w:val="00121B1D"/>
    <w:rsid w:val="00123446"/>
    <w:rsid w:val="00123BAD"/>
    <w:rsid w:val="00124127"/>
    <w:rsid w:val="00126280"/>
    <w:rsid w:val="001263CA"/>
    <w:rsid w:val="001266BF"/>
    <w:rsid w:val="00127A5F"/>
    <w:rsid w:val="00130AF0"/>
    <w:rsid w:val="00131E83"/>
    <w:rsid w:val="0013221F"/>
    <w:rsid w:val="001325EF"/>
    <w:rsid w:val="00132C17"/>
    <w:rsid w:val="00133211"/>
    <w:rsid w:val="00134351"/>
    <w:rsid w:val="00134F4E"/>
    <w:rsid w:val="00136160"/>
    <w:rsid w:val="0013760C"/>
    <w:rsid w:val="001377FC"/>
    <w:rsid w:val="00137AF2"/>
    <w:rsid w:val="00137F40"/>
    <w:rsid w:val="00140223"/>
    <w:rsid w:val="001424BC"/>
    <w:rsid w:val="00142EB9"/>
    <w:rsid w:val="00143117"/>
    <w:rsid w:val="0014546D"/>
    <w:rsid w:val="00146114"/>
    <w:rsid w:val="00147853"/>
    <w:rsid w:val="0014791A"/>
    <w:rsid w:val="001508A1"/>
    <w:rsid w:val="00150AA7"/>
    <w:rsid w:val="001528B3"/>
    <w:rsid w:val="001528EB"/>
    <w:rsid w:val="00152A36"/>
    <w:rsid w:val="001547EB"/>
    <w:rsid w:val="0015505B"/>
    <w:rsid w:val="00155310"/>
    <w:rsid w:val="00156F66"/>
    <w:rsid w:val="0016030B"/>
    <w:rsid w:val="00160445"/>
    <w:rsid w:val="00161CFC"/>
    <w:rsid w:val="00161EA2"/>
    <w:rsid w:val="00162A58"/>
    <w:rsid w:val="00162E8F"/>
    <w:rsid w:val="00163A02"/>
    <w:rsid w:val="00163C20"/>
    <w:rsid w:val="00165188"/>
    <w:rsid w:val="00165E45"/>
    <w:rsid w:val="00165F5B"/>
    <w:rsid w:val="001671DC"/>
    <w:rsid w:val="0016795B"/>
    <w:rsid w:val="00167978"/>
    <w:rsid w:val="00167ACA"/>
    <w:rsid w:val="00170B47"/>
    <w:rsid w:val="00170C20"/>
    <w:rsid w:val="00170E49"/>
    <w:rsid w:val="00170F22"/>
    <w:rsid w:val="0017187B"/>
    <w:rsid w:val="00174EB3"/>
    <w:rsid w:val="001754BF"/>
    <w:rsid w:val="00175520"/>
    <w:rsid w:val="00175E74"/>
    <w:rsid w:val="00180634"/>
    <w:rsid w:val="00180C7B"/>
    <w:rsid w:val="00181085"/>
    <w:rsid w:val="00182977"/>
    <w:rsid w:val="00183F0E"/>
    <w:rsid w:val="00184846"/>
    <w:rsid w:val="00186674"/>
    <w:rsid w:val="001866ED"/>
    <w:rsid w:val="00186E54"/>
    <w:rsid w:val="00187CAD"/>
    <w:rsid w:val="00193B17"/>
    <w:rsid w:val="0019491C"/>
    <w:rsid w:val="0019588E"/>
    <w:rsid w:val="00195C4F"/>
    <w:rsid w:val="0019610B"/>
    <w:rsid w:val="001966EF"/>
    <w:rsid w:val="001971F0"/>
    <w:rsid w:val="00197748"/>
    <w:rsid w:val="00197786"/>
    <w:rsid w:val="00197839"/>
    <w:rsid w:val="00197CB8"/>
    <w:rsid w:val="001A198D"/>
    <w:rsid w:val="001A2414"/>
    <w:rsid w:val="001A370B"/>
    <w:rsid w:val="001A441F"/>
    <w:rsid w:val="001A57FC"/>
    <w:rsid w:val="001A687D"/>
    <w:rsid w:val="001A6C5A"/>
    <w:rsid w:val="001B0BAA"/>
    <w:rsid w:val="001B1B9B"/>
    <w:rsid w:val="001B2696"/>
    <w:rsid w:val="001B28CB"/>
    <w:rsid w:val="001B3717"/>
    <w:rsid w:val="001B45D2"/>
    <w:rsid w:val="001B5B34"/>
    <w:rsid w:val="001C0431"/>
    <w:rsid w:val="001C0FC5"/>
    <w:rsid w:val="001C1820"/>
    <w:rsid w:val="001C239E"/>
    <w:rsid w:val="001C304B"/>
    <w:rsid w:val="001C5219"/>
    <w:rsid w:val="001C5EFC"/>
    <w:rsid w:val="001D11DE"/>
    <w:rsid w:val="001D2CF5"/>
    <w:rsid w:val="001D3F9A"/>
    <w:rsid w:val="001D4025"/>
    <w:rsid w:val="001D542B"/>
    <w:rsid w:val="001D5DDD"/>
    <w:rsid w:val="001D5F82"/>
    <w:rsid w:val="001D63C0"/>
    <w:rsid w:val="001D6B9A"/>
    <w:rsid w:val="001D6CA6"/>
    <w:rsid w:val="001D7241"/>
    <w:rsid w:val="001D7551"/>
    <w:rsid w:val="001D76AB"/>
    <w:rsid w:val="001E013B"/>
    <w:rsid w:val="001E0F23"/>
    <w:rsid w:val="001E376F"/>
    <w:rsid w:val="001E66DD"/>
    <w:rsid w:val="001E7237"/>
    <w:rsid w:val="001E726C"/>
    <w:rsid w:val="001F24A5"/>
    <w:rsid w:val="001F362D"/>
    <w:rsid w:val="001F3B6E"/>
    <w:rsid w:val="001F430D"/>
    <w:rsid w:val="001F5880"/>
    <w:rsid w:val="001F69BE"/>
    <w:rsid w:val="00201E84"/>
    <w:rsid w:val="00201FC4"/>
    <w:rsid w:val="00205213"/>
    <w:rsid w:val="0020571F"/>
    <w:rsid w:val="00211497"/>
    <w:rsid w:val="00211641"/>
    <w:rsid w:val="00212117"/>
    <w:rsid w:val="00213222"/>
    <w:rsid w:val="00214475"/>
    <w:rsid w:val="00214568"/>
    <w:rsid w:val="00216E04"/>
    <w:rsid w:val="00217341"/>
    <w:rsid w:val="00217721"/>
    <w:rsid w:val="00217E51"/>
    <w:rsid w:val="0022053D"/>
    <w:rsid w:val="00220A8C"/>
    <w:rsid w:val="00221867"/>
    <w:rsid w:val="002225DC"/>
    <w:rsid w:val="002241B4"/>
    <w:rsid w:val="00224B8F"/>
    <w:rsid w:val="00225324"/>
    <w:rsid w:val="00225F76"/>
    <w:rsid w:val="00226492"/>
    <w:rsid w:val="0022687E"/>
    <w:rsid w:val="0023037B"/>
    <w:rsid w:val="00231563"/>
    <w:rsid w:val="00233E84"/>
    <w:rsid w:val="002352A0"/>
    <w:rsid w:val="002356C2"/>
    <w:rsid w:val="002357FB"/>
    <w:rsid w:val="002358F4"/>
    <w:rsid w:val="0023642E"/>
    <w:rsid w:val="00240C65"/>
    <w:rsid w:val="00241F03"/>
    <w:rsid w:val="00242271"/>
    <w:rsid w:val="00242B3E"/>
    <w:rsid w:val="00243AC5"/>
    <w:rsid w:val="00243B0E"/>
    <w:rsid w:val="00244F16"/>
    <w:rsid w:val="00245B20"/>
    <w:rsid w:val="00246320"/>
    <w:rsid w:val="0024772A"/>
    <w:rsid w:val="00250036"/>
    <w:rsid w:val="002517C9"/>
    <w:rsid w:val="00251A22"/>
    <w:rsid w:val="0025244C"/>
    <w:rsid w:val="002524C8"/>
    <w:rsid w:val="0025335B"/>
    <w:rsid w:val="00254330"/>
    <w:rsid w:val="002544B4"/>
    <w:rsid w:val="00254A99"/>
    <w:rsid w:val="0025505F"/>
    <w:rsid w:val="00256997"/>
    <w:rsid w:val="002602F6"/>
    <w:rsid w:val="00260378"/>
    <w:rsid w:val="002652D9"/>
    <w:rsid w:val="002659A6"/>
    <w:rsid w:val="0026651F"/>
    <w:rsid w:val="0026686D"/>
    <w:rsid w:val="002712BB"/>
    <w:rsid w:val="00271B69"/>
    <w:rsid w:val="00272CB0"/>
    <w:rsid w:val="00275C95"/>
    <w:rsid w:val="002765FA"/>
    <w:rsid w:val="002768CF"/>
    <w:rsid w:val="002770B7"/>
    <w:rsid w:val="00277460"/>
    <w:rsid w:val="00280A65"/>
    <w:rsid w:val="00280FEF"/>
    <w:rsid w:val="0028109A"/>
    <w:rsid w:val="00281DDC"/>
    <w:rsid w:val="00282FD5"/>
    <w:rsid w:val="00283C03"/>
    <w:rsid w:val="00286DD8"/>
    <w:rsid w:val="00286F17"/>
    <w:rsid w:val="0029043C"/>
    <w:rsid w:val="00290CB4"/>
    <w:rsid w:val="00291B72"/>
    <w:rsid w:val="00291D32"/>
    <w:rsid w:val="0029218D"/>
    <w:rsid w:val="00292455"/>
    <w:rsid w:val="00292814"/>
    <w:rsid w:val="002928CA"/>
    <w:rsid w:val="00294454"/>
    <w:rsid w:val="0029507B"/>
    <w:rsid w:val="00295525"/>
    <w:rsid w:val="00295E91"/>
    <w:rsid w:val="00295F60"/>
    <w:rsid w:val="002A051B"/>
    <w:rsid w:val="002A0F66"/>
    <w:rsid w:val="002A6B85"/>
    <w:rsid w:val="002A6BD5"/>
    <w:rsid w:val="002B038E"/>
    <w:rsid w:val="002B0545"/>
    <w:rsid w:val="002B066A"/>
    <w:rsid w:val="002B0A1B"/>
    <w:rsid w:val="002B1B8F"/>
    <w:rsid w:val="002B1C31"/>
    <w:rsid w:val="002B2154"/>
    <w:rsid w:val="002B41F4"/>
    <w:rsid w:val="002B4A6A"/>
    <w:rsid w:val="002B4D23"/>
    <w:rsid w:val="002B7F08"/>
    <w:rsid w:val="002C2E5B"/>
    <w:rsid w:val="002C3295"/>
    <w:rsid w:val="002C6AE5"/>
    <w:rsid w:val="002D2571"/>
    <w:rsid w:val="002D3563"/>
    <w:rsid w:val="002D4527"/>
    <w:rsid w:val="002D6CCA"/>
    <w:rsid w:val="002D6DEF"/>
    <w:rsid w:val="002D7C9E"/>
    <w:rsid w:val="002E09BA"/>
    <w:rsid w:val="002E0B9B"/>
    <w:rsid w:val="002E1874"/>
    <w:rsid w:val="002E1F1D"/>
    <w:rsid w:val="002E3276"/>
    <w:rsid w:val="002E3588"/>
    <w:rsid w:val="002E414F"/>
    <w:rsid w:val="002E43F3"/>
    <w:rsid w:val="002E4D98"/>
    <w:rsid w:val="002E4FC2"/>
    <w:rsid w:val="002E621E"/>
    <w:rsid w:val="002E7FC6"/>
    <w:rsid w:val="002F205E"/>
    <w:rsid w:val="002F2128"/>
    <w:rsid w:val="002F4EE5"/>
    <w:rsid w:val="002F6F42"/>
    <w:rsid w:val="002F74AD"/>
    <w:rsid w:val="003027B7"/>
    <w:rsid w:val="0030357F"/>
    <w:rsid w:val="003049BB"/>
    <w:rsid w:val="003051A4"/>
    <w:rsid w:val="00306C91"/>
    <w:rsid w:val="00307EEB"/>
    <w:rsid w:val="00307F4F"/>
    <w:rsid w:val="00310062"/>
    <w:rsid w:val="00310B99"/>
    <w:rsid w:val="00311763"/>
    <w:rsid w:val="00311CAC"/>
    <w:rsid w:val="00311E34"/>
    <w:rsid w:val="0031250D"/>
    <w:rsid w:val="00313693"/>
    <w:rsid w:val="003149C7"/>
    <w:rsid w:val="00314D0E"/>
    <w:rsid w:val="00314DC2"/>
    <w:rsid w:val="00315B4A"/>
    <w:rsid w:val="00315C51"/>
    <w:rsid w:val="00315EDD"/>
    <w:rsid w:val="00316A41"/>
    <w:rsid w:val="0032241D"/>
    <w:rsid w:val="003227D9"/>
    <w:rsid w:val="00325D8E"/>
    <w:rsid w:val="00326910"/>
    <w:rsid w:val="00330173"/>
    <w:rsid w:val="003306ED"/>
    <w:rsid w:val="00330AD6"/>
    <w:rsid w:val="003316FD"/>
    <w:rsid w:val="00331756"/>
    <w:rsid w:val="00331834"/>
    <w:rsid w:val="00333B48"/>
    <w:rsid w:val="0033453F"/>
    <w:rsid w:val="00335FD1"/>
    <w:rsid w:val="0033603E"/>
    <w:rsid w:val="003367B8"/>
    <w:rsid w:val="0033694B"/>
    <w:rsid w:val="0033791E"/>
    <w:rsid w:val="00337E75"/>
    <w:rsid w:val="0034166E"/>
    <w:rsid w:val="00341BF5"/>
    <w:rsid w:val="00342785"/>
    <w:rsid w:val="0034347F"/>
    <w:rsid w:val="003443B2"/>
    <w:rsid w:val="0034506F"/>
    <w:rsid w:val="0034675A"/>
    <w:rsid w:val="00346D10"/>
    <w:rsid w:val="003475ED"/>
    <w:rsid w:val="00347A0A"/>
    <w:rsid w:val="00350E2E"/>
    <w:rsid w:val="00352178"/>
    <w:rsid w:val="003527E3"/>
    <w:rsid w:val="00352E06"/>
    <w:rsid w:val="003564E1"/>
    <w:rsid w:val="00356990"/>
    <w:rsid w:val="00356D20"/>
    <w:rsid w:val="003605DD"/>
    <w:rsid w:val="00360BC0"/>
    <w:rsid w:val="00360D09"/>
    <w:rsid w:val="003612EF"/>
    <w:rsid w:val="00361490"/>
    <w:rsid w:val="00361E7B"/>
    <w:rsid w:val="00362A3D"/>
    <w:rsid w:val="003676A9"/>
    <w:rsid w:val="00370352"/>
    <w:rsid w:val="003706F7"/>
    <w:rsid w:val="00371919"/>
    <w:rsid w:val="00371F2C"/>
    <w:rsid w:val="0037242E"/>
    <w:rsid w:val="00372732"/>
    <w:rsid w:val="00372A07"/>
    <w:rsid w:val="00372CDC"/>
    <w:rsid w:val="00372D8B"/>
    <w:rsid w:val="00372E07"/>
    <w:rsid w:val="0037534C"/>
    <w:rsid w:val="00375AEB"/>
    <w:rsid w:val="0037609C"/>
    <w:rsid w:val="00377834"/>
    <w:rsid w:val="003802B8"/>
    <w:rsid w:val="003806F0"/>
    <w:rsid w:val="00380F44"/>
    <w:rsid w:val="00382AE9"/>
    <w:rsid w:val="00383814"/>
    <w:rsid w:val="00383844"/>
    <w:rsid w:val="003839ED"/>
    <w:rsid w:val="00384395"/>
    <w:rsid w:val="00384768"/>
    <w:rsid w:val="00384FE1"/>
    <w:rsid w:val="0038509B"/>
    <w:rsid w:val="00385F49"/>
    <w:rsid w:val="00390522"/>
    <w:rsid w:val="00391BB8"/>
    <w:rsid w:val="00393AB0"/>
    <w:rsid w:val="00394A83"/>
    <w:rsid w:val="00394DE2"/>
    <w:rsid w:val="003A0DB0"/>
    <w:rsid w:val="003A18AB"/>
    <w:rsid w:val="003A1B28"/>
    <w:rsid w:val="003A3092"/>
    <w:rsid w:val="003A42D0"/>
    <w:rsid w:val="003A445D"/>
    <w:rsid w:val="003A5399"/>
    <w:rsid w:val="003A5A52"/>
    <w:rsid w:val="003A5B10"/>
    <w:rsid w:val="003A600E"/>
    <w:rsid w:val="003A6762"/>
    <w:rsid w:val="003A6AC6"/>
    <w:rsid w:val="003A6F84"/>
    <w:rsid w:val="003B0436"/>
    <w:rsid w:val="003B0B28"/>
    <w:rsid w:val="003B134F"/>
    <w:rsid w:val="003B1949"/>
    <w:rsid w:val="003B19DA"/>
    <w:rsid w:val="003B1FFE"/>
    <w:rsid w:val="003B2058"/>
    <w:rsid w:val="003B2DEF"/>
    <w:rsid w:val="003B4F56"/>
    <w:rsid w:val="003B5C88"/>
    <w:rsid w:val="003B6F69"/>
    <w:rsid w:val="003B7911"/>
    <w:rsid w:val="003C062B"/>
    <w:rsid w:val="003C1C86"/>
    <w:rsid w:val="003C22CE"/>
    <w:rsid w:val="003C2C1C"/>
    <w:rsid w:val="003C5248"/>
    <w:rsid w:val="003C527B"/>
    <w:rsid w:val="003C5441"/>
    <w:rsid w:val="003C5F9D"/>
    <w:rsid w:val="003C6940"/>
    <w:rsid w:val="003C7017"/>
    <w:rsid w:val="003C7F0C"/>
    <w:rsid w:val="003D06B1"/>
    <w:rsid w:val="003D0900"/>
    <w:rsid w:val="003D0A72"/>
    <w:rsid w:val="003D0D18"/>
    <w:rsid w:val="003D0EF0"/>
    <w:rsid w:val="003D1EC8"/>
    <w:rsid w:val="003D360E"/>
    <w:rsid w:val="003D5126"/>
    <w:rsid w:val="003D689D"/>
    <w:rsid w:val="003D6E91"/>
    <w:rsid w:val="003D7CE8"/>
    <w:rsid w:val="003E1388"/>
    <w:rsid w:val="003E31FB"/>
    <w:rsid w:val="003E3905"/>
    <w:rsid w:val="003E3CFF"/>
    <w:rsid w:val="003E4F3E"/>
    <w:rsid w:val="003E50DF"/>
    <w:rsid w:val="003E5932"/>
    <w:rsid w:val="003E66DE"/>
    <w:rsid w:val="003E7E19"/>
    <w:rsid w:val="003F1618"/>
    <w:rsid w:val="003F1DEC"/>
    <w:rsid w:val="003F21CF"/>
    <w:rsid w:val="003F279A"/>
    <w:rsid w:val="003F29BD"/>
    <w:rsid w:val="003F3104"/>
    <w:rsid w:val="003F46CF"/>
    <w:rsid w:val="003F4CA7"/>
    <w:rsid w:val="003F5868"/>
    <w:rsid w:val="003F6C73"/>
    <w:rsid w:val="003F7552"/>
    <w:rsid w:val="00401278"/>
    <w:rsid w:val="0040174F"/>
    <w:rsid w:val="00403D22"/>
    <w:rsid w:val="00405E4E"/>
    <w:rsid w:val="00406893"/>
    <w:rsid w:val="004104C2"/>
    <w:rsid w:val="00410A3B"/>
    <w:rsid w:val="00410D1B"/>
    <w:rsid w:val="004115FE"/>
    <w:rsid w:val="00413595"/>
    <w:rsid w:val="00413B2D"/>
    <w:rsid w:val="00413F45"/>
    <w:rsid w:val="00415266"/>
    <w:rsid w:val="004153A4"/>
    <w:rsid w:val="00415935"/>
    <w:rsid w:val="00415D57"/>
    <w:rsid w:val="004179AC"/>
    <w:rsid w:val="00420438"/>
    <w:rsid w:val="00420A03"/>
    <w:rsid w:val="00420A65"/>
    <w:rsid w:val="0042103B"/>
    <w:rsid w:val="00421AFF"/>
    <w:rsid w:val="00421DA6"/>
    <w:rsid w:val="00423A55"/>
    <w:rsid w:val="00424BCF"/>
    <w:rsid w:val="00425EA7"/>
    <w:rsid w:val="00426345"/>
    <w:rsid w:val="00426A16"/>
    <w:rsid w:val="00426C0F"/>
    <w:rsid w:val="00426CD8"/>
    <w:rsid w:val="00426F87"/>
    <w:rsid w:val="0042780F"/>
    <w:rsid w:val="00427BC7"/>
    <w:rsid w:val="00431753"/>
    <w:rsid w:val="0043374D"/>
    <w:rsid w:val="00434D28"/>
    <w:rsid w:val="00434D51"/>
    <w:rsid w:val="004364A9"/>
    <w:rsid w:val="00437627"/>
    <w:rsid w:val="00440128"/>
    <w:rsid w:val="004405D3"/>
    <w:rsid w:val="00440817"/>
    <w:rsid w:val="00440CB1"/>
    <w:rsid w:val="004415C4"/>
    <w:rsid w:val="0044172D"/>
    <w:rsid w:val="00442574"/>
    <w:rsid w:val="004429CF"/>
    <w:rsid w:val="004435FD"/>
    <w:rsid w:val="00443A57"/>
    <w:rsid w:val="00444956"/>
    <w:rsid w:val="00444E15"/>
    <w:rsid w:val="00446780"/>
    <w:rsid w:val="00446A8C"/>
    <w:rsid w:val="00447DCA"/>
    <w:rsid w:val="0045017E"/>
    <w:rsid w:val="00450328"/>
    <w:rsid w:val="00451F48"/>
    <w:rsid w:val="00452478"/>
    <w:rsid w:val="00453521"/>
    <w:rsid w:val="00454978"/>
    <w:rsid w:val="00454D15"/>
    <w:rsid w:val="004552D9"/>
    <w:rsid w:val="00456127"/>
    <w:rsid w:val="00457069"/>
    <w:rsid w:val="0046048E"/>
    <w:rsid w:val="00460743"/>
    <w:rsid w:val="00463FB7"/>
    <w:rsid w:val="004652EE"/>
    <w:rsid w:val="00465E8E"/>
    <w:rsid w:val="00467509"/>
    <w:rsid w:val="004718DC"/>
    <w:rsid w:val="00472C88"/>
    <w:rsid w:val="00475851"/>
    <w:rsid w:val="004761D2"/>
    <w:rsid w:val="00476775"/>
    <w:rsid w:val="004819A1"/>
    <w:rsid w:val="00481A01"/>
    <w:rsid w:val="00485076"/>
    <w:rsid w:val="00485212"/>
    <w:rsid w:val="00486212"/>
    <w:rsid w:val="0048774A"/>
    <w:rsid w:val="00487C5F"/>
    <w:rsid w:val="00487FE2"/>
    <w:rsid w:val="00492EC9"/>
    <w:rsid w:val="004967AC"/>
    <w:rsid w:val="00496FF4"/>
    <w:rsid w:val="00497DD5"/>
    <w:rsid w:val="004A0195"/>
    <w:rsid w:val="004A081D"/>
    <w:rsid w:val="004A1424"/>
    <w:rsid w:val="004A1DBF"/>
    <w:rsid w:val="004A2722"/>
    <w:rsid w:val="004A47C8"/>
    <w:rsid w:val="004A5B46"/>
    <w:rsid w:val="004A622C"/>
    <w:rsid w:val="004A7735"/>
    <w:rsid w:val="004A7F41"/>
    <w:rsid w:val="004B0748"/>
    <w:rsid w:val="004B0DA9"/>
    <w:rsid w:val="004B1CFB"/>
    <w:rsid w:val="004B2188"/>
    <w:rsid w:val="004B2461"/>
    <w:rsid w:val="004B27CE"/>
    <w:rsid w:val="004B481A"/>
    <w:rsid w:val="004B51AC"/>
    <w:rsid w:val="004B748E"/>
    <w:rsid w:val="004C120E"/>
    <w:rsid w:val="004C1A25"/>
    <w:rsid w:val="004C1BB5"/>
    <w:rsid w:val="004C30FF"/>
    <w:rsid w:val="004C320B"/>
    <w:rsid w:val="004C40CD"/>
    <w:rsid w:val="004C453C"/>
    <w:rsid w:val="004C4CF2"/>
    <w:rsid w:val="004C6222"/>
    <w:rsid w:val="004C6CB1"/>
    <w:rsid w:val="004D27C2"/>
    <w:rsid w:val="004D2C24"/>
    <w:rsid w:val="004D3753"/>
    <w:rsid w:val="004D50DA"/>
    <w:rsid w:val="004D58A7"/>
    <w:rsid w:val="004D61B2"/>
    <w:rsid w:val="004D67B5"/>
    <w:rsid w:val="004D6E68"/>
    <w:rsid w:val="004D762F"/>
    <w:rsid w:val="004E1C43"/>
    <w:rsid w:val="004E1DF9"/>
    <w:rsid w:val="004E23F2"/>
    <w:rsid w:val="004E2883"/>
    <w:rsid w:val="004E2A89"/>
    <w:rsid w:val="004E662E"/>
    <w:rsid w:val="004E7A7B"/>
    <w:rsid w:val="004E7E25"/>
    <w:rsid w:val="004F0A29"/>
    <w:rsid w:val="004F266F"/>
    <w:rsid w:val="004F2956"/>
    <w:rsid w:val="004F2B35"/>
    <w:rsid w:val="004F2EF1"/>
    <w:rsid w:val="004F31EF"/>
    <w:rsid w:val="004F3BAC"/>
    <w:rsid w:val="004F413C"/>
    <w:rsid w:val="004F4CB1"/>
    <w:rsid w:val="004F4F3B"/>
    <w:rsid w:val="004F5B81"/>
    <w:rsid w:val="004F6D20"/>
    <w:rsid w:val="004F70F5"/>
    <w:rsid w:val="004F7551"/>
    <w:rsid w:val="00501542"/>
    <w:rsid w:val="00501E25"/>
    <w:rsid w:val="005022C1"/>
    <w:rsid w:val="00504C8A"/>
    <w:rsid w:val="00507C38"/>
    <w:rsid w:val="00507DE6"/>
    <w:rsid w:val="005120A7"/>
    <w:rsid w:val="00513AB9"/>
    <w:rsid w:val="00513E50"/>
    <w:rsid w:val="0051489B"/>
    <w:rsid w:val="005155A9"/>
    <w:rsid w:val="0052226E"/>
    <w:rsid w:val="00523418"/>
    <w:rsid w:val="00526AE5"/>
    <w:rsid w:val="00531F18"/>
    <w:rsid w:val="00532116"/>
    <w:rsid w:val="005331D1"/>
    <w:rsid w:val="00533354"/>
    <w:rsid w:val="00533A01"/>
    <w:rsid w:val="0053581D"/>
    <w:rsid w:val="005361A6"/>
    <w:rsid w:val="005365A4"/>
    <w:rsid w:val="00537641"/>
    <w:rsid w:val="00537895"/>
    <w:rsid w:val="00540439"/>
    <w:rsid w:val="00541069"/>
    <w:rsid w:val="00541CCF"/>
    <w:rsid w:val="00541FA4"/>
    <w:rsid w:val="00542A9F"/>
    <w:rsid w:val="00542B56"/>
    <w:rsid w:val="0054464F"/>
    <w:rsid w:val="00544C78"/>
    <w:rsid w:val="00544D67"/>
    <w:rsid w:val="00545454"/>
    <w:rsid w:val="00545D1F"/>
    <w:rsid w:val="00550294"/>
    <w:rsid w:val="00550A9D"/>
    <w:rsid w:val="0055146E"/>
    <w:rsid w:val="00552790"/>
    <w:rsid w:val="00553B65"/>
    <w:rsid w:val="00554FA5"/>
    <w:rsid w:val="00555416"/>
    <w:rsid w:val="0055630A"/>
    <w:rsid w:val="00562458"/>
    <w:rsid w:val="00563E31"/>
    <w:rsid w:val="00564559"/>
    <w:rsid w:val="005649F0"/>
    <w:rsid w:val="00565774"/>
    <w:rsid w:val="00567288"/>
    <w:rsid w:val="00567387"/>
    <w:rsid w:val="0057403F"/>
    <w:rsid w:val="00574B26"/>
    <w:rsid w:val="005764A8"/>
    <w:rsid w:val="00581604"/>
    <w:rsid w:val="00581B85"/>
    <w:rsid w:val="00581C75"/>
    <w:rsid w:val="00581D31"/>
    <w:rsid w:val="0058232E"/>
    <w:rsid w:val="0058391D"/>
    <w:rsid w:val="005841AE"/>
    <w:rsid w:val="0058534A"/>
    <w:rsid w:val="00585AE0"/>
    <w:rsid w:val="00585FF4"/>
    <w:rsid w:val="00590404"/>
    <w:rsid w:val="00592D16"/>
    <w:rsid w:val="0059433B"/>
    <w:rsid w:val="0059433D"/>
    <w:rsid w:val="00594608"/>
    <w:rsid w:val="00594766"/>
    <w:rsid w:val="00595997"/>
    <w:rsid w:val="00595FB2"/>
    <w:rsid w:val="0059698F"/>
    <w:rsid w:val="00597270"/>
    <w:rsid w:val="005977E7"/>
    <w:rsid w:val="005A0668"/>
    <w:rsid w:val="005A0979"/>
    <w:rsid w:val="005A0C07"/>
    <w:rsid w:val="005A112D"/>
    <w:rsid w:val="005A2579"/>
    <w:rsid w:val="005A2B1B"/>
    <w:rsid w:val="005A50CF"/>
    <w:rsid w:val="005A5577"/>
    <w:rsid w:val="005A583B"/>
    <w:rsid w:val="005A59E2"/>
    <w:rsid w:val="005A5BF6"/>
    <w:rsid w:val="005B0109"/>
    <w:rsid w:val="005B3421"/>
    <w:rsid w:val="005B4397"/>
    <w:rsid w:val="005B590E"/>
    <w:rsid w:val="005B645C"/>
    <w:rsid w:val="005C0E93"/>
    <w:rsid w:val="005C0FB1"/>
    <w:rsid w:val="005C11D2"/>
    <w:rsid w:val="005C309B"/>
    <w:rsid w:val="005C38A1"/>
    <w:rsid w:val="005C3E22"/>
    <w:rsid w:val="005C5217"/>
    <w:rsid w:val="005C603D"/>
    <w:rsid w:val="005C7EDB"/>
    <w:rsid w:val="005D1AE8"/>
    <w:rsid w:val="005D2FE3"/>
    <w:rsid w:val="005D3C90"/>
    <w:rsid w:val="005D4120"/>
    <w:rsid w:val="005D4F28"/>
    <w:rsid w:val="005E0760"/>
    <w:rsid w:val="005E2264"/>
    <w:rsid w:val="005E2743"/>
    <w:rsid w:val="005E3D2F"/>
    <w:rsid w:val="005E639D"/>
    <w:rsid w:val="005E72CE"/>
    <w:rsid w:val="005E7B5F"/>
    <w:rsid w:val="005E7D70"/>
    <w:rsid w:val="005F11D1"/>
    <w:rsid w:val="005F3416"/>
    <w:rsid w:val="005F3A7B"/>
    <w:rsid w:val="005F6C3A"/>
    <w:rsid w:val="005F70DA"/>
    <w:rsid w:val="00603948"/>
    <w:rsid w:val="00603D90"/>
    <w:rsid w:val="00603EA3"/>
    <w:rsid w:val="00604E97"/>
    <w:rsid w:val="0060545D"/>
    <w:rsid w:val="00605A96"/>
    <w:rsid w:val="00606128"/>
    <w:rsid w:val="00606BB7"/>
    <w:rsid w:val="006100AD"/>
    <w:rsid w:val="00611A12"/>
    <w:rsid w:val="00613B2A"/>
    <w:rsid w:val="00615E1D"/>
    <w:rsid w:val="00616EFD"/>
    <w:rsid w:val="00617B4C"/>
    <w:rsid w:val="00620037"/>
    <w:rsid w:val="00620580"/>
    <w:rsid w:val="00621A4A"/>
    <w:rsid w:val="00621B40"/>
    <w:rsid w:val="00623496"/>
    <w:rsid w:val="00623903"/>
    <w:rsid w:val="00623F48"/>
    <w:rsid w:val="00624E26"/>
    <w:rsid w:val="00625C32"/>
    <w:rsid w:val="006278C8"/>
    <w:rsid w:val="00630166"/>
    <w:rsid w:val="00633E3A"/>
    <w:rsid w:val="00633F70"/>
    <w:rsid w:val="006342DE"/>
    <w:rsid w:val="0063588F"/>
    <w:rsid w:val="00636DB2"/>
    <w:rsid w:val="00637038"/>
    <w:rsid w:val="00637722"/>
    <w:rsid w:val="00641AC4"/>
    <w:rsid w:val="0064203B"/>
    <w:rsid w:val="006420FC"/>
    <w:rsid w:val="00643852"/>
    <w:rsid w:val="00644747"/>
    <w:rsid w:val="00645BF8"/>
    <w:rsid w:val="00651281"/>
    <w:rsid w:val="006512AE"/>
    <w:rsid w:val="00651CB9"/>
    <w:rsid w:val="00651E27"/>
    <w:rsid w:val="006525CF"/>
    <w:rsid w:val="006532ED"/>
    <w:rsid w:val="006535B4"/>
    <w:rsid w:val="00654262"/>
    <w:rsid w:val="00654DE2"/>
    <w:rsid w:val="00655C5B"/>
    <w:rsid w:val="00655DC1"/>
    <w:rsid w:val="00657147"/>
    <w:rsid w:val="00657198"/>
    <w:rsid w:val="006571C6"/>
    <w:rsid w:val="00657797"/>
    <w:rsid w:val="00660815"/>
    <w:rsid w:val="0066128A"/>
    <w:rsid w:val="0066150B"/>
    <w:rsid w:val="0066320E"/>
    <w:rsid w:val="00663BF2"/>
    <w:rsid w:val="0066474E"/>
    <w:rsid w:val="00665ED7"/>
    <w:rsid w:val="0066606C"/>
    <w:rsid w:val="006676C2"/>
    <w:rsid w:val="00667822"/>
    <w:rsid w:val="006705A8"/>
    <w:rsid w:val="00671320"/>
    <w:rsid w:val="00671E40"/>
    <w:rsid w:val="00671EC6"/>
    <w:rsid w:val="0067294F"/>
    <w:rsid w:val="00674324"/>
    <w:rsid w:val="00674354"/>
    <w:rsid w:val="00674A0F"/>
    <w:rsid w:val="00675089"/>
    <w:rsid w:val="00675441"/>
    <w:rsid w:val="0068029B"/>
    <w:rsid w:val="00682B94"/>
    <w:rsid w:val="00687717"/>
    <w:rsid w:val="00690075"/>
    <w:rsid w:val="006913FE"/>
    <w:rsid w:val="00691719"/>
    <w:rsid w:val="006921C7"/>
    <w:rsid w:val="0069263A"/>
    <w:rsid w:val="006930FE"/>
    <w:rsid w:val="00693987"/>
    <w:rsid w:val="006963B7"/>
    <w:rsid w:val="00696B42"/>
    <w:rsid w:val="006A2A5D"/>
    <w:rsid w:val="006A2F2D"/>
    <w:rsid w:val="006A4A7F"/>
    <w:rsid w:val="006A4E5B"/>
    <w:rsid w:val="006A4E7A"/>
    <w:rsid w:val="006A6CCF"/>
    <w:rsid w:val="006A74B4"/>
    <w:rsid w:val="006B0997"/>
    <w:rsid w:val="006B0EB7"/>
    <w:rsid w:val="006B1C92"/>
    <w:rsid w:val="006B21D3"/>
    <w:rsid w:val="006B2787"/>
    <w:rsid w:val="006B295C"/>
    <w:rsid w:val="006B4738"/>
    <w:rsid w:val="006B59C9"/>
    <w:rsid w:val="006B6194"/>
    <w:rsid w:val="006B6F55"/>
    <w:rsid w:val="006B7190"/>
    <w:rsid w:val="006B7598"/>
    <w:rsid w:val="006C0444"/>
    <w:rsid w:val="006C044C"/>
    <w:rsid w:val="006C29BB"/>
    <w:rsid w:val="006C3B14"/>
    <w:rsid w:val="006C4503"/>
    <w:rsid w:val="006C4B5D"/>
    <w:rsid w:val="006C4BD0"/>
    <w:rsid w:val="006C722E"/>
    <w:rsid w:val="006D1796"/>
    <w:rsid w:val="006D1A31"/>
    <w:rsid w:val="006D2661"/>
    <w:rsid w:val="006D2C17"/>
    <w:rsid w:val="006D4862"/>
    <w:rsid w:val="006D51E6"/>
    <w:rsid w:val="006D551F"/>
    <w:rsid w:val="006D5E5C"/>
    <w:rsid w:val="006D7209"/>
    <w:rsid w:val="006D75B2"/>
    <w:rsid w:val="006D765E"/>
    <w:rsid w:val="006E1CFE"/>
    <w:rsid w:val="006E278D"/>
    <w:rsid w:val="006E3218"/>
    <w:rsid w:val="006E33B6"/>
    <w:rsid w:val="006E4BC6"/>
    <w:rsid w:val="006E5386"/>
    <w:rsid w:val="006E646E"/>
    <w:rsid w:val="006E649A"/>
    <w:rsid w:val="006E6BF1"/>
    <w:rsid w:val="006E6BF2"/>
    <w:rsid w:val="006E7AA4"/>
    <w:rsid w:val="006F005C"/>
    <w:rsid w:val="006F130A"/>
    <w:rsid w:val="006F1FB3"/>
    <w:rsid w:val="006F2541"/>
    <w:rsid w:val="006F26B0"/>
    <w:rsid w:val="006F2CB1"/>
    <w:rsid w:val="006F30BD"/>
    <w:rsid w:val="006F3C5B"/>
    <w:rsid w:val="006F3F07"/>
    <w:rsid w:val="006F4F33"/>
    <w:rsid w:val="006F6520"/>
    <w:rsid w:val="00700293"/>
    <w:rsid w:val="007006BA"/>
    <w:rsid w:val="007007BA"/>
    <w:rsid w:val="00701FB8"/>
    <w:rsid w:val="007025C9"/>
    <w:rsid w:val="00702E89"/>
    <w:rsid w:val="007039A3"/>
    <w:rsid w:val="00707244"/>
    <w:rsid w:val="0070725E"/>
    <w:rsid w:val="007102F3"/>
    <w:rsid w:val="007103F1"/>
    <w:rsid w:val="00711044"/>
    <w:rsid w:val="007123DF"/>
    <w:rsid w:val="00713D91"/>
    <w:rsid w:val="00714281"/>
    <w:rsid w:val="007147A2"/>
    <w:rsid w:val="00714C48"/>
    <w:rsid w:val="00714FCC"/>
    <w:rsid w:val="00715178"/>
    <w:rsid w:val="007160A3"/>
    <w:rsid w:val="00716A87"/>
    <w:rsid w:val="00716CDB"/>
    <w:rsid w:val="00716DD1"/>
    <w:rsid w:val="00716F9F"/>
    <w:rsid w:val="00717C9B"/>
    <w:rsid w:val="00720B17"/>
    <w:rsid w:val="00721A28"/>
    <w:rsid w:val="00721D66"/>
    <w:rsid w:val="0072307C"/>
    <w:rsid w:val="0072490D"/>
    <w:rsid w:val="00724991"/>
    <w:rsid w:val="0072560B"/>
    <w:rsid w:val="00725DFA"/>
    <w:rsid w:val="00727B6C"/>
    <w:rsid w:val="007313BA"/>
    <w:rsid w:val="007313DE"/>
    <w:rsid w:val="00731D53"/>
    <w:rsid w:val="007321E9"/>
    <w:rsid w:val="007366B7"/>
    <w:rsid w:val="00736D97"/>
    <w:rsid w:val="007370D4"/>
    <w:rsid w:val="007402F1"/>
    <w:rsid w:val="00740570"/>
    <w:rsid w:val="0074195D"/>
    <w:rsid w:val="00742446"/>
    <w:rsid w:val="00742BF7"/>
    <w:rsid w:val="00743CA6"/>
    <w:rsid w:val="007448E7"/>
    <w:rsid w:val="007450B0"/>
    <w:rsid w:val="0074526C"/>
    <w:rsid w:val="007455EA"/>
    <w:rsid w:val="00747C42"/>
    <w:rsid w:val="0075515B"/>
    <w:rsid w:val="00755444"/>
    <w:rsid w:val="00755B6C"/>
    <w:rsid w:val="007566A9"/>
    <w:rsid w:val="007569A0"/>
    <w:rsid w:val="00756EA9"/>
    <w:rsid w:val="007605D6"/>
    <w:rsid w:val="00760AFF"/>
    <w:rsid w:val="00761452"/>
    <w:rsid w:val="0076155E"/>
    <w:rsid w:val="00761CBE"/>
    <w:rsid w:val="00764333"/>
    <w:rsid w:val="00764D0E"/>
    <w:rsid w:val="00766A77"/>
    <w:rsid w:val="00766E81"/>
    <w:rsid w:val="00767FA3"/>
    <w:rsid w:val="00770097"/>
    <w:rsid w:val="007703BB"/>
    <w:rsid w:val="007708C4"/>
    <w:rsid w:val="00770C0B"/>
    <w:rsid w:val="00771061"/>
    <w:rsid w:val="0077145F"/>
    <w:rsid w:val="00771FCA"/>
    <w:rsid w:val="00773166"/>
    <w:rsid w:val="00773570"/>
    <w:rsid w:val="0077433A"/>
    <w:rsid w:val="007754E0"/>
    <w:rsid w:val="00776672"/>
    <w:rsid w:val="007770C9"/>
    <w:rsid w:val="00777CCA"/>
    <w:rsid w:val="00777F87"/>
    <w:rsid w:val="007832F6"/>
    <w:rsid w:val="00783D5D"/>
    <w:rsid w:val="00784C2B"/>
    <w:rsid w:val="00786543"/>
    <w:rsid w:val="0078737B"/>
    <w:rsid w:val="00787D93"/>
    <w:rsid w:val="00787EB1"/>
    <w:rsid w:val="007901F5"/>
    <w:rsid w:val="007904E1"/>
    <w:rsid w:val="00791213"/>
    <w:rsid w:val="00791F8A"/>
    <w:rsid w:val="00797610"/>
    <w:rsid w:val="007A03DF"/>
    <w:rsid w:val="007A040D"/>
    <w:rsid w:val="007A0DB8"/>
    <w:rsid w:val="007A17D9"/>
    <w:rsid w:val="007A73AD"/>
    <w:rsid w:val="007B0FA6"/>
    <w:rsid w:val="007B14EC"/>
    <w:rsid w:val="007B377B"/>
    <w:rsid w:val="007B3E74"/>
    <w:rsid w:val="007B5794"/>
    <w:rsid w:val="007B5D4E"/>
    <w:rsid w:val="007B723F"/>
    <w:rsid w:val="007C002A"/>
    <w:rsid w:val="007C0A17"/>
    <w:rsid w:val="007C15D9"/>
    <w:rsid w:val="007C3732"/>
    <w:rsid w:val="007C5399"/>
    <w:rsid w:val="007C684B"/>
    <w:rsid w:val="007C6978"/>
    <w:rsid w:val="007C6E05"/>
    <w:rsid w:val="007D0F36"/>
    <w:rsid w:val="007D0FD8"/>
    <w:rsid w:val="007D101C"/>
    <w:rsid w:val="007D23C5"/>
    <w:rsid w:val="007D3C48"/>
    <w:rsid w:val="007D48C7"/>
    <w:rsid w:val="007D4B28"/>
    <w:rsid w:val="007D5615"/>
    <w:rsid w:val="007D5ADA"/>
    <w:rsid w:val="007D63E7"/>
    <w:rsid w:val="007D6543"/>
    <w:rsid w:val="007E005D"/>
    <w:rsid w:val="007E02CB"/>
    <w:rsid w:val="007E0F83"/>
    <w:rsid w:val="007E2036"/>
    <w:rsid w:val="007E296F"/>
    <w:rsid w:val="007E4CB4"/>
    <w:rsid w:val="007E70B0"/>
    <w:rsid w:val="007F0893"/>
    <w:rsid w:val="007F2EC6"/>
    <w:rsid w:val="007F4D32"/>
    <w:rsid w:val="007F51D0"/>
    <w:rsid w:val="007F65D1"/>
    <w:rsid w:val="007F6E1C"/>
    <w:rsid w:val="00801560"/>
    <w:rsid w:val="0080164C"/>
    <w:rsid w:val="008019F0"/>
    <w:rsid w:val="00803FC2"/>
    <w:rsid w:val="00806022"/>
    <w:rsid w:val="008072A8"/>
    <w:rsid w:val="008077F2"/>
    <w:rsid w:val="00807A3F"/>
    <w:rsid w:val="00810520"/>
    <w:rsid w:val="00810639"/>
    <w:rsid w:val="00810BD8"/>
    <w:rsid w:val="00812CE9"/>
    <w:rsid w:val="00813781"/>
    <w:rsid w:val="00813989"/>
    <w:rsid w:val="008140F9"/>
    <w:rsid w:val="0081469C"/>
    <w:rsid w:val="008147FC"/>
    <w:rsid w:val="00817A45"/>
    <w:rsid w:val="0082021F"/>
    <w:rsid w:val="008204F3"/>
    <w:rsid w:val="00821DFC"/>
    <w:rsid w:val="008224CE"/>
    <w:rsid w:val="00827B6B"/>
    <w:rsid w:val="00827FE3"/>
    <w:rsid w:val="00830014"/>
    <w:rsid w:val="00831A23"/>
    <w:rsid w:val="008344A5"/>
    <w:rsid w:val="00835031"/>
    <w:rsid w:val="00836AA0"/>
    <w:rsid w:val="00836FF1"/>
    <w:rsid w:val="00837372"/>
    <w:rsid w:val="0084002A"/>
    <w:rsid w:val="00840092"/>
    <w:rsid w:val="008413BD"/>
    <w:rsid w:val="00843920"/>
    <w:rsid w:val="0084552A"/>
    <w:rsid w:val="00845A92"/>
    <w:rsid w:val="00847BF2"/>
    <w:rsid w:val="00851920"/>
    <w:rsid w:val="00852A00"/>
    <w:rsid w:val="00852D8E"/>
    <w:rsid w:val="008539AD"/>
    <w:rsid w:val="0085482F"/>
    <w:rsid w:val="00854CFC"/>
    <w:rsid w:val="00855C37"/>
    <w:rsid w:val="00860E99"/>
    <w:rsid w:val="00861C05"/>
    <w:rsid w:val="00861E96"/>
    <w:rsid w:val="00862F7F"/>
    <w:rsid w:val="00863657"/>
    <w:rsid w:val="00864E31"/>
    <w:rsid w:val="00865586"/>
    <w:rsid w:val="008656B7"/>
    <w:rsid w:val="008658A7"/>
    <w:rsid w:val="008671DB"/>
    <w:rsid w:val="00870BA9"/>
    <w:rsid w:val="008712EE"/>
    <w:rsid w:val="008718F2"/>
    <w:rsid w:val="008729B8"/>
    <w:rsid w:val="00872CB4"/>
    <w:rsid w:val="00874C5B"/>
    <w:rsid w:val="0087616A"/>
    <w:rsid w:val="00876196"/>
    <w:rsid w:val="00876DAA"/>
    <w:rsid w:val="00877EC3"/>
    <w:rsid w:val="00877F9C"/>
    <w:rsid w:val="00880A54"/>
    <w:rsid w:val="00880D9F"/>
    <w:rsid w:val="00881279"/>
    <w:rsid w:val="00882982"/>
    <w:rsid w:val="00882AB9"/>
    <w:rsid w:val="00882D02"/>
    <w:rsid w:val="0088325F"/>
    <w:rsid w:val="00883BE3"/>
    <w:rsid w:val="008847B7"/>
    <w:rsid w:val="00885F35"/>
    <w:rsid w:val="00887DFA"/>
    <w:rsid w:val="00891EA3"/>
    <w:rsid w:val="00892038"/>
    <w:rsid w:val="0089289E"/>
    <w:rsid w:val="008947DF"/>
    <w:rsid w:val="00897248"/>
    <w:rsid w:val="008A211B"/>
    <w:rsid w:val="008A3CC2"/>
    <w:rsid w:val="008A5B2F"/>
    <w:rsid w:val="008A7C91"/>
    <w:rsid w:val="008A7E2C"/>
    <w:rsid w:val="008B01D1"/>
    <w:rsid w:val="008B0341"/>
    <w:rsid w:val="008B133A"/>
    <w:rsid w:val="008B55AB"/>
    <w:rsid w:val="008B65EB"/>
    <w:rsid w:val="008B683A"/>
    <w:rsid w:val="008B75C0"/>
    <w:rsid w:val="008B779C"/>
    <w:rsid w:val="008B7DD0"/>
    <w:rsid w:val="008C0ECF"/>
    <w:rsid w:val="008C0F76"/>
    <w:rsid w:val="008C2C5E"/>
    <w:rsid w:val="008C483C"/>
    <w:rsid w:val="008C58D1"/>
    <w:rsid w:val="008C61DF"/>
    <w:rsid w:val="008C7B9E"/>
    <w:rsid w:val="008D1A1C"/>
    <w:rsid w:val="008D1E81"/>
    <w:rsid w:val="008D3345"/>
    <w:rsid w:val="008D3C03"/>
    <w:rsid w:val="008D5ACB"/>
    <w:rsid w:val="008D6273"/>
    <w:rsid w:val="008D7E34"/>
    <w:rsid w:val="008E11DC"/>
    <w:rsid w:val="008E1D76"/>
    <w:rsid w:val="008E1EB8"/>
    <w:rsid w:val="008E1FDA"/>
    <w:rsid w:val="008E25B7"/>
    <w:rsid w:val="008E42F8"/>
    <w:rsid w:val="008E4BE7"/>
    <w:rsid w:val="008E555E"/>
    <w:rsid w:val="008E63D3"/>
    <w:rsid w:val="008E66A3"/>
    <w:rsid w:val="008E737B"/>
    <w:rsid w:val="008F0F01"/>
    <w:rsid w:val="008F1189"/>
    <w:rsid w:val="008F12BA"/>
    <w:rsid w:val="008F1683"/>
    <w:rsid w:val="008F19D4"/>
    <w:rsid w:val="008F204A"/>
    <w:rsid w:val="008F25A3"/>
    <w:rsid w:val="008F3755"/>
    <w:rsid w:val="008F4252"/>
    <w:rsid w:val="008F4EB5"/>
    <w:rsid w:val="00900323"/>
    <w:rsid w:val="00901FBC"/>
    <w:rsid w:val="009020B1"/>
    <w:rsid w:val="00902478"/>
    <w:rsid w:val="0090263B"/>
    <w:rsid w:val="00902EFF"/>
    <w:rsid w:val="00903044"/>
    <w:rsid w:val="0090617D"/>
    <w:rsid w:val="009061CE"/>
    <w:rsid w:val="00910E23"/>
    <w:rsid w:val="009114DD"/>
    <w:rsid w:val="00913038"/>
    <w:rsid w:val="00913272"/>
    <w:rsid w:val="0091369B"/>
    <w:rsid w:val="009136FE"/>
    <w:rsid w:val="00913A8D"/>
    <w:rsid w:val="0091478E"/>
    <w:rsid w:val="00914C69"/>
    <w:rsid w:val="00915CD3"/>
    <w:rsid w:val="009162B7"/>
    <w:rsid w:val="0091700C"/>
    <w:rsid w:val="00920574"/>
    <w:rsid w:val="00920C3E"/>
    <w:rsid w:val="009214D4"/>
    <w:rsid w:val="00921B73"/>
    <w:rsid w:val="00921BE2"/>
    <w:rsid w:val="00922554"/>
    <w:rsid w:val="00930A90"/>
    <w:rsid w:val="00931D2F"/>
    <w:rsid w:val="00932A42"/>
    <w:rsid w:val="009330C9"/>
    <w:rsid w:val="00933786"/>
    <w:rsid w:val="00933833"/>
    <w:rsid w:val="009349B1"/>
    <w:rsid w:val="0093681E"/>
    <w:rsid w:val="00936838"/>
    <w:rsid w:val="00936952"/>
    <w:rsid w:val="00937ED0"/>
    <w:rsid w:val="0094019C"/>
    <w:rsid w:val="00940C6E"/>
    <w:rsid w:val="00940C9D"/>
    <w:rsid w:val="00940F9C"/>
    <w:rsid w:val="0094171B"/>
    <w:rsid w:val="00941943"/>
    <w:rsid w:val="00941C2E"/>
    <w:rsid w:val="00942021"/>
    <w:rsid w:val="00942873"/>
    <w:rsid w:val="00943357"/>
    <w:rsid w:val="00944565"/>
    <w:rsid w:val="00944762"/>
    <w:rsid w:val="00944F45"/>
    <w:rsid w:val="00945553"/>
    <w:rsid w:val="0094735E"/>
    <w:rsid w:val="009509AA"/>
    <w:rsid w:val="009509BC"/>
    <w:rsid w:val="00952741"/>
    <w:rsid w:val="00952C9E"/>
    <w:rsid w:val="009540B8"/>
    <w:rsid w:val="00954811"/>
    <w:rsid w:val="00954998"/>
    <w:rsid w:val="00954AAA"/>
    <w:rsid w:val="0095540B"/>
    <w:rsid w:val="0095633E"/>
    <w:rsid w:val="0095667F"/>
    <w:rsid w:val="0095673F"/>
    <w:rsid w:val="0095682A"/>
    <w:rsid w:val="00960E62"/>
    <w:rsid w:val="00961CD0"/>
    <w:rsid w:val="009645F2"/>
    <w:rsid w:val="009648A2"/>
    <w:rsid w:val="00965263"/>
    <w:rsid w:val="0096536F"/>
    <w:rsid w:val="00967186"/>
    <w:rsid w:val="00970F49"/>
    <w:rsid w:val="0097238F"/>
    <w:rsid w:val="009724A5"/>
    <w:rsid w:val="00972A9A"/>
    <w:rsid w:val="00972D68"/>
    <w:rsid w:val="0097333F"/>
    <w:rsid w:val="009733AC"/>
    <w:rsid w:val="00974871"/>
    <w:rsid w:val="00975F94"/>
    <w:rsid w:val="0097791B"/>
    <w:rsid w:val="00977E9B"/>
    <w:rsid w:val="009803A4"/>
    <w:rsid w:val="0098137D"/>
    <w:rsid w:val="00982333"/>
    <w:rsid w:val="0098309E"/>
    <w:rsid w:val="00983AE2"/>
    <w:rsid w:val="0098426F"/>
    <w:rsid w:val="00984285"/>
    <w:rsid w:val="00985B1E"/>
    <w:rsid w:val="00985BC5"/>
    <w:rsid w:val="00985D6A"/>
    <w:rsid w:val="009860A0"/>
    <w:rsid w:val="00986A07"/>
    <w:rsid w:val="00986E24"/>
    <w:rsid w:val="00987025"/>
    <w:rsid w:val="00987BAA"/>
    <w:rsid w:val="00990093"/>
    <w:rsid w:val="0099212A"/>
    <w:rsid w:val="0099275F"/>
    <w:rsid w:val="00994819"/>
    <w:rsid w:val="00995274"/>
    <w:rsid w:val="00995E8A"/>
    <w:rsid w:val="009A0EE0"/>
    <w:rsid w:val="009A1055"/>
    <w:rsid w:val="009A4B97"/>
    <w:rsid w:val="009A5200"/>
    <w:rsid w:val="009A544A"/>
    <w:rsid w:val="009A6C27"/>
    <w:rsid w:val="009A7092"/>
    <w:rsid w:val="009A712B"/>
    <w:rsid w:val="009A7610"/>
    <w:rsid w:val="009A7C29"/>
    <w:rsid w:val="009B0145"/>
    <w:rsid w:val="009B1224"/>
    <w:rsid w:val="009B1AF1"/>
    <w:rsid w:val="009B2BAF"/>
    <w:rsid w:val="009B5DB8"/>
    <w:rsid w:val="009B6327"/>
    <w:rsid w:val="009B6A1C"/>
    <w:rsid w:val="009C24FF"/>
    <w:rsid w:val="009C43BB"/>
    <w:rsid w:val="009C4934"/>
    <w:rsid w:val="009C55EC"/>
    <w:rsid w:val="009C5BEB"/>
    <w:rsid w:val="009C6B01"/>
    <w:rsid w:val="009C6B5D"/>
    <w:rsid w:val="009C7925"/>
    <w:rsid w:val="009D0DC3"/>
    <w:rsid w:val="009D12A1"/>
    <w:rsid w:val="009D24C8"/>
    <w:rsid w:val="009D433B"/>
    <w:rsid w:val="009D5595"/>
    <w:rsid w:val="009D62F3"/>
    <w:rsid w:val="009D6E9A"/>
    <w:rsid w:val="009E03FF"/>
    <w:rsid w:val="009E0418"/>
    <w:rsid w:val="009E07FD"/>
    <w:rsid w:val="009E1BB6"/>
    <w:rsid w:val="009E350A"/>
    <w:rsid w:val="009E374B"/>
    <w:rsid w:val="009E4137"/>
    <w:rsid w:val="009E576D"/>
    <w:rsid w:val="009E6CDF"/>
    <w:rsid w:val="009E6E2F"/>
    <w:rsid w:val="009F2023"/>
    <w:rsid w:val="009F3861"/>
    <w:rsid w:val="009F3D82"/>
    <w:rsid w:val="009F5B7D"/>
    <w:rsid w:val="009F64FC"/>
    <w:rsid w:val="009F6926"/>
    <w:rsid w:val="009F6CED"/>
    <w:rsid w:val="009F70FB"/>
    <w:rsid w:val="009F7510"/>
    <w:rsid w:val="00A01190"/>
    <w:rsid w:val="00A01A68"/>
    <w:rsid w:val="00A024E9"/>
    <w:rsid w:val="00A02A63"/>
    <w:rsid w:val="00A02DAB"/>
    <w:rsid w:val="00A03C7E"/>
    <w:rsid w:val="00A05634"/>
    <w:rsid w:val="00A059DC"/>
    <w:rsid w:val="00A05FF7"/>
    <w:rsid w:val="00A06EE3"/>
    <w:rsid w:val="00A1082E"/>
    <w:rsid w:val="00A10EB5"/>
    <w:rsid w:val="00A121B3"/>
    <w:rsid w:val="00A121B9"/>
    <w:rsid w:val="00A126EB"/>
    <w:rsid w:val="00A143C7"/>
    <w:rsid w:val="00A15C0B"/>
    <w:rsid w:val="00A17099"/>
    <w:rsid w:val="00A2051A"/>
    <w:rsid w:val="00A2192D"/>
    <w:rsid w:val="00A23EDF"/>
    <w:rsid w:val="00A242AD"/>
    <w:rsid w:val="00A24399"/>
    <w:rsid w:val="00A26A6F"/>
    <w:rsid w:val="00A310F9"/>
    <w:rsid w:val="00A316D9"/>
    <w:rsid w:val="00A31E98"/>
    <w:rsid w:val="00A323E7"/>
    <w:rsid w:val="00A3313E"/>
    <w:rsid w:val="00A342BB"/>
    <w:rsid w:val="00A35E52"/>
    <w:rsid w:val="00A36BAE"/>
    <w:rsid w:val="00A37137"/>
    <w:rsid w:val="00A37F0A"/>
    <w:rsid w:val="00A421B3"/>
    <w:rsid w:val="00A44AEC"/>
    <w:rsid w:val="00A46E78"/>
    <w:rsid w:val="00A50AC1"/>
    <w:rsid w:val="00A53A52"/>
    <w:rsid w:val="00A53BB6"/>
    <w:rsid w:val="00A54F72"/>
    <w:rsid w:val="00A55903"/>
    <w:rsid w:val="00A55D2E"/>
    <w:rsid w:val="00A56352"/>
    <w:rsid w:val="00A5763C"/>
    <w:rsid w:val="00A5770C"/>
    <w:rsid w:val="00A62378"/>
    <w:rsid w:val="00A64B2F"/>
    <w:rsid w:val="00A65217"/>
    <w:rsid w:val="00A6646F"/>
    <w:rsid w:val="00A66B41"/>
    <w:rsid w:val="00A700E2"/>
    <w:rsid w:val="00A70250"/>
    <w:rsid w:val="00A725BB"/>
    <w:rsid w:val="00A726CE"/>
    <w:rsid w:val="00A73385"/>
    <w:rsid w:val="00A740A8"/>
    <w:rsid w:val="00A75479"/>
    <w:rsid w:val="00A75705"/>
    <w:rsid w:val="00A75A21"/>
    <w:rsid w:val="00A761B6"/>
    <w:rsid w:val="00A77460"/>
    <w:rsid w:val="00A80E7B"/>
    <w:rsid w:val="00A81C0B"/>
    <w:rsid w:val="00A81FA8"/>
    <w:rsid w:val="00A820A6"/>
    <w:rsid w:val="00A82FC8"/>
    <w:rsid w:val="00A84FEE"/>
    <w:rsid w:val="00A8535F"/>
    <w:rsid w:val="00A85730"/>
    <w:rsid w:val="00A86584"/>
    <w:rsid w:val="00A86DAC"/>
    <w:rsid w:val="00A8723D"/>
    <w:rsid w:val="00A87703"/>
    <w:rsid w:val="00A87F7B"/>
    <w:rsid w:val="00A90341"/>
    <w:rsid w:val="00A91A73"/>
    <w:rsid w:val="00A91C32"/>
    <w:rsid w:val="00A93FFC"/>
    <w:rsid w:val="00A963ED"/>
    <w:rsid w:val="00A967F3"/>
    <w:rsid w:val="00A96931"/>
    <w:rsid w:val="00A9749E"/>
    <w:rsid w:val="00A977F2"/>
    <w:rsid w:val="00A97D3C"/>
    <w:rsid w:val="00A97E6E"/>
    <w:rsid w:val="00AA5C79"/>
    <w:rsid w:val="00AA7BE2"/>
    <w:rsid w:val="00AB13B1"/>
    <w:rsid w:val="00AB199F"/>
    <w:rsid w:val="00AB25E7"/>
    <w:rsid w:val="00AB3C32"/>
    <w:rsid w:val="00AB3E48"/>
    <w:rsid w:val="00AB45EF"/>
    <w:rsid w:val="00AB5E5F"/>
    <w:rsid w:val="00AB6279"/>
    <w:rsid w:val="00AB731D"/>
    <w:rsid w:val="00AB7A32"/>
    <w:rsid w:val="00AC2DBE"/>
    <w:rsid w:val="00AC549B"/>
    <w:rsid w:val="00AC607A"/>
    <w:rsid w:val="00AC6E8B"/>
    <w:rsid w:val="00AC7614"/>
    <w:rsid w:val="00AC766C"/>
    <w:rsid w:val="00AC798E"/>
    <w:rsid w:val="00AD0000"/>
    <w:rsid w:val="00AD3682"/>
    <w:rsid w:val="00AD4209"/>
    <w:rsid w:val="00AD44C0"/>
    <w:rsid w:val="00AD61F6"/>
    <w:rsid w:val="00AD70E0"/>
    <w:rsid w:val="00AD7167"/>
    <w:rsid w:val="00AD77EB"/>
    <w:rsid w:val="00AE048A"/>
    <w:rsid w:val="00AE08E4"/>
    <w:rsid w:val="00AE1C0D"/>
    <w:rsid w:val="00AE2E60"/>
    <w:rsid w:val="00AE59FD"/>
    <w:rsid w:val="00AE5D3D"/>
    <w:rsid w:val="00AE69EE"/>
    <w:rsid w:val="00AE7DA4"/>
    <w:rsid w:val="00AF0B65"/>
    <w:rsid w:val="00AF250C"/>
    <w:rsid w:val="00AF3374"/>
    <w:rsid w:val="00AF5A23"/>
    <w:rsid w:val="00AF601E"/>
    <w:rsid w:val="00AF6413"/>
    <w:rsid w:val="00AF694A"/>
    <w:rsid w:val="00AF795E"/>
    <w:rsid w:val="00B010E2"/>
    <w:rsid w:val="00B01C39"/>
    <w:rsid w:val="00B02C88"/>
    <w:rsid w:val="00B037F9"/>
    <w:rsid w:val="00B04835"/>
    <w:rsid w:val="00B07EE8"/>
    <w:rsid w:val="00B104C6"/>
    <w:rsid w:val="00B11D84"/>
    <w:rsid w:val="00B1224E"/>
    <w:rsid w:val="00B125BF"/>
    <w:rsid w:val="00B12D57"/>
    <w:rsid w:val="00B13390"/>
    <w:rsid w:val="00B13E71"/>
    <w:rsid w:val="00B21447"/>
    <w:rsid w:val="00B223C8"/>
    <w:rsid w:val="00B2296A"/>
    <w:rsid w:val="00B22D64"/>
    <w:rsid w:val="00B25796"/>
    <w:rsid w:val="00B27A07"/>
    <w:rsid w:val="00B27AF6"/>
    <w:rsid w:val="00B3161A"/>
    <w:rsid w:val="00B31690"/>
    <w:rsid w:val="00B3337D"/>
    <w:rsid w:val="00B34136"/>
    <w:rsid w:val="00B346C1"/>
    <w:rsid w:val="00B34944"/>
    <w:rsid w:val="00B35D3A"/>
    <w:rsid w:val="00B36A21"/>
    <w:rsid w:val="00B3726C"/>
    <w:rsid w:val="00B374A8"/>
    <w:rsid w:val="00B37BEF"/>
    <w:rsid w:val="00B40658"/>
    <w:rsid w:val="00B414B8"/>
    <w:rsid w:val="00B42517"/>
    <w:rsid w:val="00B43061"/>
    <w:rsid w:val="00B43BA2"/>
    <w:rsid w:val="00B44FA5"/>
    <w:rsid w:val="00B454F7"/>
    <w:rsid w:val="00B52A97"/>
    <w:rsid w:val="00B52E6D"/>
    <w:rsid w:val="00B52ED0"/>
    <w:rsid w:val="00B53A73"/>
    <w:rsid w:val="00B54603"/>
    <w:rsid w:val="00B552DA"/>
    <w:rsid w:val="00B5608D"/>
    <w:rsid w:val="00B562E2"/>
    <w:rsid w:val="00B56A11"/>
    <w:rsid w:val="00B56ECB"/>
    <w:rsid w:val="00B572A0"/>
    <w:rsid w:val="00B57E1B"/>
    <w:rsid w:val="00B603C2"/>
    <w:rsid w:val="00B6095E"/>
    <w:rsid w:val="00B62B84"/>
    <w:rsid w:val="00B62D66"/>
    <w:rsid w:val="00B63087"/>
    <w:rsid w:val="00B63193"/>
    <w:rsid w:val="00B64C68"/>
    <w:rsid w:val="00B661B0"/>
    <w:rsid w:val="00B66398"/>
    <w:rsid w:val="00B67DCE"/>
    <w:rsid w:val="00B70C39"/>
    <w:rsid w:val="00B70F0A"/>
    <w:rsid w:val="00B719C7"/>
    <w:rsid w:val="00B726D6"/>
    <w:rsid w:val="00B72B55"/>
    <w:rsid w:val="00B735C1"/>
    <w:rsid w:val="00B7381C"/>
    <w:rsid w:val="00B73EDF"/>
    <w:rsid w:val="00B74212"/>
    <w:rsid w:val="00B746DB"/>
    <w:rsid w:val="00B7526C"/>
    <w:rsid w:val="00B7655A"/>
    <w:rsid w:val="00B76D9A"/>
    <w:rsid w:val="00B80857"/>
    <w:rsid w:val="00B81841"/>
    <w:rsid w:val="00B8206E"/>
    <w:rsid w:val="00B832B1"/>
    <w:rsid w:val="00B8436F"/>
    <w:rsid w:val="00B85A40"/>
    <w:rsid w:val="00B87616"/>
    <w:rsid w:val="00B90617"/>
    <w:rsid w:val="00B90E2A"/>
    <w:rsid w:val="00B91207"/>
    <w:rsid w:val="00B9205C"/>
    <w:rsid w:val="00B920E4"/>
    <w:rsid w:val="00B94187"/>
    <w:rsid w:val="00B94B43"/>
    <w:rsid w:val="00B96AED"/>
    <w:rsid w:val="00B97073"/>
    <w:rsid w:val="00B97620"/>
    <w:rsid w:val="00BA1AB7"/>
    <w:rsid w:val="00BA47A8"/>
    <w:rsid w:val="00BA4DDB"/>
    <w:rsid w:val="00BA57D7"/>
    <w:rsid w:val="00BA5CA3"/>
    <w:rsid w:val="00BA6CBE"/>
    <w:rsid w:val="00BB07E1"/>
    <w:rsid w:val="00BB145E"/>
    <w:rsid w:val="00BB1A2E"/>
    <w:rsid w:val="00BB26BB"/>
    <w:rsid w:val="00BB3051"/>
    <w:rsid w:val="00BB30DF"/>
    <w:rsid w:val="00BB3339"/>
    <w:rsid w:val="00BB3F66"/>
    <w:rsid w:val="00BB4244"/>
    <w:rsid w:val="00BB4CF4"/>
    <w:rsid w:val="00BB596E"/>
    <w:rsid w:val="00BB5D91"/>
    <w:rsid w:val="00BB610B"/>
    <w:rsid w:val="00BB7ADA"/>
    <w:rsid w:val="00BB7AFC"/>
    <w:rsid w:val="00BB7D7D"/>
    <w:rsid w:val="00BC15EC"/>
    <w:rsid w:val="00BC1E07"/>
    <w:rsid w:val="00BC2B1A"/>
    <w:rsid w:val="00BC3C09"/>
    <w:rsid w:val="00BC5675"/>
    <w:rsid w:val="00BC769F"/>
    <w:rsid w:val="00BC7A4C"/>
    <w:rsid w:val="00BC7FF9"/>
    <w:rsid w:val="00BD07E6"/>
    <w:rsid w:val="00BD15DB"/>
    <w:rsid w:val="00BD2EED"/>
    <w:rsid w:val="00BD3855"/>
    <w:rsid w:val="00BD49AF"/>
    <w:rsid w:val="00BD5628"/>
    <w:rsid w:val="00BD5AF3"/>
    <w:rsid w:val="00BD6759"/>
    <w:rsid w:val="00BD6C21"/>
    <w:rsid w:val="00BD7681"/>
    <w:rsid w:val="00BD7EF8"/>
    <w:rsid w:val="00BE22C8"/>
    <w:rsid w:val="00BE2377"/>
    <w:rsid w:val="00BE3345"/>
    <w:rsid w:val="00BE35EB"/>
    <w:rsid w:val="00BE461E"/>
    <w:rsid w:val="00BE5A4D"/>
    <w:rsid w:val="00BE61C8"/>
    <w:rsid w:val="00BE64F5"/>
    <w:rsid w:val="00BE7956"/>
    <w:rsid w:val="00BE79A6"/>
    <w:rsid w:val="00BF086C"/>
    <w:rsid w:val="00BF1484"/>
    <w:rsid w:val="00BF17F2"/>
    <w:rsid w:val="00BF1A73"/>
    <w:rsid w:val="00BF2508"/>
    <w:rsid w:val="00BF33D2"/>
    <w:rsid w:val="00BF37C2"/>
    <w:rsid w:val="00BF3935"/>
    <w:rsid w:val="00BF39BB"/>
    <w:rsid w:val="00BF42C4"/>
    <w:rsid w:val="00BF46BB"/>
    <w:rsid w:val="00BF5069"/>
    <w:rsid w:val="00BF5719"/>
    <w:rsid w:val="00BF607C"/>
    <w:rsid w:val="00BF7883"/>
    <w:rsid w:val="00C00A00"/>
    <w:rsid w:val="00C01112"/>
    <w:rsid w:val="00C01494"/>
    <w:rsid w:val="00C01BFB"/>
    <w:rsid w:val="00C025E7"/>
    <w:rsid w:val="00C0263E"/>
    <w:rsid w:val="00C02DF8"/>
    <w:rsid w:val="00C0384B"/>
    <w:rsid w:val="00C0561B"/>
    <w:rsid w:val="00C0647D"/>
    <w:rsid w:val="00C10554"/>
    <w:rsid w:val="00C10625"/>
    <w:rsid w:val="00C108ED"/>
    <w:rsid w:val="00C1184C"/>
    <w:rsid w:val="00C11A1B"/>
    <w:rsid w:val="00C11C5E"/>
    <w:rsid w:val="00C12763"/>
    <w:rsid w:val="00C12C0D"/>
    <w:rsid w:val="00C134D8"/>
    <w:rsid w:val="00C13D4D"/>
    <w:rsid w:val="00C148BC"/>
    <w:rsid w:val="00C16046"/>
    <w:rsid w:val="00C20CDF"/>
    <w:rsid w:val="00C23456"/>
    <w:rsid w:val="00C2390A"/>
    <w:rsid w:val="00C2498B"/>
    <w:rsid w:val="00C24A0A"/>
    <w:rsid w:val="00C24E8B"/>
    <w:rsid w:val="00C25CDF"/>
    <w:rsid w:val="00C263A8"/>
    <w:rsid w:val="00C26C8D"/>
    <w:rsid w:val="00C2708E"/>
    <w:rsid w:val="00C27C22"/>
    <w:rsid w:val="00C30A10"/>
    <w:rsid w:val="00C317A4"/>
    <w:rsid w:val="00C33D18"/>
    <w:rsid w:val="00C34D84"/>
    <w:rsid w:val="00C350F0"/>
    <w:rsid w:val="00C414D7"/>
    <w:rsid w:val="00C420DF"/>
    <w:rsid w:val="00C43040"/>
    <w:rsid w:val="00C43E3A"/>
    <w:rsid w:val="00C44D2D"/>
    <w:rsid w:val="00C44DAE"/>
    <w:rsid w:val="00C52C4B"/>
    <w:rsid w:val="00C53DDA"/>
    <w:rsid w:val="00C56B1C"/>
    <w:rsid w:val="00C56DF6"/>
    <w:rsid w:val="00C5737B"/>
    <w:rsid w:val="00C6016E"/>
    <w:rsid w:val="00C6038C"/>
    <w:rsid w:val="00C60584"/>
    <w:rsid w:val="00C6060A"/>
    <w:rsid w:val="00C60B28"/>
    <w:rsid w:val="00C6126A"/>
    <w:rsid w:val="00C62091"/>
    <w:rsid w:val="00C6258D"/>
    <w:rsid w:val="00C62A66"/>
    <w:rsid w:val="00C63628"/>
    <w:rsid w:val="00C63E52"/>
    <w:rsid w:val="00C64A1B"/>
    <w:rsid w:val="00C67663"/>
    <w:rsid w:val="00C705A5"/>
    <w:rsid w:val="00C729D3"/>
    <w:rsid w:val="00C729E7"/>
    <w:rsid w:val="00C72B5E"/>
    <w:rsid w:val="00C735DA"/>
    <w:rsid w:val="00C73A5B"/>
    <w:rsid w:val="00C73FA9"/>
    <w:rsid w:val="00C74081"/>
    <w:rsid w:val="00C7632C"/>
    <w:rsid w:val="00C77E0D"/>
    <w:rsid w:val="00C801D4"/>
    <w:rsid w:val="00C8146A"/>
    <w:rsid w:val="00C815B5"/>
    <w:rsid w:val="00C81AD4"/>
    <w:rsid w:val="00C8302B"/>
    <w:rsid w:val="00C832A5"/>
    <w:rsid w:val="00C84EB8"/>
    <w:rsid w:val="00C853DA"/>
    <w:rsid w:val="00C85D02"/>
    <w:rsid w:val="00C900BA"/>
    <w:rsid w:val="00C904F1"/>
    <w:rsid w:val="00C93076"/>
    <w:rsid w:val="00C9363B"/>
    <w:rsid w:val="00C9391B"/>
    <w:rsid w:val="00C9418E"/>
    <w:rsid w:val="00C94270"/>
    <w:rsid w:val="00C9510D"/>
    <w:rsid w:val="00C9531E"/>
    <w:rsid w:val="00C96A49"/>
    <w:rsid w:val="00C96D02"/>
    <w:rsid w:val="00C96F79"/>
    <w:rsid w:val="00CA0E8F"/>
    <w:rsid w:val="00CA1042"/>
    <w:rsid w:val="00CA19D6"/>
    <w:rsid w:val="00CA2681"/>
    <w:rsid w:val="00CA27D6"/>
    <w:rsid w:val="00CA2CFB"/>
    <w:rsid w:val="00CA3243"/>
    <w:rsid w:val="00CA3F81"/>
    <w:rsid w:val="00CA603F"/>
    <w:rsid w:val="00CA6FB7"/>
    <w:rsid w:val="00CA6FBA"/>
    <w:rsid w:val="00CA7C9F"/>
    <w:rsid w:val="00CA7D86"/>
    <w:rsid w:val="00CB049B"/>
    <w:rsid w:val="00CB319C"/>
    <w:rsid w:val="00CB4268"/>
    <w:rsid w:val="00CB4887"/>
    <w:rsid w:val="00CB4D62"/>
    <w:rsid w:val="00CB6FBF"/>
    <w:rsid w:val="00CB7E17"/>
    <w:rsid w:val="00CC0560"/>
    <w:rsid w:val="00CC22F9"/>
    <w:rsid w:val="00CC294E"/>
    <w:rsid w:val="00CC33DF"/>
    <w:rsid w:val="00CC496C"/>
    <w:rsid w:val="00CC4EB8"/>
    <w:rsid w:val="00CC5E64"/>
    <w:rsid w:val="00CC6A51"/>
    <w:rsid w:val="00CD0F60"/>
    <w:rsid w:val="00CD1BCC"/>
    <w:rsid w:val="00CD32E1"/>
    <w:rsid w:val="00CD3427"/>
    <w:rsid w:val="00CD4064"/>
    <w:rsid w:val="00CD4302"/>
    <w:rsid w:val="00CD58EF"/>
    <w:rsid w:val="00CD6D47"/>
    <w:rsid w:val="00CD7FC2"/>
    <w:rsid w:val="00CE0BED"/>
    <w:rsid w:val="00CE19BE"/>
    <w:rsid w:val="00CE1BF2"/>
    <w:rsid w:val="00CE2DCF"/>
    <w:rsid w:val="00CE3A87"/>
    <w:rsid w:val="00CE6BE7"/>
    <w:rsid w:val="00CE755F"/>
    <w:rsid w:val="00CE7640"/>
    <w:rsid w:val="00CF0BC7"/>
    <w:rsid w:val="00CF13B5"/>
    <w:rsid w:val="00CF3A18"/>
    <w:rsid w:val="00CF5CF9"/>
    <w:rsid w:val="00CF6D7A"/>
    <w:rsid w:val="00CF6ED6"/>
    <w:rsid w:val="00CF759C"/>
    <w:rsid w:val="00CF7737"/>
    <w:rsid w:val="00D00C78"/>
    <w:rsid w:val="00D02C9E"/>
    <w:rsid w:val="00D03193"/>
    <w:rsid w:val="00D046FC"/>
    <w:rsid w:val="00D0586F"/>
    <w:rsid w:val="00D05FB5"/>
    <w:rsid w:val="00D06F2E"/>
    <w:rsid w:val="00D11242"/>
    <w:rsid w:val="00D1169D"/>
    <w:rsid w:val="00D11CD6"/>
    <w:rsid w:val="00D13802"/>
    <w:rsid w:val="00D143D3"/>
    <w:rsid w:val="00D14BF8"/>
    <w:rsid w:val="00D14EE4"/>
    <w:rsid w:val="00D14F0E"/>
    <w:rsid w:val="00D163D0"/>
    <w:rsid w:val="00D20F72"/>
    <w:rsid w:val="00D21EEE"/>
    <w:rsid w:val="00D21F92"/>
    <w:rsid w:val="00D22970"/>
    <w:rsid w:val="00D229D3"/>
    <w:rsid w:val="00D251A1"/>
    <w:rsid w:val="00D2585E"/>
    <w:rsid w:val="00D31D3C"/>
    <w:rsid w:val="00D33E71"/>
    <w:rsid w:val="00D35C26"/>
    <w:rsid w:val="00D40BA0"/>
    <w:rsid w:val="00D40CD0"/>
    <w:rsid w:val="00D43239"/>
    <w:rsid w:val="00D451A1"/>
    <w:rsid w:val="00D455F3"/>
    <w:rsid w:val="00D50242"/>
    <w:rsid w:val="00D51C3C"/>
    <w:rsid w:val="00D51CD3"/>
    <w:rsid w:val="00D51E39"/>
    <w:rsid w:val="00D52EE2"/>
    <w:rsid w:val="00D53501"/>
    <w:rsid w:val="00D5386C"/>
    <w:rsid w:val="00D540A6"/>
    <w:rsid w:val="00D551AD"/>
    <w:rsid w:val="00D55EF3"/>
    <w:rsid w:val="00D5679B"/>
    <w:rsid w:val="00D569AE"/>
    <w:rsid w:val="00D57BE2"/>
    <w:rsid w:val="00D609BD"/>
    <w:rsid w:val="00D60B2A"/>
    <w:rsid w:val="00D616A7"/>
    <w:rsid w:val="00D61BE0"/>
    <w:rsid w:val="00D6282C"/>
    <w:rsid w:val="00D62B56"/>
    <w:rsid w:val="00D6320B"/>
    <w:rsid w:val="00D63B81"/>
    <w:rsid w:val="00D64B55"/>
    <w:rsid w:val="00D66E35"/>
    <w:rsid w:val="00D6767C"/>
    <w:rsid w:val="00D67827"/>
    <w:rsid w:val="00D700A4"/>
    <w:rsid w:val="00D72B9B"/>
    <w:rsid w:val="00D72C7F"/>
    <w:rsid w:val="00D72FA5"/>
    <w:rsid w:val="00D74D0B"/>
    <w:rsid w:val="00D770DB"/>
    <w:rsid w:val="00D775D2"/>
    <w:rsid w:val="00D778B7"/>
    <w:rsid w:val="00D808FF"/>
    <w:rsid w:val="00D81187"/>
    <w:rsid w:val="00D8135F"/>
    <w:rsid w:val="00D81C55"/>
    <w:rsid w:val="00D8383E"/>
    <w:rsid w:val="00D83C9E"/>
    <w:rsid w:val="00D83D79"/>
    <w:rsid w:val="00D84487"/>
    <w:rsid w:val="00D85AB5"/>
    <w:rsid w:val="00D86210"/>
    <w:rsid w:val="00D86295"/>
    <w:rsid w:val="00D8649C"/>
    <w:rsid w:val="00D8793B"/>
    <w:rsid w:val="00D879D1"/>
    <w:rsid w:val="00D91A7B"/>
    <w:rsid w:val="00D94C2C"/>
    <w:rsid w:val="00D94CD0"/>
    <w:rsid w:val="00D96558"/>
    <w:rsid w:val="00D967FA"/>
    <w:rsid w:val="00DA0A3E"/>
    <w:rsid w:val="00DA0C05"/>
    <w:rsid w:val="00DA1330"/>
    <w:rsid w:val="00DA1ADC"/>
    <w:rsid w:val="00DA2BE5"/>
    <w:rsid w:val="00DA2D7A"/>
    <w:rsid w:val="00DA34F2"/>
    <w:rsid w:val="00DA5FC1"/>
    <w:rsid w:val="00DB30B2"/>
    <w:rsid w:val="00DB41C9"/>
    <w:rsid w:val="00DB423A"/>
    <w:rsid w:val="00DB548B"/>
    <w:rsid w:val="00DB5765"/>
    <w:rsid w:val="00DB713F"/>
    <w:rsid w:val="00DB73C5"/>
    <w:rsid w:val="00DC0F64"/>
    <w:rsid w:val="00DC106C"/>
    <w:rsid w:val="00DC2259"/>
    <w:rsid w:val="00DC2C99"/>
    <w:rsid w:val="00DC2D12"/>
    <w:rsid w:val="00DC3945"/>
    <w:rsid w:val="00DC45E1"/>
    <w:rsid w:val="00DC46C9"/>
    <w:rsid w:val="00DC47A4"/>
    <w:rsid w:val="00DC48BC"/>
    <w:rsid w:val="00DC4AAE"/>
    <w:rsid w:val="00DC5248"/>
    <w:rsid w:val="00DC5536"/>
    <w:rsid w:val="00DC5C85"/>
    <w:rsid w:val="00DD058B"/>
    <w:rsid w:val="00DD0C0F"/>
    <w:rsid w:val="00DD1B81"/>
    <w:rsid w:val="00DD2029"/>
    <w:rsid w:val="00DD4837"/>
    <w:rsid w:val="00DD785C"/>
    <w:rsid w:val="00DD7BC3"/>
    <w:rsid w:val="00DD7D4D"/>
    <w:rsid w:val="00DE009F"/>
    <w:rsid w:val="00DE042E"/>
    <w:rsid w:val="00DE0739"/>
    <w:rsid w:val="00DE0E94"/>
    <w:rsid w:val="00DE12D7"/>
    <w:rsid w:val="00DE2E53"/>
    <w:rsid w:val="00DE2EE9"/>
    <w:rsid w:val="00DE2EF3"/>
    <w:rsid w:val="00DE379F"/>
    <w:rsid w:val="00DE57E4"/>
    <w:rsid w:val="00DE617C"/>
    <w:rsid w:val="00DE67A0"/>
    <w:rsid w:val="00DF1C33"/>
    <w:rsid w:val="00DF2382"/>
    <w:rsid w:val="00DF2A62"/>
    <w:rsid w:val="00DF4349"/>
    <w:rsid w:val="00DF4808"/>
    <w:rsid w:val="00DF62FA"/>
    <w:rsid w:val="00E016DB"/>
    <w:rsid w:val="00E0197C"/>
    <w:rsid w:val="00E0237A"/>
    <w:rsid w:val="00E0254F"/>
    <w:rsid w:val="00E02B10"/>
    <w:rsid w:val="00E04084"/>
    <w:rsid w:val="00E04B3B"/>
    <w:rsid w:val="00E07445"/>
    <w:rsid w:val="00E111E4"/>
    <w:rsid w:val="00E11BE3"/>
    <w:rsid w:val="00E11F09"/>
    <w:rsid w:val="00E12B3B"/>
    <w:rsid w:val="00E13054"/>
    <w:rsid w:val="00E13402"/>
    <w:rsid w:val="00E140B0"/>
    <w:rsid w:val="00E142C1"/>
    <w:rsid w:val="00E14F5A"/>
    <w:rsid w:val="00E15513"/>
    <w:rsid w:val="00E15B74"/>
    <w:rsid w:val="00E15BF2"/>
    <w:rsid w:val="00E17157"/>
    <w:rsid w:val="00E17419"/>
    <w:rsid w:val="00E2032A"/>
    <w:rsid w:val="00E20A68"/>
    <w:rsid w:val="00E21F15"/>
    <w:rsid w:val="00E23097"/>
    <w:rsid w:val="00E2327B"/>
    <w:rsid w:val="00E2589C"/>
    <w:rsid w:val="00E25B7D"/>
    <w:rsid w:val="00E2632E"/>
    <w:rsid w:val="00E31502"/>
    <w:rsid w:val="00E32462"/>
    <w:rsid w:val="00E33424"/>
    <w:rsid w:val="00E33A75"/>
    <w:rsid w:val="00E33F87"/>
    <w:rsid w:val="00E3463F"/>
    <w:rsid w:val="00E34B6C"/>
    <w:rsid w:val="00E361F5"/>
    <w:rsid w:val="00E375CE"/>
    <w:rsid w:val="00E400D5"/>
    <w:rsid w:val="00E40242"/>
    <w:rsid w:val="00E40828"/>
    <w:rsid w:val="00E40C19"/>
    <w:rsid w:val="00E40FE6"/>
    <w:rsid w:val="00E40FE8"/>
    <w:rsid w:val="00E4134D"/>
    <w:rsid w:val="00E4193F"/>
    <w:rsid w:val="00E41B0C"/>
    <w:rsid w:val="00E42341"/>
    <w:rsid w:val="00E42CBB"/>
    <w:rsid w:val="00E43520"/>
    <w:rsid w:val="00E43D61"/>
    <w:rsid w:val="00E44B8A"/>
    <w:rsid w:val="00E45966"/>
    <w:rsid w:val="00E459E1"/>
    <w:rsid w:val="00E46295"/>
    <w:rsid w:val="00E46D5F"/>
    <w:rsid w:val="00E513FC"/>
    <w:rsid w:val="00E516D9"/>
    <w:rsid w:val="00E538DB"/>
    <w:rsid w:val="00E54E2C"/>
    <w:rsid w:val="00E569EB"/>
    <w:rsid w:val="00E5716A"/>
    <w:rsid w:val="00E60C70"/>
    <w:rsid w:val="00E61630"/>
    <w:rsid w:val="00E6166A"/>
    <w:rsid w:val="00E62C4C"/>
    <w:rsid w:val="00E64356"/>
    <w:rsid w:val="00E65519"/>
    <w:rsid w:val="00E662BB"/>
    <w:rsid w:val="00E673C8"/>
    <w:rsid w:val="00E67446"/>
    <w:rsid w:val="00E67A22"/>
    <w:rsid w:val="00E7044D"/>
    <w:rsid w:val="00E704EA"/>
    <w:rsid w:val="00E70611"/>
    <w:rsid w:val="00E713CD"/>
    <w:rsid w:val="00E736FF"/>
    <w:rsid w:val="00E764C3"/>
    <w:rsid w:val="00E765EF"/>
    <w:rsid w:val="00E77808"/>
    <w:rsid w:val="00E82D9D"/>
    <w:rsid w:val="00E8363C"/>
    <w:rsid w:val="00E83C85"/>
    <w:rsid w:val="00E84623"/>
    <w:rsid w:val="00E85CDF"/>
    <w:rsid w:val="00E86616"/>
    <w:rsid w:val="00E872C7"/>
    <w:rsid w:val="00E87808"/>
    <w:rsid w:val="00E8790A"/>
    <w:rsid w:val="00E87ABB"/>
    <w:rsid w:val="00E87C91"/>
    <w:rsid w:val="00E9064F"/>
    <w:rsid w:val="00E910A9"/>
    <w:rsid w:val="00E91247"/>
    <w:rsid w:val="00E92BF0"/>
    <w:rsid w:val="00E92C64"/>
    <w:rsid w:val="00E949EC"/>
    <w:rsid w:val="00E953CE"/>
    <w:rsid w:val="00E958E8"/>
    <w:rsid w:val="00E96623"/>
    <w:rsid w:val="00E96668"/>
    <w:rsid w:val="00EA0652"/>
    <w:rsid w:val="00EA1782"/>
    <w:rsid w:val="00EA1F24"/>
    <w:rsid w:val="00EA2DB8"/>
    <w:rsid w:val="00EA39A7"/>
    <w:rsid w:val="00EA7125"/>
    <w:rsid w:val="00EB0D3D"/>
    <w:rsid w:val="00EB1681"/>
    <w:rsid w:val="00EB2CB4"/>
    <w:rsid w:val="00EB3E97"/>
    <w:rsid w:val="00EB4EA5"/>
    <w:rsid w:val="00EC14AE"/>
    <w:rsid w:val="00EC1A48"/>
    <w:rsid w:val="00EC26FE"/>
    <w:rsid w:val="00EC2FAA"/>
    <w:rsid w:val="00EC3B54"/>
    <w:rsid w:val="00EC3F97"/>
    <w:rsid w:val="00EC432B"/>
    <w:rsid w:val="00EC4982"/>
    <w:rsid w:val="00EC6662"/>
    <w:rsid w:val="00EC675E"/>
    <w:rsid w:val="00EC78FA"/>
    <w:rsid w:val="00ED01AD"/>
    <w:rsid w:val="00ED2146"/>
    <w:rsid w:val="00ED2BB9"/>
    <w:rsid w:val="00ED4146"/>
    <w:rsid w:val="00ED5710"/>
    <w:rsid w:val="00EE0E0B"/>
    <w:rsid w:val="00EE1BDD"/>
    <w:rsid w:val="00EE3FFB"/>
    <w:rsid w:val="00EE479C"/>
    <w:rsid w:val="00EE5946"/>
    <w:rsid w:val="00EE5EA2"/>
    <w:rsid w:val="00EE63FC"/>
    <w:rsid w:val="00EE6849"/>
    <w:rsid w:val="00EE7BAF"/>
    <w:rsid w:val="00EF0613"/>
    <w:rsid w:val="00EF0D66"/>
    <w:rsid w:val="00EF26F9"/>
    <w:rsid w:val="00EF2A94"/>
    <w:rsid w:val="00EF38CF"/>
    <w:rsid w:val="00EF4366"/>
    <w:rsid w:val="00EF52A4"/>
    <w:rsid w:val="00F0078D"/>
    <w:rsid w:val="00F00A1C"/>
    <w:rsid w:val="00F023EE"/>
    <w:rsid w:val="00F03225"/>
    <w:rsid w:val="00F03239"/>
    <w:rsid w:val="00F03C21"/>
    <w:rsid w:val="00F03D21"/>
    <w:rsid w:val="00F04E5C"/>
    <w:rsid w:val="00F05565"/>
    <w:rsid w:val="00F0582D"/>
    <w:rsid w:val="00F06F74"/>
    <w:rsid w:val="00F07A2D"/>
    <w:rsid w:val="00F104D7"/>
    <w:rsid w:val="00F10D78"/>
    <w:rsid w:val="00F11249"/>
    <w:rsid w:val="00F11F0B"/>
    <w:rsid w:val="00F1265E"/>
    <w:rsid w:val="00F129BB"/>
    <w:rsid w:val="00F13F50"/>
    <w:rsid w:val="00F14A5A"/>
    <w:rsid w:val="00F15D9E"/>
    <w:rsid w:val="00F16B52"/>
    <w:rsid w:val="00F17C0E"/>
    <w:rsid w:val="00F17CD6"/>
    <w:rsid w:val="00F210AC"/>
    <w:rsid w:val="00F21403"/>
    <w:rsid w:val="00F249C2"/>
    <w:rsid w:val="00F253C7"/>
    <w:rsid w:val="00F279A4"/>
    <w:rsid w:val="00F30C0A"/>
    <w:rsid w:val="00F34C18"/>
    <w:rsid w:val="00F35481"/>
    <w:rsid w:val="00F3562D"/>
    <w:rsid w:val="00F35AE6"/>
    <w:rsid w:val="00F3664A"/>
    <w:rsid w:val="00F3686E"/>
    <w:rsid w:val="00F411E8"/>
    <w:rsid w:val="00F4209F"/>
    <w:rsid w:val="00F42383"/>
    <w:rsid w:val="00F438B4"/>
    <w:rsid w:val="00F43CC8"/>
    <w:rsid w:val="00F4428C"/>
    <w:rsid w:val="00F454DA"/>
    <w:rsid w:val="00F45639"/>
    <w:rsid w:val="00F469A1"/>
    <w:rsid w:val="00F47BA8"/>
    <w:rsid w:val="00F50150"/>
    <w:rsid w:val="00F5048C"/>
    <w:rsid w:val="00F50D8A"/>
    <w:rsid w:val="00F522B1"/>
    <w:rsid w:val="00F52791"/>
    <w:rsid w:val="00F54043"/>
    <w:rsid w:val="00F54E07"/>
    <w:rsid w:val="00F56F04"/>
    <w:rsid w:val="00F577C0"/>
    <w:rsid w:val="00F612E6"/>
    <w:rsid w:val="00F613BC"/>
    <w:rsid w:val="00F64C25"/>
    <w:rsid w:val="00F651BA"/>
    <w:rsid w:val="00F6525F"/>
    <w:rsid w:val="00F65D79"/>
    <w:rsid w:val="00F66421"/>
    <w:rsid w:val="00F6669A"/>
    <w:rsid w:val="00F67366"/>
    <w:rsid w:val="00F67D49"/>
    <w:rsid w:val="00F70316"/>
    <w:rsid w:val="00F70383"/>
    <w:rsid w:val="00F70E3F"/>
    <w:rsid w:val="00F71B14"/>
    <w:rsid w:val="00F731E5"/>
    <w:rsid w:val="00F7330B"/>
    <w:rsid w:val="00F73509"/>
    <w:rsid w:val="00F752AE"/>
    <w:rsid w:val="00F763B1"/>
    <w:rsid w:val="00F76AE3"/>
    <w:rsid w:val="00F81319"/>
    <w:rsid w:val="00F8194F"/>
    <w:rsid w:val="00F819C2"/>
    <w:rsid w:val="00F83C50"/>
    <w:rsid w:val="00F8574E"/>
    <w:rsid w:val="00F90069"/>
    <w:rsid w:val="00F908DC"/>
    <w:rsid w:val="00F928CB"/>
    <w:rsid w:val="00F94F1D"/>
    <w:rsid w:val="00F967F6"/>
    <w:rsid w:val="00FA2C3A"/>
    <w:rsid w:val="00FA4A20"/>
    <w:rsid w:val="00FA4DDD"/>
    <w:rsid w:val="00FA6311"/>
    <w:rsid w:val="00FB01B5"/>
    <w:rsid w:val="00FB0DA0"/>
    <w:rsid w:val="00FB2854"/>
    <w:rsid w:val="00FB2D8A"/>
    <w:rsid w:val="00FB3F04"/>
    <w:rsid w:val="00FB3FF4"/>
    <w:rsid w:val="00FB4BBC"/>
    <w:rsid w:val="00FC1F1B"/>
    <w:rsid w:val="00FC207C"/>
    <w:rsid w:val="00FC394A"/>
    <w:rsid w:val="00FC3A86"/>
    <w:rsid w:val="00FC438B"/>
    <w:rsid w:val="00FC4760"/>
    <w:rsid w:val="00FC739F"/>
    <w:rsid w:val="00FD2301"/>
    <w:rsid w:val="00FD2D9B"/>
    <w:rsid w:val="00FD3EA7"/>
    <w:rsid w:val="00FD44F9"/>
    <w:rsid w:val="00FD4696"/>
    <w:rsid w:val="00FD52DD"/>
    <w:rsid w:val="00FD63D3"/>
    <w:rsid w:val="00FE0974"/>
    <w:rsid w:val="00FE2780"/>
    <w:rsid w:val="00FE2A0E"/>
    <w:rsid w:val="00FE2FAF"/>
    <w:rsid w:val="00FE504D"/>
    <w:rsid w:val="00FE676D"/>
    <w:rsid w:val="00FE68EA"/>
    <w:rsid w:val="00FE71F2"/>
    <w:rsid w:val="00FE7293"/>
    <w:rsid w:val="00FE76FD"/>
    <w:rsid w:val="00FF0C6B"/>
    <w:rsid w:val="00FF0E71"/>
    <w:rsid w:val="00FF36D3"/>
    <w:rsid w:val="00FF3D8E"/>
    <w:rsid w:val="00FF4F18"/>
    <w:rsid w:val="00FF5FCF"/>
    <w:rsid w:val="00FF6953"/>
    <w:rsid w:val="00FF763A"/>
    <w:rsid w:val="01100BB3"/>
    <w:rsid w:val="015C2B0C"/>
    <w:rsid w:val="042943E8"/>
    <w:rsid w:val="04F550AA"/>
    <w:rsid w:val="06CD1FFD"/>
    <w:rsid w:val="0B0E58C7"/>
    <w:rsid w:val="0CD300CD"/>
    <w:rsid w:val="0E0D682F"/>
    <w:rsid w:val="0EA73731"/>
    <w:rsid w:val="0FEA3A6E"/>
    <w:rsid w:val="12C42B13"/>
    <w:rsid w:val="13151EFB"/>
    <w:rsid w:val="142573E4"/>
    <w:rsid w:val="1531378D"/>
    <w:rsid w:val="15756FB2"/>
    <w:rsid w:val="15B85BC6"/>
    <w:rsid w:val="169F5708"/>
    <w:rsid w:val="177B641D"/>
    <w:rsid w:val="18070DF2"/>
    <w:rsid w:val="1B102545"/>
    <w:rsid w:val="1C1F1089"/>
    <w:rsid w:val="1C2E6A25"/>
    <w:rsid w:val="1CF3514C"/>
    <w:rsid w:val="1D294596"/>
    <w:rsid w:val="1ECF36EA"/>
    <w:rsid w:val="1F691511"/>
    <w:rsid w:val="23695209"/>
    <w:rsid w:val="27663475"/>
    <w:rsid w:val="28BA7636"/>
    <w:rsid w:val="2A600896"/>
    <w:rsid w:val="2AF5733A"/>
    <w:rsid w:val="2BFC4F9F"/>
    <w:rsid w:val="2C2F2E5B"/>
    <w:rsid w:val="2DC2617B"/>
    <w:rsid w:val="31201802"/>
    <w:rsid w:val="316E462C"/>
    <w:rsid w:val="338C6B13"/>
    <w:rsid w:val="33D71E67"/>
    <w:rsid w:val="344F1ED9"/>
    <w:rsid w:val="34C76929"/>
    <w:rsid w:val="36A50202"/>
    <w:rsid w:val="383D6FD9"/>
    <w:rsid w:val="39221B61"/>
    <w:rsid w:val="3CAC748F"/>
    <w:rsid w:val="3CC119FB"/>
    <w:rsid w:val="3E507CEC"/>
    <w:rsid w:val="3EC84D62"/>
    <w:rsid w:val="3F23736C"/>
    <w:rsid w:val="3FAF14E4"/>
    <w:rsid w:val="40FD798F"/>
    <w:rsid w:val="427F57B3"/>
    <w:rsid w:val="433C6A2A"/>
    <w:rsid w:val="43AD2CD4"/>
    <w:rsid w:val="459C7DF3"/>
    <w:rsid w:val="47BB0620"/>
    <w:rsid w:val="48F13175"/>
    <w:rsid w:val="49420F43"/>
    <w:rsid w:val="49B53354"/>
    <w:rsid w:val="49C13CCF"/>
    <w:rsid w:val="4A8061AA"/>
    <w:rsid w:val="4B2332A6"/>
    <w:rsid w:val="4C7153F5"/>
    <w:rsid w:val="4C81727E"/>
    <w:rsid w:val="4CAE4C04"/>
    <w:rsid w:val="4D026B14"/>
    <w:rsid w:val="4F072649"/>
    <w:rsid w:val="509E7570"/>
    <w:rsid w:val="50F6149C"/>
    <w:rsid w:val="513A505D"/>
    <w:rsid w:val="54006D8E"/>
    <w:rsid w:val="54582B8A"/>
    <w:rsid w:val="55205971"/>
    <w:rsid w:val="55C425AB"/>
    <w:rsid w:val="564020A1"/>
    <w:rsid w:val="569B6A29"/>
    <w:rsid w:val="578C2807"/>
    <w:rsid w:val="5A517CF1"/>
    <w:rsid w:val="5B533D47"/>
    <w:rsid w:val="5EC93A7D"/>
    <w:rsid w:val="608E48DD"/>
    <w:rsid w:val="62354DE3"/>
    <w:rsid w:val="638A7BED"/>
    <w:rsid w:val="63A131C2"/>
    <w:rsid w:val="645F1604"/>
    <w:rsid w:val="64E53BA5"/>
    <w:rsid w:val="65C01878"/>
    <w:rsid w:val="67165838"/>
    <w:rsid w:val="67C116AC"/>
    <w:rsid w:val="6961142C"/>
    <w:rsid w:val="69C24894"/>
    <w:rsid w:val="6A3E6297"/>
    <w:rsid w:val="6BB125FC"/>
    <w:rsid w:val="6BCE2FA7"/>
    <w:rsid w:val="6F0D4732"/>
    <w:rsid w:val="70230C37"/>
    <w:rsid w:val="70660A86"/>
    <w:rsid w:val="709E6CED"/>
    <w:rsid w:val="72590D94"/>
    <w:rsid w:val="72B2267B"/>
    <w:rsid w:val="72B8483A"/>
    <w:rsid w:val="72F80E1A"/>
    <w:rsid w:val="73267C07"/>
    <w:rsid w:val="76DB624E"/>
    <w:rsid w:val="77CB64F6"/>
    <w:rsid w:val="78332F27"/>
    <w:rsid w:val="790B4F95"/>
    <w:rsid w:val="7AF7379A"/>
    <w:rsid w:val="7C6575D1"/>
    <w:rsid w:val="7CD32A90"/>
    <w:rsid w:val="7F726BB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1"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1" w:semiHidden="0" w:name="annotation reference"/>
    <w:lsdException w:qFormat="1" w:unhideWhenUsed="0" w:uiPriority="0" w:semiHidden="0" w:name="line number"/>
    <w:lsdException w:qFormat="1" w:unhideWhenUsed="0" w:uiPriority="0" w:semiHidden="0" w:name="page number"/>
    <w:lsdException w:qFormat="1" w:uiPriority="1" w:semiHidden="0" w:name="endnote reference"/>
    <w:lsdException w:qFormat="1" w:uiPriority="99" w:semiHidden="0" w:name="endnote text"/>
    <w:lsdException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1"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1"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78"/>
    <w:qFormat/>
    <w:uiPriority w:val="9"/>
    <w:pPr>
      <w:keepNext/>
      <w:jc w:val="center"/>
      <w:outlineLvl w:val="0"/>
    </w:pPr>
    <w:rPr>
      <w:rFonts w:ascii="楷体_GB2312" w:eastAsia="楷体_GB2312"/>
      <w:b/>
      <w:bCs/>
    </w:rPr>
  </w:style>
  <w:style w:type="paragraph" w:styleId="6">
    <w:name w:val="heading 2"/>
    <w:basedOn w:val="1"/>
    <w:next w:val="1"/>
    <w:link w:val="79"/>
    <w:qFormat/>
    <w:uiPriority w:val="9"/>
    <w:pPr>
      <w:keepNext/>
      <w:keepLines/>
      <w:spacing w:before="260" w:after="260" w:line="416" w:lineRule="auto"/>
      <w:outlineLvl w:val="1"/>
    </w:pPr>
    <w:rPr>
      <w:rFonts w:ascii="Cambria" w:hAnsi="Cambria"/>
      <w:b/>
      <w:bCs/>
      <w:sz w:val="32"/>
      <w:szCs w:val="32"/>
    </w:rPr>
  </w:style>
  <w:style w:type="paragraph" w:styleId="7">
    <w:name w:val="heading 3"/>
    <w:basedOn w:val="1"/>
    <w:next w:val="1"/>
    <w:link w:val="80"/>
    <w:qFormat/>
    <w:uiPriority w:val="9"/>
    <w:pPr>
      <w:keepNext/>
      <w:keepLines/>
      <w:spacing w:before="260" w:after="260" w:line="416" w:lineRule="auto"/>
      <w:outlineLvl w:val="2"/>
    </w:pPr>
    <w:rPr>
      <w:b/>
      <w:bCs/>
      <w:sz w:val="32"/>
      <w:szCs w:val="32"/>
    </w:rPr>
  </w:style>
  <w:style w:type="paragraph" w:styleId="8">
    <w:name w:val="heading 4"/>
    <w:basedOn w:val="1"/>
    <w:next w:val="1"/>
    <w:link w:val="81"/>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82"/>
    <w:qFormat/>
    <w:uiPriority w:val="9"/>
    <w:pPr>
      <w:keepNext/>
      <w:keepLines/>
      <w:spacing w:before="280" w:after="290" w:line="376" w:lineRule="auto"/>
      <w:outlineLvl w:val="4"/>
    </w:pPr>
    <w:rPr>
      <w:b/>
      <w:bCs/>
      <w:sz w:val="28"/>
      <w:szCs w:val="28"/>
    </w:rPr>
  </w:style>
  <w:style w:type="paragraph" w:styleId="10">
    <w:name w:val="heading 6"/>
    <w:basedOn w:val="1"/>
    <w:next w:val="1"/>
    <w:link w:val="83"/>
    <w:qFormat/>
    <w:uiPriority w:val="9"/>
    <w:pPr>
      <w:keepNext/>
      <w:keepLines/>
      <w:spacing w:before="240" w:after="64" w:line="320" w:lineRule="auto"/>
      <w:outlineLvl w:val="5"/>
    </w:pPr>
    <w:rPr>
      <w:rFonts w:ascii="Cambria" w:hAnsi="Cambria"/>
      <w:b/>
      <w:bCs/>
      <w:sz w:val="24"/>
    </w:rPr>
  </w:style>
  <w:style w:type="paragraph" w:styleId="11">
    <w:name w:val="heading 7"/>
    <w:basedOn w:val="1"/>
    <w:next w:val="1"/>
    <w:link w:val="84"/>
    <w:qFormat/>
    <w:uiPriority w:val="9"/>
    <w:pPr>
      <w:keepNext/>
      <w:keepLines/>
      <w:adjustRightInd w:val="0"/>
      <w:spacing w:before="240" w:after="64" w:line="320" w:lineRule="atLeast"/>
      <w:textAlignment w:val="baseline"/>
      <w:outlineLvl w:val="6"/>
    </w:pPr>
    <w:rPr>
      <w:rFonts w:eastAsia="等线"/>
      <w:b/>
      <w:sz w:val="24"/>
    </w:rPr>
  </w:style>
  <w:style w:type="paragraph" w:styleId="12">
    <w:name w:val="heading 8"/>
    <w:basedOn w:val="1"/>
    <w:next w:val="1"/>
    <w:link w:val="85"/>
    <w:qFormat/>
    <w:uiPriority w:val="9"/>
    <w:pPr>
      <w:keepNext/>
      <w:keepLines/>
      <w:adjustRightInd w:val="0"/>
      <w:spacing w:before="240" w:after="64" w:line="320" w:lineRule="atLeast"/>
      <w:textAlignment w:val="baseline"/>
      <w:outlineLvl w:val="7"/>
    </w:pPr>
    <w:rPr>
      <w:rFonts w:ascii="Arial" w:hAnsi="Arial" w:eastAsia="黑体"/>
      <w:sz w:val="24"/>
    </w:rPr>
  </w:style>
  <w:style w:type="paragraph" w:styleId="13">
    <w:name w:val="heading 9"/>
    <w:basedOn w:val="1"/>
    <w:next w:val="1"/>
    <w:link w:val="86"/>
    <w:qFormat/>
    <w:uiPriority w:val="9"/>
    <w:pPr>
      <w:keepNext/>
      <w:keepLines/>
      <w:adjustRightInd w:val="0"/>
      <w:spacing w:before="240" w:after="64" w:line="320" w:lineRule="atLeast"/>
      <w:textAlignment w:val="baseline"/>
      <w:outlineLvl w:val="8"/>
    </w:pPr>
    <w:rPr>
      <w:rFonts w:ascii="Arial" w:hAnsi="Arial" w:eastAsia="黑体"/>
      <w:sz w:val="24"/>
    </w:rPr>
  </w:style>
  <w:style w:type="character" w:default="1" w:styleId="65">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Indent"/>
    <w:basedOn w:val="1"/>
    <w:next w:val="3"/>
    <w:link w:val="93"/>
    <w:qFormat/>
    <w:uiPriority w:val="0"/>
    <w:pPr>
      <w:ind w:left="480" w:hanging="480" w:hangingChars="200"/>
    </w:pPr>
    <w:rPr>
      <w:sz w:val="24"/>
    </w:rPr>
  </w:style>
  <w:style w:type="paragraph" w:styleId="3">
    <w:name w:val="Body Text First Indent 2"/>
    <w:basedOn w:val="2"/>
    <w:link w:val="111"/>
    <w:unhideWhenUsed/>
    <w:qFormat/>
    <w:uiPriority w:val="0"/>
    <w:pPr>
      <w:spacing w:after="120"/>
      <w:ind w:left="420" w:leftChars="200" w:firstLine="420" w:firstLineChars="200"/>
    </w:pPr>
    <w:rPr>
      <w:kern w:val="0"/>
      <w:sz w:val="21"/>
      <w:szCs w:val="20"/>
    </w:rPr>
  </w:style>
  <w:style w:type="paragraph" w:styleId="4">
    <w:name w:val="macro"/>
    <w:link w:val="7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Wingdings" w:hAnsi="Wingdings" w:eastAsia="Times New Roman" w:cs="Times New Roman"/>
      <w:kern w:val="2"/>
      <w:sz w:val="24"/>
      <w:szCs w:val="24"/>
      <w:lang w:val="en-US" w:eastAsia="zh-CN" w:bidi="ar-SA"/>
    </w:rPr>
  </w:style>
  <w:style w:type="paragraph" w:styleId="14">
    <w:name w:val="toc 7"/>
    <w:basedOn w:val="1"/>
    <w:next w:val="1"/>
    <w:qFormat/>
    <w:uiPriority w:val="39"/>
    <w:pPr>
      <w:autoSpaceDE w:val="0"/>
      <w:autoSpaceDN w:val="0"/>
      <w:adjustRightInd w:val="0"/>
      <w:ind w:left="2520" w:leftChars="1200"/>
      <w:jc w:val="left"/>
    </w:pPr>
    <w:rPr>
      <w:rFonts w:ascii="等线" w:hAnsi="等线" w:eastAsia="等线" w:cs="等线"/>
      <w:kern w:val="0"/>
      <w:sz w:val="20"/>
      <w:szCs w:val="20"/>
    </w:rPr>
  </w:style>
  <w:style w:type="paragraph" w:styleId="15">
    <w:name w:val="Note Heading"/>
    <w:basedOn w:val="1"/>
    <w:next w:val="1"/>
    <w:link w:val="87"/>
    <w:qFormat/>
    <w:uiPriority w:val="0"/>
    <w:pPr>
      <w:spacing w:line="360" w:lineRule="auto"/>
      <w:ind w:firstLine="200" w:firstLineChars="200"/>
      <w:jc w:val="center"/>
    </w:pPr>
    <w:rPr>
      <w:rFonts w:ascii="DFKai-SB" w:hAnsi="DFKai-SB" w:eastAsia="DFKai-SB"/>
      <w:sz w:val="20"/>
      <w:szCs w:val="20"/>
      <w:lang w:eastAsia="zh-TW"/>
    </w:rPr>
  </w:style>
  <w:style w:type="paragraph" w:styleId="16">
    <w:name w:val="List Number"/>
    <w:basedOn w:val="1"/>
    <w:qFormat/>
    <w:uiPriority w:val="0"/>
    <w:pPr>
      <w:tabs>
        <w:tab w:val="left" w:pos="360"/>
      </w:tabs>
      <w:ind w:left="360" w:hanging="360" w:hangingChars="200"/>
    </w:pPr>
    <w:rPr>
      <w:rFonts w:ascii="等线" w:hAnsi="等线" w:eastAsia="等线" w:cs="等线"/>
    </w:rPr>
  </w:style>
  <w:style w:type="paragraph" w:styleId="17">
    <w:name w:val="Normal Indent"/>
    <w:basedOn w:val="1"/>
    <w:link w:val="88"/>
    <w:qFormat/>
    <w:uiPriority w:val="0"/>
    <w:pPr>
      <w:adjustRightInd w:val="0"/>
      <w:spacing w:line="312" w:lineRule="atLeast"/>
      <w:ind w:firstLine="420"/>
      <w:textAlignment w:val="baseline"/>
    </w:pPr>
    <w:rPr>
      <w:kern w:val="0"/>
      <w:szCs w:val="20"/>
    </w:rPr>
  </w:style>
  <w:style w:type="paragraph" w:styleId="18">
    <w:name w:val="caption"/>
    <w:basedOn w:val="1"/>
    <w:next w:val="1"/>
    <w:qFormat/>
    <w:uiPriority w:val="0"/>
    <w:rPr>
      <w:rFonts w:ascii="Cambria" w:hAnsi="Cambria" w:eastAsia="黑体"/>
      <w:sz w:val="20"/>
      <w:szCs w:val="20"/>
    </w:rPr>
  </w:style>
  <w:style w:type="paragraph" w:styleId="19">
    <w:name w:val="List Bullet"/>
    <w:basedOn w:val="1"/>
    <w:qFormat/>
    <w:uiPriority w:val="0"/>
    <w:pPr>
      <w:tabs>
        <w:tab w:val="left" w:pos="360"/>
      </w:tabs>
      <w:ind w:left="360" w:hanging="360"/>
    </w:pPr>
    <w:rPr>
      <w:rFonts w:ascii="Century Gothic" w:hAnsi="Century Gothic" w:eastAsia="等线" w:cs="等线"/>
      <w:szCs w:val="22"/>
    </w:rPr>
  </w:style>
  <w:style w:type="paragraph" w:styleId="20">
    <w:name w:val="Document Map"/>
    <w:basedOn w:val="1"/>
    <w:link w:val="89"/>
    <w:qFormat/>
    <w:uiPriority w:val="0"/>
    <w:pPr>
      <w:shd w:val="clear" w:color="auto" w:fill="000080"/>
    </w:pPr>
  </w:style>
  <w:style w:type="paragraph" w:styleId="21">
    <w:name w:val="toa heading"/>
    <w:basedOn w:val="1"/>
    <w:next w:val="1"/>
    <w:qFormat/>
    <w:uiPriority w:val="0"/>
    <w:pPr>
      <w:spacing w:before="120" w:line="560" w:lineRule="exact"/>
      <w:ind w:firstLine="200" w:firstLineChars="200"/>
    </w:pPr>
    <w:rPr>
      <w:rFonts w:ascii="Arial" w:hAnsi="Arial" w:cs="Arial"/>
      <w:sz w:val="24"/>
    </w:rPr>
  </w:style>
  <w:style w:type="paragraph" w:styleId="22">
    <w:name w:val="annotation text"/>
    <w:basedOn w:val="1"/>
    <w:link w:val="90"/>
    <w:qFormat/>
    <w:uiPriority w:val="1"/>
    <w:pPr>
      <w:jc w:val="left"/>
    </w:pPr>
  </w:style>
  <w:style w:type="paragraph" w:styleId="23">
    <w:name w:val="Salutation"/>
    <w:basedOn w:val="1"/>
    <w:next w:val="1"/>
    <w:link w:val="91"/>
    <w:qFormat/>
    <w:uiPriority w:val="0"/>
    <w:pPr>
      <w:tabs>
        <w:tab w:val="left" w:pos="840"/>
      </w:tabs>
      <w:autoSpaceDE w:val="0"/>
      <w:autoSpaceDN w:val="0"/>
      <w:adjustRightInd w:val="0"/>
      <w:jc w:val="left"/>
    </w:pPr>
    <w:rPr>
      <w:rFonts w:ascii="等线" w:hAnsi="等线" w:eastAsia="等线"/>
      <w:kern w:val="0"/>
      <w:sz w:val="24"/>
      <w:szCs w:val="20"/>
    </w:rPr>
  </w:style>
  <w:style w:type="paragraph" w:styleId="24">
    <w:name w:val="Body Text 3"/>
    <w:basedOn w:val="1"/>
    <w:link w:val="92"/>
    <w:qFormat/>
    <w:uiPriority w:val="0"/>
    <w:pPr>
      <w:autoSpaceDE w:val="0"/>
      <w:autoSpaceDN w:val="0"/>
      <w:adjustRightInd w:val="0"/>
      <w:jc w:val="center"/>
    </w:pPr>
    <w:rPr>
      <w:rFonts w:ascii="等线" w:hAnsi="等线" w:eastAsia="等线"/>
      <w:kern w:val="0"/>
      <w:sz w:val="20"/>
      <w:szCs w:val="20"/>
    </w:rPr>
  </w:style>
  <w:style w:type="paragraph" w:styleId="25">
    <w:name w:val="List Bullet 3"/>
    <w:basedOn w:val="1"/>
    <w:qFormat/>
    <w:uiPriority w:val="0"/>
    <w:pPr>
      <w:tabs>
        <w:tab w:val="left" w:pos="1321"/>
        <w:tab w:val="left" w:pos="2281"/>
      </w:tabs>
      <w:adjustRightInd w:val="0"/>
      <w:spacing w:line="360" w:lineRule="atLeast"/>
      <w:ind w:left="1321" w:leftChars="600" w:hanging="200" w:hangingChars="200"/>
      <w:jc w:val="left"/>
      <w:textAlignment w:val="baseline"/>
    </w:pPr>
    <w:rPr>
      <w:rFonts w:ascii="等线" w:hAnsi="等线" w:eastAsia="PMingLiU" w:cs="等线"/>
      <w:kern w:val="0"/>
      <w:sz w:val="24"/>
      <w:szCs w:val="20"/>
      <w:lang w:eastAsia="zh-TW"/>
    </w:rPr>
  </w:style>
  <w:style w:type="paragraph" w:styleId="26">
    <w:name w:val="Body Text"/>
    <w:basedOn w:val="1"/>
    <w:next w:val="27"/>
    <w:link w:val="75"/>
    <w:qFormat/>
    <w:uiPriority w:val="99"/>
    <w:pPr>
      <w:spacing w:after="120"/>
    </w:pPr>
  </w:style>
  <w:style w:type="paragraph" w:styleId="27">
    <w:name w:val="Body Text First Indent"/>
    <w:basedOn w:val="26"/>
    <w:next w:val="28"/>
    <w:link w:val="76"/>
    <w:qFormat/>
    <w:uiPriority w:val="0"/>
    <w:pPr>
      <w:ind w:firstLine="420" w:firstLineChars="100"/>
    </w:pPr>
  </w:style>
  <w:style w:type="paragraph" w:styleId="28">
    <w:name w:val="toc 6"/>
    <w:basedOn w:val="1"/>
    <w:next w:val="1"/>
    <w:qFormat/>
    <w:uiPriority w:val="39"/>
    <w:pPr>
      <w:autoSpaceDE w:val="0"/>
      <w:autoSpaceDN w:val="0"/>
      <w:adjustRightInd w:val="0"/>
      <w:ind w:left="2100" w:leftChars="1000"/>
      <w:jc w:val="left"/>
    </w:pPr>
    <w:rPr>
      <w:rFonts w:ascii="等线" w:hAnsi="等线" w:eastAsia="等线" w:cs="等线"/>
      <w:kern w:val="0"/>
      <w:sz w:val="20"/>
      <w:szCs w:val="20"/>
    </w:rPr>
  </w:style>
  <w:style w:type="paragraph" w:styleId="29">
    <w:name w:val="List Number 3"/>
    <w:basedOn w:val="1"/>
    <w:qFormat/>
    <w:uiPriority w:val="0"/>
    <w:pPr>
      <w:tabs>
        <w:tab w:val="left" w:pos="1200"/>
      </w:tabs>
      <w:ind w:left="1200" w:leftChars="400" w:hanging="360" w:hangingChars="200"/>
    </w:pPr>
    <w:rPr>
      <w:rFonts w:ascii="等线" w:hAnsi="等线" w:eastAsia="等线" w:cs="等线"/>
    </w:rPr>
  </w:style>
  <w:style w:type="paragraph" w:styleId="30">
    <w:name w:val="List 2"/>
    <w:basedOn w:val="1"/>
    <w:qFormat/>
    <w:uiPriority w:val="0"/>
    <w:pPr>
      <w:autoSpaceDE w:val="0"/>
      <w:autoSpaceDN w:val="0"/>
      <w:adjustRightInd w:val="0"/>
      <w:ind w:left="100" w:hanging="200"/>
      <w:textAlignment w:val="baseline"/>
    </w:pPr>
    <w:rPr>
      <w:rFonts w:ascii="等线" w:hAnsi="等线" w:eastAsia="等线" w:cs="等线"/>
      <w:kern w:val="0"/>
      <w:sz w:val="28"/>
      <w:szCs w:val="20"/>
    </w:rPr>
  </w:style>
  <w:style w:type="paragraph" w:styleId="31">
    <w:name w:val="Block Text"/>
    <w:basedOn w:val="1"/>
    <w:qFormat/>
    <w:uiPriority w:val="0"/>
    <w:pPr>
      <w:adjustRightInd w:val="0"/>
      <w:spacing w:line="360" w:lineRule="atLeast"/>
      <w:ind w:left="1260" w:leftChars="525" w:right="22" w:rightChars="9" w:firstLine="200" w:firstLineChars="200"/>
      <w:jc w:val="left"/>
      <w:textAlignment w:val="baseline"/>
    </w:pPr>
    <w:rPr>
      <w:rFonts w:ascii="DFKai-SB" w:hAnsi="DFKai-SB" w:eastAsia="DFKai-SB" w:cs="等线"/>
      <w:kern w:val="0"/>
      <w:sz w:val="28"/>
      <w:szCs w:val="20"/>
      <w:lang w:eastAsia="zh-TW"/>
    </w:rPr>
  </w:style>
  <w:style w:type="paragraph" w:styleId="32">
    <w:name w:val="List Bullet 2"/>
    <w:basedOn w:val="1"/>
    <w:qFormat/>
    <w:uiPriority w:val="0"/>
    <w:pPr>
      <w:tabs>
        <w:tab w:val="left" w:pos="780"/>
      </w:tabs>
      <w:spacing w:line="360" w:lineRule="auto"/>
      <w:ind w:left="780" w:leftChars="200" w:hanging="360" w:hangingChars="200"/>
    </w:pPr>
    <w:rPr>
      <w:rFonts w:ascii="等线" w:hAnsi="等线" w:eastAsia="等线" w:cs="等线"/>
    </w:rPr>
  </w:style>
  <w:style w:type="paragraph" w:styleId="33">
    <w:name w:val="toc 5"/>
    <w:basedOn w:val="1"/>
    <w:next w:val="1"/>
    <w:qFormat/>
    <w:uiPriority w:val="39"/>
    <w:pPr>
      <w:autoSpaceDE w:val="0"/>
      <w:autoSpaceDN w:val="0"/>
      <w:adjustRightInd w:val="0"/>
      <w:ind w:left="1680" w:leftChars="800"/>
      <w:jc w:val="left"/>
    </w:pPr>
    <w:rPr>
      <w:rFonts w:ascii="等线" w:hAnsi="等线" w:eastAsia="等线" w:cs="等线"/>
      <w:kern w:val="0"/>
      <w:sz w:val="20"/>
      <w:szCs w:val="20"/>
    </w:rPr>
  </w:style>
  <w:style w:type="paragraph" w:styleId="34">
    <w:name w:val="toc 3"/>
    <w:basedOn w:val="1"/>
    <w:next w:val="1"/>
    <w:qFormat/>
    <w:uiPriority w:val="39"/>
    <w:pPr>
      <w:ind w:left="840" w:leftChars="400"/>
    </w:pPr>
  </w:style>
  <w:style w:type="paragraph" w:styleId="35">
    <w:name w:val="Plain Text"/>
    <w:basedOn w:val="1"/>
    <w:link w:val="94"/>
    <w:qFormat/>
    <w:uiPriority w:val="99"/>
    <w:pPr>
      <w:widowControl/>
      <w:overflowPunct w:val="0"/>
      <w:autoSpaceDE w:val="0"/>
      <w:autoSpaceDN w:val="0"/>
      <w:adjustRightInd w:val="0"/>
      <w:jc w:val="left"/>
      <w:textAlignment w:val="baseline"/>
    </w:pPr>
    <w:rPr>
      <w:rFonts w:ascii="宋体" w:hAnsi="Courier New"/>
      <w:kern w:val="0"/>
      <w:szCs w:val="21"/>
    </w:rPr>
  </w:style>
  <w:style w:type="paragraph" w:styleId="36">
    <w:name w:val="List Number 4"/>
    <w:basedOn w:val="1"/>
    <w:qFormat/>
    <w:uiPriority w:val="0"/>
    <w:pPr>
      <w:tabs>
        <w:tab w:val="left" w:pos="840"/>
      </w:tabs>
      <w:autoSpaceDE w:val="0"/>
      <w:autoSpaceDN w:val="0"/>
      <w:adjustRightInd w:val="0"/>
      <w:spacing w:line="360" w:lineRule="atLeast"/>
      <w:ind w:left="840" w:hanging="420"/>
      <w:jc w:val="left"/>
    </w:pPr>
    <w:rPr>
      <w:rFonts w:ascii="等线" w:hAnsi="等线" w:eastAsia="等线" w:cs="等线"/>
      <w:kern w:val="0"/>
      <w:sz w:val="24"/>
      <w:szCs w:val="20"/>
    </w:rPr>
  </w:style>
  <w:style w:type="paragraph" w:styleId="37">
    <w:name w:val="toc 8"/>
    <w:basedOn w:val="1"/>
    <w:next w:val="1"/>
    <w:qFormat/>
    <w:uiPriority w:val="39"/>
    <w:pPr>
      <w:autoSpaceDE w:val="0"/>
      <w:autoSpaceDN w:val="0"/>
      <w:adjustRightInd w:val="0"/>
      <w:ind w:left="2940" w:leftChars="1400"/>
      <w:jc w:val="left"/>
    </w:pPr>
    <w:rPr>
      <w:rFonts w:ascii="等线" w:hAnsi="等线" w:eastAsia="等线" w:cs="等线"/>
      <w:kern w:val="0"/>
      <w:sz w:val="20"/>
      <w:szCs w:val="20"/>
    </w:rPr>
  </w:style>
  <w:style w:type="paragraph" w:styleId="38">
    <w:name w:val="Date"/>
    <w:basedOn w:val="1"/>
    <w:next w:val="1"/>
    <w:link w:val="95"/>
    <w:qFormat/>
    <w:uiPriority w:val="0"/>
    <w:pPr>
      <w:ind w:left="100" w:leftChars="2500"/>
    </w:pPr>
  </w:style>
  <w:style w:type="paragraph" w:styleId="39">
    <w:name w:val="Body Text Indent 2"/>
    <w:basedOn w:val="1"/>
    <w:link w:val="96"/>
    <w:qFormat/>
    <w:uiPriority w:val="0"/>
    <w:pPr>
      <w:spacing w:line="500" w:lineRule="exact"/>
      <w:ind w:firstLine="511" w:firstLineChars="213"/>
    </w:pPr>
    <w:rPr>
      <w:sz w:val="24"/>
    </w:rPr>
  </w:style>
  <w:style w:type="paragraph" w:styleId="40">
    <w:name w:val="endnote text"/>
    <w:basedOn w:val="1"/>
    <w:link w:val="97"/>
    <w:unhideWhenUsed/>
    <w:qFormat/>
    <w:uiPriority w:val="99"/>
    <w:pPr>
      <w:snapToGrid w:val="0"/>
      <w:spacing w:line="360" w:lineRule="auto"/>
      <w:ind w:firstLine="200" w:firstLineChars="200"/>
      <w:jc w:val="left"/>
    </w:pPr>
  </w:style>
  <w:style w:type="paragraph" w:styleId="41">
    <w:name w:val="Balloon Text"/>
    <w:basedOn w:val="1"/>
    <w:link w:val="98"/>
    <w:qFormat/>
    <w:uiPriority w:val="0"/>
    <w:rPr>
      <w:sz w:val="18"/>
      <w:szCs w:val="18"/>
    </w:rPr>
  </w:style>
  <w:style w:type="paragraph" w:styleId="42">
    <w:name w:val="footer"/>
    <w:basedOn w:val="1"/>
    <w:link w:val="99"/>
    <w:qFormat/>
    <w:uiPriority w:val="99"/>
    <w:pPr>
      <w:tabs>
        <w:tab w:val="center" w:pos="4153"/>
        <w:tab w:val="right" w:pos="8306"/>
      </w:tabs>
      <w:snapToGrid w:val="0"/>
      <w:jc w:val="left"/>
    </w:pPr>
    <w:rPr>
      <w:sz w:val="18"/>
      <w:szCs w:val="18"/>
    </w:rPr>
  </w:style>
  <w:style w:type="paragraph" w:styleId="43">
    <w:name w:val="envelope return"/>
    <w:basedOn w:val="1"/>
    <w:qFormat/>
    <w:uiPriority w:val="0"/>
    <w:pPr>
      <w:snapToGrid w:val="0"/>
      <w:spacing w:line="360" w:lineRule="auto"/>
      <w:ind w:firstLine="200" w:firstLineChars="200"/>
    </w:pPr>
    <w:rPr>
      <w:rFonts w:ascii="Arial" w:hAnsi="Arial" w:eastAsia="等线" w:cs="等线"/>
      <w:spacing w:val="-10"/>
      <w:szCs w:val="20"/>
    </w:rPr>
  </w:style>
  <w:style w:type="paragraph" w:styleId="44">
    <w:name w:val="header"/>
    <w:basedOn w:val="1"/>
    <w:link w:val="100"/>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101"/>
    <w:qFormat/>
    <w:uiPriority w:val="0"/>
    <w:pPr>
      <w:autoSpaceDE w:val="0"/>
      <w:autoSpaceDN w:val="0"/>
      <w:adjustRightInd w:val="0"/>
      <w:spacing w:after="600" w:line="312" w:lineRule="atLeast"/>
      <w:jc w:val="center"/>
      <w:textAlignment w:val="baseline"/>
    </w:pPr>
    <w:rPr>
      <w:rFonts w:ascii="等线" w:hAnsi="等线" w:eastAsia="黑体"/>
      <w:kern w:val="0"/>
      <w:sz w:val="24"/>
      <w:szCs w:val="20"/>
    </w:rPr>
  </w:style>
  <w:style w:type="paragraph" w:styleId="46">
    <w:name w:val="toc 1"/>
    <w:basedOn w:val="1"/>
    <w:next w:val="1"/>
    <w:qFormat/>
    <w:uiPriority w:val="39"/>
    <w:pPr>
      <w:tabs>
        <w:tab w:val="right" w:leader="dot" w:pos="9628"/>
      </w:tabs>
      <w:spacing w:line="480" w:lineRule="auto"/>
    </w:pPr>
    <w:rPr>
      <w:rFonts w:ascii="Arial" w:hAnsi="Arial" w:eastAsia="新宋体" w:cs="Arial"/>
      <w:bCs/>
      <w:sz w:val="24"/>
    </w:rPr>
  </w:style>
  <w:style w:type="paragraph" w:styleId="47">
    <w:name w:val="toc 4"/>
    <w:basedOn w:val="1"/>
    <w:next w:val="1"/>
    <w:qFormat/>
    <w:uiPriority w:val="39"/>
    <w:pPr>
      <w:autoSpaceDE w:val="0"/>
      <w:autoSpaceDN w:val="0"/>
      <w:adjustRightInd w:val="0"/>
      <w:ind w:left="1260" w:leftChars="600"/>
      <w:jc w:val="left"/>
    </w:pPr>
    <w:rPr>
      <w:rFonts w:ascii="等线" w:hAnsi="等线" w:eastAsia="等线" w:cs="等线"/>
      <w:kern w:val="0"/>
      <w:sz w:val="20"/>
      <w:szCs w:val="20"/>
    </w:rPr>
  </w:style>
  <w:style w:type="paragraph" w:styleId="48">
    <w:name w:val="Subtitle"/>
    <w:basedOn w:val="1"/>
    <w:next w:val="1"/>
    <w:link w:val="102"/>
    <w:qFormat/>
    <w:uiPriority w:val="0"/>
    <w:pPr>
      <w:spacing w:before="240" w:after="60" w:line="312" w:lineRule="auto"/>
      <w:jc w:val="center"/>
      <w:outlineLvl w:val="1"/>
    </w:pPr>
    <w:rPr>
      <w:rFonts w:ascii="Cambria" w:hAnsi="Cambria"/>
      <w:b/>
      <w:bCs/>
      <w:kern w:val="28"/>
      <w:sz w:val="32"/>
      <w:szCs w:val="32"/>
    </w:rPr>
  </w:style>
  <w:style w:type="paragraph" w:styleId="49">
    <w:name w:val="List Number 5"/>
    <w:basedOn w:val="1"/>
    <w:qFormat/>
    <w:uiPriority w:val="0"/>
    <w:pPr>
      <w:tabs>
        <w:tab w:val="left" w:pos="2040"/>
      </w:tabs>
      <w:autoSpaceDE w:val="0"/>
      <w:autoSpaceDN w:val="0"/>
      <w:adjustRightInd w:val="0"/>
      <w:spacing w:line="400" w:lineRule="exact"/>
      <w:ind w:left="2040" w:hanging="360"/>
      <w:jc w:val="left"/>
    </w:pPr>
    <w:rPr>
      <w:rFonts w:ascii="等线" w:hAnsi="等线" w:eastAsia="等线" w:cs="等线"/>
      <w:kern w:val="0"/>
      <w:sz w:val="24"/>
      <w:szCs w:val="20"/>
    </w:rPr>
  </w:style>
  <w:style w:type="paragraph" w:styleId="50">
    <w:name w:val="footnote text"/>
    <w:basedOn w:val="1"/>
    <w:link w:val="103"/>
    <w:qFormat/>
    <w:uiPriority w:val="0"/>
    <w:pPr>
      <w:snapToGrid w:val="0"/>
      <w:spacing w:line="360" w:lineRule="auto"/>
      <w:ind w:firstLine="200" w:firstLineChars="200"/>
      <w:jc w:val="left"/>
    </w:pPr>
    <w:rPr>
      <w:rFonts w:ascii="等线" w:hAnsi="等线" w:eastAsia="等线"/>
      <w:sz w:val="18"/>
      <w:szCs w:val="18"/>
    </w:rPr>
  </w:style>
  <w:style w:type="paragraph" w:styleId="51">
    <w:name w:val="Body Text Indent 3"/>
    <w:basedOn w:val="1"/>
    <w:link w:val="104"/>
    <w:qFormat/>
    <w:uiPriority w:val="0"/>
    <w:pPr>
      <w:spacing w:line="500" w:lineRule="exact"/>
      <w:ind w:left="511" w:hanging="511" w:hangingChars="213"/>
    </w:pPr>
    <w:rPr>
      <w:sz w:val="24"/>
    </w:rPr>
  </w:style>
  <w:style w:type="paragraph" w:styleId="52">
    <w:name w:val="table of figures"/>
    <w:basedOn w:val="1"/>
    <w:next w:val="1"/>
    <w:qFormat/>
    <w:uiPriority w:val="0"/>
    <w:pPr>
      <w:spacing w:line="360" w:lineRule="auto"/>
      <w:ind w:left="840" w:leftChars="200" w:hanging="420" w:hangingChars="200"/>
    </w:pPr>
    <w:rPr>
      <w:rFonts w:ascii="等线" w:hAnsi="等线" w:eastAsia="等线" w:cs="等线"/>
      <w:szCs w:val="20"/>
    </w:rPr>
  </w:style>
  <w:style w:type="paragraph" w:styleId="53">
    <w:name w:val="toc 2"/>
    <w:basedOn w:val="1"/>
    <w:next w:val="1"/>
    <w:qFormat/>
    <w:uiPriority w:val="39"/>
    <w:pPr>
      <w:ind w:left="420" w:leftChars="200"/>
    </w:pPr>
  </w:style>
  <w:style w:type="paragraph" w:styleId="54">
    <w:name w:val="toc 9"/>
    <w:basedOn w:val="1"/>
    <w:next w:val="1"/>
    <w:qFormat/>
    <w:uiPriority w:val="39"/>
    <w:pPr>
      <w:autoSpaceDE w:val="0"/>
      <w:autoSpaceDN w:val="0"/>
      <w:adjustRightInd w:val="0"/>
      <w:ind w:left="3360" w:leftChars="1600"/>
      <w:jc w:val="left"/>
    </w:pPr>
    <w:rPr>
      <w:rFonts w:ascii="等线" w:hAnsi="等线" w:eastAsia="等线" w:cs="等线"/>
      <w:kern w:val="0"/>
      <w:sz w:val="20"/>
      <w:szCs w:val="20"/>
    </w:rPr>
  </w:style>
  <w:style w:type="paragraph" w:styleId="55">
    <w:name w:val="Body Text 2"/>
    <w:basedOn w:val="1"/>
    <w:link w:val="105"/>
    <w:qFormat/>
    <w:uiPriority w:val="0"/>
    <w:pPr>
      <w:autoSpaceDE w:val="0"/>
      <w:autoSpaceDN w:val="0"/>
      <w:adjustRightInd w:val="0"/>
      <w:spacing w:after="120" w:line="480" w:lineRule="auto"/>
      <w:jc w:val="left"/>
    </w:pPr>
  </w:style>
  <w:style w:type="paragraph" w:styleId="56">
    <w:name w:val="Message Header"/>
    <w:basedOn w:val="1"/>
    <w:link w:val="106"/>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60" w:lineRule="atLeast"/>
      <w:ind w:left="1080" w:leftChars="400" w:hanging="1080" w:hangingChars="400"/>
      <w:jc w:val="left"/>
      <w:textAlignment w:val="baseline"/>
    </w:pPr>
    <w:rPr>
      <w:rFonts w:ascii="Cambria" w:hAnsi="Cambria"/>
      <w:sz w:val="24"/>
    </w:rPr>
  </w:style>
  <w:style w:type="paragraph" w:styleId="57">
    <w:name w:val="HTML Preformatted"/>
    <w:basedOn w:val="1"/>
    <w:link w:val="1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00" w:firstLineChars="200"/>
      <w:jc w:val="left"/>
    </w:pPr>
    <w:rPr>
      <w:rFonts w:ascii="Courier New" w:hAnsi="Courier New"/>
      <w:sz w:val="20"/>
      <w:szCs w:val="20"/>
    </w:rPr>
  </w:style>
  <w:style w:type="paragraph" w:styleId="58">
    <w:name w:val="Normal (Web)"/>
    <w:basedOn w:val="1"/>
    <w:link w:val="108"/>
    <w:qFormat/>
    <w:uiPriority w:val="0"/>
    <w:pPr>
      <w:widowControl/>
      <w:spacing w:before="100" w:beforeAutospacing="1" w:after="100" w:afterAutospacing="1"/>
      <w:jc w:val="left"/>
    </w:pPr>
    <w:rPr>
      <w:rFonts w:ascii="宋体" w:hAnsi="宋体"/>
      <w:kern w:val="0"/>
      <w:sz w:val="24"/>
    </w:rPr>
  </w:style>
  <w:style w:type="paragraph" w:styleId="59">
    <w:name w:val="index 1"/>
    <w:basedOn w:val="1"/>
    <w:next w:val="1"/>
    <w:qFormat/>
    <w:uiPriority w:val="0"/>
    <w:pPr>
      <w:spacing w:line="360" w:lineRule="auto"/>
      <w:ind w:firstLine="200" w:firstLineChars="200"/>
    </w:pPr>
    <w:rPr>
      <w:rFonts w:ascii="等线" w:hAnsi="等线" w:eastAsia="等线" w:cs="等线"/>
      <w:szCs w:val="20"/>
    </w:rPr>
  </w:style>
  <w:style w:type="paragraph" w:styleId="60">
    <w:name w:val="Title"/>
    <w:basedOn w:val="1"/>
    <w:link w:val="109"/>
    <w:qFormat/>
    <w:uiPriority w:val="0"/>
    <w:pPr>
      <w:autoSpaceDE w:val="0"/>
      <w:autoSpaceDN w:val="0"/>
      <w:adjustRightInd w:val="0"/>
      <w:spacing w:before="240" w:after="60"/>
      <w:jc w:val="center"/>
      <w:outlineLvl w:val="0"/>
    </w:pPr>
    <w:rPr>
      <w:rFonts w:ascii="Verdana" w:hAnsi="Verdana" w:eastAsia="仿宋_GB2312"/>
      <w:b/>
      <w:bCs/>
      <w:kern w:val="0"/>
      <w:sz w:val="32"/>
      <w:szCs w:val="32"/>
    </w:rPr>
  </w:style>
  <w:style w:type="paragraph" w:styleId="61">
    <w:name w:val="annotation subject"/>
    <w:basedOn w:val="22"/>
    <w:next w:val="22"/>
    <w:link w:val="110"/>
    <w:qFormat/>
    <w:uiPriority w:val="1"/>
    <w:rPr>
      <w:b/>
      <w:bCs/>
    </w:rPr>
  </w:style>
  <w:style w:type="table" w:styleId="63">
    <w:name w:val="Table Grid"/>
    <w:basedOn w:val="6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Elegant"/>
    <w:basedOn w:val="62"/>
    <w:qFormat/>
    <w:uiPriority w:val="0"/>
    <w:pPr>
      <w:widowControl w:val="0"/>
      <w:jc w:val="both"/>
    </w:pPr>
    <w:rPr>
      <w:rFonts w:hint="eastAsia" w:ascii="等线" w:hAnsi="等线" w:eastAsia="等线" w:cs="等线"/>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66">
    <w:name w:val="Strong"/>
    <w:qFormat/>
    <w:uiPriority w:val="0"/>
    <w:rPr>
      <w:b/>
      <w:bCs/>
    </w:rPr>
  </w:style>
  <w:style w:type="character" w:styleId="67">
    <w:name w:val="endnote reference"/>
    <w:unhideWhenUsed/>
    <w:qFormat/>
    <w:uiPriority w:val="1"/>
    <w:rPr>
      <w:vertAlign w:val="superscript"/>
    </w:rPr>
  </w:style>
  <w:style w:type="character" w:styleId="68">
    <w:name w:val="page number"/>
    <w:qFormat/>
    <w:uiPriority w:val="0"/>
  </w:style>
  <w:style w:type="character" w:styleId="69">
    <w:name w:val="FollowedHyperlink"/>
    <w:qFormat/>
    <w:uiPriority w:val="0"/>
    <w:rPr>
      <w:color w:val="800080"/>
      <w:u w:val="single"/>
    </w:rPr>
  </w:style>
  <w:style w:type="character" w:styleId="70">
    <w:name w:val="Emphasis"/>
    <w:qFormat/>
    <w:uiPriority w:val="1"/>
    <w:rPr>
      <w:i/>
      <w:iCs/>
    </w:rPr>
  </w:style>
  <w:style w:type="character" w:styleId="71">
    <w:name w:val="line number"/>
    <w:qFormat/>
    <w:uiPriority w:val="0"/>
  </w:style>
  <w:style w:type="character" w:styleId="72">
    <w:name w:val="Hyperlink"/>
    <w:qFormat/>
    <w:uiPriority w:val="99"/>
    <w:rPr>
      <w:color w:val="000000"/>
      <w:sz w:val="20"/>
      <w:szCs w:val="20"/>
      <w:u w:val="none"/>
    </w:rPr>
  </w:style>
  <w:style w:type="character" w:styleId="73">
    <w:name w:val="annotation reference"/>
    <w:qFormat/>
    <w:uiPriority w:val="1"/>
    <w:rPr>
      <w:sz w:val="21"/>
      <w:szCs w:val="21"/>
    </w:rPr>
  </w:style>
  <w:style w:type="character" w:styleId="74">
    <w:name w:val="HTML Cite"/>
    <w:qFormat/>
    <w:uiPriority w:val="0"/>
    <w:rPr>
      <w:color w:val="008000"/>
    </w:rPr>
  </w:style>
  <w:style w:type="character" w:customStyle="1" w:styleId="75">
    <w:name w:val="正文文本 Char"/>
    <w:link w:val="26"/>
    <w:qFormat/>
    <w:uiPriority w:val="99"/>
    <w:rPr>
      <w:kern w:val="2"/>
      <w:sz w:val="21"/>
      <w:szCs w:val="24"/>
    </w:rPr>
  </w:style>
  <w:style w:type="character" w:customStyle="1" w:styleId="76">
    <w:name w:val="正文首行缩进 Char"/>
    <w:link w:val="27"/>
    <w:qFormat/>
    <w:uiPriority w:val="0"/>
  </w:style>
  <w:style w:type="character" w:customStyle="1" w:styleId="77">
    <w:name w:val="宏文本 Char1"/>
    <w:link w:val="4"/>
    <w:qFormat/>
    <w:uiPriority w:val="0"/>
    <w:rPr>
      <w:rFonts w:ascii="Wingdings" w:hAnsi="Wingdings" w:eastAsia="Times New Roman"/>
      <w:kern w:val="2"/>
      <w:sz w:val="24"/>
      <w:szCs w:val="24"/>
      <w:lang w:val="en-US" w:eastAsia="zh-CN" w:bidi="ar-SA"/>
    </w:rPr>
  </w:style>
  <w:style w:type="character" w:customStyle="1" w:styleId="78">
    <w:name w:val="标题 1 Char"/>
    <w:link w:val="5"/>
    <w:qFormat/>
    <w:uiPriority w:val="9"/>
    <w:rPr>
      <w:rFonts w:ascii="楷体_GB2312" w:eastAsia="楷体_GB2312"/>
      <w:b/>
      <w:bCs/>
      <w:kern w:val="2"/>
      <w:sz w:val="21"/>
      <w:szCs w:val="24"/>
    </w:rPr>
  </w:style>
  <w:style w:type="character" w:customStyle="1" w:styleId="79">
    <w:name w:val="标题 2 Char"/>
    <w:link w:val="6"/>
    <w:qFormat/>
    <w:uiPriority w:val="9"/>
    <w:rPr>
      <w:rFonts w:ascii="Cambria" w:hAnsi="Cambria" w:eastAsia="宋体" w:cs="Times New Roman"/>
      <w:b/>
      <w:bCs/>
      <w:kern w:val="2"/>
      <w:sz w:val="32"/>
      <w:szCs w:val="32"/>
    </w:rPr>
  </w:style>
  <w:style w:type="character" w:customStyle="1" w:styleId="80">
    <w:name w:val="标题 3 Char"/>
    <w:link w:val="7"/>
    <w:qFormat/>
    <w:uiPriority w:val="9"/>
    <w:rPr>
      <w:b/>
      <w:bCs/>
      <w:kern w:val="2"/>
      <w:sz w:val="32"/>
      <w:szCs w:val="32"/>
      <w:lang w:bidi="ar-SA"/>
    </w:rPr>
  </w:style>
  <w:style w:type="character" w:customStyle="1" w:styleId="81">
    <w:name w:val="标题 4 Char"/>
    <w:link w:val="8"/>
    <w:qFormat/>
    <w:uiPriority w:val="0"/>
    <w:rPr>
      <w:rFonts w:ascii="Cambria" w:hAnsi="Cambria" w:eastAsia="宋体"/>
      <w:b/>
      <w:bCs/>
      <w:kern w:val="2"/>
      <w:sz w:val="28"/>
      <w:szCs w:val="28"/>
      <w:lang w:bidi="ar-SA"/>
    </w:rPr>
  </w:style>
  <w:style w:type="character" w:customStyle="1" w:styleId="82">
    <w:name w:val="标题 5 Char"/>
    <w:link w:val="9"/>
    <w:qFormat/>
    <w:uiPriority w:val="9"/>
    <w:rPr>
      <w:b/>
      <w:bCs/>
      <w:kern w:val="2"/>
      <w:sz w:val="28"/>
      <w:szCs w:val="28"/>
    </w:rPr>
  </w:style>
  <w:style w:type="character" w:customStyle="1" w:styleId="83">
    <w:name w:val="标题 6 Char"/>
    <w:link w:val="10"/>
    <w:qFormat/>
    <w:uiPriority w:val="9"/>
    <w:rPr>
      <w:rFonts w:ascii="Cambria" w:hAnsi="Cambria" w:eastAsia="宋体" w:cs="Times New Roman"/>
      <w:b/>
      <w:bCs/>
      <w:kern w:val="2"/>
      <w:sz w:val="24"/>
      <w:szCs w:val="24"/>
    </w:rPr>
  </w:style>
  <w:style w:type="character" w:customStyle="1" w:styleId="84">
    <w:name w:val="标题 7 Char"/>
    <w:link w:val="11"/>
    <w:qFormat/>
    <w:uiPriority w:val="9"/>
    <w:rPr>
      <w:rFonts w:eastAsia="等线"/>
      <w:b/>
      <w:kern w:val="2"/>
      <w:sz w:val="24"/>
      <w:szCs w:val="24"/>
    </w:rPr>
  </w:style>
  <w:style w:type="character" w:customStyle="1" w:styleId="85">
    <w:name w:val="标题 8 Char"/>
    <w:link w:val="12"/>
    <w:qFormat/>
    <w:uiPriority w:val="9"/>
    <w:rPr>
      <w:rFonts w:ascii="Arial" w:hAnsi="Arial" w:eastAsia="黑体"/>
      <w:kern w:val="2"/>
      <w:sz w:val="24"/>
      <w:szCs w:val="24"/>
    </w:rPr>
  </w:style>
  <w:style w:type="character" w:customStyle="1" w:styleId="86">
    <w:name w:val="标题 9 Char"/>
    <w:link w:val="13"/>
    <w:qFormat/>
    <w:uiPriority w:val="9"/>
    <w:rPr>
      <w:rFonts w:ascii="Arial" w:hAnsi="Arial" w:eastAsia="黑体"/>
      <w:kern w:val="2"/>
      <w:sz w:val="24"/>
      <w:szCs w:val="24"/>
    </w:rPr>
  </w:style>
  <w:style w:type="character" w:customStyle="1" w:styleId="87">
    <w:name w:val="注释标题 Char"/>
    <w:link w:val="15"/>
    <w:qFormat/>
    <w:uiPriority w:val="0"/>
    <w:rPr>
      <w:rFonts w:ascii="DFKai-SB" w:hAnsi="DFKai-SB" w:eastAsia="DFKai-SB" w:cs="等线"/>
      <w:kern w:val="2"/>
      <w:lang w:eastAsia="zh-TW"/>
    </w:rPr>
  </w:style>
  <w:style w:type="character" w:customStyle="1" w:styleId="88">
    <w:name w:val="正文缩进 Char"/>
    <w:link w:val="17"/>
    <w:qFormat/>
    <w:uiPriority w:val="0"/>
    <w:rPr>
      <w:rFonts w:eastAsia="宋体"/>
      <w:sz w:val="21"/>
      <w:lang w:val="en-US" w:eastAsia="zh-CN" w:bidi="ar-SA"/>
    </w:rPr>
  </w:style>
  <w:style w:type="character" w:customStyle="1" w:styleId="89">
    <w:name w:val="文档结构图 Char"/>
    <w:link w:val="20"/>
    <w:qFormat/>
    <w:uiPriority w:val="0"/>
    <w:rPr>
      <w:kern w:val="2"/>
      <w:sz w:val="21"/>
      <w:szCs w:val="24"/>
      <w:shd w:val="clear" w:color="auto" w:fill="000080"/>
    </w:rPr>
  </w:style>
  <w:style w:type="character" w:customStyle="1" w:styleId="90">
    <w:name w:val="批注文字 Char"/>
    <w:link w:val="22"/>
    <w:qFormat/>
    <w:uiPriority w:val="1"/>
    <w:rPr>
      <w:kern w:val="2"/>
      <w:sz w:val="21"/>
      <w:szCs w:val="24"/>
    </w:rPr>
  </w:style>
  <w:style w:type="character" w:customStyle="1" w:styleId="91">
    <w:name w:val="称呼 Char"/>
    <w:link w:val="23"/>
    <w:qFormat/>
    <w:uiPriority w:val="0"/>
    <w:rPr>
      <w:rFonts w:ascii="等线" w:hAnsi="等线" w:eastAsia="等线" w:cs="等线"/>
      <w:sz w:val="24"/>
    </w:rPr>
  </w:style>
  <w:style w:type="character" w:customStyle="1" w:styleId="92">
    <w:name w:val="正文文本 3 Char"/>
    <w:link w:val="24"/>
    <w:qFormat/>
    <w:uiPriority w:val="0"/>
    <w:rPr>
      <w:rFonts w:ascii="等线" w:hAnsi="等线" w:eastAsia="等线" w:cs="等线"/>
    </w:rPr>
  </w:style>
  <w:style w:type="character" w:customStyle="1" w:styleId="93">
    <w:name w:val="正文文本缩进 Char"/>
    <w:link w:val="2"/>
    <w:qFormat/>
    <w:uiPriority w:val="0"/>
    <w:rPr>
      <w:kern w:val="2"/>
      <w:sz w:val="24"/>
      <w:szCs w:val="24"/>
    </w:rPr>
  </w:style>
  <w:style w:type="character" w:customStyle="1" w:styleId="94">
    <w:name w:val="纯文本 Char"/>
    <w:link w:val="35"/>
    <w:qFormat/>
    <w:uiPriority w:val="99"/>
    <w:rPr>
      <w:rFonts w:ascii="宋体" w:hAnsi="Courier New" w:eastAsia="宋体"/>
      <w:sz w:val="21"/>
      <w:szCs w:val="21"/>
      <w:lang w:val="en-US" w:eastAsia="zh-CN" w:bidi="ar-SA"/>
    </w:rPr>
  </w:style>
  <w:style w:type="character" w:customStyle="1" w:styleId="95">
    <w:name w:val="日期 Char"/>
    <w:link w:val="38"/>
    <w:qFormat/>
    <w:uiPriority w:val="0"/>
    <w:rPr>
      <w:kern w:val="2"/>
      <w:sz w:val="21"/>
      <w:szCs w:val="24"/>
    </w:rPr>
  </w:style>
  <w:style w:type="character" w:customStyle="1" w:styleId="96">
    <w:name w:val="正文文本缩进 2 Char"/>
    <w:link w:val="39"/>
    <w:qFormat/>
    <w:uiPriority w:val="0"/>
    <w:rPr>
      <w:kern w:val="2"/>
      <w:sz w:val="24"/>
      <w:szCs w:val="24"/>
    </w:rPr>
  </w:style>
  <w:style w:type="character" w:customStyle="1" w:styleId="97">
    <w:name w:val="尾注文本 Char1"/>
    <w:link w:val="40"/>
    <w:qFormat/>
    <w:uiPriority w:val="99"/>
    <w:rPr>
      <w:kern w:val="2"/>
      <w:sz w:val="21"/>
      <w:szCs w:val="24"/>
    </w:rPr>
  </w:style>
  <w:style w:type="character" w:customStyle="1" w:styleId="98">
    <w:name w:val="批注框文本 Char"/>
    <w:link w:val="41"/>
    <w:qFormat/>
    <w:uiPriority w:val="0"/>
    <w:rPr>
      <w:kern w:val="2"/>
      <w:sz w:val="18"/>
      <w:szCs w:val="18"/>
    </w:rPr>
  </w:style>
  <w:style w:type="character" w:customStyle="1" w:styleId="99">
    <w:name w:val="页脚 Char"/>
    <w:link w:val="42"/>
    <w:qFormat/>
    <w:uiPriority w:val="99"/>
    <w:rPr>
      <w:kern w:val="2"/>
      <w:sz w:val="18"/>
      <w:szCs w:val="18"/>
    </w:rPr>
  </w:style>
  <w:style w:type="character" w:customStyle="1" w:styleId="100">
    <w:name w:val="页眉 Char"/>
    <w:link w:val="44"/>
    <w:qFormat/>
    <w:uiPriority w:val="99"/>
    <w:rPr>
      <w:kern w:val="2"/>
      <w:sz w:val="18"/>
      <w:szCs w:val="18"/>
    </w:rPr>
  </w:style>
  <w:style w:type="character" w:customStyle="1" w:styleId="101">
    <w:name w:val="签名 Char"/>
    <w:link w:val="45"/>
    <w:qFormat/>
    <w:uiPriority w:val="0"/>
    <w:rPr>
      <w:rFonts w:ascii="等线" w:hAnsi="等线" w:eastAsia="黑体" w:cs="等线"/>
      <w:sz w:val="24"/>
    </w:rPr>
  </w:style>
  <w:style w:type="character" w:customStyle="1" w:styleId="102">
    <w:name w:val="副标题 Char2"/>
    <w:link w:val="48"/>
    <w:qFormat/>
    <w:uiPriority w:val="0"/>
    <w:rPr>
      <w:rFonts w:ascii="Cambria" w:hAnsi="Cambria" w:cs="Times New Roman"/>
      <w:b/>
      <w:bCs/>
      <w:kern w:val="28"/>
      <w:sz w:val="32"/>
      <w:szCs w:val="32"/>
    </w:rPr>
  </w:style>
  <w:style w:type="character" w:customStyle="1" w:styleId="103">
    <w:name w:val="脚注文本 Char"/>
    <w:link w:val="50"/>
    <w:qFormat/>
    <w:uiPriority w:val="0"/>
    <w:rPr>
      <w:rFonts w:ascii="等线" w:hAnsi="等线" w:eastAsia="等线" w:cs="等线"/>
      <w:kern w:val="2"/>
      <w:sz w:val="18"/>
      <w:szCs w:val="18"/>
    </w:rPr>
  </w:style>
  <w:style w:type="character" w:customStyle="1" w:styleId="104">
    <w:name w:val="正文文本缩进 3 Char"/>
    <w:link w:val="51"/>
    <w:qFormat/>
    <w:uiPriority w:val="0"/>
    <w:rPr>
      <w:kern w:val="2"/>
      <w:sz w:val="24"/>
      <w:szCs w:val="24"/>
    </w:rPr>
  </w:style>
  <w:style w:type="character" w:customStyle="1" w:styleId="105">
    <w:name w:val="正文文本 2 Char1"/>
    <w:link w:val="55"/>
    <w:qFormat/>
    <w:uiPriority w:val="0"/>
    <w:rPr>
      <w:kern w:val="2"/>
      <w:sz w:val="21"/>
      <w:szCs w:val="24"/>
    </w:rPr>
  </w:style>
  <w:style w:type="character" w:customStyle="1" w:styleId="106">
    <w:name w:val="信息标题 Char1"/>
    <w:link w:val="56"/>
    <w:qFormat/>
    <w:uiPriority w:val="0"/>
    <w:rPr>
      <w:rFonts w:ascii="Cambria" w:hAnsi="Cambria" w:eastAsia="宋体" w:cs="Times New Roman"/>
      <w:kern w:val="2"/>
      <w:sz w:val="24"/>
      <w:szCs w:val="24"/>
      <w:shd w:val="pct20" w:color="auto" w:fill="auto"/>
    </w:rPr>
  </w:style>
  <w:style w:type="character" w:customStyle="1" w:styleId="107">
    <w:name w:val="HTML 预设格式 Char2"/>
    <w:link w:val="57"/>
    <w:qFormat/>
    <w:uiPriority w:val="0"/>
    <w:rPr>
      <w:rFonts w:ascii="Courier New" w:hAnsi="Courier New" w:cs="Courier New"/>
      <w:kern w:val="2"/>
    </w:rPr>
  </w:style>
  <w:style w:type="character" w:customStyle="1" w:styleId="108">
    <w:name w:val="普通(网站) Char"/>
    <w:link w:val="58"/>
    <w:qFormat/>
    <w:uiPriority w:val="0"/>
    <w:rPr>
      <w:rFonts w:ascii="宋体" w:hAnsi="宋体" w:cs="宋体"/>
      <w:sz w:val="24"/>
      <w:szCs w:val="24"/>
    </w:rPr>
  </w:style>
  <w:style w:type="character" w:customStyle="1" w:styleId="109">
    <w:name w:val="标题 Char"/>
    <w:link w:val="60"/>
    <w:qFormat/>
    <w:uiPriority w:val="0"/>
    <w:rPr>
      <w:rFonts w:ascii="Verdana" w:hAnsi="Verdana" w:eastAsia="仿宋_GB2312"/>
      <w:b/>
      <w:bCs/>
      <w:sz w:val="32"/>
      <w:szCs w:val="32"/>
    </w:rPr>
  </w:style>
  <w:style w:type="character" w:customStyle="1" w:styleId="110">
    <w:name w:val="批注主题 Char"/>
    <w:link w:val="61"/>
    <w:qFormat/>
    <w:uiPriority w:val="1"/>
    <w:rPr>
      <w:b/>
      <w:bCs/>
      <w:kern w:val="2"/>
      <w:sz w:val="21"/>
      <w:szCs w:val="24"/>
    </w:rPr>
  </w:style>
  <w:style w:type="character" w:customStyle="1" w:styleId="111">
    <w:name w:val="正文首行缩进 2 Char1"/>
    <w:link w:val="3"/>
    <w:qFormat/>
    <w:uiPriority w:val="0"/>
    <w:rPr>
      <w:sz w:val="21"/>
    </w:rPr>
  </w:style>
  <w:style w:type="character" w:customStyle="1" w:styleId="112">
    <w:name w:val="Char Char7"/>
    <w:qFormat/>
    <w:uiPriority w:val="0"/>
    <w:rPr>
      <w:rFonts w:hAnsi="宋体" w:eastAsia="宋体"/>
      <w:kern w:val="2"/>
      <w:sz w:val="18"/>
      <w:szCs w:val="18"/>
      <w:lang w:val="zh-CN" w:eastAsia="zh-CN" w:bidi="ar-SA"/>
    </w:rPr>
  </w:style>
  <w:style w:type="character" w:customStyle="1" w:styleId="113">
    <w:name w:val="样式 图文仿宋四号 + (西文) 宋体 (中文) 宋体 Char"/>
    <w:link w:val="114"/>
    <w:qFormat/>
    <w:uiPriority w:val="0"/>
    <w:rPr>
      <w:rFonts w:ascii="仿宋_GB2312" w:eastAsia="仿宋_GB2312"/>
      <w:kern w:val="2"/>
      <w:sz w:val="32"/>
      <w:szCs w:val="32"/>
      <w:lang w:val="zh-CN"/>
    </w:rPr>
  </w:style>
  <w:style w:type="paragraph" w:customStyle="1" w:styleId="114">
    <w:name w:val="样式 图文仿宋四号 + (西文) 宋体 (中文) 宋体"/>
    <w:basedOn w:val="1"/>
    <w:link w:val="113"/>
    <w:qFormat/>
    <w:uiPriority w:val="0"/>
    <w:pPr>
      <w:adjustRightInd w:val="0"/>
      <w:spacing w:line="360" w:lineRule="auto"/>
      <w:ind w:firstLine="640" w:firstLineChars="200"/>
      <w:jc w:val="left"/>
    </w:pPr>
    <w:rPr>
      <w:rFonts w:ascii="仿宋_GB2312" w:eastAsia="仿宋_GB2312"/>
      <w:sz w:val="32"/>
      <w:szCs w:val="32"/>
      <w:lang w:val="zh-CN"/>
    </w:rPr>
  </w:style>
  <w:style w:type="character" w:customStyle="1" w:styleId="115">
    <w:name w:val="font221"/>
    <w:qFormat/>
    <w:uiPriority w:val="0"/>
    <w:rPr>
      <w:rFonts w:hint="eastAsia" w:ascii="宋体" w:hAnsi="宋体" w:eastAsia="宋体" w:cs="宋体"/>
      <w:color w:val="000000"/>
      <w:sz w:val="24"/>
      <w:szCs w:val="24"/>
      <w:u w:val="none"/>
    </w:rPr>
  </w:style>
  <w:style w:type="character" w:customStyle="1" w:styleId="116">
    <w:name w:val="标题 Char1"/>
    <w:qFormat/>
    <w:uiPriority w:val="10"/>
    <w:rPr>
      <w:rFonts w:ascii="Cambria" w:hAnsi="Cambria" w:eastAsia="宋体" w:cs="Times New Roman"/>
      <w:b/>
      <w:bCs/>
      <w:sz w:val="32"/>
      <w:szCs w:val="32"/>
    </w:rPr>
  </w:style>
  <w:style w:type="character" w:customStyle="1" w:styleId="117">
    <w:name w:val="附图表 Char"/>
    <w:link w:val="118"/>
    <w:qFormat/>
    <w:uiPriority w:val="0"/>
    <w:rPr>
      <w:rFonts w:ascii="黑体" w:hAnsi="黑体" w:eastAsia="黑体"/>
      <w:color w:val="000000"/>
      <w:sz w:val="28"/>
      <w:szCs w:val="30"/>
      <w:lang w:val="zh-CN"/>
    </w:rPr>
  </w:style>
  <w:style w:type="paragraph" w:customStyle="1" w:styleId="118">
    <w:name w:val="附图表"/>
    <w:basedOn w:val="1"/>
    <w:link w:val="117"/>
    <w:qFormat/>
    <w:uiPriority w:val="0"/>
    <w:pPr>
      <w:widowControl/>
      <w:spacing w:line="360" w:lineRule="auto"/>
      <w:ind w:firstLine="200" w:firstLineChars="200"/>
      <w:jc w:val="left"/>
      <w:outlineLvl w:val="4"/>
    </w:pPr>
    <w:rPr>
      <w:rFonts w:ascii="黑体" w:hAnsi="黑体" w:eastAsia="黑体"/>
      <w:color w:val="000000"/>
      <w:kern w:val="0"/>
      <w:sz w:val="28"/>
      <w:szCs w:val="30"/>
      <w:lang w:val="zh-CN"/>
    </w:rPr>
  </w:style>
  <w:style w:type="character" w:customStyle="1" w:styleId="119">
    <w:name w:val="样式 仿宋_GB2312 小三 Char"/>
    <w:qFormat/>
    <w:uiPriority w:val="0"/>
    <w:rPr>
      <w:rFonts w:ascii="仿宋_GB2312" w:eastAsia="仿宋_GB2312" w:cs="仿宋_GB2312"/>
      <w:kern w:val="2"/>
      <w:sz w:val="30"/>
      <w:szCs w:val="30"/>
      <w:lang w:val="zh-CN" w:eastAsia="zh-CN" w:bidi="ar-SA"/>
    </w:rPr>
  </w:style>
  <w:style w:type="character" w:customStyle="1" w:styleId="120">
    <w:name w:val="样式6 列表并列 Char"/>
    <w:link w:val="121"/>
    <w:qFormat/>
    <w:locked/>
    <w:uiPriority w:val="0"/>
    <w:rPr>
      <w:rFonts w:ascii="Arial" w:hAnsi="Arial" w:cs="Arial"/>
      <w:kern w:val="21"/>
      <w:sz w:val="21"/>
      <w:szCs w:val="24"/>
      <w:lang w:val="en-US" w:eastAsia="zh-CN" w:bidi="ar-SA"/>
    </w:rPr>
  </w:style>
  <w:style w:type="paragraph" w:customStyle="1" w:styleId="121">
    <w:name w:val="样式6 列表并列"/>
    <w:link w:val="120"/>
    <w:qFormat/>
    <w:uiPriority w:val="0"/>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122">
    <w:name w:val="font31"/>
    <w:qFormat/>
    <w:uiPriority w:val="0"/>
    <w:rPr>
      <w:rFonts w:hint="eastAsia" w:ascii="新宋体" w:hAnsi="新宋体" w:eastAsia="新宋体" w:cs="新宋体"/>
      <w:color w:val="000000"/>
      <w:sz w:val="22"/>
      <w:szCs w:val="22"/>
      <w:u w:val="none"/>
    </w:rPr>
  </w:style>
  <w:style w:type="character" w:customStyle="1" w:styleId="123">
    <w:name w:val="BZ_正文 Char"/>
    <w:link w:val="124"/>
    <w:qFormat/>
    <w:uiPriority w:val="0"/>
    <w:rPr>
      <w:rFonts w:ascii="宋体" w:hAnsi="宋体" w:eastAsia="宋体"/>
      <w:kern w:val="2"/>
      <w:sz w:val="24"/>
      <w:szCs w:val="24"/>
    </w:rPr>
  </w:style>
  <w:style w:type="paragraph" w:customStyle="1" w:styleId="124">
    <w:name w:val="BZ_正文"/>
    <w:basedOn w:val="1"/>
    <w:link w:val="123"/>
    <w:qFormat/>
    <w:uiPriority w:val="0"/>
    <w:pPr>
      <w:widowControl/>
      <w:spacing w:line="360" w:lineRule="auto"/>
      <w:ind w:firstLine="480" w:firstLineChars="200"/>
    </w:pPr>
    <w:rPr>
      <w:rFonts w:ascii="宋体" w:hAnsi="宋体"/>
      <w:sz w:val="24"/>
      <w:shd w:val="clear" w:color="auto" w:fill="FFFFFF"/>
    </w:rPr>
  </w:style>
  <w:style w:type="character" w:customStyle="1" w:styleId="125">
    <w:name w:val="四级标题 Char"/>
    <w:link w:val="126"/>
    <w:qFormat/>
    <w:uiPriority w:val="0"/>
    <w:rPr>
      <w:rFonts w:eastAsia="黑体"/>
      <w:b/>
      <w:kern w:val="2"/>
      <w:sz w:val="28"/>
      <w:szCs w:val="22"/>
    </w:rPr>
  </w:style>
  <w:style w:type="paragraph" w:customStyle="1" w:styleId="126">
    <w:name w:val="四级标题"/>
    <w:basedOn w:val="1"/>
    <w:link w:val="125"/>
    <w:qFormat/>
    <w:uiPriority w:val="0"/>
    <w:pPr>
      <w:tabs>
        <w:tab w:val="left" w:pos="420"/>
      </w:tabs>
      <w:spacing w:line="360" w:lineRule="auto"/>
      <w:ind w:left="420" w:firstLine="200" w:firstLineChars="200"/>
      <w:outlineLvl w:val="3"/>
    </w:pPr>
    <w:rPr>
      <w:rFonts w:eastAsia="黑体"/>
      <w:b/>
      <w:sz w:val="28"/>
      <w:szCs w:val="22"/>
    </w:rPr>
  </w:style>
  <w:style w:type="character" w:customStyle="1" w:styleId="127">
    <w:name w:val="font21"/>
    <w:qFormat/>
    <w:uiPriority w:val="0"/>
    <w:rPr>
      <w:rFonts w:hint="eastAsia" w:ascii="宋体" w:hAnsi="宋体" w:eastAsia="宋体" w:cs="宋体"/>
      <w:b/>
      <w:color w:val="000000"/>
      <w:sz w:val="21"/>
      <w:szCs w:val="21"/>
      <w:u w:val="none"/>
    </w:rPr>
  </w:style>
  <w:style w:type="character" w:customStyle="1" w:styleId="128">
    <w:name w:val="标题 4 字符"/>
    <w:qFormat/>
    <w:uiPriority w:val="0"/>
    <w:rPr>
      <w:rFonts w:eastAsia="楷体_GB2312"/>
      <w:b/>
      <w:snapToGrid/>
      <w:sz w:val="28"/>
    </w:rPr>
  </w:style>
  <w:style w:type="character" w:customStyle="1" w:styleId="129">
    <w:name w:val="area_1"/>
    <w:qFormat/>
    <w:uiPriority w:val="0"/>
    <w:rPr>
      <w:rFonts w:ascii="宋体" w:hAnsi="宋体"/>
      <w:sz w:val="24"/>
    </w:rPr>
  </w:style>
  <w:style w:type="character" w:customStyle="1" w:styleId="130">
    <w:name w:val="A4 Char"/>
    <w:link w:val="131"/>
    <w:qFormat/>
    <w:uiPriority w:val="0"/>
    <w:rPr>
      <w:rFonts w:ascii="Cambria" w:hAnsi="Cambria" w:cs="新宋体"/>
      <w:b/>
      <w:bCs/>
      <w:sz w:val="28"/>
      <w:szCs w:val="28"/>
    </w:rPr>
  </w:style>
  <w:style w:type="paragraph" w:customStyle="1" w:styleId="131">
    <w:name w:val="A4"/>
    <w:basedOn w:val="8"/>
    <w:link w:val="130"/>
    <w:qFormat/>
    <w:uiPriority w:val="0"/>
    <w:pPr>
      <w:spacing w:line="377" w:lineRule="auto"/>
      <w:jc w:val="left"/>
    </w:pPr>
    <w:rPr>
      <w:kern w:val="0"/>
    </w:rPr>
  </w:style>
  <w:style w:type="character" w:customStyle="1" w:styleId="132">
    <w:name w:val="heading 4 Char"/>
    <w:qFormat/>
    <w:uiPriority w:val="0"/>
    <w:rPr>
      <w:rFonts w:ascii="Tahoma" w:hAnsi="Tahoma" w:eastAsia="Helvetica" w:cs="新宋体"/>
      <w:sz w:val="21"/>
      <w:szCs w:val="21"/>
    </w:rPr>
  </w:style>
  <w:style w:type="character" w:customStyle="1" w:styleId="133">
    <w:name w:val="Style1"/>
    <w:qFormat/>
    <w:uiPriority w:val="0"/>
    <w:rPr>
      <w:rFonts w:ascii="Century Gothic" w:hAnsi="仿宋_GB2312" w:eastAsia="仿宋_GB2312" w:cs="新宋体"/>
      <w:sz w:val="22"/>
      <w:szCs w:val="22"/>
      <w:lang w:eastAsia="zh-CN"/>
    </w:rPr>
  </w:style>
  <w:style w:type="character" w:customStyle="1" w:styleId="134">
    <w:name w:val="kpk:3级 Char"/>
    <w:link w:val="135"/>
    <w:qFormat/>
    <w:uiPriority w:val="0"/>
    <w:rPr>
      <w:rFonts w:ascii="黑体" w:eastAsia="黑体"/>
      <w:b/>
      <w:bCs/>
      <w:kern w:val="2"/>
      <w:sz w:val="24"/>
      <w:szCs w:val="24"/>
    </w:rPr>
  </w:style>
  <w:style w:type="paragraph" w:customStyle="1" w:styleId="135">
    <w:name w:val="kpk:3级"/>
    <w:basedOn w:val="7"/>
    <w:link w:val="134"/>
    <w:qFormat/>
    <w:uiPriority w:val="0"/>
    <w:pPr>
      <w:tabs>
        <w:tab w:val="left" w:pos="420"/>
      </w:tabs>
      <w:spacing w:before="0" w:after="0" w:line="360" w:lineRule="auto"/>
      <w:ind w:left="420" w:hanging="420"/>
    </w:pPr>
    <w:rPr>
      <w:rFonts w:ascii="黑体" w:eastAsia="黑体"/>
      <w:sz w:val="24"/>
      <w:szCs w:val="24"/>
    </w:rPr>
  </w:style>
  <w:style w:type="character" w:customStyle="1" w:styleId="136">
    <w:name w:val="kpk:4级 Char1"/>
    <w:link w:val="137"/>
    <w:qFormat/>
    <w:locked/>
    <w:uiPriority w:val="0"/>
    <w:rPr>
      <w:rFonts w:ascii="Arial" w:hAnsi="Arial" w:eastAsia="黑体"/>
      <w:bCs/>
      <w:sz w:val="24"/>
      <w:szCs w:val="28"/>
    </w:rPr>
  </w:style>
  <w:style w:type="paragraph" w:customStyle="1" w:styleId="137">
    <w:name w:val="kpk:4级"/>
    <w:basedOn w:val="8"/>
    <w:link w:val="136"/>
    <w:qFormat/>
    <w:uiPriority w:val="0"/>
    <w:pPr>
      <w:tabs>
        <w:tab w:val="left" w:pos="-142"/>
        <w:tab w:val="left" w:pos="0"/>
        <w:tab w:val="left" w:pos="284"/>
        <w:tab w:val="left" w:pos="780"/>
      </w:tabs>
      <w:spacing w:before="0" w:after="0" w:line="360" w:lineRule="auto"/>
      <w:ind w:left="780" w:leftChars="200" w:hanging="360"/>
    </w:pPr>
    <w:rPr>
      <w:rFonts w:ascii="Arial" w:hAnsi="Arial" w:eastAsia="黑体"/>
      <w:b w:val="0"/>
      <w:kern w:val="0"/>
      <w:sz w:val="24"/>
    </w:rPr>
  </w:style>
  <w:style w:type="character" w:customStyle="1" w:styleId="138">
    <w:name w:val="HTML 预设格式 Char1"/>
    <w:qFormat/>
    <w:uiPriority w:val="0"/>
    <w:rPr>
      <w:rFonts w:ascii="宋体" w:hAnsi="宋体" w:cs="宋体"/>
      <w:sz w:val="24"/>
      <w:szCs w:val="24"/>
    </w:rPr>
  </w:style>
  <w:style w:type="character" w:customStyle="1" w:styleId="139">
    <w:name w:val="Char Char6"/>
    <w:qFormat/>
    <w:uiPriority w:val="0"/>
    <w:rPr>
      <w:rFonts w:ascii="新宋体" w:hAnsi="新宋体" w:eastAsia="仿宋_GB2312" w:cs="新宋体"/>
      <w:szCs w:val="24"/>
    </w:rPr>
  </w:style>
  <w:style w:type="character" w:customStyle="1" w:styleId="140">
    <w:name w:val="样式2 Char Char"/>
    <w:qFormat/>
    <w:uiPriority w:val="0"/>
    <w:rPr>
      <w:rFonts w:ascii="仿宋_GB2312" w:hAnsi="仿宋_GB2312" w:eastAsia="仿宋_GB2312"/>
      <w:bCs/>
      <w:kern w:val="2"/>
      <w:sz w:val="28"/>
      <w:szCs w:val="28"/>
      <w:lang w:val="en-US" w:eastAsia="zh-CN" w:bidi="ar-SA"/>
    </w:rPr>
  </w:style>
  <w:style w:type="character" w:customStyle="1" w:styleId="141">
    <w:name w:val="Char Char112"/>
    <w:qFormat/>
    <w:uiPriority w:val="0"/>
    <w:rPr>
      <w:rFonts w:eastAsia="仿宋_GB2312"/>
      <w:kern w:val="2"/>
      <w:sz w:val="21"/>
      <w:szCs w:val="24"/>
      <w:lang w:val="en-US" w:eastAsia="zh-CN" w:bidi="ar-SA"/>
    </w:rPr>
  </w:style>
  <w:style w:type="character" w:customStyle="1" w:styleId="142">
    <w:name w:val="正文文本缩进 字符"/>
    <w:qFormat/>
    <w:uiPriority w:val="0"/>
    <w:rPr>
      <w:sz w:val="28"/>
    </w:rPr>
  </w:style>
  <w:style w:type="character" w:customStyle="1" w:styleId="143">
    <w:name w:val="Plain Text Char"/>
    <w:qFormat/>
    <w:uiPriority w:val="0"/>
    <w:rPr>
      <w:rFonts w:ascii="仿宋_GB2312" w:hAnsi="Wingdings" w:eastAsia="仿宋_GB2312" w:cs="新宋体"/>
      <w:sz w:val="21"/>
      <w:szCs w:val="21"/>
    </w:rPr>
  </w:style>
  <w:style w:type="character" w:customStyle="1" w:styleId="144">
    <w:name w:val="A4 Char Char"/>
    <w:qFormat/>
    <w:uiPriority w:val="0"/>
    <w:rPr>
      <w:rFonts w:ascii="Cambria" w:hAnsi="Cambria" w:eastAsia="宋体"/>
      <w:b/>
      <w:bCs/>
      <w:sz w:val="28"/>
      <w:szCs w:val="28"/>
    </w:rPr>
  </w:style>
  <w:style w:type="character" w:customStyle="1" w:styleId="145">
    <w:name w:val="副标题 Char1"/>
    <w:qFormat/>
    <w:uiPriority w:val="11"/>
    <w:rPr>
      <w:rFonts w:ascii="Cambria" w:hAnsi="Cambria" w:cs="Times New Roman"/>
      <w:b/>
      <w:bCs/>
      <w:kern w:val="28"/>
      <w:sz w:val="32"/>
      <w:szCs w:val="32"/>
    </w:rPr>
  </w:style>
  <w:style w:type="character" w:customStyle="1" w:styleId="146">
    <w:name w:val="Char Char23"/>
    <w:qFormat/>
    <w:uiPriority w:val="0"/>
    <w:rPr>
      <w:rFonts w:eastAsia="仿宋_GB2312"/>
      <w:b/>
      <w:bCs/>
      <w:kern w:val="2"/>
      <w:sz w:val="32"/>
      <w:szCs w:val="32"/>
      <w:lang w:val="en-US" w:eastAsia="zh-CN" w:bidi="ar-SA"/>
    </w:rPr>
  </w:style>
  <w:style w:type="character" w:customStyle="1" w:styleId="147">
    <w:name w:val="Char Char25"/>
    <w:qFormat/>
    <w:uiPriority w:val="0"/>
    <w:rPr>
      <w:rFonts w:ascii="Arial Unicode MS" w:eastAsia="Arial Unicode MS"/>
      <w:b/>
      <w:bCs/>
      <w:kern w:val="2"/>
      <w:sz w:val="21"/>
      <w:szCs w:val="24"/>
      <w:lang w:val="en-US" w:eastAsia="zh-CN" w:bidi="ar-SA"/>
    </w:rPr>
  </w:style>
  <w:style w:type="character" w:customStyle="1" w:styleId="148">
    <w:name w:val="pt141"/>
    <w:qFormat/>
    <w:uiPriority w:val="0"/>
    <w:rPr>
      <w:color w:val="330066"/>
      <w:spacing w:val="450"/>
      <w:sz w:val="22"/>
      <w:szCs w:val="22"/>
    </w:rPr>
  </w:style>
  <w:style w:type="character" w:customStyle="1" w:styleId="149">
    <w:name w:val="明显参考1"/>
    <w:qFormat/>
    <w:uiPriority w:val="0"/>
    <w:rPr>
      <w:b/>
      <w:bCs/>
      <w:smallCaps/>
      <w:color w:val="C0504D"/>
      <w:spacing w:val="5"/>
      <w:u w:val="single"/>
    </w:rPr>
  </w:style>
  <w:style w:type="character" w:customStyle="1" w:styleId="150">
    <w:name w:val="heading 2 Char"/>
    <w:qFormat/>
    <w:uiPriority w:val="0"/>
    <w:rPr>
      <w:rFonts w:ascii="Tahoma" w:hAnsi="Tahoma" w:eastAsia="Helvetica" w:cs="新宋体"/>
      <w:sz w:val="30"/>
      <w:szCs w:val="24"/>
    </w:rPr>
  </w:style>
  <w:style w:type="character" w:customStyle="1" w:styleId="151">
    <w:name w:val="heading 5 Char2"/>
    <w:qFormat/>
    <w:uiPriority w:val="0"/>
    <w:rPr>
      <w:b/>
      <w:bCs/>
      <w:kern w:val="2"/>
      <w:sz w:val="28"/>
      <w:szCs w:val="28"/>
    </w:rPr>
  </w:style>
  <w:style w:type="character" w:customStyle="1" w:styleId="152">
    <w:name w:val="unnamed51"/>
    <w:qFormat/>
    <w:uiPriority w:val="0"/>
    <w:rPr>
      <w:sz w:val="22"/>
      <w:szCs w:val="22"/>
    </w:rPr>
  </w:style>
  <w:style w:type="character" w:customStyle="1" w:styleId="153">
    <w:name w:val="A3 Char Char"/>
    <w:qFormat/>
    <w:uiPriority w:val="0"/>
    <w:rPr>
      <w:rFonts w:eastAsia="宋体"/>
      <w:b/>
      <w:bCs/>
      <w:sz w:val="32"/>
      <w:szCs w:val="32"/>
      <w:lang w:bidi="ar-SA"/>
    </w:rPr>
  </w:style>
  <w:style w:type="character" w:customStyle="1" w:styleId="154">
    <w:name w:val="List Paragraph Char"/>
    <w:link w:val="155"/>
    <w:qFormat/>
    <w:uiPriority w:val="0"/>
    <w:rPr>
      <w:rFonts w:ascii="Calibri" w:hAnsi="Calibri" w:eastAsia="宋体"/>
      <w:kern w:val="2"/>
      <w:sz w:val="21"/>
      <w:szCs w:val="22"/>
      <w:lang w:val="en-US" w:eastAsia="zh-CN" w:bidi="ar-SA"/>
    </w:rPr>
  </w:style>
  <w:style w:type="paragraph" w:customStyle="1" w:styleId="155">
    <w:name w:val="列出段落1"/>
    <w:basedOn w:val="1"/>
    <w:link w:val="154"/>
    <w:qFormat/>
    <w:uiPriority w:val="0"/>
    <w:pPr>
      <w:ind w:firstLine="420" w:firstLineChars="200"/>
    </w:pPr>
    <w:rPr>
      <w:rFonts w:ascii="Calibri" w:hAnsi="Calibri"/>
      <w:szCs w:val="22"/>
    </w:rPr>
  </w:style>
  <w:style w:type="character" w:customStyle="1" w:styleId="156">
    <w:name w:val="标题 1 字符"/>
    <w:qFormat/>
    <w:uiPriority w:val="0"/>
    <w:rPr>
      <w:rFonts w:eastAsia="黑体"/>
      <w:snapToGrid/>
      <w:sz w:val="44"/>
    </w:rPr>
  </w:style>
  <w:style w:type="character" w:customStyle="1" w:styleId="157">
    <w:name w:val="BZ_一级标题 Char"/>
    <w:link w:val="158"/>
    <w:qFormat/>
    <w:uiPriority w:val="0"/>
    <w:rPr>
      <w:rFonts w:eastAsia="华文中宋"/>
      <w:b/>
      <w:bCs/>
      <w:kern w:val="44"/>
      <w:sz w:val="36"/>
      <w:szCs w:val="36"/>
    </w:rPr>
  </w:style>
  <w:style w:type="paragraph" w:customStyle="1" w:styleId="158">
    <w:name w:val="BZ_一级标题"/>
    <w:basedOn w:val="5"/>
    <w:next w:val="124"/>
    <w:link w:val="157"/>
    <w:qFormat/>
    <w:uiPriority w:val="0"/>
    <w:pPr>
      <w:keepLines/>
      <w:widowControl/>
      <w:spacing w:beforeLines="50" w:afterLines="50"/>
      <w:ind w:left="432" w:hanging="432"/>
      <w:jc w:val="both"/>
    </w:pPr>
    <w:rPr>
      <w:rFonts w:ascii="Times New Roman" w:eastAsia="华文中宋"/>
      <w:kern w:val="44"/>
      <w:sz w:val="36"/>
      <w:szCs w:val="36"/>
    </w:rPr>
  </w:style>
  <w:style w:type="character" w:customStyle="1" w:styleId="159">
    <w:name w:val="正文文本 2 Char"/>
    <w:qFormat/>
    <w:uiPriority w:val="0"/>
    <w:rPr>
      <w:rFonts w:ascii="等线" w:hAnsi="等线" w:eastAsia="等线" w:cs="等线"/>
    </w:rPr>
  </w:style>
  <w:style w:type="character" w:customStyle="1" w:styleId="160">
    <w:name w:val="方案正文 字符"/>
    <w:link w:val="161"/>
    <w:qFormat/>
    <w:uiPriority w:val="0"/>
    <w:rPr>
      <w:rFonts w:ascii="Century Gothic" w:hAnsi="Century Gothic" w:cs="Times New Roman"/>
      <w:kern w:val="2"/>
      <w:sz w:val="21"/>
      <w:szCs w:val="28"/>
    </w:rPr>
  </w:style>
  <w:style w:type="paragraph" w:customStyle="1" w:styleId="161">
    <w:name w:val="方案正文"/>
    <w:basedOn w:val="1"/>
    <w:link w:val="160"/>
    <w:qFormat/>
    <w:uiPriority w:val="0"/>
    <w:pPr>
      <w:spacing w:line="360" w:lineRule="auto"/>
      <w:ind w:firstLine="200" w:firstLineChars="200"/>
    </w:pPr>
    <w:rPr>
      <w:rFonts w:ascii="Century Gothic" w:hAnsi="Century Gothic"/>
      <w:szCs w:val="28"/>
    </w:rPr>
  </w:style>
  <w:style w:type="character" w:customStyle="1" w:styleId="162">
    <w:name w:val="BZ_四级标题 Char"/>
    <w:link w:val="163"/>
    <w:qFormat/>
    <w:uiPriority w:val="0"/>
    <w:rPr>
      <w:rFonts w:eastAsia="黑体"/>
      <w:bCs/>
      <w:kern w:val="2"/>
      <w:sz w:val="24"/>
      <w:szCs w:val="28"/>
    </w:rPr>
  </w:style>
  <w:style w:type="paragraph" w:customStyle="1" w:styleId="163">
    <w:name w:val="BZ_四级标题"/>
    <w:basedOn w:val="8"/>
    <w:next w:val="1"/>
    <w:link w:val="162"/>
    <w:qFormat/>
    <w:uiPriority w:val="0"/>
    <w:pPr>
      <w:widowControl/>
      <w:spacing w:beforeLines="50" w:afterLines="50" w:line="240" w:lineRule="auto"/>
      <w:ind w:left="864" w:hanging="864"/>
    </w:pPr>
    <w:rPr>
      <w:rFonts w:ascii="Times New Roman" w:hAnsi="Times New Roman" w:eastAsia="黑体"/>
      <w:b w:val="0"/>
      <w:sz w:val="24"/>
    </w:rPr>
  </w:style>
  <w:style w:type="character" w:customStyle="1" w:styleId="164">
    <w:name w:val="样式 宋体 小四 行距: 1.5 倍行距 Char"/>
    <w:link w:val="165"/>
    <w:qFormat/>
    <w:uiPriority w:val="0"/>
    <w:rPr>
      <w:rFonts w:ascii="宋体" w:hAnsi="宋体" w:cs="宋体"/>
      <w:kern w:val="2"/>
      <w:sz w:val="24"/>
    </w:rPr>
  </w:style>
  <w:style w:type="paragraph" w:customStyle="1" w:styleId="165">
    <w:name w:val="样式 宋体 小四 行距: 1.5 倍行距"/>
    <w:basedOn w:val="1"/>
    <w:link w:val="164"/>
    <w:qFormat/>
    <w:uiPriority w:val="0"/>
    <w:pPr>
      <w:spacing w:line="360" w:lineRule="auto"/>
      <w:ind w:firstLine="540" w:firstLineChars="225"/>
    </w:pPr>
    <w:rPr>
      <w:rFonts w:ascii="宋体" w:hAnsi="宋体"/>
      <w:sz w:val="24"/>
      <w:szCs w:val="20"/>
    </w:rPr>
  </w:style>
  <w:style w:type="character" w:customStyle="1" w:styleId="166">
    <w:name w:val="Char Char18"/>
    <w:qFormat/>
    <w:uiPriority w:val="0"/>
    <w:rPr>
      <w:b/>
      <w:bCs/>
      <w:kern w:val="2"/>
      <w:sz w:val="32"/>
      <w:szCs w:val="32"/>
    </w:rPr>
  </w:style>
  <w:style w:type="character" w:customStyle="1" w:styleId="167">
    <w:name w:val="apple-converted-space"/>
    <w:qFormat/>
    <w:uiPriority w:val="0"/>
  </w:style>
  <w:style w:type="character" w:customStyle="1" w:styleId="168">
    <w:name w:val="emailstyle16"/>
    <w:qFormat/>
    <w:uiPriority w:val="0"/>
    <w:rPr>
      <w:rFonts w:ascii="Arial" w:hAnsi="Arial" w:eastAsia="宋体" w:cs="Arial"/>
      <w:color w:val="auto"/>
      <w:kern w:val="2"/>
      <w:sz w:val="20"/>
      <w:szCs w:val="24"/>
      <w:lang w:val="en-US" w:eastAsia="zh-CN" w:bidi="ar-SA"/>
    </w:rPr>
  </w:style>
  <w:style w:type="character" w:customStyle="1" w:styleId="169">
    <w:name w:val="正文靠右 Char Char"/>
    <w:link w:val="170"/>
    <w:qFormat/>
    <w:uiPriority w:val="0"/>
    <w:rPr>
      <w:kern w:val="2"/>
      <w:sz w:val="21"/>
      <w:szCs w:val="24"/>
    </w:rPr>
  </w:style>
  <w:style w:type="paragraph" w:customStyle="1" w:styleId="170">
    <w:name w:val="正文靠右"/>
    <w:basedOn w:val="1"/>
    <w:link w:val="169"/>
    <w:qFormat/>
    <w:uiPriority w:val="0"/>
    <w:pPr>
      <w:jc w:val="right"/>
    </w:pPr>
  </w:style>
  <w:style w:type="character" w:customStyle="1" w:styleId="171">
    <w:name w:val="a61"/>
    <w:qFormat/>
    <w:uiPriority w:val="0"/>
    <w:rPr>
      <w:rFonts w:hint="eastAsia" w:ascii="宋体" w:hAnsi="宋体" w:eastAsia="宋体"/>
      <w:kern w:val="2"/>
      <w:sz w:val="23"/>
      <w:szCs w:val="23"/>
      <w:lang w:val="en-US" w:eastAsia="zh-CN" w:bidi="ar-SA"/>
    </w:rPr>
  </w:style>
  <w:style w:type="character" w:customStyle="1" w:styleId="172">
    <w:name w:val="正文1 Char"/>
    <w:link w:val="173"/>
    <w:qFormat/>
    <w:uiPriority w:val="0"/>
    <w:rPr>
      <w:sz w:val="24"/>
      <w:lang w:val="en-US" w:eastAsia="zh-CN" w:bidi="ar-SA"/>
    </w:rPr>
  </w:style>
  <w:style w:type="paragraph" w:customStyle="1" w:styleId="173">
    <w:name w:val="正文1"/>
    <w:link w:val="172"/>
    <w:qFormat/>
    <w:uiPriority w:val="0"/>
    <w:pPr>
      <w:spacing w:beforeLines="50" w:afterLines="50"/>
      <w:ind w:firstLine="200" w:firstLineChars="200"/>
    </w:pPr>
    <w:rPr>
      <w:rFonts w:ascii="Times New Roman" w:hAnsi="Times New Roman" w:eastAsia="宋体" w:cs="Times New Roman"/>
      <w:sz w:val="24"/>
      <w:lang w:val="en-US" w:eastAsia="zh-CN" w:bidi="ar-SA"/>
    </w:rPr>
  </w:style>
  <w:style w:type="character" w:customStyle="1" w:styleId="174">
    <w:name w:val="正文文本 字符"/>
    <w:qFormat/>
    <w:uiPriority w:val="0"/>
    <w:rPr>
      <w:rFonts w:ascii="宋体"/>
      <w:sz w:val="21"/>
    </w:rPr>
  </w:style>
  <w:style w:type="character" w:customStyle="1" w:styleId="175">
    <w:name w:val="文档正文 Char"/>
    <w:link w:val="176"/>
    <w:qFormat/>
    <w:uiPriority w:val="0"/>
    <w:rPr>
      <w:rFonts w:ascii="Tahoma" w:hAnsi="Tahoma" w:eastAsia="仿宋_GB2312"/>
      <w:sz w:val="28"/>
      <w:lang w:val="en-US" w:eastAsia="zh-CN" w:bidi="ar-SA"/>
    </w:rPr>
  </w:style>
  <w:style w:type="paragraph" w:customStyle="1" w:styleId="176">
    <w:name w:val="文档正文"/>
    <w:basedOn w:val="1"/>
    <w:link w:val="175"/>
    <w:qFormat/>
    <w:uiPriority w:val="0"/>
    <w:pPr>
      <w:spacing w:line="360" w:lineRule="auto"/>
      <w:ind w:firstLine="480" w:firstLineChars="200"/>
    </w:pPr>
    <w:rPr>
      <w:rFonts w:ascii="Tahoma" w:hAnsi="Tahoma" w:eastAsia="仿宋_GB2312"/>
      <w:kern w:val="0"/>
      <w:sz w:val="28"/>
      <w:szCs w:val="20"/>
    </w:rPr>
  </w:style>
  <w:style w:type="character" w:customStyle="1" w:styleId="177">
    <w:name w:val="正文文本 Char2"/>
    <w:qFormat/>
    <w:uiPriority w:val="0"/>
    <w:rPr>
      <w:kern w:val="2"/>
      <w:sz w:val="21"/>
      <w:szCs w:val="24"/>
    </w:rPr>
  </w:style>
  <w:style w:type="character" w:customStyle="1" w:styleId="178">
    <w:name w:val="不明显参考1"/>
    <w:qFormat/>
    <w:uiPriority w:val="0"/>
    <w:rPr>
      <w:smallCaps/>
      <w:color w:val="C0504D"/>
      <w:u w:val="single"/>
    </w:rPr>
  </w:style>
  <w:style w:type="character" w:customStyle="1" w:styleId="179">
    <w:name w:val="哈哈正文 Char"/>
    <w:link w:val="180"/>
    <w:qFormat/>
    <w:uiPriority w:val="0"/>
    <w:rPr>
      <w:rFonts w:ascii="宋体" w:hAnsi="宋体" w:eastAsia="宋体" w:cs="宋体"/>
      <w:kern w:val="2"/>
      <w:sz w:val="24"/>
      <w:lang w:val="en-US" w:eastAsia="zh-CN" w:bidi="ar-SA"/>
    </w:rPr>
  </w:style>
  <w:style w:type="paragraph" w:customStyle="1" w:styleId="180">
    <w:name w:val="哈哈正文"/>
    <w:basedOn w:val="1"/>
    <w:link w:val="179"/>
    <w:qFormat/>
    <w:uiPriority w:val="0"/>
    <w:pPr>
      <w:spacing w:line="360" w:lineRule="auto"/>
      <w:ind w:firstLine="200" w:firstLineChars="200"/>
    </w:pPr>
    <w:rPr>
      <w:rFonts w:ascii="宋体" w:hAnsi="宋体" w:cs="宋体"/>
      <w:sz w:val="24"/>
      <w:szCs w:val="20"/>
    </w:rPr>
  </w:style>
  <w:style w:type="character" w:customStyle="1" w:styleId="181">
    <w:name w:val="smalltxt1"/>
    <w:qFormat/>
    <w:uiPriority w:val="0"/>
    <w:rPr>
      <w:rFonts w:hint="default" w:ascii="宋体,Verdana,Arial" w:hAnsi="宋体,Verdana,Arial"/>
      <w:sz w:val="24"/>
      <w:szCs w:val="24"/>
    </w:rPr>
  </w:style>
  <w:style w:type="character" w:customStyle="1" w:styleId="182">
    <w:name w:val="正文1 Char Char"/>
    <w:qFormat/>
    <w:uiPriority w:val="0"/>
    <w:rPr>
      <w:rFonts w:ascii="仿宋_GB2312" w:hAnsi="仿宋_GB2312" w:eastAsia="仿宋_GB2312" w:cs="仿宋_GB2312"/>
      <w:sz w:val="21"/>
      <w:lang w:val="en-US" w:eastAsia="zh-CN" w:bidi="ar-SA"/>
    </w:rPr>
  </w:style>
  <w:style w:type="character" w:customStyle="1" w:styleId="183">
    <w:name w:val="个人答复风格"/>
    <w:qFormat/>
    <w:uiPriority w:val="0"/>
    <w:rPr>
      <w:rFonts w:ascii="Arial" w:hAnsi="Arial" w:eastAsia="宋体" w:cs="Arial"/>
      <w:color w:val="auto"/>
      <w:kern w:val="2"/>
      <w:sz w:val="20"/>
      <w:szCs w:val="24"/>
      <w:lang w:val="en-US" w:eastAsia="zh-CN" w:bidi="ar-SA"/>
    </w:rPr>
  </w:style>
  <w:style w:type="character" w:customStyle="1" w:styleId="184">
    <w:name w:val="编号正文缩进 Char Char"/>
    <w:link w:val="185"/>
    <w:qFormat/>
    <w:uiPriority w:val="0"/>
    <w:rPr>
      <w:kern w:val="2"/>
      <w:sz w:val="24"/>
      <w:szCs w:val="24"/>
    </w:rPr>
  </w:style>
  <w:style w:type="paragraph" w:customStyle="1" w:styleId="185">
    <w:name w:val="编号正文缩进"/>
    <w:basedOn w:val="17"/>
    <w:link w:val="184"/>
    <w:qFormat/>
    <w:uiPriority w:val="0"/>
    <w:pPr>
      <w:tabs>
        <w:tab w:val="left" w:pos="1497"/>
      </w:tabs>
      <w:spacing w:line="400" w:lineRule="atLeast"/>
      <w:ind w:left="567" w:firstLine="510"/>
    </w:pPr>
    <w:rPr>
      <w:kern w:val="2"/>
      <w:sz w:val="24"/>
      <w:szCs w:val="24"/>
    </w:rPr>
  </w:style>
  <w:style w:type="character" w:customStyle="1" w:styleId="186">
    <w:name w:val="样式 标题 3 + 黑体 小四 Char Char"/>
    <w:qFormat/>
    <w:uiPriority w:val="0"/>
    <w:rPr>
      <w:rFonts w:ascii="Helvetica" w:hAnsi="Tahoma" w:eastAsia="Helvetica"/>
      <w:bCs/>
      <w:sz w:val="24"/>
      <w:szCs w:val="24"/>
      <w:lang w:bidi="ar-SA"/>
    </w:rPr>
  </w:style>
  <w:style w:type="character" w:customStyle="1" w:styleId="187">
    <w:name w:val="heading 6 Char1"/>
    <w:qFormat/>
    <w:uiPriority w:val="0"/>
    <w:rPr>
      <w:rFonts w:ascii="Tahoma" w:hAnsi="Tahoma" w:eastAsia="Helvetica"/>
      <w:kern w:val="2"/>
      <w:sz w:val="24"/>
      <w:szCs w:val="24"/>
      <w:lang w:val="en-US" w:eastAsia="zh-CN" w:bidi="ar-SA"/>
    </w:rPr>
  </w:style>
  <w:style w:type="character" w:customStyle="1" w:styleId="188">
    <w:name w:val="Texte Char Char"/>
    <w:qFormat/>
    <w:uiPriority w:val="0"/>
    <w:rPr>
      <w:rFonts w:ascii="宋体" w:hAnsi="Courier New" w:eastAsia="宋体"/>
      <w:sz w:val="21"/>
      <w:szCs w:val="21"/>
      <w:lang w:val="en-US" w:eastAsia="zh-CN" w:bidi="ar-SA"/>
    </w:rPr>
  </w:style>
  <w:style w:type="character" w:customStyle="1" w:styleId="189">
    <w:name w:val="style21"/>
    <w:qFormat/>
    <w:uiPriority w:val="0"/>
    <w:rPr>
      <w:sz w:val="15"/>
      <w:szCs w:val="15"/>
    </w:rPr>
  </w:style>
  <w:style w:type="character" w:customStyle="1" w:styleId="190">
    <w:name w:val="Char Char Char"/>
    <w:qFormat/>
    <w:uiPriority w:val="0"/>
    <w:rPr>
      <w:rFonts w:ascii="宋体" w:hAnsi="Courier New" w:eastAsia="宋体"/>
      <w:sz w:val="21"/>
      <w:szCs w:val="21"/>
      <w:lang w:val="en-US" w:eastAsia="zh-CN" w:bidi="ar-SA"/>
    </w:rPr>
  </w:style>
  <w:style w:type="character" w:customStyle="1" w:styleId="191">
    <w:name w:val="font11"/>
    <w:qFormat/>
    <w:uiPriority w:val="0"/>
    <w:rPr>
      <w:rFonts w:hint="default" w:ascii="Times New Roman" w:hAnsi="Times New Roman" w:eastAsia="仿宋_GB2312" w:cs="Times New Roman"/>
      <w:b/>
      <w:color w:val="000000"/>
      <w:sz w:val="21"/>
      <w:szCs w:val="21"/>
      <w:u w:val="none"/>
    </w:rPr>
  </w:style>
  <w:style w:type="character" w:customStyle="1" w:styleId="192">
    <w:name w:val="BZ_题注_图 Char"/>
    <w:link w:val="193"/>
    <w:qFormat/>
    <w:uiPriority w:val="0"/>
    <w:rPr>
      <w:rFonts w:eastAsia="黑体"/>
      <w:kern w:val="2"/>
      <w:sz w:val="21"/>
      <w:szCs w:val="21"/>
    </w:rPr>
  </w:style>
  <w:style w:type="paragraph" w:customStyle="1" w:styleId="193">
    <w:name w:val="BZ_题注_图"/>
    <w:basedOn w:val="18"/>
    <w:next w:val="1"/>
    <w:link w:val="192"/>
    <w:qFormat/>
    <w:uiPriority w:val="0"/>
    <w:pPr>
      <w:widowControl/>
      <w:spacing w:beforeLines="50" w:afterLines="50"/>
      <w:jc w:val="center"/>
    </w:pPr>
    <w:rPr>
      <w:rFonts w:ascii="Times New Roman" w:hAnsi="Times New Roman"/>
      <w:sz w:val="21"/>
      <w:szCs w:val="21"/>
    </w:rPr>
  </w:style>
  <w:style w:type="character" w:customStyle="1" w:styleId="194">
    <w:name w:val="Char Char2"/>
    <w:qFormat/>
    <w:uiPriority w:val="0"/>
    <w:rPr>
      <w:rFonts w:ascii="宋体" w:hAnsi="Courier New" w:eastAsia="宋体"/>
      <w:kern w:val="2"/>
      <w:sz w:val="21"/>
      <w:lang w:val="en-US" w:eastAsia="zh-CN"/>
    </w:rPr>
  </w:style>
  <w:style w:type="character" w:customStyle="1" w:styleId="195">
    <w:name w:val="BZ_三级标题 Char"/>
    <w:link w:val="196"/>
    <w:qFormat/>
    <w:uiPriority w:val="0"/>
    <w:rPr>
      <w:rFonts w:eastAsia="黑体"/>
      <w:b/>
      <w:bCs/>
      <w:kern w:val="2"/>
      <w:sz w:val="28"/>
      <w:szCs w:val="28"/>
    </w:rPr>
  </w:style>
  <w:style w:type="paragraph" w:customStyle="1" w:styleId="196">
    <w:name w:val="BZ_三级标题"/>
    <w:basedOn w:val="7"/>
    <w:next w:val="124"/>
    <w:link w:val="195"/>
    <w:qFormat/>
    <w:uiPriority w:val="0"/>
    <w:pPr>
      <w:spacing w:line="240" w:lineRule="auto"/>
      <w:ind w:left="720" w:hanging="720"/>
    </w:pPr>
    <w:rPr>
      <w:rFonts w:eastAsia="黑体"/>
      <w:sz w:val="28"/>
      <w:szCs w:val="28"/>
    </w:rPr>
  </w:style>
  <w:style w:type="character" w:customStyle="1" w:styleId="197">
    <w:name w:val="fontstyle01"/>
    <w:qFormat/>
    <w:uiPriority w:val="0"/>
    <w:rPr>
      <w:rFonts w:hint="eastAsia" w:ascii="楷体" w:hAnsi="楷体" w:eastAsia="楷体"/>
      <w:color w:val="000000"/>
      <w:sz w:val="24"/>
      <w:szCs w:val="24"/>
    </w:rPr>
  </w:style>
  <w:style w:type="character" w:customStyle="1" w:styleId="198">
    <w:name w:val="纯文本 Char1"/>
    <w:qFormat/>
    <w:uiPriority w:val="0"/>
    <w:rPr>
      <w:rFonts w:ascii="宋体" w:hAnsi="Courier New"/>
      <w:kern w:val="2"/>
      <w:sz w:val="21"/>
      <w:szCs w:val="24"/>
    </w:rPr>
  </w:style>
  <w:style w:type="character" w:customStyle="1" w:styleId="199">
    <w:name w:val="正文首行缩进2字符 Char"/>
    <w:link w:val="200"/>
    <w:qFormat/>
    <w:uiPriority w:val="0"/>
    <w:rPr>
      <w:rFonts w:eastAsia="仿宋"/>
      <w:sz w:val="28"/>
    </w:rPr>
  </w:style>
  <w:style w:type="paragraph" w:customStyle="1" w:styleId="200">
    <w:name w:val="正文首行缩进2字符"/>
    <w:basedOn w:val="1"/>
    <w:link w:val="199"/>
    <w:qFormat/>
    <w:locked/>
    <w:uiPriority w:val="0"/>
    <w:pPr>
      <w:spacing w:line="360" w:lineRule="auto"/>
      <w:ind w:firstLine="200" w:firstLineChars="200"/>
    </w:pPr>
    <w:rPr>
      <w:rFonts w:eastAsia="仿宋"/>
      <w:kern w:val="0"/>
      <w:sz w:val="28"/>
      <w:szCs w:val="20"/>
    </w:rPr>
  </w:style>
  <w:style w:type="character" w:customStyle="1" w:styleId="201">
    <w:name w:val="generalinfo-address-text"/>
    <w:qFormat/>
    <w:uiPriority w:val="0"/>
  </w:style>
  <w:style w:type="character" w:customStyle="1" w:styleId="202">
    <w:name w:val="ant-form-item-children"/>
    <w:qFormat/>
    <w:uiPriority w:val="0"/>
  </w:style>
  <w:style w:type="character" w:customStyle="1" w:styleId="203">
    <w:name w:val="No Spacing Char"/>
    <w:link w:val="204"/>
    <w:qFormat/>
    <w:locked/>
    <w:uiPriority w:val="0"/>
    <w:rPr>
      <w:rFonts w:ascii="Calibri" w:hAnsi="Calibri" w:eastAsia="仿宋_GB2312"/>
      <w:sz w:val="28"/>
      <w:szCs w:val="22"/>
      <w:lang w:val="en-US" w:eastAsia="zh-CN" w:bidi="ar-SA"/>
    </w:rPr>
  </w:style>
  <w:style w:type="paragraph" w:customStyle="1" w:styleId="204">
    <w:name w:val="无间隔1"/>
    <w:link w:val="203"/>
    <w:qFormat/>
    <w:uiPriority w:val="0"/>
    <w:pPr>
      <w:widowControl w:val="0"/>
      <w:ind w:firstLine="200" w:firstLineChars="200"/>
      <w:jc w:val="both"/>
    </w:pPr>
    <w:rPr>
      <w:rFonts w:ascii="Calibri" w:hAnsi="Calibri" w:eastAsia="仿宋_GB2312" w:cs="Times New Roman"/>
      <w:sz w:val="28"/>
      <w:szCs w:val="22"/>
      <w:lang w:val="en-US" w:eastAsia="zh-CN" w:bidi="ar-SA"/>
    </w:rPr>
  </w:style>
  <w:style w:type="character" w:customStyle="1" w:styleId="205">
    <w:name w:val="Char Char14"/>
    <w:qFormat/>
    <w:uiPriority w:val="0"/>
    <w:rPr>
      <w:rFonts w:eastAsia="仿宋_GB2312"/>
      <w:kern w:val="2"/>
      <w:sz w:val="21"/>
      <w:szCs w:val="24"/>
      <w:lang w:val="en-US" w:eastAsia="zh-CN" w:bidi="ar-SA"/>
    </w:rPr>
  </w:style>
  <w:style w:type="character" w:customStyle="1" w:styleId="206">
    <w:name w:val="明显强调1"/>
    <w:qFormat/>
    <w:uiPriority w:val="0"/>
    <w:rPr>
      <w:rFonts w:eastAsia="宋体"/>
      <w:b/>
      <w:bCs/>
      <w:iCs/>
      <w:color w:val="auto"/>
      <w:sz w:val="24"/>
    </w:rPr>
  </w:style>
  <w:style w:type="character" w:customStyle="1" w:styleId="207">
    <w:name w:val="样式1 Char"/>
    <w:link w:val="208"/>
    <w:qFormat/>
    <w:uiPriority w:val="0"/>
    <w:rPr>
      <w:rFonts w:ascii="楷体_GB2312" w:hAnsi="Calibri" w:eastAsia="楷体_GB2312"/>
      <w:kern w:val="2"/>
      <w:sz w:val="24"/>
      <w:szCs w:val="24"/>
    </w:rPr>
  </w:style>
  <w:style w:type="paragraph" w:customStyle="1" w:styleId="208">
    <w:name w:val="样式1"/>
    <w:basedOn w:val="209"/>
    <w:link w:val="207"/>
    <w:qFormat/>
    <w:uiPriority w:val="0"/>
    <w:pPr>
      <w:spacing w:line="360" w:lineRule="auto"/>
      <w:ind w:firstLine="480"/>
    </w:pPr>
    <w:rPr>
      <w:rFonts w:ascii="楷体_GB2312" w:eastAsia="楷体_GB2312" w:cs="Times New Roman"/>
      <w:sz w:val="24"/>
      <w:szCs w:val="24"/>
    </w:rPr>
  </w:style>
  <w:style w:type="paragraph" w:customStyle="1" w:styleId="209">
    <w:name w:val="列出段落11"/>
    <w:basedOn w:val="1"/>
    <w:qFormat/>
    <w:uiPriority w:val="34"/>
    <w:pPr>
      <w:ind w:firstLine="420" w:firstLineChars="200"/>
    </w:pPr>
    <w:rPr>
      <w:rFonts w:ascii="Calibri" w:hAnsi="Calibri" w:eastAsia="等线" w:cs="黑体"/>
      <w:szCs w:val="22"/>
    </w:rPr>
  </w:style>
  <w:style w:type="character" w:customStyle="1" w:styleId="210">
    <w:name w:val="Style3"/>
    <w:qFormat/>
    <w:uiPriority w:val="0"/>
    <w:rPr>
      <w:rFonts w:ascii="Century Gothic" w:hAnsi="仿宋_GB2312" w:eastAsia="仿宋_GB2312" w:cs="新宋体"/>
      <w:szCs w:val="22"/>
      <w:lang w:eastAsia="zh-CN"/>
    </w:rPr>
  </w:style>
  <w:style w:type="character" w:customStyle="1" w:styleId="211">
    <w:name w:val="Style4"/>
    <w:qFormat/>
    <w:uiPriority w:val="0"/>
    <w:rPr>
      <w:rFonts w:ascii="Century Gothic" w:hAnsi="仿宋_GB2312" w:eastAsia="仿宋_GB2312" w:cs="新宋体"/>
      <w:szCs w:val="22"/>
      <w:lang w:eastAsia="zh-CN"/>
    </w:rPr>
  </w:style>
  <w:style w:type="character" w:customStyle="1" w:styleId="212">
    <w:name w:val="页眉注释 Char Char"/>
    <w:link w:val="213"/>
    <w:qFormat/>
    <w:uiPriority w:val="0"/>
    <w:rPr>
      <w:rFonts w:ascii="华文细黑" w:hAnsi="华文细黑" w:eastAsia="华文细黑"/>
      <w:b/>
      <w:color w:val="FFFFFF"/>
      <w:kern w:val="2"/>
      <w:sz w:val="18"/>
      <w:szCs w:val="18"/>
    </w:rPr>
  </w:style>
  <w:style w:type="paragraph" w:customStyle="1" w:styleId="213">
    <w:name w:val="页眉注释"/>
    <w:basedOn w:val="1"/>
    <w:link w:val="212"/>
    <w:qFormat/>
    <w:uiPriority w:val="0"/>
    <w:pPr>
      <w:spacing w:line="0" w:lineRule="atLeast"/>
      <w:jc w:val="center"/>
    </w:pPr>
    <w:rPr>
      <w:rFonts w:ascii="华文细黑" w:hAnsi="华文细黑" w:eastAsia="华文细黑"/>
      <w:b/>
      <w:color w:val="FFFFFF"/>
      <w:sz w:val="18"/>
      <w:szCs w:val="18"/>
    </w:rPr>
  </w:style>
  <w:style w:type="character" w:customStyle="1" w:styleId="214">
    <w:name w:val="heading 2 Char1"/>
    <w:qFormat/>
    <w:uiPriority w:val="0"/>
    <w:rPr>
      <w:rFonts w:ascii="Verdana" w:hAnsi="Verdana" w:eastAsia="仿宋_GB2312"/>
      <w:b/>
      <w:bCs/>
      <w:kern w:val="2"/>
      <w:sz w:val="32"/>
      <w:szCs w:val="32"/>
      <w:lang w:val="en-US" w:eastAsia="zh-CN" w:bidi="ar-SA"/>
    </w:rPr>
  </w:style>
  <w:style w:type="character" w:customStyle="1" w:styleId="215">
    <w:name w:val="Char Char16"/>
    <w:qFormat/>
    <w:uiPriority w:val="0"/>
    <w:rPr>
      <w:b/>
      <w:bCs/>
      <w:kern w:val="2"/>
      <w:sz w:val="28"/>
      <w:szCs w:val="28"/>
    </w:rPr>
  </w:style>
  <w:style w:type="character" w:customStyle="1" w:styleId="216">
    <w:name w:val="heading 3 Char1"/>
    <w:qFormat/>
    <w:uiPriority w:val="0"/>
    <w:rPr>
      <w:rFonts w:eastAsia="仿宋_GB2312"/>
      <w:b/>
      <w:bCs/>
      <w:kern w:val="2"/>
      <w:sz w:val="32"/>
      <w:szCs w:val="32"/>
      <w:lang w:val="en-US" w:eastAsia="zh-CN" w:bidi="ar-SA"/>
    </w:rPr>
  </w:style>
  <w:style w:type="character" w:customStyle="1" w:styleId="217">
    <w:name w:val="不明显强调1"/>
    <w:qFormat/>
    <w:uiPriority w:val="0"/>
    <w:rPr>
      <w:i/>
      <w:iCs/>
      <w:color w:val="808080"/>
    </w:rPr>
  </w:style>
  <w:style w:type="character" w:customStyle="1" w:styleId="218">
    <w:name w:val="无间隔 Char"/>
    <w:link w:val="219"/>
    <w:qFormat/>
    <w:uiPriority w:val="1"/>
    <w:rPr>
      <w:rFonts w:ascii="Century Gothic" w:hAnsi="Century Gothic" w:eastAsia="Times New Roman"/>
      <w:sz w:val="22"/>
      <w:szCs w:val="22"/>
      <w:lang w:val="en-US" w:eastAsia="zh-CN" w:bidi="ar-SA"/>
    </w:rPr>
  </w:style>
  <w:style w:type="paragraph" w:styleId="219">
    <w:name w:val="No Spacing"/>
    <w:link w:val="218"/>
    <w:qFormat/>
    <w:uiPriority w:val="1"/>
    <w:rPr>
      <w:rFonts w:ascii="Century Gothic" w:hAnsi="Century Gothic" w:eastAsia="Times New Roman" w:cs="Times New Roman"/>
      <w:sz w:val="22"/>
      <w:szCs w:val="22"/>
      <w:lang w:val="en-US" w:eastAsia="zh-CN" w:bidi="ar-SA"/>
    </w:rPr>
  </w:style>
  <w:style w:type="character" w:customStyle="1" w:styleId="220">
    <w:name w:val="样式2 Char"/>
    <w:link w:val="221"/>
    <w:qFormat/>
    <w:uiPriority w:val="0"/>
    <w:rPr>
      <w:rFonts w:ascii="仿宋_GB2312" w:hAnsi="仿宋_GB2312" w:eastAsia="仿宋_GB2312"/>
      <w:bCs/>
      <w:kern w:val="2"/>
      <w:sz w:val="28"/>
      <w:szCs w:val="28"/>
    </w:rPr>
  </w:style>
  <w:style w:type="paragraph" w:customStyle="1" w:styleId="221">
    <w:name w:val="样式2"/>
    <w:basedOn w:val="6"/>
    <w:link w:val="220"/>
    <w:qFormat/>
    <w:uiPriority w:val="0"/>
    <w:pPr>
      <w:snapToGrid w:val="0"/>
      <w:spacing w:afterLines="50" w:line="480" w:lineRule="exact"/>
      <w:ind w:firstLine="556"/>
    </w:pPr>
    <w:rPr>
      <w:rFonts w:ascii="仿宋_GB2312" w:hAnsi="仿宋_GB2312" w:eastAsia="仿宋_GB2312"/>
      <w:b w:val="0"/>
      <w:sz w:val="28"/>
      <w:szCs w:val="28"/>
    </w:rPr>
  </w:style>
  <w:style w:type="character" w:customStyle="1" w:styleId="222">
    <w:name w:val="1233 Char"/>
    <w:link w:val="223"/>
    <w:qFormat/>
    <w:uiPriority w:val="0"/>
    <w:rPr>
      <w:rFonts w:ascii="仿宋" w:hAnsi="仿宋" w:eastAsia="仿宋"/>
      <w:b/>
      <w:bCs/>
      <w:kern w:val="44"/>
      <w:sz w:val="24"/>
      <w:szCs w:val="24"/>
    </w:rPr>
  </w:style>
  <w:style w:type="paragraph" w:customStyle="1" w:styleId="223">
    <w:name w:val="1233"/>
    <w:basedOn w:val="5"/>
    <w:link w:val="222"/>
    <w:qFormat/>
    <w:uiPriority w:val="0"/>
    <w:pPr>
      <w:keepLines/>
      <w:spacing w:line="360" w:lineRule="auto"/>
      <w:ind w:firstLine="200" w:firstLineChars="200"/>
      <w:jc w:val="both"/>
    </w:pPr>
    <w:rPr>
      <w:rFonts w:ascii="仿宋" w:hAnsi="仿宋" w:eastAsia="仿宋"/>
      <w:kern w:val="44"/>
      <w:sz w:val="24"/>
    </w:rPr>
  </w:style>
  <w:style w:type="character" w:customStyle="1" w:styleId="224">
    <w:name w:val="Intense Emphasis1"/>
    <w:qFormat/>
    <w:uiPriority w:val="0"/>
    <w:rPr>
      <w:b/>
      <w:bCs/>
      <w:i/>
      <w:iCs/>
      <w:color w:val="4F81BD"/>
    </w:rPr>
  </w:style>
  <w:style w:type="character" w:customStyle="1" w:styleId="225">
    <w:name w:val="Char Char111"/>
    <w:qFormat/>
    <w:uiPriority w:val="0"/>
    <w:rPr>
      <w:rFonts w:ascii="新宋体" w:hAnsi="新宋体" w:eastAsia="仿宋_GB2312" w:cs="新宋体"/>
      <w:sz w:val="18"/>
      <w:szCs w:val="18"/>
    </w:rPr>
  </w:style>
  <w:style w:type="character" w:customStyle="1" w:styleId="226">
    <w:name w:val="正文缩进 字符"/>
    <w:qFormat/>
    <w:uiPriority w:val="0"/>
    <w:rPr>
      <w:sz w:val="28"/>
    </w:rPr>
  </w:style>
  <w:style w:type="character" w:customStyle="1" w:styleId="227">
    <w:name w:val="BZ_封面_名称 Char"/>
    <w:link w:val="228"/>
    <w:qFormat/>
    <w:uiPriority w:val="0"/>
    <w:rPr>
      <w:rFonts w:eastAsia="黑体"/>
      <w:kern w:val="2"/>
      <w:sz w:val="44"/>
      <w:szCs w:val="44"/>
    </w:rPr>
  </w:style>
  <w:style w:type="paragraph" w:customStyle="1" w:styleId="228">
    <w:name w:val="BZ_封面_名称"/>
    <w:basedOn w:val="1"/>
    <w:link w:val="227"/>
    <w:qFormat/>
    <w:uiPriority w:val="0"/>
    <w:pPr>
      <w:widowControl/>
      <w:jc w:val="center"/>
    </w:pPr>
    <w:rPr>
      <w:rFonts w:eastAsia="黑体"/>
      <w:sz w:val="44"/>
      <w:szCs w:val="44"/>
    </w:rPr>
  </w:style>
  <w:style w:type="character" w:customStyle="1" w:styleId="229">
    <w:name w:val="Char Char19"/>
    <w:qFormat/>
    <w:uiPriority w:val="0"/>
    <w:rPr>
      <w:rFonts w:ascii="Tahoma" w:hAnsi="Tahoma" w:eastAsia="Helvetica"/>
      <w:sz w:val="21"/>
      <w:szCs w:val="21"/>
      <w:lang w:val="en-US" w:eastAsia="zh-CN" w:bidi="ar-SA"/>
    </w:rPr>
  </w:style>
  <w:style w:type="character" w:customStyle="1" w:styleId="230">
    <w:name w:val="Table Text Char Char"/>
    <w:qFormat/>
    <w:uiPriority w:val="0"/>
    <w:rPr>
      <w:rFonts w:eastAsia="仿宋_GB2312"/>
      <w:sz w:val="24"/>
      <w:lang w:bidi="ar-SA"/>
    </w:rPr>
  </w:style>
  <w:style w:type="character" w:customStyle="1" w:styleId="231">
    <w:name w:val="heading 4 Char1"/>
    <w:qFormat/>
    <w:uiPriority w:val="0"/>
    <w:rPr>
      <w:rFonts w:ascii="Verdana" w:hAnsi="Verdana" w:eastAsia="仿宋_GB2312"/>
      <w:b/>
      <w:bCs/>
      <w:kern w:val="2"/>
      <w:sz w:val="28"/>
      <w:szCs w:val="28"/>
      <w:lang w:val="en-US" w:eastAsia="zh-CN" w:bidi="ar-SA"/>
    </w:rPr>
  </w:style>
  <w:style w:type="character" w:customStyle="1" w:styleId="232">
    <w:name w:val="heading 3 Char"/>
    <w:qFormat/>
    <w:uiPriority w:val="0"/>
    <w:rPr>
      <w:rFonts w:ascii="Tahoma" w:hAnsi="Tahoma" w:eastAsia="Helvetica"/>
      <w:sz w:val="28"/>
      <w:szCs w:val="24"/>
    </w:rPr>
  </w:style>
  <w:style w:type="character" w:customStyle="1" w:styleId="233">
    <w:name w:val="heading 4 Char2"/>
    <w:qFormat/>
    <w:uiPriority w:val="0"/>
    <w:rPr>
      <w:rFonts w:ascii="Verdana" w:hAnsi="Verdana"/>
      <w:b/>
      <w:bCs/>
      <w:kern w:val="2"/>
      <w:sz w:val="28"/>
      <w:szCs w:val="28"/>
    </w:rPr>
  </w:style>
  <w:style w:type="character" w:customStyle="1" w:styleId="234">
    <w:name w:val="书籍标题1"/>
    <w:qFormat/>
    <w:uiPriority w:val="0"/>
    <w:rPr>
      <w:b/>
      <w:bCs/>
      <w:smallCaps/>
      <w:spacing w:val="5"/>
    </w:rPr>
  </w:style>
  <w:style w:type="character" w:customStyle="1" w:styleId="235">
    <w:name w:val="Ò³Ã¼ Char Char2"/>
    <w:qFormat/>
    <w:uiPriority w:val="0"/>
    <w:rPr>
      <w:kern w:val="2"/>
      <w:sz w:val="18"/>
      <w:szCs w:val="18"/>
    </w:rPr>
  </w:style>
  <w:style w:type="character" w:customStyle="1" w:styleId="236">
    <w:name w:val="标题 6 字符"/>
    <w:qFormat/>
    <w:uiPriority w:val="0"/>
    <w:rPr>
      <w:rFonts w:ascii="Arial" w:hAnsi="Arial" w:eastAsia="黑体"/>
      <w:spacing w:val="20"/>
      <w:kern w:val="2"/>
      <w:sz w:val="28"/>
    </w:rPr>
  </w:style>
  <w:style w:type="character" w:customStyle="1" w:styleId="237">
    <w:name w:val="Footer-Even Char"/>
    <w:qFormat/>
    <w:uiPriority w:val="0"/>
    <w:rPr>
      <w:sz w:val="18"/>
      <w:szCs w:val="18"/>
    </w:rPr>
  </w:style>
  <w:style w:type="character" w:customStyle="1" w:styleId="238">
    <w:name w:val="标题 8 字符"/>
    <w:qFormat/>
    <w:uiPriority w:val="0"/>
    <w:rPr>
      <w:rFonts w:ascii="Arial" w:hAnsi="Arial" w:eastAsia="黑体"/>
      <w:kern w:val="2"/>
      <w:sz w:val="24"/>
      <w:vertAlign w:val="superscript"/>
    </w:rPr>
  </w:style>
  <w:style w:type="character" w:customStyle="1" w:styleId="239">
    <w:name w:val="content_title1"/>
    <w:qFormat/>
    <w:uiPriority w:val="0"/>
    <w:rPr>
      <w:rFonts w:eastAsia="宋体"/>
      <w:color w:val="9A1601"/>
      <w:kern w:val="2"/>
      <w:sz w:val="21"/>
      <w:szCs w:val="21"/>
      <w:lang w:val="en-US" w:eastAsia="zh-CN" w:bidi="ar-SA"/>
    </w:rPr>
  </w:style>
  <w:style w:type="character" w:customStyle="1" w:styleId="240">
    <w:name w:val="标题 7 字符"/>
    <w:qFormat/>
    <w:uiPriority w:val="0"/>
    <w:rPr>
      <w:b/>
      <w:kern w:val="2"/>
      <w:sz w:val="24"/>
      <w:vertAlign w:val="superscript"/>
    </w:rPr>
  </w:style>
  <w:style w:type="character" w:customStyle="1" w:styleId="241">
    <w:name w:val="标题 5 字符"/>
    <w:qFormat/>
    <w:uiPriority w:val="0"/>
    <w:rPr>
      <w:kern w:val="2"/>
      <w:sz w:val="28"/>
    </w:rPr>
  </w:style>
  <w:style w:type="character" w:customStyle="1" w:styleId="242">
    <w:name w:val="正文居中 Char Char"/>
    <w:link w:val="243"/>
    <w:qFormat/>
    <w:uiPriority w:val="0"/>
    <w:rPr>
      <w:kern w:val="2"/>
      <w:sz w:val="21"/>
      <w:szCs w:val="24"/>
    </w:rPr>
  </w:style>
  <w:style w:type="paragraph" w:customStyle="1" w:styleId="243">
    <w:name w:val="正文居中"/>
    <w:basedOn w:val="1"/>
    <w:link w:val="242"/>
    <w:qFormat/>
    <w:uiPriority w:val="0"/>
    <w:pPr>
      <w:jc w:val="center"/>
    </w:pPr>
  </w:style>
  <w:style w:type="character" w:customStyle="1" w:styleId="244">
    <w:name w:val="正文文本缩进 2 字符"/>
    <w:qFormat/>
    <w:uiPriority w:val="0"/>
    <w:rPr>
      <w:sz w:val="28"/>
    </w:rPr>
  </w:style>
  <w:style w:type="character" w:customStyle="1" w:styleId="245">
    <w:name w:val="t11"/>
    <w:qFormat/>
    <w:uiPriority w:val="0"/>
    <w:rPr>
      <w:rFonts w:eastAsia="宋体"/>
      <w:color w:val="333333"/>
      <w:kern w:val="2"/>
      <w:sz w:val="18"/>
      <w:szCs w:val="18"/>
      <w:lang w:val="en-US" w:eastAsia="zh-CN" w:bidi="ar-SA"/>
    </w:rPr>
  </w:style>
  <w:style w:type="character" w:customStyle="1" w:styleId="246">
    <w:name w:val="正文文本 Char Char"/>
    <w:qFormat/>
    <w:uiPriority w:val="0"/>
    <w:rPr>
      <w:rFonts w:ascii="Times New Roman" w:hAnsi="Times New Roman"/>
      <w:kern w:val="2"/>
      <w:sz w:val="21"/>
      <w:szCs w:val="24"/>
    </w:rPr>
  </w:style>
  <w:style w:type="character" w:customStyle="1" w:styleId="247">
    <w:name w:val="引用 Char"/>
    <w:qFormat/>
    <w:uiPriority w:val="0"/>
    <w:rPr>
      <w:rFonts w:ascii="Century Gothic" w:hAnsi="Century Gothic" w:eastAsia="仿宋_GB2312"/>
      <w:i/>
      <w:iCs/>
      <w:color w:val="000000"/>
    </w:rPr>
  </w:style>
  <w:style w:type="character" w:customStyle="1" w:styleId="248">
    <w:name w:val="引用 Char1"/>
    <w:link w:val="249"/>
    <w:semiHidden/>
    <w:qFormat/>
    <w:uiPriority w:val="99"/>
    <w:rPr>
      <w:i/>
      <w:iCs/>
      <w:color w:val="000000"/>
      <w:kern w:val="2"/>
      <w:sz w:val="21"/>
      <w:szCs w:val="24"/>
    </w:rPr>
  </w:style>
  <w:style w:type="paragraph" w:styleId="249">
    <w:name w:val="Quote"/>
    <w:basedOn w:val="1"/>
    <w:next w:val="1"/>
    <w:link w:val="248"/>
    <w:qFormat/>
    <w:uiPriority w:val="99"/>
    <w:rPr>
      <w:i/>
      <w:iCs/>
      <w:color w:val="000000"/>
    </w:rPr>
  </w:style>
  <w:style w:type="character" w:customStyle="1" w:styleId="250">
    <w:name w:val="正文4 Char"/>
    <w:qFormat/>
    <w:uiPriority w:val="0"/>
    <w:rPr>
      <w:rFonts w:ascii="新宋体" w:hAnsi="新宋体" w:eastAsia="宋体" w:cs="新宋体"/>
      <w:kern w:val="2"/>
      <w:sz w:val="24"/>
      <w:szCs w:val="24"/>
      <w:lang w:val="en-US" w:eastAsia="zh-CN" w:bidi="ar-SA"/>
    </w:rPr>
  </w:style>
  <w:style w:type="character" w:customStyle="1" w:styleId="251">
    <w:name w:val="heading 5 Char1"/>
    <w:qFormat/>
    <w:uiPriority w:val="0"/>
    <w:rPr>
      <w:rFonts w:eastAsia="仿宋_GB2312"/>
      <w:b/>
      <w:bCs/>
      <w:kern w:val="2"/>
      <w:sz w:val="28"/>
      <w:szCs w:val="28"/>
      <w:lang w:val="en-US" w:eastAsia="zh-CN" w:bidi="ar-SA"/>
    </w:rPr>
  </w:style>
  <w:style w:type="character" w:customStyle="1" w:styleId="252">
    <w:name w:val="Char Char22"/>
    <w:qFormat/>
    <w:uiPriority w:val="0"/>
    <w:rPr>
      <w:rFonts w:ascii="Tahoma" w:hAnsi="Tahoma" w:eastAsia="Helvetica"/>
      <w:b/>
      <w:bCs/>
      <w:kern w:val="44"/>
      <w:sz w:val="30"/>
      <w:szCs w:val="44"/>
      <w:lang w:val="en-US" w:eastAsia="zh-CN" w:bidi="ar-SA"/>
    </w:rPr>
  </w:style>
  <w:style w:type="character" w:customStyle="1" w:styleId="253">
    <w:name w:val="表格 Char Char"/>
    <w:link w:val="254"/>
    <w:qFormat/>
    <w:uiPriority w:val="0"/>
    <w:rPr>
      <w:rFonts w:ascii="仿宋_GB2312" w:hAnsi="仿宋_GB2312" w:eastAsia="仿宋_GB2312"/>
    </w:rPr>
  </w:style>
  <w:style w:type="paragraph" w:customStyle="1" w:styleId="254">
    <w:name w:val="表格"/>
    <w:basedOn w:val="1"/>
    <w:link w:val="253"/>
    <w:qFormat/>
    <w:uiPriority w:val="0"/>
    <w:pPr>
      <w:autoSpaceDE w:val="0"/>
      <w:autoSpaceDN w:val="0"/>
      <w:adjustRightInd w:val="0"/>
      <w:snapToGrid w:val="0"/>
      <w:ind w:firstLine="42" w:firstLineChars="21"/>
      <w:jc w:val="left"/>
    </w:pPr>
    <w:rPr>
      <w:rFonts w:ascii="仿宋_GB2312" w:hAnsi="仿宋_GB2312" w:eastAsia="仿宋_GB2312"/>
      <w:kern w:val="0"/>
      <w:sz w:val="20"/>
      <w:szCs w:val="20"/>
    </w:rPr>
  </w:style>
  <w:style w:type="character" w:customStyle="1" w:styleId="255">
    <w:name w:val="一级标题 Char"/>
    <w:link w:val="256"/>
    <w:qFormat/>
    <w:uiPriority w:val="0"/>
    <w:rPr>
      <w:rFonts w:ascii="黑体" w:eastAsia="华文中宋"/>
      <w:b/>
      <w:kern w:val="44"/>
      <w:sz w:val="36"/>
      <w:szCs w:val="44"/>
    </w:rPr>
  </w:style>
  <w:style w:type="paragraph" w:customStyle="1" w:styleId="256">
    <w:name w:val="一级标题"/>
    <w:basedOn w:val="5"/>
    <w:link w:val="255"/>
    <w:qFormat/>
    <w:uiPriority w:val="0"/>
    <w:pPr>
      <w:keepLines/>
      <w:pageBreakBefore/>
      <w:spacing w:line="578" w:lineRule="auto"/>
      <w:ind w:left="432" w:hanging="432"/>
    </w:pPr>
    <w:rPr>
      <w:rFonts w:ascii="黑体" w:eastAsia="华文中宋"/>
      <w:bCs w:val="0"/>
      <w:kern w:val="44"/>
      <w:sz w:val="36"/>
      <w:szCs w:val="44"/>
    </w:rPr>
  </w:style>
  <w:style w:type="character" w:customStyle="1" w:styleId="257">
    <w:name w:val="正文（小四+1.25倍行距） Char"/>
    <w:link w:val="258"/>
    <w:qFormat/>
    <w:uiPriority w:val="0"/>
    <w:rPr>
      <w:sz w:val="24"/>
      <w:szCs w:val="24"/>
    </w:rPr>
  </w:style>
  <w:style w:type="paragraph" w:customStyle="1" w:styleId="258">
    <w:name w:val="正文（小四+1.25倍行距）"/>
    <w:basedOn w:val="1"/>
    <w:link w:val="257"/>
    <w:qFormat/>
    <w:uiPriority w:val="0"/>
    <w:pPr>
      <w:spacing w:afterLines="50" w:line="300" w:lineRule="auto"/>
      <w:ind w:firstLine="420"/>
    </w:pPr>
    <w:rPr>
      <w:kern w:val="0"/>
      <w:sz w:val="24"/>
    </w:rPr>
  </w:style>
  <w:style w:type="character" w:customStyle="1" w:styleId="259">
    <w:name w:val="Ò³Ã¼ Char Char1"/>
    <w:qFormat/>
    <w:uiPriority w:val="0"/>
    <w:rPr>
      <w:rFonts w:eastAsia="仿宋_GB2312"/>
      <w:kern w:val="2"/>
      <w:sz w:val="18"/>
      <w:szCs w:val="18"/>
      <w:lang w:val="en-US" w:eastAsia="zh-CN" w:bidi="ar-SA"/>
    </w:rPr>
  </w:style>
  <w:style w:type="character" w:customStyle="1" w:styleId="260">
    <w:name w:val="正文首行缩进 字符"/>
    <w:qFormat/>
    <w:uiPriority w:val="0"/>
  </w:style>
  <w:style w:type="character" w:customStyle="1" w:styleId="261">
    <w:name w:val="信息标题 Char"/>
    <w:qFormat/>
    <w:uiPriority w:val="0"/>
    <w:rPr>
      <w:rFonts w:eastAsia="仿宋_GB2312"/>
      <w:kern w:val="2"/>
      <w:sz w:val="21"/>
      <w:szCs w:val="24"/>
      <w:shd w:val="pct20" w:color="auto" w:fill="auto"/>
    </w:rPr>
  </w:style>
  <w:style w:type="character" w:customStyle="1" w:styleId="262">
    <w:name w:val="Char Char61"/>
    <w:qFormat/>
    <w:uiPriority w:val="0"/>
    <w:rPr>
      <w:rFonts w:ascii="新宋体" w:hAnsi="新宋体" w:eastAsia="仿宋_GB2312" w:cs="新宋体"/>
      <w:szCs w:val="24"/>
    </w:rPr>
  </w:style>
  <w:style w:type="character" w:customStyle="1" w:styleId="263">
    <w:name w:val="符号正文缩进 Char Char"/>
    <w:link w:val="264"/>
    <w:qFormat/>
    <w:uiPriority w:val="0"/>
    <w:rPr>
      <w:kern w:val="2"/>
      <w:sz w:val="24"/>
      <w:szCs w:val="24"/>
    </w:rPr>
  </w:style>
  <w:style w:type="paragraph" w:customStyle="1" w:styleId="264">
    <w:name w:val="符号正文缩进"/>
    <w:basedOn w:val="17"/>
    <w:link w:val="263"/>
    <w:qFormat/>
    <w:uiPriority w:val="0"/>
    <w:pPr>
      <w:tabs>
        <w:tab w:val="left" w:pos="1497"/>
      </w:tabs>
      <w:spacing w:line="400" w:lineRule="atLeast"/>
      <w:ind w:left="567" w:firstLine="510"/>
    </w:pPr>
    <w:rPr>
      <w:kern w:val="2"/>
      <w:sz w:val="24"/>
      <w:szCs w:val="24"/>
    </w:rPr>
  </w:style>
  <w:style w:type="character" w:customStyle="1" w:styleId="265">
    <w:name w:val="Char Char11"/>
    <w:qFormat/>
    <w:uiPriority w:val="0"/>
    <w:rPr>
      <w:rFonts w:ascii="新宋体" w:hAnsi="新宋体" w:eastAsia="仿宋_GB2312" w:cs="新宋体"/>
      <w:sz w:val="18"/>
      <w:szCs w:val="18"/>
    </w:rPr>
  </w:style>
  <w:style w:type="character" w:customStyle="1" w:styleId="266">
    <w:name w:val="heading 1 Char2"/>
    <w:qFormat/>
    <w:uiPriority w:val="0"/>
    <w:rPr>
      <w:b/>
      <w:bCs/>
      <w:kern w:val="44"/>
      <w:sz w:val="44"/>
      <w:szCs w:val="44"/>
    </w:rPr>
  </w:style>
  <w:style w:type="character" w:customStyle="1" w:styleId="267">
    <w:name w:val="Char Char13"/>
    <w:qFormat/>
    <w:uiPriority w:val="0"/>
    <w:rPr>
      <w:rFonts w:ascii="Times New Roman" w:hAnsi="Times New Roman" w:eastAsia="宋体" w:cs="Times New Roman"/>
      <w:b/>
      <w:bCs/>
      <w:color w:val="auto"/>
      <w:kern w:val="2"/>
      <w:szCs w:val="20"/>
    </w:rPr>
  </w:style>
  <w:style w:type="character" w:customStyle="1" w:styleId="268">
    <w:name w:val="heading 7 Char1"/>
    <w:qFormat/>
    <w:uiPriority w:val="0"/>
    <w:rPr>
      <w:rFonts w:ascii="Tahoma" w:hAnsi="Tahoma" w:eastAsia="Helvetica"/>
      <w:sz w:val="21"/>
      <w:szCs w:val="21"/>
      <w:lang w:val="en-US" w:eastAsia="zh-CN" w:bidi="ar-SA"/>
    </w:rPr>
  </w:style>
  <w:style w:type="character" w:customStyle="1" w:styleId="269">
    <w:name w:val="Style2"/>
    <w:qFormat/>
    <w:uiPriority w:val="0"/>
    <w:rPr>
      <w:rFonts w:ascii="Century Gothic" w:hAnsi="仿宋_GB2312" w:eastAsia="仿宋_GB2312" w:cs="新宋体"/>
      <w:sz w:val="22"/>
      <w:szCs w:val="22"/>
      <w:lang w:eastAsia="zh-CN"/>
    </w:rPr>
  </w:style>
  <w:style w:type="character" w:customStyle="1" w:styleId="270">
    <w:name w:val="blue1"/>
    <w:qFormat/>
    <w:uiPriority w:val="0"/>
  </w:style>
  <w:style w:type="character" w:customStyle="1" w:styleId="271">
    <w:name w:val="style111"/>
    <w:qFormat/>
    <w:uiPriority w:val="0"/>
    <w:rPr>
      <w:sz w:val="27"/>
      <w:szCs w:val="27"/>
    </w:rPr>
  </w:style>
  <w:style w:type="character" w:customStyle="1" w:styleId="272">
    <w:name w:val="emailstyle15"/>
    <w:qFormat/>
    <w:uiPriority w:val="0"/>
    <w:rPr>
      <w:rFonts w:ascii="Arial" w:hAnsi="Arial" w:eastAsia="宋体" w:cs="Arial"/>
      <w:color w:val="auto"/>
      <w:kern w:val="2"/>
      <w:sz w:val="20"/>
      <w:szCs w:val="24"/>
      <w:lang w:val="en-US" w:eastAsia="zh-CN" w:bidi="ar-SA"/>
    </w:rPr>
  </w:style>
  <w:style w:type="character" w:customStyle="1" w:styleId="273">
    <w:name w:val="个人撰写风格"/>
    <w:qFormat/>
    <w:uiPriority w:val="0"/>
    <w:rPr>
      <w:rFonts w:ascii="Arial" w:hAnsi="Arial" w:eastAsia="宋体" w:cs="Arial"/>
      <w:color w:val="auto"/>
      <w:kern w:val="2"/>
      <w:sz w:val="20"/>
      <w:szCs w:val="24"/>
      <w:lang w:val="en-US" w:eastAsia="zh-CN" w:bidi="ar-SA"/>
    </w:rPr>
  </w:style>
  <w:style w:type="character" w:customStyle="1" w:styleId="274">
    <w:name w:val="font01"/>
    <w:qFormat/>
    <w:uiPriority w:val="0"/>
    <w:rPr>
      <w:rFonts w:hint="eastAsia" w:ascii="宋体" w:hAnsi="宋体" w:eastAsia="宋体" w:cs="宋体"/>
      <w:color w:val="000000"/>
      <w:sz w:val="18"/>
      <w:szCs w:val="18"/>
      <w:u w:val="none"/>
      <w:vertAlign w:val="superscript"/>
    </w:rPr>
  </w:style>
  <w:style w:type="character" w:customStyle="1" w:styleId="275">
    <w:name w:val="Char Char21"/>
    <w:qFormat/>
    <w:uiPriority w:val="0"/>
    <w:rPr>
      <w:rFonts w:ascii="新宋体" w:hAnsi="新宋体" w:eastAsia="仿宋_GB2312" w:cs="新宋体"/>
      <w:b/>
      <w:bCs/>
      <w:kern w:val="44"/>
      <w:sz w:val="44"/>
      <w:szCs w:val="44"/>
    </w:rPr>
  </w:style>
  <w:style w:type="character" w:customStyle="1" w:styleId="276">
    <w:name w:val="Char Char24"/>
    <w:qFormat/>
    <w:uiPriority w:val="0"/>
    <w:rPr>
      <w:rFonts w:ascii="Verdana" w:hAnsi="Verdana" w:eastAsia="仿宋_GB2312"/>
      <w:b/>
      <w:bCs/>
      <w:kern w:val="2"/>
      <w:sz w:val="32"/>
      <w:szCs w:val="32"/>
      <w:lang w:val="en-US" w:eastAsia="zh-CN" w:bidi="ar-SA"/>
    </w:rPr>
  </w:style>
  <w:style w:type="character" w:customStyle="1" w:styleId="277">
    <w:name w:val="Char Char181"/>
    <w:qFormat/>
    <w:uiPriority w:val="0"/>
    <w:rPr>
      <w:rFonts w:ascii="Tahoma" w:hAnsi="Tahoma" w:eastAsia="Helvetica"/>
      <w:sz w:val="24"/>
      <w:lang w:val="en-US" w:eastAsia="zh-CN" w:bidi="ar-SA"/>
    </w:rPr>
  </w:style>
  <w:style w:type="character" w:customStyle="1" w:styleId="278">
    <w:name w:val="heading 5 Char"/>
    <w:qFormat/>
    <w:uiPriority w:val="0"/>
    <w:rPr>
      <w:rFonts w:ascii="Tahoma" w:hAnsi="Tahoma" w:eastAsia="Helvetica"/>
      <w:sz w:val="21"/>
      <w:szCs w:val="21"/>
    </w:rPr>
  </w:style>
  <w:style w:type="character" w:customStyle="1" w:styleId="279">
    <w:name w:val="heading 3 Char2"/>
    <w:qFormat/>
    <w:uiPriority w:val="0"/>
    <w:rPr>
      <w:b/>
      <w:bCs/>
      <w:kern w:val="2"/>
      <w:sz w:val="32"/>
      <w:szCs w:val="32"/>
    </w:rPr>
  </w:style>
  <w:style w:type="character" w:customStyle="1" w:styleId="280">
    <w:name w:val="列出段落 Char1"/>
    <w:qFormat/>
    <w:uiPriority w:val="0"/>
    <w:rPr>
      <w:kern w:val="2"/>
      <w:sz w:val="21"/>
      <w:szCs w:val="24"/>
    </w:rPr>
  </w:style>
  <w:style w:type="character" w:customStyle="1" w:styleId="281">
    <w:name w:val="Footer-Even Char2"/>
    <w:qFormat/>
    <w:uiPriority w:val="0"/>
    <w:rPr>
      <w:kern w:val="2"/>
      <w:sz w:val="18"/>
      <w:szCs w:val="18"/>
    </w:rPr>
  </w:style>
  <w:style w:type="character" w:customStyle="1" w:styleId="282">
    <w:name w:val="heading 1 Char1"/>
    <w:qFormat/>
    <w:uiPriority w:val="0"/>
    <w:rPr>
      <w:rFonts w:eastAsia="仿宋_GB2312"/>
      <w:b/>
      <w:bCs/>
      <w:kern w:val="44"/>
      <w:sz w:val="44"/>
      <w:szCs w:val="44"/>
      <w:lang w:val="en-US" w:eastAsia="zh-CN" w:bidi="ar-SA"/>
    </w:rPr>
  </w:style>
  <w:style w:type="character" w:customStyle="1" w:styleId="283">
    <w:name w:val="kpk:正文 Char"/>
    <w:link w:val="284"/>
    <w:qFormat/>
    <w:uiPriority w:val="0"/>
    <w:rPr>
      <w:rFonts w:ascii="宋体" w:hAnsi="宋体"/>
      <w:kern w:val="2"/>
      <w:sz w:val="24"/>
      <w:szCs w:val="24"/>
      <w:lang w:val="en-GB"/>
    </w:rPr>
  </w:style>
  <w:style w:type="paragraph" w:customStyle="1" w:styleId="284">
    <w:name w:val="kpk:正文"/>
    <w:basedOn w:val="1"/>
    <w:link w:val="283"/>
    <w:qFormat/>
    <w:uiPriority w:val="0"/>
    <w:pPr>
      <w:wordWrap w:val="0"/>
      <w:spacing w:beforeLines="50" w:after="312" w:line="360" w:lineRule="auto"/>
      <w:ind w:firstLine="480" w:firstLineChars="200"/>
      <w:jc w:val="left"/>
    </w:pPr>
    <w:rPr>
      <w:rFonts w:ascii="宋体" w:hAnsi="宋体"/>
      <w:sz w:val="24"/>
      <w:lang w:val="en-GB"/>
    </w:rPr>
  </w:style>
  <w:style w:type="character" w:customStyle="1" w:styleId="285">
    <w:name w:val="彩色列表 - 强调文字颜色 1 Char"/>
    <w:link w:val="286"/>
    <w:qFormat/>
    <w:uiPriority w:val="0"/>
    <w:rPr>
      <w:kern w:val="2"/>
      <w:sz w:val="21"/>
      <w:szCs w:val="22"/>
    </w:rPr>
  </w:style>
  <w:style w:type="paragraph" w:customStyle="1" w:styleId="286">
    <w:name w:val="彩色列表 - 强调文字颜色 11"/>
    <w:basedOn w:val="1"/>
    <w:link w:val="285"/>
    <w:qFormat/>
    <w:uiPriority w:val="0"/>
    <w:pPr>
      <w:ind w:firstLine="420" w:firstLineChars="200"/>
    </w:pPr>
    <w:rPr>
      <w:szCs w:val="22"/>
    </w:rPr>
  </w:style>
  <w:style w:type="character" w:customStyle="1" w:styleId="287">
    <w:name w:val="A3 Char"/>
    <w:link w:val="288"/>
    <w:qFormat/>
    <w:uiPriority w:val="0"/>
    <w:rPr>
      <w:b/>
      <w:bCs/>
      <w:sz w:val="32"/>
      <w:szCs w:val="32"/>
    </w:rPr>
  </w:style>
  <w:style w:type="paragraph" w:customStyle="1" w:styleId="288">
    <w:name w:val="A3"/>
    <w:basedOn w:val="7"/>
    <w:link w:val="287"/>
    <w:qFormat/>
    <w:uiPriority w:val="0"/>
    <w:pPr>
      <w:spacing w:before="0" w:after="0" w:line="415" w:lineRule="auto"/>
      <w:ind w:left="720" w:hanging="720"/>
      <w:jc w:val="left"/>
    </w:pPr>
    <w:rPr>
      <w:kern w:val="0"/>
    </w:rPr>
  </w:style>
  <w:style w:type="character" w:customStyle="1" w:styleId="289">
    <w:name w:val="批注框文本 字符"/>
    <w:semiHidden/>
    <w:qFormat/>
    <w:uiPriority w:val="0"/>
    <w:rPr>
      <w:sz w:val="18"/>
      <w:szCs w:val="18"/>
    </w:rPr>
  </w:style>
  <w:style w:type="character" w:customStyle="1" w:styleId="290">
    <w:name w:val="Table Text Char"/>
    <w:link w:val="291"/>
    <w:qFormat/>
    <w:uiPriority w:val="0"/>
    <w:rPr>
      <w:rFonts w:eastAsia="仿宋_GB2312"/>
      <w:sz w:val="24"/>
    </w:rPr>
  </w:style>
  <w:style w:type="paragraph" w:customStyle="1" w:styleId="291">
    <w:name w:val="Table Text"/>
    <w:basedOn w:val="1"/>
    <w:link w:val="290"/>
    <w:qFormat/>
    <w:uiPriority w:val="0"/>
    <w:pPr>
      <w:widowControl/>
      <w:autoSpaceDE w:val="0"/>
      <w:autoSpaceDN w:val="0"/>
      <w:adjustRightInd w:val="0"/>
      <w:spacing w:before="60" w:after="60"/>
      <w:jc w:val="left"/>
    </w:pPr>
    <w:rPr>
      <w:rFonts w:eastAsia="仿宋_GB2312"/>
      <w:kern w:val="0"/>
      <w:sz w:val="24"/>
      <w:szCs w:val="20"/>
    </w:rPr>
  </w:style>
  <w:style w:type="character" w:customStyle="1" w:styleId="292">
    <w:name w:val="!我的正文 Ctr+Q Char Char"/>
    <w:qFormat/>
    <w:uiPriority w:val="0"/>
    <w:rPr>
      <w:rFonts w:ascii="Arial" w:hAnsi="Arial"/>
      <w:kern w:val="2"/>
      <w:sz w:val="24"/>
      <w:szCs w:val="21"/>
      <w:lang w:bidi="ar-SA"/>
    </w:rPr>
  </w:style>
  <w:style w:type="character" w:customStyle="1" w:styleId="293">
    <w:name w:val="Char Char17"/>
    <w:qFormat/>
    <w:uiPriority w:val="0"/>
    <w:rPr>
      <w:rFonts w:ascii="Tahoma" w:hAnsi="Tahoma" w:eastAsia="Helvetica"/>
      <w:sz w:val="21"/>
      <w:lang w:val="en-US" w:eastAsia="zh-CN" w:bidi="ar-SA"/>
    </w:rPr>
  </w:style>
  <w:style w:type="character" w:customStyle="1" w:styleId="294">
    <w:name w:val="heading 2 Char2"/>
    <w:qFormat/>
    <w:uiPriority w:val="0"/>
    <w:rPr>
      <w:rFonts w:ascii="Verdana" w:hAnsi="Verdana"/>
      <w:b/>
      <w:bCs/>
      <w:kern w:val="2"/>
      <w:sz w:val="32"/>
      <w:szCs w:val="32"/>
    </w:rPr>
  </w:style>
  <w:style w:type="character" w:customStyle="1" w:styleId="295">
    <w:name w:val="正文缩进字符"/>
    <w:link w:val="296"/>
    <w:qFormat/>
    <w:uiPriority w:val="0"/>
    <w:rPr>
      <w:rFonts w:ascii="宋体"/>
      <w:sz w:val="24"/>
    </w:rPr>
  </w:style>
  <w:style w:type="paragraph" w:customStyle="1" w:styleId="296">
    <w:name w:val="正文缩进2"/>
    <w:basedOn w:val="1"/>
    <w:link w:val="295"/>
    <w:qFormat/>
    <w:uiPriority w:val="0"/>
    <w:pPr>
      <w:autoSpaceDE w:val="0"/>
      <w:autoSpaceDN w:val="0"/>
      <w:adjustRightInd w:val="0"/>
      <w:spacing w:line="360" w:lineRule="auto"/>
      <w:ind w:firstLine="420" w:firstLineChars="200"/>
      <w:jc w:val="left"/>
    </w:pPr>
    <w:rPr>
      <w:rFonts w:ascii="宋体"/>
      <w:kern w:val="0"/>
      <w:sz w:val="24"/>
      <w:szCs w:val="20"/>
    </w:rPr>
  </w:style>
  <w:style w:type="character" w:customStyle="1" w:styleId="297">
    <w:name w:val="1Text Char"/>
    <w:link w:val="298"/>
    <w:qFormat/>
    <w:uiPriority w:val="0"/>
    <w:rPr>
      <w:rFonts w:ascii="Calibri" w:hAnsi="Calibri"/>
      <w:sz w:val="24"/>
      <w:szCs w:val="24"/>
    </w:rPr>
  </w:style>
  <w:style w:type="paragraph" w:customStyle="1" w:styleId="298">
    <w:name w:val="1Text"/>
    <w:basedOn w:val="1"/>
    <w:link w:val="297"/>
    <w:qFormat/>
    <w:uiPriority w:val="0"/>
    <w:pPr>
      <w:spacing w:beforeLines="50" w:afterLines="50" w:line="360" w:lineRule="auto"/>
      <w:ind w:firstLine="480" w:firstLineChars="200"/>
      <w:jc w:val="left"/>
    </w:pPr>
    <w:rPr>
      <w:rFonts w:ascii="Calibri" w:hAnsi="Calibri"/>
      <w:kern w:val="0"/>
      <w:sz w:val="24"/>
    </w:rPr>
  </w:style>
  <w:style w:type="character" w:customStyle="1" w:styleId="299">
    <w:name w:val="文档结构图 字符"/>
    <w:semiHidden/>
    <w:qFormat/>
    <w:uiPriority w:val="99"/>
    <w:rPr>
      <w:rFonts w:ascii="宋体"/>
      <w:sz w:val="18"/>
      <w:szCs w:val="18"/>
    </w:rPr>
  </w:style>
  <w:style w:type="character" w:customStyle="1" w:styleId="300">
    <w:name w:val="heading 8 Char1"/>
    <w:qFormat/>
    <w:uiPriority w:val="0"/>
    <w:rPr>
      <w:rFonts w:ascii="Tahoma" w:hAnsi="Tahoma" w:eastAsia="Helvetica"/>
      <w:sz w:val="24"/>
      <w:lang w:val="en-US" w:eastAsia="zh-CN" w:bidi="ar-SA"/>
    </w:rPr>
  </w:style>
  <w:style w:type="character" w:customStyle="1" w:styleId="301">
    <w:name w:val="Char Char171"/>
    <w:qFormat/>
    <w:uiPriority w:val="0"/>
    <w:rPr>
      <w:rFonts w:ascii="Verdana" w:hAnsi="Verdana"/>
      <w:b/>
      <w:bCs/>
      <w:kern w:val="2"/>
      <w:sz w:val="28"/>
      <w:szCs w:val="28"/>
    </w:rPr>
  </w:style>
  <w:style w:type="character" w:customStyle="1" w:styleId="302">
    <w:name w:val="副标题 Char"/>
    <w:qFormat/>
    <w:uiPriority w:val="0"/>
    <w:rPr>
      <w:rFonts w:ascii="Verdana" w:hAnsi="Verdana" w:eastAsia="仿宋_GB2312"/>
      <w:b/>
      <w:bCs/>
      <w:kern w:val="28"/>
      <w:sz w:val="32"/>
      <w:szCs w:val="32"/>
    </w:rPr>
  </w:style>
  <w:style w:type="character" w:customStyle="1" w:styleId="303">
    <w:name w:val="内容文本 Char"/>
    <w:link w:val="304"/>
    <w:qFormat/>
    <w:uiPriority w:val="0"/>
    <w:rPr>
      <w:rFonts w:ascii="宋体" w:hAnsi="宋体"/>
      <w:sz w:val="24"/>
      <w:szCs w:val="24"/>
      <w:lang w:eastAsia="en-US" w:bidi="en-US"/>
    </w:rPr>
  </w:style>
  <w:style w:type="paragraph" w:customStyle="1" w:styleId="304">
    <w:name w:val="内容文本"/>
    <w:basedOn w:val="286"/>
    <w:link w:val="303"/>
    <w:qFormat/>
    <w:uiPriority w:val="0"/>
    <w:pPr>
      <w:spacing w:line="360" w:lineRule="auto"/>
      <w:ind w:firstLine="200"/>
      <w:contextualSpacing/>
      <w:jc w:val="left"/>
    </w:pPr>
    <w:rPr>
      <w:rFonts w:ascii="宋体" w:hAnsi="宋体"/>
      <w:kern w:val="0"/>
      <w:sz w:val="24"/>
      <w:szCs w:val="24"/>
      <w:lang w:eastAsia="en-US" w:bidi="en-US"/>
    </w:rPr>
  </w:style>
  <w:style w:type="character" w:customStyle="1" w:styleId="305">
    <w:name w:val="明显引用 Char"/>
    <w:qFormat/>
    <w:uiPriority w:val="0"/>
    <w:rPr>
      <w:rFonts w:ascii="Century Gothic" w:hAnsi="Century Gothic" w:eastAsia="仿宋_GB2312"/>
      <w:b/>
      <w:bCs/>
      <w:i/>
      <w:iCs/>
      <w:color w:val="4F81BD"/>
    </w:rPr>
  </w:style>
  <w:style w:type="character" w:customStyle="1" w:styleId="306">
    <w:name w:val="明显引用 Char1"/>
    <w:link w:val="307"/>
    <w:semiHidden/>
    <w:qFormat/>
    <w:uiPriority w:val="99"/>
    <w:rPr>
      <w:b/>
      <w:bCs/>
      <w:i/>
      <w:iCs/>
      <w:color w:val="4F81BD"/>
      <w:kern w:val="2"/>
      <w:sz w:val="21"/>
      <w:szCs w:val="24"/>
    </w:rPr>
  </w:style>
  <w:style w:type="paragraph" w:styleId="307">
    <w:name w:val="Intense Quote"/>
    <w:basedOn w:val="1"/>
    <w:next w:val="1"/>
    <w:link w:val="306"/>
    <w:qFormat/>
    <w:uiPriority w:val="99"/>
    <w:pPr>
      <w:pBdr>
        <w:bottom w:val="single" w:color="4F81BD" w:sz="4" w:space="4"/>
      </w:pBdr>
      <w:spacing w:before="200" w:after="280"/>
      <w:ind w:left="936" w:right="936"/>
    </w:pPr>
    <w:rPr>
      <w:b/>
      <w:bCs/>
      <w:i/>
      <w:iCs/>
      <w:color w:val="4F81BD"/>
    </w:rPr>
  </w:style>
  <w:style w:type="character" w:customStyle="1" w:styleId="308">
    <w:name w:val="Style5"/>
    <w:qFormat/>
    <w:uiPriority w:val="0"/>
    <w:rPr>
      <w:rFonts w:ascii="Century Gothic" w:hAnsi="仿宋_GB2312" w:eastAsia="仿宋_GB2312" w:cs="新宋体"/>
      <w:sz w:val="22"/>
      <w:szCs w:val="22"/>
      <w:lang w:eastAsia="zh-CN"/>
    </w:rPr>
  </w:style>
  <w:style w:type="character" w:customStyle="1" w:styleId="309">
    <w:name w:val="HTML 预设格式 Char"/>
    <w:qFormat/>
    <w:uiPriority w:val="0"/>
    <w:rPr>
      <w:rFonts w:ascii="黑体" w:hAnsi="Courier New" w:eastAsia="黑体"/>
    </w:rPr>
  </w:style>
  <w:style w:type="character" w:customStyle="1" w:styleId="310">
    <w:name w:val="BZ_图 Char"/>
    <w:link w:val="311"/>
    <w:qFormat/>
    <w:uiPriority w:val="0"/>
    <w:rPr>
      <w:kern w:val="2"/>
      <w:sz w:val="21"/>
      <w:szCs w:val="24"/>
    </w:rPr>
  </w:style>
  <w:style w:type="paragraph" w:customStyle="1" w:styleId="311">
    <w:name w:val="BZ_图"/>
    <w:basedOn w:val="1"/>
    <w:next w:val="1"/>
    <w:link w:val="310"/>
    <w:qFormat/>
    <w:uiPriority w:val="0"/>
    <w:pPr>
      <w:keepNext/>
      <w:widowControl/>
      <w:spacing w:beforeLines="50" w:afterLines="50"/>
      <w:jc w:val="center"/>
    </w:pPr>
  </w:style>
  <w:style w:type="character" w:customStyle="1" w:styleId="312">
    <w:name w:val="Char Char Char Char Char Char Char Char Char Char Char Char Char Char Char"/>
    <w:qFormat/>
    <w:uiPriority w:val="0"/>
    <w:rPr>
      <w:rFonts w:ascii="仿宋_GB2312" w:hAnsi="Wingdings" w:eastAsia="仿宋_GB2312"/>
      <w:sz w:val="21"/>
      <w:szCs w:val="21"/>
      <w:lang w:val="en-US" w:eastAsia="zh-CN" w:bidi="ar-SA"/>
    </w:rPr>
  </w:style>
  <w:style w:type="character" w:customStyle="1" w:styleId="313">
    <w:name w:val="标题 3 字符"/>
    <w:qFormat/>
    <w:uiPriority w:val="0"/>
    <w:rPr>
      <w:rFonts w:eastAsia="黑体"/>
      <w:b/>
      <w:sz w:val="28"/>
    </w:rPr>
  </w:style>
  <w:style w:type="character" w:customStyle="1" w:styleId="314">
    <w:name w:val="dandyren_title1"/>
    <w:qFormat/>
    <w:uiPriority w:val="0"/>
    <w:rPr>
      <w:b/>
      <w:bCs/>
      <w:color w:val="FF6633"/>
      <w:sz w:val="18"/>
      <w:szCs w:val="18"/>
    </w:rPr>
  </w:style>
  <w:style w:type="character" w:customStyle="1" w:styleId="315">
    <w:name w:val="样式 正文缩进首行缩进两字正文（首行缩进两字） Char正文（首行缩进两字） Char Char Char正文（首行缩进... Char"/>
    <w:link w:val="316"/>
    <w:qFormat/>
    <w:uiPriority w:val="0"/>
    <w:rPr>
      <w:rFonts w:cs="宋体"/>
      <w:szCs w:val="28"/>
    </w:rPr>
  </w:style>
  <w:style w:type="paragraph" w:customStyle="1" w:styleId="316">
    <w:name w:val="样式 正文缩进首行缩进两字正文（首行缩进两字） Char正文（首行缩进两字） Char Char Char正文（首行缩进..."/>
    <w:basedOn w:val="17"/>
    <w:link w:val="315"/>
    <w:qFormat/>
    <w:uiPriority w:val="0"/>
    <w:pPr>
      <w:autoSpaceDE w:val="0"/>
      <w:autoSpaceDN w:val="0"/>
      <w:spacing w:line="240" w:lineRule="auto"/>
      <w:ind w:firstLine="567"/>
    </w:pPr>
    <w:rPr>
      <w:sz w:val="20"/>
      <w:szCs w:val="28"/>
    </w:rPr>
  </w:style>
  <w:style w:type="character" w:customStyle="1" w:styleId="317">
    <w:name w:val="1Text Char Char"/>
    <w:qFormat/>
    <w:uiPriority w:val="0"/>
    <w:rPr>
      <w:rFonts w:ascii="Calibri" w:hAnsi="Calibri" w:eastAsia="宋体"/>
      <w:sz w:val="24"/>
      <w:szCs w:val="24"/>
      <w:lang w:bidi="ar-SA"/>
    </w:rPr>
  </w:style>
  <w:style w:type="character" w:customStyle="1" w:styleId="318">
    <w:name w:val="Char Char211"/>
    <w:qFormat/>
    <w:uiPriority w:val="0"/>
    <w:rPr>
      <w:rFonts w:ascii="新宋体" w:hAnsi="新宋体" w:eastAsia="仿宋_GB2312" w:cs="新宋体"/>
      <w:b/>
      <w:bCs/>
      <w:kern w:val="44"/>
      <w:sz w:val="44"/>
      <w:szCs w:val="44"/>
    </w:rPr>
  </w:style>
  <w:style w:type="character" w:customStyle="1" w:styleId="319">
    <w:name w:val="强调划线"/>
    <w:qFormat/>
    <w:uiPriority w:val="0"/>
    <w:rPr>
      <w:u w:val="single"/>
    </w:rPr>
  </w:style>
  <w:style w:type="character" w:customStyle="1" w:styleId="320">
    <w:name w:val="backtitle1"/>
    <w:qFormat/>
    <w:uiPriority w:val="0"/>
    <w:rPr>
      <w:rFonts w:eastAsia="宋体"/>
      <w:b/>
      <w:bCs/>
      <w:color w:val="000000"/>
      <w:kern w:val="2"/>
      <w:sz w:val="18"/>
      <w:szCs w:val="18"/>
      <w:lang w:val="en-US" w:eastAsia="zh-CN" w:bidi="ar-SA"/>
    </w:rPr>
  </w:style>
  <w:style w:type="character" w:customStyle="1" w:styleId="321">
    <w:name w:val="哈哈正文 Char Char"/>
    <w:qFormat/>
    <w:uiPriority w:val="0"/>
    <w:rPr>
      <w:rFonts w:ascii="宋体" w:hAnsi="宋体"/>
      <w:kern w:val="2"/>
      <w:sz w:val="24"/>
      <w:lang w:bidi="ar-SA"/>
    </w:rPr>
  </w:style>
  <w:style w:type="character" w:customStyle="1" w:styleId="322">
    <w:name w:val="正文首行缩进 2 Char"/>
    <w:qFormat/>
    <w:uiPriority w:val="0"/>
    <w:rPr>
      <w:kern w:val="2"/>
      <w:sz w:val="21"/>
      <w:szCs w:val="24"/>
    </w:rPr>
  </w:style>
  <w:style w:type="character" w:customStyle="1" w:styleId="323">
    <w:name w:val="注释题目"/>
    <w:qFormat/>
    <w:uiPriority w:val="0"/>
    <w:rPr>
      <w:rFonts w:eastAsia="黑体"/>
      <w:sz w:val="28"/>
      <w:u w:val="none"/>
    </w:rPr>
  </w:style>
  <w:style w:type="character" w:customStyle="1" w:styleId="324">
    <w:name w:val="三级标题 Char"/>
    <w:link w:val="325"/>
    <w:qFormat/>
    <w:uiPriority w:val="0"/>
    <w:rPr>
      <w:rFonts w:eastAsia="黑体"/>
      <w:b/>
      <w:kern w:val="2"/>
      <w:sz w:val="28"/>
      <w:szCs w:val="22"/>
    </w:rPr>
  </w:style>
  <w:style w:type="paragraph" w:customStyle="1" w:styleId="325">
    <w:name w:val="三级标题"/>
    <w:basedOn w:val="1"/>
    <w:link w:val="324"/>
    <w:qFormat/>
    <w:uiPriority w:val="0"/>
    <w:pPr>
      <w:tabs>
        <w:tab w:val="left" w:pos="420"/>
      </w:tabs>
      <w:spacing w:line="360" w:lineRule="auto"/>
      <w:ind w:left="420" w:firstLine="200" w:firstLineChars="200"/>
      <w:outlineLvl w:val="2"/>
    </w:pPr>
    <w:rPr>
      <w:rFonts w:eastAsia="黑体"/>
      <w:b/>
      <w:sz w:val="28"/>
      <w:szCs w:val="22"/>
    </w:rPr>
  </w:style>
  <w:style w:type="character" w:customStyle="1" w:styleId="326">
    <w:name w:val="样式 宋体"/>
    <w:qFormat/>
    <w:uiPriority w:val="0"/>
    <w:rPr>
      <w:rFonts w:ascii="仿宋_GB2312" w:hAnsi="仿宋_GB2312" w:eastAsia="仿宋_GB2312"/>
      <w:sz w:val="24"/>
      <w:szCs w:val="24"/>
    </w:rPr>
  </w:style>
  <w:style w:type="character" w:customStyle="1" w:styleId="327">
    <w:name w:val="heading 1 Char"/>
    <w:qFormat/>
    <w:uiPriority w:val="0"/>
    <w:rPr>
      <w:rFonts w:ascii="Tahoma" w:hAnsi="Tahoma" w:eastAsia="Helvetica"/>
      <w:b/>
      <w:sz w:val="36"/>
      <w:szCs w:val="36"/>
    </w:rPr>
  </w:style>
  <w:style w:type="character" w:customStyle="1" w:styleId="328">
    <w:name w:val="栏目标题 Char Char"/>
    <w:link w:val="329"/>
    <w:qFormat/>
    <w:uiPriority w:val="0"/>
    <w:rPr>
      <w:rFonts w:ascii="黑体" w:hAnsi="黑体" w:eastAsia="黑体"/>
      <w:b/>
      <w:kern w:val="2"/>
      <w:sz w:val="21"/>
      <w:szCs w:val="24"/>
    </w:rPr>
  </w:style>
  <w:style w:type="paragraph" w:customStyle="1" w:styleId="329">
    <w:name w:val="栏目标题"/>
    <w:basedOn w:val="1"/>
    <w:link w:val="328"/>
    <w:qFormat/>
    <w:uiPriority w:val="0"/>
    <w:pPr>
      <w:jc w:val="center"/>
    </w:pPr>
    <w:rPr>
      <w:rFonts w:ascii="黑体" w:hAnsi="黑体" w:eastAsia="黑体"/>
      <w:b/>
    </w:rPr>
  </w:style>
  <w:style w:type="character" w:customStyle="1" w:styleId="330">
    <w:name w:val="纯文本 字符"/>
    <w:qFormat/>
    <w:uiPriority w:val="0"/>
    <w:rPr>
      <w:rFonts w:ascii="宋体" w:hAnsi="Courier New"/>
      <w:kern w:val="2"/>
      <w:sz w:val="21"/>
    </w:rPr>
  </w:style>
  <w:style w:type="character" w:customStyle="1" w:styleId="331">
    <w:name w:val="!我的正文 Ctr+Q Char"/>
    <w:link w:val="332"/>
    <w:qFormat/>
    <w:uiPriority w:val="0"/>
    <w:rPr>
      <w:rFonts w:ascii="Arial" w:hAnsi="Arial"/>
      <w:kern w:val="2"/>
      <w:sz w:val="24"/>
      <w:szCs w:val="21"/>
    </w:rPr>
  </w:style>
  <w:style w:type="paragraph" w:customStyle="1" w:styleId="332">
    <w:name w:val="!我的正文 Ctr+Q"/>
    <w:basedOn w:val="1"/>
    <w:link w:val="331"/>
    <w:qFormat/>
    <w:uiPriority w:val="0"/>
    <w:pPr>
      <w:adjustRightInd w:val="0"/>
      <w:snapToGrid w:val="0"/>
      <w:spacing w:beforeLines="50" w:afterLines="50" w:line="360" w:lineRule="auto"/>
      <w:ind w:firstLine="480" w:firstLineChars="200"/>
      <w:jc w:val="left"/>
    </w:pPr>
    <w:rPr>
      <w:rFonts w:ascii="Arial" w:hAnsi="Arial"/>
      <w:sz w:val="24"/>
      <w:szCs w:val="21"/>
    </w:rPr>
  </w:style>
  <w:style w:type="character" w:customStyle="1" w:styleId="333">
    <w:name w:val="标题 9 字符"/>
    <w:qFormat/>
    <w:uiPriority w:val="0"/>
    <w:rPr>
      <w:rFonts w:ascii="Arial" w:hAnsi="Arial" w:eastAsia="黑体"/>
      <w:kern w:val="2"/>
      <w:sz w:val="21"/>
      <w:vertAlign w:val="superscript"/>
    </w:rPr>
  </w:style>
  <w:style w:type="character" w:customStyle="1" w:styleId="334">
    <w:name w:val="Char Char12"/>
    <w:qFormat/>
    <w:uiPriority w:val="0"/>
    <w:rPr>
      <w:rFonts w:ascii="仿宋_GB2312" w:hAnsi="Wingdings" w:eastAsia="仿宋_GB2312"/>
      <w:sz w:val="21"/>
      <w:szCs w:val="21"/>
      <w:lang w:val="en-US" w:eastAsia="zh-CN" w:bidi="ar-SA"/>
    </w:rPr>
  </w:style>
  <w:style w:type="character" w:customStyle="1" w:styleId="335">
    <w:name w:val="Char Char221"/>
    <w:qFormat/>
    <w:uiPriority w:val="0"/>
    <w:rPr>
      <w:rFonts w:ascii="Verdana" w:hAnsi="Verdana" w:eastAsia="仿宋_GB2312"/>
      <w:b/>
      <w:bCs/>
      <w:kern w:val="2"/>
      <w:sz w:val="28"/>
      <w:szCs w:val="28"/>
      <w:lang w:val="en-US" w:eastAsia="zh-CN" w:bidi="ar-SA"/>
    </w:rPr>
  </w:style>
  <w:style w:type="character" w:customStyle="1" w:styleId="336">
    <w:name w:val="Footer-Even Char1"/>
    <w:qFormat/>
    <w:uiPriority w:val="0"/>
    <w:rPr>
      <w:rFonts w:eastAsia="仿宋_GB2312"/>
      <w:kern w:val="2"/>
      <w:sz w:val="18"/>
      <w:szCs w:val="18"/>
      <w:lang w:val="en-US" w:eastAsia="zh-CN" w:bidi="ar-SA"/>
    </w:rPr>
  </w:style>
  <w:style w:type="character" w:customStyle="1" w:styleId="337">
    <w:name w:val="xl77 Char"/>
    <w:link w:val="338"/>
    <w:qFormat/>
    <w:uiPriority w:val="0"/>
    <w:rPr>
      <w:b/>
      <w:bCs/>
      <w:sz w:val="28"/>
      <w:szCs w:val="28"/>
    </w:rPr>
  </w:style>
  <w:style w:type="paragraph" w:customStyle="1" w:styleId="338">
    <w:name w:val="xl77"/>
    <w:basedOn w:val="1"/>
    <w:link w:val="337"/>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8"/>
      <w:szCs w:val="28"/>
    </w:rPr>
  </w:style>
  <w:style w:type="character" w:customStyle="1" w:styleId="339">
    <w:name w:val="正文文本缩进 3 字符"/>
    <w:qFormat/>
    <w:uiPriority w:val="0"/>
    <w:rPr>
      <w:kern w:val="2"/>
      <w:sz w:val="16"/>
      <w:szCs w:val="16"/>
    </w:rPr>
  </w:style>
  <w:style w:type="character" w:customStyle="1" w:styleId="340">
    <w:name w:val="Subtle Emphasis1"/>
    <w:qFormat/>
    <w:uiPriority w:val="0"/>
    <w:rPr>
      <w:i/>
      <w:iCs/>
      <w:color w:val="808080"/>
    </w:rPr>
  </w:style>
  <w:style w:type="character" w:customStyle="1" w:styleId="341">
    <w:name w:val="Book Title1"/>
    <w:qFormat/>
    <w:uiPriority w:val="0"/>
    <w:rPr>
      <w:b/>
      <w:bCs/>
      <w:smallCaps/>
      <w:spacing w:val="5"/>
    </w:rPr>
  </w:style>
  <w:style w:type="character" w:customStyle="1" w:styleId="342">
    <w:name w:val="目录标题 Char Char"/>
    <w:link w:val="343"/>
    <w:qFormat/>
    <w:uiPriority w:val="0"/>
    <w:rPr>
      <w:rFonts w:eastAsia="黑体"/>
      <w:b/>
      <w:bCs/>
      <w:kern w:val="2"/>
      <w:sz w:val="44"/>
      <w:szCs w:val="44"/>
    </w:rPr>
  </w:style>
  <w:style w:type="paragraph" w:customStyle="1" w:styleId="343">
    <w:name w:val="目录标题"/>
    <w:basedOn w:val="1"/>
    <w:link w:val="342"/>
    <w:qFormat/>
    <w:uiPriority w:val="0"/>
    <w:pPr>
      <w:jc w:val="center"/>
    </w:pPr>
    <w:rPr>
      <w:rFonts w:eastAsia="黑体"/>
      <w:b/>
      <w:bCs/>
      <w:sz w:val="44"/>
      <w:szCs w:val="44"/>
    </w:rPr>
  </w:style>
  <w:style w:type="character" w:customStyle="1" w:styleId="344">
    <w:name w:val="4 Char"/>
    <w:link w:val="345"/>
    <w:qFormat/>
    <w:uiPriority w:val="0"/>
    <w:rPr>
      <w:rFonts w:ascii="仿宋" w:hAnsi="仿宋" w:eastAsia="仿宋"/>
      <w:b/>
      <w:bCs/>
      <w:kern w:val="2"/>
      <w:sz w:val="24"/>
      <w:szCs w:val="24"/>
    </w:rPr>
  </w:style>
  <w:style w:type="paragraph" w:customStyle="1" w:styleId="345">
    <w:name w:val="4"/>
    <w:basedOn w:val="8"/>
    <w:link w:val="344"/>
    <w:qFormat/>
    <w:uiPriority w:val="0"/>
    <w:pPr>
      <w:spacing w:before="0" w:after="0" w:line="360" w:lineRule="auto"/>
      <w:ind w:firstLine="200" w:firstLineChars="200"/>
    </w:pPr>
    <w:rPr>
      <w:rFonts w:ascii="仿宋" w:hAnsi="仿宋" w:eastAsia="仿宋"/>
      <w:sz w:val="24"/>
      <w:szCs w:val="24"/>
    </w:rPr>
  </w:style>
  <w:style w:type="character" w:customStyle="1" w:styleId="346">
    <w:name w:val="文本正文 Char"/>
    <w:link w:val="347"/>
    <w:qFormat/>
    <w:uiPriority w:val="0"/>
    <w:rPr>
      <w:rFonts w:ascii="Calibri" w:hAnsi="Calibri" w:eastAsia="仿宋"/>
      <w:kern w:val="2"/>
      <w:sz w:val="24"/>
      <w:szCs w:val="22"/>
    </w:rPr>
  </w:style>
  <w:style w:type="paragraph" w:customStyle="1" w:styleId="347">
    <w:name w:val="文本正文"/>
    <w:basedOn w:val="1"/>
    <w:link w:val="346"/>
    <w:qFormat/>
    <w:uiPriority w:val="0"/>
    <w:pPr>
      <w:spacing w:beforeLines="50" w:afterLines="50" w:line="360" w:lineRule="auto"/>
      <w:ind w:firstLine="200" w:firstLineChars="200"/>
    </w:pPr>
    <w:rPr>
      <w:rFonts w:ascii="Calibri" w:hAnsi="Calibri" w:eastAsia="仿宋"/>
      <w:sz w:val="24"/>
      <w:szCs w:val="22"/>
    </w:rPr>
  </w:style>
  <w:style w:type="character" w:customStyle="1" w:styleId="348">
    <w:name w:val="ll"/>
    <w:qFormat/>
    <w:uiPriority w:val="0"/>
    <w:rPr>
      <w:rFonts w:eastAsia="宋体"/>
      <w:kern w:val="2"/>
      <w:sz w:val="21"/>
      <w:szCs w:val="24"/>
      <w:lang w:val="en-US" w:eastAsia="zh-CN" w:bidi="ar-SA"/>
    </w:rPr>
  </w:style>
  <w:style w:type="character" w:customStyle="1" w:styleId="349">
    <w:name w:val="五级标题 Char"/>
    <w:link w:val="350"/>
    <w:qFormat/>
    <w:uiPriority w:val="0"/>
    <w:rPr>
      <w:rFonts w:eastAsia="黑体"/>
      <w:b/>
      <w:kern w:val="2"/>
      <w:sz w:val="28"/>
      <w:szCs w:val="22"/>
    </w:rPr>
  </w:style>
  <w:style w:type="paragraph" w:customStyle="1" w:styleId="350">
    <w:name w:val="五级标题"/>
    <w:basedOn w:val="1"/>
    <w:link w:val="349"/>
    <w:qFormat/>
    <w:uiPriority w:val="0"/>
    <w:pPr>
      <w:spacing w:line="360" w:lineRule="auto"/>
      <w:ind w:left="420" w:firstLine="200" w:firstLineChars="200"/>
      <w:outlineLvl w:val="4"/>
    </w:pPr>
    <w:rPr>
      <w:rFonts w:eastAsia="黑体"/>
      <w:b/>
      <w:sz w:val="28"/>
      <w:szCs w:val="22"/>
    </w:rPr>
  </w:style>
  <w:style w:type="character" w:customStyle="1" w:styleId="351">
    <w:name w:val="正文首行缩进 Char1"/>
    <w:qFormat/>
    <w:uiPriority w:val="0"/>
    <w:rPr>
      <w:rFonts w:eastAsia="仿宋_GB2312"/>
      <w:lang w:val="en-US" w:eastAsia="zh-CN" w:bidi="ar-SA"/>
    </w:rPr>
  </w:style>
  <w:style w:type="character" w:customStyle="1" w:styleId="352">
    <w:name w:val="Char Char212"/>
    <w:qFormat/>
    <w:uiPriority w:val="0"/>
    <w:rPr>
      <w:rFonts w:eastAsia="仿宋_GB2312"/>
      <w:b/>
      <w:bCs/>
      <w:kern w:val="2"/>
      <w:sz w:val="28"/>
      <w:szCs w:val="28"/>
      <w:lang w:val="en-US" w:eastAsia="zh-CN" w:bidi="ar-SA"/>
    </w:rPr>
  </w:style>
  <w:style w:type="character" w:customStyle="1" w:styleId="353">
    <w:name w:val="PI Char"/>
    <w:qFormat/>
    <w:uiPriority w:val="0"/>
    <w:rPr>
      <w:rFonts w:ascii="仿宋_GB2312" w:hAnsi="仿宋_GB2312"/>
      <w:sz w:val="24"/>
    </w:rPr>
  </w:style>
  <w:style w:type="character" w:customStyle="1" w:styleId="354">
    <w:name w:val="表正文 Char2"/>
    <w:qFormat/>
    <w:uiPriority w:val="0"/>
    <w:rPr>
      <w:rFonts w:ascii="新宋体" w:hAnsi="新宋体" w:eastAsia="仿宋_GB2312" w:cs="新宋体"/>
      <w:szCs w:val="24"/>
    </w:rPr>
  </w:style>
  <w:style w:type="character" w:customStyle="1" w:styleId="355">
    <w:name w:val="大标题 Char"/>
    <w:qFormat/>
    <w:uiPriority w:val="0"/>
    <w:rPr>
      <w:rFonts w:ascii="黑体" w:hAnsi="黑体" w:eastAsia="黑体"/>
      <w:b/>
      <w:bCs/>
      <w:kern w:val="2"/>
      <w:sz w:val="72"/>
      <w:szCs w:val="72"/>
    </w:rPr>
  </w:style>
  <w:style w:type="character" w:customStyle="1" w:styleId="356">
    <w:name w:val="Char Char Char1"/>
    <w:qFormat/>
    <w:uiPriority w:val="0"/>
    <w:rPr>
      <w:rFonts w:ascii="仿宋_GB2312" w:hAnsi="Wingdings"/>
      <w:sz w:val="21"/>
      <w:szCs w:val="21"/>
    </w:rPr>
  </w:style>
  <w:style w:type="character" w:customStyle="1" w:styleId="357">
    <w:name w:val="Char Char15"/>
    <w:qFormat/>
    <w:uiPriority w:val="0"/>
    <w:rPr>
      <w:rFonts w:ascii="Tahoma" w:hAnsi="Tahoma" w:eastAsia="Helvetica"/>
      <w:sz w:val="24"/>
      <w:szCs w:val="24"/>
    </w:rPr>
  </w:style>
  <w:style w:type="character" w:customStyle="1" w:styleId="358">
    <w:name w:val="表格标题 Char Char"/>
    <w:link w:val="359"/>
    <w:qFormat/>
    <w:uiPriority w:val="0"/>
    <w:rPr>
      <w:rFonts w:ascii="黑体" w:hAnsi="黑体" w:eastAsia="黑体"/>
      <w:b/>
      <w:color w:val="FFFFFF"/>
      <w:kern w:val="2"/>
      <w:sz w:val="21"/>
      <w:szCs w:val="24"/>
    </w:rPr>
  </w:style>
  <w:style w:type="paragraph" w:customStyle="1" w:styleId="359">
    <w:name w:val="表格标题"/>
    <w:basedOn w:val="1"/>
    <w:link w:val="358"/>
    <w:qFormat/>
    <w:uiPriority w:val="0"/>
    <w:rPr>
      <w:rFonts w:ascii="黑体" w:hAnsi="黑体" w:eastAsia="黑体"/>
      <w:b/>
      <w:color w:val="FFFFFF"/>
    </w:rPr>
  </w:style>
  <w:style w:type="character" w:customStyle="1" w:styleId="360">
    <w:name w:val="Intense Reference1"/>
    <w:qFormat/>
    <w:uiPriority w:val="32"/>
    <w:rPr>
      <w:b/>
      <w:bCs/>
      <w:smallCaps/>
      <w:color w:val="C0504D"/>
      <w:spacing w:val="5"/>
      <w:u w:val="single"/>
    </w:rPr>
  </w:style>
  <w:style w:type="character" w:customStyle="1" w:styleId="361">
    <w:name w:val="gray6"/>
    <w:qFormat/>
    <w:uiPriority w:val="0"/>
  </w:style>
  <w:style w:type="character" w:customStyle="1" w:styleId="362">
    <w:name w:val="Char Char202"/>
    <w:qFormat/>
    <w:uiPriority w:val="0"/>
    <w:rPr>
      <w:b/>
      <w:bCs/>
      <w:kern w:val="44"/>
      <w:sz w:val="44"/>
      <w:szCs w:val="44"/>
    </w:rPr>
  </w:style>
  <w:style w:type="character" w:customStyle="1" w:styleId="363">
    <w:name w:val="ändrad Char"/>
    <w:qFormat/>
    <w:uiPriority w:val="0"/>
    <w:rPr>
      <w:rFonts w:eastAsia="仿宋_GB2312"/>
      <w:kern w:val="2"/>
      <w:sz w:val="21"/>
      <w:szCs w:val="24"/>
      <w:lang w:val="en-US" w:eastAsia="zh-CN" w:bidi="ar-SA"/>
    </w:rPr>
  </w:style>
  <w:style w:type="character" w:customStyle="1" w:styleId="364">
    <w:name w:val="大标题 Char Char"/>
    <w:link w:val="365"/>
    <w:qFormat/>
    <w:uiPriority w:val="0"/>
    <w:rPr>
      <w:rFonts w:ascii="黑体" w:hAnsi="黑体" w:eastAsia="黑体"/>
      <w:b/>
      <w:bCs/>
      <w:kern w:val="2"/>
      <w:sz w:val="72"/>
      <w:szCs w:val="72"/>
    </w:rPr>
  </w:style>
  <w:style w:type="paragraph" w:customStyle="1" w:styleId="365">
    <w:name w:val="大标题"/>
    <w:basedOn w:val="1"/>
    <w:link w:val="364"/>
    <w:qFormat/>
    <w:uiPriority w:val="0"/>
    <w:pPr>
      <w:spacing w:line="40" w:lineRule="atLeast"/>
    </w:pPr>
    <w:rPr>
      <w:rFonts w:ascii="黑体" w:hAnsi="黑体" w:eastAsia="黑体"/>
      <w:b/>
      <w:bCs/>
      <w:sz w:val="72"/>
      <w:szCs w:val="72"/>
    </w:rPr>
  </w:style>
  <w:style w:type="character" w:customStyle="1" w:styleId="366">
    <w:name w:val="Ò³Ã¼ Char Char"/>
    <w:qFormat/>
    <w:uiPriority w:val="0"/>
    <w:rPr>
      <w:sz w:val="18"/>
      <w:szCs w:val="18"/>
    </w:rPr>
  </w:style>
  <w:style w:type="character" w:customStyle="1" w:styleId="367">
    <w:name w:val="Char Char161"/>
    <w:qFormat/>
    <w:uiPriority w:val="0"/>
    <w:rPr>
      <w:rFonts w:eastAsia="仿宋_GB2312"/>
      <w:sz w:val="21"/>
      <w:lang w:val="en-US" w:eastAsia="zh-CN" w:bidi="ar-SA"/>
    </w:rPr>
  </w:style>
  <w:style w:type="character" w:customStyle="1" w:styleId="368">
    <w:name w:val="style41"/>
    <w:qFormat/>
    <w:uiPriority w:val="0"/>
    <w:rPr>
      <w:color w:val="auto"/>
    </w:rPr>
  </w:style>
  <w:style w:type="character" w:customStyle="1" w:styleId="369">
    <w:name w:val="正文4 Char Char"/>
    <w:link w:val="370"/>
    <w:qFormat/>
    <w:uiPriority w:val="0"/>
    <w:rPr>
      <w:kern w:val="2"/>
      <w:sz w:val="24"/>
      <w:szCs w:val="24"/>
    </w:rPr>
  </w:style>
  <w:style w:type="paragraph" w:customStyle="1" w:styleId="370">
    <w:name w:val="正文4"/>
    <w:basedOn w:val="1"/>
    <w:link w:val="369"/>
    <w:qFormat/>
    <w:uiPriority w:val="0"/>
    <w:pPr>
      <w:tabs>
        <w:tab w:val="left" w:pos="520"/>
      </w:tabs>
      <w:spacing w:before="60" w:after="60" w:line="360" w:lineRule="auto"/>
    </w:pPr>
    <w:rPr>
      <w:sz w:val="24"/>
    </w:rPr>
  </w:style>
  <w:style w:type="character" w:customStyle="1" w:styleId="371">
    <w:name w:val="Char Char201"/>
    <w:qFormat/>
    <w:uiPriority w:val="0"/>
    <w:rPr>
      <w:rFonts w:ascii="Verdana" w:hAnsi="Verdana" w:eastAsia="仿宋_GB2312" w:cs="新宋体"/>
      <w:b/>
      <w:bCs/>
      <w:sz w:val="32"/>
      <w:szCs w:val="32"/>
    </w:rPr>
  </w:style>
  <w:style w:type="character" w:customStyle="1" w:styleId="372">
    <w:name w:val="Char Char20"/>
    <w:qFormat/>
    <w:uiPriority w:val="0"/>
    <w:rPr>
      <w:rFonts w:ascii="Tahoma" w:hAnsi="Tahoma" w:eastAsia="Helvetica"/>
      <w:sz w:val="21"/>
      <w:szCs w:val="21"/>
      <w:lang w:val="en-US" w:eastAsia="zh-CN" w:bidi="ar-SA"/>
    </w:rPr>
  </w:style>
  <w:style w:type="character" w:customStyle="1" w:styleId="373">
    <w:name w:val="Char Char10"/>
    <w:qFormat/>
    <w:uiPriority w:val="0"/>
    <w:rPr>
      <w:rFonts w:eastAsia="仿宋_GB2312"/>
      <w:b/>
      <w:bCs/>
      <w:kern w:val="2"/>
      <w:sz w:val="21"/>
      <w:szCs w:val="24"/>
      <w:lang w:val="en-US" w:eastAsia="zh-CN" w:bidi="ar-SA"/>
    </w:rPr>
  </w:style>
  <w:style w:type="character" w:customStyle="1" w:styleId="374">
    <w:name w:val="heading 9 Char1"/>
    <w:qFormat/>
    <w:uiPriority w:val="0"/>
    <w:rPr>
      <w:rFonts w:ascii="Tahoma" w:hAnsi="Tahoma" w:eastAsia="Helvetica"/>
      <w:sz w:val="21"/>
      <w:lang w:val="en-US" w:eastAsia="zh-CN" w:bidi="ar-SA"/>
    </w:rPr>
  </w:style>
  <w:style w:type="character" w:customStyle="1" w:styleId="375">
    <w:name w:val="PI Char1"/>
    <w:qFormat/>
    <w:uiPriority w:val="0"/>
    <w:rPr>
      <w:rFonts w:eastAsia="仿宋_GB2312"/>
      <w:kern w:val="2"/>
      <w:sz w:val="24"/>
      <w:szCs w:val="24"/>
      <w:lang w:val="en-US" w:eastAsia="zh-CN" w:bidi="ar-SA"/>
    </w:rPr>
  </w:style>
  <w:style w:type="character" w:customStyle="1" w:styleId="376">
    <w:name w:val="注释正文"/>
    <w:qFormat/>
    <w:uiPriority w:val="0"/>
    <w:rPr>
      <w:rFonts w:eastAsia="宋体"/>
      <w:sz w:val="28"/>
      <w:u w:val="single"/>
    </w:rPr>
  </w:style>
  <w:style w:type="character" w:customStyle="1" w:styleId="377">
    <w:name w:val="金保标题2 Char"/>
    <w:link w:val="378"/>
    <w:qFormat/>
    <w:locked/>
    <w:uiPriority w:val="0"/>
    <w:rPr>
      <w:rFonts w:ascii="新宋体" w:hAnsi="新宋体" w:eastAsia="新宋体"/>
      <w:b/>
      <w:bCs/>
      <w:color w:val="000000"/>
      <w:kern w:val="2"/>
      <w:sz w:val="22"/>
      <w:szCs w:val="22"/>
      <w:lang w:val="zh-CN"/>
    </w:rPr>
  </w:style>
  <w:style w:type="paragraph" w:customStyle="1" w:styleId="378">
    <w:name w:val="金保标题2"/>
    <w:basedOn w:val="6"/>
    <w:next w:val="1"/>
    <w:link w:val="377"/>
    <w:qFormat/>
    <w:uiPriority w:val="0"/>
    <w:pPr>
      <w:widowControl/>
      <w:spacing w:before="0" w:after="0" w:line="440" w:lineRule="exact"/>
      <w:ind w:right="84" w:rightChars="40"/>
      <w:jc w:val="left"/>
    </w:pPr>
    <w:rPr>
      <w:rFonts w:ascii="新宋体" w:hAnsi="新宋体" w:eastAsia="新宋体"/>
      <w:color w:val="000000"/>
      <w:sz w:val="22"/>
      <w:szCs w:val="22"/>
      <w:lang w:val="zh-CN"/>
    </w:rPr>
  </w:style>
  <w:style w:type="character" w:customStyle="1" w:styleId="379">
    <w:name w:val="样式 标题 3 + 黑体 小四 Char"/>
    <w:link w:val="380"/>
    <w:qFormat/>
    <w:uiPriority w:val="0"/>
    <w:rPr>
      <w:rFonts w:ascii="Helvetica" w:hAnsi="Tahoma" w:eastAsia="Helvetica"/>
      <w:bCs/>
      <w:sz w:val="24"/>
      <w:szCs w:val="24"/>
    </w:rPr>
  </w:style>
  <w:style w:type="paragraph" w:customStyle="1" w:styleId="380">
    <w:name w:val="样式 标题 3 + 黑体 小四"/>
    <w:basedOn w:val="7"/>
    <w:link w:val="379"/>
    <w:qFormat/>
    <w:uiPriority w:val="0"/>
    <w:pPr>
      <w:spacing w:before="0" w:after="0" w:line="415" w:lineRule="auto"/>
    </w:pPr>
    <w:rPr>
      <w:rFonts w:ascii="Helvetica" w:hAnsi="Tahoma" w:eastAsia="Helvetica"/>
      <w:b w:val="0"/>
      <w:kern w:val="0"/>
      <w:sz w:val="24"/>
      <w:szCs w:val="24"/>
    </w:rPr>
  </w:style>
  <w:style w:type="character" w:customStyle="1" w:styleId="381">
    <w:name w:val="宏文本 Char"/>
    <w:qFormat/>
    <w:uiPriority w:val="0"/>
    <w:rPr>
      <w:rFonts w:ascii="Wingdings" w:hAnsi="Wingdings" w:eastAsia="Times New Roman"/>
      <w:kern w:val="2"/>
      <w:sz w:val="24"/>
      <w:szCs w:val="24"/>
    </w:rPr>
  </w:style>
  <w:style w:type="character" w:customStyle="1" w:styleId="382">
    <w:name w:val="Subtle Reference1"/>
    <w:qFormat/>
    <w:uiPriority w:val="0"/>
    <w:rPr>
      <w:smallCaps/>
      <w:color w:val="C0504D"/>
      <w:u w:val="single"/>
    </w:rPr>
  </w:style>
  <w:style w:type="character" w:customStyle="1" w:styleId="383">
    <w:name w:val="Char Char191"/>
    <w:qFormat/>
    <w:uiPriority w:val="0"/>
    <w:rPr>
      <w:rFonts w:ascii="Verdana" w:hAnsi="Verdana"/>
      <w:b/>
      <w:bCs/>
      <w:kern w:val="2"/>
      <w:sz w:val="32"/>
      <w:szCs w:val="32"/>
    </w:rPr>
  </w:style>
  <w:style w:type="character" w:customStyle="1" w:styleId="384">
    <w:name w:val="Char Char Char2"/>
    <w:qFormat/>
    <w:uiPriority w:val="0"/>
    <w:rPr>
      <w:rFonts w:ascii="仿宋_GB2312" w:hAnsi="Wingdings" w:eastAsia="仿宋_GB2312"/>
      <w:sz w:val="21"/>
      <w:szCs w:val="21"/>
      <w:lang w:val="en-US" w:eastAsia="zh-CN" w:bidi="ar-SA"/>
    </w:rPr>
  </w:style>
  <w:style w:type="character" w:customStyle="1" w:styleId="385">
    <w:name w:val="PI Char2"/>
    <w:qFormat/>
    <w:uiPriority w:val="0"/>
    <w:rPr>
      <w:kern w:val="2"/>
      <w:sz w:val="24"/>
      <w:szCs w:val="24"/>
    </w:rPr>
  </w:style>
  <w:style w:type="character" w:customStyle="1" w:styleId="386">
    <w:name w:val="小标题 Char Char"/>
    <w:link w:val="387"/>
    <w:qFormat/>
    <w:uiPriority w:val="0"/>
    <w:rPr>
      <w:rFonts w:ascii="黑体" w:hAnsi="黑体" w:eastAsia="黑体"/>
      <w:b/>
      <w:bCs/>
      <w:kern w:val="2"/>
      <w:sz w:val="48"/>
      <w:szCs w:val="48"/>
    </w:rPr>
  </w:style>
  <w:style w:type="paragraph" w:customStyle="1" w:styleId="387">
    <w:name w:val="小标题"/>
    <w:basedOn w:val="1"/>
    <w:link w:val="386"/>
    <w:qFormat/>
    <w:uiPriority w:val="0"/>
    <w:pPr>
      <w:spacing w:line="40" w:lineRule="atLeast"/>
    </w:pPr>
    <w:rPr>
      <w:rFonts w:ascii="黑体" w:hAnsi="黑体" w:eastAsia="黑体"/>
      <w:b/>
      <w:bCs/>
      <w:sz w:val="48"/>
      <w:szCs w:val="48"/>
    </w:rPr>
  </w:style>
  <w:style w:type="character" w:customStyle="1" w:styleId="388">
    <w:name w:val="表格 Char"/>
    <w:qFormat/>
    <w:uiPriority w:val="99"/>
    <w:rPr>
      <w:kern w:val="2"/>
      <w:sz w:val="24"/>
    </w:rPr>
  </w:style>
  <w:style w:type="character" w:customStyle="1" w:styleId="389">
    <w:name w:val="font51"/>
    <w:qFormat/>
    <w:uiPriority w:val="0"/>
    <w:rPr>
      <w:rFonts w:hint="eastAsia" w:ascii="宋体" w:hAnsi="宋体" w:eastAsia="宋体" w:cs="宋体"/>
      <w:color w:val="000000"/>
      <w:sz w:val="24"/>
      <w:szCs w:val="24"/>
      <w:u w:val="none"/>
    </w:rPr>
  </w:style>
  <w:style w:type="character" w:customStyle="1" w:styleId="390">
    <w:name w:val="fontstyle31"/>
    <w:qFormat/>
    <w:uiPriority w:val="0"/>
    <w:rPr>
      <w:rFonts w:ascii="TimesNewRomanPSMT" w:hAnsi="TimesNewRomanPSMT" w:eastAsia="TimesNewRomanPSMT" w:cs="TimesNewRomanPSMT"/>
      <w:color w:val="000000"/>
      <w:sz w:val="22"/>
      <w:szCs w:val="22"/>
    </w:rPr>
  </w:style>
  <w:style w:type="character" w:customStyle="1" w:styleId="391">
    <w:name w:val="尾注文本 Char"/>
    <w:qFormat/>
    <w:uiPriority w:val="1"/>
    <w:rPr>
      <w:kern w:val="2"/>
      <w:sz w:val="28"/>
      <w:szCs w:val="24"/>
    </w:rPr>
  </w:style>
  <w:style w:type="character" w:customStyle="1" w:styleId="392">
    <w:name w:val="font81"/>
    <w:qFormat/>
    <w:uiPriority w:val="0"/>
    <w:rPr>
      <w:rFonts w:hint="eastAsia" w:ascii="宋体" w:hAnsi="宋体" w:eastAsia="宋体" w:cs="宋体"/>
      <w:color w:val="000000"/>
      <w:sz w:val="20"/>
      <w:szCs w:val="20"/>
      <w:u w:val="none"/>
    </w:rPr>
  </w:style>
  <w:style w:type="character" w:customStyle="1" w:styleId="393">
    <w:name w:val="font101"/>
    <w:qFormat/>
    <w:uiPriority w:val="0"/>
    <w:rPr>
      <w:rFonts w:hint="eastAsia" w:ascii="宋体" w:hAnsi="宋体" w:eastAsia="宋体" w:cs="宋体"/>
      <w:b/>
      <w:color w:val="000000"/>
      <w:sz w:val="24"/>
      <w:szCs w:val="24"/>
      <w:u w:val="none"/>
    </w:rPr>
  </w:style>
  <w:style w:type="character" w:customStyle="1" w:styleId="394">
    <w:name w:val="表头编号 Char"/>
    <w:link w:val="395"/>
    <w:qFormat/>
    <w:uiPriority w:val="0"/>
    <w:rPr>
      <w:rFonts w:eastAsia="黑体"/>
      <w:sz w:val="24"/>
      <w:szCs w:val="24"/>
    </w:rPr>
  </w:style>
  <w:style w:type="paragraph" w:customStyle="1" w:styleId="395">
    <w:name w:val="表头编号"/>
    <w:basedOn w:val="1"/>
    <w:next w:val="396"/>
    <w:link w:val="394"/>
    <w:qFormat/>
    <w:uiPriority w:val="0"/>
    <w:pPr>
      <w:adjustRightInd w:val="0"/>
      <w:snapToGrid w:val="0"/>
      <w:spacing w:line="360" w:lineRule="auto"/>
      <w:jc w:val="left"/>
    </w:pPr>
    <w:rPr>
      <w:rFonts w:eastAsia="黑体"/>
      <w:kern w:val="0"/>
      <w:sz w:val="24"/>
    </w:rPr>
  </w:style>
  <w:style w:type="paragraph" w:customStyle="1" w:styleId="396">
    <w:name w:val="表格文本"/>
    <w:basedOn w:val="1"/>
    <w:next w:val="1"/>
    <w:link w:val="397"/>
    <w:qFormat/>
    <w:uiPriority w:val="0"/>
    <w:pPr>
      <w:adjustRightInd w:val="0"/>
      <w:snapToGrid w:val="0"/>
      <w:jc w:val="center"/>
    </w:pPr>
    <w:rPr>
      <w:color w:val="000000"/>
      <w:kern w:val="0"/>
      <w:sz w:val="24"/>
      <w:szCs w:val="21"/>
    </w:rPr>
  </w:style>
  <w:style w:type="character" w:customStyle="1" w:styleId="397">
    <w:name w:val="表格文本 Char"/>
    <w:link w:val="396"/>
    <w:qFormat/>
    <w:uiPriority w:val="0"/>
    <w:rPr>
      <w:color w:val="000000"/>
      <w:sz w:val="24"/>
      <w:szCs w:val="21"/>
    </w:rPr>
  </w:style>
  <w:style w:type="character" w:customStyle="1" w:styleId="398">
    <w:name w:val="表格文字 Char"/>
    <w:link w:val="399"/>
    <w:qFormat/>
    <w:uiPriority w:val="0"/>
    <w:rPr>
      <w:kern w:val="2"/>
      <w:sz w:val="21"/>
      <w:szCs w:val="21"/>
    </w:rPr>
  </w:style>
  <w:style w:type="paragraph" w:customStyle="1" w:styleId="399">
    <w:name w:val="表格文字"/>
    <w:basedOn w:val="254"/>
    <w:link w:val="398"/>
    <w:qFormat/>
    <w:uiPriority w:val="0"/>
    <w:pPr>
      <w:autoSpaceDE/>
      <w:autoSpaceDN/>
      <w:spacing w:beforeLines="25" w:afterLines="25"/>
      <w:ind w:firstLine="0" w:firstLineChars="0"/>
      <w:jc w:val="center"/>
    </w:pPr>
    <w:rPr>
      <w:rFonts w:ascii="Times New Roman" w:hAnsi="Times New Roman" w:eastAsia="宋体"/>
      <w:kern w:val="2"/>
      <w:sz w:val="21"/>
      <w:szCs w:val="21"/>
    </w:rPr>
  </w:style>
  <w:style w:type="character" w:customStyle="1" w:styleId="400">
    <w:name w:val="font71"/>
    <w:qFormat/>
    <w:uiPriority w:val="0"/>
    <w:rPr>
      <w:rFonts w:hint="eastAsia" w:ascii="宋体" w:hAnsi="宋体" w:eastAsia="宋体" w:cs="宋体"/>
      <w:color w:val="000000"/>
      <w:sz w:val="24"/>
      <w:szCs w:val="24"/>
      <w:u w:val="none"/>
    </w:rPr>
  </w:style>
  <w:style w:type="character" w:customStyle="1" w:styleId="401">
    <w:name w:val="表格标题/图片标题/日期格式/图片居中 Char"/>
    <w:link w:val="402"/>
    <w:qFormat/>
    <w:uiPriority w:val="0"/>
    <w:rPr>
      <w:b/>
      <w:kern w:val="2"/>
      <w:sz w:val="28"/>
      <w:szCs w:val="24"/>
      <w:lang w:val="en-US" w:eastAsia="zh-CN" w:bidi="ar-SA"/>
    </w:rPr>
  </w:style>
  <w:style w:type="paragraph" w:customStyle="1" w:styleId="402">
    <w:name w:val="表格标题/图片标题/日期格式/图片居中"/>
    <w:link w:val="401"/>
    <w:qFormat/>
    <w:uiPriority w:val="0"/>
    <w:pPr>
      <w:jc w:val="center"/>
    </w:pPr>
    <w:rPr>
      <w:rFonts w:ascii="Times New Roman" w:hAnsi="Times New Roman" w:eastAsia="宋体" w:cs="Times New Roman"/>
      <w:b/>
      <w:kern w:val="2"/>
      <w:sz w:val="28"/>
      <w:szCs w:val="24"/>
      <w:lang w:val="en-US" w:eastAsia="zh-CN" w:bidi="ar-SA"/>
    </w:rPr>
  </w:style>
  <w:style w:type="character" w:customStyle="1" w:styleId="403">
    <w:name w:val="font61"/>
    <w:qFormat/>
    <w:uiPriority w:val="0"/>
    <w:rPr>
      <w:rFonts w:hint="eastAsia" w:ascii="宋体" w:hAnsi="宋体" w:eastAsia="宋体" w:cs="宋体"/>
      <w:b/>
      <w:color w:val="000000"/>
      <w:sz w:val="24"/>
      <w:szCs w:val="24"/>
      <w:u w:val="none"/>
    </w:rPr>
  </w:style>
  <w:style w:type="character" w:customStyle="1" w:styleId="404">
    <w:name w:val="font41"/>
    <w:qFormat/>
    <w:uiPriority w:val="0"/>
    <w:rPr>
      <w:rFonts w:hint="default" w:ascii="Times New Roman" w:hAnsi="Times New Roman" w:cs="Times New Roman"/>
      <w:color w:val="000000"/>
      <w:sz w:val="20"/>
      <w:szCs w:val="20"/>
      <w:u w:val="none"/>
    </w:rPr>
  </w:style>
  <w:style w:type="character" w:customStyle="1" w:styleId="405">
    <w:name w:val="fontstyle21"/>
    <w:qFormat/>
    <w:uiPriority w:val="0"/>
    <w:rPr>
      <w:rFonts w:ascii="宋体" w:hAnsi="宋体" w:eastAsia="宋体" w:cs="宋体"/>
      <w:color w:val="000000"/>
      <w:sz w:val="22"/>
      <w:szCs w:val="22"/>
    </w:rPr>
  </w:style>
  <w:style w:type="character" w:customStyle="1" w:styleId="406">
    <w:name w:val="font201"/>
    <w:qFormat/>
    <w:uiPriority w:val="0"/>
    <w:rPr>
      <w:rFonts w:hint="eastAsia" w:ascii="宋体" w:hAnsi="宋体" w:eastAsia="宋体" w:cs="宋体"/>
      <w:b/>
      <w:color w:val="000000"/>
      <w:sz w:val="24"/>
      <w:szCs w:val="24"/>
      <w:u w:val="none"/>
    </w:rPr>
  </w:style>
  <w:style w:type="character" w:customStyle="1" w:styleId="407">
    <w:name w:val="表头 Char"/>
    <w:link w:val="408"/>
    <w:qFormat/>
    <w:uiPriority w:val="0"/>
    <w:rPr>
      <w:b/>
      <w:kern w:val="2"/>
      <w:sz w:val="28"/>
    </w:rPr>
  </w:style>
  <w:style w:type="paragraph" w:customStyle="1" w:styleId="408">
    <w:name w:val="表头、图名"/>
    <w:basedOn w:val="1"/>
    <w:link w:val="407"/>
    <w:qFormat/>
    <w:uiPriority w:val="0"/>
    <w:pPr>
      <w:spacing w:line="360" w:lineRule="auto"/>
      <w:ind w:firstLine="200" w:firstLineChars="200"/>
      <w:jc w:val="center"/>
    </w:pPr>
    <w:rPr>
      <w:b/>
      <w:sz w:val="28"/>
      <w:szCs w:val="20"/>
    </w:rPr>
  </w:style>
  <w:style w:type="character" w:customStyle="1" w:styleId="409">
    <w:name w:val="招标正文 字符"/>
    <w:link w:val="410"/>
    <w:qFormat/>
    <w:uiPriority w:val="0"/>
    <w:rPr>
      <w:rFonts w:ascii="宋体" w:hAnsi="宋体"/>
      <w:color w:val="000000"/>
      <w:sz w:val="24"/>
      <w:szCs w:val="21"/>
    </w:rPr>
  </w:style>
  <w:style w:type="paragraph" w:customStyle="1" w:styleId="410">
    <w:name w:val="招标正文"/>
    <w:basedOn w:val="1"/>
    <w:link w:val="409"/>
    <w:qFormat/>
    <w:uiPriority w:val="0"/>
    <w:pPr>
      <w:adjustRightInd w:val="0"/>
      <w:snapToGrid w:val="0"/>
      <w:spacing w:line="360" w:lineRule="auto"/>
      <w:ind w:firstLine="480" w:firstLineChars="200"/>
    </w:pPr>
    <w:rPr>
      <w:rFonts w:ascii="宋体" w:hAnsi="宋体"/>
      <w:color w:val="000000"/>
      <w:kern w:val="0"/>
      <w:sz w:val="24"/>
      <w:szCs w:val="21"/>
    </w:rPr>
  </w:style>
  <w:style w:type="character" w:customStyle="1" w:styleId="411">
    <w:name w:val="招标-标题1 字符"/>
    <w:link w:val="412"/>
    <w:qFormat/>
    <w:uiPriority w:val="0"/>
    <w:rPr>
      <w:rFonts w:ascii="宋体" w:hAnsi="宋体"/>
      <w:b/>
      <w:bCs/>
      <w:sz w:val="28"/>
      <w:szCs w:val="21"/>
    </w:rPr>
  </w:style>
  <w:style w:type="paragraph" w:customStyle="1" w:styleId="412">
    <w:name w:val="招标-标题1"/>
    <w:basedOn w:val="1"/>
    <w:link w:val="411"/>
    <w:qFormat/>
    <w:uiPriority w:val="0"/>
    <w:pPr>
      <w:spacing w:line="300" w:lineRule="auto"/>
      <w:ind w:left="560" w:firstLine="200" w:firstLineChars="200"/>
    </w:pPr>
    <w:rPr>
      <w:rFonts w:ascii="宋体" w:hAnsi="宋体"/>
      <w:b/>
      <w:bCs/>
      <w:kern w:val="0"/>
      <w:sz w:val="28"/>
      <w:szCs w:val="21"/>
    </w:rPr>
  </w:style>
  <w:style w:type="character" w:customStyle="1" w:styleId="413">
    <w:name w:val="招标-主标题 字符"/>
    <w:link w:val="414"/>
    <w:qFormat/>
    <w:uiPriority w:val="0"/>
    <w:rPr>
      <w:rFonts w:ascii="宋体" w:hAnsi="宋体"/>
      <w:b/>
      <w:sz w:val="32"/>
    </w:rPr>
  </w:style>
  <w:style w:type="paragraph" w:customStyle="1" w:styleId="414">
    <w:name w:val="招标-主标题"/>
    <w:basedOn w:val="1"/>
    <w:link w:val="413"/>
    <w:qFormat/>
    <w:uiPriority w:val="0"/>
    <w:pPr>
      <w:tabs>
        <w:tab w:val="left" w:pos="1620"/>
        <w:tab w:val="left" w:pos="1800"/>
        <w:tab w:val="left" w:pos="1980"/>
      </w:tabs>
      <w:spacing w:line="768" w:lineRule="auto"/>
      <w:ind w:firstLine="200" w:firstLineChars="200"/>
      <w:jc w:val="center"/>
    </w:pPr>
    <w:rPr>
      <w:rFonts w:ascii="宋体" w:hAnsi="宋体"/>
      <w:b/>
      <w:kern w:val="0"/>
      <w:sz w:val="32"/>
      <w:szCs w:val="20"/>
    </w:rPr>
  </w:style>
  <w:style w:type="character" w:customStyle="1" w:styleId="415">
    <w:name w:val="样式 仿宋_GB2312 小三 黑色 Char"/>
    <w:qFormat/>
    <w:uiPriority w:val="0"/>
    <w:rPr>
      <w:rFonts w:ascii="仿宋_GB2312" w:eastAsia="仿宋_GB2312" w:cs="仿宋_GB2312"/>
      <w:kern w:val="2"/>
      <w:sz w:val="30"/>
      <w:szCs w:val="30"/>
      <w:lang w:val="zh-CN" w:eastAsia="zh-CN" w:bidi="ar-SA"/>
    </w:rPr>
  </w:style>
  <w:style w:type="character" w:customStyle="1" w:styleId="416">
    <w:name w:val="content1"/>
    <w:qFormat/>
    <w:uiPriority w:val="0"/>
    <w:rPr>
      <w:sz w:val="22"/>
      <w:szCs w:val="22"/>
    </w:rPr>
  </w:style>
  <w:style w:type="character" w:customStyle="1" w:styleId="417">
    <w:name w:val="批注主题 Char1"/>
    <w:semiHidden/>
    <w:qFormat/>
    <w:uiPriority w:val="99"/>
    <w:rPr>
      <w:rFonts w:ascii="Calibri" w:hAnsi="Calibri" w:eastAsia="仿宋" w:cs="Times New Roman"/>
      <w:b/>
      <w:bCs/>
      <w:sz w:val="28"/>
      <w:szCs w:val="22"/>
    </w:rPr>
  </w:style>
  <w:style w:type="paragraph" w:customStyle="1" w:styleId="418">
    <w:name w:val="样式 标题 3 + 黑色 段前: 5 磅 段后: 5 磅 行距: 1.5 倍行距"/>
    <w:basedOn w:val="1"/>
    <w:qFormat/>
    <w:uiPriority w:val="0"/>
    <w:pPr>
      <w:ind w:left="855" w:hanging="855"/>
    </w:pPr>
    <w:rPr>
      <w:rFonts w:ascii="等线" w:hAnsi="等线" w:eastAsia="等线" w:cs="等线"/>
      <w:sz w:val="24"/>
      <w:szCs w:val="20"/>
    </w:rPr>
  </w:style>
  <w:style w:type="paragraph" w:customStyle="1" w:styleId="419">
    <w:name w:val="a5"/>
    <w:basedOn w:val="1"/>
    <w:qFormat/>
    <w:uiPriority w:val="0"/>
    <w:pPr>
      <w:widowControl/>
      <w:spacing w:before="100" w:beforeAutospacing="1" w:after="100" w:afterAutospacing="1"/>
      <w:jc w:val="left"/>
    </w:pPr>
    <w:rPr>
      <w:rFonts w:hint="eastAsia" w:ascii="宋体" w:hAnsi="宋体" w:eastAsia="等线" w:cs="等线"/>
      <w:kern w:val="0"/>
      <w:sz w:val="27"/>
      <w:szCs w:val="27"/>
    </w:rPr>
  </w:style>
  <w:style w:type="paragraph" w:customStyle="1" w:styleId="420">
    <w:name w:val="Char Char1"/>
    <w:basedOn w:val="1"/>
    <w:qFormat/>
    <w:uiPriority w:val="0"/>
    <w:pPr>
      <w:widowControl/>
      <w:spacing w:after="160" w:line="240" w:lineRule="exact"/>
      <w:jc w:val="left"/>
    </w:pPr>
    <w:rPr>
      <w:rFonts w:ascii="Courier New" w:hAnsi="Courier New" w:eastAsia="Arial Unicode MS" w:cs="等线"/>
      <w:b/>
      <w:i/>
      <w:iCs/>
      <w:color w:val="000000"/>
      <w:kern w:val="0"/>
      <w:sz w:val="20"/>
      <w:szCs w:val="20"/>
      <w:lang w:eastAsia="en-US"/>
    </w:rPr>
  </w:style>
  <w:style w:type="paragraph" w:customStyle="1" w:styleId="421">
    <w:name w:val="font13"/>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422">
    <w:name w:val="技术方案正文样式"/>
    <w:basedOn w:val="1"/>
    <w:qFormat/>
    <w:uiPriority w:val="0"/>
    <w:pPr>
      <w:autoSpaceDE w:val="0"/>
      <w:autoSpaceDN w:val="0"/>
      <w:adjustRightInd w:val="0"/>
      <w:spacing w:line="400" w:lineRule="exact"/>
      <w:ind w:firstLine="480" w:firstLineChars="200"/>
    </w:pPr>
    <w:rPr>
      <w:rFonts w:ascii="宋体" w:hAnsi="宋体" w:eastAsia="等线" w:cs="宋体"/>
      <w:sz w:val="24"/>
      <w:szCs w:val="21"/>
    </w:rPr>
  </w:style>
  <w:style w:type="paragraph" w:customStyle="1" w:styleId="423">
    <w:name w:val="正文文本缩进 21"/>
    <w:basedOn w:val="1"/>
    <w:qFormat/>
    <w:uiPriority w:val="0"/>
    <w:pPr>
      <w:adjustRightInd w:val="0"/>
      <w:spacing w:line="580" w:lineRule="atLeast"/>
      <w:ind w:right="-57" w:firstLine="570"/>
      <w:jc w:val="left"/>
      <w:textAlignment w:val="baseline"/>
    </w:pPr>
    <w:rPr>
      <w:rFonts w:ascii="楷体_GB2312" w:hAnsi="等线" w:eastAsia="楷体_GB2312" w:cs="等线"/>
      <w:sz w:val="28"/>
      <w:szCs w:val="20"/>
    </w:rPr>
  </w:style>
  <w:style w:type="paragraph" w:customStyle="1" w:styleId="424">
    <w:name w:val="NICMAN Body Text"/>
    <w:basedOn w:val="1"/>
    <w:next w:val="26"/>
    <w:qFormat/>
    <w:uiPriority w:val="0"/>
    <w:pPr>
      <w:autoSpaceDE w:val="0"/>
      <w:autoSpaceDN w:val="0"/>
      <w:adjustRightInd w:val="0"/>
      <w:spacing w:after="120"/>
      <w:jc w:val="left"/>
    </w:pPr>
    <w:rPr>
      <w:rFonts w:ascii="等线" w:hAnsi="等线" w:eastAsia="等线" w:cs="等线"/>
      <w:kern w:val="0"/>
      <w:sz w:val="20"/>
      <w:szCs w:val="20"/>
    </w:rPr>
  </w:style>
  <w:style w:type="paragraph" w:customStyle="1" w:styleId="425">
    <w:name w:val="第一個訊息標題"/>
    <w:basedOn w:val="56"/>
    <w:next w:val="56"/>
    <w:qFormat/>
    <w:uiPriority w:val="0"/>
    <w:pPr>
      <w:keepLines/>
      <w:widowControl/>
      <w:pBdr>
        <w:top w:val="none" w:color="auto" w:sz="0" w:space="0"/>
        <w:left w:val="none" w:color="auto" w:sz="0" w:space="0"/>
        <w:bottom w:val="none" w:color="auto" w:sz="0" w:space="0"/>
        <w:right w:val="none" w:color="auto" w:sz="0" w:space="0"/>
      </w:pBdr>
      <w:shd w:val="clear" w:color="auto" w:fill="auto"/>
      <w:tabs>
        <w:tab w:val="left" w:pos="1560"/>
        <w:tab w:val="left" w:pos="4920"/>
        <w:tab w:val="left" w:pos="5640"/>
      </w:tabs>
      <w:overflowPunct w:val="0"/>
      <w:autoSpaceDE w:val="0"/>
      <w:autoSpaceDN w:val="0"/>
      <w:spacing w:line="533" w:lineRule="auto"/>
      <w:ind w:left="1560" w:leftChars="0" w:right="-120" w:hanging="720" w:firstLineChars="0"/>
    </w:pPr>
    <w:rPr>
      <w:rFonts w:eastAsia="MingLiU"/>
      <w:sz w:val="20"/>
      <w:szCs w:val="20"/>
    </w:rPr>
  </w:style>
  <w:style w:type="paragraph" w:customStyle="1" w:styleId="426">
    <w:name w:val="rm"/>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427">
    <w:name w:val="font10"/>
    <w:basedOn w:val="1"/>
    <w:qFormat/>
    <w:uiPriority w:val="0"/>
    <w:pPr>
      <w:widowControl/>
      <w:spacing w:before="100" w:beforeAutospacing="1" w:after="100" w:afterAutospacing="1"/>
      <w:jc w:val="left"/>
    </w:pPr>
    <w:rPr>
      <w:rFonts w:ascii="等线" w:hAnsi="等线" w:eastAsia="等线" w:cs="等线"/>
      <w:kern w:val="0"/>
      <w:sz w:val="16"/>
      <w:szCs w:val="16"/>
    </w:rPr>
  </w:style>
  <w:style w:type="paragraph" w:customStyle="1" w:styleId="428">
    <w:name w:val="xl93"/>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29">
    <w:name w:val="标书正文格式"/>
    <w:qFormat/>
    <w:uiPriority w:val="0"/>
    <w:pPr>
      <w:spacing w:line="360" w:lineRule="auto"/>
      <w:ind w:firstLine="200" w:firstLineChars="200"/>
    </w:pPr>
    <w:rPr>
      <w:rFonts w:ascii="等线" w:hAnsi="等线" w:eastAsia="Arial Unicode MS" w:cs="等线"/>
      <w:kern w:val="2"/>
      <w:sz w:val="24"/>
      <w:szCs w:val="24"/>
      <w:lang w:val="en-US" w:eastAsia="zh-CN" w:bidi="ar-SA"/>
    </w:rPr>
  </w:style>
  <w:style w:type="paragraph" w:customStyle="1" w:styleId="430">
    <w:name w:val="Char2"/>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431">
    <w:name w:val="Char1 Char Char Char Char"/>
    <w:basedOn w:val="20"/>
    <w:qFormat/>
    <w:uiPriority w:val="0"/>
    <w:rPr>
      <w:rFonts w:ascii="Tahoma" w:hAnsi="Tahoma" w:eastAsia="等线" w:cs="Tahoma"/>
      <w:kern w:val="0"/>
      <w:sz w:val="18"/>
    </w:rPr>
  </w:style>
  <w:style w:type="paragraph" w:customStyle="1" w:styleId="432">
    <w:name w:val="技术报告正文"/>
    <w:basedOn w:val="1"/>
    <w:qFormat/>
    <w:uiPriority w:val="0"/>
    <w:pPr>
      <w:autoSpaceDE w:val="0"/>
      <w:autoSpaceDN w:val="0"/>
      <w:adjustRightInd w:val="0"/>
      <w:spacing w:beforeLines="50" w:line="440" w:lineRule="exact"/>
      <w:ind w:firstLine="538" w:firstLineChars="192"/>
      <w:jc w:val="left"/>
    </w:pPr>
    <w:rPr>
      <w:rFonts w:ascii="等线" w:hAnsi="等线" w:eastAsia="等线" w:cs="Tahoma"/>
      <w:bCs/>
      <w:kern w:val="0"/>
      <w:sz w:val="28"/>
      <w:szCs w:val="20"/>
    </w:rPr>
  </w:style>
  <w:style w:type="paragraph" w:customStyle="1" w:styleId="433">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434">
    <w:name w:val="标书正文带编号"/>
    <w:basedOn w:val="1"/>
    <w:qFormat/>
    <w:uiPriority w:val="0"/>
    <w:pPr>
      <w:tabs>
        <w:tab w:val="left" w:pos="397"/>
      </w:tabs>
      <w:autoSpaceDE w:val="0"/>
      <w:autoSpaceDN w:val="0"/>
      <w:adjustRightInd w:val="0"/>
      <w:ind w:firstLine="397"/>
      <w:jc w:val="left"/>
    </w:pPr>
    <w:rPr>
      <w:rFonts w:ascii="等线" w:hAnsi="等线" w:eastAsia="等线" w:cs="仿宋_GB2312"/>
      <w:kern w:val="0"/>
      <w:sz w:val="20"/>
      <w:szCs w:val="21"/>
    </w:rPr>
  </w:style>
  <w:style w:type="paragraph" w:customStyle="1" w:styleId="435">
    <w:name w:val="font0"/>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436">
    <w:name w:val="无间距1"/>
    <w:basedOn w:val="1"/>
    <w:qFormat/>
    <w:uiPriority w:val="0"/>
    <w:pPr>
      <w:spacing w:line="360" w:lineRule="auto"/>
      <w:ind w:firstLine="200" w:firstLineChars="200"/>
      <w:jc w:val="center"/>
    </w:pPr>
    <w:rPr>
      <w:rFonts w:ascii="等线" w:hAnsi="等线" w:eastAsia="楷体" w:cs="黑体"/>
      <w:sz w:val="24"/>
    </w:rPr>
  </w:style>
  <w:style w:type="paragraph" w:customStyle="1" w:styleId="437">
    <w:name w:val="Normal_2"/>
    <w:qFormat/>
    <w:uiPriority w:val="0"/>
    <w:pPr>
      <w:spacing w:before="120" w:after="240"/>
      <w:jc w:val="both"/>
    </w:pPr>
    <w:rPr>
      <w:rFonts w:ascii="等线" w:hAnsi="等线" w:eastAsia="Times New Roman" w:cs="等线"/>
      <w:sz w:val="22"/>
      <w:szCs w:val="22"/>
      <w:lang w:val="en-US" w:eastAsia="en-US" w:bidi="ar-SA"/>
    </w:rPr>
  </w:style>
  <w:style w:type="paragraph" w:customStyle="1" w:styleId="438">
    <w:name w:val="內文項目之符號"/>
    <w:basedOn w:val="1"/>
    <w:qFormat/>
    <w:uiPriority w:val="0"/>
    <w:pPr>
      <w:widowControl/>
      <w:tabs>
        <w:tab w:val="left" w:pos="1080"/>
      </w:tabs>
      <w:spacing w:before="120" w:line="560" w:lineRule="exact"/>
      <w:ind w:left="1080" w:hanging="1080" w:firstLineChars="200"/>
    </w:pPr>
    <w:rPr>
      <w:rFonts w:ascii="等线" w:hAnsi="等线" w:eastAsia="DFKai-SB" w:cs="等线"/>
      <w:kern w:val="0"/>
      <w:sz w:val="28"/>
      <w:lang w:eastAsia="zh-TW"/>
    </w:rPr>
  </w:style>
  <w:style w:type="paragraph" w:customStyle="1" w:styleId="439">
    <w:name w:val="Intense Quote1"/>
    <w:basedOn w:val="1"/>
    <w:next w:val="1"/>
    <w:qFormat/>
    <w:uiPriority w:val="0"/>
    <w:pPr>
      <w:pBdr>
        <w:bottom w:val="single" w:color="4F81BD" w:sz="4" w:space="4"/>
      </w:pBdr>
      <w:spacing w:before="200" w:after="280"/>
      <w:ind w:left="936" w:right="936"/>
    </w:pPr>
    <w:rPr>
      <w:rFonts w:ascii="Century Gothic" w:hAnsi="Century Gothic" w:eastAsia="仿宋_GB2312" w:cs="新宋体"/>
      <w:b/>
      <w:bCs/>
      <w:i/>
      <w:iCs/>
      <w:color w:val="4F81BD"/>
      <w:kern w:val="0"/>
      <w:sz w:val="20"/>
      <w:szCs w:val="20"/>
    </w:rPr>
  </w:style>
  <w:style w:type="paragraph" w:customStyle="1" w:styleId="440">
    <w:name w:val="修订2"/>
    <w:qFormat/>
    <w:uiPriority w:val="99"/>
    <w:rPr>
      <w:rFonts w:ascii="等线" w:hAnsi="等线" w:eastAsia="等线" w:cs="等线"/>
      <w:kern w:val="2"/>
      <w:sz w:val="21"/>
      <w:szCs w:val="24"/>
      <w:lang w:val="en-US" w:eastAsia="zh-CN" w:bidi="ar-SA"/>
    </w:rPr>
  </w:style>
  <w:style w:type="paragraph" w:customStyle="1" w:styleId="44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42">
    <w:name w:val="样式 正文缩进正文（首行缩进两字）表正文正文非缩进特点段1正文不缩进标题4水上软件ALT+Z四号正文文字3..."/>
    <w:basedOn w:val="17"/>
    <w:qFormat/>
    <w:uiPriority w:val="0"/>
    <w:pPr>
      <w:adjustRightInd/>
      <w:spacing w:line="360" w:lineRule="auto"/>
      <w:ind w:firstLine="480" w:firstLineChars="200"/>
      <w:textAlignment w:val="auto"/>
    </w:pPr>
    <w:rPr>
      <w:rFonts w:ascii="Calibri" w:hAnsi="Calibri" w:eastAsia="等线" w:cs="宋体"/>
      <w:sz w:val="24"/>
    </w:rPr>
  </w:style>
  <w:style w:type="paragraph" w:customStyle="1" w:styleId="443">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444">
    <w:name w:val="Item Step in Table"/>
    <w:qFormat/>
    <w:uiPriority w:val="0"/>
    <w:pPr>
      <w:tabs>
        <w:tab w:val="left" w:pos="397"/>
      </w:tabs>
      <w:spacing w:before="40" w:after="40"/>
      <w:ind w:left="420" w:hanging="420"/>
      <w:jc w:val="both"/>
    </w:pPr>
    <w:rPr>
      <w:rFonts w:ascii="Arial" w:hAnsi="Arial" w:eastAsia="等线" w:cs="等线"/>
      <w:sz w:val="18"/>
      <w:lang w:val="en-US" w:eastAsia="zh-CN" w:bidi="ar-SA"/>
    </w:rPr>
  </w:style>
  <w:style w:type="paragraph" w:customStyle="1" w:styleId="445">
    <w:name w:val="样式 首行缩进:  1 厘米"/>
    <w:basedOn w:val="1"/>
    <w:qFormat/>
    <w:uiPriority w:val="0"/>
    <w:pPr>
      <w:autoSpaceDE w:val="0"/>
      <w:autoSpaceDN w:val="0"/>
      <w:adjustRightInd w:val="0"/>
      <w:ind w:firstLine="567"/>
      <w:textAlignment w:val="baseline"/>
    </w:pPr>
    <w:rPr>
      <w:rFonts w:ascii="等线" w:hAnsi="等线" w:eastAsia="等线" w:cs="宋体"/>
      <w:kern w:val="0"/>
      <w:sz w:val="28"/>
      <w:szCs w:val="28"/>
    </w:rPr>
  </w:style>
  <w:style w:type="paragraph" w:customStyle="1" w:styleId="446">
    <w:name w:val="地址內名稱"/>
    <w:basedOn w:val="1"/>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447">
    <w:name w:val="图名"/>
    <w:basedOn w:val="1"/>
    <w:next w:val="1"/>
    <w:qFormat/>
    <w:uiPriority w:val="1"/>
    <w:pPr>
      <w:spacing w:line="360" w:lineRule="auto"/>
      <w:jc w:val="center"/>
    </w:pPr>
    <w:rPr>
      <w:rFonts w:eastAsia="Times New Roman"/>
      <w:b/>
      <w:color w:val="000000"/>
      <w:sz w:val="28"/>
    </w:rPr>
  </w:style>
  <w:style w:type="paragraph" w:customStyle="1" w:styleId="448">
    <w:name w:val="表头"/>
    <w:basedOn w:val="1"/>
    <w:qFormat/>
    <w:uiPriority w:val="0"/>
    <w:pPr>
      <w:spacing w:before="120" w:after="120" w:line="480" w:lineRule="exact"/>
      <w:jc w:val="center"/>
    </w:pPr>
    <w:rPr>
      <w:rFonts w:ascii="黑体" w:hAnsi="等线" w:eastAsia="黑体" w:cs="等线"/>
      <w:sz w:val="24"/>
      <w:szCs w:val="20"/>
    </w:rPr>
  </w:style>
  <w:style w:type="paragraph" w:customStyle="1" w:styleId="449">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等线" w:eastAsia="黑体" w:cs="等线"/>
      <w:sz w:val="52"/>
      <w:szCs w:val="22"/>
      <w:lang w:val="en-US" w:eastAsia="zh-CN" w:bidi="ar-SA"/>
    </w:rPr>
  </w:style>
  <w:style w:type="paragraph" w:customStyle="1" w:styleId="450">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等线" w:hAnsi="等线" w:eastAsia="等线" w:cs="等线"/>
      <w:b/>
      <w:w w:val="170"/>
      <w:sz w:val="96"/>
      <w:szCs w:val="96"/>
      <w:lang w:val="en-US" w:eastAsia="zh-CN" w:bidi="ar-SA"/>
    </w:rPr>
  </w:style>
  <w:style w:type="paragraph" w:customStyle="1" w:styleId="451">
    <w:name w:val="08-123456789"/>
    <w:basedOn w:val="1"/>
    <w:qFormat/>
    <w:uiPriority w:val="0"/>
    <w:pPr>
      <w:ind w:firstLine="553" w:firstLineChars="200"/>
    </w:pPr>
    <w:rPr>
      <w:rFonts w:cs="宋体"/>
      <w:sz w:val="26"/>
      <w:szCs w:val="26"/>
    </w:rPr>
  </w:style>
  <w:style w:type="paragraph" w:customStyle="1" w:styleId="452">
    <w:name w:val="xl11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53">
    <w:name w:val="正文文本缩进 31"/>
    <w:basedOn w:val="1"/>
    <w:qFormat/>
    <w:uiPriority w:val="0"/>
    <w:pPr>
      <w:autoSpaceDE w:val="0"/>
      <w:autoSpaceDN w:val="0"/>
      <w:adjustRightInd w:val="0"/>
      <w:spacing w:line="360" w:lineRule="auto"/>
      <w:ind w:firstLine="567"/>
      <w:jc w:val="left"/>
      <w:textAlignment w:val="baseline"/>
    </w:pPr>
    <w:rPr>
      <w:rFonts w:ascii="宋体" w:hAnsi="等线" w:eastAsia="等线" w:cs="等线"/>
      <w:kern w:val="0"/>
      <w:sz w:val="28"/>
      <w:szCs w:val="20"/>
    </w:rPr>
  </w:style>
  <w:style w:type="paragraph" w:customStyle="1" w:styleId="454">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等线"/>
      <w:spacing w:val="-40"/>
      <w:sz w:val="48"/>
      <w:szCs w:val="52"/>
      <w:lang w:val="en-US" w:eastAsia="zh-CN" w:bidi="ar-SA"/>
    </w:rPr>
  </w:style>
  <w:style w:type="paragraph" w:customStyle="1" w:styleId="455">
    <w:name w:val="xl9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456">
    <w:name w:val="xl9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57">
    <w:name w:val="样式 标题 1"/>
    <w:basedOn w:val="5"/>
    <w:next w:val="1"/>
    <w:qFormat/>
    <w:uiPriority w:val="0"/>
    <w:pPr>
      <w:keepNext w:val="0"/>
      <w:pageBreakBefore/>
      <w:tabs>
        <w:tab w:val="left" w:pos="584"/>
      </w:tabs>
      <w:adjustRightInd w:val="0"/>
      <w:snapToGrid w:val="0"/>
      <w:spacing w:beforeLines="100" w:line="480" w:lineRule="exact"/>
      <w:ind w:left="360"/>
    </w:pPr>
    <w:rPr>
      <w:rFonts w:ascii="黑体" w:hAnsi="宋体" w:eastAsia="黑体" w:cs="宋体"/>
      <w:color w:val="000000"/>
      <w:sz w:val="36"/>
      <w:szCs w:val="36"/>
    </w:rPr>
  </w:style>
  <w:style w:type="paragraph" w:customStyle="1" w:styleId="458">
    <w:name w:val="封面文字"/>
    <w:basedOn w:val="1"/>
    <w:qFormat/>
    <w:uiPriority w:val="0"/>
    <w:pPr>
      <w:spacing w:line="360" w:lineRule="auto"/>
      <w:jc w:val="center"/>
    </w:pPr>
    <w:rPr>
      <w:rFonts w:hAnsi="宋体" w:eastAsia="黑体"/>
      <w:sz w:val="48"/>
    </w:rPr>
  </w:style>
  <w:style w:type="paragraph" w:customStyle="1" w:styleId="459">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460">
    <w:name w:val="Test2"/>
    <w:basedOn w:val="6"/>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仿宋_GB2312" w:hAnsi="Tahoma" w:eastAsia="仿宋_GB2312"/>
      <w:b w:val="0"/>
      <w:bCs w:val="0"/>
      <w:snapToGrid w:val="0"/>
      <w:kern w:val="0"/>
      <w:sz w:val="28"/>
    </w:rPr>
  </w:style>
  <w:style w:type="paragraph" w:customStyle="1" w:styleId="461">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462">
    <w:name w:val="Paragraf"/>
    <w:basedOn w:val="1"/>
    <w:qFormat/>
    <w:uiPriority w:val="0"/>
    <w:pPr>
      <w:widowControl/>
      <w:overflowPunct w:val="0"/>
      <w:autoSpaceDE w:val="0"/>
      <w:autoSpaceDN w:val="0"/>
      <w:adjustRightInd w:val="0"/>
      <w:spacing w:before="120" w:line="360" w:lineRule="auto"/>
      <w:ind w:left="454" w:hanging="454" w:firstLineChars="200"/>
      <w:jc w:val="left"/>
      <w:textAlignment w:val="baseline"/>
    </w:pPr>
    <w:rPr>
      <w:rFonts w:ascii="等线" w:hAnsi="等线" w:eastAsia="Times New Roman" w:cs="等线"/>
      <w:kern w:val="0"/>
      <w:sz w:val="22"/>
      <w:szCs w:val="20"/>
      <w:lang w:val="en-GB" w:eastAsia="en-US"/>
    </w:rPr>
  </w:style>
  <w:style w:type="paragraph" w:customStyle="1" w:styleId="463">
    <w:name w:val="List Paragraph1"/>
    <w:basedOn w:val="1"/>
    <w:qFormat/>
    <w:uiPriority w:val="0"/>
    <w:pPr>
      <w:spacing w:line="360" w:lineRule="auto"/>
      <w:ind w:firstLine="420" w:firstLineChars="200"/>
    </w:pPr>
    <w:rPr>
      <w:rFonts w:ascii="等线" w:hAnsi="等线" w:eastAsia="等线" w:cs="等线"/>
      <w:szCs w:val="20"/>
    </w:rPr>
  </w:style>
  <w:style w:type="paragraph" w:customStyle="1" w:styleId="464">
    <w:name w:val="font15"/>
    <w:basedOn w:val="1"/>
    <w:qFormat/>
    <w:uiPriority w:val="0"/>
    <w:pPr>
      <w:widowControl/>
      <w:spacing w:before="100" w:beforeAutospacing="1" w:after="100" w:afterAutospacing="1"/>
      <w:jc w:val="left"/>
    </w:pPr>
    <w:rPr>
      <w:rFonts w:hint="eastAsia" w:ascii="宋体" w:hAnsi="宋体" w:eastAsia="等线" w:cs="等线"/>
      <w:b/>
      <w:bCs/>
      <w:color w:val="000000"/>
      <w:kern w:val="0"/>
      <w:sz w:val="16"/>
      <w:szCs w:val="16"/>
    </w:rPr>
  </w:style>
  <w:style w:type="paragraph" w:customStyle="1" w:styleId="465">
    <w:name w:val="网格表 31"/>
    <w:basedOn w:val="5"/>
    <w:next w:val="1"/>
    <w:unhideWhenUsed/>
    <w:qFormat/>
    <w:uiPriority w:val="0"/>
    <w:pPr>
      <w:keepLines/>
      <w:widowControl/>
      <w:spacing w:line="259" w:lineRule="auto"/>
      <w:jc w:val="left"/>
      <w:outlineLvl w:val="9"/>
    </w:pPr>
    <w:rPr>
      <w:rFonts w:ascii="Calibri Light" w:hAnsi="Calibri Light" w:eastAsia="等线"/>
      <w:b w:val="0"/>
      <w:bCs w:val="0"/>
      <w:color w:val="2E74B5"/>
      <w:kern w:val="0"/>
      <w:sz w:val="32"/>
      <w:szCs w:val="32"/>
    </w:rPr>
  </w:style>
  <w:style w:type="paragraph" w:customStyle="1" w:styleId="466">
    <w:name w:val="表格栏头"/>
    <w:basedOn w:val="467"/>
    <w:next w:val="467"/>
    <w:qFormat/>
    <w:uiPriority w:val="0"/>
    <w:rPr>
      <w:b/>
    </w:rPr>
  </w:style>
  <w:style w:type="paragraph" w:customStyle="1" w:styleId="467">
    <w:name w:val="表格正文"/>
    <w:basedOn w:val="1"/>
    <w:qFormat/>
    <w:uiPriority w:val="0"/>
    <w:pPr>
      <w:widowControl/>
      <w:overflowPunct w:val="0"/>
      <w:autoSpaceDE w:val="0"/>
      <w:autoSpaceDN w:val="0"/>
      <w:adjustRightInd w:val="0"/>
      <w:spacing w:before="312" w:after="312" w:line="360" w:lineRule="auto"/>
      <w:ind w:firstLine="200" w:firstLineChars="200"/>
      <w:jc w:val="left"/>
      <w:textAlignment w:val="baseline"/>
    </w:pPr>
    <w:rPr>
      <w:rFonts w:ascii="宋体" w:hAnsi="Tahoma" w:eastAsia="等线" w:cs="等线"/>
      <w:kern w:val="0"/>
      <w:sz w:val="24"/>
      <w:szCs w:val="20"/>
    </w:rPr>
  </w:style>
  <w:style w:type="paragraph" w:customStyle="1" w:styleId="468">
    <w:name w:val="1、"/>
    <w:basedOn w:val="1"/>
    <w:qFormat/>
    <w:uiPriority w:val="0"/>
    <w:pPr>
      <w:adjustRightInd w:val="0"/>
      <w:spacing w:line="454" w:lineRule="atLeast"/>
      <w:ind w:left="1276" w:hanging="426" w:firstLineChars="200"/>
      <w:textAlignment w:val="baseline"/>
    </w:pPr>
    <w:rPr>
      <w:rFonts w:ascii="PMingLiU" w:hAnsi="等线" w:eastAsia="PMingLiU" w:cs="等线"/>
      <w:kern w:val="0"/>
      <w:sz w:val="28"/>
      <w:szCs w:val="20"/>
      <w:lang w:eastAsia="zh-TW"/>
    </w:rPr>
  </w:style>
  <w:style w:type="paragraph" w:customStyle="1" w:styleId="469">
    <w:name w:val="默认段落字体 Para Char Char Char Char"/>
    <w:basedOn w:val="1"/>
    <w:qFormat/>
    <w:uiPriority w:val="0"/>
    <w:rPr>
      <w:rFonts w:ascii="等线" w:hAnsi="等线" w:eastAsia="等线" w:cs="等线"/>
    </w:rPr>
  </w:style>
  <w:style w:type="paragraph" w:customStyle="1" w:styleId="470">
    <w:name w:val="黑列表"/>
    <w:basedOn w:val="1"/>
    <w:qFormat/>
    <w:uiPriority w:val="0"/>
    <w:pPr>
      <w:widowControl/>
      <w:tabs>
        <w:tab w:val="left" w:pos="420"/>
      </w:tabs>
      <w:adjustRightInd w:val="0"/>
      <w:spacing w:line="300" w:lineRule="auto"/>
      <w:ind w:left="300" w:leftChars="200" w:hanging="100" w:hangingChars="100"/>
      <w:jc w:val="left"/>
    </w:pPr>
    <w:rPr>
      <w:rFonts w:ascii="等线" w:hAnsi="等线" w:eastAsia="等线" w:cs="等线"/>
      <w:bCs/>
      <w:kern w:val="0"/>
      <w:sz w:val="24"/>
      <w:szCs w:val="20"/>
    </w:rPr>
  </w:style>
  <w:style w:type="paragraph" w:customStyle="1" w:styleId="471">
    <w:name w:val="样式 Times New Roman 加粗 首行缩进:  2 字符 行距: 1.5 倍行距"/>
    <w:basedOn w:val="1"/>
    <w:qFormat/>
    <w:uiPriority w:val="0"/>
    <w:pPr>
      <w:spacing w:line="360" w:lineRule="auto"/>
      <w:ind w:firstLine="562" w:firstLineChars="200"/>
    </w:pPr>
    <w:rPr>
      <w:rFonts w:eastAsia="楷体_GB2312" w:cs="宋体"/>
      <w:bCs/>
      <w:sz w:val="28"/>
      <w:szCs w:val="20"/>
    </w:rPr>
  </w:style>
  <w:style w:type="paragraph" w:customStyle="1" w:styleId="472">
    <w:name w:val="普通(Web)"/>
    <w:basedOn w:val="1"/>
    <w:qFormat/>
    <w:uiPriority w:val="0"/>
    <w:pPr>
      <w:widowControl/>
      <w:spacing w:before="100" w:beforeAutospacing="1" w:after="100" w:afterAutospacing="1" w:line="240" w:lineRule="atLeast"/>
      <w:ind w:firstLine="360" w:firstLineChars="200"/>
      <w:jc w:val="left"/>
    </w:pPr>
    <w:rPr>
      <w:rFonts w:ascii="宋体" w:hAnsi="宋体" w:eastAsia="等线" w:cs="等线"/>
      <w:kern w:val="0"/>
      <w:sz w:val="18"/>
      <w:szCs w:val="18"/>
    </w:rPr>
  </w:style>
  <w:style w:type="paragraph" w:customStyle="1" w:styleId="473">
    <w:name w:val="xl76"/>
    <w:basedOn w:val="1"/>
    <w:qFormat/>
    <w:uiPriority w:val="0"/>
    <w:pPr>
      <w:widowControl/>
      <w:pBdr>
        <w:top w:val="single" w:color="auto" w:sz="4" w:space="0"/>
        <w:bottom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474">
    <w:name w:val="样式 四号 首行缩进:  1 厘米"/>
    <w:basedOn w:val="1"/>
    <w:qFormat/>
    <w:uiPriority w:val="0"/>
    <w:pPr>
      <w:spacing w:line="440" w:lineRule="exact"/>
      <w:ind w:firstLine="567"/>
    </w:pPr>
    <w:rPr>
      <w:rFonts w:ascii="等线" w:hAnsi="等线" w:eastAsia="等线" w:cs="宋体"/>
      <w:sz w:val="28"/>
      <w:szCs w:val="20"/>
    </w:rPr>
  </w:style>
  <w:style w:type="paragraph" w:customStyle="1" w:styleId="475">
    <w:name w:val="WPSOffice手动目录 1"/>
    <w:qFormat/>
    <w:uiPriority w:val="0"/>
    <w:rPr>
      <w:rFonts w:ascii="Times New Roman" w:hAnsi="Times New Roman" w:eastAsia="宋体" w:cs="Times New Roman"/>
      <w:lang w:val="en-US" w:eastAsia="zh-CN" w:bidi="ar-SA"/>
    </w:rPr>
  </w:style>
  <w:style w:type="paragraph" w:customStyle="1" w:styleId="476">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77">
    <w:name w:val="font8"/>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478">
    <w:name w:val="列项——（一级）"/>
    <w:qFormat/>
    <w:uiPriority w:val="0"/>
    <w:pPr>
      <w:widowControl w:val="0"/>
      <w:tabs>
        <w:tab w:val="left" w:pos="854"/>
        <w:tab w:val="left" w:pos="1260"/>
      </w:tabs>
      <w:ind w:left="1260" w:hanging="420"/>
      <w:jc w:val="both"/>
    </w:pPr>
    <w:rPr>
      <w:rFonts w:ascii="仿宋_GB2312" w:hAnsi="等线" w:eastAsia="等线" w:cs="等线"/>
      <w:sz w:val="21"/>
      <w:lang w:val="en-US" w:eastAsia="zh-CN" w:bidi="ar-SA"/>
    </w:rPr>
  </w:style>
  <w:style w:type="paragraph" w:customStyle="1" w:styleId="479">
    <w:name w:val="列出段落3"/>
    <w:basedOn w:val="1"/>
    <w:qFormat/>
    <w:uiPriority w:val="0"/>
    <w:pPr>
      <w:ind w:firstLine="420" w:firstLineChars="200"/>
    </w:pPr>
    <w:rPr>
      <w:rFonts w:ascii="Calibri" w:hAnsi="Calibri" w:eastAsia="等线" w:cs="等线"/>
      <w:szCs w:val="22"/>
    </w:rPr>
  </w:style>
  <w:style w:type="paragraph" w:customStyle="1" w:styleId="480">
    <w:name w:val="14"/>
    <w:basedOn w:val="1"/>
    <w:qFormat/>
    <w:uiPriority w:val="0"/>
    <w:pPr>
      <w:snapToGrid w:val="0"/>
      <w:spacing w:beforeLines="30" w:line="288" w:lineRule="auto"/>
      <w:ind w:left="852" w:leftChars="355" w:firstLine="420" w:firstLineChars="175"/>
    </w:pPr>
    <w:rPr>
      <w:rFonts w:ascii="Calibri" w:hAnsi="Calibri" w:eastAsia="等线" w:cs="等线"/>
      <w:sz w:val="24"/>
      <w:szCs w:val="20"/>
    </w:rPr>
  </w:style>
  <w:style w:type="paragraph" w:customStyle="1" w:styleId="481">
    <w:name w:val="正文5"/>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82">
    <w:name w:val="xl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83">
    <w:name w:val="xl32"/>
    <w:basedOn w:val="1"/>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textAlignment w:val="center"/>
    </w:pPr>
    <w:rPr>
      <w:rFonts w:ascii="等线" w:hAnsi="等线" w:eastAsia="等线" w:cs="等线"/>
      <w:kern w:val="0"/>
      <w:sz w:val="20"/>
      <w:szCs w:val="20"/>
    </w:rPr>
  </w:style>
  <w:style w:type="paragraph" w:customStyle="1" w:styleId="484">
    <w:name w:val="Char Char Char Char Char Char Char Char Char Char Char Char1 Char"/>
    <w:basedOn w:val="1"/>
    <w:qFormat/>
    <w:uiPriority w:val="0"/>
    <w:pPr>
      <w:snapToGrid w:val="0"/>
      <w:spacing w:line="360" w:lineRule="auto"/>
      <w:ind w:firstLine="200" w:firstLineChars="200"/>
    </w:pPr>
    <w:rPr>
      <w:rFonts w:ascii="等线" w:hAnsi="等线" w:eastAsia="等线" w:cs="等线"/>
      <w:szCs w:val="20"/>
    </w:rPr>
  </w:style>
  <w:style w:type="paragraph" w:customStyle="1" w:styleId="485">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486">
    <w:name w:val="目  录"/>
    <w:basedOn w:val="1"/>
    <w:qFormat/>
    <w:uiPriority w:val="0"/>
    <w:pPr>
      <w:spacing w:line="360" w:lineRule="auto"/>
      <w:jc w:val="center"/>
    </w:pPr>
    <w:rPr>
      <w:rFonts w:hAnsi="宋体" w:eastAsia="黑体"/>
      <w:sz w:val="44"/>
    </w:rPr>
  </w:style>
  <w:style w:type="paragraph" w:customStyle="1" w:styleId="487">
    <w:name w:val="xl41"/>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488">
    <w:name w:val="排列"/>
    <w:basedOn w:val="1"/>
    <w:qFormat/>
    <w:uiPriority w:val="0"/>
    <w:pPr>
      <w:widowControl/>
      <w:autoSpaceDE w:val="0"/>
      <w:autoSpaceDN w:val="0"/>
      <w:adjustRightInd w:val="0"/>
      <w:spacing w:line="360" w:lineRule="auto"/>
      <w:jc w:val="left"/>
    </w:pPr>
    <w:rPr>
      <w:rFonts w:ascii="仿宋_GB2312" w:hAnsi="仿宋_GB2312" w:eastAsia="等线" w:cs="等线"/>
      <w:kern w:val="0"/>
      <w:sz w:val="20"/>
      <w:szCs w:val="20"/>
      <w:lang w:val="zh-CN"/>
    </w:rPr>
  </w:style>
  <w:style w:type="paragraph" w:customStyle="1" w:styleId="489">
    <w:name w:val="Char3"/>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90">
    <w:name w:val="文章正文"/>
    <w:basedOn w:val="1"/>
    <w:qFormat/>
    <w:uiPriority w:val="0"/>
    <w:pPr>
      <w:spacing w:line="360" w:lineRule="auto"/>
      <w:ind w:firstLine="200" w:firstLineChars="200"/>
    </w:pPr>
    <w:rPr>
      <w:kern w:val="0"/>
      <w:sz w:val="28"/>
      <w:szCs w:val="22"/>
    </w:rPr>
  </w:style>
  <w:style w:type="paragraph" w:customStyle="1" w:styleId="491">
    <w:name w:val="列出段落2"/>
    <w:basedOn w:val="1"/>
    <w:qFormat/>
    <w:uiPriority w:val="0"/>
    <w:pPr>
      <w:spacing w:line="360" w:lineRule="auto"/>
      <w:ind w:firstLine="420" w:firstLineChars="200"/>
    </w:pPr>
    <w:rPr>
      <w:rFonts w:ascii="等线" w:hAnsi="等线" w:eastAsia="等线" w:cs="等线"/>
      <w:szCs w:val="20"/>
    </w:rPr>
  </w:style>
  <w:style w:type="paragraph" w:customStyle="1" w:styleId="492">
    <w:name w:val="_Style 5"/>
    <w:basedOn w:val="20"/>
    <w:qFormat/>
    <w:uiPriority w:val="0"/>
    <w:rPr>
      <w:rFonts w:eastAsia="等线"/>
    </w:rPr>
  </w:style>
  <w:style w:type="paragraph" w:customStyle="1" w:styleId="493">
    <w:name w:val="2"/>
    <w:basedOn w:val="1"/>
    <w:next w:val="2"/>
    <w:qFormat/>
    <w:uiPriority w:val="0"/>
    <w:pPr>
      <w:spacing w:line="440" w:lineRule="exact"/>
      <w:ind w:firstLine="420" w:firstLineChars="200"/>
    </w:pPr>
    <w:rPr>
      <w:rFonts w:ascii="等线" w:hAnsi="等线" w:eastAsia="等线" w:cs="等线"/>
      <w:sz w:val="28"/>
      <w:szCs w:val="20"/>
    </w:rPr>
  </w:style>
  <w:style w:type="paragraph" w:customStyle="1" w:styleId="494">
    <w:name w:val="版权"/>
    <w:basedOn w:val="1"/>
    <w:qFormat/>
    <w:uiPriority w:val="0"/>
    <w:pPr>
      <w:spacing w:before="312" w:after="312" w:line="360" w:lineRule="auto"/>
      <w:ind w:firstLine="480" w:firstLineChars="200"/>
      <w:jc w:val="center"/>
      <w:outlineLvl w:val="0"/>
    </w:pPr>
    <w:rPr>
      <w:rFonts w:ascii="华文中宋" w:hAnsi="华文中宋" w:eastAsia="等线" w:cs="等线"/>
      <w:b/>
      <w:sz w:val="24"/>
      <w:szCs w:val="20"/>
    </w:rPr>
  </w:style>
  <w:style w:type="paragraph" w:customStyle="1" w:styleId="495">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96">
    <w:name w:val="_Style 10"/>
    <w:basedOn w:val="1"/>
    <w:qFormat/>
    <w:uiPriority w:val="0"/>
    <w:pPr>
      <w:spacing w:beforeLines="50" w:afterLines="50"/>
    </w:pPr>
    <w:rPr>
      <w:rFonts w:ascii="Calibri" w:hAnsi="Calibri"/>
      <w:szCs w:val="20"/>
    </w:rPr>
  </w:style>
  <w:style w:type="paragraph" w:customStyle="1" w:styleId="497">
    <w:name w:val="CM106"/>
    <w:basedOn w:val="498"/>
    <w:next w:val="498"/>
    <w:qFormat/>
    <w:uiPriority w:val="0"/>
    <w:rPr>
      <w:rFonts w:ascii="宋体" w:cs="Times New Roman"/>
      <w:color w:val="auto"/>
    </w:rPr>
  </w:style>
  <w:style w:type="paragraph" w:customStyle="1" w:styleId="498">
    <w:name w:val="Default"/>
    <w:qFormat/>
    <w:uiPriority w:val="0"/>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499">
    <w:name w:val="BZ_五级标题"/>
    <w:basedOn w:val="9"/>
    <w:next w:val="124"/>
    <w:qFormat/>
    <w:uiPriority w:val="0"/>
    <w:pPr>
      <w:widowControl/>
      <w:spacing w:beforeLines="50" w:afterLines="50" w:line="240" w:lineRule="auto"/>
    </w:pPr>
    <w:rPr>
      <w:rFonts w:eastAsia="黑体"/>
      <w:b w:val="0"/>
      <w:sz w:val="24"/>
      <w:szCs w:val="24"/>
    </w:rPr>
  </w:style>
  <w:style w:type="paragraph" w:customStyle="1" w:styleId="500">
    <w:name w:val="正文2"/>
    <w:basedOn w:val="1"/>
    <w:qFormat/>
    <w:uiPriority w:val="0"/>
    <w:pPr>
      <w:spacing w:before="156" w:line="360" w:lineRule="auto"/>
      <w:ind w:firstLine="510" w:firstLineChars="200"/>
    </w:pPr>
    <w:rPr>
      <w:sz w:val="24"/>
      <w:szCs w:val="20"/>
    </w:rPr>
  </w:style>
  <w:style w:type="paragraph" w:customStyle="1" w:styleId="501">
    <w:name w:val="样式 Arial 小四 首行缩进:  0.85 厘米"/>
    <w:basedOn w:val="1"/>
    <w:qFormat/>
    <w:uiPriority w:val="0"/>
    <w:pPr>
      <w:spacing w:line="360" w:lineRule="auto"/>
      <w:ind w:firstLine="482"/>
    </w:pPr>
    <w:rPr>
      <w:rFonts w:ascii="Arial" w:hAnsi="Arial" w:cs="宋体"/>
      <w:sz w:val="24"/>
      <w:szCs w:val="20"/>
    </w:rPr>
  </w:style>
  <w:style w:type="paragraph" w:customStyle="1" w:styleId="502">
    <w:name w:val="Char Char Char Char"/>
    <w:basedOn w:val="20"/>
    <w:qFormat/>
    <w:uiPriority w:val="0"/>
    <w:rPr>
      <w:rFonts w:ascii="Tahoma" w:hAnsi="Tahoma"/>
      <w:sz w:val="24"/>
    </w:rPr>
  </w:style>
  <w:style w:type="paragraph" w:customStyle="1" w:styleId="503">
    <w:name w:val="前言、引言标题"/>
    <w:next w:val="1"/>
    <w:qFormat/>
    <w:uiPriority w:val="0"/>
    <w:pPr>
      <w:shd w:val="clear" w:color="FFFFFF" w:fill="FFFFFF"/>
      <w:spacing w:before="640" w:after="560"/>
      <w:jc w:val="center"/>
      <w:outlineLvl w:val="0"/>
    </w:pPr>
    <w:rPr>
      <w:rFonts w:ascii="Helvetica" w:hAnsi="等线" w:eastAsia="Helvetica" w:cs="等线"/>
      <w:sz w:val="32"/>
      <w:lang w:val="en-US" w:eastAsia="zh-CN" w:bidi="ar-SA"/>
    </w:rPr>
  </w:style>
  <w:style w:type="paragraph" w:customStyle="1" w:styleId="504">
    <w:name w:val="標題10.3-1"/>
    <w:basedOn w:val="505"/>
    <w:qFormat/>
    <w:uiPriority w:val="0"/>
    <w:pPr>
      <w:tabs>
        <w:tab w:val="left" w:pos="5529"/>
      </w:tabs>
      <w:adjustRightInd/>
      <w:spacing w:line="240" w:lineRule="atLeast"/>
      <w:ind w:left="993" w:hanging="284"/>
      <w:textAlignment w:val="auto"/>
    </w:pPr>
    <w:rPr>
      <w:rFonts w:ascii="Times New Roman"/>
      <w:kern w:val="2"/>
      <w:sz w:val="24"/>
      <w:szCs w:val="24"/>
    </w:rPr>
  </w:style>
  <w:style w:type="paragraph" w:customStyle="1" w:styleId="505">
    <w:name w:val="標題 (1)"/>
    <w:basedOn w:val="1"/>
    <w:qFormat/>
    <w:uiPriority w:val="0"/>
    <w:pPr>
      <w:adjustRightInd w:val="0"/>
      <w:spacing w:line="567" w:lineRule="atLeast"/>
      <w:ind w:left="1560" w:hanging="709" w:firstLineChars="200"/>
      <w:textAlignment w:val="baseline"/>
    </w:pPr>
    <w:rPr>
      <w:rFonts w:ascii="PMingLiU" w:hAnsi="等线" w:eastAsia="PMingLiU" w:cs="等线"/>
      <w:kern w:val="0"/>
      <w:sz w:val="28"/>
      <w:szCs w:val="20"/>
      <w:lang w:eastAsia="zh-TW"/>
    </w:rPr>
  </w:style>
  <w:style w:type="paragraph" w:customStyle="1" w:styleId="506">
    <w:name w:val="Char1 Char Char Char"/>
    <w:basedOn w:val="1"/>
    <w:qFormat/>
    <w:uiPriority w:val="0"/>
    <w:rPr>
      <w:rFonts w:ascii="Tahoma" w:hAnsi="Tahoma"/>
      <w:sz w:val="24"/>
      <w:szCs w:val="20"/>
    </w:rPr>
  </w:style>
  <w:style w:type="paragraph" w:customStyle="1" w:styleId="507">
    <w:name w:val="style31"/>
    <w:basedOn w:val="1"/>
    <w:qFormat/>
    <w:uiPriority w:val="0"/>
    <w:pPr>
      <w:widowControl/>
      <w:spacing w:before="100" w:beforeAutospacing="1" w:after="100" w:afterAutospacing="1"/>
      <w:jc w:val="left"/>
    </w:pPr>
    <w:rPr>
      <w:rFonts w:ascii="宋体" w:hAnsi="宋体" w:cs="宋体"/>
      <w:kern w:val="0"/>
      <w:sz w:val="24"/>
    </w:rPr>
  </w:style>
  <w:style w:type="paragraph" w:customStyle="1" w:styleId="508">
    <w:name w:val="日期1"/>
    <w:basedOn w:val="1"/>
    <w:next w:val="1"/>
    <w:qFormat/>
    <w:uiPriority w:val="0"/>
    <w:pPr>
      <w:tabs>
        <w:tab w:val="left" w:pos="425"/>
      </w:tabs>
      <w:autoSpaceDE w:val="0"/>
      <w:autoSpaceDN w:val="0"/>
      <w:adjustRightInd w:val="0"/>
      <w:spacing w:before="60" w:after="60" w:line="312" w:lineRule="atLeast"/>
      <w:ind w:left="420" w:firstLine="200" w:firstLineChars="200"/>
      <w:jc w:val="right"/>
      <w:textAlignment w:val="baseline"/>
    </w:pPr>
    <w:rPr>
      <w:rFonts w:ascii="等线" w:hAnsi="等线" w:eastAsia="等线" w:cs="等线"/>
      <w:kern w:val="0"/>
      <w:sz w:val="44"/>
      <w:szCs w:val="20"/>
    </w:rPr>
  </w:style>
  <w:style w:type="paragraph" w:customStyle="1" w:styleId="509">
    <w:name w:val="BZ_二级标题"/>
    <w:basedOn w:val="6"/>
    <w:next w:val="510"/>
    <w:qFormat/>
    <w:uiPriority w:val="0"/>
    <w:pPr>
      <w:widowControl/>
      <w:spacing w:beforeLines="50" w:afterLines="50" w:line="240" w:lineRule="auto"/>
      <w:ind w:left="576" w:hanging="576"/>
    </w:pPr>
    <w:rPr>
      <w:rFonts w:ascii="Times New Roman" w:hAnsi="Times New Roman" w:eastAsia="楷体"/>
    </w:rPr>
  </w:style>
  <w:style w:type="paragraph" w:customStyle="1" w:styleId="510">
    <w:name w:val="Char Char Char Char Char Char Char"/>
    <w:basedOn w:val="1"/>
    <w:qFormat/>
    <w:uiPriority w:val="0"/>
    <w:rPr>
      <w:rFonts w:ascii="仿宋_GB2312" w:eastAsia="仿宋_GB2312"/>
      <w:b/>
      <w:sz w:val="32"/>
      <w:szCs w:val="32"/>
    </w:rPr>
  </w:style>
  <w:style w:type="paragraph" w:customStyle="1" w:styleId="511">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512">
    <w:name w:val="Char Char Char Char Char Char Char Char Char Char Char Char Char1"/>
    <w:basedOn w:val="1"/>
    <w:qFormat/>
    <w:uiPriority w:val="0"/>
    <w:rPr>
      <w:rFonts w:ascii="Tahoma" w:hAnsi="Tahoma"/>
      <w:sz w:val="24"/>
      <w:szCs w:val="20"/>
    </w:rPr>
  </w:style>
  <w:style w:type="paragraph" w:customStyle="1" w:styleId="513">
    <w:name w:val="Char1 Char Char Char1"/>
    <w:basedOn w:val="1"/>
    <w:qFormat/>
    <w:uiPriority w:val="0"/>
    <w:rPr>
      <w:rFonts w:ascii="仿宋_GB2312" w:eastAsia="仿宋_GB2312"/>
      <w:b/>
      <w:sz w:val="32"/>
      <w:szCs w:val="32"/>
    </w:rPr>
  </w:style>
  <w:style w:type="paragraph" w:styleId="514">
    <w:name w:val="List Paragraph"/>
    <w:basedOn w:val="1"/>
    <w:qFormat/>
    <w:uiPriority w:val="34"/>
    <w:pPr>
      <w:ind w:firstLine="420" w:firstLineChars="200"/>
    </w:pPr>
  </w:style>
  <w:style w:type="paragraph" w:customStyle="1" w:styleId="515">
    <w:name w:val="BZ_六级标题"/>
    <w:basedOn w:val="10"/>
    <w:next w:val="124"/>
    <w:qFormat/>
    <w:uiPriority w:val="0"/>
    <w:pPr>
      <w:widowControl/>
      <w:tabs>
        <w:tab w:val="left" w:pos="360"/>
      </w:tabs>
      <w:spacing w:beforeLines="50" w:afterLines="50" w:line="240" w:lineRule="auto"/>
    </w:pPr>
    <w:rPr>
      <w:rFonts w:eastAsia="黑体"/>
    </w:rPr>
  </w:style>
  <w:style w:type="paragraph" w:customStyle="1" w:styleId="516">
    <w:name w:val="正文－恩普"/>
    <w:basedOn w:val="17"/>
    <w:qFormat/>
    <w:uiPriority w:val="0"/>
    <w:pPr>
      <w:framePr w:wrap="around" w:vAnchor="text" w:hAnchor="text" w:y="1"/>
      <w:adjustRightInd/>
      <w:spacing w:line="360" w:lineRule="auto"/>
      <w:ind w:firstLine="200" w:firstLineChars="200"/>
      <w:textAlignment w:val="auto"/>
    </w:pPr>
    <w:rPr>
      <w:kern w:val="2"/>
      <w:sz w:val="24"/>
      <w:szCs w:val="24"/>
    </w:rPr>
  </w:style>
  <w:style w:type="paragraph" w:customStyle="1" w:styleId="517">
    <w:name w:val="xl9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18">
    <w:name w:val="Char Char Char Char2"/>
    <w:basedOn w:val="20"/>
    <w:qFormat/>
    <w:uiPriority w:val="0"/>
  </w:style>
  <w:style w:type="paragraph" w:customStyle="1" w:styleId="519">
    <w:name w:val="正文空2格  1."/>
    <w:basedOn w:val="1"/>
    <w:qFormat/>
    <w:uiPriority w:val="0"/>
    <w:pPr>
      <w:adjustRightInd w:val="0"/>
      <w:spacing w:line="360" w:lineRule="auto"/>
      <w:ind w:firstLine="480" w:firstLineChars="200"/>
      <w:textAlignment w:val="baseline"/>
    </w:pPr>
    <w:rPr>
      <w:rFonts w:ascii="宋体" w:eastAsia="仿宋" w:cs="宋体"/>
      <w:kern w:val="0"/>
      <w:sz w:val="28"/>
      <w:szCs w:val="20"/>
    </w:rPr>
  </w:style>
  <w:style w:type="paragraph" w:customStyle="1" w:styleId="520">
    <w:name w:val="默认段落字体 Para Char"/>
    <w:basedOn w:val="1"/>
    <w:qFormat/>
    <w:uiPriority w:val="0"/>
    <w:pPr>
      <w:tabs>
        <w:tab w:val="left" w:pos="360"/>
      </w:tabs>
      <w:adjustRightInd w:val="0"/>
      <w:textAlignment w:val="baseline"/>
    </w:pPr>
    <w:rPr>
      <w:kern w:val="0"/>
      <w:sz w:val="24"/>
      <w:szCs w:val="20"/>
    </w:rPr>
  </w:style>
  <w:style w:type="paragraph" w:customStyle="1" w:styleId="521">
    <w:name w:val="Char Char Char Char Char Char Char1"/>
    <w:basedOn w:val="1"/>
    <w:qFormat/>
    <w:uiPriority w:val="0"/>
    <w:rPr>
      <w:rFonts w:ascii="仿宋_GB2312" w:eastAsia="仿宋_GB2312"/>
      <w:b/>
      <w:sz w:val="32"/>
      <w:szCs w:val="32"/>
    </w:rPr>
  </w:style>
  <w:style w:type="paragraph" w:customStyle="1" w:styleId="522">
    <w:name w:val="简单回函地址"/>
    <w:basedOn w:val="1"/>
    <w:qFormat/>
    <w:uiPriority w:val="0"/>
  </w:style>
  <w:style w:type="paragraph" w:customStyle="1" w:styleId="523">
    <w:name w:val="Char Char7 Char"/>
    <w:basedOn w:val="1"/>
    <w:qFormat/>
    <w:uiPriority w:val="0"/>
    <w:pPr>
      <w:tabs>
        <w:tab w:val="left" w:pos="425"/>
      </w:tabs>
      <w:ind w:left="420" w:leftChars="200" w:firstLine="270" w:firstLineChars="150"/>
    </w:pPr>
  </w:style>
  <w:style w:type="paragraph" w:customStyle="1" w:styleId="524">
    <w:name w:val="保留正文"/>
    <w:basedOn w:val="26"/>
    <w:qFormat/>
    <w:uiPriority w:val="0"/>
    <w:pPr>
      <w:keepNext/>
      <w:spacing w:after="160"/>
    </w:pPr>
  </w:style>
  <w:style w:type="paragraph" w:customStyle="1" w:styleId="525">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6">
    <w:name w:val="Char Char Char Char Char Char Char Char Char Char"/>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527">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528">
    <w:name w:val="Char Char"/>
    <w:basedOn w:val="1"/>
    <w:qFormat/>
    <w:uiPriority w:val="0"/>
    <w:rPr>
      <w:rFonts w:ascii="仿宋_GB2312" w:eastAsia="仿宋_GB2312"/>
      <w:b/>
      <w:sz w:val="32"/>
      <w:szCs w:val="32"/>
    </w:rPr>
  </w:style>
  <w:style w:type="paragraph" w:customStyle="1" w:styleId="529">
    <w:name w:val="Char Char Char Char1"/>
    <w:basedOn w:val="1"/>
    <w:qFormat/>
    <w:uiPriority w:val="0"/>
    <w:rPr>
      <w:rFonts w:ascii="Tahoma" w:hAnsi="Tahoma"/>
      <w:sz w:val="24"/>
      <w:szCs w:val="20"/>
    </w:rPr>
  </w:style>
  <w:style w:type="paragraph" w:customStyle="1" w:styleId="530">
    <w:name w:val="正文文字"/>
    <w:basedOn w:val="1"/>
    <w:qFormat/>
    <w:uiPriority w:val="99"/>
    <w:pPr>
      <w:spacing w:line="360" w:lineRule="auto"/>
      <w:ind w:firstLine="200" w:firstLineChars="200"/>
      <w:textAlignment w:val="top"/>
    </w:pPr>
    <w:rPr>
      <w:rFonts w:ascii="等线" w:hAnsi="等线" w:eastAsia="等线" w:cs="等线"/>
      <w:color w:val="000000"/>
      <w:kern w:val="0"/>
      <w:sz w:val="24"/>
      <w:szCs w:val="21"/>
    </w:rPr>
  </w:style>
  <w:style w:type="paragraph" w:customStyle="1" w:styleId="531">
    <w:name w:val="Char Char Char Char Char Char Char2"/>
    <w:basedOn w:val="1"/>
    <w:qFormat/>
    <w:uiPriority w:val="0"/>
    <w:rPr>
      <w:rFonts w:ascii="仿宋_GB2312" w:eastAsia="仿宋_GB2312"/>
      <w:b/>
      <w:sz w:val="32"/>
      <w:szCs w:val="32"/>
    </w:rPr>
  </w:style>
  <w:style w:type="paragraph" w:customStyle="1" w:styleId="532">
    <w:name w:val="Char Char Char Char Char Char Char Char Char Char Char Char Char"/>
    <w:basedOn w:val="1"/>
    <w:qFormat/>
    <w:uiPriority w:val="0"/>
    <w:rPr>
      <w:rFonts w:ascii="Tahoma" w:hAnsi="Tahoma"/>
      <w:sz w:val="24"/>
      <w:szCs w:val="20"/>
    </w:rPr>
  </w:style>
  <w:style w:type="paragraph" w:customStyle="1" w:styleId="533">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534">
    <w:name w:val="Char Char Char Char Char Char Char Char Char Char Char Char Char2"/>
    <w:basedOn w:val="1"/>
    <w:qFormat/>
    <w:uiPriority w:val="0"/>
    <w:rPr>
      <w:rFonts w:ascii="Tahoma" w:hAnsi="Tahoma"/>
      <w:sz w:val="24"/>
      <w:szCs w:val="20"/>
    </w:rPr>
  </w:style>
  <w:style w:type="paragraph" w:customStyle="1" w:styleId="535">
    <w:name w:val="1"/>
    <w:basedOn w:val="17"/>
    <w:qFormat/>
    <w:uiPriority w:val="99"/>
    <w:pPr>
      <w:framePr w:wrap="around" w:vAnchor="text" w:hAnchor="text" w:y="1"/>
      <w:adjustRightInd/>
      <w:spacing w:line="360" w:lineRule="auto"/>
      <w:ind w:firstLine="200" w:firstLineChars="200"/>
      <w:textAlignment w:val="auto"/>
    </w:pPr>
    <w:rPr>
      <w:kern w:val="2"/>
      <w:sz w:val="24"/>
      <w:szCs w:val="24"/>
    </w:rPr>
  </w:style>
  <w:style w:type="paragraph" w:customStyle="1" w:styleId="536">
    <w:name w:val="修订1"/>
    <w:qFormat/>
    <w:uiPriority w:val="99"/>
    <w:rPr>
      <w:rFonts w:ascii="Times New Roman" w:hAnsi="Times New Roman" w:eastAsia="宋体" w:cs="Times New Roman"/>
      <w:kern w:val="2"/>
      <w:sz w:val="21"/>
      <w:szCs w:val="24"/>
      <w:lang w:val="en-US" w:eastAsia="zh-CN" w:bidi="ar-SA"/>
    </w:rPr>
  </w:style>
  <w:style w:type="paragraph" w:customStyle="1" w:styleId="537">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538">
    <w:name w:val="样式6"/>
    <w:basedOn w:val="1"/>
    <w:qFormat/>
    <w:uiPriority w:val="0"/>
    <w:pPr>
      <w:spacing w:line="360" w:lineRule="auto"/>
      <w:ind w:firstLine="200" w:firstLineChars="200"/>
      <w:jc w:val="left"/>
    </w:pPr>
    <w:rPr>
      <w:sz w:val="24"/>
    </w:rPr>
  </w:style>
  <w:style w:type="paragraph" w:customStyle="1" w:styleId="539">
    <w:name w:val="正文缩进1"/>
    <w:basedOn w:val="1"/>
    <w:qFormat/>
    <w:uiPriority w:val="0"/>
    <w:pPr>
      <w:spacing w:line="360" w:lineRule="auto"/>
      <w:ind w:firstLine="454"/>
      <w:jc w:val="left"/>
    </w:pPr>
    <w:rPr>
      <w:sz w:val="24"/>
    </w:rPr>
  </w:style>
  <w:style w:type="paragraph" w:customStyle="1" w:styleId="540">
    <w:name w:val="样式"/>
    <w:qFormat/>
    <w:uiPriority w:val="0"/>
    <w:pPr>
      <w:widowControl w:val="0"/>
      <w:autoSpaceDE w:val="0"/>
      <w:autoSpaceDN w:val="0"/>
      <w:adjustRightInd w:val="0"/>
    </w:pPr>
    <w:rPr>
      <w:rFonts w:ascii="宋体" w:hAnsi="Calibri" w:eastAsia="宋体" w:cs="宋体"/>
      <w:sz w:val="24"/>
      <w:szCs w:val="24"/>
      <w:lang w:val="en-US" w:eastAsia="zh-CN" w:bidi="ar-SA"/>
    </w:rPr>
  </w:style>
  <w:style w:type="paragraph" w:customStyle="1" w:styleId="541">
    <w:name w:val="5"/>
    <w:basedOn w:val="1"/>
    <w:qFormat/>
    <w:uiPriority w:val="0"/>
    <w:pPr>
      <w:widowControl/>
      <w:tabs>
        <w:tab w:val="left" w:pos="420"/>
        <w:tab w:val="left" w:pos="926"/>
      </w:tabs>
      <w:spacing w:after="160" w:line="240" w:lineRule="exact"/>
      <w:ind w:firstLine="200" w:firstLineChars="200"/>
      <w:jc w:val="left"/>
    </w:pPr>
    <w:rPr>
      <w:rFonts w:ascii="等线" w:hAnsi="等线" w:eastAsia="等线" w:cs="等线"/>
      <w:szCs w:val="20"/>
    </w:rPr>
  </w:style>
  <w:style w:type="paragraph" w:customStyle="1" w:styleId="542">
    <w:name w:val="部分1"/>
    <w:basedOn w:val="1"/>
    <w:qFormat/>
    <w:uiPriority w:val="0"/>
    <w:pPr>
      <w:keepNext/>
      <w:pageBreakBefore/>
      <w:tabs>
        <w:tab w:val="left" w:pos="720"/>
      </w:tabs>
      <w:autoSpaceDE w:val="0"/>
      <w:autoSpaceDN w:val="0"/>
      <w:adjustRightInd w:val="0"/>
      <w:spacing w:line="360" w:lineRule="auto"/>
      <w:jc w:val="center"/>
      <w:outlineLvl w:val="0"/>
    </w:pPr>
    <w:rPr>
      <w:rFonts w:ascii="等线" w:hAnsi="等线" w:eastAsia="Helvetica" w:cs="等线"/>
      <w:b/>
      <w:kern w:val="44"/>
      <w:sz w:val="36"/>
      <w:szCs w:val="20"/>
    </w:rPr>
  </w:style>
  <w:style w:type="paragraph" w:customStyle="1" w:styleId="543">
    <w:name w:val="kpk:1级"/>
    <w:basedOn w:val="5"/>
    <w:qFormat/>
    <w:uiPriority w:val="0"/>
    <w:pPr>
      <w:keepLines/>
      <w:tabs>
        <w:tab w:val="left" w:pos="420"/>
        <w:tab w:val="left" w:pos="643"/>
      </w:tabs>
      <w:spacing w:beforeLines="120" w:afterLines="100"/>
      <w:ind w:firstLine="200" w:firstLineChars="200"/>
      <w:jc w:val="both"/>
    </w:pPr>
    <w:rPr>
      <w:rFonts w:ascii="黑体" w:hAnsi="等线" w:eastAsia="等线"/>
      <w:kern w:val="44"/>
      <w:sz w:val="30"/>
      <w:szCs w:val="32"/>
    </w:rPr>
  </w:style>
  <w:style w:type="paragraph" w:customStyle="1" w:styleId="544">
    <w:name w:val="Char1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545">
    <w:name w:val="GP正文(首行缩进)"/>
    <w:basedOn w:val="1"/>
    <w:qFormat/>
    <w:uiPriority w:val="0"/>
    <w:pPr>
      <w:adjustRightInd w:val="0"/>
      <w:spacing w:line="360" w:lineRule="auto"/>
      <w:ind w:firstLine="200" w:firstLineChars="200"/>
      <w:jc w:val="left"/>
      <w:textAlignment w:val="baseline"/>
    </w:pPr>
    <w:rPr>
      <w:rFonts w:ascii="等线" w:hAnsi="等线" w:eastAsia="等线" w:cs="等线"/>
      <w:kern w:val="0"/>
      <w:sz w:val="24"/>
      <w:szCs w:val="20"/>
    </w:rPr>
  </w:style>
  <w:style w:type="paragraph" w:customStyle="1" w:styleId="546">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paragraph" w:customStyle="1" w:styleId="547">
    <w:name w:val="Char Char Char Char Char Char"/>
    <w:basedOn w:val="1"/>
    <w:qFormat/>
    <w:uiPriority w:val="0"/>
    <w:rPr>
      <w:rFonts w:ascii="Tahoma" w:hAnsi="Tahoma" w:eastAsia="等线" w:cs="等线"/>
      <w:sz w:val="24"/>
      <w:szCs w:val="20"/>
    </w:rPr>
  </w:style>
  <w:style w:type="paragraph" w:customStyle="1" w:styleId="548">
    <w:name w:val="font7"/>
    <w:basedOn w:val="1"/>
    <w:qFormat/>
    <w:uiPriority w:val="0"/>
    <w:pPr>
      <w:widowControl/>
      <w:spacing w:before="100" w:beforeAutospacing="1" w:after="100" w:afterAutospacing="1"/>
      <w:jc w:val="left"/>
    </w:pPr>
    <w:rPr>
      <w:rFonts w:ascii="等线" w:hAnsi="等线" w:eastAsia="等线" w:cs="等线"/>
      <w:kern w:val="0"/>
      <w:sz w:val="20"/>
      <w:szCs w:val="20"/>
    </w:rPr>
  </w:style>
  <w:style w:type="paragraph" w:customStyle="1" w:styleId="549">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550">
    <w:name w:val="xl6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51">
    <w:name w:val="样式 普通(网站) + 仿宋_GB2312 段前: 自动 段后: 自动 行距: 1.5 倍行距1"/>
    <w:basedOn w:val="1"/>
    <w:qFormat/>
    <w:uiPriority w:val="0"/>
    <w:pPr>
      <w:widowControl/>
      <w:tabs>
        <w:tab w:val="left" w:pos="1134"/>
      </w:tabs>
      <w:spacing w:after="120" w:line="360" w:lineRule="auto"/>
      <w:ind w:left="1134" w:hanging="294" w:firstLineChars="200"/>
      <w:jc w:val="left"/>
    </w:pPr>
    <w:rPr>
      <w:rFonts w:ascii="Arial" w:hAnsi="Arial" w:eastAsia="等线" w:cs="等线"/>
      <w:kern w:val="0"/>
      <w:sz w:val="20"/>
      <w:szCs w:val="20"/>
    </w:rPr>
  </w:style>
  <w:style w:type="paragraph" w:customStyle="1" w:styleId="552">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Calibri" w:hAnsi="Calibri" w:eastAsia="Calibri" w:cs="仿宋_GB2312"/>
      <w:color w:val="000000"/>
      <w:kern w:val="0"/>
      <w:sz w:val="24"/>
    </w:rPr>
  </w:style>
  <w:style w:type="paragraph" w:customStyle="1" w:styleId="553">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554">
    <w:name w:val="寄件者簡短地址"/>
    <w:basedOn w:val="1"/>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555">
    <w:name w:val="正文 New New New New"/>
    <w:qFormat/>
    <w:uiPriority w:val="2"/>
    <w:pPr>
      <w:widowControl w:val="0"/>
      <w:jc w:val="both"/>
    </w:pPr>
    <w:rPr>
      <w:rFonts w:ascii="Calibri" w:hAnsi="Calibri" w:eastAsia="等线" w:cs="等线"/>
      <w:color w:val="000000"/>
      <w:szCs w:val="24"/>
      <w:lang w:val="en-US" w:eastAsia="zh-CN" w:bidi="ar-SA"/>
    </w:rPr>
  </w:style>
  <w:style w:type="paragraph" w:customStyle="1" w:styleId="556">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57">
    <w:name w:val="二级标题"/>
    <w:basedOn w:val="6"/>
    <w:qFormat/>
    <w:uiPriority w:val="0"/>
    <w:pPr>
      <w:ind w:left="576" w:hanging="576"/>
    </w:pPr>
    <w:rPr>
      <w:rFonts w:ascii="华文中宋" w:eastAsia="华文中宋"/>
      <w:kern w:val="0"/>
    </w:rPr>
  </w:style>
  <w:style w:type="paragraph" w:customStyle="1" w:styleId="558">
    <w:name w:val="封面标准代替信息"/>
    <w:qFormat/>
    <w:uiPriority w:val="0"/>
    <w:pPr>
      <w:framePr w:w="9140" w:h="1242" w:hRule="exact" w:hSpace="284" w:wrap="around" w:vAnchor="page" w:hAnchor="page" w:x="1645" w:y="2910" w:anchorLock="1"/>
      <w:spacing w:before="57" w:line="280" w:lineRule="exact"/>
      <w:jc w:val="right"/>
    </w:pPr>
    <w:rPr>
      <w:rFonts w:ascii="宋体" w:hAnsi="等线" w:eastAsia="等线" w:cs="等线"/>
      <w:sz w:val="21"/>
      <w:szCs w:val="21"/>
      <w:lang w:val="en-US" w:eastAsia="zh-CN" w:bidi="ar-SA"/>
    </w:rPr>
  </w:style>
  <w:style w:type="paragraph" w:customStyle="1" w:styleId="559">
    <w:name w:val="正文文字 5"/>
    <w:basedOn w:val="2"/>
    <w:qFormat/>
    <w:uiPriority w:val="0"/>
    <w:pPr>
      <w:adjustRightInd w:val="0"/>
      <w:spacing w:after="120" w:line="312" w:lineRule="atLeast"/>
      <w:ind w:left="420" w:firstLine="0" w:firstLineChars="0"/>
      <w:textAlignment w:val="baseline"/>
    </w:pPr>
    <w:rPr>
      <w:rFonts w:ascii="等线" w:hAnsi="等线" w:cs="等线"/>
      <w:kern w:val="0"/>
      <w:sz w:val="21"/>
      <w:szCs w:val="20"/>
    </w:rPr>
  </w:style>
  <w:style w:type="paragraph" w:customStyle="1" w:styleId="560">
    <w:name w:val="数字级连标题2"/>
    <w:basedOn w:val="6"/>
    <w:next w:val="1"/>
    <w:qFormat/>
    <w:uiPriority w:val="0"/>
    <w:pPr>
      <w:tabs>
        <w:tab w:val="left" w:pos="0"/>
      </w:tabs>
      <w:spacing w:before="0" w:after="0" w:line="360" w:lineRule="auto"/>
      <w:ind w:left="567" w:hanging="567"/>
    </w:pPr>
    <w:rPr>
      <w:rFonts w:ascii="Times New Roman" w:hAnsi="Times New Roman" w:eastAsia="等线"/>
      <w:bCs w:val="0"/>
      <w:sz w:val="28"/>
      <w:szCs w:val="20"/>
      <w:lang w:eastAsia="ar-SA"/>
    </w:rPr>
  </w:style>
  <w:style w:type="paragraph" w:customStyle="1" w:styleId="561">
    <w:name w:val="四级条标题"/>
    <w:basedOn w:val="562"/>
    <w:next w:val="1"/>
    <w:qFormat/>
    <w:uiPriority w:val="0"/>
    <w:pPr>
      <w:outlineLvl w:val="5"/>
    </w:pPr>
  </w:style>
  <w:style w:type="paragraph" w:customStyle="1" w:styleId="562">
    <w:name w:val="三级条标题"/>
    <w:basedOn w:val="563"/>
    <w:next w:val="1"/>
    <w:qFormat/>
    <w:uiPriority w:val="0"/>
    <w:pPr>
      <w:outlineLvl w:val="4"/>
    </w:pPr>
  </w:style>
  <w:style w:type="paragraph" w:customStyle="1" w:styleId="563">
    <w:name w:val="二级条标题"/>
    <w:basedOn w:val="564"/>
    <w:next w:val="1"/>
    <w:qFormat/>
    <w:uiPriority w:val="0"/>
    <w:pPr>
      <w:outlineLvl w:val="3"/>
    </w:pPr>
  </w:style>
  <w:style w:type="paragraph" w:customStyle="1" w:styleId="564">
    <w:name w:val="一级条标题"/>
    <w:next w:val="1"/>
    <w:qFormat/>
    <w:uiPriority w:val="0"/>
    <w:pPr>
      <w:outlineLvl w:val="2"/>
    </w:pPr>
    <w:rPr>
      <w:rFonts w:ascii="等线" w:hAnsi="等线" w:eastAsia="Helvetica" w:cs="等线"/>
      <w:sz w:val="21"/>
      <w:lang w:val="en-US" w:eastAsia="zh-CN" w:bidi="ar-SA"/>
    </w:rPr>
  </w:style>
  <w:style w:type="paragraph" w:customStyle="1" w:styleId="565">
    <w:name w:val="xl4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等线" w:cs="等线"/>
      <w:kern w:val="0"/>
      <w:sz w:val="20"/>
      <w:szCs w:val="20"/>
    </w:rPr>
  </w:style>
  <w:style w:type="paragraph" w:customStyle="1" w:styleId="566">
    <w:name w:val="其他标准标志"/>
    <w:basedOn w:val="450"/>
    <w:qFormat/>
    <w:uiPriority w:val="0"/>
    <w:pPr>
      <w:framePr w:w="6101" w:vAnchor="page" w:hAnchor="page" w:x="4673" w:y="942"/>
    </w:pPr>
    <w:rPr>
      <w:w w:val="130"/>
    </w:rPr>
  </w:style>
  <w:style w:type="paragraph" w:customStyle="1" w:styleId="567">
    <w:name w:val="Char Char Char Char Char Char Char Char Char Char Char Char Char Char Char Char Char Char Char1"/>
    <w:basedOn w:val="1"/>
    <w:qFormat/>
    <w:uiPriority w:val="0"/>
    <w:rPr>
      <w:rFonts w:ascii="黑体" w:hAnsi="等线" w:eastAsia="黑体" w:cs="等线"/>
      <w:b/>
      <w:sz w:val="32"/>
      <w:szCs w:val="32"/>
    </w:rPr>
  </w:style>
  <w:style w:type="paragraph" w:customStyle="1" w:styleId="568">
    <w:name w:val="七级标题"/>
    <w:basedOn w:val="11"/>
    <w:qFormat/>
    <w:uiPriority w:val="0"/>
    <w:pPr>
      <w:adjustRightInd/>
      <w:spacing w:line="320" w:lineRule="auto"/>
      <w:ind w:left="1276" w:hanging="1276"/>
      <w:textAlignment w:val="auto"/>
    </w:pPr>
    <w:rPr>
      <w:rFonts w:ascii="黑体" w:hAnsi="黑体" w:eastAsia="黑体"/>
      <w:bCs/>
      <w:kern w:val="0"/>
    </w:rPr>
  </w:style>
  <w:style w:type="paragraph" w:customStyle="1" w:styleId="569">
    <w:name w:val="Char Char1 Char Char"/>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570">
    <w:name w:val="2级"/>
    <w:basedOn w:val="6"/>
    <w:next w:val="3"/>
    <w:qFormat/>
    <w:uiPriority w:val="0"/>
    <w:pPr>
      <w:spacing w:line="415" w:lineRule="auto"/>
      <w:ind w:left="420"/>
    </w:pPr>
    <w:rPr>
      <w:rFonts w:eastAsia="黑体"/>
      <w:kern w:val="0"/>
      <w:sz w:val="30"/>
    </w:rPr>
  </w:style>
  <w:style w:type="paragraph" w:customStyle="1" w:styleId="57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72">
    <w:name w:val="button"/>
    <w:basedOn w:val="1"/>
    <w:qFormat/>
    <w:uiPriority w:val="0"/>
    <w:pPr>
      <w:widowControl/>
      <w:autoSpaceDE w:val="0"/>
      <w:autoSpaceDN w:val="0"/>
      <w:adjustRightInd w:val="0"/>
      <w:spacing w:before="100" w:beforeAutospacing="1" w:after="100" w:afterAutospacing="1"/>
      <w:jc w:val="left"/>
    </w:pPr>
    <w:rPr>
      <w:rFonts w:ascii="等线" w:hAnsi="等线" w:eastAsia="等线" w:cs="等线"/>
      <w:color w:val="000000"/>
      <w:kern w:val="0"/>
      <w:sz w:val="24"/>
      <w:szCs w:val="20"/>
    </w:rPr>
  </w:style>
  <w:style w:type="paragraph" w:customStyle="1" w:styleId="573">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74">
    <w:name w:val="样式 temp标题1 + 段前: 0.5 行"/>
    <w:basedOn w:val="575"/>
    <w:qFormat/>
    <w:uiPriority w:val="0"/>
    <w:pPr>
      <w:spacing w:beforeLines="100"/>
    </w:pPr>
    <w:rPr>
      <w:rFonts w:cs="宋体"/>
      <w:bCs w:val="0"/>
      <w:szCs w:val="20"/>
    </w:rPr>
  </w:style>
  <w:style w:type="paragraph" w:customStyle="1" w:styleId="575">
    <w:name w:val="temp标题1"/>
    <w:basedOn w:val="5"/>
    <w:next w:val="5"/>
    <w:qFormat/>
    <w:uiPriority w:val="0"/>
    <w:pPr>
      <w:keepLines/>
      <w:spacing w:beforeLines="150" w:afterLines="50" w:line="360" w:lineRule="auto"/>
      <w:ind w:firstLine="200" w:firstLineChars="200"/>
    </w:pPr>
    <w:rPr>
      <w:rFonts w:ascii="Times New Roman" w:eastAsia="黑体"/>
      <w:kern w:val="0"/>
      <w:sz w:val="32"/>
      <w:szCs w:val="32"/>
      <w:lang w:val="zh-CN"/>
    </w:rPr>
  </w:style>
  <w:style w:type="paragraph" w:customStyle="1" w:styleId="576">
    <w:name w:val="正文样式 首行缩进:  0.74 厘米"/>
    <w:basedOn w:val="1"/>
    <w:qFormat/>
    <w:uiPriority w:val="0"/>
    <w:pPr>
      <w:autoSpaceDE w:val="0"/>
      <w:autoSpaceDN w:val="0"/>
      <w:adjustRightInd w:val="0"/>
      <w:spacing w:beforeLines="50" w:line="360" w:lineRule="auto"/>
      <w:ind w:firstLine="420"/>
      <w:jc w:val="left"/>
    </w:pPr>
    <w:rPr>
      <w:rFonts w:ascii="等线" w:hAnsi="等线" w:eastAsia="等线" w:cs="仿宋_GB2312"/>
      <w:kern w:val="0"/>
      <w:sz w:val="24"/>
      <w:szCs w:val="20"/>
    </w:rPr>
  </w:style>
  <w:style w:type="paragraph" w:customStyle="1" w:styleId="577">
    <w:name w:val="表格文字（居中）"/>
    <w:basedOn w:val="1"/>
    <w:qFormat/>
    <w:uiPriority w:val="0"/>
    <w:pPr>
      <w:spacing w:line="360" w:lineRule="auto"/>
      <w:ind w:firstLine="200" w:firstLineChars="200"/>
      <w:jc w:val="center"/>
    </w:pPr>
    <w:rPr>
      <w:sz w:val="28"/>
    </w:rPr>
  </w:style>
  <w:style w:type="paragraph" w:customStyle="1" w:styleId="57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color w:val="000000"/>
      <w:kern w:val="0"/>
      <w:sz w:val="24"/>
    </w:rPr>
  </w:style>
  <w:style w:type="paragraph" w:customStyle="1" w:styleId="579">
    <w:name w:val="context-item"/>
    <w:basedOn w:val="580"/>
    <w:qFormat/>
    <w:uiPriority w:val="0"/>
    <w:pPr>
      <w:ind w:left="1418" w:hanging="284"/>
    </w:pPr>
  </w:style>
  <w:style w:type="paragraph" w:customStyle="1" w:styleId="580">
    <w:name w:val="context"/>
    <w:basedOn w:val="1"/>
    <w:qFormat/>
    <w:uiPriority w:val="0"/>
    <w:pPr>
      <w:adjustRightInd w:val="0"/>
      <w:spacing w:before="60" w:line="240" w:lineRule="atLeast"/>
      <w:ind w:left="567" w:firstLine="567" w:firstLineChars="200"/>
      <w:textAlignment w:val="baseline"/>
    </w:pPr>
    <w:rPr>
      <w:rFonts w:ascii="全真楷書" w:hAnsi="等线" w:eastAsia="全真楷書" w:cs="等线"/>
      <w:kern w:val="0"/>
      <w:sz w:val="24"/>
      <w:szCs w:val="20"/>
      <w:lang w:eastAsia="zh-TW"/>
    </w:rPr>
  </w:style>
  <w:style w:type="paragraph" w:customStyle="1" w:styleId="581">
    <w:name w:val=".."/>
    <w:basedOn w:val="1"/>
    <w:next w:val="1"/>
    <w:qFormat/>
    <w:uiPriority w:val="0"/>
    <w:pPr>
      <w:autoSpaceDE w:val="0"/>
      <w:autoSpaceDN w:val="0"/>
      <w:adjustRightInd w:val="0"/>
      <w:spacing w:line="360" w:lineRule="auto"/>
      <w:ind w:firstLine="200" w:firstLineChars="200"/>
      <w:jc w:val="left"/>
    </w:pPr>
    <w:rPr>
      <w:rFonts w:ascii="等线" w:hAnsi="等线" w:eastAsia="等线" w:cs="等线"/>
      <w:kern w:val="0"/>
      <w:sz w:val="24"/>
    </w:rPr>
  </w:style>
  <w:style w:type="paragraph" w:customStyle="1" w:styleId="582">
    <w:name w:val="xl107"/>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583">
    <w:name w:val="xl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84">
    <w:name w:val="正文首行缩进1"/>
    <w:basedOn w:val="26"/>
    <w:qFormat/>
    <w:uiPriority w:val="0"/>
    <w:pPr>
      <w:suppressAutoHyphens/>
      <w:ind w:firstLine="420"/>
      <w:jc w:val="left"/>
    </w:pPr>
    <w:rPr>
      <w:rFonts w:ascii="等线" w:hAnsi="等线" w:cs="等线"/>
      <w:kern w:val="1"/>
      <w:sz w:val="28"/>
      <w:lang w:eastAsia="ar-SA"/>
    </w:rPr>
  </w:style>
  <w:style w:type="paragraph" w:customStyle="1" w:styleId="585">
    <w:name w:val="标题五"/>
    <w:basedOn w:val="1"/>
    <w:qFormat/>
    <w:uiPriority w:val="0"/>
    <w:pPr>
      <w:tabs>
        <w:tab w:val="left" w:pos="1440"/>
      </w:tabs>
      <w:autoSpaceDE w:val="0"/>
      <w:autoSpaceDN w:val="0"/>
      <w:adjustRightInd w:val="0"/>
      <w:spacing w:beforeLines="50" w:line="360" w:lineRule="auto"/>
      <w:ind w:left="1440" w:hanging="420"/>
      <w:jc w:val="left"/>
    </w:pPr>
    <w:rPr>
      <w:rFonts w:ascii="等线" w:hAnsi="等线" w:eastAsia="等线" w:cs="等线"/>
      <w:b/>
      <w:kern w:val="0"/>
      <w:sz w:val="24"/>
      <w:szCs w:val="20"/>
    </w:rPr>
  </w:style>
  <w:style w:type="paragraph" w:customStyle="1" w:styleId="586">
    <w:name w:val="1 Char"/>
    <w:basedOn w:val="17"/>
    <w:qFormat/>
    <w:uiPriority w:val="0"/>
    <w:pPr>
      <w:adjustRightInd/>
      <w:spacing w:line="360" w:lineRule="auto"/>
      <w:ind w:firstLine="200" w:firstLineChars="200"/>
      <w:textAlignment w:val="auto"/>
    </w:pPr>
    <w:rPr>
      <w:rFonts w:eastAsia="仿宋_GB2312"/>
      <w:kern w:val="2"/>
    </w:rPr>
  </w:style>
  <w:style w:type="paragraph" w:customStyle="1" w:styleId="587">
    <w:name w:val="Para"/>
    <w:qFormat/>
    <w:uiPriority w:val="0"/>
    <w:pPr>
      <w:spacing w:before="120"/>
    </w:pPr>
    <w:rPr>
      <w:rFonts w:ascii="等线" w:hAnsi="等线" w:eastAsia="等线" w:cs="等线"/>
      <w:sz w:val="18"/>
      <w:lang w:val="en-US" w:eastAsia="zh-CN" w:bidi="ar-SA"/>
    </w:rPr>
  </w:style>
  <w:style w:type="paragraph" w:customStyle="1" w:styleId="588">
    <w:name w:val="ÕýÎÄ"/>
    <w:qFormat/>
    <w:uiPriority w:val="0"/>
    <w:pPr>
      <w:widowControl w:val="0"/>
      <w:overflowPunct w:val="0"/>
      <w:autoSpaceDE w:val="0"/>
      <w:autoSpaceDN w:val="0"/>
      <w:adjustRightInd w:val="0"/>
      <w:textAlignment w:val="baseline"/>
    </w:pPr>
    <w:rPr>
      <w:rFonts w:ascii="等线" w:hAnsi="等线" w:eastAsia="等线" w:cs="等线"/>
      <w:lang w:val="en-US" w:eastAsia="zh-CN" w:bidi="ar-SA"/>
    </w:rPr>
  </w:style>
  <w:style w:type="paragraph" w:customStyle="1" w:styleId="589">
    <w:name w:val="样式 标题 2 + 黑体 行距: 1.5 倍行距"/>
    <w:basedOn w:val="1"/>
    <w:qFormat/>
    <w:uiPriority w:val="0"/>
    <w:pPr>
      <w:tabs>
        <w:tab w:val="left" w:pos="360"/>
        <w:tab w:val="left" w:pos="576"/>
      </w:tabs>
      <w:spacing w:line="360" w:lineRule="auto"/>
      <w:ind w:firstLine="200" w:firstLineChars="200"/>
    </w:pPr>
    <w:rPr>
      <w:rFonts w:ascii="等线" w:hAnsi="等线" w:eastAsia="等线" w:cs="等线"/>
      <w:szCs w:val="20"/>
    </w:rPr>
  </w:style>
  <w:style w:type="paragraph" w:customStyle="1" w:styleId="590">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591">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黑体" w:hAnsi="等线" w:eastAsia="Calibri" w:cs="等线"/>
      <w:kern w:val="0"/>
      <w:sz w:val="24"/>
      <w:szCs w:val="20"/>
    </w:rPr>
  </w:style>
  <w:style w:type="paragraph" w:customStyle="1" w:styleId="592">
    <w:name w:val="注："/>
    <w:next w:val="593"/>
    <w:qFormat/>
    <w:uiPriority w:val="0"/>
    <w:pPr>
      <w:widowControl w:val="0"/>
      <w:tabs>
        <w:tab w:val="left" w:pos="420"/>
      </w:tabs>
      <w:autoSpaceDE w:val="0"/>
      <w:autoSpaceDN w:val="0"/>
      <w:ind w:left="420" w:hanging="420"/>
      <w:jc w:val="both"/>
    </w:pPr>
    <w:rPr>
      <w:rFonts w:ascii="宋体" w:hAnsi="等线" w:eastAsia="等线" w:cs="等线"/>
      <w:sz w:val="18"/>
      <w:szCs w:val="18"/>
      <w:lang w:val="en-US" w:eastAsia="zh-CN" w:bidi="ar-SA"/>
    </w:rPr>
  </w:style>
  <w:style w:type="paragraph" w:customStyle="1" w:styleId="593">
    <w:name w:val="段"/>
    <w:qFormat/>
    <w:uiPriority w:val="0"/>
    <w:pPr>
      <w:autoSpaceDE w:val="0"/>
      <w:autoSpaceDN w:val="0"/>
      <w:ind w:firstLine="200" w:firstLineChars="200"/>
      <w:jc w:val="both"/>
    </w:pPr>
    <w:rPr>
      <w:rFonts w:ascii="仿宋_GB2312" w:hAnsi="等线" w:eastAsia="等线" w:cs="等线"/>
      <w:sz w:val="21"/>
      <w:lang w:val="en-US" w:eastAsia="zh-CN" w:bidi="ar-SA"/>
    </w:rPr>
  </w:style>
  <w:style w:type="paragraph" w:customStyle="1" w:styleId="594">
    <w:name w:val="Char Char Char Char11"/>
    <w:basedOn w:val="1"/>
    <w:qFormat/>
    <w:uiPriority w:val="0"/>
    <w:pPr>
      <w:autoSpaceDE w:val="0"/>
      <w:autoSpaceDN w:val="0"/>
      <w:adjustRightInd w:val="0"/>
      <w:jc w:val="left"/>
    </w:pPr>
    <w:rPr>
      <w:rFonts w:ascii="Cambria" w:hAnsi="Cambria" w:eastAsia="等线" w:cs="等线"/>
      <w:kern w:val="0"/>
      <w:sz w:val="24"/>
      <w:szCs w:val="20"/>
    </w:rPr>
  </w:style>
  <w:style w:type="paragraph" w:customStyle="1" w:styleId="595">
    <w:name w:val="xl42"/>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96">
    <w:name w:val="xl53"/>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597">
    <w:name w:val="TOC 标题1"/>
    <w:basedOn w:val="5"/>
    <w:next w:val="1"/>
    <w:qFormat/>
    <w:uiPriority w:val="39"/>
    <w:pPr>
      <w:keepLines/>
      <w:spacing w:beforeLines="50" w:afterLines="50" w:line="578" w:lineRule="auto"/>
      <w:jc w:val="both"/>
      <w:outlineLvl w:val="9"/>
    </w:pPr>
    <w:rPr>
      <w:rFonts w:ascii="等线" w:hAnsi="等线" w:eastAsia="等线"/>
      <w:kern w:val="44"/>
      <w:sz w:val="44"/>
      <w:szCs w:val="44"/>
    </w:rPr>
  </w:style>
  <w:style w:type="paragraph" w:customStyle="1" w:styleId="598">
    <w:name w:val="正文3"/>
    <w:qFormat/>
    <w:uiPriority w:val="0"/>
    <w:pPr>
      <w:jc w:val="both"/>
    </w:pPr>
    <w:rPr>
      <w:rFonts w:ascii="等线" w:hAnsi="等线" w:eastAsia="等线" w:cs="等线"/>
      <w:kern w:val="2"/>
      <w:sz w:val="21"/>
      <w:szCs w:val="21"/>
      <w:lang w:val="en-US" w:eastAsia="zh-CN" w:bidi="ar-SA"/>
    </w:rPr>
  </w:style>
  <w:style w:type="paragraph" w:customStyle="1" w:styleId="599">
    <w:name w:val="Char2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600">
    <w:name w:val="6"/>
    <w:basedOn w:val="1"/>
    <w:qFormat/>
    <w:uiPriority w:val="0"/>
    <w:pPr>
      <w:tabs>
        <w:tab w:val="left" w:pos="360"/>
      </w:tabs>
    </w:pPr>
    <w:rPr>
      <w:rFonts w:ascii="等线" w:hAnsi="等线" w:eastAsia="等线" w:cs="等线"/>
      <w:szCs w:val="20"/>
    </w:rPr>
  </w:style>
  <w:style w:type="paragraph" w:customStyle="1" w:styleId="601">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ascii="等线" w:hAnsi="等线" w:eastAsia="新宋体" w:cs="等线"/>
      <w:kern w:val="0"/>
      <w:sz w:val="20"/>
      <w:szCs w:val="20"/>
    </w:rPr>
  </w:style>
  <w:style w:type="paragraph" w:customStyle="1" w:styleId="602">
    <w:name w:val="正文Y"/>
    <w:basedOn w:val="1"/>
    <w:qFormat/>
    <w:uiPriority w:val="0"/>
    <w:pPr>
      <w:spacing w:line="360" w:lineRule="auto"/>
      <w:ind w:firstLine="420" w:firstLineChars="200"/>
    </w:pPr>
    <w:rPr>
      <w:rFonts w:ascii="等线" w:hAnsi="等线" w:eastAsia="等线" w:cs="等线"/>
      <w:sz w:val="24"/>
    </w:rPr>
  </w:style>
  <w:style w:type="paragraph" w:customStyle="1" w:styleId="603">
    <w:name w:val="_Style 113"/>
    <w:basedOn w:val="1"/>
    <w:qFormat/>
    <w:uiPriority w:val="0"/>
    <w:pPr>
      <w:spacing w:line="360" w:lineRule="auto"/>
      <w:ind w:firstLine="420" w:firstLineChars="200"/>
    </w:pPr>
    <w:rPr>
      <w:rFonts w:ascii="等线" w:hAnsi="等线" w:eastAsia="等线" w:cs="等线"/>
      <w:szCs w:val="20"/>
    </w:rPr>
  </w:style>
  <w:style w:type="paragraph" w:customStyle="1" w:styleId="60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60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606">
    <w:name w:val="font6"/>
    <w:basedOn w:val="1"/>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60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608">
    <w:name w:val="纯文本1"/>
    <w:basedOn w:val="1"/>
    <w:qFormat/>
    <w:uiPriority w:val="0"/>
    <w:pPr>
      <w:adjustRightInd w:val="0"/>
      <w:jc w:val="left"/>
      <w:textAlignment w:val="baseline"/>
    </w:pPr>
    <w:rPr>
      <w:rFonts w:ascii="宋体" w:hAnsi="Courier New" w:eastAsia="等线" w:cs="等线"/>
      <w:szCs w:val="20"/>
    </w:rPr>
  </w:style>
  <w:style w:type="paragraph" w:customStyle="1" w:styleId="609">
    <w:name w:val="章标题"/>
    <w:next w:val="1"/>
    <w:qFormat/>
    <w:uiPriority w:val="0"/>
    <w:pPr>
      <w:spacing w:beforeLines="50" w:afterLines="50"/>
      <w:jc w:val="both"/>
      <w:outlineLvl w:val="1"/>
    </w:pPr>
    <w:rPr>
      <w:rFonts w:ascii="Helvetica" w:hAnsi="等线" w:eastAsia="Helvetica" w:cs="等线"/>
      <w:sz w:val="21"/>
      <w:lang w:val="en-US" w:eastAsia="zh-CN" w:bidi="ar-SA"/>
    </w:rPr>
  </w:style>
  <w:style w:type="paragraph" w:customStyle="1" w:styleId="610">
    <w:name w:val="af17cgridlangnp1033langf"/>
    <w:qFormat/>
    <w:uiPriority w:val="0"/>
    <w:pPr>
      <w:widowControl w:val="0"/>
      <w:autoSpaceDE w:val="0"/>
      <w:autoSpaceDN w:val="0"/>
      <w:adjustRightInd w:val="0"/>
      <w:spacing w:before="156" w:line="360" w:lineRule="atLeast"/>
      <w:ind w:left="567" w:firstLine="510"/>
      <w:jc w:val="both"/>
    </w:pPr>
    <w:rPr>
      <w:rFonts w:ascii="等线" w:hAnsi="等线" w:eastAsia="等线" w:cs="等线"/>
      <w:lang w:val="en-US" w:eastAsia="zh-CN" w:bidi="ar-SA"/>
    </w:rPr>
  </w:style>
  <w:style w:type="paragraph" w:customStyle="1" w:styleId="611">
    <w:name w:val="Char Char Char2 Char"/>
    <w:basedOn w:val="1"/>
    <w:qFormat/>
    <w:uiPriority w:val="0"/>
    <w:pPr>
      <w:tabs>
        <w:tab w:val="left" w:pos="360"/>
        <w:tab w:val="left" w:pos="420"/>
      </w:tabs>
      <w:ind w:left="360" w:hanging="360"/>
    </w:pPr>
    <w:rPr>
      <w:rFonts w:ascii="等线" w:hAnsi="等线" w:eastAsia="等线" w:cs="等线"/>
    </w:rPr>
  </w:style>
  <w:style w:type="paragraph" w:customStyle="1" w:styleId="612">
    <w:name w:val="正文 New"/>
    <w:qFormat/>
    <w:uiPriority w:val="0"/>
    <w:pPr>
      <w:widowControl w:val="0"/>
      <w:jc w:val="both"/>
    </w:pPr>
    <w:rPr>
      <w:rFonts w:ascii="等线" w:hAnsi="等线" w:eastAsia="等线" w:cs="等线"/>
      <w:kern w:val="2"/>
      <w:sz w:val="21"/>
      <w:szCs w:val="24"/>
      <w:lang w:val="en-US" w:eastAsia="zh-CN" w:bidi="ar-SA"/>
    </w:rPr>
  </w:style>
  <w:style w:type="paragraph" w:customStyle="1" w:styleId="613">
    <w:name w:val="正文段落 Char"/>
    <w:basedOn w:val="1"/>
    <w:qFormat/>
    <w:uiPriority w:val="0"/>
    <w:pPr>
      <w:spacing w:line="360" w:lineRule="auto"/>
      <w:ind w:firstLine="480" w:firstLineChars="200"/>
    </w:pPr>
    <w:rPr>
      <w:rFonts w:ascii="等线" w:hAnsi="等线" w:eastAsia="等线" w:cs="等线"/>
      <w:kern w:val="0"/>
      <w:sz w:val="24"/>
      <w:szCs w:val="20"/>
    </w:rPr>
  </w:style>
  <w:style w:type="paragraph" w:customStyle="1" w:styleId="614">
    <w:name w:val="xl103"/>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15">
    <w:name w:val="五级条标题"/>
    <w:basedOn w:val="561"/>
    <w:next w:val="1"/>
    <w:qFormat/>
    <w:uiPriority w:val="0"/>
    <w:pPr>
      <w:outlineLvl w:val="6"/>
    </w:pPr>
  </w:style>
  <w:style w:type="paragraph" w:customStyle="1" w:styleId="616">
    <w:name w:val="图片"/>
    <w:basedOn w:val="1"/>
    <w:qFormat/>
    <w:uiPriority w:val="0"/>
    <w:pPr>
      <w:jc w:val="center"/>
    </w:pPr>
    <w:rPr>
      <w:sz w:val="28"/>
    </w:rPr>
  </w:style>
  <w:style w:type="paragraph" w:customStyle="1" w:styleId="617">
    <w:name w:val="Char2 Char Char"/>
    <w:basedOn w:val="1"/>
    <w:qFormat/>
    <w:uiPriority w:val="0"/>
    <w:pPr>
      <w:spacing w:line="360" w:lineRule="auto"/>
      <w:ind w:firstLine="200" w:firstLineChars="200"/>
    </w:pPr>
    <w:rPr>
      <w:rFonts w:ascii="Tahoma" w:hAnsi="Tahoma" w:eastAsia="等线" w:cs="等线"/>
      <w:sz w:val="24"/>
      <w:szCs w:val="20"/>
    </w:rPr>
  </w:style>
  <w:style w:type="paragraph" w:customStyle="1" w:styleId="618">
    <w:name w:val="彩色底纹 - 强调文字颜色 11"/>
    <w:semiHidden/>
    <w:qFormat/>
    <w:uiPriority w:val="99"/>
    <w:rPr>
      <w:rFonts w:ascii="等线" w:hAnsi="等线" w:eastAsia="等线" w:cs="等线"/>
      <w:kern w:val="2"/>
      <w:sz w:val="21"/>
      <w:szCs w:val="24"/>
      <w:lang w:val="en-US" w:eastAsia="zh-CN" w:bidi="ar-SA"/>
    </w:rPr>
  </w:style>
  <w:style w:type="paragraph" w:customStyle="1" w:styleId="619">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620">
    <w:name w:val="xl89"/>
    <w:basedOn w:val="1"/>
    <w:qFormat/>
    <w:uiPriority w:val="0"/>
    <w:pPr>
      <w:widowControl/>
      <w:spacing w:before="100" w:beforeAutospacing="1" w:after="100" w:afterAutospacing="1"/>
      <w:jc w:val="left"/>
    </w:pPr>
    <w:rPr>
      <w:rFonts w:ascii="仿宋_GB2312" w:hAnsi="仿宋_GB2312" w:eastAsia="等线" w:cs="仿宋_GB2312"/>
      <w:kern w:val="0"/>
      <w:sz w:val="24"/>
    </w:rPr>
  </w:style>
  <w:style w:type="paragraph" w:customStyle="1" w:styleId="621">
    <w:name w:val="标题小四"/>
    <w:basedOn w:val="6"/>
    <w:qFormat/>
    <w:uiPriority w:val="0"/>
    <w:pPr>
      <w:keepNext w:val="0"/>
      <w:keepLines w:val="0"/>
      <w:spacing w:before="0" w:after="0" w:line="360" w:lineRule="auto"/>
      <w:ind w:right="90"/>
      <w:outlineLvl w:val="9"/>
    </w:pPr>
    <w:rPr>
      <w:rFonts w:ascii="仿宋_GB2312" w:hAnsi="宋体" w:eastAsia="仿宋_GB2312" w:cs="Arial Unicode MS"/>
      <w:b w:val="0"/>
      <w:bCs w:val="0"/>
      <w:color w:val="000000"/>
      <w:sz w:val="21"/>
      <w:szCs w:val="21"/>
    </w:rPr>
  </w:style>
  <w:style w:type="paragraph" w:customStyle="1" w:styleId="622">
    <w:name w:val="Char3 Char Char Char Char Char Char"/>
    <w:basedOn w:val="1"/>
    <w:qFormat/>
    <w:uiPriority w:val="0"/>
    <w:pPr>
      <w:widowControl/>
      <w:spacing w:after="160" w:line="240" w:lineRule="exact"/>
      <w:ind w:firstLine="200" w:firstLineChars="200"/>
      <w:jc w:val="left"/>
    </w:pPr>
    <w:rPr>
      <w:rFonts w:ascii="Verdana" w:hAnsi="Verdana" w:eastAsia="等线" w:cs="等线"/>
      <w:kern w:val="0"/>
      <w:sz w:val="18"/>
      <w:szCs w:val="20"/>
      <w:lang w:eastAsia="en-US"/>
    </w:rPr>
  </w:style>
  <w:style w:type="paragraph" w:customStyle="1" w:styleId="623">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24">
    <w:name w:val="样式 首行缩进:  2 字符"/>
    <w:basedOn w:val="1"/>
    <w:qFormat/>
    <w:uiPriority w:val="0"/>
    <w:pPr>
      <w:widowControl/>
      <w:tabs>
        <w:tab w:val="left" w:pos="420"/>
      </w:tabs>
      <w:ind w:left="420" w:hanging="420"/>
    </w:pPr>
    <w:rPr>
      <w:rFonts w:ascii="宋体" w:hAnsi="宋体" w:eastAsia="等线" w:cs="宋体"/>
      <w:bCs/>
      <w:color w:val="000000"/>
      <w:kern w:val="0"/>
      <w:sz w:val="24"/>
    </w:rPr>
  </w:style>
  <w:style w:type="paragraph" w:customStyle="1" w:styleId="625">
    <w:name w:val="xl11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2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27">
    <w:name w:val="font9"/>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628">
    <w:name w:val="Item List"/>
    <w:qFormat/>
    <w:uiPriority w:val="0"/>
    <w:pPr>
      <w:spacing w:line="300" w:lineRule="auto"/>
      <w:ind w:left="1701"/>
      <w:jc w:val="both"/>
    </w:pPr>
    <w:rPr>
      <w:rFonts w:ascii="Arial" w:hAnsi="Arial" w:eastAsia="等线" w:cs="等线"/>
      <w:sz w:val="21"/>
      <w:lang w:val="en-US" w:eastAsia="zh-CN" w:bidi="ar-SA"/>
    </w:rPr>
  </w:style>
  <w:style w:type="paragraph" w:customStyle="1" w:styleId="629">
    <w:name w:val="reader-word-layer"/>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630">
    <w:name w:val="Copyright"/>
    <w:basedOn w:val="26"/>
    <w:qFormat/>
    <w:uiPriority w:val="0"/>
    <w:pPr>
      <w:widowControl/>
      <w:spacing w:before="480" w:after="60" w:line="360" w:lineRule="auto"/>
      <w:ind w:firstLine="200" w:firstLineChars="200"/>
      <w:jc w:val="center"/>
    </w:pPr>
    <w:rPr>
      <w:rFonts w:ascii="Trebuchet MS" w:hAnsi="Trebuchet MS" w:eastAsia="等线" w:cs="Trebuchet MS"/>
      <w:b/>
      <w:color w:val="042D56"/>
      <w:kern w:val="0"/>
      <w:sz w:val="20"/>
    </w:rPr>
  </w:style>
  <w:style w:type="paragraph" w:customStyle="1" w:styleId="631">
    <w:name w:val="款1"/>
    <w:basedOn w:val="632"/>
    <w:qFormat/>
    <w:uiPriority w:val="0"/>
    <w:pPr>
      <w:ind w:left="1146"/>
    </w:pPr>
  </w:style>
  <w:style w:type="paragraph" w:customStyle="1" w:styleId="632">
    <w:name w:val="條文12"/>
    <w:basedOn w:val="1"/>
    <w:qFormat/>
    <w:uiPriority w:val="0"/>
    <w:pPr>
      <w:adjustRightInd w:val="0"/>
      <w:spacing w:line="400" w:lineRule="atLeast"/>
      <w:ind w:left="1186" w:hanging="284" w:firstLineChars="200"/>
      <w:jc w:val="left"/>
      <w:textAlignment w:val="baseline"/>
    </w:pPr>
    <w:rPr>
      <w:rFonts w:ascii="全真楷書" w:hAnsi="等线" w:eastAsia="全真楷書" w:cs="等线"/>
      <w:kern w:val="0"/>
      <w:sz w:val="28"/>
      <w:szCs w:val="20"/>
      <w:lang w:eastAsia="zh-TW"/>
    </w:rPr>
  </w:style>
  <w:style w:type="paragraph" w:customStyle="1" w:styleId="633">
    <w:name w:val="德山-正文"/>
    <w:basedOn w:val="1"/>
    <w:qFormat/>
    <w:uiPriority w:val="0"/>
    <w:pPr>
      <w:spacing w:beforeLines="50" w:afterLines="50" w:line="360" w:lineRule="auto"/>
      <w:ind w:firstLine="200" w:firstLineChars="200"/>
    </w:pPr>
    <w:rPr>
      <w:rFonts w:ascii="Calibri" w:hAnsi="Calibri" w:eastAsia="等线" w:cs="等线"/>
      <w:sz w:val="24"/>
      <w:szCs w:val="21"/>
    </w:rPr>
  </w:style>
  <w:style w:type="paragraph" w:customStyle="1" w:styleId="634">
    <w:name w:val="font1"/>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635">
    <w:name w:val="xl106"/>
    <w:basedOn w:val="1"/>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636">
    <w:name w:val="xl2917089"/>
    <w:basedOn w:val="1"/>
    <w:qFormat/>
    <w:uiPriority w:val="0"/>
    <w:pPr>
      <w:widowControl/>
      <w:pBdr>
        <w:left w:val="single" w:color="auto" w:sz="4" w:space="1"/>
        <w:right w:val="single" w:color="auto" w:sz="4" w:space="1"/>
      </w:pBdr>
      <w:spacing w:before="100" w:beforeAutospacing="1" w:after="100" w:afterAutospacing="1"/>
      <w:jc w:val="center"/>
      <w:textAlignment w:val="center"/>
    </w:pPr>
    <w:rPr>
      <w:rFonts w:hint="eastAsia" w:ascii="宋体" w:hAnsi="宋体" w:eastAsia="等线" w:cs="等线"/>
      <w:kern w:val="0"/>
      <w:sz w:val="24"/>
    </w:rPr>
  </w:style>
  <w:style w:type="paragraph" w:customStyle="1" w:styleId="637">
    <w:name w:val="样式 左侧:  0.85 厘米 首行缩进:  0.85 厘米"/>
    <w:basedOn w:val="1"/>
    <w:qFormat/>
    <w:uiPriority w:val="0"/>
    <w:pPr>
      <w:autoSpaceDE w:val="0"/>
      <w:autoSpaceDN w:val="0"/>
      <w:adjustRightInd w:val="0"/>
      <w:spacing w:line="360" w:lineRule="auto"/>
      <w:ind w:firstLine="482"/>
      <w:jc w:val="left"/>
    </w:pPr>
    <w:rPr>
      <w:rFonts w:ascii="等线" w:hAnsi="等线" w:eastAsia="等线" w:cs="仿宋_GB2312"/>
      <w:kern w:val="0"/>
      <w:sz w:val="24"/>
      <w:szCs w:val="20"/>
    </w:rPr>
  </w:style>
  <w:style w:type="paragraph" w:customStyle="1" w:styleId="638">
    <w:name w:val="样式7"/>
    <w:basedOn w:val="8"/>
    <w:qFormat/>
    <w:uiPriority w:val="0"/>
  </w:style>
  <w:style w:type="paragraph" w:customStyle="1" w:styleId="639">
    <w:name w:val="正文缩进3"/>
    <w:basedOn w:val="1"/>
    <w:qFormat/>
    <w:uiPriority w:val="0"/>
    <w:pPr>
      <w:spacing w:line="360" w:lineRule="auto"/>
      <w:ind w:firstLine="420" w:firstLineChars="200"/>
    </w:pPr>
    <w:rPr>
      <w:rFonts w:ascii="等线" w:hAnsi="等线" w:eastAsia="等线" w:cs="等线"/>
      <w:szCs w:val="20"/>
    </w:rPr>
  </w:style>
  <w:style w:type="paragraph" w:customStyle="1" w:styleId="640">
    <w:name w:val="p16"/>
    <w:basedOn w:val="1"/>
    <w:qFormat/>
    <w:uiPriority w:val="0"/>
    <w:pPr>
      <w:widowControl/>
      <w:spacing w:before="100" w:after="100" w:line="360" w:lineRule="auto"/>
      <w:ind w:firstLine="420" w:firstLineChars="200"/>
    </w:pPr>
    <w:rPr>
      <w:rFonts w:ascii="Calibri" w:hAnsi="Calibri" w:eastAsia="等线" w:cs="等线"/>
      <w:kern w:val="0"/>
      <w:sz w:val="24"/>
      <w:szCs w:val="20"/>
    </w:rPr>
  </w:style>
  <w:style w:type="paragraph" w:customStyle="1" w:styleId="641">
    <w:name w:val="PP Line"/>
    <w:basedOn w:val="45"/>
    <w:qFormat/>
    <w:uiPriority w:val="0"/>
    <w:pPr>
      <w:autoSpaceDE/>
      <w:autoSpaceDN/>
      <w:spacing w:after="0" w:line="360" w:lineRule="atLeast"/>
      <w:ind w:left="100" w:leftChars="1800" w:firstLine="200" w:firstLineChars="200"/>
      <w:jc w:val="left"/>
    </w:pPr>
    <w:rPr>
      <w:rFonts w:eastAsia="PMingLiU"/>
      <w:lang w:eastAsia="zh-TW"/>
    </w:rPr>
  </w:style>
  <w:style w:type="paragraph" w:customStyle="1" w:styleId="64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643">
    <w:name w:val="中等深浅底纹 1 - 着色 11"/>
    <w:qFormat/>
    <w:uiPriority w:val="0"/>
    <w:rPr>
      <w:rFonts w:ascii="等线" w:hAnsi="等线" w:eastAsia="等线" w:cs="等线"/>
      <w:sz w:val="22"/>
      <w:szCs w:val="22"/>
      <w:lang w:val="en-US" w:eastAsia="zh-CN" w:bidi="ar-SA"/>
    </w:rPr>
  </w:style>
  <w:style w:type="paragraph" w:customStyle="1" w:styleId="644">
    <w:name w:val="标1 Char Char Char Char Char Char Char"/>
    <w:basedOn w:val="1"/>
    <w:semiHidden/>
    <w:qFormat/>
    <w:uiPriority w:val="0"/>
    <w:pPr>
      <w:adjustRightInd w:val="0"/>
      <w:spacing w:line="360" w:lineRule="atLeast"/>
      <w:ind w:firstLine="200" w:firstLineChars="200"/>
    </w:pPr>
    <w:rPr>
      <w:szCs w:val="28"/>
    </w:rPr>
  </w:style>
  <w:style w:type="paragraph" w:customStyle="1" w:styleId="64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646">
    <w:name w:val="xl11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47">
    <w:name w:val="Char Char Char1 Char Char Char Char"/>
    <w:basedOn w:val="1"/>
    <w:qFormat/>
    <w:uiPriority w:val="0"/>
    <w:pPr>
      <w:spacing w:line="360" w:lineRule="auto"/>
      <w:ind w:firstLine="200" w:firstLineChars="200"/>
    </w:pPr>
    <w:rPr>
      <w:rFonts w:ascii="Tahoma" w:hAnsi="Tahoma" w:eastAsia="等线" w:cs="等线"/>
      <w:sz w:val="24"/>
      <w:szCs w:val="20"/>
    </w:rPr>
  </w:style>
  <w:style w:type="paragraph" w:customStyle="1" w:styleId="648">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Arial Unicode MS" w:hAnsi="仿宋_GB2312" w:eastAsia="Arial Unicode MS" w:cs="等线"/>
      <w:kern w:val="0"/>
      <w:sz w:val="24"/>
      <w:szCs w:val="20"/>
    </w:rPr>
  </w:style>
  <w:style w:type="paragraph" w:customStyle="1" w:styleId="649">
    <w:name w:val="完成日期"/>
    <w:basedOn w:val="1"/>
    <w:qFormat/>
    <w:uiPriority w:val="0"/>
    <w:pPr>
      <w:adjustRightInd w:val="0"/>
      <w:spacing w:line="360" w:lineRule="auto"/>
      <w:jc w:val="center"/>
      <w:textAlignment w:val="baseline"/>
    </w:pPr>
    <w:rPr>
      <w:rFonts w:ascii="楷体_GB2312" w:hAnsi="等线" w:eastAsia="楷体_GB2312" w:cs="等线"/>
      <w:kern w:val="0"/>
      <w:sz w:val="30"/>
      <w:szCs w:val="20"/>
    </w:rPr>
  </w:style>
  <w:style w:type="paragraph" w:customStyle="1" w:styleId="650">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651">
    <w:name w:val="features1"/>
    <w:basedOn w:val="1"/>
    <w:qFormat/>
    <w:uiPriority w:val="0"/>
    <w:pPr>
      <w:widowControl/>
      <w:spacing w:before="100" w:beforeAutospacing="1" w:after="100" w:afterAutospacing="1"/>
      <w:jc w:val="left"/>
    </w:pPr>
    <w:rPr>
      <w:rFonts w:ascii="仿宋_GB2312" w:hAnsi="仿宋_GB2312" w:eastAsia="等线" w:cs="仿宋_GB2312"/>
      <w:b/>
      <w:bCs/>
      <w:kern w:val="0"/>
      <w:sz w:val="18"/>
      <w:szCs w:val="18"/>
    </w:rPr>
  </w:style>
  <w:style w:type="paragraph" w:customStyle="1" w:styleId="652">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53">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654">
    <w:name w:val="封面标准号2"/>
    <w:qFormat/>
    <w:uiPriority w:val="0"/>
    <w:pPr>
      <w:framePr w:w="9140" w:h="1242" w:hRule="exact" w:hSpace="284" w:wrap="around" w:vAnchor="page" w:hAnchor="page" w:x="1645" w:y="2910" w:anchorLock="1"/>
      <w:spacing w:before="357" w:line="280" w:lineRule="exact"/>
      <w:jc w:val="right"/>
    </w:pPr>
    <w:rPr>
      <w:rFonts w:ascii="黑体" w:hAnsi="等线" w:eastAsia="黑体" w:cs="等线"/>
      <w:sz w:val="28"/>
      <w:szCs w:val="28"/>
      <w:lang w:val="en-US" w:eastAsia="zh-CN" w:bidi="ar-SA"/>
    </w:rPr>
  </w:style>
  <w:style w:type="paragraph" w:customStyle="1" w:styleId="655">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56">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657">
    <w:name w:val="style1"/>
    <w:basedOn w:val="1"/>
    <w:qFormat/>
    <w:uiPriority w:val="0"/>
    <w:pPr>
      <w:widowControl/>
      <w:spacing w:before="100" w:beforeAutospacing="1" w:after="100" w:afterAutospacing="1" w:line="360" w:lineRule="auto"/>
      <w:ind w:firstLine="200" w:firstLineChars="200"/>
      <w:jc w:val="left"/>
    </w:pPr>
    <w:rPr>
      <w:rFonts w:ascii="宋体" w:hAnsi="宋体" w:eastAsia="等线" w:cs="宋体"/>
      <w:b/>
      <w:bCs/>
      <w:color w:val="FF0000"/>
      <w:kern w:val="0"/>
      <w:sz w:val="28"/>
      <w:szCs w:val="28"/>
    </w:rPr>
  </w:style>
  <w:style w:type="paragraph" w:customStyle="1" w:styleId="658">
    <w:name w:val="样式5"/>
    <w:basedOn w:val="17"/>
    <w:qFormat/>
    <w:uiPriority w:val="0"/>
    <w:pPr>
      <w:adjustRightInd/>
      <w:spacing w:line="360" w:lineRule="auto"/>
      <w:ind w:firstLine="200" w:firstLineChars="200"/>
      <w:textAlignment w:val="auto"/>
    </w:pPr>
    <w:rPr>
      <w:rFonts w:eastAsia="仿宋_GB2312"/>
      <w:kern w:val="2"/>
      <w:sz w:val="28"/>
      <w:szCs w:val="21"/>
    </w:rPr>
  </w:style>
  <w:style w:type="paragraph" w:customStyle="1" w:styleId="659">
    <w:name w:val="Default Text"/>
    <w:basedOn w:val="1"/>
    <w:qFormat/>
    <w:uiPriority w:val="0"/>
    <w:pPr>
      <w:autoSpaceDE w:val="0"/>
      <w:autoSpaceDN w:val="0"/>
      <w:adjustRightInd w:val="0"/>
      <w:spacing w:line="360" w:lineRule="auto"/>
      <w:ind w:firstLine="200" w:firstLineChars="200"/>
      <w:jc w:val="left"/>
    </w:pPr>
    <w:rPr>
      <w:rFonts w:ascii="等线" w:hAnsi="等线" w:eastAsia="PMingLiU" w:cs="等线"/>
      <w:kern w:val="0"/>
      <w:sz w:val="24"/>
      <w:szCs w:val="20"/>
      <w:lang w:eastAsia="zh-TW"/>
    </w:rPr>
  </w:style>
  <w:style w:type="paragraph" w:customStyle="1" w:styleId="660">
    <w:name w:val="kpk:2级"/>
    <w:basedOn w:val="6"/>
    <w:qFormat/>
    <w:uiPriority w:val="0"/>
    <w:pPr>
      <w:keepLines w:val="0"/>
      <w:widowControl/>
      <w:tabs>
        <w:tab w:val="left" w:pos="643"/>
        <w:tab w:val="left" w:pos="1440"/>
      </w:tabs>
      <w:spacing w:before="0" w:after="0" w:line="360" w:lineRule="auto"/>
      <w:ind w:left="357" w:hanging="357" w:firstLineChars="200"/>
    </w:pPr>
    <w:rPr>
      <w:rFonts w:ascii="Arial" w:hAnsi="Arial" w:eastAsia="等线"/>
      <w:sz w:val="28"/>
      <w:szCs w:val="30"/>
    </w:rPr>
  </w:style>
  <w:style w:type="paragraph" w:customStyle="1" w:styleId="661">
    <w:name w:val="Char1"/>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662">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63">
    <w:name w:val="p0"/>
    <w:basedOn w:val="1"/>
    <w:qFormat/>
    <w:uiPriority w:val="0"/>
    <w:pPr>
      <w:widowControl/>
      <w:spacing w:before="100" w:after="100" w:line="360" w:lineRule="auto"/>
      <w:ind w:firstLine="200" w:firstLineChars="200"/>
    </w:pPr>
    <w:rPr>
      <w:rFonts w:ascii="Calibri" w:hAnsi="Calibri" w:eastAsia="等线" w:cs="等线"/>
      <w:kern w:val="0"/>
      <w:sz w:val="24"/>
      <w:szCs w:val="20"/>
    </w:rPr>
  </w:style>
  <w:style w:type="paragraph" w:customStyle="1" w:styleId="664">
    <w:name w:val="xl11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65">
    <w:name w:val="样式4"/>
    <w:basedOn w:val="1"/>
    <w:qFormat/>
    <w:uiPriority w:val="0"/>
    <w:pPr>
      <w:spacing w:line="360" w:lineRule="auto"/>
      <w:ind w:firstLine="200" w:firstLineChars="200"/>
    </w:pPr>
    <w:rPr>
      <w:sz w:val="28"/>
      <w:szCs w:val="21"/>
    </w:rPr>
  </w:style>
  <w:style w:type="paragraph" w:customStyle="1" w:styleId="666">
    <w:name w:val="List Paragraph11"/>
    <w:basedOn w:val="1"/>
    <w:qFormat/>
    <w:uiPriority w:val="0"/>
    <w:pPr>
      <w:ind w:firstLine="420" w:firstLineChars="200"/>
    </w:pPr>
    <w:rPr>
      <w:rFonts w:ascii="Century Gothic" w:hAnsi="Century Gothic" w:eastAsia="仿宋_GB2312" w:cs="新宋体"/>
      <w:szCs w:val="22"/>
    </w:rPr>
  </w:style>
  <w:style w:type="paragraph" w:customStyle="1" w:styleId="667">
    <w:name w:val="xl31"/>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0"/>
      <w:szCs w:val="20"/>
    </w:rPr>
  </w:style>
  <w:style w:type="paragraph" w:customStyle="1" w:styleId="668">
    <w:name w:val="样式 标题 3 + 黑体 小四 非加粗"/>
    <w:basedOn w:val="7"/>
    <w:qFormat/>
    <w:uiPriority w:val="0"/>
    <w:pPr>
      <w:spacing w:before="0" w:after="0" w:line="415" w:lineRule="auto"/>
    </w:pPr>
    <w:rPr>
      <w:rFonts w:ascii="Helvetica" w:hAnsi="Helvetica" w:eastAsia="Helvetica"/>
      <w:b w:val="0"/>
      <w:bCs w:val="0"/>
      <w:kern w:val="0"/>
      <w:sz w:val="24"/>
    </w:rPr>
  </w:style>
  <w:style w:type="paragraph" w:customStyle="1" w:styleId="669">
    <w:name w:val="Char"/>
    <w:basedOn w:val="1"/>
    <w:qFormat/>
    <w:uiPriority w:val="0"/>
    <w:pPr>
      <w:widowControl/>
      <w:spacing w:line="400" w:lineRule="exact"/>
      <w:jc w:val="center"/>
    </w:pPr>
    <w:rPr>
      <w:rFonts w:ascii="Courier New" w:hAnsi="Courier New" w:eastAsia="等线" w:cs="等线"/>
      <w:kern w:val="0"/>
      <w:szCs w:val="20"/>
      <w:lang w:eastAsia="en-US"/>
    </w:rPr>
  </w:style>
  <w:style w:type="paragraph" w:customStyle="1" w:styleId="670">
    <w:name w:val="标题1"/>
    <w:basedOn w:val="60"/>
    <w:qFormat/>
    <w:uiPriority w:val="0"/>
    <w:pPr>
      <w:autoSpaceDE/>
      <w:autoSpaceDN/>
      <w:adjustRightInd/>
      <w:spacing w:after="240"/>
      <w:ind w:firstLine="200" w:firstLineChars="200"/>
    </w:pPr>
    <w:rPr>
      <w:rFonts w:ascii="Arial" w:hAnsi="Arial" w:eastAsia="宋体"/>
      <w:bCs w:val="0"/>
      <w:spacing w:val="2"/>
      <w:kern w:val="2"/>
      <w:sz w:val="44"/>
      <w:szCs w:val="20"/>
    </w:rPr>
  </w:style>
  <w:style w:type="paragraph" w:customStyle="1" w:styleId="671">
    <w:name w:val="TOC Heading1"/>
    <w:basedOn w:val="5"/>
    <w:next w:val="1"/>
    <w:qFormat/>
    <w:uiPriority w:val="0"/>
    <w:pPr>
      <w:keepLines/>
      <w:widowControl/>
      <w:spacing w:before="480" w:line="276" w:lineRule="auto"/>
      <w:jc w:val="left"/>
      <w:outlineLvl w:val="9"/>
    </w:pPr>
    <w:rPr>
      <w:rFonts w:ascii="Verdana" w:hAnsi="Verdana" w:eastAsia="仿宋_GB2312" w:cs="新宋体"/>
      <w:color w:val="365F91"/>
      <w:kern w:val="0"/>
      <w:sz w:val="28"/>
      <w:szCs w:val="28"/>
    </w:rPr>
  </w:style>
  <w:style w:type="paragraph" w:customStyle="1" w:styleId="672">
    <w:name w:val="彩色列表 - 着色 11"/>
    <w:basedOn w:val="1"/>
    <w:qFormat/>
    <w:uiPriority w:val="0"/>
    <w:pPr>
      <w:spacing w:line="360" w:lineRule="auto"/>
      <w:ind w:firstLine="420" w:firstLineChars="200"/>
    </w:pPr>
    <w:rPr>
      <w:rFonts w:ascii="Calibri" w:hAnsi="Calibri" w:eastAsia="等线" w:cs="等线"/>
      <w:szCs w:val="20"/>
    </w:rPr>
  </w:style>
  <w:style w:type="paragraph" w:customStyle="1" w:styleId="673">
    <w:name w:val="默认段落字体 Para Char Char Char Char Char Char Char"/>
    <w:basedOn w:val="1"/>
    <w:qFormat/>
    <w:uiPriority w:val="0"/>
    <w:rPr>
      <w:rFonts w:ascii="等线" w:hAnsi="等线" w:eastAsia="黑体" w:cs="等线"/>
      <w:sz w:val="28"/>
    </w:rPr>
  </w:style>
  <w:style w:type="paragraph" w:customStyle="1" w:styleId="674">
    <w:name w:val="工可正文"/>
    <w:basedOn w:val="35"/>
    <w:qFormat/>
    <w:uiPriority w:val="0"/>
    <w:pPr>
      <w:widowControl w:val="0"/>
      <w:overflowPunct/>
      <w:autoSpaceDE/>
      <w:autoSpaceDN/>
      <w:adjustRightInd/>
      <w:ind w:firstLine="560" w:firstLineChars="200"/>
      <w:jc w:val="both"/>
      <w:textAlignment w:val="auto"/>
    </w:pPr>
    <w:rPr>
      <w:rFonts w:ascii="Times New Roman" w:hAnsi="Times New Roman" w:eastAsia="等线"/>
      <w:sz w:val="28"/>
      <w:szCs w:val="20"/>
    </w:rPr>
  </w:style>
  <w:style w:type="paragraph" w:customStyle="1" w:styleId="675">
    <w:name w:val="Char Char Char Char Char Char Char Char Char1 Char"/>
    <w:basedOn w:val="1"/>
    <w:qFormat/>
    <w:uiPriority w:val="0"/>
    <w:rPr>
      <w:rFonts w:ascii="等线" w:hAnsi="等线" w:eastAsia="等线" w:cs="等线"/>
    </w:rPr>
  </w:style>
  <w:style w:type="paragraph" w:customStyle="1" w:styleId="676">
    <w:name w:val="1."/>
    <w:basedOn w:val="7"/>
    <w:qFormat/>
    <w:uiPriority w:val="0"/>
    <w:pPr>
      <w:widowControl/>
      <w:autoSpaceDE w:val="0"/>
      <w:autoSpaceDN w:val="0"/>
      <w:adjustRightInd w:val="0"/>
      <w:spacing w:before="0" w:after="0" w:line="240" w:lineRule="atLeast"/>
      <w:ind w:left="360" w:hanging="284" w:firstLineChars="200"/>
      <w:textAlignment w:val="bottom"/>
      <w:outlineLvl w:val="9"/>
    </w:pPr>
    <w:rPr>
      <w:rFonts w:ascii="等线" w:hAnsi="等线" w:eastAsia="DFKai-SB"/>
      <w:b w:val="0"/>
      <w:bCs w:val="0"/>
      <w:kern w:val="0"/>
      <w:sz w:val="24"/>
      <w:szCs w:val="20"/>
      <w:lang w:eastAsia="zh-TW"/>
    </w:rPr>
  </w:style>
  <w:style w:type="paragraph" w:customStyle="1" w:styleId="677">
    <w:name w:val="xl57"/>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78">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79">
    <w:name w:val="文字"/>
    <w:basedOn w:val="1"/>
    <w:qFormat/>
    <w:uiPriority w:val="0"/>
    <w:pPr>
      <w:tabs>
        <w:tab w:val="left" w:pos="8520"/>
      </w:tabs>
      <w:spacing w:line="312" w:lineRule="auto"/>
      <w:ind w:right="-210" w:firstLine="556"/>
    </w:pPr>
    <w:rPr>
      <w:rFonts w:ascii="仿宋_GB2312" w:hAnsi="等线" w:eastAsia="等线" w:cs="等线"/>
      <w:sz w:val="28"/>
      <w:szCs w:val="20"/>
    </w:rPr>
  </w:style>
  <w:style w:type="paragraph" w:customStyle="1" w:styleId="680">
    <w:name w:val="Table Contents"/>
    <w:basedOn w:val="1"/>
    <w:qFormat/>
    <w:uiPriority w:val="0"/>
    <w:pPr>
      <w:suppressAutoHyphens/>
      <w:autoSpaceDE w:val="0"/>
      <w:autoSpaceDN w:val="0"/>
      <w:adjustRightInd w:val="0"/>
      <w:spacing w:after="120"/>
      <w:jc w:val="left"/>
    </w:pPr>
    <w:rPr>
      <w:rFonts w:ascii="ˎ̥" w:hAnsi="ˎ̥" w:eastAsia="等线" w:cs="等线"/>
      <w:kern w:val="1"/>
      <w:sz w:val="20"/>
      <w:szCs w:val="20"/>
    </w:rPr>
  </w:style>
  <w:style w:type="paragraph" w:customStyle="1" w:styleId="681">
    <w:name w:val="信息标题2"/>
    <w:basedOn w:val="18"/>
    <w:next w:val="18"/>
    <w:qFormat/>
    <w:uiPriority w:val="0"/>
    <w:pPr>
      <w:spacing w:beforeLines="50" w:afterLines="50" w:line="360" w:lineRule="auto"/>
      <w:ind w:left="422" w:hanging="422" w:hangingChars="200"/>
      <w:jc w:val="left"/>
    </w:pPr>
    <w:rPr>
      <w:rFonts w:ascii="Arial Black" w:hAnsi="Arial Black" w:eastAsia="宋体"/>
      <w:b/>
      <w:bCs/>
      <w:sz w:val="30"/>
    </w:rPr>
  </w:style>
  <w:style w:type="paragraph" w:customStyle="1" w:styleId="682">
    <w:name w:val="表格内容"/>
    <w:basedOn w:val="1"/>
    <w:qFormat/>
    <w:uiPriority w:val="0"/>
    <w:pPr>
      <w:jc w:val="center"/>
    </w:pPr>
    <w:rPr>
      <w:sz w:val="24"/>
      <w:szCs w:val="21"/>
    </w:rPr>
  </w:style>
  <w:style w:type="paragraph" w:customStyle="1" w:styleId="683">
    <w:name w:val="xl24"/>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684">
    <w:name w:val="表格文字（大）"/>
    <w:basedOn w:val="1"/>
    <w:qFormat/>
    <w:uiPriority w:val="0"/>
    <w:pPr>
      <w:autoSpaceDE w:val="0"/>
      <w:autoSpaceDN w:val="0"/>
      <w:adjustRightInd w:val="0"/>
      <w:spacing w:before="20" w:after="20"/>
      <w:jc w:val="left"/>
    </w:pPr>
    <w:rPr>
      <w:rFonts w:ascii="Arial Unicode MS" w:hAnsi="Arial Unicode MS" w:eastAsia="等线" w:cs="Arial Unicode MS"/>
      <w:kern w:val="0"/>
      <w:sz w:val="24"/>
      <w:szCs w:val="20"/>
    </w:rPr>
  </w:style>
  <w:style w:type="paragraph" w:customStyle="1" w:styleId="685">
    <w:name w:val="greytypebeni"/>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686">
    <w:name w:val="No Spacing1"/>
    <w:qFormat/>
    <w:uiPriority w:val="0"/>
    <w:rPr>
      <w:rFonts w:ascii="Century Gothic" w:hAnsi="Century Gothic" w:eastAsia="仿宋_GB2312" w:cs="新宋体"/>
      <w:sz w:val="22"/>
      <w:szCs w:val="22"/>
      <w:lang w:val="en-US" w:eastAsia="zh-CN" w:bidi="ar-SA"/>
    </w:rPr>
  </w:style>
  <w:style w:type="paragraph" w:customStyle="1" w:styleId="687">
    <w:name w:val="标准小四"/>
    <w:basedOn w:val="1"/>
    <w:qFormat/>
    <w:uiPriority w:val="0"/>
    <w:pPr>
      <w:autoSpaceDE w:val="0"/>
      <w:autoSpaceDN w:val="0"/>
      <w:adjustRightInd w:val="0"/>
      <w:spacing w:line="360" w:lineRule="auto"/>
      <w:ind w:firstLine="480" w:firstLineChars="200"/>
      <w:jc w:val="left"/>
    </w:pPr>
    <w:rPr>
      <w:rFonts w:ascii="Tahoma" w:hAnsi="Tahoma" w:eastAsia="等线" w:cs="等线"/>
      <w:kern w:val="0"/>
      <w:sz w:val="24"/>
      <w:szCs w:val="21"/>
    </w:rPr>
  </w:style>
  <w:style w:type="paragraph" w:customStyle="1" w:styleId="688">
    <w:name w:val="Char Char Char Char Char Char1 Char Char Char Char"/>
    <w:basedOn w:val="20"/>
    <w:qFormat/>
    <w:uiPriority w:val="0"/>
    <w:pPr>
      <w:spacing w:line="360" w:lineRule="auto"/>
      <w:ind w:firstLine="200" w:firstLineChars="200"/>
    </w:pPr>
    <w:rPr>
      <w:rFonts w:ascii="Tahoma" w:hAnsi="Tahoma" w:eastAsia="等线"/>
      <w:sz w:val="24"/>
      <w:szCs w:val="20"/>
    </w:rPr>
  </w:style>
  <w:style w:type="paragraph" w:customStyle="1" w:styleId="689">
    <w:name w:val="正文 New New"/>
    <w:qFormat/>
    <w:uiPriority w:val="0"/>
    <w:pPr>
      <w:widowControl w:val="0"/>
      <w:jc w:val="both"/>
    </w:pPr>
    <w:rPr>
      <w:rFonts w:ascii="等线" w:hAnsi="等线" w:eastAsia="等线" w:cs="等线"/>
      <w:kern w:val="2"/>
      <w:sz w:val="21"/>
      <w:szCs w:val="24"/>
      <w:lang w:val="en-US" w:eastAsia="zh-CN" w:bidi="ar-SA"/>
    </w:rPr>
  </w:style>
  <w:style w:type="paragraph" w:customStyle="1" w:styleId="690">
    <w:name w:val="Item List in Table"/>
    <w:qFormat/>
    <w:uiPriority w:val="0"/>
    <w:pPr>
      <w:tabs>
        <w:tab w:val="left" w:pos="284"/>
        <w:tab w:val="left" w:pos="720"/>
      </w:tabs>
      <w:spacing w:before="40" w:after="40"/>
      <w:ind w:left="720" w:hanging="720"/>
      <w:jc w:val="both"/>
    </w:pPr>
    <w:rPr>
      <w:rFonts w:ascii="Century Gothic" w:hAnsi="Century Gothic" w:eastAsia="等线" w:cs="Tahoma"/>
      <w:kern w:val="2"/>
      <w:sz w:val="18"/>
      <w:szCs w:val="18"/>
      <w:lang w:val="en-US" w:eastAsia="zh-CN" w:bidi="ar-SA"/>
    </w:rPr>
  </w:style>
  <w:style w:type="paragraph" w:customStyle="1" w:styleId="691">
    <w:name w:val="缺省文本"/>
    <w:basedOn w:val="1"/>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692">
    <w:name w:val="xl9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93">
    <w:name w:val="xl10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94">
    <w:name w:val="xl22"/>
    <w:basedOn w:val="1"/>
    <w:qFormat/>
    <w:uiPriority w:val="0"/>
    <w:pPr>
      <w:widowControl/>
      <w:spacing w:before="100" w:beforeAutospacing="1" w:after="100" w:afterAutospacing="1"/>
      <w:jc w:val="center"/>
    </w:pPr>
    <w:rPr>
      <w:rFonts w:ascii="宋体" w:hAnsi="宋体" w:eastAsia="等线" w:cs="等线"/>
      <w:kern w:val="0"/>
      <w:sz w:val="24"/>
    </w:rPr>
  </w:style>
  <w:style w:type="paragraph" w:customStyle="1" w:styleId="695">
    <w:name w:val="二级无"/>
    <w:basedOn w:val="563"/>
    <w:qFormat/>
    <w:uiPriority w:val="0"/>
    <w:pPr>
      <w:ind w:left="735"/>
    </w:pPr>
    <w:rPr>
      <w:rFonts w:ascii="宋体" w:hAnsi="Calibri" w:eastAsia="宋体" w:cs="Times New Roman"/>
      <w:szCs w:val="21"/>
    </w:rPr>
  </w:style>
  <w:style w:type="paragraph" w:customStyle="1" w:styleId="696">
    <w:name w:val="xl43"/>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97">
    <w:name w:val="Body"/>
    <w:qFormat/>
    <w:uiPriority w:val="0"/>
    <w:pPr>
      <w:tabs>
        <w:tab w:val="left" w:pos="720"/>
        <w:tab w:val="left" w:pos="1440"/>
        <w:tab w:val="left" w:pos="2160"/>
        <w:tab w:val="left" w:pos="2880"/>
        <w:tab w:val="left" w:pos="3600"/>
        <w:tab w:val="left" w:pos="4320"/>
        <w:tab w:val="left" w:pos="5040"/>
        <w:tab w:val="left" w:pos="5840"/>
        <w:tab w:val="left" w:pos="6480"/>
        <w:tab w:val="left" w:pos="7200"/>
        <w:tab w:val="left" w:pos="7920"/>
      </w:tabs>
      <w:spacing w:after="140" w:line="280" w:lineRule="atLeast"/>
    </w:pPr>
    <w:rPr>
      <w:rFonts w:ascii="Times" w:hAnsi="Times" w:eastAsia="等线" w:cs="等线"/>
      <w:color w:val="000000"/>
      <w:sz w:val="18"/>
      <w:lang w:val="en-US" w:eastAsia="en-US" w:bidi="ar-SA"/>
    </w:rPr>
  </w:style>
  <w:style w:type="paragraph" w:customStyle="1" w:styleId="698">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699">
    <w:name w:val="正文 1.5 倍行距"/>
    <w:basedOn w:val="1"/>
    <w:qFormat/>
    <w:uiPriority w:val="0"/>
    <w:pPr>
      <w:autoSpaceDE w:val="0"/>
      <w:autoSpaceDN w:val="0"/>
      <w:adjustRightInd w:val="0"/>
      <w:spacing w:line="360" w:lineRule="auto"/>
      <w:ind w:firstLine="480" w:firstLineChars="200"/>
      <w:textAlignment w:val="baseline"/>
    </w:pPr>
    <w:rPr>
      <w:kern w:val="0"/>
      <w:sz w:val="24"/>
      <w:szCs w:val="20"/>
    </w:rPr>
  </w:style>
  <w:style w:type="paragraph" w:customStyle="1" w:styleId="700">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701">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70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03">
    <w:name w:val="项目2"/>
    <w:qFormat/>
    <w:uiPriority w:val="0"/>
    <w:pPr>
      <w:tabs>
        <w:tab w:val="left" w:pos="425"/>
      </w:tabs>
      <w:spacing w:before="120" w:after="120" w:line="360" w:lineRule="auto"/>
      <w:ind w:left="420" w:hanging="420"/>
    </w:pPr>
    <w:rPr>
      <w:rFonts w:ascii="等线" w:hAnsi="等线" w:eastAsia="仿宋_GB2312" w:cs="等线"/>
      <w:sz w:val="24"/>
      <w:lang w:val="en-US" w:eastAsia="zh-CN" w:bidi="ar-SA"/>
    </w:rPr>
  </w:style>
  <w:style w:type="paragraph" w:customStyle="1" w:styleId="704">
    <w:name w:val="xl29"/>
    <w:basedOn w:val="1"/>
    <w:qFormat/>
    <w:uiPriority w:val="0"/>
    <w:pPr>
      <w:widowControl/>
      <w:autoSpaceDE w:val="0"/>
      <w:autoSpaceDN w:val="0"/>
      <w:adjustRightInd w:val="0"/>
      <w:spacing w:before="100" w:beforeAutospacing="1" w:after="100" w:afterAutospacing="1"/>
      <w:jc w:val="center"/>
    </w:pPr>
    <w:rPr>
      <w:rFonts w:ascii="等线" w:hAnsi="等线" w:eastAsia="Times New Roman" w:cs="等线"/>
      <w:kern w:val="0"/>
      <w:sz w:val="24"/>
      <w:szCs w:val="20"/>
    </w:rPr>
  </w:style>
  <w:style w:type="paragraph" w:customStyle="1" w:styleId="705">
    <w:name w:val="Quote1"/>
    <w:basedOn w:val="1"/>
    <w:next w:val="1"/>
    <w:qFormat/>
    <w:uiPriority w:val="0"/>
    <w:rPr>
      <w:rFonts w:ascii="Century Gothic" w:hAnsi="Century Gothic" w:eastAsia="仿宋_GB2312" w:cs="新宋体"/>
      <w:i/>
      <w:iCs/>
      <w:color w:val="000000"/>
      <w:kern w:val="0"/>
      <w:sz w:val="20"/>
      <w:szCs w:val="20"/>
    </w:rPr>
  </w:style>
  <w:style w:type="paragraph" w:customStyle="1" w:styleId="706">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707">
    <w:name w:val="表图内容"/>
    <w:basedOn w:val="1"/>
    <w:qFormat/>
    <w:uiPriority w:val="0"/>
    <w:pPr>
      <w:spacing w:line="360" w:lineRule="auto"/>
      <w:ind w:firstLine="200" w:firstLineChars="200"/>
      <w:jc w:val="center"/>
    </w:pPr>
    <w:rPr>
      <w:sz w:val="24"/>
      <w:szCs w:val="21"/>
    </w:rPr>
  </w:style>
  <w:style w:type="paragraph" w:customStyle="1" w:styleId="70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360" w:lineRule="auto"/>
      <w:ind w:firstLine="200" w:firstLineChars="200"/>
      <w:jc w:val="left"/>
    </w:pPr>
    <w:rPr>
      <w:rFonts w:ascii="Courier New" w:hAnsi="Courier New" w:eastAsia="等线" w:cs="等线"/>
      <w:kern w:val="0"/>
      <w:sz w:val="20"/>
      <w:szCs w:val="20"/>
    </w:rPr>
  </w:style>
  <w:style w:type="paragraph" w:customStyle="1" w:styleId="709">
    <w:name w:val="標題 2..."/>
    <w:basedOn w:val="1"/>
    <w:qFormat/>
    <w:uiPriority w:val="0"/>
    <w:pPr>
      <w:spacing w:line="360" w:lineRule="auto"/>
      <w:ind w:left="568" w:firstLine="567" w:firstLineChars="200"/>
    </w:pPr>
    <w:rPr>
      <w:rFonts w:ascii="等线" w:hAnsi="等线" w:eastAsia="PMingLiU" w:cs="等线"/>
      <w:sz w:val="24"/>
      <w:lang w:eastAsia="zh-TW"/>
    </w:rPr>
  </w:style>
  <w:style w:type="paragraph" w:customStyle="1" w:styleId="710">
    <w:name w:val="xl33"/>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711">
    <w:name w:val="Char Char1 Char Char Char"/>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712">
    <w:name w:val="_Style 54"/>
    <w:basedOn w:val="1"/>
    <w:qFormat/>
    <w:uiPriority w:val="0"/>
    <w:rPr>
      <w:rFonts w:ascii="等线" w:hAnsi="等线" w:eastAsia="等线" w:cs="等线"/>
    </w:rPr>
  </w:style>
  <w:style w:type="paragraph" w:customStyle="1" w:styleId="713">
    <w:name w:val="Char Char Char Char Char Char Char Char"/>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71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5">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16">
    <w:name w:val="Char13"/>
    <w:basedOn w:val="1"/>
    <w:qFormat/>
    <w:uiPriority w:val="0"/>
    <w:pPr>
      <w:widowControl/>
      <w:spacing w:after="160" w:line="240" w:lineRule="exact"/>
      <w:jc w:val="left"/>
    </w:pPr>
    <w:rPr>
      <w:rFonts w:ascii="Courier New" w:hAnsi="Courier New" w:eastAsia="等线" w:cs="等线"/>
      <w:kern w:val="0"/>
      <w:sz w:val="20"/>
      <w:szCs w:val="20"/>
      <w:lang w:eastAsia="en-US"/>
    </w:rPr>
  </w:style>
  <w:style w:type="paragraph" w:customStyle="1" w:styleId="717">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718">
    <w:name w:val="数字级连标题1"/>
    <w:basedOn w:val="5"/>
    <w:next w:val="1"/>
    <w:qFormat/>
    <w:uiPriority w:val="0"/>
    <w:pPr>
      <w:keepLines/>
      <w:tabs>
        <w:tab w:val="left" w:pos="390"/>
      </w:tabs>
      <w:spacing w:line="360" w:lineRule="auto"/>
      <w:ind w:left="390" w:hanging="390"/>
      <w:jc w:val="both"/>
    </w:pPr>
    <w:rPr>
      <w:rFonts w:ascii="等线" w:hAnsi="等线" w:eastAsia="等线"/>
      <w:bCs w:val="0"/>
      <w:sz w:val="28"/>
      <w:szCs w:val="20"/>
      <w:lang w:eastAsia="ar-SA"/>
    </w:rPr>
  </w:style>
  <w:style w:type="paragraph" w:customStyle="1" w:styleId="719">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Calibri" w:hAnsi="Calibri" w:eastAsia="Calibri" w:cs="仿宋_GB2312"/>
      <w:b/>
      <w:bCs/>
      <w:color w:val="FF0000"/>
      <w:kern w:val="0"/>
      <w:sz w:val="24"/>
    </w:rPr>
  </w:style>
  <w:style w:type="paragraph" w:customStyle="1" w:styleId="72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21">
    <w:name w:val="数字级连标题3"/>
    <w:basedOn w:val="7"/>
    <w:next w:val="1"/>
    <w:qFormat/>
    <w:uiPriority w:val="0"/>
    <w:pPr>
      <w:suppressAutoHyphens/>
      <w:spacing w:before="0" w:after="0" w:line="360" w:lineRule="auto"/>
    </w:pPr>
    <w:rPr>
      <w:rFonts w:ascii="等线" w:hAnsi="等线" w:eastAsia="等线"/>
      <w:bCs w:val="0"/>
      <w:sz w:val="28"/>
      <w:szCs w:val="20"/>
      <w:lang w:eastAsia="ar-SA"/>
    </w:rPr>
  </w:style>
  <w:style w:type="paragraph" w:customStyle="1" w:styleId="722">
    <w:name w:val="Table Heading"/>
    <w:qFormat/>
    <w:uiPriority w:val="0"/>
    <w:pPr>
      <w:keepNext/>
      <w:snapToGrid w:val="0"/>
      <w:spacing w:before="80" w:after="80"/>
      <w:jc w:val="center"/>
    </w:pPr>
    <w:rPr>
      <w:rFonts w:ascii="Century Gothic" w:hAnsi="Century Gothic" w:eastAsia="Helvetica" w:cs="Tahoma"/>
      <w:kern w:val="2"/>
      <w:sz w:val="18"/>
      <w:szCs w:val="18"/>
      <w:lang w:val="en-US" w:eastAsia="zh-CN" w:bidi="ar-SA"/>
    </w:rPr>
  </w:style>
  <w:style w:type="paragraph" w:customStyle="1" w:styleId="723">
    <w:name w:val="font14"/>
    <w:basedOn w:val="1"/>
    <w:qFormat/>
    <w:uiPriority w:val="0"/>
    <w:pPr>
      <w:widowControl/>
      <w:spacing w:before="100" w:beforeAutospacing="1" w:after="100" w:afterAutospacing="1"/>
      <w:jc w:val="left"/>
    </w:pPr>
    <w:rPr>
      <w:rFonts w:hint="eastAsia" w:ascii="黑体" w:hAnsi="宋体" w:eastAsia="黑体" w:cs="等线"/>
      <w:kern w:val="0"/>
      <w:sz w:val="18"/>
      <w:szCs w:val="18"/>
    </w:rPr>
  </w:style>
  <w:style w:type="paragraph" w:customStyle="1" w:styleId="724">
    <w:name w:val="WW-正文文字缩进 2"/>
    <w:basedOn w:val="1"/>
    <w:qFormat/>
    <w:uiPriority w:val="0"/>
    <w:pPr>
      <w:suppressAutoHyphens/>
      <w:autoSpaceDE w:val="0"/>
      <w:autoSpaceDN w:val="0"/>
      <w:adjustRightInd w:val="0"/>
      <w:ind w:firstLine="420"/>
      <w:jc w:val="left"/>
    </w:pPr>
    <w:rPr>
      <w:rFonts w:ascii="等线" w:hAnsi="等线" w:eastAsia="等线" w:cs="等线"/>
      <w:kern w:val="1"/>
      <w:sz w:val="20"/>
      <w:szCs w:val="20"/>
    </w:rPr>
  </w:style>
  <w:style w:type="paragraph" w:customStyle="1" w:styleId="725">
    <w:name w:val="font5"/>
    <w:basedOn w:val="1"/>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726">
    <w:name w:val="Char Char2 字元 字元"/>
    <w:basedOn w:val="1"/>
    <w:qFormat/>
    <w:uiPriority w:val="0"/>
    <w:pPr>
      <w:widowControl/>
      <w:spacing w:after="160" w:line="240" w:lineRule="exact"/>
      <w:ind w:firstLine="200" w:firstLineChars="200"/>
      <w:jc w:val="left"/>
    </w:pPr>
    <w:rPr>
      <w:rFonts w:ascii="等线" w:hAnsi="等线" w:eastAsia="等线" w:cs="等线"/>
      <w:szCs w:val="20"/>
    </w:rPr>
  </w:style>
  <w:style w:type="paragraph" w:customStyle="1" w:styleId="727">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28">
    <w:name w:val="段落正文"/>
    <w:basedOn w:val="1"/>
    <w:qFormat/>
    <w:uiPriority w:val="0"/>
    <w:pPr>
      <w:spacing w:before="140" w:after="140" w:line="401" w:lineRule="auto"/>
      <w:ind w:firstLine="200" w:firstLineChars="200"/>
    </w:pPr>
    <w:rPr>
      <w:rFonts w:ascii="宋体" w:hAnsi="宋体" w:eastAsia="等线" w:cs="等线"/>
    </w:rPr>
  </w:style>
  <w:style w:type="paragraph" w:customStyle="1" w:styleId="729">
    <w:name w:val="Char Char Char Char Char Char1"/>
    <w:basedOn w:val="1"/>
    <w:semiHidden/>
    <w:qFormat/>
    <w:uiPriority w:val="0"/>
    <w:pPr>
      <w:adjustRightInd w:val="0"/>
      <w:spacing w:line="360" w:lineRule="atLeast"/>
      <w:ind w:firstLine="200" w:firstLineChars="200"/>
      <w:textAlignment w:val="baseline"/>
    </w:pPr>
    <w:rPr>
      <w:rFonts w:ascii="仿宋_GB2312" w:eastAsia="仿宋_GB2312"/>
      <w:sz w:val="28"/>
      <w:szCs w:val="28"/>
    </w:rPr>
  </w:style>
  <w:style w:type="paragraph" w:customStyle="1" w:styleId="730">
    <w:name w:val="普通(网站)1"/>
    <w:basedOn w:val="1"/>
    <w:qFormat/>
    <w:uiPriority w:val="0"/>
    <w:pPr>
      <w:widowControl/>
      <w:spacing w:before="100" w:beforeAutospacing="1" w:after="100" w:afterAutospacing="1" w:line="360" w:lineRule="auto"/>
      <w:ind w:firstLine="200" w:firstLineChars="200"/>
      <w:jc w:val="left"/>
    </w:pPr>
    <w:rPr>
      <w:rFonts w:ascii="宋体" w:hAnsi="宋体" w:eastAsia="等线" w:cs="等线"/>
      <w:color w:val="000000"/>
      <w:kern w:val="0"/>
      <w:sz w:val="24"/>
      <w:szCs w:val="20"/>
    </w:rPr>
  </w:style>
  <w:style w:type="paragraph" w:customStyle="1" w:styleId="731">
    <w:name w:val="xl108"/>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732">
    <w:name w:val="样式3"/>
    <w:basedOn w:val="5"/>
    <w:qFormat/>
    <w:uiPriority w:val="0"/>
    <w:pPr>
      <w:keepNext w:val="0"/>
      <w:autoSpaceDE w:val="0"/>
      <w:autoSpaceDN w:val="0"/>
      <w:adjustRightInd w:val="0"/>
      <w:spacing w:before="560" w:after="280"/>
      <w:jc w:val="left"/>
      <w:textAlignment w:val="baseline"/>
    </w:pPr>
    <w:rPr>
      <w:rFonts w:ascii="等线" w:hAnsi="等线" w:eastAsia="黑体"/>
      <w:b w:val="0"/>
      <w:bCs w:val="0"/>
      <w:kern w:val="0"/>
      <w:sz w:val="44"/>
      <w:szCs w:val="20"/>
    </w:rPr>
  </w:style>
  <w:style w:type="paragraph" w:customStyle="1" w:styleId="733">
    <w:name w:val="Char Char 字元 字元 字元 Char Char Char Char"/>
    <w:basedOn w:val="1"/>
    <w:qFormat/>
    <w:uiPriority w:val="0"/>
    <w:pPr>
      <w:adjustRightInd w:val="0"/>
      <w:spacing w:line="360" w:lineRule="auto"/>
      <w:ind w:firstLine="200" w:firstLineChars="200"/>
    </w:pPr>
    <w:rPr>
      <w:rFonts w:ascii="等线" w:hAnsi="等线" w:eastAsia="等线" w:cs="等线"/>
      <w:kern w:val="0"/>
      <w:sz w:val="24"/>
      <w:szCs w:val="20"/>
    </w:rPr>
  </w:style>
  <w:style w:type="paragraph" w:customStyle="1" w:styleId="734">
    <w:name w:val="xl2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35">
    <w:name w:val="xl34"/>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736">
    <w:name w:val="标准段落"/>
    <w:basedOn w:val="1"/>
    <w:qFormat/>
    <w:uiPriority w:val="0"/>
    <w:pPr>
      <w:spacing w:after="120" w:line="360" w:lineRule="auto"/>
      <w:ind w:firstLine="420"/>
    </w:pPr>
    <w:rPr>
      <w:rFonts w:ascii="Helvetica" w:hAnsi="仿宋_GB2312" w:eastAsia="Helvetica" w:cs="等线"/>
      <w:b/>
      <w:spacing w:val="6"/>
      <w:szCs w:val="22"/>
    </w:rPr>
  </w:style>
  <w:style w:type="paragraph" w:customStyle="1" w:styleId="737">
    <w:name w:val="密级编号"/>
    <w:basedOn w:val="1"/>
    <w:qFormat/>
    <w:uiPriority w:val="0"/>
    <w:pPr>
      <w:adjustRightInd w:val="0"/>
      <w:jc w:val="center"/>
      <w:textAlignment w:val="baseline"/>
    </w:pPr>
    <w:rPr>
      <w:rFonts w:ascii="仿宋_GB2312" w:hAnsi="等线" w:eastAsia="仿宋_GB2312" w:cs="等线"/>
      <w:kern w:val="0"/>
      <w:sz w:val="24"/>
      <w:szCs w:val="20"/>
    </w:rPr>
  </w:style>
  <w:style w:type="paragraph" w:customStyle="1" w:styleId="738">
    <w:name w:val="_Style 125"/>
    <w:basedOn w:val="1"/>
    <w:qFormat/>
    <w:uiPriority w:val="0"/>
    <w:rPr>
      <w:rFonts w:ascii="等线" w:hAnsi="等线" w:eastAsia="等线" w:cs="等线"/>
    </w:rPr>
  </w:style>
  <w:style w:type="paragraph" w:customStyle="1" w:styleId="739">
    <w:name w:val="Xie图文中"/>
    <w:qFormat/>
    <w:uiPriority w:val="0"/>
    <w:pPr>
      <w:widowControl w:val="0"/>
      <w:adjustRightInd w:val="0"/>
      <w:snapToGrid w:val="0"/>
      <w:spacing w:before="40" w:after="40"/>
      <w:jc w:val="center"/>
    </w:pPr>
    <w:rPr>
      <w:rFonts w:ascii="Times New Roman" w:hAnsi="Times New Roman" w:eastAsia="仿宋_GB2312" w:cs="Times New Roman"/>
      <w:snapToGrid w:val="0"/>
      <w:sz w:val="24"/>
      <w:szCs w:val="24"/>
      <w:lang w:val="en-US" w:eastAsia="zh-CN" w:bidi="ar-SA"/>
    </w:rPr>
  </w:style>
  <w:style w:type="paragraph" w:customStyle="1" w:styleId="740">
    <w:name w:val="標題 (一)"/>
    <w:basedOn w:val="6"/>
    <w:qFormat/>
    <w:uiPriority w:val="0"/>
    <w:pPr>
      <w:tabs>
        <w:tab w:val="left" w:pos="709"/>
      </w:tabs>
      <w:adjustRightInd w:val="0"/>
      <w:spacing w:before="0" w:after="0" w:line="567" w:lineRule="atLeast"/>
      <w:ind w:left="709" w:hanging="567" w:firstLineChars="200"/>
      <w:textAlignment w:val="baseline"/>
      <w:outlineLvl w:val="9"/>
    </w:pPr>
    <w:rPr>
      <w:rFonts w:ascii="PMingLiU" w:hAnsi="Times New Roman" w:eastAsia="PMingLiU"/>
      <w:b w:val="0"/>
      <w:bCs w:val="0"/>
      <w:kern w:val="0"/>
      <w:sz w:val="28"/>
      <w:szCs w:val="20"/>
      <w:lang w:eastAsia="zh-TW"/>
    </w:rPr>
  </w:style>
  <w:style w:type="paragraph" w:customStyle="1" w:styleId="741">
    <w:name w:val="正文文字表格居中"/>
    <w:basedOn w:val="1"/>
    <w:next w:val="55"/>
    <w:qFormat/>
    <w:uiPriority w:val="0"/>
    <w:pPr>
      <w:autoSpaceDE w:val="0"/>
      <w:autoSpaceDN w:val="0"/>
      <w:adjustRightInd w:val="0"/>
      <w:snapToGrid w:val="0"/>
      <w:spacing w:line="360" w:lineRule="auto"/>
      <w:jc w:val="left"/>
    </w:pPr>
    <w:rPr>
      <w:rFonts w:ascii="仿宋_GB2312" w:hAnsi="等线" w:eastAsia="等线" w:cs="等线"/>
      <w:b/>
      <w:kern w:val="0"/>
      <w:sz w:val="24"/>
      <w:szCs w:val="20"/>
    </w:rPr>
  </w:style>
  <w:style w:type="paragraph" w:customStyle="1" w:styleId="742">
    <w:name w:val="my正文"/>
    <w:basedOn w:val="1"/>
    <w:qFormat/>
    <w:uiPriority w:val="0"/>
    <w:pPr>
      <w:spacing w:line="360" w:lineRule="auto"/>
      <w:ind w:firstLine="480" w:firstLineChars="200"/>
    </w:pPr>
    <w:rPr>
      <w:rFonts w:ascii="Tahoma" w:hAnsi="Tahoma" w:eastAsia="等线" w:cs="等线"/>
      <w:sz w:val="24"/>
    </w:rPr>
  </w:style>
  <w:style w:type="paragraph" w:customStyle="1" w:styleId="743">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44">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45">
    <w:name w:val="[Normal]"/>
    <w:qFormat/>
    <w:uiPriority w:val="0"/>
    <w:rPr>
      <w:rFonts w:ascii="宋体" w:hAnsi="宋体" w:eastAsia="宋体" w:cs="Times New Roman"/>
      <w:sz w:val="24"/>
      <w:szCs w:val="22"/>
      <w:lang w:val="zh-CN" w:eastAsia="zh-CN" w:bidi="ar-SA"/>
    </w:rPr>
  </w:style>
  <w:style w:type="paragraph" w:customStyle="1" w:styleId="746">
    <w:name w:val="普通 (Web)"/>
    <w:basedOn w:val="1"/>
    <w:qFormat/>
    <w:uiPriority w:val="0"/>
    <w:pPr>
      <w:widowControl/>
      <w:spacing w:before="100" w:after="100"/>
      <w:jc w:val="left"/>
    </w:pPr>
    <w:rPr>
      <w:rFonts w:ascii="宋体" w:hAnsi="宋体" w:eastAsia="等线" w:cs="等线"/>
      <w:kern w:val="0"/>
      <w:sz w:val="24"/>
      <w:szCs w:val="20"/>
    </w:rPr>
  </w:style>
  <w:style w:type="paragraph" w:customStyle="1" w:styleId="747">
    <w:name w:val="(1)"/>
    <w:basedOn w:val="1"/>
    <w:qFormat/>
    <w:uiPriority w:val="0"/>
    <w:pPr>
      <w:adjustRightInd w:val="0"/>
      <w:spacing w:line="454" w:lineRule="atLeast"/>
      <w:ind w:left="1701" w:hanging="709" w:firstLineChars="200"/>
      <w:textAlignment w:val="baseline"/>
    </w:pPr>
    <w:rPr>
      <w:rFonts w:ascii="PMingLiU" w:hAnsi="等线" w:eastAsia="PMingLiU" w:cs="等线"/>
      <w:kern w:val="0"/>
      <w:sz w:val="28"/>
      <w:szCs w:val="20"/>
      <w:lang w:eastAsia="zh-TW"/>
    </w:rPr>
  </w:style>
  <w:style w:type="paragraph" w:customStyle="1" w:styleId="748">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8"/>
      <w:szCs w:val="28"/>
    </w:rPr>
  </w:style>
  <w:style w:type="paragraph" w:customStyle="1" w:styleId="749">
    <w:name w:val="样式 标题 1Level 1Level 11h1II+IHeading1H1-Heading 1Header 1..."/>
    <w:basedOn w:val="5"/>
    <w:qFormat/>
    <w:uiPriority w:val="0"/>
    <w:pPr>
      <w:keepLines/>
      <w:pageBreakBefore/>
      <w:spacing w:line="360" w:lineRule="auto"/>
      <w:ind w:left="1680" w:hanging="420"/>
      <w:jc w:val="left"/>
    </w:pPr>
    <w:rPr>
      <w:rFonts w:ascii="Tahoma" w:hAnsi="Tahoma" w:eastAsia="Helvetica" w:cs="仿宋_GB2312"/>
      <w:kern w:val="44"/>
      <w:sz w:val="44"/>
      <w:szCs w:val="20"/>
    </w:rPr>
  </w:style>
  <w:style w:type="paragraph" w:customStyle="1" w:styleId="750">
    <w:name w:val="规范正文"/>
    <w:basedOn w:val="1"/>
    <w:qFormat/>
    <w:uiPriority w:val="0"/>
    <w:pPr>
      <w:adjustRightInd w:val="0"/>
      <w:spacing w:line="360" w:lineRule="auto"/>
      <w:ind w:left="480" w:firstLine="200" w:firstLineChars="200"/>
      <w:textAlignment w:val="baseline"/>
    </w:pPr>
    <w:rPr>
      <w:rFonts w:ascii="宋体" w:hAnsi="宋体" w:eastAsia="等线" w:cs="等线"/>
      <w:kern w:val="0"/>
      <w:sz w:val="24"/>
    </w:rPr>
  </w:style>
  <w:style w:type="paragraph" w:customStyle="1" w:styleId="751">
    <w:name w:val="xl11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752">
    <w:name w:val="表头2"/>
    <w:basedOn w:val="359"/>
    <w:qFormat/>
    <w:uiPriority w:val="0"/>
    <w:pPr>
      <w:spacing w:line="520" w:lineRule="exact"/>
      <w:jc w:val="left"/>
    </w:pPr>
    <w:rPr>
      <w:rFonts w:ascii="Calibri" w:hAnsi="Calibri" w:eastAsia="宋体"/>
      <w:color w:val="auto"/>
      <w:szCs w:val="28"/>
    </w:rPr>
  </w:style>
  <w:style w:type="paragraph" w:customStyle="1" w:styleId="753">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等线" w:hAnsi="等线" w:eastAsia="Times New Roman" w:cs="等线"/>
      <w:kern w:val="0"/>
      <w:szCs w:val="22"/>
    </w:rPr>
  </w:style>
  <w:style w:type="paragraph" w:customStyle="1" w:styleId="754">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755">
    <w:name w:val="xl6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56">
    <w:name w:val="标题 11"/>
    <w:basedOn w:val="1"/>
    <w:next w:val="1"/>
    <w:qFormat/>
    <w:uiPriority w:val="0"/>
    <w:pPr>
      <w:tabs>
        <w:tab w:val="left" w:pos="420"/>
        <w:tab w:val="left" w:pos="568"/>
      </w:tabs>
      <w:adjustRightInd w:val="0"/>
      <w:spacing w:line="567" w:lineRule="atLeast"/>
      <w:ind w:firstLine="200" w:firstLineChars="200"/>
      <w:jc w:val="left"/>
      <w:textAlignment w:val="baseline"/>
    </w:pPr>
    <w:rPr>
      <w:rFonts w:ascii="MingLiU" w:hAnsi="等线" w:eastAsia="MingLiU" w:cs="等线"/>
      <w:b/>
      <w:kern w:val="0"/>
      <w:sz w:val="24"/>
      <w:szCs w:val="20"/>
      <w:lang w:eastAsia="zh-TW"/>
    </w:rPr>
  </w:style>
  <w:style w:type="paragraph" w:customStyle="1" w:styleId="757">
    <w:name w:val="表格样式"/>
    <w:basedOn w:val="1"/>
    <w:qFormat/>
    <w:uiPriority w:val="0"/>
    <w:pPr>
      <w:widowControl/>
      <w:jc w:val="center"/>
    </w:pPr>
    <w:rPr>
      <w:bCs/>
      <w:kern w:val="0"/>
      <w:sz w:val="24"/>
    </w:rPr>
  </w:style>
  <w:style w:type="paragraph" w:customStyle="1" w:styleId="758">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759">
    <w:name w:val="中等深浅网格 1 - 着色 2"/>
    <w:basedOn w:val="1"/>
    <w:qFormat/>
    <w:uiPriority w:val="0"/>
    <w:pPr>
      <w:spacing w:line="360" w:lineRule="auto"/>
      <w:ind w:firstLine="200" w:firstLineChars="200"/>
    </w:pPr>
    <w:rPr>
      <w:rFonts w:ascii="Verdana" w:hAnsi="Verdana" w:eastAsia="等线" w:cs="等线"/>
      <w:sz w:val="24"/>
      <w:szCs w:val="20"/>
    </w:rPr>
  </w:style>
  <w:style w:type="paragraph" w:customStyle="1" w:styleId="760">
    <w:name w:val="Normal0"/>
    <w:qFormat/>
    <w:uiPriority w:val="0"/>
    <w:rPr>
      <w:rFonts w:ascii="等线" w:hAnsi="等线" w:eastAsia="等线" w:cs="等线"/>
      <w:lang w:val="en-US" w:eastAsia="en-US" w:bidi="ar-SA"/>
    </w:rPr>
  </w:style>
  <w:style w:type="paragraph" w:customStyle="1" w:styleId="761">
    <w:name w:val="xl3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762">
    <w:name w:val="表格备注"/>
    <w:basedOn w:val="1"/>
    <w:next w:val="1"/>
    <w:qFormat/>
    <w:uiPriority w:val="2"/>
    <w:pPr>
      <w:spacing w:afterLines="50"/>
    </w:pPr>
  </w:style>
  <w:style w:type="paragraph" w:customStyle="1" w:styleId="763">
    <w:name w:val="正文缩进HS-正文1"/>
    <w:basedOn w:val="1"/>
    <w:qFormat/>
    <w:uiPriority w:val="0"/>
    <w:pPr>
      <w:jc w:val="center"/>
    </w:pPr>
    <w:rPr>
      <w:rFonts w:ascii="宋体" w:hAnsi="宋体" w:eastAsia="等线" w:cs="等线"/>
      <w:color w:val="000000"/>
      <w:szCs w:val="21"/>
    </w:rPr>
  </w:style>
  <w:style w:type="paragraph" w:customStyle="1" w:styleId="764">
    <w:name w:val="Plain Text1"/>
    <w:basedOn w:val="1"/>
    <w:qFormat/>
    <w:uiPriority w:val="0"/>
    <w:pPr>
      <w:adjustRightInd w:val="0"/>
      <w:spacing w:line="360" w:lineRule="auto"/>
      <w:ind w:firstLine="200" w:firstLineChars="200"/>
      <w:jc w:val="left"/>
      <w:textAlignment w:val="baseline"/>
    </w:pPr>
    <w:rPr>
      <w:rFonts w:ascii="MingLiU" w:hAnsi="Courier New" w:eastAsia="MingLiU" w:cs="等线"/>
      <w:sz w:val="24"/>
      <w:szCs w:val="20"/>
      <w:lang w:eastAsia="zh-TW"/>
    </w:rPr>
  </w:style>
  <w:style w:type="paragraph" w:customStyle="1" w:styleId="765">
    <w:name w:val="正文字缩2字"/>
    <w:basedOn w:val="1"/>
    <w:qFormat/>
    <w:uiPriority w:val="0"/>
    <w:pPr>
      <w:spacing w:before="60" w:after="60" w:line="360" w:lineRule="auto"/>
      <w:ind w:left="200" w:leftChars="200" w:firstLine="200" w:firstLineChars="200"/>
    </w:pPr>
    <w:rPr>
      <w:rFonts w:ascii="等线" w:hAnsi="等线" w:eastAsia="等线" w:cs="等线"/>
      <w:sz w:val="24"/>
    </w:rPr>
  </w:style>
  <w:style w:type="paragraph" w:customStyle="1" w:styleId="766">
    <w:name w:val="默认段落字体 Para Char Char Char Char Char Char Char Char Char Char"/>
    <w:basedOn w:val="1"/>
    <w:qFormat/>
    <w:uiPriority w:val="0"/>
    <w:pPr>
      <w:widowControl/>
      <w:spacing w:after="200"/>
      <w:jc w:val="left"/>
    </w:pPr>
    <w:rPr>
      <w:rFonts w:ascii="Tahoma" w:hAnsi="Tahoma" w:eastAsia="等线" w:cs="等线"/>
      <w:kern w:val="0"/>
      <w:sz w:val="22"/>
      <w:szCs w:val="20"/>
      <w:lang w:eastAsia="en-US" w:bidi="en-US"/>
    </w:rPr>
  </w:style>
  <w:style w:type="paragraph" w:customStyle="1" w:styleId="767">
    <w:name w:val="六级标题"/>
    <w:basedOn w:val="10"/>
    <w:qFormat/>
    <w:uiPriority w:val="0"/>
    <w:pPr>
      <w:ind w:left="1134" w:hanging="1134"/>
    </w:pPr>
    <w:rPr>
      <w:rFonts w:ascii="黑体" w:hAnsi="黑体" w:eastAsia="黑体"/>
      <w:kern w:val="0"/>
    </w:rPr>
  </w:style>
  <w:style w:type="paragraph" w:customStyle="1" w:styleId="768">
    <w:name w:val="正文（首行缩进）"/>
    <w:basedOn w:val="2"/>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rFonts w:ascii="等线" w:hAnsi="等线" w:eastAsia="仿宋_GB2312" w:cs="等线"/>
      <w:spacing w:val="10"/>
      <w:kern w:val="0"/>
      <w:szCs w:val="20"/>
    </w:rPr>
  </w:style>
  <w:style w:type="paragraph" w:customStyle="1" w:styleId="769">
    <w:name w:val="xl10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770">
    <w:name w:val="Char Char Char Char Char Char Char Char Char Char Char Char Char Char Char Char Char Char Char"/>
    <w:basedOn w:val="1"/>
    <w:qFormat/>
    <w:uiPriority w:val="0"/>
    <w:rPr>
      <w:rFonts w:ascii="黑体" w:hAnsi="等线" w:eastAsia="黑体" w:cs="等线"/>
      <w:b/>
      <w:sz w:val="32"/>
      <w:szCs w:val="32"/>
    </w:rPr>
  </w:style>
  <w:style w:type="paragraph" w:customStyle="1" w:styleId="771">
    <w:name w:val="Char Char Char Char Char Char Char Char Char"/>
    <w:basedOn w:val="1"/>
    <w:qFormat/>
    <w:uiPriority w:val="0"/>
    <w:pPr>
      <w:widowControl/>
      <w:spacing w:before="100" w:beforeAutospacing="1" w:after="100" w:afterAutospacing="1" w:line="360" w:lineRule="auto"/>
      <w:ind w:left="357"/>
      <w:jc w:val="left"/>
    </w:pPr>
    <w:rPr>
      <w:rFonts w:ascii="ˎ̥" w:hAnsi="ˎ̥" w:eastAsia="等线" w:cs="宋体"/>
      <w:color w:val="51585D"/>
      <w:kern w:val="0"/>
      <w:sz w:val="24"/>
      <w:szCs w:val="18"/>
    </w:rPr>
  </w:style>
  <w:style w:type="paragraph" w:customStyle="1" w:styleId="772">
    <w:name w:val="正文 首行缩进:  2 字符 Char"/>
    <w:basedOn w:val="1"/>
    <w:qFormat/>
    <w:uiPriority w:val="0"/>
    <w:pPr>
      <w:spacing w:line="360" w:lineRule="auto"/>
      <w:ind w:firstLine="480"/>
    </w:pPr>
    <w:rPr>
      <w:rFonts w:ascii="等线" w:hAnsi="等线" w:eastAsia="等线" w:cs="仿宋_GB2312"/>
      <w:sz w:val="24"/>
      <w:szCs w:val="20"/>
    </w:rPr>
  </w:style>
  <w:style w:type="paragraph" w:customStyle="1" w:styleId="773">
    <w:name w:val="xl10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774">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775">
    <w:name w:val="标3"/>
    <w:basedOn w:val="7"/>
    <w:next w:val="8"/>
    <w:qFormat/>
    <w:uiPriority w:val="0"/>
    <w:pPr>
      <w:spacing w:before="240" w:after="180" w:line="360" w:lineRule="auto"/>
      <w:ind w:firstLine="576" w:firstLineChars="205"/>
    </w:pPr>
    <w:rPr>
      <w:rFonts w:ascii="等线" w:hAnsi="等线" w:eastAsia="等线"/>
      <w:bCs w:val="0"/>
      <w:sz w:val="28"/>
    </w:rPr>
  </w:style>
  <w:style w:type="paragraph" w:customStyle="1" w:styleId="776">
    <w:name w:val="标-1"/>
    <w:basedOn w:val="5"/>
    <w:qFormat/>
    <w:uiPriority w:val="0"/>
    <w:pPr>
      <w:keepLines/>
      <w:tabs>
        <w:tab w:val="left" w:pos="360"/>
      </w:tabs>
      <w:spacing w:line="300" w:lineRule="auto"/>
      <w:ind w:firstLine="200" w:firstLineChars="200"/>
      <w:jc w:val="both"/>
    </w:pPr>
    <w:rPr>
      <w:rFonts w:ascii="Arial" w:hAnsi="Arial" w:eastAsia="黑体" w:cs="Arial"/>
      <w:bCs w:val="0"/>
      <w:color w:val="336699"/>
      <w:kern w:val="44"/>
      <w:sz w:val="32"/>
      <w:szCs w:val="28"/>
    </w:rPr>
  </w:style>
  <w:style w:type="paragraph" w:customStyle="1" w:styleId="777">
    <w:name w:val="Char Char Char Char Char Char Char Char Char Char1"/>
    <w:basedOn w:val="1"/>
    <w:qFormat/>
    <w:uiPriority w:val="0"/>
    <w:pPr>
      <w:widowControl/>
      <w:spacing w:after="160" w:line="240" w:lineRule="exact"/>
      <w:ind w:firstLine="200" w:firstLineChars="200"/>
      <w:jc w:val="left"/>
    </w:pPr>
    <w:rPr>
      <w:rFonts w:ascii="Verdana" w:hAnsi="Verdana" w:eastAsia="仿宋_GB2312" w:cs="等线"/>
      <w:kern w:val="0"/>
      <w:sz w:val="24"/>
      <w:szCs w:val="20"/>
      <w:lang w:eastAsia="en-US"/>
    </w:rPr>
  </w:style>
  <w:style w:type="paragraph" w:customStyle="1" w:styleId="778">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79">
    <w:name w:val="列表内容"/>
    <w:basedOn w:val="1"/>
    <w:next w:val="1"/>
    <w:qFormat/>
    <w:uiPriority w:val="0"/>
    <w:pPr>
      <w:widowControl/>
      <w:autoSpaceDE w:val="0"/>
      <w:autoSpaceDN w:val="0"/>
      <w:adjustRightInd w:val="0"/>
      <w:ind w:firstLine="200"/>
      <w:jc w:val="left"/>
    </w:pPr>
    <w:rPr>
      <w:rFonts w:ascii="等线" w:hAnsi="等线" w:eastAsia="等线" w:cs="等线"/>
      <w:kern w:val="0"/>
      <w:sz w:val="18"/>
      <w:szCs w:val="20"/>
    </w:rPr>
  </w:style>
  <w:style w:type="paragraph" w:customStyle="1" w:styleId="780">
    <w:name w:val="xl83"/>
    <w:basedOn w:val="1"/>
    <w:qFormat/>
    <w:uiPriority w:val="0"/>
    <w:pPr>
      <w:widowControl/>
      <w:pBdr>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781">
    <w:name w:val="標題 1."/>
    <w:basedOn w:val="7"/>
    <w:qFormat/>
    <w:uiPriority w:val="0"/>
    <w:pPr>
      <w:adjustRightInd w:val="0"/>
      <w:spacing w:before="0" w:after="0" w:line="567" w:lineRule="atLeast"/>
      <w:ind w:left="993" w:hanging="283" w:firstLineChars="200"/>
      <w:textAlignment w:val="baseline"/>
      <w:outlineLvl w:val="9"/>
    </w:pPr>
    <w:rPr>
      <w:rFonts w:ascii="PMingLiU" w:hAnsi="等线" w:eastAsia="PMingLiU"/>
      <w:b w:val="0"/>
      <w:bCs w:val="0"/>
      <w:kern w:val="0"/>
      <w:sz w:val="28"/>
      <w:szCs w:val="20"/>
      <w:lang w:eastAsia="zh-TW"/>
    </w:rPr>
  </w:style>
  <w:style w:type="paragraph" w:customStyle="1" w:styleId="78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783">
    <w:name w:val="附录表标题"/>
    <w:basedOn w:val="1"/>
    <w:next w:val="593"/>
    <w:qFormat/>
    <w:uiPriority w:val="0"/>
    <w:pPr>
      <w:tabs>
        <w:tab w:val="left" w:pos="180"/>
        <w:tab w:val="left" w:pos="992"/>
      </w:tabs>
      <w:autoSpaceDE w:val="0"/>
      <w:autoSpaceDN w:val="0"/>
      <w:adjustRightInd w:val="0"/>
      <w:spacing w:beforeLines="50" w:afterLines="50"/>
      <w:jc w:val="center"/>
      <w:textAlignment w:val="baseline"/>
    </w:pPr>
    <w:rPr>
      <w:rFonts w:ascii="黑体" w:hAnsi="等线" w:eastAsia="黑体" w:cs="等线"/>
      <w:kern w:val="0"/>
      <w:sz w:val="28"/>
      <w:szCs w:val="21"/>
    </w:rPr>
  </w:style>
  <w:style w:type="paragraph" w:customStyle="1" w:styleId="784">
    <w:name w:val="font12"/>
    <w:basedOn w:val="1"/>
    <w:qFormat/>
    <w:uiPriority w:val="0"/>
    <w:pPr>
      <w:widowControl/>
      <w:spacing w:before="100" w:beforeAutospacing="1" w:after="100" w:afterAutospacing="1"/>
      <w:jc w:val="left"/>
    </w:pPr>
    <w:rPr>
      <w:rFonts w:ascii="等线" w:hAnsi="等线" w:eastAsia="等线" w:cs="等线"/>
      <w:kern w:val="0"/>
      <w:sz w:val="28"/>
      <w:szCs w:val="28"/>
    </w:rPr>
  </w:style>
  <w:style w:type="paragraph" w:customStyle="1" w:styleId="785">
    <w:name w:val="此正文"/>
    <w:basedOn w:val="1"/>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786">
    <w:name w:val="aspnumfaautoadjustrightr"/>
    <w:qFormat/>
    <w:uiPriority w:val="0"/>
    <w:pPr>
      <w:widowControl w:val="0"/>
      <w:autoSpaceDE w:val="0"/>
      <w:autoSpaceDN w:val="0"/>
      <w:adjustRightInd w:val="0"/>
      <w:ind w:firstLine="720"/>
      <w:jc w:val="both"/>
    </w:pPr>
    <w:rPr>
      <w:rFonts w:ascii="等线" w:hAnsi="等线" w:eastAsia="等线" w:cs="等线"/>
      <w:lang w:val="en-US" w:eastAsia="zh-CN" w:bidi="ar-SA"/>
    </w:rPr>
  </w:style>
  <w:style w:type="paragraph" w:customStyle="1" w:styleId="787">
    <w:name w:val="样式 标题 5 + 段前: 5 磅 段后: 5 磅 行距: 单倍行距"/>
    <w:basedOn w:val="9"/>
    <w:qFormat/>
    <w:uiPriority w:val="0"/>
    <w:pPr>
      <w:tabs>
        <w:tab w:val="left" w:pos="2100"/>
      </w:tabs>
      <w:adjustRightInd w:val="0"/>
      <w:spacing w:before="100" w:after="100" w:line="240" w:lineRule="auto"/>
      <w:ind w:left="2100" w:hanging="420" w:firstLineChars="200"/>
      <w:jc w:val="left"/>
      <w:textAlignment w:val="baseline"/>
    </w:pPr>
    <w:rPr>
      <w:bCs w:val="0"/>
      <w:kern w:val="0"/>
      <w:szCs w:val="20"/>
    </w:rPr>
  </w:style>
  <w:style w:type="paragraph" w:customStyle="1" w:styleId="788">
    <w:name w:val="A正文"/>
    <w:basedOn w:val="124"/>
    <w:qFormat/>
    <w:uiPriority w:val="0"/>
    <w:pPr>
      <w:jc w:val="left"/>
    </w:pPr>
    <w:rPr>
      <w:rFonts w:ascii="等线" w:hAnsi="等线" w:eastAsia="等线"/>
      <w:shd w:val="clear" w:color="auto" w:fill="auto"/>
    </w:rPr>
  </w:style>
  <w:style w:type="paragraph" w:customStyle="1" w:styleId="789">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790">
    <w:name w:val="xl6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91">
    <w:name w:val="_Style 3"/>
    <w:qFormat/>
    <w:uiPriority w:val="0"/>
    <w:rPr>
      <w:rFonts w:ascii="Calibri" w:hAnsi="Calibri" w:eastAsia="等线" w:cs="等线"/>
      <w:sz w:val="22"/>
      <w:szCs w:val="22"/>
      <w:lang w:val="en-US" w:eastAsia="zh-CN" w:bidi="ar-SA"/>
    </w:rPr>
  </w:style>
  <w:style w:type="paragraph" w:customStyle="1" w:styleId="792">
    <w:name w:val="c"/>
    <w:qFormat/>
    <w:uiPriority w:val="0"/>
    <w:pPr>
      <w:widowControl w:val="0"/>
      <w:autoSpaceDE w:val="0"/>
      <w:autoSpaceDN w:val="0"/>
      <w:adjustRightInd w:val="0"/>
      <w:jc w:val="both"/>
    </w:pPr>
    <w:rPr>
      <w:rFonts w:ascii="Arial" w:hAnsi="Arial" w:eastAsia="等线" w:cs="等线"/>
      <w:sz w:val="24"/>
      <w:lang w:val="en-US" w:eastAsia="zh-CN" w:bidi="ar-SA"/>
    </w:rPr>
  </w:style>
  <w:style w:type="paragraph" w:customStyle="1" w:styleId="793">
    <w:name w:val="Char Char1 Char"/>
    <w:basedOn w:val="1"/>
    <w:qFormat/>
    <w:uiPriority w:val="0"/>
    <w:pPr>
      <w:widowControl/>
      <w:autoSpaceDE w:val="0"/>
      <w:autoSpaceDN w:val="0"/>
      <w:adjustRightInd w:val="0"/>
      <w:snapToGrid w:val="0"/>
      <w:spacing w:before="120" w:after="160" w:line="360" w:lineRule="auto"/>
      <w:ind w:right="-360"/>
      <w:jc w:val="left"/>
    </w:pPr>
    <w:rPr>
      <w:rFonts w:ascii="Tahoma" w:hAnsi="Tahoma" w:eastAsia="等线" w:cs="等线"/>
      <w:kern w:val="0"/>
      <w:sz w:val="24"/>
      <w:szCs w:val="20"/>
      <w:lang w:eastAsia="en-US"/>
    </w:rPr>
  </w:style>
  <w:style w:type="paragraph" w:customStyle="1" w:styleId="794">
    <w:name w:val="题目副题"/>
    <w:basedOn w:val="48"/>
    <w:qFormat/>
    <w:uiPriority w:val="0"/>
    <w:pPr>
      <w:spacing w:before="0" w:after="312"/>
      <w:ind w:left="240" w:firstLine="600" w:firstLineChars="200"/>
      <w:jc w:val="left"/>
      <w:outlineLvl w:val="9"/>
    </w:pPr>
    <w:rPr>
      <w:rFonts w:ascii="宋体" w:hAnsi="宋体" w:eastAsia="宋体"/>
      <w:bCs w:val="0"/>
      <w:sz w:val="30"/>
      <w:szCs w:val="20"/>
    </w:rPr>
  </w:style>
  <w:style w:type="paragraph" w:customStyle="1" w:styleId="79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paragraph" w:customStyle="1" w:styleId="796">
    <w:name w:val="表名"/>
    <w:basedOn w:val="1"/>
    <w:qFormat/>
    <w:uiPriority w:val="0"/>
    <w:pPr>
      <w:spacing w:after="60" w:line="560" w:lineRule="exact"/>
      <w:ind w:firstLine="100" w:firstLineChars="100"/>
    </w:pPr>
    <w:rPr>
      <w:rFonts w:ascii="黑体" w:eastAsia="黑体"/>
      <w:sz w:val="24"/>
    </w:rPr>
  </w:style>
  <w:style w:type="paragraph" w:customStyle="1" w:styleId="797">
    <w:name w:val="正文列表"/>
    <w:basedOn w:val="1"/>
    <w:qFormat/>
    <w:uiPriority w:val="0"/>
    <w:pPr>
      <w:autoSpaceDE w:val="0"/>
      <w:autoSpaceDN w:val="0"/>
      <w:adjustRightInd w:val="0"/>
      <w:spacing w:line="360" w:lineRule="auto"/>
      <w:ind w:firstLine="200" w:firstLineChars="200"/>
      <w:jc w:val="center"/>
      <w:textAlignment w:val="baseline"/>
    </w:pPr>
    <w:rPr>
      <w:rFonts w:ascii="宋体" w:hAnsi="宋体" w:eastAsia="等线" w:cs="等线"/>
      <w:kern w:val="0"/>
      <w:sz w:val="24"/>
      <w:szCs w:val="20"/>
    </w:rPr>
  </w:style>
  <w:style w:type="paragraph" w:customStyle="1" w:styleId="798">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rFonts w:ascii="等线" w:hAnsi="等线" w:eastAsia="等线" w:cs="等线"/>
      <w:kern w:val="0"/>
      <w:sz w:val="20"/>
      <w:szCs w:val="20"/>
    </w:rPr>
  </w:style>
  <w:style w:type="paragraph" w:customStyle="1" w:styleId="799">
    <w:name w:val="text1"/>
    <w:qFormat/>
    <w:uiPriority w:val="0"/>
    <w:rPr>
      <w:rFonts w:ascii="等线" w:hAnsi="等线" w:eastAsia="DFKai-SB" w:cs="等线"/>
      <w:sz w:val="28"/>
      <w:lang w:val="en-US" w:eastAsia="zh-TW" w:bidi="ar-SA"/>
    </w:rPr>
  </w:style>
  <w:style w:type="paragraph" w:customStyle="1" w:styleId="800">
    <w:name w:val="正文文本 21"/>
    <w:basedOn w:val="1"/>
    <w:qFormat/>
    <w:uiPriority w:val="0"/>
    <w:pPr>
      <w:widowControl/>
      <w:overflowPunct w:val="0"/>
      <w:autoSpaceDE w:val="0"/>
      <w:autoSpaceDN w:val="0"/>
      <w:adjustRightInd w:val="0"/>
      <w:ind w:left="720" w:hanging="720"/>
      <w:jc w:val="left"/>
      <w:textAlignment w:val="baseline"/>
    </w:pPr>
    <w:rPr>
      <w:rFonts w:ascii="等线" w:hAnsi="等线" w:eastAsia="等线" w:cs="等线"/>
      <w:kern w:val="0"/>
      <w:sz w:val="24"/>
      <w:szCs w:val="20"/>
      <w:lang w:val="en-GB"/>
    </w:rPr>
  </w:style>
  <w:style w:type="paragraph" w:customStyle="1" w:styleId="801">
    <w:name w:val="样式 仿宋_GB2312 小三 黑色"/>
    <w:basedOn w:val="1"/>
    <w:qFormat/>
    <w:uiPriority w:val="0"/>
    <w:pPr>
      <w:autoSpaceDE w:val="0"/>
      <w:autoSpaceDN w:val="0"/>
      <w:adjustRightInd w:val="0"/>
      <w:spacing w:line="520" w:lineRule="exact"/>
      <w:ind w:firstLine="560" w:firstLineChars="200"/>
    </w:pPr>
    <w:rPr>
      <w:rFonts w:ascii="仿宋_GB2312" w:eastAsia="仿宋_GB2312" w:cs="仿宋_GB2312"/>
      <w:sz w:val="30"/>
      <w:szCs w:val="30"/>
      <w:lang w:val="zh-CN"/>
    </w:rPr>
  </w:style>
  <w:style w:type="paragraph" w:customStyle="1" w:styleId="802">
    <w:name w:val="样式 仿宋_GB2312 小三"/>
    <w:basedOn w:val="1"/>
    <w:qFormat/>
    <w:uiPriority w:val="0"/>
    <w:pPr>
      <w:autoSpaceDE w:val="0"/>
      <w:autoSpaceDN w:val="0"/>
      <w:adjustRightInd w:val="0"/>
      <w:spacing w:line="520" w:lineRule="exact"/>
      <w:ind w:firstLine="600" w:firstLineChars="200"/>
    </w:pPr>
    <w:rPr>
      <w:rFonts w:ascii="仿宋_GB2312" w:eastAsia="仿宋_GB2312" w:cs="仿宋_GB2312"/>
      <w:sz w:val="30"/>
      <w:szCs w:val="30"/>
      <w:lang w:val="zh-CN"/>
    </w:rPr>
  </w:style>
  <w:style w:type="paragraph" w:customStyle="1" w:styleId="803">
    <w:name w:val="图中文字"/>
    <w:qFormat/>
    <w:uiPriority w:val="0"/>
    <w:pPr>
      <w:adjustRightInd w:val="0"/>
      <w:snapToGrid w:val="0"/>
      <w:jc w:val="both"/>
    </w:pPr>
    <w:rPr>
      <w:rFonts w:ascii="宋体" w:hAnsi="Times New Roman" w:eastAsia="宋体" w:cs="Times New Roman"/>
      <w:kern w:val="2"/>
      <w:sz w:val="21"/>
      <w:lang w:val="en-US" w:eastAsia="zh-CN" w:bidi="ar-SA"/>
    </w:rPr>
  </w:style>
  <w:style w:type="paragraph" w:customStyle="1" w:styleId="804">
    <w:name w:val="瑞安正文"/>
    <w:basedOn w:val="1"/>
    <w:qFormat/>
    <w:uiPriority w:val="0"/>
    <w:pPr>
      <w:adjustRightInd w:val="0"/>
      <w:snapToGrid w:val="0"/>
      <w:spacing w:afterLines="50" w:line="300" w:lineRule="auto"/>
      <w:ind w:firstLine="200" w:firstLineChars="200"/>
    </w:pPr>
    <w:rPr>
      <w:sz w:val="24"/>
    </w:rPr>
  </w:style>
  <w:style w:type="paragraph" w:customStyle="1" w:styleId="805">
    <w:name w:val="para_small"/>
    <w:basedOn w:val="1"/>
    <w:semiHidden/>
    <w:qFormat/>
    <w:uiPriority w:val="0"/>
    <w:pPr>
      <w:widowControl/>
      <w:spacing w:before="100" w:beforeAutospacing="1" w:after="100" w:afterAutospacing="1" w:line="360" w:lineRule="auto"/>
      <w:ind w:firstLine="200" w:firstLineChars="200"/>
      <w:jc w:val="left"/>
    </w:pPr>
    <w:rPr>
      <w:rFonts w:ascii="Arial Unicode MS" w:hAnsi="Arial Unicode MS" w:eastAsia="Arial Unicode MS" w:cs="Arial Unicode MS"/>
      <w:color w:val="000000"/>
      <w:kern w:val="0"/>
      <w:sz w:val="24"/>
    </w:rPr>
  </w:style>
  <w:style w:type="paragraph" w:customStyle="1" w:styleId="806">
    <w:name w:val="temp标题2"/>
    <w:basedOn w:val="6"/>
    <w:next w:val="1"/>
    <w:qFormat/>
    <w:uiPriority w:val="0"/>
    <w:pPr>
      <w:adjustRightInd w:val="0"/>
      <w:spacing w:beforeLines="100" w:after="0" w:line="360" w:lineRule="auto"/>
      <w:ind w:firstLine="200" w:firstLineChars="200"/>
      <w:jc w:val="left"/>
    </w:pPr>
    <w:rPr>
      <w:rFonts w:ascii="Times New Roman" w:hAnsi="Times New Roman" w:eastAsia="楷体_GB2312"/>
      <w:kern w:val="0"/>
      <w:sz w:val="30"/>
      <w:szCs w:val="30"/>
      <w:lang w:val="zh-CN"/>
    </w:rPr>
  </w:style>
  <w:style w:type="paragraph" w:customStyle="1" w:styleId="807">
    <w:name w:val="temp标题3"/>
    <w:basedOn w:val="7"/>
    <w:qFormat/>
    <w:uiPriority w:val="0"/>
    <w:pPr>
      <w:spacing w:beforeLines="50" w:after="0" w:line="360" w:lineRule="auto"/>
      <w:ind w:firstLine="200" w:firstLineChars="200"/>
      <w:jc w:val="left"/>
    </w:pPr>
    <w:rPr>
      <w:rFonts w:eastAsia="楷体_GB2312"/>
      <w:b w:val="0"/>
      <w:kern w:val="0"/>
      <w:sz w:val="28"/>
      <w:szCs w:val="28"/>
    </w:rPr>
  </w:style>
  <w:style w:type="paragraph" w:customStyle="1" w:styleId="808">
    <w:name w:val="页码1"/>
    <w:basedOn w:val="1"/>
    <w:next w:val="1"/>
    <w:qFormat/>
    <w:uiPriority w:val="0"/>
    <w:pPr>
      <w:widowControl/>
      <w:spacing w:line="360" w:lineRule="auto"/>
      <w:ind w:firstLine="200" w:firstLineChars="200"/>
    </w:pPr>
    <w:rPr>
      <w:color w:val="000000"/>
      <w:sz w:val="28"/>
      <w:szCs w:val="28"/>
    </w:rPr>
  </w:style>
  <w:style w:type="paragraph" w:customStyle="1" w:styleId="809">
    <w:name w:val="纯文本2"/>
    <w:basedOn w:val="481"/>
    <w:qFormat/>
    <w:uiPriority w:val="0"/>
    <w:pPr>
      <w:widowControl/>
      <w:jc w:val="left"/>
    </w:pPr>
    <w:rPr>
      <w:rFonts w:ascii="宋体" w:hAnsi="Courier New"/>
    </w:rPr>
  </w:style>
  <w:style w:type="paragraph" w:customStyle="1" w:styleId="810">
    <w:name w:val="正文文本缩进 22"/>
    <w:basedOn w:val="1"/>
    <w:qFormat/>
    <w:uiPriority w:val="0"/>
    <w:pPr>
      <w:snapToGrid w:val="0"/>
      <w:spacing w:line="400" w:lineRule="exact"/>
      <w:ind w:firstLine="562" w:firstLineChars="200"/>
    </w:pPr>
    <w:rPr>
      <w:rFonts w:ascii="仿宋_GB2312" w:eastAsia="仿宋_GB2312"/>
      <w:b/>
      <w:bCs/>
      <w:kern w:val="0"/>
      <w:sz w:val="28"/>
    </w:rPr>
  </w:style>
  <w:style w:type="paragraph" w:customStyle="1" w:styleId="811">
    <w:name w:val="A"/>
    <w:basedOn w:val="1"/>
    <w:qFormat/>
    <w:uiPriority w:val="0"/>
    <w:pPr>
      <w:tabs>
        <w:tab w:val="left" w:pos="1050"/>
      </w:tabs>
      <w:snapToGrid w:val="0"/>
      <w:spacing w:line="360" w:lineRule="auto"/>
      <w:ind w:left="1050" w:hanging="420"/>
      <w:jc w:val="left"/>
    </w:pPr>
    <w:rPr>
      <w:b/>
      <w:bCs/>
      <w:sz w:val="24"/>
      <w:szCs w:val="20"/>
    </w:rPr>
  </w:style>
  <w:style w:type="paragraph" w:customStyle="1" w:styleId="812">
    <w:name w:val="默认"/>
    <w:qFormat/>
    <w:uiPriority w:val="0"/>
    <w:rPr>
      <w:rFonts w:ascii="Helvetica Neue" w:hAnsi="Helvetica Neue" w:eastAsia="Arial Unicode MS" w:cs="Arial Unicode MS"/>
      <w:color w:val="000000"/>
      <w:sz w:val="22"/>
      <w:szCs w:val="22"/>
      <w:lang w:val="zh-CN" w:eastAsia="zh-CN" w:bidi="ar-SA"/>
    </w:rPr>
  </w:style>
  <w:style w:type="paragraph" w:customStyle="1" w:styleId="813">
    <w:name w:val="表格样式 2"/>
    <w:qFormat/>
    <w:uiPriority w:val="0"/>
    <w:rPr>
      <w:rFonts w:ascii="Helvetica Neue" w:hAnsi="Helvetica Neue" w:eastAsia="Helvetica Neue" w:cs="Helvetica Neue"/>
      <w:color w:val="000000"/>
      <w:lang w:val="en-US" w:eastAsia="zh-CN" w:bidi="ar-SA"/>
    </w:rPr>
  </w:style>
  <w:style w:type="table" w:customStyle="1" w:styleId="814">
    <w:name w:val="网格表 1 浅色 - 着色 4"/>
    <w:basedOn w:val="62"/>
    <w:qFormat/>
    <w:uiPriority w:val="46"/>
    <w:rPr>
      <w:rFonts w:hint="eastAsia" w:ascii="等线" w:hAnsi="等线" w:eastAsia="等线" w:cs="等线"/>
    </w:rPr>
    <w:tblPr>
      <w:tblBorders>
        <w:top w:val="single" w:color="FFE599" w:sz="4" w:space="0"/>
        <w:left w:val="single" w:color="FFE599" w:sz="4" w:space="0"/>
        <w:bottom w:val="single" w:color="FFE599" w:sz="4" w:space="0"/>
        <w:right w:val="single" w:color="FFE599" w:sz="4" w:space="0"/>
        <w:insideH w:val="single" w:color="FFE599" w:sz="4" w:space="0"/>
        <w:insideV w:val="single" w:color="FFE599" w:sz="4" w:space="0"/>
      </w:tblBorders>
    </w:tblPr>
    <w:tblStylePr w:type="firstRow">
      <w:rPr>
        <w:b/>
        <w:bCs/>
      </w:rPr>
      <w:tcPr>
        <w:tcBorders>
          <w:top w:val="nil"/>
          <w:left w:val="single" w:color="FFD966" w:sz="12" w:space="0"/>
          <w:bottom w:val="nil"/>
          <w:right w:val="nil"/>
          <w:insideH w:val="nil"/>
          <w:insideV w:val="nil"/>
          <w:tl2br w:val="nil"/>
          <w:tr2bl w:val="nil"/>
        </w:tcBorders>
      </w:tcPr>
    </w:tblStylePr>
    <w:tblStylePr w:type="lastRow">
      <w:rPr>
        <w:b/>
        <w:bCs/>
      </w:rPr>
      <w:tcPr>
        <w:tcBorders>
          <w:top w:val="double" w:color="FFD966"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table" w:customStyle="1" w:styleId="815">
    <w:name w:val="网格表 5 深色 - 着色 1"/>
    <w:basedOn w:val="62"/>
    <w:qFormat/>
    <w:uiPriority w:val="50"/>
    <w:rPr>
      <w:rFonts w:hint="eastAsia" w:ascii="等线" w:hAnsi="等线" w:eastAsia="等线" w:cs="等线"/>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Pr>
    <w:tcPr>
      <w:shd w:val="clear" w:color="auto" w:fill="DEEAF6"/>
    </w:tcPr>
    <w:tblStylePr w:type="firstRow">
      <w:rPr>
        <w:b/>
        <w:bCs/>
        <w:color w:val="FFFFFF"/>
      </w:rPr>
      <w:tcPr>
        <w:tcBorders>
          <w:top w:val="single" w:color="FFFFFF" w:sz="4" w:space="0"/>
          <w:left w:val="nil"/>
          <w:bottom w:val="single" w:color="FFFFFF" w:sz="4" w:space="0"/>
          <w:right w:val="single" w:color="FFFFFF" w:sz="4" w:space="0"/>
          <w:insideH w:val="nil"/>
          <w:insideV w:val="nil"/>
          <w:tl2br w:val="nil"/>
          <w:tr2bl w:val="nil"/>
        </w:tcBorders>
        <w:shd w:val="clear" w:color="auto" w:fill="5B9BD5"/>
      </w:tcPr>
    </w:tblStylePr>
    <w:tblStylePr w:type="lastRow">
      <w:rPr>
        <w:b/>
        <w:bCs/>
        <w:color w:val="FFFFFF"/>
      </w:rPr>
      <w:tcPr>
        <w:tcBorders>
          <w:top w:val="nil"/>
          <w:left w:val="single" w:color="FFFFFF" w:sz="4" w:space="0"/>
          <w:bottom w:val="single" w:color="FFFFFF" w:sz="4" w:space="0"/>
          <w:right w:val="single" w:color="FFFFFF" w:sz="4" w:space="0"/>
          <w:insideH w:val="nil"/>
          <w:insideV w:val="nil"/>
          <w:tl2br w:val="nil"/>
          <w:tr2bl w:val="nil"/>
        </w:tcBorders>
        <w:shd w:val="clear" w:color="auto" w:fill="5B9BD5"/>
      </w:tcPr>
    </w:tblStylePr>
    <w:tblStylePr w:type="firstCol">
      <w:rPr>
        <w:b/>
        <w:bCs/>
        <w:color w:val="FFFFFF"/>
      </w:rPr>
      <w:tcPr>
        <w:tcBorders>
          <w:top w:val="single" w:color="FFFFFF" w:sz="4" w:space="0"/>
          <w:left w:val="single" w:color="FFFFFF" w:sz="4" w:space="0"/>
          <w:bottom w:val="single" w:color="FFFFFF" w:sz="4" w:space="0"/>
          <w:right w:val="nil"/>
          <w:insideH w:val="nil"/>
          <w:insideV w:val="nil"/>
          <w:tl2br w:val="nil"/>
          <w:tr2bl w:val="nil"/>
        </w:tcBorders>
        <w:shd w:val="clear" w:color="auto" w:fill="5B9BD5"/>
      </w:tcPr>
    </w:tblStylePr>
    <w:tblStylePr w:type="lastCol">
      <w:rPr>
        <w:b/>
        <w:bCs/>
        <w:color w:val="FFFFFF"/>
      </w:rPr>
      <w:tcPr>
        <w:tcBorders>
          <w:top w:val="single" w:color="FFFFFF" w:sz="4" w:space="0"/>
          <w:left w:val="single" w:color="FFFFFF" w:sz="4" w:space="0"/>
          <w:bottom w:val="nil"/>
          <w:right w:val="single" w:color="FFFFFF" w:sz="4" w:space="0"/>
          <w:insideH w:val="nil"/>
          <w:insideV w:val="nil"/>
          <w:tl2br w:val="nil"/>
          <w:tr2bl w:val="nil"/>
        </w:tcBorders>
        <w:shd w:val="clear" w:color="auto" w:fill="5B9BD5"/>
      </w:tcPr>
    </w:tblStylePr>
    <w:tblStylePr w:type="band1Vert">
      <w:tcPr>
        <w:shd w:val="clear" w:color="auto" w:fill="BDD6EE"/>
      </w:tcPr>
    </w:tblStylePr>
    <w:tblStylePr w:type="band1Horz">
      <w:tcPr>
        <w:shd w:val="clear" w:color="auto" w:fill="BDD6EE"/>
      </w:tcPr>
    </w:tblStylePr>
  </w:style>
  <w:style w:type="table" w:customStyle="1" w:styleId="816">
    <w:name w:val="网格型浅色"/>
    <w:basedOn w:val="62"/>
    <w:qFormat/>
    <w:uiPriority w:val="40"/>
    <w:rPr>
      <w:rFonts w:hint="eastAsia" w:ascii="等线" w:hAnsi="等线" w:eastAsia="等线" w:cs="等线"/>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817">
    <w:name w:val="网格表 1 浅色 - 着色 3"/>
    <w:basedOn w:val="62"/>
    <w:qFormat/>
    <w:uiPriority w:val="46"/>
    <w:rPr>
      <w:rFonts w:hint="eastAsia" w:ascii="等线" w:hAnsi="等线" w:eastAsia="等线" w:cs="等线"/>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Pr>
    <w:tblStylePr w:type="firstRow">
      <w:rPr>
        <w:b/>
        <w:bCs/>
      </w:rPr>
      <w:tcPr>
        <w:tcBorders>
          <w:top w:val="nil"/>
          <w:left w:val="single" w:color="C9C9C9" w:sz="12" w:space="0"/>
          <w:bottom w:val="nil"/>
          <w:right w:val="nil"/>
          <w:insideH w:val="nil"/>
          <w:insideV w:val="nil"/>
          <w:tl2br w:val="nil"/>
          <w:tr2bl w:val="nil"/>
        </w:tcBorders>
      </w:tcPr>
    </w:tblStylePr>
    <w:tblStylePr w:type="lastRow">
      <w:rPr>
        <w:b/>
        <w:bCs/>
      </w:rPr>
      <w:tcPr>
        <w:tcBorders>
          <w:top w:val="double" w:color="C9C9C9"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table" w:customStyle="1" w:styleId="818">
    <w:name w:val="Table Normal"/>
    <w:qFormat/>
    <w:uiPriority w:val="0"/>
    <w:rPr>
      <w:lang w:val="en-US" w:eastAsia="zh-CN"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3.png"/><Relationship Id="rId13" Type="http://schemas.openxmlformats.org/officeDocument/2006/relationships/image" Target="media/image2.jpeg"/><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Organization</Company>
  <Pages>51</Pages>
  <Words>17130</Words>
  <Characters>18219</Characters>
  <Lines>272</Lines>
  <Paragraphs>76</Paragraphs>
  <TotalTime>1</TotalTime>
  <ScaleCrop>false</ScaleCrop>
  <LinksUpToDate>false</LinksUpToDate>
  <CharactersWithSpaces>18796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2023-02-22T03:21:00Z</dcterms:created>
  <dc:creator>LCMZX</dc:creator>
  <cp:lastModifiedBy>房地产代理</cp:lastModifiedBy>
  <cp:lastPrinted>2023-02-21T02:39:00Z</cp:lastPrinted>
  <dcterms:modified xsi:type="dcterms:W3CDTF">2025-03-24T07:53:52Z</dcterms:modified>
  <dc:title>温州市政府采购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2B1E7D0312A64A3A862592610BAF3906_13</vt:lpwstr>
  </property>
  <property fmtid="{D5CDD505-2E9C-101B-9397-08002B2CF9AE}" pid="4" name="KSOTemplateDocerSaveRecord">
    <vt:lpwstr>eyJoZGlkIjoiMTRlNGRhNDg1NDczYjlkNzY3MTk2OGE2M2Q3MDEwMjMifQ==</vt:lpwstr>
  </property>
</Properties>
</file>