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5E65A">
      <w:pPr>
        <w:spacing w:line="360" w:lineRule="auto"/>
        <w:jc w:val="center"/>
        <w:rPr>
          <w:rFonts w:ascii="仿宋" w:hAnsi="仿宋" w:eastAsia="仿宋" w:cs="仿宋_GB2312"/>
          <w:color w:val="auto"/>
          <w:sz w:val="24"/>
          <w:highlight w:val="none"/>
        </w:rPr>
      </w:pPr>
    </w:p>
    <w:p w14:paraId="32C98C83">
      <w:pPr>
        <w:spacing w:line="360" w:lineRule="auto"/>
        <w:jc w:val="center"/>
        <w:rPr>
          <w:rFonts w:ascii="仿宋" w:hAnsi="仿宋" w:eastAsia="仿宋" w:cs="仿宋_GB2312"/>
          <w:color w:val="auto"/>
          <w:sz w:val="24"/>
          <w:highlight w:val="none"/>
        </w:rPr>
      </w:pPr>
    </w:p>
    <w:p w14:paraId="4CD764DF">
      <w:pPr>
        <w:spacing w:line="360" w:lineRule="auto"/>
        <w:jc w:val="center"/>
        <w:rPr>
          <w:rFonts w:ascii="仿宋" w:hAnsi="仿宋" w:eastAsia="仿宋" w:cs="仿宋_GB2312"/>
          <w:color w:val="auto"/>
          <w:sz w:val="24"/>
          <w:highlight w:val="none"/>
        </w:rPr>
      </w:pPr>
    </w:p>
    <w:p w14:paraId="7B8C9A3E">
      <w:pPr>
        <w:adjustRightInd/>
        <w:spacing w:line="360" w:lineRule="auto"/>
        <w:jc w:val="center"/>
        <w:rPr>
          <w:rFonts w:hint="eastAsia" w:ascii="仿宋" w:hAnsi="仿宋" w:eastAsia="仿宋" w:cs="仿宋_GB2312"/>
          <w:b/>
          <w:color w:val="auto"/>
          <w:sz w:val="48"/>
          <w:szCs w:val="48"/>
          <w:highlight w:val="none"/>
          <w:lang w:eastAsia="zh-CN"/>
        </w:rPr>
      </w:pPr>
      <w:r>
        <w:rPr>
          <w:rFonts w:hint="eastAsia" w:ascii="仿宋" w:hAnsi="仿宋" w:eastAsia="仿宋" w:cs="仿宋_GB2312"/>
          <w:b/>
          <w:color w:val="auto"/>
          <w:sz w:val="48"/>
          <w:szCs w:val="48"/>
          <w:highlight w:val="none"/>
          <w:lang w:eastAsia="zh-CN"/>
        </w:rPr>
        <w:t>2025年温州市区餐厨垃圾收运处置第三方监管服务项目</w:t>
      </w:r>
    </w:p>
    <w:p w14:paraId="2EB7D21B">
      <w:pPr>
        <w:adjustRightInd/>
        <w:spacing w:line="360" w:lineRule="auto"/>
        <w:jc w:val="center"/>
        <w:rPr>
          <w:rFonts w:ascii="仿宋" w:hAnsi="仿宋" w:eastAsia="仿宋" w:cs="仿宋_GB2312"/>
          <w:b/>
          <w:color w:val="auto"/>
          <w:sz w:val="48"/>
          <w:szCs w:val="48"/>
          <w:highlight w:val="none"/>
        </w:rPr>
      </w:pPr>
    </w:p>
    <w:p w14:paraId="6B108E1A">
      <w:pPr>
        <w:adjustRightInd/>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招标文件</w:t>
      </w:r>
    </w:p>
    <w:p w14:paraId="277E853A">
      <w:pPr>
        <w:adjustRightInd/>
        <w:spacing w:line="360" w:lineRule="auto"/>
        <w:jc w:val="center"/>
        <w:rPr>
          <w:rFonts w:ascii="仿宋" w:hAnsi="仿宋" w:eastAsia="仿宋" w:cs="仿宋_GB2312"/>
          <w:b/>
          <w:color w:val="auto"/>
          <w:sz w:val="44"/>
          <w:szCs w:val="44"/>
          <w:highlight w:val="none"/>
        </w:rPr>
      </w:pPr>
    </w:p>
    <w:p w14:paraId="3F443D79">
      <w:pPr>
        <w:adjustRightInd/>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（电子招投标）</w:t>
      </w:r>
    </w:p>
    <w:p w14:paraId="2E8049B8">
      <w:pPr>
        <w:snapToGrid w:val="0"/>
        <w:spacing w:line="360" w:lineRule="auto"/>
        <w:ind w:firstLine="1800" w:firstLineChars="600"/>
        <w:jc w:val="left"/>
        <w:rPr>
          <w:rFonts w:ascii="仿宋" w:hAnsi="仿宋" w:eastAsia="仿宋" w:cs="仿宋_GB2312"/>
          <w:color w:val="auto"/>
          <w:sz w:val="30"/>
          <w:szCs w:val="30"/>
          <w:highlight w:val="none"/>
        </w:rPr>
      </w:pPr>
    </w:p>
    <w:p w14:paraId="35B02A2A">
      <w:pPr>
        <w:snapToGrid w:val="0"/>
        <w:spacing w:line="360" w:lineRule="auto"/>
        <w:ind w:firstLine="1800" w:firstLineChars="600"/>
        <w:jc w:val="left"/>
        <w:rPr>
          <w:rFonts w:hint="eastAsia" w:ascii="仿宋" w:hAnsi="仿宋" w:eastAsia="仿宋" w:cs="仿宋_GB2312"/>
          <w:color w:val="auto"/>
          <w:sz w:val="30"/>
          <w:szCs w:val="30"/>
          <w:highlight w:val="none"/>
          <w:lang w:val="en-US" w:eastAsia="zh-CN"/>
        </w:rPr>
      </w:pPr>
      <w:r>
        <w:rPr>
          <w:rFonts w:hint="eastAsia" w:ascii="仿宋" w:hAnsi="仿宋" w:eastAsia="仿宋" w:cs="仿宋_GB2312"/>
          <w:color w:val="auto"/>
          <w:sz w:val="30"/>
          <w:szCs w:val="30"/>
          <w:highlight w:val="none"/>
        </w:rPr>
        <w:t>编号</w:t>
      </w:r>
      <w:r>
        <w:rPr>
          <w:rFonts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u w:val="single"/>
          <w:lang w:eastAsia="zh-CN"/>
        </w:rPr>
        <w:t>ZJSF-GK202408292WZF</w:t>
      </w:r>
    </w:p>
    <w:p w14:paraId="55EF2820">
      <w:pPr>
        <w:snapToGrid w:val="0"/>
        <w:spacing w:line="360" w:lineRule="auto"/>
        <w:ind w:firstLine="1800" w:firstLineChars="600"/>
        <w:jc w:val="left"/>
        <w:rPr>
          <w:rFonts w:ascii="仿宋" w:hAnsi="仿宋" w:eastAsia="仿宋" w:cs="仿宋_GB2312"/>
          <w:color w:val="auto"/>
          <w:sz w:val="30"/>
          <w:szCs w:val="30"/>
          <w:highlight w:val="none"/>
        </w:rPr>
      </w:pPr>
      <w:r>
        <w:rPr>
          <w:rFonts w:hint="eastAsia" w:ascii="仿宋" w:hAnsi="仿宋" w:eastAsia="仿宋" w:cs="仿宋_GB2312"/>
          <w:color w:val="auto"/>
          <w:sz w:val="30"/>
          <w:szCs w:val="30"/>
          <w:highlight w:val="none"/>
        </w:rPr>
        <w:t>采购方式：</w:t>
      </w:r>
      <w:r>
        <w:rPr>
          <w:rFonts w:hint="eastAsia" w:ascii="仿宋" w:hAnsi="仿宋" w:eastAsia="仿宋" w:cs="仿宋_GB2312"/>
          <w:color w:val="auto"/>
          <w:sz w:val="30"/>
          <w:szCs w:val="30"/>
          <w:highlight w:val="none"/>
          <w:u w:val="single"/>
        </w:rPr>
        <w:t>公开招标</w:t>
      </w:r>
    </w:p>
    <w:p w14:paraId="76C5ADC0">
      <w:pPr>
        <w:spacing w:line="360" w:lineRule="auto"/>
        <w:jc w:val="center"/>
        <w:rPr>
          <w:rFonts w:ascii="仿宋" w:hAnsi="仿宋" w:eastAsia="仿宋" w:cs="仿宋_GB2312"/>
          <w:color w:val="auto"/>
          <w:sz w:val="24"/>
          <w:highlight w:val="none"/>
        </w:rPr>
      </w:pPr>
    </w:p>
    <w:p w14:paraId="3ED092B0">
      <w:pPr>
        <w:spacing w:line="360" w:lineRule="auto"/>
        <w:jc w:val="center"/>
        <w:rPr>
          <w:rFonts w:ascii="仿宋" w:hAnsi="仿宋" w:eastAsia="仿宋" w:cs="仿宋_GB2312"/>
          <w:color w:val="auto"/>
          <w:sz w:val="24"/>
          <w:highlight w:val="none"/>
        </w:rPr>
      </w:pPr>
    </w:p>
    <w:p w14:paraId="38CBE704">
      <w:pPr>
        <w:spacing w:line="360" w:lineRule="auto"/>
        <w:jc w:val="center"/>
        <w:rPr>
          <w:rFonts w:ascii="仿宋" w:hAnsi="仿宋" w:eastAsia="仿宋" w:cs="仿宋_GB2312"/>
          <w:color w:val="auto"/>
          <w:sz w:val="24"/>
          <w:highlight w:val="none"/>
        </w:rPr>
      </w:pPr>
    </w:p>
    <w:p w14:paraId="4EB5DC32">
      <w:pPr>
        <w:spacing w:line="360" w:lineRule="auto"/>
        <w:jc w:val="center"/>
        <w:rPr>
          <w:rFonts w:ascii="仿宋" w:hAnsi="仿宋" w:eastAsia="仿宋" w:cs="仿宋_GB2312"/>
          <w:color w:val="auto"/>
          <w:sz w:val="24"/>
          <w:highlight w:val="none"/>
        </w:rPr>
      </w:pPr>
    </w:p>
    <w:p w14:paraId="137BEAA3">
      <w:pPr>
        <w:spacing w:line="360" w:lineRule="auto"/>
        <w:jc w:val="center"/>
        <w:rPr>
          <w:rFonts w:ascii="仿宋" w:hAnsi="仿宋" w:eastAsia="仿宋" w:cs="仿宋_GB2312"/>
          <w:color w:val="auto"/>
          <w:sz w:val="24"/>
          <w:highlight w:val="none"/>
        </w:rPr>
      </w:pPr>
    </w:p>
    <w:p w14:paraId="3031E407">
      <w:pPr>
        <w:spacing w:line="360" w:lineRule="auto"/>
        <w:jc w:val="center"/>
        <w:rPr>
          <w:rFonts w:ascii="仿宋" w:hAnsi="仿宋" w:eastAsia="仿宋" w:cs="仿宋_GB2312"/>
          <w:color w:val="auto"/>
          <w:sz w:val="24"/>
          <w:highlight w:val="none"/>
        </w:rPr>
      </w:pPr>
    </w:p>
    <w:p w14:paraId="3DE201C2">
      <w:pPr>
        <w:snapToGrid w:val="0"/>
        <w:spacing w:line="360" w:lineRule="auto"/>
        <w:ind w:firstLine="640" w:firstLineChars="200"/>
        <w:jc w:val="left"/>
        <w:rPr>
          <w:rFonts w:hint="default" w:ascii="仿宋" w:hAnsi="仿宋" w:eastAsia="仿宋" w:cs="仿宋_GB2312"/>
          <w:bCs/>
          <w:color w:val="auto"/>
          <w:sz w:val="32"/>
          <w:szCs w:val="32"/>
          <w:highlight w:val="none"/>
          <w:u w:val="single"/>
          <w:lang w:val="en-US" w:eastAsia="zh-CN"/>
        </w:rPr>
      </w:pPr>
      <w:r>
        <w:rPr>
          <w:rFonts w:hint="eastAsia" w:ascii="仿宋" w:hAnsi="仿宋" w:eastAsia="仿宋" w:cs="仿宋_GB2312"/>
          <w:color w:val="auto"/>
          <w:sz w:val="32"/>
          <w:szCs w:val="32"/>
          <w:highlight w:val="none"/>
        </w:rPr>
        <w:t>采购人：</w:t>
      </w:r>
      <w:r>
        <w:rPr>
          <w:rFonts w:hint="eastAsia" w:ascii="仿宋" w:hAnsi="仿宋" w:eastAsia="仿宋" w:cs="仿宋_GB2312"/>
          <w:bCs/>
          <w:color w:val="auto"/>
          <w:sz w:val="32"/>
          <w:szCs w:val="32"/>
          <w:highlight w:val="none"/>
          <w:u w:val="single"/>
          <w:lang w:eastAsia="zh-CN"/>
        </w:rPr>
        <w:t>温州市市容环境卫生管理中心</w:t>
      </w:r>
      <w:r>
        <w:rPr>
          <w:rFonts w:hint="eastAsia" w:ascii="仿宋" w:hAnsi="仿宋" w:eastAsia="仿宋" w:cs="仿宋_GB2312"/>
          <w:bCs/>
          <w:color w:val="auto"/>
          <w:sz w:val="32"/>
          <w:szCs w:val="32"/>
          <w:highlight w:val="none"/>
          <w:u w:val="single"/>
          <w:lang w:val="en-US" w:eastAsia="zh-CN"/>
        </w:rPr>
        <w:t xml:space="preserve">        </w:t>
      </w:r>
    </w:p>
    <w:p w14:paraId="3C01FB13">
      <w:pPr>
        <w:snapToGrid w:val="0"/>
        <w:spacing w:line="360" w:lineRule="auto"/>
        <w:ind w:firstLine="640" w:firstLineChars="200"/>
        <w:jc w:val="left"/>
        <w:rPr>
          <w:rFonts w:hint="eastAsia" w:ascii="仿宋" w:hAnsi="仿宋" w:eastAsia="仿宋" w:cs="仿宋_GB2312"/>
          <w:bCs/>
          <w:color w:val="auto"/>
          <w:sz w:val="32"/>
          <w:szCs w:val="32"/>
          <w:highlight w:val="none"/>
          <w:u w:val="single"/>
          <w:lang w:eastAsia="zh-CN"/>
        </w:rPr>
      </w:pPr>
      <w:r>
        <w:rPr>
          <w:rFonts w:hint="eastAsia" w:ascii="仿宋" w:hAnsi="仿宋" w:eastAsia="仿宋" w:cs="仿宋_GB2312"/>
          <w:bCs/>
          <w:color w:val="auto"/>
          <w:sz w:val="32"/>
          <w:szCs w:val="32"/>
          <w:highlight w:val="none"/>
        </w:rPr>
        <w:t>采购代理机构：</w:t>
      </w:r>
      <w:r>
        <w:rPr>
          <w:rFonts w:hint="eastAsia" w:ascii="仿宋" w:hAnsi="仿宋" w:eastAsia="仿宋" w:cs="仿宋_GB2312"/>
          <w:bCs/>
          <w:color w:val="auto"/>
          <w:sz w:val="32"/>
          <w:szCs w:val="32"/>
          <w:highlight w:val="none"/>
          <w:u w:val="single"/>
          <w:lang w:eastAsia="zh-CN"/>
        </w:rPr>
        <w:t>浙江省房地产管理咨询有限公司</w:t>
      </w:r>
    </w:p>
    <w:p w14:paraId="5C669129">
      <w:pPr>
        <w:snapToGrid w:val="0"/>
        <w:spacing w:line="360" w:lineRule="auto"/>
        <w:jc w:val="center"/>
        <w:rPr>
          <w:rFonts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二</w:t>
      </w:r>
      <w:r>
        <w:rPr>
          <w:rFonts w:hint="eastAsia" w:ascii="仿宋" w:hAnsi="仿宋" w:eastAsia="仿宋" w:cs="宋体"/>
          <w:bCs/>
          <w:color w:val="auto"/>
          <w:sz w:val="32"/>
          <w:szCs w:val="32"/>
          <w:highlight w:val="none"/>
        </w:rPr>
        <w:t>〇</w:t>
      </w:r>
      <w:r>
        <w:rPr>
          <w:rFonts w:hint="eastAsia" w:ascii="仿宋" w:hAnsi="仿宋" w:eastAsia="仿宋" w:cs="仿宋_GB2312"/>
          <w:bCs/>
          <w:color w:val="auto"/>
          <w:sz w:val="32"/>
          <w:szCs w:val="32"/>
          <w:highlight w:val="none"/>
        </w:rPr>
        <w:t>二</w:t>
      </w:r>
      <w:r>
        <w:rPr>
          <w:rFonts w:hint="eastAsia" w:ascii="仿宋" w:hAnsi="仿宋" w:eastAsia="仿宋" w:cs="仿宋_GB2312"/>
          <w:bCs/>
          <w:color w:val="auto"/>
          <w:sz w:val="32"/>
          <w:szCs w:val="32"/>
          <w:highlight w:val="none"/>
          <w:lang w:val="en-US" w:eastAsia="zh-CN"/>
        </w:rPr>
        <w:t>四</w:t>
      </w:r>
      <w:r>
        <w:rPr>
          <w:rFonts w:hint="eastAsia" w:ascii="仿宋" w:hAnsi="仿宋" w:eastAsia="仿宋" w:cs="仿宋_GB2312"/>
          <w:bCs/>
          <w:color w:val="auto"/>
          <w:sz w:val="32"/>
          <w:szCs w:val="32"/>
          <w:highlight w:val="none"/>
        </w:rPr>
        <w:t>年</w:t>
      </w:r>
      <w:r>
        <w:rPr>
          <w:rFonts w:hint="eastAsia" w:ascii="仿宋" w:hAnsi="仿宋" w:eastAsia="仿宋" w:cs="仿宋_GB2312"/>
          <w:bCs/>
          <w:color w:val="auto"/>
          <w:sz w:val="32"/>
          <w:szCs w:val="32"/>
          <w:highlight w:val="none"/>
          <w:lang w:val="en-US" w:eastAsia="zh-CN"/>
        </w:rPr>
        <w:t>九</w:t>
      </w:r>
      <w:r>
        <w:rPr>
          <w:rFonts w:hint="eastAsia" w:ascii="仿宋" w:hAnsi="仿宋" w:eastAsia="仿宋" w:cs="仿宋_GB2312"/>
          <w:bCs/>
          <w:color w:val="auto"/>
          <w:sz w:val="32"/>
          <w:szCs w:val="32"/>
          <w:highlight w:val="none"/>
        </w:rPr>
        <w:t>月</w:t>
      </w:r>
    </w:p>
    <w:p w14:paraId="7D690C20">
      <w:pPr>
        <w:spacing w:line="360" w:lineRule="auto"/>
        <w:jc w:val="center"/>
        <w:rPr>
          <w:rFonts w:ascii="仿宋" w:hAnsi="仿宋" w:eastAsia="仿宋" w:cs="仿宋_GB2312"/>
          <w:color w:val="auto"/>
          <w:sz w:val="24"/>
          <w:highlight w:val="none"/>
        </w:rPr>
        <w:sectPr>
          <w:pgSz w:w="11907" w:h="16840"/>
          <w:pgMar w:top="1474" w:right="1814" w:bottom="1474" w:left="1814" w:header="851" w:footer="851" w:gutter="0"/>
          <w:cols w:space="720" w:num="1"/>
        </w:sectPr>
      </w:pPr>
    </w:p>
    <w:p w14:paraId="27169A3B">
      <w:pPr>
        <w:pStyle w:val="23"/>
        <w:rPr>
          <w:color w:val="auto"/>
          <w:highlight w:val="none"/>
        </w:rPr>
      </w:pPr>
    </w:p>
    <w:p w14:paraId="3824B780">
      <w:pPr>
        <w:spacing w:line="360" w:lineRule="auto"/>
        <w:jc w:val="center"/>
        <w:rPr>
          <w:rFonts w:ascii="仿宋" w:hAnsi="仿宋" w:eastAsia="仿宋" w:cs="仿宋_GB2312"/>
          <w:color w:val="auto"/>
          <w:sz w:val="24"/>
          <w:highlight w:val="none"/>
        </w:rPr>
      </w:pPr>
    </w:p>
    <w:p w14:paraId="0A7053BD">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  录</w:t>
      </w:r>
    </w:p>
    <w:p w14:paraId="32A2E882">
      <w:pPr>
        <w:spacing w:line="360" w:lineRule="auto"/>
        <w:rPr>
          <w:rFonts w:ascii="仿宋" w:hAnsi="仿宋" w:eastAsia="仿宋" w:cs="仿宋_GB2312"/>
          <w:color w:val="auto"/>
          <w:sz w:val="32"/>
          <w:szCs w:val="32"/>
          <w:highlight w:val="none"/>
        </w:rPr>
      </w:pPr>
    </w:p>
    <w:p w14:paraId="049341EB">
      <w:pPr>
        <w:spacing w:line="360" w:lineRule="auto"/>
        <w:rPr>
          <w:rFonts w:ascii="仿宋" w:hAnsi="仿宋" w:eastAsia="仿宋" w:cs="仿宋_GB2312"/>
          <w:color w:val="auto"/>
          <w:sz w:val="32"/>
          <w:szCs w:val="32"/>
          <w:highlight w:val="none"/>
        </w:rPr>
      </w:pPr>
    </w:p>
    <w:p w14:paraId="6A0D6F49">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  招标公告</w:t>
      </w:r>
    </w:p>
    <w:p w14:paraId="70D3506D">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  投标人须知</w:t>
      </w:r>
    </w:p>
    <w:p w14:paraId="0C0429DE">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  采购需求</w:t>
      </w:r>
    </w:p>
    <w:p w14:paraId="7439D226">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  拟签订的合同文本</w:t>
      </w:r>
    </w:p>
    <w:p w14:paraId="62A911C9">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  应提交的有关格式范例</w:t>
      </w:r>
    </w:p>
    <w:p w14:paraId="47BE3333">
      <w:pPr>
        <w:spacing w:line="360" w:lineRule="auto"/>
        <w:ind w:firstLine="1280" w:firstLineChars="400"/>
        <w:rPr>
          <w:rFonts w:ascii="仿宋" w:hAnsi="仿宋" w:eastAsia="仿宋" w:cs="仿宋_GB2312"/>
          <w:color w:val="auto"/>
          <w:sz w:val="32"/>
          <w:szCs w:val="32"/>
          <w:highlight w:val="none"/>
        </w:rPr>
      </w:pPr>
      <w:bookmarkStart w:id="0" w:name="_Hlt91233176"/>
      <w:bookmarkEnd w:id="0"/>
      <w:r>
        <w:rPr>
          <w:rFonts w:hint="eastAsia" w:ascii="仿宋" w:hAnsi="仿宋" w:eastAsia="仿宋" w:cs="仿宋_GB2312"/>
          <w:color w:val="auto"/>
          <w:sz w:val="32"/>
          <w:szCs w:val="32"/>
          <w:highlight w:val="none"/>
        </w:rPr>
        <w:t>第六部分  评标办法</w:t>
      </w:r>
    </w:p>
    <w:p w14:paraId="59597CFC">
      <w:pPr>
        <w:spacing w:line="360" w:lineRule="auto"/>
        <w:ind w:firstLine="549" w:firstLineChars="229"/>
        <w:rPr>
          <w:rFonts w:ascii="仿宋" w:hAnsi="仿宋" w:eastAsia="仿宋" w:cs="仿宋_GB2312"/>
          <w:color w:val="auto"/>
          <w:sz w:val="24"/>
          <w:highlight w:val="none"/>
        </w:rPr>
      </w:pPr>
    </w:p>
    <w:p w14:paraId="0F9AD762">
      <w:pPr>
        <w:widowControl/>
        <w:adjustRightInd/>
        <w:jc w:val="left"/>
        <w:rPr>
          <w:color w:val="auto"/>
          <w:highlight w:val="none"/>
        </w:rPr>
      </w:pPr>
      <w:r>
        <w:rPr>
          <w:color w:val="auto"/>
          <w:highlight w:val="none"/>
        </w:rPr>
        <w:br w:type="page"/>
      </w:r>
    </w:p>
    <w:p w14:paraId="280F59EB">
      <w:pPr>
        <w:adjustRightInd/>
        <w:spacing w:line="360" w:lineRule="auto"/>
        <w:jc w:val="center"/>
        <w:outlineLvl w:val="0"/>
        <w:rPr>
          <w:rFonts w:ascii="仿宋_GB2312" w:hAnsi="仿宋" w:eastAsia="仿宋_GB2312" w:cs="仿宋_GB2312"/>
          <w:b/>
          <w:color w:val="auto"/>
          <w:sz w:val="36"/>
          <w:szCs w:val="20"/>
          <w:highlight w:val="none"/>
        </w:rPr>
      </w:pPr>
      <w:r>
        <w:rPr>
          <w:rFonts w:hint="eastAsia" w:ascii="仿宋" w:hAnsi="仿宋" w:eastAsia="仿宋" w:cs="仿宋_GB2312"/>
          <w:b/>
          <w:color w:val="auto"/>
          <w:sz w:val="36"/>
          <w:szCs w:val="20"/>
          <w:highlight w:val="none"/>
        </w:rPr>
        <w:t>第一部分  招标公告</w:t>
      </w:r>
    </w:p>
    <w:p w14:paraId="670D5226">
      <w:pPr>
        <w:widowControl/>
        <w:adjustRightInd/>
        <w:jc w:val="center"/>
        <w:rPr>
          <w:rFonts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lang w:eastAsia="zh-CN"/>
        </w:rPr>
        <w:t>浙江省房地产管理咨询有限公司</w:t>
      </w:r>
      <w:r>
        <w:rPr>
          <w:rFonts w:hint="eastAsia" w:ascii="仿宋" w:hAnsi="仿宋" w:eastAsia="仿宋" w:cs="宋体"/>
          <w:b/>
          <w:bCs/>
          <w:color w:val="auto"/>
          <w:kern w:val="0"/>
          <w:sz w:val="28"/>
          <w:szCs w:val="28"/>
          <w:highlight w:val="none"/>
        </w:rPr>
        <w:t>关于</w:t>
      </w:r>
      <w:r>
        <w:rPr>
          <w:rFonts w:hint="eastAsia" w:ascii="仿宋" w:hAnsi="仿宋" w:eastAsia="仿宋" w:cs="宋体"/>
          <w:b/>
          <w:bCs/>
          <w:color w:val="auto"/>
          <w:kern w:val="0"/>
          <w:sz w:val="28"/>
          <w:szCs w:val="28"/>
          <w:highlight w:val="none"/>
          <w:lang w:eastAsia="zh-CN"/>
        </w:rPr>
        <w:t>2025年温州市区餐厨垃圾收运处置第三方监管服务项目</w:t>
      </w:r>
      <w:r>
        <w:rPr>
          <w:rFonts w:hint="eastAsia" w:ascii="仿宋" w:hAnsi="仿宋" w:eastAsia="仿宋" w:cs="宋体"/>
          <w:b/>
          <w:bCs/>
          <w:color w:val="auto"/>
          <w:kern w:val="0"/>
          <w:sz w:val="28"/>
          <w:szCs w:val="28"/>
          <w:highlight w:val="none"/>
        </w:rPr>
        <w:t>的公开招标公告</w:t>
      </w:r>
    </w:p>
    <w:p w14:paraId="1C10DBEA">
      <w:pPr>
        <w:widowControl/>
        <w:adjustRightInd/>
        <w:jc w:val="center"/>
        <w:rPr>
          <w:rFonts w:ascii="仿宋" w:hAnsi="仿宋" w:eastAsia="仿宋" w:cs="宋体"/>
          <w:b/>
          <w:bCs/>
          <w:color w:val="auto"/>
          <w:kern w:val="0"/>
          <w:sz w:val="24"/>
          <w:highlight w:val="none"/>
        </w:rPr>
      </w:pPr>
    </w:p>
    <w:tbl>
      <w:tblPr>
        <w:tblStyle w:val="58"/>
        <w:tblW w:w="849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495"/>
      </w:tblGrid>
      <w:tr w14:paraId="6502AB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95" w:type="dxa"/>
          </w:tcPr>
          <w:p w14:paraId="0D73FF9F">
            <w:pPr>
              <w:widowControl/>
              <w:snapToGrid w:val="0"/>
              <w:spacing w:beforeLines="50"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项目概况</w:t>
            </w:r>
          </w:p>
          <w:p w14:paraId="1363D4DD">
            <w:pPr>
              <w:widowControl/>
              <w:snapToGrid w:val="0"/>
              <w:spacing w:line="360" w:lineRule="auto"/>
              <w:ind w:firstLine="480" w:firstLineChars="200"/>
              <w:jc w:val="left"/>
              <w:rPr>
                <w:rFonts w:ascii="仿宋" w:hAnsi="仿宋" w:eastAsia="仿宋" w:cs="宋体"/>
                <w:b/>
                <w:bCs/>
                <w:color w:val="auto"/>
                <w:kern w:val="0"/>
                <w:sz w:val="24"/>
                <w:highlight w:val="none"/>
              </w:rPr>
            </w:pPr>
            <w:r>
              <w:rPr>
                <w:rFonts w:hint="eastAsia" w:ascii="仿宋" w:hAnsi="仿宋" w:eastAsia="仿宋" w:cs="宋体"/>
                <w:color w:val="auto"/>
                <w:kern w:val="0"/>
                <w:sz w:val="24"/>
                <w:highlight w:val="none"/>
                <w:u w:val="none"/>
                <w:lang w:eastAsia="zh-CN"/>
              </w:rPr>
              <w:t>2025年温州市区餐厨垃圾收运处置第三方监管服务项目</w:t>
            </w:r>
            <w:r>
              <w:rPr>
                <w:rFonts w:ascii="仿宋" w:hAnsi="仿宋" w:eastAsia="仿宋" w:cs="宋体"/>
                <w:color w:val="auto"/>
                <w:kern w:val="0"/>
                <w:sz w:val="24"/>
                <w:highlight w:val="none"/>
                <w:u w:val="none"/>
              </w:rPr>
              <w:t>的潜</w:t>
            </w:r>
            <w:r>
              <w:rPr>
                <w:rFonts w:ascii="仿宋" w:hAnsi="仿宋" w:eastAsia="仿宋" w:cs="宋体"/>
                <w:color w:val="auto"/>
                <w:kern w:val="0"/>
                <w:sz w:val="24"/>
                <w:highlight w:val="none"/>
              </w:rPr>
              <w:t>在投标人应在政采云平台https://www.zcygov.cn/获取（下载）招标文件，并于</w:t>
            </w:r>
            <w:r>
              <w:rPr>
                <w:rFonts w:hint="eastAsia" w:ascii="仿宋" w:hAnsi="仿宋" w:eastAsia="仿宋" w:cs="宋体"/>
                <w:color w:val="auto"/>
                <w:kern w:val="0"/>
                <w:sz w:val="24"/>
                <w:highlight w:val="none"/>
                <w:lang w:eastAsia="zh-CN"/>
              </w:rPr>
              <w:t>2024年9月30日09:30</w:t>
            </w:r>
            <w:r>
              <w:rPr>
                <w:rFonts w:ascii="仿宋" w:hAnsi="仿宋" w:eastAsia="仿宋" w:cs="宋体"/>
                <w:color w:val="auto"/>
                <w:kern w:val="0"/>
                <w:sz w:val="24"/>
                <w:highlight w:val="none"/>
              </w:rPr>
              <w:t>（北京时间）前递交（上传）投标文件。</w:t>
            </w:r>
          </w:p>
        </w:tc>
      </w:tr>
    </w:tbl>
    <w:p w14:paraId="085AA8A5">
      <w:pPr>
        <w:widowControl/>
        <w:snapToGrid w:val="0"/>
        <w:spacing w:line="360" w:lineRule="auto"/>
        <w:jc w:val="center"/>
        <w:rPr>
          <w:rFonts w:ascii="仿宋" w:hAnsi="仿宋" w:eastAsia="仿宋" w:cs="宋体"/>
          <w:b/>
          <w:bCs/>
          <w:color w:val="auto"/>
          <w:kern w:val="0"/>
          <w:sz w:val="24"/>
          <w:highlight w:val="none"/>
        </w:rPr>
      </w:pPr>
    </w:p>
    <w:p w14:paraId="066D592A">
      <w:pPr>
        <w:widowControl/>
        <w:snapToGrid w:val="0"/>
        <w:spacing w:line="360" w:lineRule="auto"/>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一、项目基本情况</w:t>
      </w:r>
    </w:p>
    <w:p w14:paraId="29150AD3">
      <w:pPr>
        <w:widowControl/>
        <w:snapToGrid w:val="0"/>
        <w:spacing w:line="360" w:lineRule="auto"/>
        <w:ind w:firstLine="480" w:firstLineChars="200"/>
        <w:jc w:val="left"/>
        <w:rPr>
          <w:rFonts w:hint="eastAsia" w:ascii="仿宋" w:hAnsi="仿宋" w:eastAsia="仿宋" w:cs="宋体"/>
          <w:color w:val="auto"/>
          <w:kern w:val="0"/>
          <w:sz w:val="24"/>
          <w:highlight w:val="none"/>
          <w:u w:val="single"/>
          <w:lang w:val="en-US" w:eastAsia="zh-CN"/>
        </w:rPr>
      </w:pPr>
      <w:r>
        <w:rPr>
          <w:rFonts w:ascii="仿宋" w:hAnsi="仿宋" w:eastAsia="仿宋" w:cs="宋体"/>
          <w:color w:val="auto"/>
          <w:kern w:val="0"/>
          <w:sz w:val="24"/>
          <w:highlight w:val="none"/>
        </w:rPr>
        <w:t>项目编号：</w:t>
      </w:r>
      <w:r>
        <w:rPr>
          <w:rFonts w:hint="eastAsia" w:ascii="仿宋" w:hAnsi="仿宋" w:eastAsia="仿宋" w:cs="宋体"/>
          <w:color w:val="auto"/>
          <w:kern w:val="0"/>
          <w:sz w:val="24"/>
          <w:highlight w:val="none"/>
          <w:lang w:eastAsia="zh-CN"/>
        </w:rPr>
        <w:t>ZJSF-GK202408292WZF</w:t>
      </w:r>
    </w:p>
    <w:p w14:paraId="1F757582">
      <w:pPr>
        <w:widowControl/>
        <w:snapToGrid w:val="0"/>
        <w:spacing w:line="360" w:lineRule="auto"/>
        <w:ind w:firstLine="480" w:firstLineChars="200"/>
        <w:jc w:val="left"/>
        <w:rPr>
          <w:rFonts w:hint="eastAsia" w:ascii="仿宋" w:hAnsi="仿宋" w:eastAsia="仿宋" w:cs="宋体"/>
          <w:color w:val="auto"/>
          <w:kern w:val="0"/>
          <w:sz w:val="24"/>
          <w:highlight w:val="none"/>
          <w:lang w:eastAsia="zh-CN"/>
        </w:rPr>
      </w:pPr>
      <w:r>
        <w:rPr>
          <w:rFonts w:ascii="仿宋" w:hAnsi="仿宋" w:eastAsia="仿宋" w:cs="宋体"/>
          <w:color w:val="auto"/>
          <w:kern w:val="0"/>
          <w:sz w:val="24"/>
          <w:highlight w:val="none"/>
        </w:rPr>
        <w:t>项目名称：</w:t>
      </w:r>
      <w:r>
        <w:rPr>
          <w:rFonts w:hint="eastAsia" w:ascii="仿宋" w:hAnsi="仿宋" w:eastAsia="仿宋" w:cs="宋体"/>
          <w:color w:val="auto"/>
          <w:kern w:val="0"/>
          <w:sz w:val="24"/>
          <w:highlight w:val="none"/>
          <w:lang w:eastAsia="zh-CN"/>
        </w:rPr>
        <w:t>2025年温州市区餐厨垃圾收运处置第三方监管服务项目</w:t>
      </w:r>
    </w:p>
    <w:p w14:paraId="67ABBB6E">
      <w:pPr>
        <w:widowControl/>
        <w:snapToGrid w:val="0"/>
        <w:spacing w:line="360" w:lineRule="auto"/>
        <w:ind w:firstLine="480" w:firstLineChars="200"/>
        <w:jc w:val="left"/>
        <w:rPr>
          <w:rFonts w:hint="eastAsia" w:ascii="仿宋" w:hAnsi="仿宋" w:eastAsia="仿宋" w:cs="宋体"/>
          <w:color w:val="auto"/>
          <w:kern w:val="0"/>
          <w:sz w:val="24"/>
          <w:highlight w:val="none"/>
          <w:u w:val="single"/>
          <w:lang w:eastAsia="zh-CN"/>
        </w:rPr>
      </w:pPr>
      <w:r>
        <w:rPr>
          <w:rFonts w:ascii="仿宋" w:hAnsi="仿宋" w:eastAsia="仿宋" w:cs="宋体"/>
          <w:color w:val="auto"/>
          <w:kern w:val="0"/>
          <w:sz w:val="24"/>
          <w:highlight w:val="none"/>
        </w:rPr>
        <w:t>预算金额（元）：</w:t>
      </w:r>
      <w:r>
        <w:rPr>
          <w:rFonts w:hint="eastAsia" w:ascii="仿宋" w:hAnsi="仿宋" w:eastAsia="仿宋" w:cs="宋体"/>
          <w:color w:val="auto"/>
          <w:kern w:val="0"/>
          <w:sz w:val="24"/>
          <w:highlight w:val="none"/>
          <w:lang w:eastAsia="zh-CN"/>
        </w:rPr>
        <w:t>850000</w:t>
      </w:r>
    </w:p>
    <w:p w14:paraId="6AA5D53C">
      <w:pPr>
        <w:widowControl/>
        <w:snapToGrid w:val="0"/>
        <w:spacing w:line="360" w:lineRule="auto"/>
        <w:ind w:firstLine="480" w:firstLineChars="200"/>
        <w:jc w:val="left"/>
        <w:rPr>
          <w:rFonts w:hint="eastAsia" w:ascii="仿宋" w:hAnsi="仿宋" w:eastAsia="仿宋" w:cs="宋体"/>
          <w:color w:val="auto"/>
          <w:kern w:val="0"/>
          <w:sz w:val="24"/>
          <w:highlight w:val="none"/>
          <w:u w:val="single"/>
          <w:lang w:eastAsia="zh-CN"/>
        </w:rPr>
      </w:pPr>
      <w:r>
        <w:rPr>
          <w:rFonts w:ascii="仿宋" w:hAnsi="仿宋" w:eastAsia="仿宋" w:cs="宋体"/>
          <w:color w:val="auto"/>
          <w:kern w:val="0"/>
          <w:sz w:val="24"/>
          <w:highlight w:val="none"/>
        </w:rPr>
        <w:t>最高限价（元）：</w:t>
      </w:r>
      <w:r>
        <w:rPr>
          <w:rFonts w:hint="eastAsia" w:ascii="仿宋" w:hAnsi="仿宋" w:eastAsia="仿宋" w:cs="宋体"/>
          <w:color w:val="auto"/>
          <w:kern w:val="0"/>
          <w:sz w:val="24"/>
          <w:highlight w:val="none"/>
          <w:lang w:eastAsia="zh-CN"/>
        </w:rPr>
        <w:t>850000</w:t>
      </w:r>
    </w:p>
    <w:p w14:paraId="0DE1A263">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采购需求：</w:t>
      </w:r>
    </w:p>
    <w:p w14:paraId="4BD290F9">
      <w:pPr>
        <w:widowControl/>
        <w:snapToGrid w:val="0"/>
        <w:spacing w:line="360" w:lineRule="auto"/>
        <w:ind w:left="420" w:leftChars="200"/>
        <w:jc w:val="left"/>
        <w:rPr>
          <w:rFonts w:hint="eastAsia" w:ascii="仿宋" w:hAnsi="仿宋" w:eastAsia="仿宋" w:cs="宋体"/>
          <w:color w:val="auto"/>
          <w:kern w:val="0"/>
          <w:sz w:val="24"/>
          <w:highlight w:val="none"/>
          <w:lang w:eastAsia="zh-CN"/>
        </w:rPr>
      </w:pPr>
      <w:r>
        <w:rPr>
          <w:rFonts w:ascii="仿宋" w:hAnsi="仿宋" w:eastAsia="仿宋" w:cs="宋体"/>
          <w:color w:val="auto"/>
          <w:kern w:val="0"/>
          <w:sz w:val="24"/>
          <w:highlight w:val="none"/>
        </w:rPr>
        <w:t>标项名称:</w:t>
      </w:r>
      <w:r>
        <w:rPr>
          <w:rFonts w:hint="eastAsia" w:ascii="仿宋" w:hAnsi="仿宋" w:eastAsia="仿宋" w:cs="宋体"/>
          <w:color w:val="auto"/>
          <w:kern w:val="0"/>
          <w:sz w:val="24"/>
          <w:highlight w:val="none"/>
          <w:lang w:eastAsia="zh-CN"/>
        </w:rPr>
        <w:t>2025年温州市区餐厨垃圾收运处置第三方监管服务项目</w:t>
      </w:r>
    </w:p>
    <w:p w14:paraId="6999DDE0">
      <w:pPr>
        <w:pStyle w:val="2"/>
        <w:spacing w:before="0" w:after="0" w:line="240" w:lineRule="auto"/>
        <w:rPr>
          <w:rFonts w:hint="eastAsia"/>
          <w:color w:val="auto"/>
          <w:highlight w:val="none"/>
          <w:lang w:eastAsia="zh-CN"/>
        </w:rPr>
      </w:pPr>
    </w:p>
    <w:p w14:paraId="4AA1E017">
      <w:pPr>
        <w:widowControl/>
        <w:snapToGrid w:val="0"/>
        <w:spacing w:line="360" w:lineRule="auto"/>
        <w:ind w:left="420" w:leftChars="200"/>
        <w:jc w:val="left"/>
        <w:rPr>
          <w:rFonts w:ascii="仿宋_GB2312" w:hAnsi="仿宋_GB2312" w:eastAsia="仿宋_GB2312" w:cs="仿宋_GB2312"/>
          <w:bCs/>
          <w:color w:val="auto"/>
          <w:sz w:val="24"/>
          <w:highlight w:val="none"/>
          <w:u w:val="single"/>
        </w:rPr>
      </w:pPr>
      <w:r>
        <w:rPr>
          <w:rFonts w:ascii="仿宋" w:hAnsi="仿宋" w:eastAsia="仿宋" w:cs="宋体"/>
          <w:color w:val="auto"/>
          <w:kern w:val="0"/>
          <w:sz w:val="24"/>
          <w:highlight w:val="none"/>
        </w:rPr>
        <w:t>数量:</w:t>
      </w:r>
      <w:r>
        <w:rPr>
          <w:rFonts w:hint="eastAsia" w:ascii="仿宋_GB2312" w:hAnsi="仿宋_GB2312" w:eastAsia="仿宋_GB2312" w:cs="仿宋_GB2312"/>
          <w:bCs/>
          <w:color w:val="auto"/>
          <w:sz w:val="24"/>
          <w:highlight w:val="none"/>
        </w:rPr>
        <w:t>不限</w:t>
      </w:r>
    </w:p>
    <w:p w14:paraId="394CDBEE">
      <w:pPr>
        <w:widowControl/>
        <w:snapToGrid w:val="0"/>
        <w:spacing w:line="360" w:lineRule="auto"/>
        <w:ind w:left="420" w:leftChars="200"/>
        <w:jc w:val="left"/>
        <w:rPr>
          <w:rFonts w:hint="eastAsia" w:ascii="仿宋" w:hAnsi="仿宋" w:eastAsia="仿宋" w:cs="宋体"/>
          <w:color w:val="auto"/>
          <w:kern w:val="0"/>
          <w:sz w:val="24"/>
          <w:highlight w:val="none"/>
          <w:lang w:eastAsia="zh-CN"/>
        </w:rPr>
      </w:pPr>
      <w:r>
        <w:rPr>
          <w:rFonts w:ascii="仿宋" w:hAnsi="仿宋" w:eastAsia="仿宋" w:cs="宋体"/>
          <w:color w:val="auto"/>
          <w:kern w:val="0"/>
          <w:sz w:val="24"/>
          <w:highlight w:val="none"/>
        </w:rPr>
        <w:t>预算金额（元）:</w:t>
      </w:r>
      <w:r>
        <w:rPr>
          <w:rFonts w:hint="eastAsia" w:ascii="仿宋" w:hAnsi="仿宋" w:eastAsia="仿宋" w:cs="宋体"/>
          <w:color w:val="auto"/>
          <w:kern w:val="0"/>
          <w:sz w:val="24"/>
          <w:highlight w:val="none"/>
          <w:lang w:eastAsia="zh-CN"/>
        </w:rPr>
        <w:t>850000</w:t>
      </w:r>
    </w:p>
    <w:p w14:paraId="552E1C05">
      <w:pPr>
        <w:pStyle w:val="2"/>
        <w:spacing w:before="0" w:after="0" w:line="240" w:lineRule="auto"/>
        <w:rPr>
          <w:rFonts w:hint="eastAsia"/>
          <w:color w:val="auto"/>
          <w:highlight w:val="none"/>
          <w:lang w:eastAsia="zh-CN"/>
        </w:rPr>
      </w:pPr>
    </w:p>
    <w:p w14:paraId="08E946BB">
      <w:pPr>
        <w:widowControl/>
        <w:snapToGrid w:val="0"/>
        <w:spacing w:line="360" w:lineRule="auto"/>
        <w:ind w:left="420" w:leftChars="200"/>
        <w:jc w:val="left"/>
        <w:rPr>
          <w:rFonts w:hint="eastAsia" w:ascii="仿宋" w:hAnsi="仿宋" w:eastAsia="仿宋" w:cs="宋体"/>
          <w:color w:val="auto"/>
          <w:kern w:val="0"/>
          <w:sz w:val="24"/>
          <w:highlight w:val="none"/>
          <w:lang w:eastAsia="zh-CN"/>
        </w:rPr>
      </w:pPr>
      <w:r>
        <w:rPr>
          <w:rFonts w:ascii="仿宋" w:hAnsi="仿宋" w:eastAsia="仿宋" w:cs="宋体"/>
          <w:color w:val="auto"/>
          <w:kern w:val="0"/>
          <w:sz w:val="24"/>
          <w:highlight w:val="none"/>
        </w:rPr>
        <w:t>简要规格描述或项目基本概况介绍、用途：</w:t>
      </w:r>
      <w:r>
        <w:rPr>
          <w:rFonts w:hint="eastAsia" w:ascii="仿宋" w:hAnsi="仿宋" w:eastAsia="仿宋" w:cs="宋体"/>
          <w:color w:val="auto"/>
          <w:kern w:val="0"/>
          <w:sz w:val="24"/>
          <w:highlight w:val="none"/>
          <w:lang w:eastAsia="zh-CN"/>
        </w:rPr>
        <w:t>2025年温州市区餐厨垃圾收运处置第三方监管服务</w:t>
      </w:r>
      <w:r>
        <w:rPr>
          <w:rFonts w:hint="eastAsia" w:ascii="仿宋" w:hAnsi="仿宋" w:eastAsia="仿宋" w:cs="宋体"/>
          <w:color w:val="auto"/>
          <w:kern w:val="0"/>
          <w:sz w:val="24"/>
          <w:highlight w:val="none"/>
        </w:rPr>
        <w:t>等，具体</w:t>
      </w:r>
      <w:r>
        <w:rPr>
          <w:rFonts w:hint="eastAsia" w:ascii="仿宋" w:hAnsi="仿宋" w:eastAsia="仿宋" w:cs="宋体"/>
          <w:color w:val="auto"/>
          <w:kern w:val="0"/>
          <w:sz w:val="24"/>
          <w:highlight w:val="none"/>
          <w:lang w:eastAsia="zh-CN"/>
        </w:rPr>
        <w:t>详见采购需求</w:t>
      </w:r>
      <w:r>
        <w:rPr>
          <w:rFonts w:hint="eastAsia" w:ascii="仿宋" w:hAnsi="仿宋" w:eastAsia="仿宋" w:cs="宋体"/>
          <w:color w:val="auto"/>
          <w:kern w:val="0"/>
          <w:sz w:val="24"/>
          <w:highlight w:val="none"/>
        </w:rPr>
        <w:t>；</w:t>
      </w:r>
    </w:p>
    <w:p w14:paraId="525B99A5">
      <w:pPr>
        <w:pStyle w:val="2"/>
        <w:spacing w:before="0" w:after="0" w:line="240" w:lineRule="auto"/>
        <w:rPr>
          <w:rFonts w:hint="eastAsia"/>
          <w:color w:val="auto"/>
          <w:highlight w:val="none"/>
          <w:lang w:eastAsia="zh-CN"/>
        </w:rPr>
      </w:pPr>
    </w:p>
    <w:p w14:paraId="2C641B6A">
      <w:pPr>
        <w:widowControl/>
        <w:snapToGrid w:val="0"/>
        <w:spacing w:line="360" w:lineRule="auto"/>
        <w:ind w:left="420" w:leftChars="200"/>
        <w:jc w:val="left"/>
        <w:rPr>
          <w:rFonts w:hint="eastAsia" w:ascii="仿宋" w:hAnsi="仿宋" w:eastAsia="仿宋" w:cs="宋体"/>
          <w:color w:val="auto"/>
          <w:kern w:val="0"/>
          <w:sz w:val="24"/>
          <w:highlight w:val="none"/>
          <w:lang w:eastAsia="zh-CN"/>
        </w:rPr>
      </w:pPr>
      <w:r>
        <w:rPr>
          <w:rFonts w:ascii="仿宋" w:hAnsi="仿宋" w:eastAsia="仿宋" w:cs="宋体"/>
          <w:color w:val="auto"/>
          <w:kern w:val="0"/>
          <w:sz w:val="24"/>
          <w:highlight w:val="none"/>
        </w:rPr>
        <w:t>备注：</w:t>
      </w:r>
      <w:r>
        <w:rPr>
          <w:rFonts w:hint="eastAsia" w:ascii="仿宋_GB2312" w:hAnsi="仿宋_GB2312" w:eastAsia="仿宋_GB2312" w:cs="仿宋_GB2312"/>
          <w:bCs/>
          <w:color w:val="auto"/>
          <w:sz w:val="24"/>
          <w:highlight w:val="none"/>
        </w:rPr>
        <w:t>/</w:t>
      </w:r>
    </w:p>
    <w:p w14:paraId="02600E4E">
      <w:pPr>
        <w:pStyle w:val="2"/>
        <w:spacing w:before="0" w:after="0" w:line="240" w:lineRule="auto"/>
        <w:rPr>
          <w:rFonts w:hint="eastAsia"/>
          <w:color w:val="auto"/>
          <w:highlight w:val="none"/>
          <w:lang w:eastAsia="zh-CN"/>
        </w:rPr>
      </w:pPr>
    </w:p>
    <w:p w14:paraId="44E49002">
      <w:pPr>
        <w:widowControl/>
        <w:snapToGrid w:val="0"/>
        <w:spacing w:line="360" w:lineRule="auto"/>
        <w:ind w:left="420" w:leftChars="200"/>
        <w:jc w:val="left"/>
        <w:rPr>
          <w:rFonts w:hint="eastAsia" w:ascii="仿宋" w:hAnsi="仿宋" w:eastAsia="仿宋" w:cs="宋体"/>
          <w:color w:val="auto"/>
          <w:kern w:val="0"/>
          <w:sz w:val="24"/>
          <w:highlight w:val="none"/>
          <w:u w:val="single"/>
          <w:lang w:eastAsia="zh-CN"/>
        </w:rPr>
      </w:pPr>
      <w:r>
        <w:rPr>
          <w:rFonts w:ascii="仿宋" w:hAnsi="仿宋" w:eastAsia="仿宋" w:cs="宋体"/>
          <w:color w:val="auto"/>
          <w:kern w:val="0"/>
          <w:sz w:val="24"/>
          <w:highlight w:val="none"/>
        </w:rPr>
        <w:t>合同履约期限：标项</w:t>
      </w:r>
      <w:r>
        <w:rPr>
          <w:rFonts w:hint="eastAsia" w:ascii="仿宋_GB2312" w:hAnsi="仿宋_GB2312" w:eastAsia="仿宋_GB2312" w:cs="仿宋_GB2312"/>
          <w:bCs/>
          <w:color w:val="auto"/>
          <w:sz w:val="24"/>
          <w:highlight w:val="none"/>
        </w:rPr>
        <w:t>1</w:t>
      </w:r>
      <w:r>
        <w:rPr>
          <w:rFonts w:ascii="仿宋" w:hAnsi="仿宋" w:eastAsia="仿宋" w:cs="宋体"/>
          <w:color w:val="auto"/>
          <w:kern w:val="0"/>
          <w:sz w:val="24"/>
          <w:highlight w:val="none"/>
        </w:rPr>
        <w:t>，</w:t>
      </w:r>
      <w:r>
        <w:rPr>
          <w:rFonts w:hint="eastAsia" w:ascii="仿宋" w:hAnsi="仿宋" w:eastAsia="仿宋" w:cs="宋体"/>
          <w:color w:val="auto"/>
          <w:kern w:val="0"/>
          <w:sz w:val="24"/>
          <w:highlight w:val="none"/>
        </w:rPr>
        <w:t>自合同签订之日起一年</w:t>
      </w:r>
      <w:r>
        <w:rPr>
          <w:rFonts w:hint="eastAsia" w:ascii="仿宋" w:hAnsi="仿宋" w:eastAsia="仿宋" w:cs="宋体"/>
          <w:color w:val="auto"/>
          <w:kern w:val="0"/>
          <w:sz w:val="24"/>
          <w:highlight w:val="none"/>
          <w:lang w:eastAsia="zh-CN"/>
        </w:rPr>
        <w:t>。</w:t>
      </w:r>
    </w:p>
    <w:p w14:paraId="05050A4E">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本项目（</w:t>
      </w:r>
      <w:r>
        <w:rPr>
          <w:rFonts w:hint="eastAsia" w:ascii="仿宋" w:hAnsi="仿宋" w:eastAsia="仿宋" w:cs="宋体"/>
          <w:color w:val="auto"/>
          <w:kern w:val="0"/>
          <w:sz w:val="24"/>
          <w:highlight w:val="none"/>
          <w:lang w:eastAsia="zh-CN"/>
        </w:rPr>
        <w:t>是</w:t>
      </w:r>
      <w:r>
        <w:rPr>
          <w:rFonts w:ascii="仿宋" w:hAnsi="仿宋" w:eastAsia="仿宋" w:cs="宋体"/>
          <w:color w:val="auto"/>
          <w:kern w:val="0"/>
          <w:sz w:val="24"/>
          <w:highlight w:val="none"/>
        </w:rPr>
        <w:t>）接受联合体投标。</w:t>
      </w:r>
    </w:p>
    <w:p w14:paraId="50C337D4">
      <w:pPr>
        <w:widowControl/>
        <w:snapToGrid w:val="0"/>
        <w:spacing w:line="360" w:lineRule="auto"/>
        <w:jc w:val="left"/>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二、申请人的资格要求</w:t>
      </w:r>
    </w:p>
    <w:p w14:paraId="08BE91B6">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50725B1">
      <w:pPr>
        <w:widowControl/>
        <w:snapToGrid w:val="0"/>
        <w:spacing w:line="360" w:lineRule="auto"/>
        <w:ind w:firstLine="480" w:firstLineChars="200"/>
        <w:jc w:val="left"/>
        <w:rPr>
          <w:rFonts w:hint="eastAsia" w:ascii="仿宋" w:hAnsi="仿宋" w:eastAsia="仿宋" w:cs="宋体"/>
          <w:color w:val="auto"/>
          <w:kern w:val="0"/>
          <w:sz w:val="24"/>
          <w:highlight w:val="none"/>
          <w:lang w:eastAsia="zh-CN"/>
        </w:rPr>
      </w:pPr>
      <w:r>
        <w:rPr>
          <w:rFonts w:ascii="仿宋" w:hAnsi="仿宋" w:eastAsia="仿宋" w:cs="宋体"/>
          <w:color w:val="auto"/>
          <w:kern w:val="0"/>
          <w:sz w:val="24"/>
          <w:highlight w:val="none"/>
        </w:rPr>
        <w:t>2.落实政府采购政策需满足的资格要求：</w:t>
      </w:r>
      <w:r>
        <w:rPr>
          <w:rFonts w:hint="eastAsia" w:ascii="仿宋" w:hAnsi="仿宋" w:eastAsia="仿宋" w:cs="宋体"/>
          <w:color w:val="auto"/>
          <w:kern w:val="0"/>
          <w:sz w:val="24"/>
          <w:highlight w:val="none"/>
          <w:u w:val="none"/>
          <w:lang w:eastAsia="zh-CN"/>
        </w:rPr>
        <w:t>本项目为专门面向中小企业采购的项目，供应商应为中小微企业、监狱企业、残疾人福利性单位。</w:t>
      </w:r>
    </w:p>
    <w:p w14:paraId="6F2FD23E">
      <w:pPr>
        <w:widowControl/>
        <w:snapToGrid w:val="0"/>
        <w:spacing w:line="360" w:lineRule="auto"/>
        <w:ind w:firstLine="480" w:firstLineChars="200"/>
        <w:jc w:val="left"/>
        <w:rPr>
          <w:rFonts w:hint="eastAsia" w:ascii="仿宋" w:hAnsi="仿宋" w:eastAsia="仿宋" w:cs="宋体"/>
          <w:color w:val="auto"/>
          <w:kern w:val="0"/>
          <w:sz w:val="24"/>
          <w:highlight w:val="none"/>
          <w:u w:val="single"/>
          <w:lang w:eastAsia="zh-CN"/>
        </w:rPr>
      </w:pPr>
      <w:r>
        <w:rPr>
          <w:rFonts w:ascii="仿宋" w:hAnsi="仿宋" w:eastAsia="仿宋" w:cs="宋体"/>
          <w:color w:val="auto"/>
          <w:kern w:val="0"/>
          <w:sz w:val="24"/>
          <w:highlight w:val="none"/>
        </w:rPr>
        <w:t>3.本项目的特定资格要求：</w:t>
      </w:r>
      <w:r>
        <w:rPr>
          <w:rFonts w:hint="eastAsia" w:ascii="仿宋" w:hAnsi="仿宋" w:eastAsia="仿宋" w:cs="宋体"/>
          <w:color w:val="auto"/>
          <w:kern w:val="0"/>
          <w:sz w:val="24"/>
          <w:highlight w:val="none"/>
          <w:u w:val="none"/>
          <w:lang w:val="en-US" w:eastAsia="zh-CN"/>
        </w:rPr>
        <w:t>无</w:t>
      </w:r>
      <w:r>
        <w:rPr>
          <w:rFonts w:hint="eastAsia" w:ascii="仿宋" w:hAnsi="仿宋" w:eastAsia="仿宋" w:cs="宋体"/>
          <w:color w:val="auto"/>
          <w:kern w:val="0"/>
          <w:sz w:val="24"/>
          <w:highlight w:val="none"/>
          <w:u w:val="none"/>
          <w:lang w:eastAsia="zh-CN"/>
        </w:rPr>
        <w:t>。</w:t>
      </w:r>
    </w:p>
    <w:p w14:paraId="2FDB627E">
      <w:pPr>
        <w:widowControl/>
        <w:snapToGrid w:val="0"/>
        <w:spacing w:line="360" w:lineRule="auto"/>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三、获取招标文件</w:t>
      </w:r>
    </w:p>
    <w:p w14:paraId="045394DA">
      <w:pPr>
        <w:widowControl/>
        <w:snapToGrid w:val="0"/>
        <w:spacing w:line="360" w:lineRule="auto"/>
        <w:ind w:firstLine="480" w:firstLineChars="200"/>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时间：</w:t>
      </w:r>
      <w:r>
        <w:rPr>
          <w:rFonts w:hint="eastAsia" w:ascii="仿宋" w:hAnsi="仿宋" w:eastAsia="仿宋" w:cs="宋体"/>
          <w:color w:val="auto"/>
          <w:kern w:val="0"/>
          <w:sz w:val="24"/>
          <w:highlight w:val="none"/>
          <w:lang w:val="en-US" w:eastAsia="zh-CN"/>
        </w:rPr>
        <w:t>/</w:t>
      </w:r>
      <w:r>
        <w:rPr>
          <w:rFonts w:hint="eastAsia" w:ascii="仿宋" w:hAnsi="仿宋" w:eastAsia="仿宋" w:cs="宋体"/>
          <w:color w:val="auto"/>
          <w:kern w:val="0"/>
          <w:sz w:val="24"/>
          <w:highlight w:val="none"/>
        </w:rPr>
        <w:t>至</w:t>
      </w:r>
      <w:r>
        <w:rPr>
          <w:rFonts w:hint="eastAsia" w:ascii="仿宋" w:hAnsi="仿宋" w:eastAsia="仿宋" w:cs="宋体"/>
          <w:color w:val="auto"/>
          <w:kern w:val="0"/>
          <w:sz w:val="24"/>
          <w:highlight w:val="none"/>
          <w:lang w:eastAsia="zh-CN"/>
        </w:rPr>
        <w:t>2024年xx月xx日</w:t>
      </w:r>
      <w:r>
        <w:rPr>
          <w:rFonts w:hint="eastAsia" w:ascii="仿宋" w:hAnsi="仿宋" w:eastAsia="仿宋" w:cs="宋体"/>
          <w:color w:val="auto"/>
          <w:kern w:val="0"/>
          <w:sz w:val="24"/>
          <w:highlight w:val="none"/>
        </w:rPr>
        <w:t>，每天上午00:00至12：00，下午12:00至23：59（北京时间，线上获取法定节假日均可，线下获取文件法定节假日除外）。</w:t>
      </w:r>
    </w:p>
    <w:p w14:paraId="2B0F22B1">
      <w:pPr>
        <w:widowControl/>
        <w:snapToGrid w:val="0"/>
        <w:spacing w:line="360" w:lineRule="auto"/>
        <w:ind w:firstLine="480" w:firstLineChars="200"/>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地点（网址）：政府采购云平台（www.zcygov.cn）</w:t>
      </w:r>
    </w:p>
    <w:p w14:paraId="320C483D">
      <w:pPr>
        <w:widowControl/>
        <w:snapToGrid w:val="0"/>
        <w:spacing w:line="360" w:lineRule="auto"/>
        <w:ind w:firstLine="480" w:firstLineChars="200"/>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方式：潜在投标人登录政府采购云平台（www.zcygov.cn），在线申请获取招标文件（进入“项目采购”应用，在获取采购文件菜单中选择项目，申请获取采购文件；仅需浏览采购文件的投标人可点击“游客，浏览采购件”直接下载采购文件浏览，不视作依法获取采购文件）。未依法获取采购文件的潜在投标人对采购文件提起质疑投诉，不予受理。</w:t>
      </w:r>
    </w:p>
    <w:p w14:paraId="7664C22E">
      <w:pPr>
        <w:widowControl/>
        <w:snapToGrid w:val="0"/>
        <w:spacing w:line="360" w:lineRule="auto"/>
        <w:ind w:firstLine="480" w:firstLineChars="200"/>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售价（元）：0</w:t>
      </w:r>
    </w:p>
    <w:p w14:paraId="6D63318C">
      <w:pPr>
        <w:widowControl/>
        <w:snapToGrid w:val="0"/>
        <w:spacing w:line="360" w:lineRule="auto"/>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四、提交投标文件截止时间、开标时间和地点</w:t>
      </w:r>
    </w:p>
    <w:p w14:paraId="21DA12AB">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提交投标文件截止时间：</w:t>
      </w:r>
      <w:r>
        <w:rPr>
          <w:rFonts w:hint="eastAsia" w:ascii="仿宋" w:hAnsi="仿宋" w:eastAsia="仿宋" w:cs="宋体"/>
          <w:color w:val="auto"/>
          <w:kern w:val="0"/>
          <w:sz w:val="24"/>
          <w:highlight w:val="none"/>
          <w:lang w:eastAsia="zh-CN"/>
        </w:rPr>
        <w:t>2024年9月30日09:30</w:t>
      </w:r>
      <w:r>
        <w:rPr>
          <w:rFonts w:ascii="仿宋" w:hAnsi="仿宋" w:eastAsia="仿宋" w:cs="宋体"/>
          <w:color w:val="auto"/>
          <w:kern w:val="0"/>
          <w:sz w:val="24"/>
          <w:highlight w:val="none"/>
        </w:rPr>
        <w:t>（北京时间）</w:t>
      </w:r>
    </w:p>
    <w:p w14:paraId="2136A1F6">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投标地点（网址）：</w:t>
      </w:r>
      <w:r>
        <w:rPr>
          <w:rFonts w:hint="eastAsia" w:ascii="仿宋" w:hAnsi="仿宋" w:eastAsia="仿宋" w:cs="宋体"/>
          <w:color w:val="auto"/>
          <w:kern w:val="0"/>
          <w:sz w:val="24"/>
          <w:highlight w:val="none"/>
        </w:rPr>
        <w:t>请登录政采云投标客户端投标 </w:t>
      </w:r>
    </w:p>
    <w:p w14:paraId="4401E6FD">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开标时间：</w:t>
      </w:r>
      <w:r>
        <w:rPr>
          <w:rFonts w:hint="eastAsia" w:ascii="仿宋" w:hAnsi="仿宋" w:eastAsia="仿宋" w:cs="宋体"/>
          <w:color w:val="auto"/>
          <w:kern w:val="0"/>
          <w:sz w:val="24"/>
          <w:highlight w:val="none"/>
          <w:lang w:eastAsia="zh-CN"/>
        </w:rPr>
        <w:t>2024年9月30日09:30</w:t>
      </w:r>
    </w:p>
    <w:p w14:paraId="0B3D0942">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开标地点（网址）：政采云平台（</w:t>
      </w:r>
      <w:r>
        <w:rPr>
          <w:rFonts w:hint="eastAsia" w:ascii="仿宋" w:hAnsi="仿宋" w:eastAsia="仿宋" w:cs="宋体"/>
          <w:color w:val="auto"/>
          <w:kern w:val="0"/>
          <w:sz w:val="24"/>
          <w:highlight w:val="none"/>
          <w:lang w:eastAsia="zh-CN"/>
        </w:rPr>
        <w:t>https://zfcg.czt.zj.gov.cn/</w:t>
      </w:r>
      <w:r>
        <w:rPr>
          <w:rFonts w:ascii="仿宋" w:hAnsi="仿宋" w:eastAsia="仿宋" w:cs="宋体"/>
          <w:color w:val="auto"/>
          <w:kern w:val="0"/>
          <w:sz w:val="24"/>
          <w:highlight w:val="none"/>
        </w:rPr>
        <w:t>）</w:t>
      </w:r>
      <w:r>
        <w:rPr>
          <w:rFonts w:hint="eastAsia" w:ascii="仿宋" w:hAnsi="仿宋" w:eastAsia="仿宋" w:cs="宋体"/>
          <w:color w:val="auto"/>
          <w:kern w:val="0"/>
          <w:sz w:val="24"/>
          <w:highlight w:val="none"/>
        </w:rPr>
        <w:t>在线开标</w:t>
      </w:r>
      <w:r>
        <w:rPr>
          <w:rFonts w:hint="eastAsia" w:ascii="仿宋" w:hAnsi="仿宋" w:eastAsia="仿宋" w:cs="宋体"/>
          <w:color w:val="auto"/>
          <w:kern w:val="0"/>
          <w:sz w:val="24"/>
          <w:highlight w:val="none"/>
          <w:lang w:val="en-US" w:eastAsia="zh-CN"/>
        </w:rPr>
        <w:t>/</w:t>
      </w:r>
      <w:r>
        <w:rPr>
          <w:rFonts w:hint="eastAsia" w:ascii="仿宋" w:hAnsi="仿宋" w:eastAsia="仿宋" w:cs="宋体"/>
          <w:color w:val="auto"/>
          <w:kern w:val="0"/>
          <w:sz w:val="24"/>
          <w:highlight w:val="none"/>
        </w:rPr>
        <w:t>线下地址浙江省房地产管理咨询有限公司会议室（温州市</w:t>
      </w:r>
      <w:r>
        <w:rPr>
          <w:rFonts w:hint="eastAsia" w:ascii="仿宋" w:hAnsi="仿宋" w:eastAsia="仿宋" w:cs="宋体"/>
          <w:color w:val="auto"/>
          <w:kern w:val="0"/>
          <w:sz w:val="24"/>
          <w:highlight w:val="none"/>
          <w:lang w:val="en-US" w:eastAsia="zh-CN"/>
        </w:rPr>
        <w:t>鹿城区</w:t>
      </w:r>
      <w:r>
        <w:rPr>
          <w:rFonts w:hint="eastAsia" w:ascii="仿宋" w:hAnsi="仿宋" w:eastAsia="仿宋" w:cs="宋体"/>
          <w:color w:val="auto"/>
          <w:kern w:val="0"/>
          <w:sz w:val="24"/>
          <w:highlight w:val="none"/>
        </w:rPr>
        <w:t>新城大道179号中园大厦1202室）</w:t>
      </w:r>
      <w:r>
        <w:rPr>
          <w:rFonts w:hint="eastAsia" w:ascii="仿宋" w:hAnsi="仿宋" w:eastAsia="仿宋" w:cs="宋体"/>
          <w:color w:val="auto"/>
          <w:kern w:val="0"/>
          <w:sz w:val="24"/>
          <w:highlight w:val="none"/>
          <w:lang w:eastAsia="zh-CN"/>
        </w:rPr>
        <w:t>。</w:t>
      </w:r>
    </w:p>
    <w:p w14:paraId="25277C86">
      <w:pPr>
        <w:keepNext w:val="0"/>
        <w:keepLines w:val="0"/>
        <w:pageBreakBefore w:val="0"/>
        <w:widowControl/>
        <w:kinsoku/>
        <w:wordWrap/>
        <w:overflowPunct/>
        <w:topLinePunct w:val="0"/>
        <w:bidi w:val="0"/>
        <w:snapToGrid/>
        <w:spacing w:line="380" w:lineRule="exact"/>
        <w:ind w:left="60" w:right="60"/>
        <w:jc w:val="left"/>
        <w:textAlignment w:val="auto"/>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五、公告期限</w:t>
      </w:r>
    </w:p>
    <w:p w14:paraId="48482B13">
      <w:pPr>
        <w:keepNext w:val="0"/>
        <w:keepLines w:val="0"/>
        <w:pageBreakBefore w:val="0"/>
        <w:widowControl/>
        <w:kinsoku/>
        <w:wordWrap/>
        <w:overflowPunct/>
        <w:topLinePunct w:val="0"/>
        <w:bidi w:val="0"/>
        <w:snapToGrid w:val="0"/>
        <w:spacing w:line="360" w:lineRule="auto"/>
        <w:ind w:right="0" w:firstLine="480" w:firstLineChars="200"/>
        <w:jc w:val="left"/>
        <w:textAlignment w:val="auto"/>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自本公告发布之日起5个工作日。</w:t>
      </w:r>
    </w:p>
    <w:p w14:paraId="19816F3C">
      <w:pPr>
        <w:keepNext w:val="0"/>
        <w:keepLines w:val="0"/>
        <w:pageBreakBefore w:val="0"/>
        <w:widowControl/>
        <w:kinsoku/>
        <w:wordWrap/>
        <w:overflowPunct/>
        <w:topLinePunct w:val="0"/>
        <w:bidi w:val="0"/>
        <w:snapToGrid/>
        <w:spacing w:line="380" w:lineRule="exact"/>
        <w:ind w:left="60" w:right="60"/>
        <w:jc w:val="left"/>
        <w:textAlignment w:val="auto"/>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六、其他补充事宜</w:t>
      </w:r>
    </w:p>
    <w:p w14:paraId="056FBB17">
      <w:pPr>
        <w:widowControl/>
        <w:snapToGrid w:val="0"/>
        <w:spacing w:line="360" w:lineRule="auto"/>
        <w:ind w:firstLine="480" w:firstLineChars="200"/>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F003F8B">
      <w:pPr>
        <w:widowControl/>
        <w:snapToGrid w:val="0"/>
        <w:spacing w:line="360" w:lineRule="auto"/>
        <w:ind w:firstLine="480" w:firstLineChars="200"/>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509CD04A">
      <w:pPr>
        <w:widowControl/>
        <w:snapToGrid w:val="0"/>
        <w:spacing w:line="360" w:lineRule="auto"/>
        <w:ind w:firstLine="480" w:firstLineChars="200"/>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3.其他事项</w:t>
      </w:r>
    </w:p>
    <w:p w14:paraId="6AD1FDCE">
      <w:pPr>
        <w:widowControl/>
        <w:snapToGrid w:val="0"/>
        <w:spacing w:line="360" w:lineRule="auto"/>
        <w:ind w:firstLine="480" w:firstLineChars="200"/>
        <w:jc w:val="left"/>
        <w:rPr>
          <w:rFonts w:hint="eastAsia"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三）招标公告附件的采购文件仅供阅览使用，未按照本公告规定的方式获取采购文件的潜在供应商提起的质疑采购组织机构将不予受理、答复。  </w:t>
      </w:r>
    </w:p>
    <w:p w14:paraId="7F4768F7">
      <w:pPr>
        <w:widowControl/>
        <w:snapToGrid w:val="0"/>
        <w:spacing w:line="360" w:lineRule="auto"/>
        <w:jc w:val="left"/>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lang w:val="en-US" w:eastAsia="zh-CN"/>
        </w:rPr>
        <w:t>七</w:t>
      </w:r>
      <w:r>
        <w:rPr>
          <w:rFonts w:hint="eastAsia" w:ascii="仿宋" w:hAnsi="仿宋" w:eastAsia="仿宋" w:cs="宋体"/>
          <w:b/>
          <w:bCs/>
          <w:color w:val="auto"/>
          <w:kern w:val="0"/>
          <w:sz w:val="24"/>
          <w:highlight w:val="none"/>
        </w:rPr>
        <w:t>、对本次采购提出询问、质疑、投诉，请按以下方式联系</w:t>
      </w:r>
    </w:p>
    <w:p w14:paraId="59F18E26">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1.采购人信息</w:t>
      </w:r>
    </w:p>
    <w:p w14:paraId="0F657FE9">
      <w:pPr>
        <w:widowControl/>
        <w:snapToGrid w:val="0"/>
        <w:spacing w:line="360" w:lineRule="auto"/>
        <w:ind w:firstLine="240" w:firstLineChars="100"/>
        <w:jc w:val="left"/>
        <w:rPr>
          <w:rFonts w:hint="eastAsia" w:ascii="仿宋" w:hAnsi="仿宋" w:eastAsia="仿宋" w:cs="宋体"/>
          <w:color w:val="auto"/>
          <w:kern w:val="0"/>
          <w:sz w:val="24"/>
          <w:highlight w:val="none"/>
          <w:lang w:eastAsia="zh-CN"/>
        </w:rPr>
      </w:pPr>
      <w:r>
        <w:rPr>
          <w:rFonts w:ascii="仿宋" w:hAnsi="仿宋" w:eastAsia="仿宋" w:cs="宋体"/>
          <w:color w:val="auto"/>
          <w:kern w:val="0"/>
          <w:sz w:val="24"/>
          <w:highlight w:val="none"/>
        </w:rPr>
        <w:t>名称：</w:t>
      </w:r>
      <w:r>
        <w:rPr>
          <w:rFonts w:hint="eastAsia" w:ascii="仿宋" w:hAnsi="仿宋" w:eastAsia="仿宋" w:cs="宋体"/>
          <w:color w:val="auto"/>
          <w:kern w:val="0"/>
          <w:sz w:val="24"/>
          <w:highlight w:val="none"/>
          <w:lang w:eastAsia="zh-CN"/>
        </w:rPr>
        <w:t>温州市市容环境卫生管理中心</w:t>
      </w:r>
    </w:p>
    <w:p w14:paraId="10AA3890">
      <w:pPr>
        <w:widowControl/>
        <w:snapToGrid w:val="0"/>
        <w:spacing w:line="360" w:lineRule="auto"/>
        <w:ind w:firstLine="240" w:firstLineChars="100"/>
        <w:jc w:val="left"/>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eastAsia="zh-CN"/>
        </w:rPr>
        <w:t>地址：</w:t>
      </w:r>
      <w:r>
        <w:rPr>
          <w:rFonts w:hint="eastAsia" w:ascii="仿宋" w:hAnsi="仿宋" w:eastAsia="仿宋" w:cs="宋体"/>
          <w:color w:val="auto"/>
          <w:kern w:val="0"/>
          <w:sz w:val="24"/>
          <w:highlight w:val="none"/>
          <w:lang w:eastAsia="zh-CN"/>
        </w:rPr>
        <w:t>温州市鹿城区车站大道180号金城大厦</w:t>
      </w:r>
      <w:r>
        <w:rPr>
          <w:rFonts w:hint="eastAsia" w:ascii="仿宋" w:hAnsi="仿宋" w:eastAsia="仿宋" w:cs="宋体"/>
          <w:color w:val="auto"/>
          <w:kern w:val="0"/>
          <w:sz w:val="24"/>
          <w:highlight w:val="none"/>
          <w:lang w:val="en-US" w:eastAsia="zh-CN"/>
        </w:rPr>
        <w:t>2楼</w:t>
      </w:r>
    </w:p>
    <w:p w14:paraId="5374B799">
      <w:pPr>
        <w:widowControl/>
        <w:snapToGrid w:val="0"/>
        <w:spacing w:line="360" w:lineRule="auto"/>
        <w:ind w:firstLine="240" w:firstLineChars="100"/>
        <w:jc w:val="left"/>
        <w:rPr>
          <w:rFonts w:ascii="仿宋" w:hAnsi="仿宋" w:eastAsia="仿宋" w:cs="宋体"/>
          <w:color w:val="auto"/>
          <w:kern w:val="0"/>
          <w:sz w:val="24"/>
          <w:highlight w:val="none"/>
          <w:u w:val="single"/>
        </w:rPr>
      </w:pPr>
      <w:r>
        <w:rPr>
          <w:rFonts w:ascii="仿宋" w:hAnsi="仿宋" w:eastAsia="仿宋" w:cs="宋体"/>
          <w:color w:val="auto"/>
          <w:kern w:val="0"/>
          <w:sz w:val="24"/>
          <w:highlight w:val="none"/>
        </w:rPr>
        <w:t>传真：</w:t>
      </w:r>
      <w:r>
        <w:rPr>
          <w:rFonts w:hint="eastAsia" w:ascii="仿宋_GB2312" w:hAnsi="仿宋_GB2312" w:eastAsia="仿宋_GB2312" w:cs="仿宋_GB2312"/>
          <w:bCs/>
          <w:color w:val="auto"/>
          <w:sz w:val="24"/>
          <w:highlight w:val="none"/>
          <w:u w:val="single"/>
        </w:rPr>
        <w:t>/</w:t>
      </w:r>
    </w:p>
    <w:p w14:paraId="7889332C">
      <w:pPr>
        <w:widowControl/>
        <w:snapToGrid w:val="0"/>
        <w:spacing w:line="360" w:lineRule="auto"/>
        <w:ind w:firstLine="240" w:firstLineChars="100"/>
        <w:jc w:val="left"/>
        <w:rPr>
          <w:rFonts w:hint="default" w:ascii="仿宋" w:hAnsi="仿宋" w:eastAsia="仿宋" w:cs="宋体"/>
          <w:color w:val="auto"/>
          <w:kern w:val="0"/>
          <w:sz w:val="24"/>
          <w:highlight w:val="none"/>
          <w:lang w:eastAsia="zh-CN"/>
        </w:rPr>
      </w:pPr>
      <w:r>
        <w:rPr>
          <w:rFonts w:ascii="仿宋" w:hAnsi="仿宋" w:eastAsia="仿宋" w:cs="宋体"/>
          <w:color w:val="auto"/>
          <w:kern w:val="0"/>
          <w:sz w:val="24"/>
          <w:highlight w:val="none"/>
        </w:rPr>
        <w:t>项目联系人（询问）：</w:t>
      </w:r>
      <w:r>
        <w:rPr>
          <w:rFonts w:hint="eastAsia" w:ascii="仿宋" w:hAnsi="仿宋" w:eastAsia="仿宋" w:cs="宋体"/>
          <w:color w:val="auto"/>
          <w:kern w:val="0"/>
          <w:sz w:val="24"/>
          <w:highlight w:val="none"/>
        </w:rPr>
        <w:t>张</w:t>
      </w:r>
      <w:r>
        <w:rPr>
          <w:rFonts w:hint="eastAsia" w:ascii="仿宋" w:hAnsi="仿宋" w:eastAsia="仿宋" w:cs="宋体"/>
          <w:color w:val="auto"/>
          <w:kern w:val="0"/>
          <w:sz w:val="24"/>
          <w:highlight w:val="none"/>
          <w:lang w:eastAsia="zh-CN"/>
        </w:rPr>
        <w:t>先生（</w:t>
      </w:r>
      <w:r>
        <w:rPr>
          <w:rFonts w:hint="eastAsia" w:ascii="仿宋" w:hAnsi="仿宋" w:eastAsia="仿宋" w:cs="宋体"/>
          <w:color w:val="auto"/>
          <w:kern w:val="0"/>
          <w:sz w:val="24"/>
          <w:highlight w:val="none"/>
          <w:lang w:val="en-US" w:eastAsia="zh-CN"/>
        </w:rPr>
        <w:t>收运</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lang w:val="en-US" w:eastAsia="zh-CN"/>
        </w:rPr>
        <w:t>胡先生（处置）</w:t>
      </w:r>
    </w:p>
    <w:p w14:paraId="5C2F9B52">
      <w:pPr>
        <w:widowControl/>
        <w:snapToGrid w:val="0"/>
        <w:spacing w:line="360" w:lineRule="auto"/>
        <w:ind w:firstLine="240" w:firstLineChars="1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项目联系方式（询问）：</w:t>
      </w:r>
      <w:r>
        <w:rPr>
          <w:rFonts w:hint="eastAsia" w:ascii="仿宋" w:hAnsi="仿宋" w:eastAsia="仿宋" w:cs="宋体"/>
          <w:color w:val="auto"/>
          <w:kern w:val="0"/>
          <w:sz w:val="24"/>
          <w:highlight w:val="none"/>
        </w:rPr>
        <w:t>0577-8</w:t>
      </w:r>
      <w:r>
        <w:rPr>
          <w:rFonts w:hint="eastAsia" w:ascii="仿宋" w:hAnsi="仿宋" w:eastAsia="仿宋" w:cs="宋体"/>
          <w:color w:val="auto"/>
          <w:kern w:val="0"/>
          <w:sz w:val="24"/>
          <w:highlight w:val="none"/>
          <w:lang w:val="en-US" w:eastAsia="zh-CN"/>
        </w:rPr>
        <w:t>9890162、</w:t>
      </w:r>
      <w:r>
        <w:rPr>
          <w:rFonts w:hint="default" w:ascii="仿宋" w:hAnsi="仿宋" w:eastAsia="仿宋" w:cs="宋体"/>
          <w:color w:val="auto"/>
          <w:kern w:val="0"/>
          <w:sz w:val="24"/>
          <w:highlight w:val="none"/>
          <w:lang w:eastAsia="zh-CN"/>
        </w:rPr>
        <w:t>0577-88297502</w:t>
      </w:r>
    </w:p>
    <w:p w14:paraId="5976DB8F">
      <w:pPr>
        <w:widowControl/>
        <w:snapToGrid w:val="0"/>
        <w:spacing w:line="360" w:lineRule="auto"/>
        <w:ind w:firstLine="240" w:firstLineChars="100"/>
        <w:jc w:val="left"/>
        <w:rPr>
          <w:rFonts w:hint="eastAsia" w:ascii="仿宋" w:hAnsi="仿宋" w:eastAsia="仿宋" w:cs="宋体"/>
          <w:color w:val="auto"/>
          <w:kern w:val="0"/>
          <w:sz w:val="24"/>
          <w:highlight w:val="none"/>
          <w:lang w:eastAsia="zh-CN"/>
        </w:rPr>
      </w:pPr>
      <w:r>
        <w:rPr>
          <w:rFonts w:ascii="仿宋" w:hAnsi="仿宋" w:eastAsia="仿宋" w:cs="宋体"/>
          <w:color w:val="auto"/>
          <w:kern w:val="0"/>
          <w:sz w:val="24"/>
          <w:highlight w:val="none"/>
        </w:rPr>
        <w:t>质疑联系人：</w:t>
      </w:r>
      <w:r>
        <w:rPr>
          <w:rFonts w:hint="eastAsia" w:ascii="仿宋" w:hAnsi="仿宋" w:eastAsia="仿宋" w:cs="宋体"/>
          <w:color w:val="auto"/>
          <w:kern w:val="0"/>
          <w:sz w:val="24"/>
          <w:highlight w:val="none"/>
          <w:lang w:eastAsia="zh-CN"/>
        </w:rPr>
        <w:t>姜先生</w:t>
      </w:r>
    </w:p>
    <w:p w14:paraId="222EA473">
      <w:pPr>
        <w:widowControl/>
        <w:snapToGrid w:val="0"/>
        <w:spacing w:line="360" w:lineRule="auto"/>
        <w:ind w:firstLine="240" w:firstLineChars="100"/>
        <w:jc w:val="left"/>
        <w:rPr>
          <w:rFonts w:hint="eastAsia" w:ascii="仿宋" w:hAnsi="仿宋" w:eastAsia="仿宋" w:cs="宋体"/>
          <w:color w:val="auto"/>
          <w:kern w:val="0"/>
          <w:sz w:val="24"/>
          <w:highlight w:val="none"/>
        </w:rPr>
      </w:pPr>
      <w:r>
        <w:rPr>
          <w:rFonts w:ascii="仿宋" w:hAnsi="仿宋" w:eastAsia="仿宋" w:cs="宋体"/>
          <w:color w:val="auto"/>
          <w:kern w:val="0"/>
          <w:sz w:val="24"/>
          <w:highlight w:val="none"/>
        </w:rPr>
        <w:t>质疑联系方式：</w:t>
      </w:r>
      <w:r>
        <w:rPr>
          <w:rFonts w:hint="eastAsia" w:ascii="仿宋" w:hAnsi="仿宋" w:eastAsia="仿宋" w:cs="宋体"/>
          <w:color w:val="auto"/>
          <w:kern w:val="0"/>
          <w:sz w:val="24"/>
          <w:highlight w:val="none"/>
        </w:rPr>
        <w:t>0577-89890169</w:t>
      </w:r>
    </w:p>
    <w:p w14:paraId="7D4EDFDF">
      <w:pPr>
        <w:widowControl/>
        <w:snapToGrid w:val="0"/>
        <w:spacing w:line="360" w:lineRule="auto"/>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2.采购代理机构信息            </w:t>
      </w:r>
    </w:p>
    <w:p w14:paraId="67AEE65B">
      <w:pPr>
        <w:widowControl/>
        <w:snapToGrid w:val="0"/>
        <w:spacing w:line="360" w:lineRule="auto"/>
        <w:ind w:firstLine="240" w:firstLineChars="100"/>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名    称：浙江省房地产管理咨询有限公司             </w:t>
      </w:r>
    </w:p>
    <w:p w14:paraId="399F611C">
      <w:pPr>
        <w:widowControl/>
        <w:snapToGrid w:val="0"/>
        <w:spacing w:line="360" w:lineRule="auto"/>
        <w:ind w:firstLine="240" w:firstLineChars="100"/>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地    址：温州市新城大道179号中园大厦1102室             </w:t>
      </w:r>
    </w:p>
    <w:p w14:paraId="0540AC6B">
      <w:pPr>
        <w:widowControl/>
        <w:snapToGrid w:val="0"/>
        <w:spacing w:line="360" w:lineRule="auto"/>
        <w:ind w:firstLine="240" w:firstLineChars="100"/>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传    真： 0577-</w:t>
      </w:r>
      <w:r>
        <w:rPr>
          <w:rFonts w:hint="eastAsia" w:ascii="仿宋" w:hAnsi="仿宋" w:eastAsia="仿宋" w:cs="宋体"/>
          <w:color w:val="auto"/>
          <w:kern w:val="0"/>
          <w:sz w:val="24"/>
          <w:highlight w:val="none"/>
          <w:lang w:val="en-US" w:eastAsia="zh-CN"/>
        </w:rPr>
        <w:t>88106655</w:t>
      </w:r>
      <w:r>
        <w:rPr>
          <w:rFonts w:hint="eastAsia" w:ascii="仿宋" w:hAnsi="仿宋" w:eastAsia="仿宋" w:cs="宋体"/>
          <w:color w:val="auto"/>
          <w:kern w:val="0"/>
          <w:sz w:val="24"/>
          <w:highlight w:val="none"/>
        </w:rPr>
        <w:t xml:space="preserve">          </w:t>
      </w:r>
    </w:p>
    <w:p w14:paraId="722F34A5">
      <w:pPr>
        <w:widowControl/>
        <w:snapToGrid w:val="0"/>
        <w:spacing w:line="360" w:lineRule="auto"/>
        <w:ind w:firstLine="240" w:firstLineChars="100"/>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项目联系人（询问）：倪诗蓓              </w:t>
      </w:r>
    </w:p>
    <w:p w14:paraId="489CEDFB">
      <w:pPr>
        <w:widowControl/>
        <w:snapToGrid w:val="0"/>
        <w:spacing w:line="360" w:lineRule="auto"/>
        <w:ind w:firstLine="240" w:firstLineChars="100"/>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项目联系方式（询问）：13705886093 </w:t>
      </w:r>
    </w:p>
    <w:p w14:paraId="45C8F788">
      <w:pPr>
        <w:widowControl/>
        <w:snapToGrid w:val="0"/>
        <w:spacing w:line="360" w:lineRule="auto"/>
        <w:ind w:firstLine="240" w:firstLineChars="100"/>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质疑联系人：李奖             </w:t>
      </w:r>
    </w:p>
    <w:p w14:paraId="25B9CB8B">
      <w:pPr>
        <w:widowControl/>
        <w:snapToGrid w:val="0"/>
        <w:spacing w:line="360" w:lineRule="auto"/>
        <w:ind w:firstLine="240" w:firstLineChars="100"/>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质疑联系方式：13736900051 </w:t>
      </w:r>
    </w:p>
    <w:p w14:paraId="6E225D9E">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3.同级政府采购监督管理部门</w:t>
      </w:r>
    </w:p>
    <w:p w14:paraId="0E091AE9">
      <w:pPr>
        <w:widowControl/>
        <w:snapToGrid w:val="0"/>
        <w:spacing w:line="360" w:lineRule="auto"/>
        <w:ind w:firstLine="240" w:firstLineChars="1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名称：</w:t>
      </w:r>
      <w:r>
        <w:rPr>
          <w:rFonts w:hint="eastAsia" w:ascii="仿宋" w:hAnsi="仿宋" w:eastAsia="仿宋" w:cs="宋体"/>
          <w:color w:val="auto"/>
          <w:kern w:val="0"/>
          <w:sz w:val="24"/>
          <w:highlight w:val="none"/>
        </w:rPr>
        <w:t>温州市财政局政府采购监管处</w:t>
      </w:r>
    </w:p>
    <w:p w14:paraId="13FE8405">
      <w:pPr>
        <w:widowControl/>
        <w:snapToGrid w:val="0"/>
        <w:spacing w:line="360" w:lineRule="auto"/>
        <w:ind w:firstLine="240" w:firstLineChars="1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地址：</w:t>
      </w:r>
      <w:r>
        <w:rPr>
          <w:rFonts w:hint="eastAsia" w:ascii="仿宋" w:hAnsi="仿宋" w:eastAsia="仿宋" w:cs="宋体"/>
          <w:color w:val="auto"/>
          <w:kern w:val="0"/>
          <w:sz w:val="24"/>
          <w:highlight w:val="none"/>
        </w:rPr>
        <w:t>温州市鹿城区绣山路299号</w:t>
      </w:r>
    </w:p>
    <w:p w14:paraId="3681BFC8">
      <w:pPr>
        <w:widowControl/>
        <w:snapToGrid w:val="0"/>
        <w:spacing w:line="360" w:lineRule="auto"/>
        <w:ind w:firstLine="240" w:firstLineChars="1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联系人：</w:t>
      </w:r>
      <w:r>
        <w:rPr>
          <w:rFonts w:hint="eastAsia" w:ascii="仿宋" w:hAnsi="仿宋" w:eastAsia="仿宋" w:cs="宋体"/>
          <w:color w:val="auto"/>
          <w:kern w:val="0"/>
          <w:sz w:val="24"/>
          <w:highlight w:val="none"/>
        </w:rPr>
        <w:t>项先生、蔡女士</w:t>
      </w:r>
    </w:p>
    <w:p w14:paraId="0F2DCA15">
      <w:pPr>
        <w:widowControl/>
        <w:snapToGrid w:val="0"/>
        <w:spacing w:line="240" w:lineRule="auto"/>
        <w:ind w:left="479" w:leftChars="114" w:hanging="240" w:hangingChars="100"/>
        <w:jc w:val="left"/>
        <w:rPr>
          <w:rFonts w:hint="eastAsia" w:ascii="仿宋" w:hAnsi="仿宋" w:eastAsia="仿宋" w:cs="宋体"/>
          <w:color w:val="auto"/>
          <w:kern w:val="0"/>
          <w:sz w:val="24"/>
          <w:highlight w:val="none"/>
          <w:lang w:eastAsia="zh-CN"/>
        </w:rPr>
      </w:pPr>
      <w:r>
        <w:rPr>
          <w:rFonts w:ascii="仿宋" w:hAnsi="仿宋" w:eastAsia="仿宋" w:cs="宋体"/>
          <w:color w:val="auto"/>
          <w:kern w:val="0"/>
          <w:sz w:val="24"/>
          <w:highlight w:val="none"/>
        </w:rPr>
        <w:t>监督投诉电话：</w:t>
      </w:r>
      <w:r>
        <w:rPr>
          <w:rFonts w:hint="eastAsia" w:ascii="仿宋" w:hAnsi="仿宋" w:eastAsia="仿宋" w:cs="宋体"/>
          <w:color w:val="auto"/>
          <w:kern w:val="0"/>
          <w:sz w:val="24"/>
          <w:highlight w:val="none"/>
        </w:rPr>
        <w:t xml:space="preserve">0577-88532725、88521948  </w:t>
      </w:r>
    </w:p>
    <w:p w14:paraId="1074EE59">
      <w:pPr>
        <w:pStyle w:val="23"/>
        <w:rPr>
          <w:rFonts w:hint="eastAsia"/>
          <w:color w:val="auto"/>
          <w:highlight w:val="none"/>
          <w:lang w:eastAsia="zh-CN"/>
        </w:rPr>
      </w:pPr>
    </w:p>
    <w:p w14:paraId="122E84F4">
      <w:pPr>
        <w:widowControl/>
        <w:snapToGrid w:val="0"/>
        <w:spacing w:line="240" w:lineRule="auto"/>
        <w:ind w:left="0" w:leftChars="0" w:firstLine="228" w:firstLineChars="100"/>
        <w:jc w:val="left"/>
        <w:rPr>
          <w:rFonts w:ascii="仿宋" w:hAnsi="仿宋" w:eastAsia="仿宋" w:cs="宋体"/>
          <w:color w:val="auto"/>
          <w:spacing w:val="-6"/>
          <w:kern w:val="0"/>
          <w:sz w:val="24"/>
          <w:highlight w:val="none"/>
        </w:rPr>
      </w:pPr>
      <w:r>
        <w:rPr>
          <w:rFonts w:ascii="仿宋" w:hAnsi="仿宋" w:eastAsia="仿宋" w:cs="宋体"/>
          <w:color w:val="auto"/>
          <w:spacing w:val="-6"/>
          <w:kern w:val="0"/>
          <w:sz w:val="24"/>
          <w:highlight w:val="none"/>
        </w:rPr>
        <w:t>若对项目采购电子交易系统操作有疑问，可登录政采</w:t>
      </w:r>
      <w:r>
        <w:rPr>
          <w:rFonts w:hint="default" w:ascii="仿宋" w:hAnsi="仿宋" w:eastAsia="仿宋" w:cs="宋体"/>
          <w:color w:val="auto"/>
          <w:spacing w:val="-6"/>
          <w:kern w:val="0"/>
          <w:sz w:val="24"/>
          <w:highlight w:val="none"/>
          <w:lang w:val="en-US" w:eastAsia="zh-CN"/>
        </w:rPr>
        <w:t>云</w:t>
      </w:r>
      <w:r>
        <w:rPr>
          <w:rFonts w:ascii="仿宋" w:hAnsi="仿宋" w:eastAsia="仿宋" w:cs="宋体"/>
          <w:color w:val="auto"/>
          <w:spacing w:val="-6"/>
          <w:kern w:val="0"/>
          <w:sz w:val="24"/>
          <w:highlight w:val="none"/>
        </w:rPr>
        <w:fldChar w:fldCharType="begin"/>
      </w:r>
      <w:r>
        <w:rPr>
          <w:rFonts w:ascii="仿宋" w:hAnsi="仿宋" w:eastAsia="仿宋" w:cs="宋体"/>
          <w:color w:val="auto"/>
          <w:spacing w:val="-6"/>
          <w:kern w:val="0"/>
          <w:sz w:val="24"/>
          <w:highlight w:val="none"/>
        </w:rPr>
        <w:instrText xml:space="preserve"> HYPERLINK "https://www.zcygov.cn/" </w:instrText>
      </w:r>
      <w:r>
        <w:rPr>
          <w:rFonts w:ascii="仿宋" w:hAnsi="仿宋" w:eastAsia="仿宋" w:cs="宋体"/>
          <w:color w:val="auto"/>
          <w:spacing w:val="-6"/>
          <w:kern w:val="0"/>
          <w:sz w:val="24"/>
          <w:highlight w:val="none"/>
        </w:rPr>
        <w:fldChar w:fldCharType="separate"/>
      </w:r>
      <w:r>
        <w:rPr>
          <w:rFonts w:ascii="仿宋" w:hAnsi="仿宋" w:eastAsia="仿宋" w:cs="宋体"/>
          <w:color w:val="auto"/>
          <w:spacing w:val="-6"/>
          <w:kern w:val="0"/>
          <w:sz w:val="24"/>
          <w:highlight w:val="none"/>
        </w:rPr>
        <w:t>https://www.zcygov.cn</w:t>
      </w:r>
      <w:r>
        <w:rPr>
          <w:rFonts w:ascii="仿宋" w:hAnsi="仿宋" w:eastAsia="仿宋" w:cs="宋体"/>
          <w:color w:val="auto"/>
          <w:spacing w:val="-6"/>
          <w:kern w:val="0"/>
          <w:sz w:val="24"/>
          <w:highlight w:val="none"/>
        </w:rPr>
        <w:fldChar w:fldCharType="end"/>
      </w:r>
      <w:r>
        <w:rPr>
          <w:rFonts w:ascii="仿宋" w:hAnsi="仿宋" w:eastAsia="仿宋" w:cs="宋体"/>
          <w:color w:val="auto"/>
          <w:spacing w:val="-6"/>
          <w:kern w:val="0"/>
          <w:sz w:val="24"/>
          <w:highlight w:val="none"/>
        </w:rPr>
        <w:t>，点击右侧咨询小采，获取采小蜜智能服务管家帮助，或拨打政采云服务热线</w:t>
      </w:r>
      <w:r>
        <w:rPr>
          <w:rFonts w:hint="eastAsia" w:ascii="仿宋" w:hAnsi="仿宋" w:eastAsia="仿宋" w:cs="宋体"/>
          <w:color w:val="auto"/>
          <w:spacing w:val="-6"/>
          <w:kern w:val="0"/>
          <w:sz w:val="24"/>
          <w:highlight w:val="none"/>
          <w:lang w:val="en-US" w:eastAsia="zh-CN"/>
        </w:rPr>
        <w:t>95763</w:t>
      </w:r>
      <w:r>
        <w:rPr>
          <w:rFonts w:ascii="仿宋" w:hAnsi="仿宋" w:eastAsia="仿宋" w:cs="宋体"/>
          <w:color w:val="auto"/>
          <w:spacing w:val="-6"/>
          <w:kern w:val="0"/>
          <w:sz w:val="24"/>
          <w:highlight w:val="none"/>
        </w:rPr>
        <w:t>获取热线服务帮助。CA问题联系电话（人工）：汇信CA400-888-4636；天谷CA400-087-8198。</w:t>
      </w:r>
    </w:p>
    <w:p w14:paraId="51DACED3">
      <w:pPr>
        <w:rPr>
          <w:rFonts w:hint="eastAsia" w:ascii="仿宋" w:hAnsi="仿宋" w:eastAsia="仿宋"/>
          <w:b/>
          <w:color w:val="auto"/>
          <w:sz w:val="36"/>
          <w:szCs w:val="36"/>
          <w:highlight w:val="none"/>
        </w:rPr>
      </w:pPr>
      <w:r>
        <w:rPr>
          <w:rFonts w:hint="eastAsia" w:ascii="仿宋" w:hAnsi="仿宋" w:eastAsia="仿宋"/>
          <w:b/>
          <w:color w:val="auto"/>
          <w:sz w:val="36"/>
          <w:szCs w:val="36"/>
          <w:highlight w:val="none"/>
        </w:rPr>
        <w:br w:type="page"/>
      </w:r>
    </w:p>
    <w:p w14:paraId="0EBF62F0">
      <w:pPr>
        <w:widowControl/>
        <w:snapToGrid w:val="0"/>
        <w:spacing w:line="360" w:lineRule="auto"/>
        <w:jc w:val="center"/>
        <w:outlineLvl w:val="0"/>
        <w:rPr>
          <w:rFonts w:ascii="仿宋" w:hAnsi="仿宋" w:eastAsia="仿宋"/>
          <w:b/>
          <w:color w:val="auto"/>
          <w:sz w:val="36"/>
          <w:szCs w:val="36"/>
          <w:highlight w:val="none"/>
        </w:rPr>
      </w:pPr>
      <w:r>
        <w:rPr>
          <w:rFonts w:hint="eastAsia" w:ascii="仿宋" w:hAnsi="仿宋" w:eastAsia="仿宋"/>
          <w:b/>
          <w:color w:val="auto"/>
          <w:sz w:val="36"/>
          <w:szCs w:val="36"/>
          <w:highlight w:val="none"/>
        </w:rPr>
        <w:t>第二部分  投标人须知</w:t>
      </w:r>
    </w:p>
    <w:p w14:paraId="5F68E987">
      <w:pPr>
        <w:widowControl/>
        <w:snapToGrid w:val="0"/>
        <w:spacing w:line="360" w:lineRule="auto"/>
        <w:jc w:val="center"/>
        <w:outlineLvl w:val="1"/>
        <w:rPr>
          <w:rFonts w:ascii="仿宋" w:hAnsi="仿宋" w:eastAsia="仿宋"/>
          <w:b/>
          <w:color w:val="auto"/>
          <w:sz w:val="28"/>
          <w:szCs w:val="28"/>
          <w:highlight w:val="none"/>
        </w:rPr>
      </w:pPr>
      <w:r>
        <w:rPr>
          <w:rFonts w:hint="eastAsia" w:ascii="仿宋" w:hAnsi="仿宋" w:eastAsia="仿宋"/>
          <w:b/>
          <w:color w:val="auto"/>
          <w:sz w:val="28"/>
          <w:szCs w:val="28"/>
          <w:highlight w:val="none"/>
        </w:rPr>
        <w:t>投标人须知前附表</w:t>
      </w:r>
    </w:p>
    <w:tbl>
      <w:tblPr>
        <w:tblStyle w:val="57"/>
        <w:tblW w:w="8996" w:type="dxa"/>
        <w:jc w:val="center"/>
        <w:tblLayout w:type="fixed"/>
        <w:tblCellMar>
          <w:top w:w="0" w:type="dxa"/>
          <w:left w:w="108" w:type="dxa"/>
          <w:bottom w:w="0" w:type="dxa"/>
          <w:right w:w="108" w:type="dxa"/>
        </w:tblCellMar>
      </w:tblPr>
      <w:tblGrid>
        <w:gridCol w:w="1048"/>
        <w:gridCol w:w="1687"/>
        <w:gridCol w:w="6261"/>
      </w:tblGrid>
      <w:tr w14:paraId="3BFB526B">
        <w:tblPrEx>
          <w:tblCellMar>
            <w:top w:w="0" w:type="dxa"/>
            <w:left w:w="108" w:type="dxa"/>
            <w:bottom w:w="0" w:type="dxa"/>
            <w:right w:w="108" w:type="dxa"/>
          </w:tblCellMar>
        </w:tblPrEx>
        <w:trPr>
          <w:trHeight w:val="680" w:hRule="atLeast"/>
          <w:tblHeader/>
          <w:jc w:val="center"/>
        </w:trPr>
        <w:tc>
          <w:tcPr>
            <w:tcW w:w="1048" w:type="dxa"/>
            <w:tcBorders>
              <w:top w:val="single" w:color="auto" w:sz="4" w:space="0"/>
              <w:left w:val="single" w:color="auto" w:sz="4" w:space="0"/>
              <w:bottom w:val="single" w:color="auto" w:sz="4" w:space="0"/>
              <w:right w:val="single" w:color="auto" w:sz="4" w:space="0"/>
            </w:tcBorders>
            <w:vAlign w:val="center"/>
          </w:tcPr>
          <w:p w14:paraId="3D853AB1">
            <w:pPr>
              <w:snapToGrid w:val="0"/>
              <w:jc w:val="center"/>
              <w:rPr>
                <w:rFonts w:ascii="仿宋" w:hAnsi="仿宋" w:eastAsia="仿宋" w:cs="新宋体"/>
                <w:color w:val="auto"/>
                <w:kern w:val="0"/>
                <w:sz w:val="24"/>
                <w:szCs w:val="24"/>
                <w:highlight w:val="none"/>
              </w:rPr>
            </w:pPr>
            <w:r>
              <w:rPr>
                <w:rFonts w:hint="eastAsia" w:ascii="仿宋" w:hAnsi="仿宋" w:eastAsia="仿宋" w:cs="新宋体"/>
                <w:color w:val="auto"/>
                <w:kern w:val="0"/>
                <w:sz w:val="24"/>
                <w:szCs w:val="24"/>
                <w:highlight w:val="none"/>
              </w:rPr>
              <w:t>条款号</w:t>
            </w:r>
          </w:p>
        </w:tc>
        <w:tc>
          <w:tcPr>
            <w:tcW w:w="1687" w:type="dxa"/>
            <w:tcBorders>
              <w:top w:val="single" w:color="auto" w:sz="4" w:space="0"/>
              <w:left w:val="single" w:color="auto" w:sz="4" w:space="0"/>
              <w:bottom w:val="single" w:color="auto" w:sz="4" w:space="0"/>
              <w:right w:val="single" w:color="auto" w:sz="4" w:space="0"/>
            </w:tcBorders>
            <w:vAlign w:val="center"/>
          </w:tcPr>
          <w:p w14:paraId="7574AAD4">
            <w:pPr>
              <w:snapToGrid w:val="0"/>
              <w:jc w:val="center"/>
              <w:rPr>
                <w:rFonts w:ascii="仿宋" w:hAnsi="仿宋" w:eastAsia="仿宋" w:cs="新宋体"/>
                <w:color w:val="auto"/>
                <w:kern w:val="0"/>
                <w:sz w:val="24"/>
                <w:szCs w:val="24"/>
                <w:highlight w:val="none"/>
              </w:rPr>
            </w:pPr>
            <w:r>
              <w:rPr>
                <w:rFonts w:hint="eastAsia" w:ascii="仿宋" w:hAnsi="仿宋" w:eastAsia="仿宋" w:cs="新宋体"/>
                <w:color w:val="auto"/>
                <w:kern w:val="0"/>
                <w:sz w:val="24"/>
                <w:szCs w:val="24"/>
                <w:highlight w:val="none"/>
              </w:rPr>
              <w:t>条款名称</w:t>
            </w:r>
          </w:p>
        </w:tc>
        <w:tc>
          <w:tcPr>
            <w:tcW w:w="6261" w:type="dxa"/>
            <w:tcBorders>
              <w:top w:val="single" w:color="auto" w:sz="4" w:space="0"/>
              <w:left w:val="single" w:color="auto" w:sz="4" w:space="0"/>
              <w:bottom w:val="single" w:color="auto" w:sz="4" w:space="0"/>
              <w:right w:val="single" w:color="auto" w:sz="4" w:space="0"/>
            </w:tcBorders>
            <w:vAlign w:val="center"/>
          </w:tcPr>
          <w:p w14:paraId="7BCE5F7A">
            <w:pPr>
              <w:snapToGrid w:val="0"/>
              <w:jc w:val="center"/>
              <w:rPr>
                <w:rFonts w:ascii="仿宋" w:hAnsi="仿宋" w:eastAsia="仿宋" w:cs="新宋体"/>
                <w:color w:val="auto"/>
                <w:kern w:val="0"/>
                <w:sz w:val="24"/>
                <w:szCs w:val="24"/>
                <w:highlight w:val="none"/>
              </w:rPr>
            </w:pPr>
            <w:r>
              <w:rPr>
                <w:rFonts w:hint="eastAsia" w:ascii="仿宋" w:hAnsi="仿宋" w:eastAsia="仿宋" w:cs="新宋体"/>
                <w:color w:val="auto"/>
                <w:kern w:val="0"/>
                <w:sz w:val="24"/>
                <w:szCs w:val="24"/>
                <w:highlight w:val="none"/>
              </w:rPr>
              <w:t>编列内容</w:t>
            </w:r>
          </w:p>
        </w:tc>
      </w:tr>
      <w:tr w14:paraId="21CCFB5F">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0344EDDB">
            <w:pPr>
              <w:snapToGrid w:val="0"/>
              <w:jc w:val="center"/>
              <w:rPr>
                <w:rFonts w:ascii="仿宋" w:hAnsi="仿宋" w:eastAsia="仿宋" w:cs="新宋体"/>
                <w:color w:val="auto"/>
                <w:kern w:val="0"/>
                <w:sz w:val="24"/>
                <w:szCs w:val="24"/>
                <w:highlight w:val="none"/>
              </w:rPr>
            </w:pPr>
            <w:r>
              <w:rPr>
                <w:rFonts w:hint="eastAsia" w:ascii="仿宋" w:hAnsi="仿宋" w:eastAsia="仿宋" w:cs="新宋体"/>
                <w:color w:val="auto"/>
                <w:kern w:val="0"/>
                <w:sz w:val="24"/>
                <w:szCs w:val="24"/>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14:paraId="3A3455E5">
            <w:pPr>
              <w:snapToGrid w:val="0"/>
              <w:jc w:val="center"/>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行业划分</w:t>
            </w:r>
          </w:p>
        </w:tc>
        <w:tc>
          <w:tcPr>
            <w:tcW w:w="6261" w:type="dxa"/>
            <w:tcBorders>
              <w:top w:val="single" w:color="auto" w:sz="4" w:space="0"/>
              <w:left w:val="single" w:color="auto" w:sz="4" w:space="0"/>
              <w:bottom w:val="single" w:color="auto" w:sz="4" w:space="0"/>
              <w:right w:val="single" w:color="auto" w:sz="4" w:space="0"/>
            </w:tcBorders>
            <w:vAlign w:val="center"/>
          </w:tcPr>
          <w:p w14:paraId="0A80594B">
            <w:pPr>
              <w:snapToGrid w:val="0"/>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采购标的对应的中小企业划分标准所属行业：</w:t>
            </w:r>
          </w:p>
          <w:p w14:paraId="0D6A668F">
            <w:pPr>
              <w:spacing w:line="360" w:lineRule="exact"/>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lang w:val="en-US" w:eastAsia="zh-CN"/>
              </w:rPr>
              <w:t>本次采购</w:t>
            </w:r>
            <w:r>
              <w:rPr>
                <w:rFonts w:hint="eastAsia" w:ascii="仿宋" w:hAnsi="仿宋" w:eastAsia="仿宋" w:cs="Arial"/>
                <w:color w:val="auto"/>
                <w:kern w:val="0"/>
                <w:sz w:val="24"/>
                <w:szCs w:val="24"/>
                <w:highlight w:val="none"/>
              </w:rPr>
              <w:t>标的：</w:t>
            </w:r>
            <w:r>
              <w:rPr>
                <w:rFonts w:hint="eastAsia" w:ascii="仿宋" w:hAnsi="仿宋" w:eastAsia="仿宋" w:cs="Arial"/>
                <w:color w:val="auto"/>
                <w:kern w:val="0"/>
                <w:sz w:val="24"/>
                <w:szCs w:val="24"/>
                <w:highlight w:val="none"/>
                <w:u w:val="single"/>
                <w:lang w:eastAsia="zh-CN"/>
              </w:rPr>
              <w:t>2025年温州市区餐厨垃圾收运处置第三方监管服务项目</w:t>
            </w:r>
            <w:r>
              <w:rPr>
                <w:rFonts w:hint="eastAsia" w:ascii="仿宋" w:hAnsi="仿宋" w:eastAsia="仿宋" w:cs="Arial"/>
                <w:color w:val="auto"/>
                <w:kern w:val="0"/>
                <w:sz w:val="24"/>
                <w:szCs w:val="24"/>
                <w:highlight w:val="none"/>
              </w:rPr>
              <w:t>，属于</w:t>
            </w:r>
            <w:r>
              <w:rPr>
                <w:rFonts w:hint="eastAsia" w:ascii="仿宋" w:hAnsi="仿宋" w:eastAsia="仿宋" w:cs="Arial"/>
                <w:color w:val="auto"/>
                <w:kern w:val="0"/>
                <w:sz w:val="24"/>
                <w:szCs w:val="24"/>
                <w:highlight w:val="none"/>
                <w:u w:val="single"/>
              </w:rPr>
              <w:t>其他未列明</w:t>
            </w:r>
            <w:r>
              <w:rPr>
                <w:rFonts w:hint="eastAsia" w:ascii="仿宋" w:hAnsi="仿宋" w:eastAsia="仿宋" w:cs="Arial"/>
                <w:color w:val="auto"/>
                <w:kern w:val="0"/>
                <w:sz w:val="24"/>
                <w:szCs w:val="24"/>
                <w:highlight w:val="none"/>
                <w:u w:val="single"/>
                <w:lang w:val="en-US" w:eastAsia="zh-CN"/>
              </w:rPr>
              <w:t>行业</w:t>
            </w:r>
            <w:r>
              <w:rPr>
                <w:rFonts w:hint="default" w:ascii="仿宋" w:hAnsi="仿宋" w:eastAsia="仿宋" w:cs="Arial"/>
                <w:color w:val="auto"/>
                <w:kern w:val="0"/>
                <w:sz w:val="24"/>
                <w:szCs w:val="24"/>
                <w:highlight w:val="none"/>
                <w:u w:val="single"/>
              </w:rPr>
              <w:t xml:space="preserve"> </w:t>
            </w:r>
            <w:r>
              <w:rPr>
                <w:rFonts w:hint="eastAsia" w:ascii="仿宋" w:hAnsi="仿宋" w:eastAsia="仿宋" w:cs="Arial"/>
                <w:color w:val="auto"/>
                <w:kern w:val="0"/>
                <w:sz w:val="24"/>
                <w:szCs w:val="24"/>
                <w:highlight w:val="none"/>
              </w:rPr>
              <w:t>；</w:t>
            </w:r>
            <w:r>
              <w:rPr>
                <w:rFonts w:hint="eastAsia" w:ascii="仿宋" w:hAnsi="仿宋" w:eastAsia="仿宋" w:cs="Arial"/>
                <w:color w:val="auto"/>
                <w:kern w:val="0"/>
                <w:sz w:val="24"/>
                <w:szCs w:val="24"/>
                <w:highlight w:val="none"/>
                <w:lang w:val="zh-CN"/>
              </w:rPr>
              <w:t>根据工信部等部委发布的《关于印发中小企业划型标准规定的通知》（工信部联企业〔2011〕300号）（从业人员300 人以下的为中小微型企业。其中，从业人员100 人及以上的为中型企业；从业人员10 人及以上的为小型企业；从业人员10 人以下的为微型企业。）</w:t>
            </w:r>
          </w:p>
        </w:tc>
      </w:tr>
      <w:tr w14:paraId="2E40C9B6">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36039DAF">
            <w:pPr>
              <w:snapToGrid w:val="0"/>
              <w:jc w:val="center"/>
              <w:rPr>
                <w:rFonts w:ascii="仿宋" w:hAnsi="仿宋" w:eastAsia="仿宋" w:cs="新宋体"/>
                <w:color w:val="auto"/>
                <w:kern w:val="0"/>
                <w:sz w:val="24"/>
                <w:szCs w:val="24"/>
                <w:highlight w:val="none"/>
              </w:rPr>
            </w:pPr>
            <w:r>
              <w:rPr>
                <w:rFonts w:hint="eastAsia" w:ascii="仿宋" w:hAnsi="仿宋" w:eastAsia="仿宋" w:cs="新宋体"/>
                <w:color w:val="auto"/>
                <w:kern w:val="0"/>
                <w:sz w:val="24"/>
                <w:szCs w:val="24"/>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14:paraId="7BE0EF33">
            <w:pPr>
              <w:snapToGrid w:val="0"/>
              <w:jc w:val="center"/>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项目属性</w:t>
            </w:r>
          </w:p>
        </w:tc>
        <w:tc>
          <w:tcPr>
            <w:tcW w:w="6261" w:type="dxa"/>
            <w:tcBorders>
              <w:top w:val="single" w:color="auto" w:sz="4" w:space="0"/>
              <w:left w:val="single" w:color="auto" w:sz="4" w:space="0"/>
              <w:bottom w:val="single" w:color="auto" w:sz="4" w:space="0"/>
              <w:right w:val="single" w:color="auto" w:sz="4" w:space="0"/>
            </w:tcBorders>
            <w:vAlign w:val="center"/>
          </w:tcPr>
          <w:p w14:paraId="7F8C9EB7">
            <w:pPr>
              <w:snapToGrid w:val="0"/>
              <w:rPr>
                <w:rFonts w:ascii="仿宋" w:hAnsi="仿宋" w:eastAsia="仿宋"/>
                <w:color w:val="auto"/>
                <w:sz w:val="24"/>
                <w:szCs w:val="24"/>
                <w:highlight w:val="none"/>
              </w:rPr>
            </w:pPr>
            <w:r>
              <w:rPr>
                <w:rFonts w:hint="eastAsia" w:ascii="仿宋" w:hAnsi="仿宋" w:eastAsia="仿宋"/>
                <w:color w:val="auto"/>
                <w:sz w:val="24"/>
                <w:szCs w:val="24"/>
                <w:highlight w:val="none"/>
              </w:rPr>
              <w:t>服务类</w:t>
            </w:r>
          </w:p>
        </w:tc>
      </w:tr>
      <w:tr w14:paraId="6E81DB30">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1CE61C4C">
            <w:pPr>
              <w:snapToGrid w:val="0"/>
              <w:jc w:val="center"/>
              <w:rPr>
                <w:rFonts w:ascii="仿宋" w:hAnsi="仿宋" w:eastAsia="仿宋" w:cs="新宋体"/>
                <w:color w:val="auto"/>
                <w:kern w:val="0"/>
                <w:sz w:val="24"/>
                <w:szCs w:val="24"/>
                <w:highlight w:val="none"/>
              </w:rPr>
            </w:pPr>
            <w:r>
              <w:rPr>
                <w:rFonts w:hint="eastAsia" w:ascii="仿宋" w:hAnsi="仿宋" w:eastAsia="仿宋" w:cs="新宋体"/>
                <w:color w:val="auto"/>
                <w:kern w:val="0"/>
                <w:sz w:val="24"/>
                <w:szCs w:val="24"/>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14:paraId="141955AE">
            <w:pPr>
              <w:snapToGrid w:val="0"/>
              <w:jc w:val="center"/>
              <w:rPr>
                <w:rFonts w:ascii="仿宋" w:hAnsi="仿宋" w:eastAsia="仿宋" w:cs="仿宋_GB2312"/>
                <w:color w:val="auto"/>
                <w:sz w:val="24"/>
                <w:szCs w:val="24"/>
                <w:highlight w:val="none"/>
              </w:rPr>
            </w:pPr>
            <w:r>
              <w:rPr>
                <w:rFonts w:hint="eastAsia" w:ascii="仿宋" w:hAnsi="仿宋" w:eastAsia="仿宋" w:cs="新宋体"/>
                <w:color w:val="auto"/>
                <w:kern w:val="0"/>
                <w:sz w:val="24"/>
                <w:szCs w:val="24"/>
                <w:highlight w:val="none"/>
              </w:rPr>
              <w:t>分包</w:t>
            </w:r>
          </w:p>
        </w:tc>
        <w:tc>
          <w:tcPr>
            <w:tcW w:w="6261" w:type="dxa"/>
            <w:tcBorders>
              <w:top w:val="single" w:color="auto" w:sz="4" w:space="0"/>
              <w:left w:val="single" w:color="auto" w:sz="4" w:space="0"/>
              <w:bottom w:val="single" w:color="auto" w:sz="4" w:space="0"/>
              <w:right w:val="single" w:color="auto" w:sz="4" w:space="0"/>
            </w:tcBorders>
            <w:vAlign w:val="center"/>
          </w:tcPr>
          <w:p w14:paraId="312BD2A7">
            <w:pPr>
              <w:snapToGrid w:val="0"/>
              <w:rPr>
                <w:rFonts w:ascii="仿宋" w:hAnsi="仿宋" w:eastAsia="仿宋" w:cs="Arial"/>
                <w:color w:val="auto"/>
                <w:kern w:val="0"/>
                <w:sz w:val="24"/>
                <w:szCs w:val="24"/>
                <w:highlight w:val="none"/>
              </w:rPr>
            </w:pPr>
            <w:r>
              <w:rPr>
                <w:rFonts w:hint="eastAsia" w:ascii="仿宋" w:hAnsi="仿宋" w:eastAsia="仿宋" w:cs="新宋体"/>
                <w:color w:val="auto"/>
                <w:kern w:val="0"/>
                <w:sz w:val="24"/>
                <w:szCs w:val="24"/>
                <w:highlight w:val="none"/>
              </w:rPr>
              <w:t>不允许</w:t>
            </w:r>
          </w:p>
        </w:tc>
      </w:tr>
      <w:tr w14:paraId="71A1488C">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7BA65950">
            <w:pPr>
              <w:snapToGrid w:val="0"/>
              <w:jc w:val="center"/>
              <w:rPr>
                <w:rFonts w:ascii="仿宋" w:hAnsi="仿宋" w:eastAsia="仿宋" w:cs="新宋体"/>
                <w:color w:val="auto"/>
                <w:kern w:val="0"/>
                <w:sz w:val="24"/>
                <w:szCs w:val="24"/>
                <w:highlight w:val="none"/>
              </w:rPr>
            </w:pPr>
            <w:r>
              <w:rPr>
                <w:rFonts w:hint="eastAsia" w:ascii="仿宋" w:hAnsi="仿宋" w:eastAsia="仿宋" w:cs="新宋体"/>
                <w:color w:val="auto"/>
                <w:kern w:val="0"/>
                <w:sz w:val="24"/>
                <w:szCs w:val="24"/>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14:paraId="3CDA0183">
            <w:pPr>
              <w:snapToGrid w:val="0"/>
              <w:jc w:val="center"/>
              <w:rPr>
                <w:rFonts w:ascii="仿宋" w:hAnsi="仿宋" w:eastAsia="仿宋" w:cs="仿宋_GB2312"/>
                <w:color w:val="auto"/>
                <w:sz w:val="24"/>
                <w:szCs w:val="24"/>
                <w:highlight w:val="none"/>
              </w:rPr>
            </w:pPr>
            <w:r>
              <w:rPr>
                <w:rFonts w:hint="eastAsia" w:ascii="仿宋" w:hAnsi="仿宋" w:eastAsia="仿宋" w:cs="新宋体"/>
                <w:color w:val="auto"/>
                <w:kern w:val="0"/>
                <w:sz w:val="24"/>
                <w:szCs w:val="24"/>
                <w:highlight w:val="none"/>
              </w:rPr>
              <w:t>偏离</w:t>
            </w:r>
          </w:p>
        </w:tc>
        <w:tc>
          <w:tcPr>
            <w:tcW w:w="6261" w:type="dxa"/>
            <w:tcBorders>
              <w:top w:val="single" w:color="auto" w:sz="4" w:space="0"/>
              <w:left w:val="single" w:color="auto" w:sz="4" w:space="0"/>
              <w:bottom w:val="single" w:color="auto" w:sz="4" w:space="0"/>
              <w:right w:val="single" w:color="auto" w:sz="4" w:space="0"/>
            </w:tcBorders>
            <w:vAlign w:val="center"/>
          </w:tcPr>
          <w:p w14:paraId="44E22D35">
            <w:pPr>
              <w:snapToGrid w:val="0"/>
              <w:rPr>
                <w:rFonts w:ascii="仿宋" w:hAnsi="仿宋" w:eastAsia="仿宋" w:cs="Arial"/>
                <w:color w:val="auto"/>
                <w:kern w:val="0"/>
                <w:sz w:val="24"/>
                <w:szCs w:val="24"/>
                <w:highlight w:val="none"/>
              </w:rPr>
            </w:pPr>
            <w:r>
              <w:rPr>
                <w:rFonts w:hint="eastAsia" w:ascii="仿宋" w:hAnsi="仿宋" w:eastAsia="仿宋" w:cs="新宋体"/>
                <w:color w:val="auto"/>
                <w:kern w:val="0"/>
                <w:sz w:val="24"/>
                <w:szCs w:val="24"/>
                <w:highlight w:val="none"/>
              </w:rPr>
              <w:t>不允许</w:t>
            </w:r>
          </w:p>
        </w:tc>
      </w:tr>
      <w:tr w14:paraId="72110C7F">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2CA247DF">
            <w:pPr>
              <w:snapToGrid w:val="0"/>
              <w:jc w:val="center"/>
              <w:rPr>
                <w:rFonts w:ascii="仿宋" w:hAnsi="仿宋" w:eastAsia="仿宋" w:cs="新宋体"/>
                <w:color w:val="auto"/>
                <w:kern w:val="0"/>
                <w:sz w:val="24"/>
                <w:szCs w:val="24"/>
                <w:highlight w:val="none"/>
              </w:rPr>
            </w:pPr>
            <w:r>
              <w:rPr>
                <w:rFonts w:hint="eastAsia" w:ascii="仿宋" w:hAnsi="仿宋" w:eastAsia="仿宋" w:cs="新宋体"/>
                <w:color w:val="auto"/>
                <w:kern w:val="0"/>
                <w:sz w:val="24"/>
                <w:szCs w:val="24"/>
                <w:highlight w:val="none"/>
              </w:rPr>
              <w:t>6.1</w:t>
            </w:r>
          </w:p>
        </w:tc>
        <w:tc>
          <w:tcPr>
            <w:tcW w:w="1687" w:type="dxa"/>
            <w:tcBorders>
              <w:top w:val="single" w:color="auto" w:sz="4" w:space="0"/>
              <w:left w:val="single" w:color="auto" w:sz="4" w:space="0"/>
              <w:bottom w:val="single" w:color="auto" w:sz="4" w:space="0"/>
              <w:right w:val="single" w:color="auto" w:sz="4" w:space="0"/>
            </w:tcBorders>
            <w:vAlign w:val="center"/>
          </w:tcPr>
          <w:p w14:paraId="7967A431">
            <w:pPr>
              <w:snapToGrid w:val="0"/>
              <w:jc w:val="center"/>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标前答疑会或现场考察</w:t>
            </w:r>
          </w:p>
        </w:tc>
        <w:tc>
          <w:tcPr>
            <w:tcW w:w="6261" w:type="dxa"/>
            <w:tcBorders>
              <w:top w:val="single" w:color="auto" w:sz="4" w:space="0"/>
              <w:left w:val="single" w:color="auto" w:sz="4" w:space="0"/>
              <w:bottom w:val="single" w:color="auto" w:sz="4" w:space="0"/>
              <w:right w:val="single" w:color="auto" w:sz="4" w:space="0"/>
            </w:tcBorders>
            <w:vAlign w:val="center"/>
          </w:tcPr>
          <w:p w14:paraId="10273F75">
            <w:pPr>
              <w:snapToGrid w:val="0"/>
              <w:rPr>
                <w:rFonts w:ascii="仿宋" w:hAnsi="仿宋" w:eastAsia="仿宋"/>
                <w:color w:val="auto"/>
                <w:sz w:val="24"/>
                <w:szCs w:val="24"/>
                <w:highlight w:val="none"/>
              </w:rPr>
            </w:pPr>
            <w:r>
              <w:rPr>
                <w:rFonts w:hint="eastAsia" w:ascii="仿宋" w:hAnsi="仿宋" w:eastAsia="仿宋"/>
                <w:color w:val="auto"/>
                <w:sz w:val="24"/>
                <w:szCs w:val="24"/>
                <w:highlight w:val="none"/>
              </w:rPr>
              <w:t>不组织</w:t>
            </w:r>
          </w:p>
        </w:tc>
      </w:tr>
      <w:tr w14:paraId="74B7A9D6">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7D6CF841">
            <w:pPr>
              <w:autoSpaceDE w:val="0"/>
              <w:autoSpaceDN w:val="0"/>
              <w:snapToGrid w:val="0"/>
              <w:jc w:val="center"/>
              <w:rPr>
                <w:rFonts w:ascii="仿宋" w:hAnsi="仿宋" w:eastAsia="仿宋" w:cs="新宋体"/>
                <w:color w:val="auto"/>
                <w:kern w:val="0"/>
                <w:sz w:val="24"/>
                <w:szCs w:val="24"/>
                <w:highlight w:val="none"/>
                <w:lang w:val="zh-CN"/>
              </w:rPr>
            </w:pPr>
            <w:r>
              <w:rPr>
                <w:rFonts w:hint="eastAsia" w:ascii="仿宋" w:hAnsi="仿宋" w:eastAsia="仿宋" w:cs="新宋体"/>
                <w:color w:val="auto"/>
                <w:kern w:val="0"/>
                <w:sz w:val="24"/>
                <w:szCs w:val="24"/>
                <w:highlight w:val="none"/>
                <w:lang w:val="zh-CN"/>
              </w:rPr>
              <w:t>10.4</w:t>
            </w:r>
          </w:p>
        </w:tc>
        <w:tc>
          <w:tcPr>
            <w:tcW w:w="1687" w:type="dxa"/>
            <w:tcBorders>
              <w:top w:val="single" w:color="auto" w:sz="4" w:space="0"/>
              <w:left w:val="single" w:color="auto" w:sz="4" w:space="0"/>
              <w:bottom w:val="single" w:color="auto" w:sz="4" w:space="0"/>
              <w:right w:val="single" w:color="auto" w:sz="4" w:space="0"/>
            </w:tcBorders>
            <w:vAlign w:val="center"/>
          </w:tcPr>
          <w:p w14:paraId="0342EA15">
            <w:pPr>
              <w:snapToGrid w:val="0"/>
              <w:jc w:val="center"/>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样品的提供（适用于货物类）</w:t>
            </w:r>
          </w:p>
        </w:tc>
        <w:tc>
          <w:tcPr>
            <w:tcW w:w="6261" w:type="dxa"/>
            <w:tcBorders>
              <w:top w:val="single" w:color="auto" w:sz="4" w:space="0"/>
              <w:left w:val="single" w:color="auto" w:sz="4" w:space="0"/>
              <w:bottom w:val="single" w:color="auto" w:sz="4" w:space="0"/>
              <w:right w:val="single" w:color="auto" w:sz="4" w:space="0"/>
            </w:tcBorders>
            <w:vAlign w:val="center"/>
          </w:tcPr>
          <w:p w14:paraId="7DA0F8AF">
            <w:pPr>
              <w:snapToGrid w:val="0"/>
              <w:rPr>
                <w:rFonts w:ascii="仿宋" w:hAnsi="仿宋" w:eastAsia="仿宋"/>
                <w:b/>
                <w:color w:val="auto"/>
                <w:sz w:val="24"/>
                <w:szCs w:val="24"/>
                <w:highlight w:val="none"/>
              </w:rPr>
            </w:pPr>
            <w:r>
              <w:rPr>
                <w:rFonts w:hint="eastAsia" w:ascii="仿宋" w:hAnsi="仿宋" w:eastAsia="仿宋" w:cs="仿宋_GB2312"/>
                <w:color w:val="auto"/>
                <w:sz w:val="24"/>
                <w:szCs w:val="24"/>
                <w:highlight w:val="none"/>
              </w:rPr>
              <w:t>不要求提供</w:t>
            </w:r>
          </w:p>
        </w:tc>
      </w:tr>
      <w:tr w14:paraId="645514DB">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02FD6DD5">
            <w:pPr>
              <w:autoSpaceDE w:val="0"/>
              <w:autoSpaceDN w:val="0"/>
              <w:snapToGrid w:val="0"/>
              <w:jc w:val="center"/>
              <w:rPr>
                <w:rFonts w:ascii="仿宋" w:hAnsi="仿宋" w:eastAsia="仿宋" w:cs="新宋体"/>
                <w:color w:val="auto"/>
                <w:kern w:val="0"/>
                <w:sz w:val="24"/>
                <w:szCs w:val="24"/>
                <w:highlight w:val="none"/>
                <w:lang w:val="zh-CN"/>
              </w:rPr>
            </w:pPr>
            <w:r>
              <w:rPr>
                <w:rFonts w:hint="eastAsia" w:ascii="仿宋" w:hAnsi="仿宋" w:eastAsia="仿宋" w:cs="新宋体"/>
                <w:color w:val="auto"/>
                <w:kern w:val="0"/>
                <w:sz w:val="24"/>
                <w:szCs w:val="24"/>
                <w:highlight w:val="none"/>
                <w:lang w:val="zh-CN"/>
              </w:rPr>
              <w:t>10.4</w:t>
            </w:r>
          </w:p>
        </w:tc>
        <w:tc>
          <w:tcPr>
            <w:tcW w:w="1687" w:type="dxa"/>
            <w:tcBorders>
              <w:top w:val="single" w:color="auto" w:sz="4" w:space="0"/>
              <w:left w:val="single" w:color="auto" w:sz="4" w:space="0"/>
              <w:bottom w:val="single" w:color="auto" w:sz="4" w:space="0"/>
              <w:right w:val="single" w:color="auto" w:sz="4" w:space="0"/>
            </w:tcBorders>
            <w:vAlign w:val="center"/>
          </w:tcPr>
          <w:p w14:paraId="0F38AFD2">
            <w:pPr>
              <w:snapToGrid w:val="0"/>
              <w:jc w:val="center"/>
              <w:rPr>
                <w:rFonts w:ascii="仿宋" w:hAnsi="仿宋" w:eastAsia="仿宋" w:cs="仿宋_GB2312"/>
                <w:bCs/>
                <w:color w:val="auto"/>
                <w:sz w:val="24"/>
                <w:szCs w:val="24"/>
                <w:highlight w:val="none"/>
              </w:rPr>
            </w:pPr>
            <w:r>
              <w:rPr>
                <w:rFonts w:hint="eastAsia" w:ascii="仿宋" w:hAnsi="仿宋" w:eastAsia="仿宋" w:cs="仿宋_GB2312"/>
                <w:color w:val="auto"/>
                <w:sz w:val="24"/>
                <w:szCs w:val="24"/>
                <w:highlight w:val="none"/>
              </w:rPr>
              <w:t>讲解或演示</w:t>
            </w:r>
          </w:p>
        </w:tc>
        <w:tc>
          <w:tcPr>
            <w:tcW w:w="6261" w:type="dxa"/>
            <w:tcBorders>
              <w:top w:val="single" w:color="auto" w:sz="4" w:space="0"/>
              <w:left w:val="single" w:color="auto" w:sz="4" w:space="0"/>
              <w:bottom w:val="single" w:color="auto" w:sz="4" w:space="0"/>
              <w:right w:val="single" w:color="auto" w:sz="4" w:space="0"/>
            </w:tcBorders>
            <w:vAlign w:val="center"/>
          </w:tcPr>
          <w:p w14:paraId="4FB0B37D">
            <w:pPr>
              <w:snapToGrid w:val="0"/>
              <w:rPr>
                <w:rFonts w:hint="eastAsia" w:ascii="仿宋" w:hAnsi="仿宋" w:eastAsia="仿宋" w:cs="仿宋_GB2312"/>
                <w:b/>
                <w:color w:val="auto"/>
                <w:kern w:val="0"/>
                <w:sz w:val="24"/>
                <w:szCs w:val="24"/>
                <w:highlight w:val="none"/>
                <w:lang w:val="zh-CN" w:eastAsia="zh-CN"/>
              </w:rPr>
            </w:pPr>
            <w:r>
              <w:rPr>
                <w:rFonts w:hint="eastAsia" w:ascii="仿宋" w:hAnsi="仿宋" w:eastAsia="仿宋"/>
                <w:color w:val="auto"/>
                <w:sz w:val="24"/>
                <w:szCs w:val="24"/>
                <w:highlight w:val="none"/>
                <w:lang w:eastAsia="zh-CN"/>
              </w:rPr>
              <w:t>要求演示，</w:t>
            </w:r>
            <w:r>
              <w:rPr>
                <w:rFonts w:hint="eastAsia" w:ascii="仿宋" w:hAnsi="仿宋" w:eastAsia="仿宋"/>
                <w:color w:val="auto"/>
                <w:sz w:val="24"/>
                <w:szCs w:val="24"/>
                <w:highlight w:val="none"/>
                <w:lang w:val="en-US" w:eastAsia="zh-CN"/>
              </w:rPr>
              <w:t>投标人在</w:t>
            </w:r>
            <w:r>
              <w:rPr>
                <w:rFonts w:hint="eastAsia" w:ascii="仿宋" w:hAnsi="仿宋" w:eastAsia="仿宋" w:cs="Times New Roman"/>
                <w:color w:val="auto"/>
                <w:kern w:val="2"/>
                <w:sz w:val="24"/>
                <w:szCs w:val="24"/>
                <w:highlight w:val="none"/>
              </w:rPr>
              <w:t>提交投标文件截止时间</w:t>
            </w:r>
            <w:r>
              <w:rPr>
                <w:rFonts w:hint="eastAsia" w:ascii="仿宋" w:hAnsi="仿宋" w:eastAsia="仿宋" w:cs="Times New Roman"/>
                <w:color w:val="auto"/>
                <w:kern w:val="2"/>
                <w:sz w:val="24"/>
                <w:szCs w:val="24"/>
                <w:highlight w:val="none"/>
                <w:lang w:val="en-US" w:eastAsia="zh-CN"/>
              </w:rPr>
              <w:t>前将</w:t>
            </w:r>
            <w:r>
              <w:rPr>
                <w:rFonts w:hint="eastAsia" w:ascii="仿宋" w:hAnsi="仿宋" w:eastAsia="仿宋"/>
                <w:color w:val="auto"/>
                <w:sz w:val="24"/>
                <w:szCs w:val="24"/>
                <w:highlight w:val="none"/>
                <w:lang w:eastAsia="zh-CN"/>
              </w:rPr>
              <w:t>演示内容发送至邮箱80867223@qq.com或拷贝U盘寄至代理公司，未按规定</w:t>
            </w:r>
            <w:r>
              <w:rPr>
                <w:rFonts w:hint="default" w:ascii="仿宋" w:hAnsi="仿宋" w:eastAsia="仿宋"/>
                <w:color w:val="auto"/>
                <w:sz w:val="24"/>
                <w:szCs w:val="24"/>
                <w:highlight w:val="none"/>
                <w:lang w:eastAsia="zh-CN"/>
              </w:rPr>
              <w:t>发送资料，</w:t>
            </w:r>
            <w:r>
              <w:rPr>
                <w:rFonts w:hint="eastAsia" w:ascii="仿宋" w:hAnsi="仿宋" w:eastAsia="仿宋"/>
                <w:color w:val="auto"/>
                <w:sz w:val="24"/>
                <w:szCs w:val="24"/>
                <w:highlight w:val="none"/>
                <w:lang w:eastAsia="zh-CN"/>
              </w:rPr>
              <w:t>后果</w:t>
            </w:r>
            <w:r>
              <w:rPr>
                <w:rFonts w:hint="default" w:ascii="仿宋" w:hAnsi="仿宋" w:eastAsia="仿宋"/>
                <w:color w:val="auto"/>
                <w:sz w:val="24"/>
                <w:szCs w:val="24"/>
                <w:highlight w:val="none"/>
                <w:lang w:eastAsia="zh-CN"/>
              </w:rPr>
              <w:t>由</w:t>
            </w:r>
            <w:r>
              <w:rPr>
                <w:rFonts w:hint="eastAsia" w:ascii="仿宋" w:hAnsi="仿宋" w:eastAsia="仿宋"/>
                <w:color w:val="auto"/>
                <w:sz w:val="24"/>
                <w:szCs w:val="24"/>
                <w:highlight w:val="none"/>
                <w:lang w:eastAsia="zh-CN"/>
              </w:rPr>
              <w:t>投标供应商自行承担。</w:t>
            </w:r>
          </w:p>
        </w:tc>
      </w:tr>
      <w:tr w14:paraId="00E71B65">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3A7AC402">
            <w:pPr>
              <w:snapToGrid w:val="0"/>
              <w:jc w:val="center"/>
              <w:rPr>
                <w:rFonts w:ascii="仿宋" w:hAnsi="仿宋" w:eastAsia="仿宋" w:cs="新宋体"/>
                <w:color w:val="auto"/>
                <w:kern w:val="0"/>
                <w:sz w:val="24"/>
                <w:szCs w:val="24"/>
                <w:highlight w:val="none"/>
              </w:rPr>
            </w:pPr>
            <w:r>
              <w:rPr>
                <w:rFonts w:hint="eastAsia" w:ascii="仿宋" w:hAnsi="仿宋" w:eastAsia="仿宋" w:cs="新宋体"/>
                <w:color w:val="auto"/>
                <w:kern w:val="0"/>
                <w:sz w:val="24"/>
                <w:szCs w:val="24"/>
                <w:highlight w:val="none"/>
              </w:rPr>
              <w:t>13.3</w:t>
            </w:r>
          </w:p>
        </w:tc>
        <w:tc>
          <w:tcPr>
            <w:tcW w:w="1687" w:type="dxa"/>
            <w:tcBorders>
              <w:top w:val="single" w:color="auto" w:sz="4" w:space="0"/>
              <w:left w:val="single" w:color="auto" w:sz="4" w:space="0"/>
              <w:bottom w:val="single" w:color="auto" w:sz="4" w:space="0"/>
              <w:right w:val="single" w:color="auto" w:sz="4" w:space="0"/>
            </w:tcBorders>
            <w:vAlign w:val="center"/>
          </w:tcPr>
          <w:p w14:paraId="6DE1045E">
            <w:pPr>
              <w:snapToGrid w:val="0"/>
              <w:rPr>
                <w:rFonts w:ascii="仿宋" w:hAnsi="仿宋" w:eastAsia="仿宋" w:cs="新宋体"/>
                <w:color w:val="auto"/>
                <w:kern w:val="0"/>
                <w:sz w:val="24"/>
                <w:szCs w:val="24"/>
                <w:highlight w:val="none"/>
              </w:rPr>
            </w:pPr>
            <w:r>
              <w:rPr>
                <w:rFonts w:hint="eastAsia" w:ascii="仿宋" w:hAnsi="仿宋" w:eastAsia="仿宋" w:cs="新宋体"/>
                <w:color w:val="auto"/>
                <w:kern w:val="0"/>
                <w:sz w:val="24"/>
                <w:szCs w:val="24"/>
                <w:highlight w:val="none"/>
              </w:rPr>
              <w:t>投标报价的其他要求</w:t>
            </w:r>
          </w:p>
        </w:tc>
        <w:tc>
          <w:tcPr>
            <w:tcW w:w="6261" w:type="dxa"/>
            <w:tcBorders>
              <w:top w:val="single" w:color="auto" w:sz="4" w:space="0"/>
              <w:left w:val="single" w:color="auto" w:sz="4" w:space="0"/>
              <w:bottom w:val="single" w:color="auto" w:sz="4" w:space="0"/>
              <w:right w:val="single" w:color="auto" w:sz="4" w:space="0"/>
            </w:tcBorders>
            <w:vAlign w:val="center"/>
          </w:tcPr>
          <w:p w14:paraId="3BB87136">
            <w:pPr>
              <w:snapToGrid w:val="0"/>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投标</w:t>
            </w:r>
            <w:r>
              <w:rPr>
                <w:rFonts w:hint="eastAsia" w:ascii="仿宋" w:hAnsi="仿宋" w:eastAsia="仿宋" w:cs="仿宋_GB2312"/>
                <w:color w:val="auto"/>
                <w:kern w:val="0"/>
                <w:sz w:val="24"/>
                <w:szCs w:val="24"/>
                <w:highlight w:val="none"/>
                <w:lang w:val="zh-CN"/>
              </w:rPr>
              <w:t>报价包含的内容：</w:t>
            </w:r>
          </w:p>
          <w:p w14:paraId="79D9AB76">
            <w:pPr>
              <w:numPr>
                <w:ilvl w:val="0"/>
                <w:numId w:val="1"/>
              </w:numPr>
              <w:snapToGrid w:val="0"/>
              <w:rPr>
                <w:rFonts w:hint="eastAsia"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包括设备费、人员服务费、交通费、办公设备用品费、食宿费、设备使用维护费、</w:t>
            </w:r>
            <w:r>
              <w:rPr>
                <w:rFonts w:hint="eastAsia" w:ascii="仿宋" w:hAnsi="仿宋" w:eastAsia="仿宋" w:cs="仿宋_GB2312"/>
                <w:bCs/>
                <w:color w:val="auto"/>
                <w:sz w:val="24"/>
                <w:szCs w:val="24"/>
                <w:highlight w:val="none"/>
                <w:lang w:eastAsia="zh-CN"/>
              </w:rPr>
              <w:t>实施工作所需的措施费、人员人身意外伤害</w:t>
            </w:r>
            <w:r>
              <w:rPr>
                <w:rFonts w:hint="eastAsia" w:ascii="仿宋" w:hAnsi="仿宋" w:eastAsia="仿宋" w:cs="仿宋_GB2312"/>
                <w:bCs/>
                <w:color w:val="auto"/>
                <w:sz w:val="24"/>
                <w:szCs w:val="24"/>
                <w:highlight w:val="none"/>
              </w:rPr>
              <w:t>等保险费、税金、利润</w:t>
            </w:r>
            <w:r>
              <w:rPr>
                <w:rFonts w:hint="eastAsia" w:ascii="仿宋" w:hAnsi="仿宋" w:eastAsia="仿宋" w:cs="仿宋_GB2312"/>
                <w:bCs/>
                <w:color w:val="auto"/>
                <w:sz w:val="24"/>
                <w:szCs w:val="24"/>
                <w:highlight w:val="none"/>
                <w:lang w:eastAsia="zh-CN"/>
              </w:rPr>
              <w:t>、代理服务费</w:t>
            </w:r>
            <w:r>
              <w:rPr>
                <w:rFonts w:hint="eastAsia" w:ascii="仿宋" w:hAnsi="仿宋" w:eastAsia="仿宋" w:cs="仿宋_GB2312"/>
                <w:bCs/>
                <w:color w:val="auto"/>
                <w:sz w:val="24"/>
                <w:szCs w:val="24"/>
                <w:highlight w:val="none"/>
              </w:rPr>
              <w:t>等全部费用和中标人要求获得的利润以及应由中标人承担的义务、责任和风险所发生的一切费用；</w:t>
            </w:r>
          </w:p>
          <w:p w14:paraId="5E91D4CA">
            <w:pPr>
              <w:numPr>
                <w:ilvl w:val="0"/>
                <w:numId w:val="1"/>
              </w:numPr>
              <w:snapToGrid w:val="0"/>
              <w:rPr>
                <w:rFonts w:ascii="仿宋" w:hAnsi="仿宋" w:eastAsia="仿宋"/>
                <w:color w:val="auto"/>
                <w:kern w:val="0"/>
                <w:sz w:val="24"/>
                <w:szCs w:val="24"/>
                <w:highlight w:val="none"/>
              </w:rPr>
            </w:pPr>
            <w:r>
              <w:rPr>
                <w:rFonts w:hint="eastAsia" w:ascii="仿宋" w:hAnsi="仿宋" w:eastAsia="仿宋" w:cs="仿宋_GB2312"/>
                <w:bCs/>
                <w:color w:val="auto"/>
                <w:sz w:val="24"/>
                <w:szCs w:val="24"/>
                <w:highlight w:val="none"/>
              </w:rPr>
              <w:t>采购代理服务费，收费标准：按国家计委计价格[2002]1980采购服务类标准</w:t>
            </w:r>
            <w:r>
              <w:rPr>
                <w:rFonts w:hint="eastAsia" w:ascii="仿宋" w:hAnsi="仿宋" w:eastAsia="仿宋" w:cs="仿宋_GB2312"/>
                <w:bCs/>
                <w:color w:val="auto"/>
                <w:sz w:val="24"/>
                <w:szCs w:val="24"/>
                <w:highlight w:val="none"/>
                <w:lang w:val="en-US" w:eastAsia="zh-CN"/>
              </w:rPr>
              <w:t>9</w:t>
            </w:r>
            <w:r>
              <w:rPr>
                <w:rFonts w:hint="eastAsia" w:ascii="仿宋" w:hAnsi="仿宋" w:eastAsia="仿宋" w:cs="仿宋_GB2312"/>
                <w:bCs/>
                <w:color w:val="auto"/>
                <w:sz w:val="24"/>
                <w:szCs w:val="24"/>
                <w:highlight w:val="none"/>
              </w:rPr>
              <w:t>0%计取</w:t>
            </w:r>
            <w:r>
              <w:rPr>
                <w:rFonts w:hint="eastAsia" w:ascii="仿宋" w:hAnsi="仿宋" w:eastAsia="仿宋" w:cs="仿宋_GB2312"/>
                <w:bCs/>
                <w:color w:val="auto"/>
                <w:sz w:val="24"/>
                <w:szCs w:val="24"/>
                <w:highlight w:val="none"/>
                <w:lang w:eastAsia="zh-CN"/>
              </w:rPr>
              <w:t>，低</w:t>
            </w:r>
            <w:r>
              <w:rPr>
                <w:rFonts w:hint="eastAsia" w:ascii="仿宋" w:hAnsi="仿宋" w:eastAsia="仿宋" w:cs="仿宋_GB2312"/>
                <w:bCs/>
                <w:color w:val="auto"/>
                <w:sz w:val="24"/>
                <w:szCs w:val="24"/>
                <w:highlight w:val="none"/>
                <w:lang w:val="en-US" w:eastAsia="zh-CN"/>
              </w:rPr>
              <w:t>于壹万元按壹万元包干记取</w:t>
            </w:r>
            <w:r>
              <w:rPr>
                <w:rFonts w:hint="eastAsia" w:ascii="仿宋" w:hAnsi="仿宋" w:eastAsia="仿宋" w:cs="仿宋_GB2312"/>
                <w:bCs/>
                <w:color w:val="auto"/>
                <w:sz w:val="24"/>
                <w:szCs w:val="24"/>
                <w:highlight w:val="none"/>
              </w:rPr>
              <w:t>，由中标人在领取中标通知书之前支付给招标代理机构，代理服务费包含在报价总价中。</w:t>
            </w:r>
          </w:p>
        </w:tc>
      </w:tr>
      <w:tr w14:paraId="3BDBD029">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4387CA5D">
            <w:pPr>
              <w:snapToGrid w:val="0"/>
              <w:jc w:val="center"/>
              <w:rPr>
                <w:rFonts w:ascii="仿宋" w:hAnsi="仿宋" w:eastAsia="仿宋" w:cs="新宋体"/>
                <w:color w:val="auto"/>
                <w:kern w:val="0"/>
                <w:sz w:val="24"/>
                <w:szCs w:val="24"/>
                <w:highlight w:val="none"/>
              </w:rPr>
            </w:pPr>
            <w:r>
              <w:rPr>
                <w:rFonts w:hint="eastAsia" w:ascii="仿宋" w:hAnsi="仿宋" w:eastAsia="仿宋" w:cs="新宋体"/>
                <w:color w:val="auto"/>
                <w:kern w:val="0"/>
                <w:sz w:val="24"/>
                <w:szCs w:val="24"/>
                <w:highlight w:val="none"/>
              </w:rPr>
              <w:t>14</w:t>
            </w:r>
          </w:p>
        </w:tc>
        <w:tc>
          <w:tcPr>
            <w:tcW w:w="1687" w:type="dxa"/>
            <w:tcBorders>
              <w:top w:val="single" w:color="auto" w:sz="4" w:space="0"/>
              <w:left w:val="single" w:color="auto" w:sz="4" w:space="0"/>
              <w:bottom w:val="single" w:color="auto" w:sz="4" w:space="0"/>
              <w:right w:val="single" w:color="auto" w:sz="4" w:space="0"/>
            </w:tcBorders>
            <w:vAlign w:val="center"/>
          </w:tcPr>
          <w:p w14:paraId="7397384F">
            <w:pPr>
              <w:snapToGrid w:val="0"/>
              <w:rPr>
                <w:rFonts w:ascii="仿宋" w:hAnsi="仿宋" w:eastAsia="仿宋" w:cs="新宋体"/>
                <w:color w:val="auto"/>
                <w:kern w:val="0"/>
                <w:sz w:val="24"/>
                <w:szCs w:val="24"/>
                <w:highlight w:val="none"/>
              </w:rPr>
            </w:pPr>
            <w:r>
              <w:rPr>
                <w:rFonts w:hint="eastAsia" w:ascii="仿宋" w:hAnsi="仿宋" w:eastAsia="仿宋" w:cs="新宋体"/>
                <w:color w:val="auto"/>
                <w:kern w:val="0"/>
                <w:sz w:val="24"/>
                <w:szCs w:val="24"/>
                <w:highlight w:val="none"/>
              </w:rPr>
              <w:t>投标保证金</w:t>
            </w:r>
          </w:p>
        </w:tc>
        <w:tc>
          <w:tcPr>
            <w:tcW w:w="6261" w:type="dxa"/>
            <w:tcBorders>
              <w:top w:val="single" w:color="auto" w:sz="4" w:space="0"/>
              <w:left w:val="single" w:color="auto" w:sz="4" w:space="0"/>
              <w:bottom w:val="single" w:color="auto" w:sz="4" w:space="0"/>
              <w:right w:val="single" w:color="auto" w:sz="4" w:space="0"/>
            </w:tcBorders>
            <w:vAlign w:val="center"/>
          </w:tcPr>
          <w:p w14:paraId="519EE2D1">
            <w:pPr>
              <w:snapToGrid w:val="0"/>
              <w:rPr>
                <w:rFonts w:ascii="仿宋" w:hAnsi="仿宋" w:eastAsia="仿宋"/>
                <w:color w:val="auto"/>
                <w:sz w:val="24"/>
                <w:szCs w:val="24"/>
                <w:highlight w:val="none"/>
                <w:u w:val="single"/>
              </w:rPr>
            </w:pPr>
            <w:r>
              <w:rPr>
                <w:rFonts w:hint="eastAsia" w:ascii="仿宋" w:hAnsi="仿宋" w:eastAsia="仿宋" w:cs="新宋体"/>
                <w:color w:val="auto"/>
                <w:kern w:val="0"/>
                <w:sz w:val="24"/>
                <w:szCs w:val="24"/>
                <w:highlight w:val="none"/>
              </w:rPr>
              <w:t>无需提交</w:t>
            </w:r>
          </w:p>
        </w:tc>
      </w:tr>
      <w:tr w14:paraId="39D524B6">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068A8E56">
            <w:pPr>
              <w:snapToGrid w:val="0"/>
              <w:jc w:val="center"/>
              <w:rPr>
                <w:rFonts w:ascii="仿宋" w:hAnsi="仿宋" w:eastAsia="仿宋" w:cs="新宋体"/>
                <w:color w:val="auto"/>
                <w:kern w:val="0"/>
                <w:sz w:val="24"/>
                <w:szCs w:val="24"/>
                <w:highlight w:val="none"/>
              </w:rPr>
            </w:pPr>
            <w:r>
              <w:rPr>
                <w:rFonts w:hint="eastAsia" w:ascii="仿宋" w:hAnsi="仿宋" w:eastAsia="仿宋" w:cs="新宋体"/>
                <w:color w:val="auto"/>
                <w:kern w:val="0"/>
                <w:sz w:val="24"/>
                <w:szCs w:val="24"/>
                <w:highlight w:val="none"/>
              </w:rPr>
              <w:t>15</w:t>
            </w:r>
          </w:p>
        </w:tc>
        <w:tc>
          <w:tcPr>
            <w:tcW w:w="1687" w:type="dxa"/>
            <w:tcBorders>
              <w:top w:val="single" w:color="auto" w:sz="4" w:space="0"/>
              <w:left w:val="single" w:color="auto" w:sz="4" w:space="0"/>
              <w:bottom w:val="single" w:color="auto" w:sz="4" w:space="0"/>
              <w:right w:val="single" w:color="auto" w:sz="4" w:space="0"/>
            </w:tcBorders>
            <w:vAlign w:val="center"/>
          </w:tcPr>
          <w:p w14:paraId="713BE050">
            <w:pPr>
              <w:snapToGrid w:val="0"/>
              <w:rPr>
                <w:rFonts w:ascii="仿宋" w:hAnsi="仿宋" w:eastAsia="仿宋" w:cs="新宋体"/>
                <w:color w:val="auto"/>
                <w:kern w:val="0"/>
                <w:sz w:val="24"/>
                <w:szCs w:val="24"/>
                <w:highlight w:val="none"/>
              </w:rPr>
            </w:pPr>
            <w:r>
              <w:rPr>
                <w:rFonts w:hint="eastAsia" w:ascii="仿宋" w:hAnsi="仿宋" w:eastAsia="仿宋" w:cs="新宋体"/>
                <w:color w:val="auto"/>
                <w:kern w:val="0"/>
                <w:sz w:val="24"/>
                <w:szCs w:val="24"/>
                <w:highlight w:val="none"/>
              </w:rPr>
              <w:t>投标有效期</w:t>
            </w:r>
          </w:p>
        </w:tc>
        <w:tc>
          <w:tcPr>
            <w:tcW w:w="6261" w:type="dxa"/>
            <w:tcBorders>
              <w:top w:val="single" w:color="auto" w:sz="4" w:space="0"/>
              <w:left w:val="single" w:color="auto" w:sz="4" w:space="0"/>
              <w:bottom w:val="single" w:color="auto" w:sz="4" w:space="0"/>
              <w:right w:val="single" w:color="auto" w:sz="4" w:space="0"/>
            </w:tcBorders>
            <w:vAlign w:val="center"/>
          </w:tcPr>
          <w:p w14:paraId="4FD6ED16">
            <w:pPr>
              <w:snapToGrid w:val="0"/>
              <w:rPr>
                <w:rFonts w:ascii="仿宋" w:hAnsi="仿宋" w:eastAsia="仿宋" w:cs="新宋体"/>
                <w:color w:val="auto"/>
                <w:kern w:val="0"/>
                <w:sz w:val="24"/>
                <w:szCs w:val="24"/>
                <w:highlight w:val="none"/>
              </w:rPr>
            </w:pPr>
            <w:r>
              <w:rPr>
                <w:rFonts w:hint="eastAsia" w:ascii="仿宋" w:hAnsi="仿宋" w:eastAsia="仿宋" w:cs="新宋体"/>
                <w:color w:val="auto"/>
                <w:kern w:val="0"/>
                <w:sz w:val="24"/>
                <w:szCs w:val="24"/>
                <w:highlight w:val="none"/>
                <w:u w:val="single"/>
              </w:rPr>
              <w:t>90</w:t>
            </w:r>
            <w:r>
              <w:rPr>
                <w:rFonts w:hint="eastAsia" w:ascii="仿宋" w:hAnsi="仿宋" w:eastAsia="仿宋" w:cs="新宋体"/>
                <w:color w:val="auto"/>
                <w:kern w:val="0"/>
                <w:sz w:val="24"/>
                <w:szCs w:val="24"/>
                <w:highlight w:val="none"/>
              </w:rPr>
              <w:t>天</w:t>
            </w:r>
          </w:p>
        </w:tc>
      </w:tr>
      <w:tr w14:paraId="03FB7D40">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5FDEF585">
            <w:pPr>
              <w:snapToGrid w:val="0"/>
              <w:jc w:val="center"/>
              <w:rPr>
                <w:rFonts w:ascii="仿宋" w:hAnsi="仿宋" w:eastAsia="仿宋" w:cs="新宋体"/>
                <w:color w:val="auto"/>
                <w:kern w:val="0"/>
                <w:sz w:val="24"/>
                <w:szCs w:val="24"/>
                <w:highlight w:val="none"/>
              </w:rPr>
            </w:pPr>
            <w:r>
              <w:rPr>
                <w:rFonts w:hint="eastAsia" w:ascii="仿宋" w:hAnsi="仿宋" w:eastAsia="仿宋" w:cs="新宋体"/>
                <w:color w:val="auto"/>
                <w:kern w:val="0"/>
                <w:sz w:val="24"/>
                <w:szCs w:val="24"/>
                <w:highlight w:val="none"/>
              </w:rPr>
              <w:t>1</w:t>
            </w:r>
            <w:r>
              <w:rPr>
                <w:rFonts w:ascii="仿宋" w:hAnsi="仿宋" w:eastAsia="仿宋" w:cs="新宋体"/>
                <w:color w:val="auto"/>
                <w:kern w:val="0"/>
                <w:sz w:val="24"/>
                <w:szCs w:val="24"/>
                <w:highlight w:val="none"/>
              </w:rPr>
              <w:t>7</w:t>
            </w:r>
          </w:p>
        </w:tc>
        <w:tc>
          <w:tcPr>
            <w:tcW w:w="1687" w:type="dxa"/>
            <w:tcBorders>
              <w:top w:val="single" w:color="auto" w:sz="4" w:space="0"/>
              <w:left w:val="single" w:color="auto" w:sz="4" w:space="0"/>
              <w:bottom w:val="single" w:color="auto" w:sz="4" w:space="0"/>
              <w:right w:val="single" w:color="auto" w:sz="4" w:space="0"/>
            </w:tcBorders>
            <w:vAlign w:val="center"/>
          </w:tcPr>
          <w:p w14:paraId="52FF416F">
            <w:pPr>
              <w:snapToGrid w:val="0"/>
              <w:rPr>
                <w:rFonts w:ascii="仿宋" w:hAnsi="仿宋" w:eastAsia="仿宋" w:cs="新宋体"/>
                <w:color w:val="auto"/>
                <w:kern w:val="0"/>
                <w:sz w:val="24"/>
                <w:szCs w:val="24"/>
                <w:highlight w:val="none"/>
              </w:rPr>
            </w:pPr>
            <w:r>
              <w:rPr>
                <w:rFonts w:hint="eastAsia" w:ascii="仿宋" w:hAnsi="仿宋" w:eastAsia="仿宋" w:cs="新宋体"/>
                <w:color w:val="auto"/>
                <w:kern w:val="0"/>
                <w:sz w:val="24"/>
                <w:szCs w:val="24"/>
                <w:highlight w:val="none"/>
              </w:rPr>
              <w:t>备份投标文件的递交地点</w:t>
            </w:r>
          </w:p>
        </w:tc>
        <w:tc>
          <w:tcPr>
            <w:tcW w:w="6261" w:type="dxa"/>
            <w:tcBorders>
              <w:top w:val="single" w:color="auto" w:sz="4" w:space="0"/>
              <w:left w:val="single" w:color="auto" w:sz="4" w:space="0"/>
              <w:bottom w:val="single" w:color="auto" w:sz="4" w:space="0"/>
              <w:right w:val="single" w:color="auto" w:sz="4" w:space="0"/>
            </w:tcBorders>
            <w:vAlign w:val="center"/>
          </w:tcPr>
          <w:p w14:paraId="02566290">
            <w:pPr>
              <w:snapToGrid w:val="0"/>
              <w:rPr>
                <w:rFonts w:hint="eastAsia" w:ascii="仿宋" w:hAnsi="仿宋" w:eastAsia="仿宋" w:cs="新宋体"/>
                <w:color w:val="auto"/>
                <w:kern w:val="0"/>
                <w:sz w:val="24"/>
                <w:szCs w:val="24"/>
                <w:highlight w:val="none"/>
                <w:u w:val="single"/>
                <w:lang w:eastAsia="zh-CN"/>
              </w:rPr>
            </w:pPr>
            <w:r>
              <w:rPr>
                <w:rFonts w:hint="eastAsia" w:ascii="仿宋" w:hAnsi="仿宋" w:eastAsia="仿宋" w:cs="仿宋_GB2312"/>
                <w:color w:val="auto"/>
                <w:sz w:val="24"/>
                <w:szCs w:val="24"/>
                <w:highlight w:val="none"/>
                <w:lang w:val="zh-CN"/>
              </w:rPr>
              <w:t>在投标截止时间前发送到</w:t>
            </w:r>
            <w:r>
              <w:rPr>
                <w:rFonts w:hint="eastAsia" w:ascii="仿宋" w:hAnsi="仿宋" w:eastAsia="仿宋" w:cs="仿宋_GB2312"/>
                <w:color w:val="auto"/>
                <w:sz w:val="24"/>
                <w:szCs w:val="24"/>
                <w:highlight w:val="none"/>
              </w:rPr>
              <w:t>邮箱：</w:t>
            </w:r>
            <w:r>
              <w:rPr>
                <w:rFonts w:hint="eastAsia" w:ascii="仿宋" w:hAnsi="仿宋" w:eastAsia="仿宋" w:cs="仿宋_GB2312"/>
                <w:color w:val="auto"/>
                <w:sz w:val="24"/>
                <w:szCs w:val="24"/>
                <w:highlight w:val="none"/>
                <w:lang w:eastAsia="zh-CN"/>
              </w:rPr>
              <w:t>80867223@qq.com</w:t>
            </w:r>
          </w:p>
        </w:tc>
      </w:tr>
      <w:tr w14:paraId="331FC8EB">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7A202468">
            <w:pPr>
              <w:snapToGrid w:val="0"/>
              <w:jc w:val="center"/>
              <w:rPr>
                <w:rFonts w:ascii="仿宋" w:hAnsi="仿宋" w:eastAsia="仿宋" w:cs="新宋体"/>
                <w:color w:val="auto"/>
                <w:kern w:val="0"/>
                <w:sz w:val="24"/>
                <w:szCs w:val="24"/>
                <w:highlight w:val="none"/>
                <w:lang w:val="zh-CN"/>
              </w:rPr>
            </w:pPr>
            <w:r>
              <w:rPr>
                <w:rFonts w:hint="eastAsia" w:ascii="仿宋" w:hAnsi="仿宋" w:eastAsia="仿宋" w:cs="新宋体"/>
                <w:color w:val="auto"/>
                <w:kern w:val="0"/>
                <w:sz w:val="24"/>
                <w:szCs w:val="24"/>
                <w:highlight w:val="none"/>
              </w:rPr>
              <w:t>28.1</w:t>
            </w:r>
          </w:p>
        </w:tc>
        <w:tc>
          <w:tcPr>
            <w:tcW w:w="1687" w:type="dxa"/>
            <w:tcBorders>
              <w:top w:val="single" w:color="auto" w:sz="4" w:space="0"/>
              <w:left w:val="single" w:color="auto" w:sz="4" w:space="0"/>
              <w:bottom w:val="single" w:color="auto" w:sz="4" w:space="0"/>
              <w:right w:val="single" w:color="auto" w:sz="4" w:space="0"/>
            </w:tcBorders>
            <w:vAlign w:val="center"/>
          </w:tcPr>
          <w:p w14:paraId="26894747">
            <w:pPr>
              <w:snapToGrid w:val="0"/>
              <w:rPr>
                <w:rFonts w:ascii="仿宋" w:hAnsi="仿宋" w:eastAsia="仿宋" w:cs="新宋体"/>
                <w:color w:val="auto"/>
                <w:kern w:val="0"/>
                <w:sz w:val="24"/>
                <w:szCs w:val="24"/>
                <w:highlight w:val="none"/>
                <w:lang w:val="zh-CN"/>
              </w:rPr>
            </w:pPr>
            <w:r>
              <w:rPr>
                <w:rFonts w:hint="eastAsia" w:ascii="仿宋" w:hAnsi="仿宋" w:eastAsia="仿宋" w:cs="新宋体"/>
                <w:color w:val="auto"/>
                <w:kern w:val="0"/>
                <w:sz w:val="24"/>
                <w:szCs w:val="24"/>
                <w:highlight w:val="none"/>
              </w:rPr>
              <w:t>履约保证金</w:t>
            </w:r>
          </w:p>
        </w:tc>
        <w:tc>
          <w:tcPr>
            <w:tcW w:w="6261" w:type="dxa"/>
            <w:tcBorders>
              <w:top w:val="single" w:color="auto" w:sz="4" w:space="0"/>
              <w:left w:val="single" w:color="auto" w:sz="4" w:space="0"/>
              <w:bottom w:val="single" w:color="auto" w:sz="4" w:space="0"/>
              <w:right w:val="single" w:color="auto" w:sz="4" w:space="0"/>
            </w:tcBorders>
            <w:vAlign w:val="center"/>
          </w:tcPr>
          <w:p w14:paraId="4269776A">
            <w:pPr>
              <w:snapToGrid w:val="0"/>
              <w:rPr>
                <w:rFonts w:ascii="仿宋" w:hAnsi="仿宋" w:eastAsia="仿宋" w:cs="新宋体"/>
                <w:color w:val="auto"/>
                <w:kern w:val="0"/>
                <w:sz w:val="24"/>
                <w:szCs w:val="24"/>
                <w:highlight w:val="none"/>
              </w:rPr>
            </w:pPr>
            <w:r>
              <w:rPr>
                <w:rFonts w:hint="eastAsia" w:ascii="仿宋" w:hAnsi="仿宋" w:eastAsia="仿宋" w:cs="新宋体"/>
                <w:color w:val="auto"/>
                <w:kern w:val="0"/>
                <w:sz w:val="24"/>
                <w:szCs w:val="24"/>
                <w:highlight w:val="none"/>
              </w:rPr>
              <w:t>无需提交</w:t>
            </w:r>
          </w:p>
        </w:tc>
      </w:tr>
      <w:tr w14:paraId="387E5853">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7B36D55E">
            <w:pPr>
              <w:snapToGrid w:val="0"/>
              <w:jc w:val="center"/>
              <w:rPr>
                <w:rFonts w:ascii="仿宋" w:hAnsi="仿宋" w:eastAsia="仿宋" w:cs="新宋体"/>
                <w:color w:val="auto"/>
                <w:kern w:val="0"/>
                <w:sz w:val="24"/>
                <w:szCs w:val="24"/>
                <w:highlight w:val="none"/>
              </w:rPr>
            </w:pPr>
            <w:r>
              <w:rPr>
                <w:rFonts w:hint="eastAsia" w:ascii="仿宋" w:hAnsi="仿宋" w:eastAsia="仿宋" w:cs="新宋体"/>
                <w:color w:val="auto"/>
                <w:sz w:val="24"/>
                <w:szCs w:val="24"/>
                <w:highlight w:val="none"/>
              </w:rPr>
              <w:t>32</w:t>
            </w:r>
          </w:p>
        </w:tc>
        <w:tc>
          <w:tcPr>
            <w:tcW w:w="1687" w:type="dxa"/>
            <w:tcBorders>
              <w:top w:val="single" w:color="auto" w:sz="4" w:space="0"/>
              <w:left w:val="single" w:color="auto" w:sz="4" w:space="0"/>
              <w:bottom w:val="single" w:color="auto" w:sz="4" w:space="0"/>
              <w:right w:val="single" w:color="auto" w:sz="4" w:space="0"/>
            </w:tcBorders>
            <w:vAlign w:val="center"/>
          </w:tcPr>
          <w:p w14:paraId="328CEB6C">
            <w:pPr>
              <w:snapToGrid w:val="0"/>
              <w:rPr>
                <w:rFonts w:ascii="仿宋" w:hAnsi="仿宋" w:eastAsia="仿宋" w:cs="新宋体"/>
                <w:color w:val="auto"/>
                <w:kern w:val="0"/>
                <w:sz w:val="24"/>
                <w:szCs w:val="24"/>
                <w:highlight w:val="none"/>
              </w:rPr>
            </w:pPr>
            <w:r>
              <w:rPr>
                <w:rFonts w:hint="eastAsia" w:ascii="仿宋" w:hAnsi="仿宋" w:eastAsia="仿宋" w:cs="新宋体"/>
                <w:color w:val="auto"/>
                <w:kern w:val="0"/>
                <w:sz w:val="24"/>
                <w:szCs w:val="24"/>
                <w:highlight w:val="none"/>
              </w:rPr>
              <w:t>其他说明</w:t>
            </w:r>
          </w:p>
        </w:tc>
        <w:tc>
          <w:tcPr>
            <w:tcW w:w="6261" w:type="dxa"/>
            <w:tcBorders>
              <w:top w:val="single" w:color="auto" w:sz="4" w:space="0"/>
              <w:left w:val="single" w:color="auto" w:sz="4" w:space="0"/>
              <w:bottom w:val="single" w:color="auto" w:sz="4" w:space="0"/>
              <w:right w:val="single" w:color="auto" w:sz="4" w:space="0"/>
            </w:tcBorders>
            <w:vAlign w:val="center"/>
          </w:tcPr>
          <w:p w14:paraId="43039D37">
            <w:pPr>
              <w:rPr>
                <w:rFonts w:ascii="仿宋" w:hAnsi="仿宋" w:eastAsia="仿宋"/>
                <w:color w:val="auto"/>
                <w:sz w:val="24"/>
                <w:szCs w:val="24"/>
                <w:highlight w:val="none"/>
              </w:rPr>
            </w:pPr>
            <w:r>
              <w:rPr>
                <w:rFonts w:hint="eastAsia" w:ascii="仿宋" w:hAnsi="仿宋" w:eastAsia="仿宋"/>
                <w:color w:val="auto"/>
                <w:sz w:val="24"/>
                <w:szCs w:val="24"/>
                <w:highlight w:val="none"/>
              </w:rPr>
              <w:t>1、招标文件</w:t>
            </w:r>
            <w:r>
              <w:rPr>
                <w:rFonts w:ascii="仿宋" w:hAnsi="仿宋" w:eastAsia="仿宋"/>
                <w:color w:val="auto"/>
                <w:sz w:val="24"/>
                <w:szCs w:val="24"/>
                <w:highlight w:val="none"/>
              </w:rPr>
              <w:t>各个组成</w:t>
            </w:r>
            <w:r>
              <w:rPr>
                <w:rFonts w:hint="eastAsia" w:ascii="仿宋" w:hAnsi="仿宋" w:eastAsia="仿宋"/>
                <w:color w:val="auto"/>
                <w:sz w:val="24"/>
                <w:szCs w:val="24"/>
                <w:highlight w:val="none"/>
              </w:rPr>
              <w:t>部分中出现的措辞“发包人”和“承包人”，或者“甲方”和“乙方”（或“供应商”）等，在采购阶段应当分别按“采购人”和“投标人”进行理解，其中“中标供应商”与“中标人”同义。</w:t>
            </w:r>
          </w:p>
          <w:p w14:paraId="27491844">
            <w:pPr>
              <w:snapToGrid w:val="0"/>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ascii="仿宋" w:hAnsi="仿宋" w:eastAsia="仿宋"/>
                <w:color w:val="auto"/>
                <w:sz w:val="24"/>
                <w:szCs w:val="24"/>
                <w:highlight w:val="none"/>
              </w:rPr>
              <w:t>构成本</w:t>
            </w:r>
            <w:r>
              <w:rPr>
                <w:rFonts w:hint="eastAsia" w:ascii="仿宋" w:hAnsi="仿宋" w:eastAsia="仿宋"/>
                <w:color w:val="auto"/>
                <w:sz w:val="24"/>
                <w:szCs w:val="24"/>
                <w:highlight w:val="none"/>
              </w:rPr>
              <w:t>招标</w:t>
            </w:r>
            <w:r>
              <w:rPr>
                <w:rFonts w:ascii="仿宋" w:hAnsi="仿宋" w:eastAsia="仿宋"/>
                <w:color w:val="auto"/>
                <w:sz w:val="24"/>
                <w:szCs w:val="24"/>
                <w:highlight w:val="none"/>
              </w:rPr>
              <w:t>文件的各个组成文件应互为解释，互为说明；如有不明确或不一致，构成合同文件组成内容的，以合同文件约定内容为准，且以专用合同条款约定的合同文件优先顺序解释；仅适用于采购阶段的约定，按招标公告、投标人须知、评标办法、</w:t>
            </w:r>
            <w:r>
              <w:rPr>
                <w:rFonts w:hint="eastAsia" w:ascii="仿宋" w:hAnsi="仿宋" w:eastAsia="仿宋"/>
                <w:color w:val="auto"/>
                <w:sz w:val="24"/>
                <w:szCs w:val="24"/>
                <w:highlight w:val="none"/>
              </w:rPr>
              <w:t>应提交的有关格式范例</w:t>
            </w:r>
            <w:r>
              <w:rPr>
                <w:rFonts w:ascii="仿宋" w:hAnsi="仿宋" w:eastAsia="仿宋"/>
                <w:color w:val="auto"/>
                <w:sz w:val="24"/>
                <w:szCs w:val="24"/>
                <w:highlight w:val="none"/>
              </w:rPr>
              <w:t>的先后顺序解释；投标人须知、评标办法</w:t>
            </w:r>
            <w:r>
              <w:rPr>
                <w:rFonts w:hint="eastAsia" w:ascii="仿宋" w:hAnsi="仿宋" w:eastAsia="仿宋"/>
                <w:color w:val="auto"/>
                <w:sz w:val="24"/>
                <w:szCs w:val="24"/>
                <w:highlight w:val="none"/>
              </w:rPr>
              <w:t>及</w:t>
            </w:r>
            <w:r>
              <w:rPr>
                <w:rFonts w:ascii="仿宋" w:hAnsi="仿宋" w:eastAsia="仿宋"/>
                <w:color w:val="auto"/>
                <w:sz w:val="24"/>
                <w:szCs w:val="24"/>
                <w:highlight w:val="none"/>
              </w:rPr>
              <w:t>专用合同条款</w:t>
            </w:r>
            <w:r>
              <w:rPr>
                <w:rFonts w:hint="eastAsia" w:ascii="仿宋" w:hAnsi="仿宋" w:eastAsia="仿宋"/>
                <w:color w:val="auto"/>
                <w:sz w:val="24"/>
                <w:szCs w:val="24"/>
                <w:highlight w:val="none"/>
              </w:rPr>
              <w:t>的前附表与正文的约定不一致的，以前附表的约定为准；</w:t>
            </w:r>
            <w:r>
              <w:rPr>
                <w:rFonts w:ascii="仿宋" w:hAnsi="仿宋" w:eastAsia="仿宋"/>
                <w:color w:val="auto"/>
                <w:sz w:val="24"/>
                <w:szCs w:val="24"/>
                <w:highlight w:val="none"/>
              </w:rPr>
              <w:t>同一文件中就同一事项的约定不一致的，以逻辑顺序在后者为准；同一文件不同版本之间有不一致的，以形成时间在后者为准。按本款前述约定仍不能形成结论的，由采购人负责解释。</w:t>
            </w:r>
          </w:p>
          <w:p w14:paraId="10253EA7">
            <w:pPr>
              <w:snapToGrid w:val="0"/>
              <w:rPr>
                <w:rFonts w:ascii="仿宋" w:hAnsi="仿宋" w:eastAsia="仿宋"/>
                <w:color w:val="auto"/>
                <w:sz w:val="24"/>
                <w:szCs w:val="24"/>
                <w:highlight w:val="none"/>
              </w:rPr>
            </w:pPr>
            <w:r>
              <w:rPr>
                <w:rFonts w:ascii="仿宋" w:hAnsi="仿宋" w:eastAsia="仿宋"/>
                <w:color w:val="auto"/>
                <w:sz w:val="24"/>
                <w:szCs w:val="24"/>
                <w:highlight w:val="none"/>
              </w:rPr>
              <w:t>3</w:t>
            </w:r>
            <w:r>
              <w:rPr>
                <w:rFonts w:hint="eastAsia" w:ascii="仿宋" w:hAnsi="仿宋" w:eastAsia="仿宋"/>
                <w:color w:val="auto"/>
                <w:sz w:val="24"/>
                <w:szCs w:val="24"/>
                <w:highlight w:val="none"/>
              </w:rPr>
              <w:t>、本项目采用电子招投标，开标现场组织人员在政采云平台在线公布投标文件解密情况并组织签署《政府采购活动现场确认声明书》（投标文件解密结束后，采购代理机构将以E-mail电子邮件形式统一向所有成功解密投标文件的投标人送达“要求签署和提交《政府采购活动现场确认声明书》”的通知。投标人应当在送达通知后30分钟内完成《政府采购活动现场确认声明书》的提交）；</w:t>
            </w:r>
          </w:p>
          <w:p w14:paraId="7C6CBF76">
            <w:pPr>
              <w:snapToGrid w:val="0"/>
              <w:rPr>
                <w:rFonts w:ascii="仿宋" w:hAnsi="仿宋" w:eastAsia="仿宋" w:cs="新宋体"/>
                <w:bCs/>
                <w:color w:val="auto"/>
                <w:sz w:val="24"/>
                <w:szCs w:val="24"/>
                <w:highlight w:val="none"/>
              </w:rPr>
            </w:pPr>
            <w:r>
              <w:rPr>
                <w:rFonts w:ascii="仿宋" w:hAnsi="仿宋" w:eastAsia="仿宋"/>
                <w:color w:val="auto"/>
                <w:sz w:val="24"/>
                <w:szCs w:val="24"/>
                <w:highlight w:val="none"/>
              </w:rPr>
              <w:t>4</w:t>
            </w:r>
            <w:r>
              <w:rPr>
                <w:rFonts w:hint="eastAsia" w:ascii="仿宋" w:hAnsi="仿宋" w:eastAsia="仿宋"/>
                <w:color w:val="auto"/>
                <w:sz w:val="24"/>
                <w:szCs w:val="24"/>
                <w:highlight w:val="none"/>
              </w:rPr>
              <w:t>、</w:t>
            </w:r>
            <w:r>
              <w:rPr>
                <w:rFonts w:hint="eastAsia" w:ascii="仿宋" w:hAnsi="仿宋" w:eastAsia="仿宋" w:cs="新宋体"/>
                <w:bCs/>
                <w:color w:val="auto"/>
                <w:sz w:val="24"/>
                <w:szCs w:val="24"/>
                <w:highlight w:val="none"/>
              </w:rPr>
              <w:t>中标人在领取中标通知书时应提供与电子投标文件内容一致的纸质投标文件（一正二副）。</w:t>
            </w:r>
          </w:p>
        </w:tc>
      </w:tr>
    </w:tbl>
    <w:p w14:paraId="73514118">
      <w:pPr>
        <w:rPr>
          <w:color w:val="auto"/>
          <w:highlight w:val="none"/>
        </w:rPr>
      </w:pPr>
      <w:bookmarkStart w:id="1" w:name="_Toc221374623"/>
      <w:bookmarkStart w:id="2" w:name="_Toc241404199"/>
      <w:bookmarkStart w:id="3" w:name="_Toc221423616"/>
      <w:bookmarkStart w:id="4" w:name="_Toc239145351"/>
      <w:bookmarkStart w:id="5" w:name="_Toc221356883"/>
      <w:bookmarkStart w:id="6" w:name="_Toc222114876"/>
      <w:bookmarkStart w:id="7" w:name="_Toc221356948"/>
      <w:bookmarkStart w:id="8" w:name="_Toc223715995"/>
      <w:bookmarkStart w:id="9" w:name="_Toc265529380"/>
      <w:bookmarkStart w:id="10" w:name="_Toc34508130"/>
      <w:r>
        <w:rPr>
          <w:color w:val="auto"/>
          <w:highlight w:val="none"/>
        </w:rPr>
        <w:br w:type="page"/>
      </w:r>
    </w:p>
    <w:p w14:paraId="5772F136">
      <w:pPr>
        <w:spacing w:line="460" w:lineRule="exact"/>
        <w:jc w:val="center"/>
        <w:outlineLvl w:val="1"/>
        <w:rPr>
          <w:rFonts w:ascii="仿宋" w:hAnsi="仿宋" w:eastAsia="仿宋" w:cs="新宋体"/>
          <w:b/>
          <w:color w:val="auto"/>
          <w:sz w:val="28"/>
          <w:szCs w:val="28"/>
          <w:highlight w:val="none"/>
        </w:rPr>
      </w:pPr>
      <w:r>
        <w:rPr>
          <w:rFonts w:hint="eastAsia" w:ascii="仿宋" w:hAnsi="仿宋" w:eastAsia="仿宋" w:cs="新宋体"/>
          <w:b/>
          <w:color w:val="auto"/>
          <w:sz w:val="28"/>
          <w:szCs w:val="28"/>
          <w:highlight w:val="none"/>
        </w:rPr>
        <w:t>一、</w:t>
      </w:r>
      <w:bookmarkEnd w:id="1"/>
      <w:bookmarkEnd w:id="2"/>
      <w:bookmarkEnd w:id="3"/>
      <w:bookmarkEnd w:id="4"/>
      <w:bookmarkEnd w:id="5"/>
      <w:bookmarkEnd w:id="6"/>
      <w:bookmarkEnd w:id="7"/>
      <w:bookmarkEnd w:id="8"/>
      <w:bookmarkEnd w:id="9"/>
      <w:bookmarkEnd w:id="10"/>
      <w:r>
        <w:rPr>
          <w:rFonts w:hint="eastAsia" w:ascii="仿宋" w:hAnsi="仿宋" w:eastAsia="仿宋" w:cs="新宋体"/>
          <w:b/>
          <w:color w:val="auto"/>
          <w:sz w:val="28"/>
          <w:szCs w:val="28"/>
          <w:highlight w:val="none"/>
        </w:rPr>
        <w:t>总则</w:t>
      </w:r>
    </w:p>
    <w:p w14:paraId="7AE1F8DF">
      <w:pPr>
        <w:tabs>
          <w:tab w:val="left" w:pos="540"/>
          <w:tab w:val="left" w:pos="900"/>
        </w:tabs>
        <w:snapToGrid w:val="0"/>
        <w:spacing w:line="460" w:lineRule="exact"/>
        <w:rPr>
          <w:rFonts w:ascii="仿宋" w:hAnsi="仿宋" w:eastAsia="仿宋" w:cs="新宋体"/>
          <w:b/>
          <w:color w:val="auto"/>
          <w:sz w:val="24"/>
          <w:highlight w:val="none"/>
        </w:rPr>
      </w:pPr>
      <w:r>
        <w:rPr>
          <w:rFonts w:hint="eastAsia" w:ascii="仿宋" w:hAnsi="仿宋" w:eastAsia="仿宋" w:cs="新宋体"/>
          <w:b/>
          <w:color w:val="auto"/>
          <w:sz w:val="24"/>
          <w:highlight w:val="none"/>
        </w:rPr>
        <w:t>1.总说明</w:t>
      </w:r>
    </w:p>
    <w:p w14:paraId="7118CB66">
      <w:pPr>
        <w:tabs>
          <w:tab w:val="left" w:pos="540"/>
          <w:tab w:val="left" w:pos="900"/>
        </w:tabs>
        <w:snapToGrid w:val="0"/>
        <w:spacing w:line="460" w:lineRule="exact"/>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本项目采购是按照《中华人民共和国政府采购法》《中华人民共和国政府采购法实施条例》《关于进一步规范政府采购活动的若干意见》等法律及有关法规组织和实施的。</w:t>
      </w:r>
    </w:p>
    <w:p w14:paraId="6DB33945">
      <w:pPr>
        <w:tabs>
          <w:tab w:val="left" w:pos="540"/>
          <w:tab w:val="left" w:pos="900"/>
        </w:tabs>
        <w:snapToGrid w:val="0"/>
        <w:spacing w:line="460" w:lineRule="exact"/>
        <w:rPr>
          <w:rFonts w:ascii="仿宋" w:hAnsi="仿宋" w:eastAsia="仿宋"/>
          <w:b/>
          <w:color w:val="auto"/>
          <w:sz w:val="24"/>
          <w:highlight w:val="none"/>
        </w:rPr>
      </w:pPr>
      <w:bookmarkStart w:id="11" w:name="_Hlk93147856"/>
      <w:r>
        <w:rPr>
          <w:rFonts w:hint="eastAsia" w:ascii="仿宋" w:hAnsi="仿宋" w:eastAsia="仿宋" w:cs="新宋体"/>
          <w:b/>
          <w:bCs/>
          <w:color w:val="auto"/>
          <w:sz w:val="24"/>
          <w:highlight w:val="none"/>
        </w:rPr>
        <w:t>2.</w:t>
      </w:r>
      <w:r>
        <w:rPr>
          <w:rFonts w:hint="eastAsia" w:ascii="仿宋" w:hAnsi="仿宋" w:eastAsia="仿宋"/>
          <w:b/>
          <w:color w:val="auto"/>
          <w:sz w:val="24"/>
          <w:highlight w:val="none"/>
        </w:rPr>
        <w:t>采购项目</w:t>
      </w:r>
    </w:p>
    <w:p w14:paraId="37431D92">
      <w:pPr>
        <w:tabs>
          <w:tab w:val="left" w:pos="540"/>
          <w:tab w:val="left" w:pos="900"/>
        </w:tabs>
        <w:snapToGrid w:val="0"/>
        <w:spacing w:line="4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2.1采购项目的基本情况见招标公告，采购需求见招标文件第三部分“采购需求”。项目采购标的对应的行业划分、项目属性、是否允许分包、是否允许偏离等情况见投标人须知前附表。</w:t>
      </w:r>
    </w:p>
    <w:p w14:paraId="73B72108">
      <w:pPr>
        <w:snapToGrid w:val="0"/>
        <w:spacing w:line="460" w:lineRule="exact"/>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2.2采用最低评标价法的</w:t>
      </w:r>
      <w:r>
        <w:rPr>
          <w:rFonts w:hint="eastAsia" w:ascii="仿宋" w:hAnsi="仿宋" w:eastAsia="仿宋"/>
          <w:color w:val="auto"/>
          <w:sz w:val="24"/>
          <w:highlight w:val="none"/>
        </w:rPr>
        <w:t>货物类</w:t>
      </w:r>
      <w:r>
        <w:rPr>
          <w:rFonts w:hint="eastAsia" w:ascii="仿宋" w:hAnsi="仿宋" w:eastAsia="仿宋" w:cs="新宋体"/>
          <w:bCs/>
          <w:color w:val="auto"/>
          <w:spacing w:val="6"/>
          <w:sz w:val="24"/>
          <w:highlight w:val="none"/>
        </w:rPr>
        <w:t>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3CD543D">
      <w:pPr>
        <w:snapToGrid w:val="0"/>
        <w:spacing w:line="460" w:lineRule="exact"/>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使用综合评分法的</w:t>
      </w:r>
      <w:r>
        <w:rPr>
          <w:rFonts w:hint="eastAsia" w:ascii="仿宋" w:hAnsi="仿宋" w:eastAsia="仿宋"/>
          <w:color w:val="auto"/>
          <w:sz w:val="24"/>
          <w:highlight w:val="none"/>
        </w:rPr>
        <w:t>货物类</w:t>
      </w:r>
      <w:r>
        <w:rPr>
          <w:rFonts w:hint="eastAsia" w:ascii="仿宋" w:hAnsi="仿宋" w:eastAsia="仿宋" w:cs="新宋体"/>
          <w:bCs/>
          <w:color w:val="auto"/>
          <w:spacing w:val="6"/>
          <w:sz w:val="24"/>
          <w:highlight w:val="none"/>
        </w:rPr>
        <w:t>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99CC679">
      <w:pPr>
        <w:snapToGrid w:val="0"/>
        <w:spacing w:line="460" w:lineRule="exact"/>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非单一产品采购项目，多家投标人提供的核心产品（见</w:t>
      </w:r>
      <w:r>
        <w:rPr>
          <w:rFonts w:hint="eastAsia" w:ascii="仿宋" w:hAnsi="仿宋" w:eastAsia="仿宋"/>
          <w:color w:val="auto"/>
          <w:sz w:val="24"/>
          <w:highlight w:val="none"/>
        </w:rPr>
        <w:t>投标人须知前附表</w:t>
      </w:r>
      <w:r>
        <w:rPr>
          <w:rFonts w:hint="eastAsia" w:ascii="仿宋" w:hAnsi="仿宋" w:eastAsia="仿宋" w:cs="新宋体"/>
          <w:bCs/>
          <w:color w:val="auto"/>
          <w:spacing w:val="6"/>
          <w:sz w:val="24"/>
          <w:highlight w:val="none"/>
        </w:rPr>
        <w:t>）品牌相同的，按前两款规定处理。</w:t>
      </w:r>
    </w:p>
    <w:p w14:paraId="278102DD">
      <w:pPr>
        <w:snapToGrid w:val="0"/>
        <w:spacing w:line="460" w:lineRule="exact"/>
        <w:ind w:firstLine="480" w:firstLineChars="200"/>
        <w:rPr>
          <w:rFonts w:ascii="仿宋" w:hAnsi="仿宋" w:eastAsia="仿宋" w:cs="新宋体"/>
          <w:bCs/>
          <w:color w:val="auto"/>
          <w:spacing w:val="6"/>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.3</w:t>
      </w:r>
      <w:r>
        <w:rPr>
          <w:rFonts w:hint="eastAsia" w:ascii="仿宋" w:hAnsi="仿宋" w:eastAsia="仿宋"/>
          <w:color w:val="auto"/>
          <w:sz w:val="24"/>
          <w:highlight w:val="none"/>
        </w:rPr>
        <w:t>货物类是否允许采购进口产品、是否要求节能/环境标志产品等情况见投标人须知前附表。</w:t>
      </w:r>
      <w:bookmarkEnd w:id="11"/>
    </w:p>
    <w:p w14:paraId="1C4D95C9">
      <w:pPr>
        <w:tabs>
          <w:tab w:val="left" w:pos="540"/>
          <w:tab w:val="left" w:pos="900"/>
        </w:tabs>
        <w:snapToGrid w:val="0"/>
        <w:spacing w:line="460" w:lineRule="exact"/>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3.合格的投标人</w:t>
      </w:r>
    </w:p>
    <w:p w14:paraId="20254D00">
      <w:pPr>
        <w:tabs>
          <w:tab w:val="left" w:pos="540"/>
          <w:tab w:val="left" w:pos="900"/>
        </w:tabs>
        <w:snapToGrid w:val="0"/>
        <w:spacing w:line="460" w:lineRule="exact"/>
        <w:ind w:firstLine="480" w:firstLineChars="200"/>
        <w:rPr>
          <w:rFonts w:ascii="仿宋" w:hAnsi="仿宋" w:eastAsia="仿宋" w:cs="新宋体"/>
          <w:bCs/>
          <w:color w:val="auto"/>
          <w:sz w:val="24"/>
          <w:highlight w:val="none"/>
        </w:rPr>
      </w:pPr>
      <w:r>
        <w:rPr>
          <w:rFonts w:hint="eastAsia" w:ascii="仿宋" w:hAnsi="仿宋" w:eastAsia="仿宋" w:cs="新宋体"/>
          <w:bCs/>
          <w:color w:val="auto"/>
          <w:sz w:val="24"/>
          <w:highlight w:val="none"/>
        </w:rPr>
        <w:t>3.1合格的投标人应满足招标文件第一部分“招标公告”对申请人的资格要求。</w:t>
      </w:r>
    </w:p>
    <w:p w14:paraId="15542596">
      <w:pPr>
        <w:snapToGrid w:val="0"/>
        <w:spacing w:line="460" w:lineRule="exact"/>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3.2</w:t>
      </w:r>
      <w:r>
        <w:rPr>
          <w:rFonts w:hint="eastAsia" w:ascii="仿宋" w:hAnsi="仿宋" w:eastAsia="仿宋" w:cs="新宋体"/>
          <w:b/>
          <w:color w:val="auto"/>
          <w:kern w:val="0"/>
          <w:sz w:val="24"/>
          <w:highlight w:val="none"/>
          <w:u w:val="single"/>
        </w:rPr>
        <w:t>▲</w:t>
      </w:r>
      <w:r>
        <w:rPr>
          <w:rFonts w:hint="eastAsia" w:ascii="仿宋" w:hAnsi="仿宋" w:eastAsia="仿宋" w:cs="新宋体"/>
          <w:b/>
          <w:bCs/>
          <w:color w:val="auto"/>
          <w:spacing w:val="6"/>
          <w:sz w:val="24"/>
          <w:highlight w:val="none"/>
          <w:u w:val="singl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r>
        <w:rPr>
          <w:rFonts w:hint="eastAsia" w:ascii="仿宋" w:hAnsi="仿宋" w:eastAsia="仿宋" w:cs="新宋体"/>
          <w:bCs/>
          <w:color w:val="auto"/>
          <w:spacing w:val="6"/>
          <w:sz w:val="24"/>
          <w:highlight w:val="none"/>
        </w:rPr>
        <w:t>。</w:t>
      </w:r>
    </w:p>
    <w:p w14:paraId="0430E050">
      <w:pPr>
        <w:tabs>
          <w:tab w:val="left" w:pos="540"/>
          <w:tab w:val="left" w:pos="900"/>
        </w:tabs>
        <w:snapToGrid w:val="0"/>
        <w:spacing w:line="460" w:lineRule="exact"/>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14:paraId="62C67E6E">
      <w:pPr>
        <w:tabs>
          <w:tab w:val="left" w:pos="540"/>
          <w:tab w:val="left" w:pos="900"/>
        </w:tabs>
        <w:snapToGrid w:val="0"/>
        <w:spacing w:line="460" w:lineRule="exact"/>
        <w:rPr>
          <w:rFonts w:ascii="仿宋" w:hAnsi="仿宋" w:eastAsia="仿宋" w:cs="新宋体"/>
          <w:b/>
          <w:color w:val="auto"/>
          <w:sz w:val="24"/>
          <w:highlight w:val="none"/>
        </w:rPr>
      </w:pPr>
      <w:r>
        <w:rPr>
          <w:rFonts w:hint="eastAsia" w:ascii="仿宋" w:hAnsi="仿宋" w:eastAsia="仿宋" w:cs="新宋体"/>
          <w:b/>
          <w:color w:val="auto"/>
          <w:sz w:val="24"/>
          <w:highlight w:val="none"/>
        </w:rPr>
        <w:t>4.投标费用</w:t>
      </w:r>
    </w:p>
    <w:p w14:paraId="1B66CDCD">
      <w:pPr>
        <w:snapToGrid w:val="0"/>
        <w:spacing w:line="460" w:lineRule="exact"/>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投标人应承担所有与准备和参加投标有关费用，不论投标的结果如何，采购人和采购代理机构均无义务和责任承担这些费用。</w:t>
      </w:r>
    </w:p>
    <w:p w14:paraId="07A0BF53">
      <w:pPr>
        <w:tabs>
          <w:tab w:val="left" w:pos="540"/>
          <w:tab w:val="left" w:pos="900"/>
        </w:tabs>
        <w:snapToGrid w:val="0"/>
        <w:spacing w:line="460" w:lineRule="exact"/>
        <w:rPr>
          <w:rFonts w:ascii="仿宋" w:hAnsi="仿宋" w:eastAsia="仿宋" w:cs="新宋体"/>
          <w:b/>
          <w:color w:val="auto"/>
          <w:sz w:val="24"/>
          <w:highlight w:val="none"/>
        </w:rPr>
      </w:pPr>
      <w:bookmarkStart w:id="12" w:name="_Hlk93148567"/>
      <w:r>
        <w:rPr>
          <w:rFonts w:hint="eastAsia" w:ascii="仿宋" w:hAnsi="仿宋" w:eastAsia="仿宋" w:cs="新宋体"/>
          <w:b/>
          <w:color w:val="auto"/>
          <w:sz w:val="24"/>
          <w:highlight w:val="none"/>
        </w:rPr>
        <w:t>5.保密</w:t>
      </w:r>
    </w:p>
    <w:p w14:paraId="306C8993">
      <w:pPr>
        <w:snapToGrid w:val="0"/>
        <w:spacing w:line="460" w:lineRule="exact"/>
        <w:ind w:firstLine="480" w:firstLineChars="200"/>
        <w:rPr>
          <w:rFonts w:ascii="仿宋" w:hAnsi="仿宋" w:eastAsia="仿宋" w:cs="新宋体"/>
          <w:color w:val="auto"/>
          <w:sz w:val="24"/>
          <w:highlight w:val="none"/>
        </w:rPr>
      </w:pPr>
      <w:r>
        <w:rPr>
          <w:rFonts w:ascii="仿宋" w:hAnsi="仿宋" w:eastAsia="仿宋" w:cs="新宋体"/>
          <w:color w:val="auto"/>
          <w:sz w:val="24"/>
          <w:highlight w:val="none"/>
        </w:rPr>
        <w:t>参与</w:t>
      </w:r>
      <w:r>
        <w:rPr>
          <w:rFonts w:hint="eastAsia" w:ascii="仿宋" w:hAnsi="仿宋" w:eastAsia="仿宋" w:cs="新宋体"/>
          <w:color w:val="auto"/>
          <w:sz w:val="24"/>
          <w:highlight w:val="none"/>
        </w:rPr>
        <w:t>采购</w:t>
      </w:r>
      <w:r>
        <w:rPr>
          <w:rFonts w:ascii="仿宋" w:hAnsi="仿宋" w:eastAsia="仿宋" w:cs="新宋体"/>
          <w:color w:val="auto"/>
          <w:sz w:val="24"/>
          <w:highlight w:val="none"/>
        </w:rPr>
        <w:t>活动的各方应对采购文件和投标文件中的商业和技术等秘密保密，否则应承担相应的法律责任。</w:t>
      </w:r>
    </w:p>
    <w:p w14:paraId="706CA0C7">
      <w:pPr>
        <w:snapToGrid w:val="0"/>
        <w:spacing w:line="460" w:lineRule="exact"/>
        <w:rPr>
          <w:rFonts w:ascii="仿宋" w:hAnsi="仿宋" w:eastAsia="仿宋" w:cs="新宋体"/>
          <w:b/>
          <w:bCs/>
          <w:color w:val="auto"/>
          <w:spacing w:val="6"/>
          <w:sz w:val="24"/>
          <w:highlight w:val="none"/>
        </w:rPr>
      </w:pPr>
      <w:r>
        <w:rPr>
          <w:rFonts w:hint="eastAsia" w:ascii="仿宋" w:hAnsi="仿宋" w:eastAsia="仿宋" w:cs="新宋体"/>
          <w:b/>
          <w:bCs/>
          <w:color w:val="auto"/>
          <w:spacing w:val="6"/>
          <w:sz w:val="24"/>
          <w:highlight w:val="none"/>
        </w:rPr>
        <w:t>6.标前答疑会或现场考察</w:t>
      </w:r>
    </w:p>
    <w:p w14:paraId="43E4F8F1">
      <w:pPr>
        <w:pStyle w:val="22"/>
        <w:kinsoku w:val="0"/>
        <w:autoSpaceDE/>
        <w:autoSpaceDN/>
        <w:snapToGrid w:val="0"/>
        <w:spacing w:after="0" w:line="460" w:lineRule="exact"/>
        <w:ind w:firstLine="480" w:firstLineChars="200"/>
        <w:jc w:val="left"/>
        <w:rPr>
          <w:rFonts w:ascii="仿宋" w:hAnsi="仿宋" w:eastAsia="仿宋" w:cs="新宋体"/>
          <w:color w:val="auto"/>
          <w:sz w:val="24"/>
          <w:highlight w:val="none"/>
        </w:rPr>
      </w:pPr>
      <w:r>
        <w:rPr>
          <w:rFonts w:hint="eastAsia" w:ascii="仿宋" w:hAnsi="仿宋" w:eastAsia="仿宋" w:cs="新宋体"/>
          <w:color w:val="auto"/>
          <w:sz w:val="24"/>
          <w:highlight w:val="none"/>
        </w:rPr>
        <w:t>6.1投标人须知前附表规定组织标前答疑会或现场考察的，投标人可以按投标人须知前附表规定的时间、地点参加标前答疑会或现场考察，以了解采购项目的场地和相关周边环境的情况、要求采购人澄清投标人提出的问题。</w:t>
      </w:r>
      <w:bookmarkStart w:id="13" w:name="bookmark32"/>
      <w:bookmarkEnd w:id="13"/>
    </w:p>
    <w:p w14:paraId="7F78591B">
      <w:pPr>
        <w:pStyle w:val="22"/>
        <w:kinsoku w:val="0"/>
        <w:autoSpaceDE/>
        <w:autoSpaceDN/>
        <w:snapToGrid w:val="0"/>
        <w:spacing w:after="0" w:line="460" w:lineRule="exact"/>
        <w:ind w:firstLine="480" w:firstLineChars="200"/>
        <w:jc w:val="left"/>
        <w:rPr>
          <w:rFonts w:ascii="仿宋" w:hAnsi="仿宋" w:eastAsia="仿宋" w:cs="新宋体"/>
          <w:color w:val="auto"/>
          <w:sz w:val="24"/>
          <w:highlight w:val="none"/>
        </w:rPr>
      </w:pPr>
      <w:r>
        <w:rPr>
          <w:rFonts w:hint="eastAsia" w:ascii="仿宋" w:hAnsi="仿宋" w:eastAsia="仿宋" w:cs="新宋体"/>
          <w:color w:val="auto"/>
          <w:sz w:val="24"/>
          <w:highlight w:val="none"/>
        </w:rPr>
        <w:t>6.2投标人考察现场发生的费用自理。除采购人的原因外，投标人自行负责在考察现场中所发生的人员伤亡和财产损失。</w:t>
      </w:r>
    </w:p>
    <w:bookmarkEnd w:id="12"/>
    <w:p w14:paraId="324496DF">
      <w:pPr>
        <w:snapToGrid w:val="0"/>
        <w:spacing w:line="460" w:lineRule="exact"/>
        <w:rPr>
          <w:rFonts w:ascii="仿宋" w:hAnsi="仿宋" w:eastAsia="仿宋" w:cs="新宋体"/>
          <w:b/>
          <w:bCs/>
          <w:color w:val="auto"/>
          <w:spacing w:val="6"/>
          <w:sz w:val="24"/>
          <w:highlight w:val="none"/>
        </w:rPr>
      </w:pPr>
      <w:bookmarkStart w:id="14" w:name="_Hlk93148676"/>
      <w:r>
        <w:rPr>
          <w:rFonts w:hint="eastAsia" w:ascii="仿宋" w:hAnsi="仿宋" w:eastAsia="仿宋" w:cs="新宋体"/>
          <w:b/>
          <w:bCs/>
          <w:color w:val="auto"/>
          <w:spacing w:val="6"/>
          <w:sz w:val="24"/>
          <w:highlight w:val="none"/>
        </w:rPr>
        <w:t>7.落实政府采购政策</w:t>
      </w:r>
    </w:p>
    <w:p w14:paraId="4FDD4964">
      <w:pPr>
        <w:snapToGrid w:val="0"/>
        <w:spacing w:line="460" w:lineRule="exact"/>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BFF9D39">
      <w:pPr>
        <w:snapToGrid w:val="0"/>
        <w:spacing w:line="460" w:lineRule="exact"/>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7.2支持绿色发展</w:t>
      </w:r>
    </w:p>
    <w:p w14:paraId="1F2CE7A0">
      <w:pPr>
        <w:snapToGrid w:val="0"/>
        <w:spacing w:line="460" w:lineRule="exact"/>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新宋体"/>
          <w:b/>
          <w:bCs/>
          <w:color w:val="auto"/>
          <w:spacing w:val="6"/>
          <w:sz w:val="24"/>
          <w:highlight w:val="none"/>
          <w:u w:val="single"/>
        </w:rPr>
        <w:t>▲采购人拟采购的产品属于政府强制采购的节能产品品目清单范围的，投标人未按招标文件要求提供国家确定的认证机构出具的、处于有效期之内的节能产品认证证书的，投标无效</w:t>
      </w:r>
      <w:r>
        <w:rPr>
          <w:rFonts w:hint="eastAsia" w:ascii="仿宋" w:hAnsi="仿宋" w:eastAsia="仿宋" w:cs="新宋体"/>
          <w:bCs/>
          <w:color w:val="auto"/>
          <w:spacing w:val="6"/>
          <w:sz w:val="24"/>
          <w:highlight w:val="none"/>
        </w:rPr>
        <w:t>。</w:t>
      </w:r>
    </w:p>
    <w:p w14:paraId="6A56B98E">
      <w:pPr>
        <w:snapToGrid w:val="0"/>
        <w:spacing w:line="460" w:lineRule="exact"/>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7.2.</w:t>
      </w:r>
      <w:r>
        <w:rPr>
          <w:rFonts w:ascii="仿宋" w:hAnsi="仿宋" w:eastAsia="仿宋" w:cs="新宋体"/>
          <w:bCs/>
          <w:color w:val="auto"/>
          <w:spacing w:val="6"/>
          <w:sz w:val="24"/>
          <w:highlight w:val="none"/>
        </w:rPr>
        <w:t>2</w:t>
      </w:r>
      <w:r>
        <w:rPr>
          <w:rFonts w:hint="eastAsia" w:ascii="仿宋" w:hAnsi="仿宋" w:eastAsia="仿宋" w:cs="新宋体"/>
          <w:bCs/>
          <w:color w:val="auto"/>
          <w:spacing w:val="6"/>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7042906">
      <w:pPr>
        <w:snapToGrid w:val="0"/>
        <w:spacing w:line="460" w:lineRule="exact"/>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7.3支持中小企业发展</w:t>
      </w:r>
    </w:p>
    <w:p w14:paraId="3DD10928">
      <w:pPr>
        <w:snapToGrid w:val="0"/>
        <w:spacing w:line="460" w:lineRule="exact"/>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7.3.1中小企业，是指在中华人民共和国境内依法设立，依据国务院批准的中小企业划分标准确定的中型企业、小型企业和微型企业，但与大企业的负责人为同一人，或者与大企业存在直接控股、管理关系的除外。</w:t>
      </w:r>
    </w:p>
    <w:p w14:paraId="6EB6B955">
      <w:pPr>
        <w:snapToGrid w:val="0"/>
        <w:spacing w:line="460" w:lineRule="exact"/>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符合中小企业划分标准的个体工商户，在政府采购活动中视同中小企业。</w:t>
      </w:r>
    </w:p>
    <w:p w14:paraId="70E2CAB3">
      <w:pPr>
        <w:snapToGrid w:val="0"/>
        <w:spacing w:line="460" w:lineRule="exact"/>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7.3.2在政府采购活动中，投标人提供的货物、工程或者服务符合下列情形的，享受中小企业扶持政策：</w:t>
      </w:r>
    </w:p>
    <w:p w14:paraId="7678E0A6">
      <w:pPr>
        <w:snapToGrid w:val="0"/>
        <w:spacing w:line="460" w:lineRule="exact"/>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（1）在货物采购项目中，货物由中小企业制造，即货物由中小企业生产且使用该中小企业商号或者注册商标；</w:t>
      </w:r>
    </w:p>
    <w:p w14:paraId="4DA3F6FD">
      <w:pPr>
        <w:snapToGrid w:val="0"/>
        <w:spacing w:line="460" w:lineRule="exact"/>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（2）在工程采购项目中，工程由中小企业承建，即工程施工单位为中小企业；</w:t>
      </w:r>
    </w:p>
    <w:p w14:paraId="3B25AD64">
      <w:pPr>
        <w:snapToGrid w:val="0"/>
        <w:spacing w:line="460" w:lineRule="exact"/>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（3）在服务采购项目中，服务由中小企业承接，即提供服务的人员为中小企业依照《中华人民共和国劳动合同法》订立劳动合同的从业人员。</w:t>
      </w:r>
    </w:p>
    <w:p w14:paraId="5D3B62D0">
      <w:pPr>
        <w:snapToGrid w:val="0"/>
        <w:spacing w:line="460" w:lineRule="exact"/>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在货物采购项目中，投标人提供的货物既有中小企业制造货物，也有大型企业制造货物的，不享受中小企业扶持政策。</w:t>
      </w:r>
    </w:p>
    <w:p w14:paraId="16C3271C">
      <w:pPr>
        <w:snapToGrid w:val="0"/>
        <w:spacing w:line="460" w:lineRule="exact"/>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以联合体形式参加政府采购活动，联合体各方均为中小企业的，联合体视同中小企业。其中，联合体各方均为小微企业的，联合体视同小微企业。</w:t>
      </w:r>
    </w:p>
    <w:p w14:paraId="61F80D9F">
      <w:pPr>
        <w:snapToGrid w:val="0"/>
        <w:spacing w:line="460" w:lineRule="exact"/>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7.3.3对于未预留份额专门面向中小企业采购的采购项目，以及预留份额项目中的非预留部分采购包，采购人、采购代理机构应当对符合规定的小微企业报价给予20%（工程项目为10%）的扣除，用扣除后的价格参加评审。适用招标投标法的政府采购工程建设项目，采用综合评估法但未采用低价优先法计算价格分的，评标时应当在采用原报价进行评分的基础上增加其价格得分的10%作为其价格分。</w:t>
      </w:r>
    </w:p>
    <w:p w14:paraId="1B4B5CD3">
      <w:pPr>
        <w:snapToGrid w:val="0"/>
        <w:spacing w:line="460" w:lineRule="exact"/>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接受大中型企业与小微企业组成联合体或者允许大中型企业向一家或者多家小微企业分包的采购项目，对于联合体协议或者分包意向协议约定小微企业的合同份额占到合同总金额30%以上的，采购人、采购代理机构应当对联合体或者大中型企业的报价给予6%（工程项目为4%）的扣除，用扣除后的价格参加评审。适用招标投标法的政府采购工程建设项目，采用综合评估法但未采用低价优先法计算价格分的，评标时应当在采用原报价进行评分的基础上增加其价格得分的4%作为其价格分。组成联合体或者接受分包的小微企业与联合体内其他企业、分包企业之间存在直接控股、管理关系的，不享受价格扣除优惠政策。</w:t>
      </w:r>
    </w:p>
    <w:p w14:paraId="17FB323E">
      <w:pPr>
        <w:snapToGrid w:val="0"/>
        <w:spacing w:line="460" w:lineRule="exact"/>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价格扣除比例或者价格分加分比例对小型企业和微型企业同等对待，不作区分。具体采购项目的价格扣除比例或者价格分加分比例，见招标文件第六部分评标办法。</w:t>
      </w:r>
    </w:p>
    <w:p w14:paraId="54661AD2">
      <w:pPr>
        <w:snapToGrid w:val="0"/>
        <w:spacing w:line="460" w:lineRule="exact"/>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7.3.4符合《关于促进残疾人就业政府采购政策的通知》（财库〔2017〕141号）规定的条件并提供《残疾人福利性单位声明函》的残疾人福利性单位视同小型、微型企业；</w:t>
      </w:r>
    </w:p>
    <w:p w14:paraId="45078ADC">
      <w:pPr>
        <w:snapToGrid w:val="0"/>
        <w:spacing w:line="460" w:lineRule="exact"/>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7.3.5符合《关于政府采购支持监狱企业发展有关问题的通知》（财库[2014]68号）规定的监狱企业并提供由省级以上监狱管理局、戒毒管理局（含新疆生产建设兵团）出具的属于监狱企业证明文件的，视同为小型、微型企业。</w:t>
      </w:r>
    </w:p>
    <w:p w14:paraId="43B013E3">
      <w:pPr>
        <w:snapToGrid w:val="0"/>
        <w:spacing w:line="460" w:lineRule="exact"/>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CB8F000">
      <w:pPr>
        <w:snapToGrid w:val="0"/>
        <w:spacing w:line="460" w:lineRule="exact"/>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7.3.7中小企业享受扶持政策获得政府采购合同的，小微企业不得将合同分包给大中型企业，中型企业不得将合同分包给大型企业。</w:t>
      </w:r>
    </w:p>
    <w:p w14:paraId="4F69C97E">
      <w:pPr>
        <w:snapToGrid w:val="0"/>
        <w:spacing w:line="460" w:lineRule="exact"/>
        <w:ind w:firstLine="504" w:firstLineChars="200"/>
        <w:rPr>
          <w:rFonts w:hint="eastAsia"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w:t>
      </w:r>
      <w:r>
        <w:rPr>
          <w:rFonts w:ascii="仿宋" w:hAnsi="仿宋" w:eastAsia="仿宋" w:cs="新宋体"/>
          <w:bCs/>
          <w:color w:val="auto"/>
          <w:spacing w:val="6"/>
          <w:sz w:val="24"/>
          <w:highlight w:val="none"/>
        </w:rPr>
        <w:t>4</w:t>
      </w:r>
      <w:r>
        <w:rPr>
          <w:rFonts w:hint="eastAsia" w:ascii="仿宋" w:hAnsi="仿宋" w:eastAsia="仿宋" w:cs="新宋体"/>
          <w:bCs/>
          <w:color w:val="auto"/>
          <w:spacing w:val="6"/>
          <w:sz w:val="24"/>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bookmarkEnd w:id="14"/>
    </w:p>
    <w:p w14:paraId="7886C85A">
      <w:pPr>
        <w:snapToGrid w:val="0"/>
        <w:spacing w:line="460" w:lineRule="exact"/>
        <w:ind w:firstLine="504" w:firstLineChars="200"/>
        <w:rPr>
          <w:rFonts w:hint="eastAsia"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7.5加大支持科技创新力度</w:t>
      </w:r>
    </w:p>
    <w:p w14:paraId="10DA9E12">
      <w:pPr>
        <w:snapToGrid w:val="0"/>
        <w:spacing w:line="460" w:lineRule="exact"/>
        <w:ind w:firstLine="504" w:firstLineChars="200"/>
        <w:rPr>
          <w:rFonts w:hint="eastAsia"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7.5.1.</w:t>
      </w:r>
      <w:r>
        <w:rPr>
          <w:rFonts w:ascii="仿宋" w:hAnsi="仿宋" w:eastAsia="仿宋" w:cs="新宋体"/>
          <w:bCs/>
          <w:color w:val="auto"/>
          <w:spacing w:val="6"/>
          <w:sz w:val="24"/>
          <w:highlight w:val="none"/>
        </w:rPr>
        <w:t>优先推荐专精特新中小企业、创新产品参加政府采购活动。</w:t>
      </w:r>
    </w:p>
    <w:p w14:paraId="67C7169A">
      <w:pPr>
        <w:snapToGrid w:val="0"/>
        <w:spacing w:line="460" w:lineRule="exact"/>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7.5.2.</w:t>
      </w:r>
      <w:r>
        <w:rPr>
          <w:rFonts w:ascii="仿宋" w:hAnsi="仿宋" w:eastAsia="仿宋" w:cs="新宋体"/>
          <w:bCs/>
          <w:color w:val="auto"/>
          <w:spacing w:val="6"/>
          <w:sz w:val="24"/>
          <w:highlight w:val="none"/>
        </w:rPr>
        <w:t>对省级以上主管部门认定的首台套产品，自纳入《省推广应用指导目录》起三年内参加政府采购活动，视同已具备相应销售业绩，业绩分为满分。</w:t>
      </w:r>
    </w:p>
    <w:p w14:paraId="4D0DFE57">
      <w:pPr>
        <w:snapToGrid w:val="0"/>
        <w:spacing w:line="460" w:lineRule="exact"/>
        <w:rPr>
          <w:rFonts w:ascii="仿宋" w:hAnsi="仿宋" w:eastAsia="仿宋" w:cs="新宋体"/>
          <w:b/>
          <w:bCs/>
          <w:color w:val="auto"/>
          <w:spacing w:val="6"/>
          <w:sz w:val="24"/>
          <w:highlight w:val="none"/>
        </w:rPr>
      </w:pPr>
      <w:bookmarkStart w:id="15" w:name="_Hlk93148897"/>
      <w:r>
        <w:rPr>
          <w:rFonts w:hint="eastAsia" w:ascii="仿宋" w:hAnsi="仿宋" w:eastAsia="仿宋" w:cs="新宋体"/>
          <w:b/>
          <w:bCs/>
          <w:color w:val="auto"/>
          <w:spacing w:val="6"/>
          <w:sz w:val="24"/>
          <w:highlight w:val="none"/>
        </w:rPr>
        <w:t>8.询问、质疑、投诉</w:t>
      </w:r>
    </w:p>
    <w:p w14:paraId="36069EBC">
      <w:pPr>
        <w:snapToGrid w:val="0"/>
        <w:spacing w:line="460" w:lineRule="exact"/>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8.1询问</w:t>
      </w:r>
    </w:p>
    <w:p w14:paraId="46A832EE">
      <w:pPr>
        <w:snapToGrid w:val="0"/>
        <w:spacing w:line="460" w:lineRule="exact"/>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14:paraId="5061E84B">
      <w:pPr>
        <w:snapToGrid w:val="0"/>
        <w:spacing w:line="460" w:lineRule="exact"/>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8.2质疑</w:t>
      </w:r>
    </w:p>
    <w:p w14:paraId="2926DAD9">
      <w:pPr>
        <w:snapToGrid w:val="0"/>
        <w:spacing w:line="460" w:lineRule="exact"/>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8.2.1提出质疑的投标人应当是参与所质疑项目采购活动的供应商。潜在投标人已依法获取其可质疑的招标文件的，可以对该文件提出质疑。</w:t>
      </w:r>
    </w:p>
    <w:p w14:paraId="50888423">
      <w:pPr>
        <w:snapToGrid w:val="0"/>
        <w:spacing w:line="460" w:lineRule="exact"/>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8.2.2投标人认为招标文件、采购过程和中标结果使自己的权益受到损害的，可以在知道或者应知其权益受到损害之日起七个工作日内，以书面形式向采购人或者采购机构提出质疑，否则，采购人或者采购机构不予受理：</w:t>
      </w:r>
    </w:p>
    <w:p w14:paraId="318F4DD1">
      <w:pPr>
        <w:snapToGrid w:val="0"/>
        <w:spacing w:line="460" w:lineRule="exact"/>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（1）对招标文件提出质疑的，质疑期限为投标人获得招标文件之日或者招标文件公告期限届满之日起计算。</w:t>
      </w:r>
    </w:p>
    <w:p w14:paraId="187120C4">
      <w:pPr>
        <w:snapToGrid w:val="0"/>
        <w:spacing w:line="460" w:lineRule="exact"/>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（2）对采购过程提出质疑的，质疑期限为各采购程序环节结束之日起计算。对同一采购程序环节的质疑，质疑人须一次性提出。</w:t>
      </w:r>
    </w:p>
    <w:p w14:paraId="7EC59F3D">
      <w:pPr>
        <w:snapToGrid w:val="0"/>
        <w:spacing w:line="460" w:lineRule="exact"/>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（3）对采购结果提出质疑的，质疑期限自采购结果公告期限届满之日起计算。</w:t>
      </w:r>
    </w:p>
    <w:p w14:paraId="4BBBB625">
      <w:pPr>
        <w:snapToGrid w:val="0"/>
        <w:spacing w:line="460" w:lineRule="exact"/>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8.2.3投标人提出质疑应当提交质疑函和必要的证明材料。质疑函应当包括下列内容：</w:t>
      </w:r>
    </w:p>
    <w:p w14:paraId="13939320">
      <w:pPr>
        <w:snapToGrid w:val="0"/>
        <w:spacing w:line="460" w:lineRule="exact"/>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（1）供应商的姓名或者名称、地址、邮编、联系人及联系电话；</w:t>
      </w:r>
    </w:p>
    <w:p w14:paraId="68672138">
      <w:pPr>
        <w:snapToGrid w:val="0"/>
        <w:spacing w:line="460" w:lineRule="exact"/>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（2）质疑项目的名称、编号；</w:t>
      </w:r>
    </w:p>
    <w:p w14:paraId="377836BA">
      <w:pPr>
        <w:snapToGrid w:val="0"/>
        <w:spacing w:line="460" w:lineRule="exact"/>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（3）具体、明确的质疑事项和与质疑事项相关的请求；</w:t>
      </w:r>
    </w:p>
    <w:p w14:paraId="78554430">
      <w:pPr>
        <w:snapToGrid w:val="0"/>
        <w:spacing w:line="460" w:lineRule="exact"/>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（4）事实依据；</w:t>
      </w:r>
    </w:p>
    <w:p w14:paraId="64ADE12A">
      <w:pPr>
        <w:snapToGrid w:val="0"/>
        <w:spacing w:line="460" w:lineRule="exact"/>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（5）必要的法律依据；</w:t>
      </w:r>
    </w:p>
    <w:p w14:paraId="325AB239">
      <w:pPr>
        <w:snapToGrid w:val="0"/>
        <w:spacing w:line="460" w:lineRule="exact"/>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（6）提出质疑的日期。</w:t>
      </w:r>
    </w:p>
    <w:p w14:paraId="7C538AED">
      <w:pPr>
        <w:snapToGrid w:val="0"/>
        <w:spacing w:line="460" w:lineRule="exact"/>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投标人提交的质疑函需一式三份。投标人为自然人的，应当由本人签字；投标人为法人或者其他组织的，应当由法定代表人、主要负责人，或者其授权代表签字或者盖章，并加盖公章。</w:t>
      </w:r>
    </w:p>
    <w:p w14:paraId="412975C0">
      <w:pPr>
        <w:snapToGrid w:val="0"/>
        <w:spacing w:line="460" w:lineRule="exact"/>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8.2.4采购人或者采购机构应当在收到质疑人的书面质疑后七个工作日内作出答复，并以书面形式通知质疑人和其他与质疑处理结果有利害关系的政府采购当事人，但答复的内容不得涉及商业秘密。</w:t>
      </w:r>
    </w:p>
    <w:p w14:paraId="1DDA36B7">
      <w:pPr>
        <w:snapToGrid w:val="0"/>
        <w:spacing w:line="460" w:lineRule="exact"/>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8.2.5询问或者质疑事项可能影响采购结果的，采购人应当暂停签订合同，已经签订合同的，应当中止履行合同。</w:t>
      </w:r>
    </w:p>
    <w:p w14:paraId="66B84A02">
      <w:pPr>
        <w:snapToGrid w:val="0"/>
        <w:spacing w:line="460" w:lineRule="exact"/>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8.3投诉</w:t>
      </w:r>
    </w:p>
    <w:p w14:paraId="27CCD6F1">
      <w:pPr>
        <w:snapToGrid w:val="0"/>
        <w:spacing w:line="460" w:lineRule="exact"/>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8.3.1质疑人对采购人、采购机构的答复不满意或者采购人、采购机构未在规定的时间内作出答复的，可以在答复期满后十五个工作日内向同级政府采购监督管理部门提出投诉。</w:t>
      </w:r>
    </w:p>
    <w:p w14:paraId="1B70CBED">
      <w:pPr>
        <w:snapToGrid w:val="0"/>
        <w:spacing w:line="460" w:lineRule="exact"/>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8.3.2投标人投诉的事项不得超出已质疑事项的范围，基于质疑答复内容提出的投诉事项除外。</w:t>
      </w:r>
    </w:p>
    <w:p w14:paraId="586E02F5">
      <w:pPr>
        <w:snapToGrid w:val="0"/>
        <w:spacing w:line="460" w:lineRule="exact"/>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8.3.3投标人投诉应当有明确的请求和必要的证明材料。</w:t>
      </w:r>
    </w:p>
    <w:p w14:paraId="731D97B8">
      <w:pPr>
        <w:snapToGrid w:val="0"/>
        <w:spacing w:line="460" w:lineRule="exact"/>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8.3.</w:t>
      </w:r>
      <w:r>
        <w:rPr>
          <w:rFonts w:hint="default" w:ascii="仿宋" w:hAnsi="仿宋" w:eastAsia="仿宋" w:cs="新宋体"/>
          <w:bCs/>
          <w:color w:val="auto"/>
          <w:spacing w:val="6"/>
          <w:sz w:val="24"/>
          <w:highlight w:val="none"/>
        </w:rPr>
        <w:t xml:space="preserve">4 </w:t>
      </w:r>
      <w:r>
        <w:rPr>
          <w:rFonts w:hint="eastAsia" w:ascii="仿宋" w:hAnsi="仿宋" w:eastAsia="仿宋" w:cs="新宋体"/>
          <w:bCs/>
          <w:color w:val="auto"/>
          <w:spacing w:val="6"/>
          <w:sz w:val="24"/>
          <w:highlight w:val="none"/>
        </w:rPr>
        <w:t>以联合体形式参加政府采购活动的，其投诉应当由组成联合体的所有供应商共同提出。</w:t>
      </w:r>
    </w:p>
    <w:p w14:paraId="69247B95">
      <w:pPr>
        <w:snapToGrid w:val="0"/>
        <w:spacing w:line="460" w:lineRule="exact"/>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8.4根据《政府采购质疑和投诉办法》第三十七条的规定，投诉人在全国范围12个月内三次以上投诉查无实据的，由财政部门列入不良行为记录名单。</w:t>
      </w:r>
      <w:bookmarkEnd w:id="15"/>
    </w:p>
    <w:p w14:paraId="432FAB05">
      <w:pPr>
        <w:snapToGrid w:val="0"/>
        <w:spacing w:line="460" w:lineRule="exact"/>
        <w:ind w:firstLine="504" w:firstLineChars="200"/>
        <w:rPr>
          <w:rFonts w:ascii="仿宋" w:hAnsi="仿宋" w:eastAsia="仿宋" w:cs="新宋体"/>
          <w:bCs/>
          <w:color w:val="auto"/>
          <w:spacing w:val="6"/>
          <w:sz w:val="24"/>
          <w:highlight w:val="none"/>
        </w:rPr>
      </w:pPr>
    </w:p>
    <w:p w14:paraId="2B603E83">
      <w:pPr>
        <w:snapToGrid w:val="0"/>
        <w:spacing w:line="460" w:lineRule="exact"/>
        <w:jc w:val="center"/>
        <w:rPr>
          <w:rFonts w:ascii="仿宋" w:hAnsi="仿宋" w:eastAsia="仿宋" w:cs="新宋体"/>
          <w:b/>
          <w:color w:val="auto"/>
          <w:sz w:val="28"/>
          <w:szCs w:val="28"/>
          <w:highlight w:val="none"/>
        </w:rPr>
      </w:pPr>
      <w:bookmarkStart w:id="16" w:name="_Toc221423617"/>
      <w:bookmarkStart w:id="17" w:name="_Toc221374624"/>
      <w:bookmarkStart w:id="18" w:name="_Toc221356949"/>
      <w:bookmarkStart w:id="19" w:name="_Toc265529381"/>
      <w:bookmarkStart w:id="20" w:name="_Toc222114877"/>
      <w:bookmarkStart w:id="21" w:name="_Toc221356884"/>
      <w:bookmarkStart w:id="22" w:name="_Toc34508131"/>
      <w:bookmarkStart w:id="23" w:name="_Toc239145352"/>
      <w:bookmarkStart w:id="24" w:name="_Toc241404200"/>
      <w:bookmarkStart w:id="25" w:name="_Toc223715996"/>
      <w:r>
        <w:rPr>
          <w:rFonts w:hint="eastAsia" w:ascii="仿宋" w:hAnsi="仿宋" w:eastAsia="仿宋" w:cs="新宋体"/>
          <w:b/>
          <w:color w:val="auto"/>
          <w:sz w:val="28"/>
          <w:szCs w:val="28"/>
          <w:highlight w:val="none"/>
        </w:rPr>
        <w:t>二、招标文件</w:t>
      </w:r>
      <w:bookmarkEnd w:id="16"/>
      <w:bookmarkEnd w:id="17"/>
      <w:bookmarkEnd w:id="18"/>
      <w:bookmarkEnd w:id="19"/>
      <w:bookmarkEnd w:id="20"/>
      <w:bookmarkEnd w:id="21"/>
      <w:bookmarkEnd w:id="22"/>
      <w:bookmarkEnd w:id="23"/>
      <w:bookmarkEnd w:id="24"/>
      <w:bookmarkEnd w:id="25"/>
    </w:p>
    <w:p w14:paraId="3A4FB599">
      <w:pPr>
        <w:tabs>
          <w:tab w:val="left" w:pos="540"/>
        </w:tabs>
        <w:snapToGrid w:val="0"/>
        <w:spacing w:line="460" w:lineRule="exact"/>
        <w:rPr>
          <w:rFonts w:ascii="仿宋" w:hAnsi="仿宋" w:eastAsia="仿宋" w:cs="新宋体"/>
          <w:b/>
          <w:color w:val="auto"/>
          <w:sz w:val="24"/>
          <w:highlight w:val="none"/>
        </w:rPr>
      </w:pPr>
      <w:r>
        <w:rPr>
          <w:rFonts w:hint="eastAsia" w:ascii="仿宋" w:hAnsi="仿宋" w:eastAsia="仿宋" w:cs="新宋体"/>
          <w:b/>
          <w:color w:val="auto"/>
          <w:sz w:val="24"/>
          <w:highlight w:val="none"/>
        </w:rPr>
        <w:t>9.招标文件</w:t>
      </w:r>
    </w:p>
    <w:p w14:paraId="7B41FC5A">
      <w:pPr>
        <w:tabs>
          <w:tab w:val="left" w:pos="540"/>
        </w:tabs>
        <w:snapToGrid w:val="0"/>
        <w:spacing w:line="460" w:lineRule="exact"/>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9.1本项目招标文件由招标文件目录所列内容及相关资料组成。</w:t>
      </w:r>
      <w:bookmarkStart w:id="26" w:name="_Hlk93148980"/>
      <w:r>
        <w:rPr>
          <w:rFonts w:hint="eastAsia" w:ascii="仿宋" w:hAnsi="仿宋" w:eastAsia="仿宋" w:cs="新宋体"/>
          <w:color w:val="auto"/>
          <w:sz w:val="24"/>
          <w:highlight w:val="none"/>
        </w:rPr>
        <w:t>获取招标文件的时间期限、地点、方式及招标文件售价等情况详见招标公告。</w:t>
      </w:r>
      <w:bookmarkEnd w:id="26"/>
    </w:p>
    <w:p w14:paraId="72061B6D">
      <w:pPr>
        <w:tabs>
          <w:tab w:val="left" w:pos="540"/>
        </w:tabs>
        <w:snapToGrid w:val="0"/>
        <w:spacing w:line="460" w:lineRule="exact"/>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9.2招标文件的澄清或修改</w:t>
      </w:r>
    </w:p>
    <w:p w14:paraId="1C40B566">
      <w:pPr>
        <w:snapToGrid w:val="0"/>
        <w:spacing w:line="460" w:lineRule="exact"/>
        <w:ind w:firstLine="504" w:firstLineChars="200"/>
        <w:rPr>
          <w:rFonts w:ascii="仿宋" w:hAnsi="仿宋" w:eastAsia="仿宋" w:cs="新宋体"/>
          <w:color w:val="auto"/>
          <w:spacing w:val="6"/>
          <w:sz w:val="24"/>
          <w:highlight w:val="none"/>
        </w:rPr>
      </w:pPr>
      <w:r>
        <w:rPr>
          <w:rFonts w:hint="eastAsia" w:ascii="仿宋" w:hAnsi="仿宋" w:eastAsia="仿宋" w:cs="新宋体"/>
          <w:color w:val="auto"/>
          <w:spacing w:val="6"/>
          <w:sz w:val="24"/>
          <w:highlight w:val="none"/>
        </w:rPr>
        <w:t>9.2.1采购人或者采购代理机构可以对已发出的招标文件进行必要的澄清或者修改。澄清或者修改在浙江政府采购网上发布公告，政采云系统将自动发送消息通知所有获取招标文件的潜在投标人。澄清或者修改的内容为招标文件的组成部分。</w:t>
      </w:r>
    </w:p>
    <w:p w14:paraId="2E568D1B">
      <w:pPr>
        <w:snapToGrid w:val="0"/>
        <w:spacing w:line="460" w:lineRule="exact"/>
        <w:ind w:firstLine="504" w:firstLineChars="200"/>
        <w:rPr>
          <w:rFonts w:ascii="仿宋" w:hAnsi="仿宋" w:eastAsia="仿宋" w:cs="新宋体"/>
          <w:color w:val="auto"/>
          <w:spacing w:val="6"/>
          <w:sz w:val="24"/>
          <w:highlight w:val="none"/>
        </w:rPr>
      </w:pPr>
      <w:r>
        <w:rPr>
          <w:rFonts w:hint="eastAsia" w:ascii="仿宋" w:hAnsi="仿宋" w:eastAsia="仿宋" w:cs="新宋体"/>
          <w:color w:val="auto"/>
          <w:spacing w:val="6"/>
          <w:sz w:val="24"/>
          <w:highlight w:val="none"/>
        </w:rPr>
        <w:t>9.2.2澄清或者修改的内容可能影响投标文件编制的，采购人或者采购代理机构应当在投标截止时间至少15日前，在浙江政府采购网上发布更正公告，政采云系统将自动发送消息通知所有获取招标文件的潜在投标人；不足15日的，采购人或者采购代理机构应当顺延提交投标文件的截止时间。</w:t>
      </w:r>
    </w:p>
    <w:p w14:paraId="7ED2EF30">
      <w:pPr>
        <w:tabs>
          <w:tab w:val="left" w:pos="540"/>
        </w:tabs>
        <w:snapToGrid w:val="0"/>
        <w:spacing w:line="460" w:lineRule="exact"/>
        <w:ind w:firstLine="480" w:firstLineChars="200"/>
        <w:rPr>
          <w:rFonts w:ascii="仿宋" w:hAnsi="仿宋" w:eastAsia="仿宋" w:cs="新宋体"/>
          <w:color w:val="auto"/>
          <w:sz w:val="24"/>
          <w:highlight w:val="none"/>
        </w:rPr>
      </w:pPr>
    </w:p>
    <w:p w14:paraId="246DA145">
      <w:pPr>
        <w:snapToGrid w:val="0"/>
        <w:spacing w:line="460" w:lineRule="exact"/>
        <w:jc w:val="center"/>
        <w:outlineLvl w:val="1"/>
        <w:rPr>
          <w:rFonts w:ascii="仿宋" w:hAnsi="仿宋" w:eastAsia="仿宋" w:cs="新宋体"/>
          <w:b/>
          <w:color w:val="auto"/>
          <w:sz w:val="28"/>
          <w:szCs w:val="28"/>
          <w:highlight w:val="none"/>
        </w:rPr>
      </w:pPr>
      <w:bookmarkStart w:id="27" w:name="_Toc34508132"/>
      <w:bookmarkStart w:id="28" w:name="_Toc221423618"/>
      <w:bookmarkStart w:id="29" w:name="_Toc265529382"/>
      <w:bookmarkStart w:id="30" w:name="_Toc239145353"/>
      <w:bookmarkStart w:id="31" w:name="_Toc221356950"/>
      <w:bookmarkStart w:id="32" w:name="_Toc241404201"/>
      <w:bookmarkStart w:id="33" w:name="_Toc223715997"/>
      <w:bookmarkStart w:id="34" w:name="_Toc221374625"/>
      <w:bookmarkStart w:id="35" w:name="_Toc222114878"/>
      <w:bookmarkStart w:id="36" w:name="_Toc221356885"/>
      <w:r>
        <w:rPr>
          <w:rFonts w:hint="eastAsia" w:ascii="仿宋" w:hAnsi="仿宋" w:eastAsia="仿宋" w:cs="新宋体"/>
          <w:b/>
          <w:color w:val="auto"/>
          <w:sz w:val="28"/>
          <w:szCs w:val="28"/>
          <w:highlight w:val="none"/>
        </w:rPr>
        <w:t>三、投标文件</w:t>
      </w:r>
      <w:bookmarkEnd w:id="27"/>
      <w:bookmarkEnd w:id="28"/>
      <w:bookmarkEnd w:id="29"/>
      <w:bookmarkEnd w:id="30"/>
      <w:bookmarkEnd w:id="31"/>
      <w:bookmarkEnd w:id="32"/>
      <w:bookmarkEnd w:id="33"/>
      <w:bookmarkEnd w:id="34"/>
      <w:bookmarkEnd w:id="35"/>
      <w:bookmarkEnd w:id="36"/>
    </w:p>
    <w:p w14:paraId="3919972D">
      <w:pPr>
        <w:snapToGrid w:val="0"/>
        <w:spacing w:line="460" w:lineRule="exact"/>
        <w:rPr>
          <w:rFonts w:ascii="仿宋" w:hAnsi="仿宋" w:eastAsia="仿宋" w:cs="新宋体"/>
          <w:b/>
          <w:bCs/>
          <w:snapToGrid w:val="0"/>
          <w:color w:val="auto"/>
          <w:sz w:val="24"/>
          <w:highlight w:val="none"/>
        </w:rPr>
      </w:pPr>
      <w:bookmarkStart w:id="37" w:name="_Toc221356886"/>
      <w:bookmarkStart w:id="38" w:name="_Hlk93149286"/>
      <w:r>
        <w:rPr>
          <w:rFonts w:hint="eastAsia" w:ascii="仿宋" w:hAnsi="仿宋" w:eastAsia="仿宋" w:cs="新宋体"/>
          <w:b/>
          <w:snapToGrid w:val="0"/>
          <w:color w:val="auto"/>
          <w:sz w:val="24"/>
          <w:highlight w:val="none"/>
        </w:rPr>
        <w:t>10.</w:t>
      </w:r>
      <w:r>
        <w:rPr>
          <w:rFonts w:hint="eastAsia" w:ascii="仿宋" w:hAnsi="仿宋" w:eastAsia="仿宋" w:cs="新宋体"/>
          <w:b/>
          <w:bCs/>
          <w:snapToGrid w:val="0"/>
          <w:color w:val="auto"/>
          <w:sz w:val="24"/>
          <w:highlight w:val="none"/>
        </w:rPr>
        <w:t>投标文件的构成</w:t>
      </w:r>
    </w:p>
    <w:p w14:paraId="7180A5B6">
      <w:pPr>
        <w:snapToGrid w:val="0"/>
        <w:spacing w:line="460" w:lineRule="exact"/>
        <w:ind w:firstLine="470" w:firstLineChars="196"/>
        <w:rPr>
          <w:rFonts w:ascii="仿宋" w:hAnsi="仿宋" w:eastAsia="仿宋" w:cs="新宋体"/>
          <w:bCs/>
          <w:color w:val="auto"/>
          <w:sz w:val="24"/>
          <w:highlight w:val="none"/>
        </w:rPr>
      </w:pPr>
      <w:r>
        <w:rPr>
          <w:rFonts w:hint="eastAsia" w:ascii="仿宋" w:hAnsi="仿宋" w:eastAsia="仿宋" w:cs="新宋体"/>
          <w:bCs/>
          <w:color w:val="auto"/>
          <w:sz w:val="24"/>
          <w:highlight w:val="none"/>
        </w:rPr>
        <w:t>包括资格文件、商务技术文件、报价文件三部分。</w:t>
      </w:r>
    </w:p>
    <w:p w14:paraId="00842BA3">
      <w:pPr>
        <w:tabs>
          <w:tab w:val="left" w:pos="360"/>
        </w:tabs>
        <w:snapToGrid w:val="0"/>
        <w:spacing w:line="460" w:lineRule="exact"/>
        <w:ind w:firstLine="482" w:firstLineChars="200"/>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10.1 资格文件须包括下列内容：</w:t>
      </w:r>
      <w:r>
        <w:rPr>
          <w:rFonts w:hint="eastAsia" w:ascii="仿宋" w:hAnsi="仿宋" w:eastAsia="仿宋" w:cs="新宋体"/>
          <w:b/>
          <w:bCs/>
          <w:color w:val="auto"/>
          <w:sz w:val="24"/>
          <w:highlight w:val="none"/>
          <w:lang w:eastAsia="zh-CN"/>
        </w:rPr>
        <w:t>（</w:t>
      </w:r>
      <w:r>
        <w:rPr>
          <w:rFonts w:hint="eastAsia" w:ascii="仿宋" w:hAnsi="仿宋" w:eastAsia="仿宋" w:cs="新宋体"/>
          <w:b/>
          <w:bCs/>
          <w:color w:val="auto"/>
          <w:sz w:val="24"/>
          <w:szCs w:val="24"/>
          <w:highlight w:val="none"/>
        </w:rPr>
        <w:t>如为联合体，则联合体各方均应提供</w:t>
      </w:r>
      <w:r>
        <w:rPr>
          <w:rFonts w:hint="eastAsia" w:ascii="仿宋" w:hAnsi="仿宋" w:eastAsia="仿宋" w:cs="新宋体"/>
          <w:b/>
          <w:bCs/>
          <w:color w:val="auto"/>
          <w:sz w:val="24"/>
          <w:highlight w:val="none"/>
          <w:lang w:eastAsia="zh-CN"/>
        </w:rPr>
        <w:t>）</w:t>
      </w:r>
    </w:p>
    <w:p w14:paraId="345B6DD3">
      <w:pPr>
        <w:snapToGrid w:val="0"/>
        <w:spacing w:line="460" w:lineRule="exact"/>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.1.1符合参加政府采购活动应当具备的一般条件的承诺函；</w:t>
      </w:r>
    </w:p>
    <w:p w14:paraId="1938ABB7">
      <w:pPr>
        <w:snapToGrid w:val="0"/>
        <w:spacing w:line="460" w:lineRule="exact"/>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.1.2落实政府采购政策需满足的资格要求；</w:t>
      </w:r>
    </w:p>
    <w:p w14:paraId="74D566C0">
      <w:pPr>
        <w:snapToGrid w:val="0"/>
        <w:spacing w:line="460" w:lineRule="exact"/>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.1.3本项目的特定资格要求</w:t>
      </w:r>
      <w:r>
        <w:rPr>
          <w:rFonts w:hint="eastAsia" w:ascii="仿宋" w:hAnsi="仿宋" w:eastAsia="仿宋" w:cs="仿宋_GB2312"/>
          <w:color w:val="auto"/>
          <w:sz w:val="24"/>
          <w:highlight w:val="none"/>
          <w:lang w:eastAsia="zh-CN"/>
        </w:rPr>
        <w:t>（如有）</w:t>
      </w:r>
      <w:r>
        <w:rPr>
          <w:rFonts w:ascii="仿宋" w:hAnsi="仿宋" w:eastAsia="仿宋" w:cs="仿宋_GB2312"/>
          <w:color w:val="auto"/>
          <w:sz w:val="24"/>
          <w:highlight w:val="none"/>
        </w:rPr>
        <w:t>；</w:t>
      </w:r>
    </w:p>
    <w:p w14:paraId="4B5A018B">
      <w:pPr>
        <w:snapToGrid w:val="0"/>
        <w:spacing w:line="460" w:lineRule="exact"/>
        <w:ind w:firstLine="480" w:firstLineChars="200"/>
        <w:rPr>
          <w:rFonts w:ascii="仿宋" w:hAnsi="仿宋" w:eastAsia="仿宋" w:cs="仿宋_GB2312"/>
          <w:color w:val="auto"/>
          <w:sz w:val="24"/>
          <w:highlight w:val="none"/>
          <w:u w:val="none"/>
        </w:rPr>
      </w:pPr>
      <w:r>
        <w:rPr>
          <w:rFonts w:ascii="仿宋" w:hAnsi="仿宋" w:eastAsia="仿宋" w:cs="仿宋_GB2312"/>
          <w:color w:val="auto"/>
          <w:sz w:val="24"/>
          <w:highlight w:val="none"/>
          <w:u w:val="none"/>
        </w:rPr>
        <w:t>1</w:t>
      </w:r>
      <w:r>
        <w:rPr>
          <w:rFonts w:hint="eastAsia" w:ascii="仿宋" w:hAnsi="仿宋" w:eastAsia="仿宋" w:cs="仿宋_GB2312"/>
          <w:color w:val="auto"/>
          <w:sz w:val="24"/>
          <w:highlight w:val="none"/>
          <w:u w:val="none"/>
        </w:rPr>
        <w:t>0</w:t>
      </w:r>
      <w:r>
        <w:rPr>
          <w:rFonts w:ascii="仿宋" w:hAnsi="仿宋" w:eastAsia="仿宋" w:cs="仿宋_GB2312"/>
          <w:color w:val="auto"/>
          <w:sz w:val="24"/>
          <w:highlight w:val="none"/>
          <w:u w:val="none"/>
        </w:rPr>
        <w:t>.1.</w:t>
      </w:r>
      <w:r>
        <w:rPr>
          <w:rFonts w:hint="eastAsia" w:ascii="仿宋" w:hAnsi="仿宋" w:eastAsia="仿宋" w:cs="仿宋_GB2312"/>
          <w:color w:val="auto"/>
          <w:sz w:val="24"/>
          <w:highlight w:val="none"/>
          <w:u w:val="none"/>
          <w:lang w:val="en-US" w:eastAsia="zh-CN"/>
        </w:rPr>
        <w:t>4</w:t>
      </w:r>
      <w:r>
        <w:rPr>
          <w:rFonts w:hint="default" w:ascii="仿宋" w:hAnsi="仿宋" w:eastAsia="仿宋" w:cs="仿宋_GB2312"/>
          <w:b w:val="0"/>
          <w:color w:val="auto"/>
          <w:kern w:val="2"/>
          <w:sz w:val="24"/>
          <w:highlight w:val="none"/>
          <w:u w:val="none"/>
        </w:rPr>
        <w:t>联合体协议书（如为联合体投标）</w:t>
      </w:r>
      <w:r>
        <w:rPr>
          <w:rFonts w:ascii="仿宋" w:hAnsi="仿宋" w:eastAsia="仿宋" w:cs="仿宋_GB2312"/>
          <w:color w:val="auto"/>
          <w:sz w:val="24"/>
          <w:highlight w:val="none"/>
          <w:u w:val="none"/>
        </w:rPr>
        <w:t>。</w:t>
      </w:r>
    </w:p>
    <w:p w14:paraId="036C3DE3">
      <w:pPr>
        <w:tabs>
          <w:tab w:val="left" w:pos="360"/>
        </w:tabs>
        <w:snapToGrid w:val="0"/>
        <w:spacing w:line="460" w:lineRule="exact"/>
        <w:ind w:firstLine="482" w:firstLineChars="200"/>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10.2 商务技术文件应包括下列部分：</w:t>
      </w:r>
    </w:p>
    <w:p w14:paraId="7AFE347A">
      <w:pPr>
        <w:snapToGrid w:val="0"/>
        <w:spacing w:line="460" w:lineRule="exact"/>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.2.1投标函；</w:t>
      </w:r>
    </w:p>
    <w:p w14:paraId="587BE1DB">
      <w:pPr>
        <w:snapToGrid w:val="0"/>
        <w:spacing w:line="460" w:lineRule="exact"/>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.2.2授权委托书或法定代表人（单位负责人、自然人本人）身份证明；</w:t>
      </w:r>
    </w:p>
    <w:p w14:paraId="207D5F3A">
      <w:pPr>
        <w:snapToGrid w:val="0"/>
        <w:spacing w:line="460" w:lineRule="exact"/>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3</w:t>
      </w:r>
      <w:r>
        <w:rPr>
          <w:rFonts w:ascii="仿宋" w:hAnsi="仿宋" w:eastAsia="仿宋" w:cs="仿宋_GB2312"/>
          <w:color w:val="auto"/>
          <w:sz w:val="24"/>
          <w:highlight w:val="none"/>
        </w:rPr>
        <w:t>评标标准相应的商务技术资料；</w:t>
      </w:r>
    </w:p>
    <w:p w14:paraId="749A8433">
      <w:pPr>
        <w:snapToGrid w:val="0"/>
        <w:spacing w:line="460" w:lineRule="exact"/>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4</w:t>
      </w:r>
      <w:r>
        <w:rPr>
          <w:rFonts w:ascii="仿宋" w:hAnsi="仿宋" w:eastAsia="仿宋" w:cs="仿宋_GB2312"/>
          <w:color w:val="auto"/>
          <w:sz w:val="24"/>
          <w:highlight w:val="none"/>
        </w:rPr>
        <w:t>商务技术偏离表；</w:t>
      </w:r>
    </w:p>
    <w:p w14:paraId="2F2BE0D9">
      <w:pPr>
        <w:snapToGrid w:val="0"/>
        <w:spacing w:line="460" w:lineRule="exact"/>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5</w:t>
      </w:r>
      <w:r>
        <w:rPr>
          <w:rFonts w:hint="eastAsia" w:ascii="仿宋" w:hAnsi="仿宋" w:eastAsia="仿宋" w:cs="新宋体"/>
          <w:color w:val="auto"/>
          <w:sz w:val="24"/>
          <w:highlight w:val="none"/>
        </w:rPr>
        <w:t>投标人认为需要提供的其他相关资料</w:t>
      </w:r>
      <w:r>
        <w:rPr>
          <w:rFonts w:hint="eastAsia" w:ascii="仿宋" w:hAnsi="仿宋" w:eastAsia="仿宋" w:cs="仿宋_GB2312"/>
          <w:color w:val="auto"/>
          <w:sz w:val="24"/>
          <w:highlight w:val="none"/>
          <w:lang w:val="zh-CN"/>
        </w:rPr>
        <w:t>。</w:t>
      </w:r>
    </w:p>
    <w:p w14:paraId="6A1BE877">
      <w:pPr>
        <w:tabs>
          <w:tab w:val="left" w:pos="5355"/>
        </w:tabs>
        <w:snapToGrid w:val="0"/>
        <w:spacing w:line="460" w:lineRule="exact"/>
        <w:ind w:firstLine="482" w:firstLineChars="200"/>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10.3 报价文件应包括下列部分：</w:t>
      </w:r>
    </w:p>
    <w:p w14:paraId="64795470">
      <w:pPr>
        <w:snapToGrid w:val="0"/>
        <w:spacing w:line="460" w:lineRule="exact"/>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.3.1开标一览表（报价表）；</w:t>
      </w:r>
    </w:p>
    <w:p w14:paraId="59A7F83C">
      <w:pPr>
        <w:snapToGrid w:val="0"/>
        <w:spacing w:line="460" w:lineRule="exact"/>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.3.2</w:t>
      </w:r>
      <w:r>
        <w:rPr>
          <w:rFonts w:hint="eastAsia" w:ascii="仿宋" w:hAnsi="仿宋" w:eastAsia="仿宋" w:cs="新宋体"/>
          <w:color w:val="auto"/>
          <w:sz w:val="24"/>
          <w:highlight w:val="none"/>
        </w:rPr>
        <w:t>价格组成表</w:t>
      </w:r>
      <w:r>
        <w:rPr>
          <w:rFonts w:hint="eastAsia" w:ascii="仿宋" w:hAnsi="仿宋" w:eastAsia="仿宋" w:cs="仿宋_GB2312"/>
          <w:color w:val="auto"/>
          <w:sz w:val="24"/>
          <w:highlight w:val="none"/>
        </w:rPr>
        <w:t>；</w:t>
      </w:r>
    </w:p>
    <w:p w14:paraId="02EF44B5">
      <w:pPr>
        <w:snapToGrid w:val="0"/>
        <w:spacing w:line="460" w:lineRule="exact"/>
        <w:ind w:firstLine="482" w:firstLineChars="200"/>
        <w:rPr>
          <w:rFonts w:ascii="仿宋" w:hAnsi="仿宋" w:eastAsia="仿宋" w:cs="仿宋_GB2312"/>
          <w:color w:val="auto"/>
          <w:sz w:val="24"/>
          <w:highlight w:val="none"/>
        </w:rPr>
      </w:pPr>
      <w:r>
        <w:rPr>
          <w:rFonts w:hint="eastAsia" w:ascii="仿宋" w:hAnsi="仿宋" w:eastAsia="仿宋" w:cs="新宋体"/>
          <w:b/>
          <w:bCs/>
          <w:color w:val="auto"/>
          <w:sz w:val="24"/>
          <w:highlight w:val="none"/>
        </w:rPr>
        <w:t>10.4 要求投标人提供样品、讲解或演示的，见投标人须知前附表。</w:t>
      </w:r>
    </w:p>
    <w:bookmarkEnd w:id="37"/>
    <w:p w14:paraId="15ACA250">
      <w:pPr>
        <w:snapToGrid w:val="0"/>
        <w:spacing w:line="460" w:lineRule="exact"/>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11.投标文件编制</w:t>
      </w:r>
    </w:p>
    <w:p w14:paraId="4CFD44B2">
      <w:pPr>
        <w:tabs>
          <w:tab w:val="left" w:pos="360"/>
        </w:tabs>
        <w:snapToGrid w:val="0"/>
        <w:spacing w:line="460" w:lineRule="exact"/>
        <w:ind w:firstLine="480" w:firstLineChars="200"/>
        <w:rPr>
          <w:rFonts w:ascii="仿宋" w:hAnsi="仿宋" w:eastAsia="仿宋" w:cs="仿宋_GB2312"/>
          <w:color w:val="auto"/>
          <w:kern w:val="0"/>
          <w:sz w:val="24"/>
          <w:highlight w:val="none"/>
          <w:lang w:val="zh-CN"/>
        </w:rPr>
      </w:pPr>
      <w:r>
        <w:rPr>
          <w:rFonts w:hint="eastAsia" w:ascii="仿宋" w:hAnsi="仿宋" w:eastAsia="仿宋" w:cs="新宋体"/>
          <w:color w:val="auto"/>
          <w:sz w:val="24"/>
          <w:highlight w:val="none"/>
        </w:rPr>
        <w:t>11.1本项目通过“政采云平台（www.zcygov.cn）”实行在线投标（电子投标）。投标人应通过“政采云电子交易客户端”，并按照本招标文件和“政采云平台”的要求编制并加密投标文件。</w:t>
      </w:r>
      <w:r>
        <w:rPr>
          <w:rFonts w:hint="eastAsia" w:ascii="仿宋" w:hAnsi="仿宋" w:eastAsia="仿宋" w:cs="新宋体"/>
          <w:b/>
          <w:color w:val="auto"/>
          <w:kern w:val="0"/>
          <w:sz w:val="24"/>
          <w:highlight w:val="none"/>
          <w:u w:val="single"/>
        </w:rPr>
        <w:t>▲</w:t>
      </w:r>
      <w:r>
        <w:rPr>
          <w:rFonts w:hint="eastAsia" w:ascii="仿宋" w:hAnsi="仿宋" w:eastAsia="仿宋" w:cs="仿宋_GB2312"/>
          <w:b/>
          <w:color w:val="auto"/>
          <w:kern w:val="0"/>
          <w:sz w:val="24"/>
          <w:highlight w:val="none"/>
          <w:u w:val="single"/>
          <w:lang w:val="zh-CN"/>
        </w:rPr>
        <w:t>投标人未按规定加密的投标文件，政采云平台将拒收并提示</w:t>
      </w:r>
      <w:r>
        <w:rPr>
          <w:rFonts w:hint="eastAsia" w:ascii="仿宋" w:hAnsi="仿宋" w:eastAsia="仿宋" w:cs="仿宋_GB2312"/>
          <w:color w:val="auto"/>
          <w:kern w:val="0"/>
          <w:sz w:val="24"/>
          <w:highlight w:val="none"/>
          <w:lang w:val="zh-CN"/>
        </w:rPr>
        <w:t>。</w:t>
      </w:r>
    </w:p>
    <w:p w14:paraId="23707F1E">
      <w:pPr>
        <w:snapToGrid w:val="0"/>
        <w:spacing w:line="460" w:lineRule="exact"/>
        <w:ind w:firstLine="480" w:firstLineChars="200"/>
        <w:rPr>
          <w:rFonts w:ascii="仿宋" w:hAnsi="仿宋" w:eastAsia="仿宋" w:cs="仿宋_GB2312"/>
          <w:b/>
          <w:color w:val="auto"/>
          <w:sz w:val="24"/>
          <w:highlight w:val="none"/>
        </w:rPr>
      </w:pPr>
      <w:r>
        <w:rPr>
          <w:rFonts w:hint="eastAsia" w:ascii="仿宋" w:hAnsi="仿宋" w:eastAsia="仿宋" w:cs="新宋体"/>
          <w:color w:val="auto"/>
          <w:sz w:val="24"/>
          <w:highlight w:val="none"/>
        </w:rPr>
        <w:t>11.2投标人应当按照本部分“投标文件的构成”规定的内容及顺序在“政采云电子交易客户端”编制投标文件。</w:t>
      </w:r>
      <w:r>
        <w:rPr>
          <w:rFonts w:ascii="仿宋" w:hAnsi="仿宋" w:eastAsia="仿宋" w:cs="仿宋_GB2312"/>
          <w:color w:val="auto"/>
          <w:kern w:val="0"/>
          <w:sz w:val="24"/>
          <w:highlight w:val="none"/>
          <w:lang w:val="zh-CN"/>
        </w:rPr>
        <w:t>各</w:t>
      </w:r>
      <w:r>
        <w:rPr>
          <w:rFonts w:hint="eastAsia" w:ascii="仿宋" w:hAnsi="仿宋" w:eastAsia="仿宋" w:cs="仿宋_GB2312"/>
          <w:color w:val="auto"/>
          <w:kern w:val="0"/>
          <w:sz w:val="24"/>
          <w:highlight w:val="none"/>
          <w:lang w:val="zh-CN"/>
        </w:rPr>
        <w:t>投标人</w:t>
      </w:r>
      <w:r>
        <w:rPr>
          <w:rFonts w:ascii="仿宋" w:hAnsi="仿宋" w:eastAsia="仿宋" w:cs="仿宋_GB2312"/>
          <w:color w:val="auto"/>
          <w:kern w:val="0"/>
          <w:sz w:val="24"/>
          <w:highlight w:val="none"/>
          <w:lang w:val="zh-CN"/>
        </w:rPr>
        <w:t>在编制投标文件时请按照</w:t>
      </w:r>
      <w:r>
        <w:rPr>
          <w:rFonts w:hint="eastAsia" w:ascii="仿宋" w:hAnsi="仿宋" w:eastAsia="仿宋" w:cs="仿宋_GB2312"/>
          <w:color w:val="auto"/>
          <w:kern w:val="0"/>
          <w:sz w:val="24"/>
          <w:highlight w:val="none"/>
          <w:lang w:val="zh-CN"/>
        </w:rPr>
        <w:t>招标文件</w:t>
      </w:r>
      <w:r>
        <w:rPr>
          <w:rFonts w:ascii="仿宋" w:hAnsi="仿宋" w:eastAsia="仿宋" w:cs="仿宋_GB2312"/>
          <w:color w:val="auto"/>
          <w:kern w:val="0"/>
          <w:sz w:val="24"/>
          <w:highlight w:val="none"/>
          <w:lang w:val="zh-CN"/>
        </w:rPr>
        <w:t>第</w:t>
      </w:r>
      <w:r>
        <w:rPr>
          <w:rFonts w:hint="eastAsia" w:ascii="仿宋" w:hAnsi="仿宋" w:eastAsia="仿宋" w:cs="仿宋_GB2312"/>
          <w:color w:val="auto"/>
          <w:kern w:val="0"/>
          <w:sz w:val="24"/>
          <w:highlight w:val="none"/>
          <w:lang w:val="zh-CN"/>
        </w:rPr>
        <w:t>五</w:t>
      </w:r>
      <w:r>
        <w:rPr>
          <w:rFonts w:ascii="仿宋" w:hAnsi="仿宋" w:eastAsia="仿宋" w:cs="仿宋_GB2312"/>
          <w:color w:val="auto"/>
          <w:kern w:val="0"/>
          <w:sz w:val="24"/>
          <w:highlight w:val="none"/>
          <w:lang w:val="zh-CN"/>
        </w:rPr>
        <w:t>部</w:t>
      </w:r>
      <w:r>
        <w:rPr>
          <w:rFonts w:hint="eastAsia" w:ascii="仿宋" w:hAnsi="仿宋" w:eastAsia="仿宋" w:cs="仿宋_GB2312"/>
          <w:color w:val="auto"/>
          <w:kern w:val="0"/>
          <w:sz w:val="24"/>
          <w:highlight w:val="none"/>
          <w:lang w:val="zh-CN"/>
        </w:rPr>
        <w:t>分规定的格式进行，混乱的编排导致投标文件被误读或评标委员会查找不到有效文件的风险由投标人自行承担。</w:t>
      </w:r>
    </w:p>
    <w:p w14:paraId="360A2FED">
      <w:pPr>
        <w:tabs>
          <w:tab w:val="left" w:pos="360"/>
        </w:tabs>
        <w:snapToGrid w:val="0"/>
        <w:spacing w:line="460" w:lineRule="exact"/>
        <w:ind w:firstLine="480" w:firstLineChars="200"/>
        <w:rPr>
          <w:rFonts w:ascii="仿宋" w:hAnsi="仿宋" w:eastAsia="仿宋" w:cs="新宋体"/>
          <w:color w:val="auto"/>
          <w:sz w:val="24"/>
          <w:highlight w:val="none"/>
        </w:rPr>
      </w:pPr>
      <w:r>
        <w:rPr>
          <w:rFonts w:ascii="仿宋" w:hAnsi="仿宋" w:eastAsia="仿宋" w:cs="仿宋_GB2312"/>
          <w:color w:val="auto"/>
          <w:kern w:val="0"/>
          <w:sz w:val="24"/>
          <w:highlight w:val="none"/>
          <w:lang w:val="zh-CN"/>
        </w:rPr>
        <w:t>1</w:t>
      </w:r>
      <w:r>
        <w:rPr>
          <w:rFonts w:hint="eastAsia" w:ascii="仿宋" w:hAnsi="仿宋" w:eastAsia="仿宋" w:cs="仿宋_GB2312"/>
          <w:color w:val="auto"/>
          <w:kern w:val="0"/>
          <w:sz w:val="24"/>
          <w:highlight w:val="none"/>
          <w:lang w:val="zh-CN"/>
        </w:rPr>
        <w:t>1</w:t>
      </w:r>
      <w:r>
        <w:rPr>
          <w:rFonts w:ascii="仿宋" w:hAnsi="仿宋" w:eastAsia="仿宋" w:cs="仿宋_GB2312"/>
          <w:color w:val="auto"/>
          <w:kern w:val="0"/>
          <w:sz w:val="24"/>
          <w:highlight w:val="none"/>
          <w:lang w:val="zh-CN"/>
        </w:rPr>
        <w:t>.3使用“政</w:t>
      </w:r>
      <w:r>
        <w:rPr>
          <w:rFonts w:hint="eastAsia" w:ascii="仿宋" w:hAnsi="仿宋" w:eastAsia="仿宋" w:cs="仿宋_GB2312"/>
          <w:color w:val="auto"/>
          <w:kern w:val="0"/>
          <w:sz w:val="24"/>
          <w:highlight w:val="none"/>
          <w:lang w:val="zh-CN"/>
        </w:rPr>
        <w:t>采云电子交易客户端”需要提前申领</w:t>
      </w:r>
      <w:r>
        <w:rPr>
          <w:rFonts w:ascii="仿宋" w:hAnsi="仿宋" w:eastAsia="仿宋" w:cs="仿宋_GB2312"/>
          <w:color w:val="auto"/>
          <w:kern w:val="0"/>
          <w:sz w:val="24"/>
          <w:highlight w:val="none"/>
          <w:lang w:val="zh-CN"/>
        </w:rPr>
        <w:t>CA数字证书，申领流程请自行前往“浙江政府采购网-下载专区-电子交易客户端-CA驱动和申领流程”进行查阅。</w:t>
      </w:r>
    </w:p>
    <w:p w14:paraId="4639AD72">
      <w:pPr>
        <w:snapToGrid w:val="0"/>
        <w:spacing w:line="460" w:lineRule="exact"/>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12.投标文件的签署、盖章</w:t>
      </w:r>
    </w:p>
    <w:p w14:paraId="1DC2AF56">
      <w:pPr>
        <w:pStyle w:val="89"/>
        <w:snapToGrid w:val="0"/>
        <w:spacing w:before="0" w:line="460" w:lineRule="exact"/>
        <w:ind w:firstLine="480"/>
        <w:rPr>
          <w:rFonts w:ascii="仿宋" w:hAnsi="仿宋" w:eastAsia="仿宋" w:cs="仿宋_GB2312"/>
          <w:b/>
          <w:color w:val="auto"/>
          <w:szCs w:val="24"/>
          <w:highlight w:val="none"/>
        </w:rPr>
      </w:pP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2</w:t>
      </w:r>
      <w:r>
        <w:rPr>
          <w:rFonts w:ascii="仿宋" w:hAnsi="仿宋" w:eastAsia="仿宋" w:cs="仿宋_GB2312"/>
          <w:color w:val="auto"/>
          <w:szCs w:val="24"/>
          <w:highlight w:val="none"/>
        </w:rPr>
        <w:t>.1投标文件按照</w:t>
      </w:r>
      <w:r>
        <w:rPr>
          <w:rFonts w:hint="eastAsia" w:ascii="仿宋" w:hAnsi="仿宋" w:eastAsia="仿宋" w:cs="仿宋_GB2312"/>
          <w:color w:val="auto"/>
          <w:szCs w:val="24"/>
          <w:highlight w:val="none"/>
        </w:rPr>
        <w:t>招标文件</w:t>
      </w:r>
      <w:r>
        <w:rPr>
          <w:rFonts w:ascii="仿宋" w:hAnsi="仿宋" w:eastAsia="仿宋" w:cs="仿宋_GB2312"/>
          <w:color w:val="auto"/>
          <w:szCs w:val="24"/>
          <w:highlight w:val="none"/>
        </w:rPr>
        <w:t>第</w:t>
      </w:r>
      <w:r>
        <w:rPr>
          <w:rFonts w:hint="eastAsia" w:ascii="仿宋" w:hAnsi="仿宋" w:eastAsia="仿宋" w:cs="仿宋_GB2312"/>
          <w:color w:val="auto"/>
          <w:szCs w:val="24"/>
          <w:highlight w:val="none"/>
        </w:rPr>
        <w:t>五</w:t>
      </w:r>
      <w:r>
        <w:rPr>
          <w:rFonts w:ascii="仿宋" w:hAnsi="仿宋" w:eastAsia="仿宋" w:cs="仿宋_GB2312"/>
          <w:color w:val="auto"/>
          <w:szCs w:val="24"/>
          <w:highlight w:val="none"/>
        </w:rPr>
        <w:t>部分格式要</w:t>
      </w:r>
      <w:r>
        <w:rPr>
          <w:rFonts w:hint="eastAsia" w:ascii="仿宋" w:hAnsi="仿宋" w:eastAsia="仿宋" w:cs="仿宋_GB2312"/>
          <w:color w:val="auto"/>
          <w:szCs w:val="24"/>
          <w:highlight w:val="none"/>
        </w:rPr>
        <w:t>求进行签署、盖章。</w:t>
      </w:r>
    </w:p>
    <w:p w14:paraId="00B26948">
      <w:pPr>
        <w:pStyle w:val="89"/>
        <w:snapToGrid w:val="0"/>
        <w:spacing w:before="0" w:line="460" w:lineRule="exact"/>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2</w:t>
      </w:r>
      <w:r>
        <w:rPr>
          <w:rFonts w:ascii="仿宋" w:hAnsi="仿宋" w:eastAsia="仿宋" w:cs="仿宋_GB2312"/>
          <w:color w:val="auto"/>
          <w:szCs w:val="24"/>
          <w:highlight w:val="none"/>
        </w:rPr>
        <w:t>.2为确保网上操作合法、有效和安全，</w:t>
      </w:r>
      <w:r>
        <w:rPr>
          <w:rFonts w:hint="eastAsia" w:ascii="仿宋" w:hAnsi="仿宋" w:eastAsia="仿宋" w:cs="仿宋_GB2312"/>
          <w:color w:val="auto"/>
          <w:szCs w:val="24"/>
          <w:highlight w:val="none"/>
        </w:rPr>
        <w:t>投标人</w:t>
      </w:r>
      <w:r>
        <w:rPr>
          <w:rFonts w:ascii="仿宋" w:hAnsi="仿宋" w:eastAsia="仿宋" w:cs="仿宋_GB2312"/>
          <w:color w:val="auto"/>
          <w:szCs w:val="24"/>
          <w:highlight w:val="none"/>
        </w:rPr>
        <w:t>应当在投标截止时间前完成在“政采云平台”的身份认证，确保在电子投标过程中能够对相关数据电文进行加密和使用电子签名。</w:t>
      </w:r>
    </w:p>
    <w:p w14:paraId="5C655DA1">
      <w:pPr>
        <w:pStyle w:val="89"/>
        <w:snapToGrid w:val="0"/>
        <w:spacing w:before="0" w:line="460" w:lineRule="exact"/>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2</w:t>
      </w:r>
      <w:r>
        <w:rPr>
          <w:rFonts w:ascii="仿宋" w:hAnsi="仿宋" w:eastAsia="仿宋" w:cs="仿宋_GB2312"/>
          <w:color w:val="auto"/>
          <w:szCs w:val="24"/>
          <w:highlight w:val="none"/>
        </w:rPr>
        <w:t>.3</w:t>
      </w:r>
      <w:r>
        <w:rPr>
          <w:rFonts w:hint="eastAsia" w:ascii="仿宋" w:hAnsi="仿宋" w:eastAsia="仿宋" w:cs="仿宋_GB2312"/>
          <w:color w:val="auto"/>
          <w:szCs w:val="24"/>
          <w:highlight w:val="none"/>
        </w:rPr>
        <w:t>招标文件</w:t>
      </w:r>
      <w:r>
        <w:rPr>
          <w:rFonts w:ascii="仿宋" w:hAnsi="仿宋" w:eastAsia="仿宋" w:cs="仿宋_GB2312"/>
          <w:color w:val="auto"/>
          <w:szCs w:val="24"/>
          <w:highlight w:val="none"/>
        </w:rPr>
        <w:t>对投标文件签署、盖章的要求适用于电子签名。</w:t>
      </w:r>
      <w:bookmarkEnd w:id="38"/>
    </w:p>
    <w:p w14:paraId="5D35FA0B">
      <w:pPr>
        <w:tabs>
          <w:tab w:val="left" w:pos="540"/>
        </w:tabs>
        <w:snapToGrid w:val="0"/>
        <w:spacing w:line="460" w:lineRule="exact"/>
        <w:rPr>
          <w:rFonts w:ascii="仿宋" w:hAnsi="仿宋" w:eastAsia="仿宋" w:cs="新宋体"/>
          <w:b/>
          <w:color w:val="auto"/>
          <w:sz w:val="24"/>
          <w:highlight w:val="none"/>
        </w:rPr>
      </w:pPr>
      <w:bookmarkStart w:id="39" w:name="_Hlk93149637"/>
      <w:r>
        <w:rPr>
          <w:rFonts w:hint="eastAsia" w:ascii="仿宋" w:hAnsi="仿宋" w:eastAsia="仿宋" w:cs="新宋体"/>
          <w:b/>
          <w:bCs/>
          <w:color w:val="auto"/>
          <w:sz w:val="24"/>
          <w:highlight w:val="none"/>
        </w:rPr>
        <w:t>13.投标报价</w:t>
      </w:r>
    </w:p>
    <w:p w14:paraId="5EE08734">
      <w:pPr>
        <w:tabs>
          <w:tab w:val="left" w:pos="540"/>
        </w:tabs>
        <w:snapToGrid w:val="0"/>
        <w:spacing w:line="460" w:lineRule="exact"/>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13.1投标人应报出本项目采购的货物、服务或工程所包含的所有单价和总价，并提供价格组成表。价格组成表中未列出的项目或未填写单价和总价的项目,在合同执行时采购人将不予支付,并认为这些项目费用已包括在投标报价内。</w:t>
      </w:r>
    </w:p>
    <w:p w14:paraId="42E44DC4">
      <w:pPr>
        <w:snapToGrid w:val="0"/>
        <w:spacing w:line="460" w:lineRule="exact"/>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olor w:val="auto"/>
          <w:kern w:val="0"/>
          <w:sz w:val="24"/>
          <w:highlight w:val="none"/>
          <w:lang w:val="zh-CN"/>
        </w:rPr>
        <w:t>13.2有关本项目实施所需的所有费用（含税费）均计入报价。</w:t>
      </w:r>
      <w:r>
        <w:rPr>
          <w:rFonts w:hint="eastAsia" w:ascii="仿宋" w:hAnsi="仿宋" w:eastAsia="仿宋" w:cs="新宋体"/>
          <w:color w:val="auto"/>
          <w:sz w:val="24"/>
          <w:highlight w:val="none"/>
        </w:rPr>
        <w:t>所有投标报价均以人民币报价。</w:t>
      </w:r>
      <w:r>
        <w:rPr>
          <w:rFonts w:hint="eastAsia" w:ascii="仿宋" w:hAnsi="仿宋" w:eastAsia="仿宋" w:cs="仿宋_GB2312"/>
          <w:color w:val="auto"/>
          <w:kern w:val="0"/>
          <w:sz w:val="24"/>
          <w:highlight w:val="none"/>
          <w:lang w:val="zh-CN"/>
        </w:rPr>
        <w:t>招标文件未列明，而投标人认为必需的费用也需列入报价。</w:t>
      </w:r>
    </w:p>
    <w:p w14:paraId="65D06466">
      <w:pPr>
        <w:snapToGrid w:val="0"/>
        <w:spacing w:line="460" w:lineRule="exact"/>
        <w:ind w:firstLine="472" w:firstLineChars="196"/>
        <w:jc w:val="left"/>
        <w:rPr>
          <w:rFonts w:ascii="仿宋" w:hAnsi="仿宋" w:eastAsia="仿宋" w:cs="新宋体"/>
          <w:b/>
          <w:color w:val="auto"/>
          <w:sz w:val="24"/>
          <w:highlight w:val="none"/>
        </w:rPr>
      </w:pPr>
      <w:r>
        <w:rPr>
          <w:rFonts w:hint="eastAsia" w:ascii="仿宋" w:hAnsi="仿宋" w:eastAsia="仿宋" w:cs="仿宋_GB2312"/>
          <w:b/>
          <w:color w:val="auto"/>
          <w:kern w:val="0"/>
          <w:sz w:val="24"/>
          <w:highlight w:val="none"/>
          <w:lang w:val="zh-CN"/>
        </w:rPr>
        <w:t>13.3</w:t>
      </w:r>
      <w:r>
        <w:rPr>
          <w:rFonts w:hint="eastAsia" w:ascii="仿宋" w:hAnsi="仿宋" w:eastAsia="仿宋" w:cs="新宋体"/>
          <w:b/>
          <w:color w:val="auto"/>
          <w:sz w:val="24"/>
          <w:highlight w:val="none"/>
        </w:rPr>
        <w:t>投标报价其他要求见投标人须知前附表。</w:t>
      </w:r>
      <w:bookmarkEnd w:id="39"/>
    </w:p>
    <w:p w14:paraId="40081E17">
      <w:pPr>
        <w:tabs>
          <w:tab w:val="left" w:pos="-180"/>
          <w:tab w:val="left" w:pos="180"/>
          <w:tab w:val="left" w:pos="360"/>
        </w:tabs>
        <w:snapToGrid w:val="0"/>
        <w:spacing w:line="460" w:lineRule="exact"/>
        <w:rPr>
          <w:rFonts w:ascii="仿宋" w:hAnsi="仿宋" w:eastAsia="仿宋" w:cs="新宋体"/>
          <w:b/>
          <w:bCs/>
          <w:color w:val="auto"/>
          <w:sz w:val="24"/>
          <w:highlight w:val="none"/>
        </w:rPr>
      </w:pPr>
      <w:bookmarkStart w:id="40" w:name="_Toc241404202"/>
      <w:bookmarkStart w:id="41" w:name="_Toc265529383"/>
      <w:bookmarkStart w:id="42" w:name="_Toc223715998"/>
      <w:bookmarkStart w:id="43" w:name="_Toc221374626"/>
      <w:bookmarkStart w:id="44" w:name="_Toc239145354"/>
      <w:bookmarkStart w:id="45" w:name="_Toc222114879"/>
      <w:bookmarkStart w:id="46" w:name="_Toc221356951"/>
      <w:bookmarkStart w:id="47" w:name="_Toc221356887"/>
      <w:bookmarkStart w:id="48" w:name="_Toc221423619"/>
      <w:r>
        <w:rPr>
          <w:rFonts w:hint="eastAsia" w:ascii="仿宋" w:hAnsi="仿宋" w:eastAsia="仿宋" w:cs="新宋体"/>
          <w:b/>
          <w:bCs/>
          <w:color w:val="auto"/>
          <w:sz w:val="24"/>
          <w:highlight w:val="none"/>
        </w:rPr>
        <w:t>14.投标保证金</w:t>
      </w:r>
    </w:p>
    <w:p w14:paraId="3DC050BF">
      <w:pPr>
        <w:tabs>
          <w:tab w:val="left" w:pos="-180"/>
          <w:tab w:val="left" w:pos="180"/>
          <w:tab w:val="left" w:pos="360"/>
        </w:tabs>
        <w:snapToGrid w:val="0"/>
        <w:spacing w:line="460" w:lineRule="exact"/>
        <w:ind w:firstLine="480" w:firstLineChars="200"/>
        <w:rPr>
          <w:rFonts w:ascii="仿宋" w:hAnsi="仿宋" w:eastAsia="仿宋" w:cs="新宋体"/>
          <w:bCs/>
          <w:color w:val="auto"/>
          <w:sz w:val="24"/>
          <w:highlight w:val="none"/>
        </w:rPr>
      </w:pPr>
      <w:r>
        <w:rPr>
          <w:rFonts w:hint="eastAsia" w:ascii="仿宋" w:hAnsi="仿宋" w:eastAsia="仿宋" w:cs="新宋体"/>
          <w:bCs/>
          <w:color w:val="auto"/>
          <w:sz w:val="24"/>
          <w:highlight w:val="none"/>
        </w:rPr>
        <w:t>14.1根据《浙江省财政厅关于明确政府采购保证金管理工作的通知》（浙财采监〔2019〕5号）规定，政府采购货物和服务招标投标活动不得向投标人收取投标保证金，非招标采购方式采购货物、工程和服务亦同。</w:t>
      </w:r>
    </w:p>
    <w:p w14:paraId="6E92F4F7">
      <w:pPr>
        <w:tabs>
          <w:tab w:val="left" w:pos="-180"/>
          <w:tab w:val="left" w:pos="180"/>
          <w:tab w:val="left" w:pos="360"/>
        </w:tabs>
        <w:snapToGrid w:val="0"/>
        <w:spacing w:line="460" w:lineRule="exact"/>
        <w:ind w:firstLine="480" w:firstLineChars="200"/>
        <w:rPr>
          <w:rFonts w:ascii="仿宋" w:hAnsi="仿宋" w:eastAsia="仿宋" w:cs="新宋体"/>
          <w:bCs/>
          <w:color w:val="auto"/>
          <w:sz w:val="24"/>
          <w:highlight w:val="none"/>
        </w:rPr>
      </w:pPr>
      <w:r>
        <w:rPr>
          <w:rFonts w:hint="eastAsia" w:ascii="仿宋" w:hAnsi="仿宋" w:eastAsia="仿宋" w:cs="新宋体"/>
          <w:bCs/>
          <w:color w:val="auto"/>
          <w:sz w:val="24"/>
          <w:highlight w:val="none"/>
        </w:rPr>
        <w:t>14.2无论是否收取投标保证金，投标人在政府采购活动中违反政府采购相关规定给采购组织机构造成损失的，采购组织机构可要求投标人承担赔偿责任。</w:t>
      </w:r>
    </w:p>
    <w:p w14:paraId="3B3D0100">
      <w:pPr>
        <w:tabs>
          <w:tab w:val="left" w:pos="-180"/>
          <w:tab w:val="left" w:pos="180"/>
          <w:tab w:val="left" w:pos="360"/>
        </w:tabs>
        <w:snapToGrid w:val="0"/>
        <w:spacing w:line="460" w:lineRule="exact"/>
        <w:ind w:firstLine="480" w:firstLineChars="200"/>
        <w:rPr>
          <w:rFonts w:ascii="仿宋" w:hAnsi="仿宋" w:eastAsia="仿宋" w:cs="Arial"/>
          <w:color w:val="auto"/>
          <w:sz w:val="24"/>
          <w:highlight w:val="none"/>
        </w:rPr>
      </w:pPr>
      <w:r>
        <w:rPr>
          <w:rFonts w:ascii="仿宋" w:hAnsi="仿宋" w:eastAsia="仿宋" w:cs="Arial"/>
          <w:color w:val="auto"/>
          <w:sz w:val="24"/>
          <w:highlight w:val="none"/>
        </w:rPr>
        <w:t>有下列情形之一的，</w:t>
      </w:r>
      <w:r>
        <w:rPr>
          <w:rFonts w:hint="eastAsia" w:ascii="仿宋" w:hAnsi="仿宋" w:eastAsia="仿宋" w:cs="Arial"/>
          <w:color w:val="auto"/>
          <w:sz w:val="24"/>
          <w:highlight w:val="none"/>
        </w:rPr>
        <w:t>采购人将按项目预算的2%要求投标人赔偿</w:t>
      </w:r>
      <w:r>
        <w:rPr>
          <w:rFonts w:ascii="仿宋" w:hAnsi="仿宋" w:eastAsia="仿宋" w:cs="Arial"/>
          <w:color w:val="auto"/>
          <w:sz w:val="24"/>
          <w:highlight w:val="none"/>
        </w:rPr>
        <w:t>：</w:t>
      </w:r>
    </w:p>
    <w:p w14:paraId="7C901DB7">
      <w:pPr>
        <w:snapToGrid w:val="0"/>
        <w:spacing w:line="460" w:lineRule="exact"/>
        <w:ind w:firstLine="480" w:firstLineChars="200"/>
        <w:jc w:val="left"/>
        <w:rPr>
          <w:rFonts w:ascii="仿宋" w:hAnsi="仿宋" w:eastAsia="仿宋" w:cs="Arial"/>
          <w:color w:val="auto"/>
          <w:sz w:val="24"/>
          <w:highlight w:val="none"/>
        </w:rPr>
      </w:pPr>
      <w:r>
        <w:rPr>
          <w:rFonts w:ascii="仿宋" w:hAnsi="仿宋" w:eastAsia="仿宋" w:cs="Arial"/>
          <w:color w:val="auto"/>
          <w:sz w:val="24"/>
          <w:highlight w:val="none"/>
        </w:rPr>
        <w:t>（1）投标</w:t>
      </w:r>
      <w:r>
        <w:rPr>
          <w:rFonts w:hint="eastAsia" w:ascii="仿宋" w:hAnsi="仿宋" w:eastAsia="仿宋" w:cs="Arial"/>
          <w:color w:val="auto"/>
          <w:sz w:val="24"/>
          <w:highlight w:val="none"/>
        </w:rPr>
        <w:t>人</w:t>
      </w:r>
      <w:r>
        <w:rPr>
          <w:rFonts w:ascii="仿宋" w:hAnsi="仿宋" w:eastAsia="仿宋" w:cs="Arial"/>
          <w:color w:val="auto"/>
          <w:sz w:val="24"/>
          <w:highlight w:val="none"/>
        </w:rPr>
        <w:t>在投标有效期内撤销投标文件；</w:t>
      </w:r>
    </w:p>
    <w:p w14:paraId="684A9B17">
      <w:pPr>
        <w:snapToGrid w:val="0"/>
        <w:spacing w:line="460" w:lineRule="exact"/>
        <w:ind w:firstLine="480" w:firstLineChars="200"/>
        <w:jc w:val="left"/>
        <w:rPr>
          <w:rFonts w:ascii="仿宋" w:hAnsi="仿宋" w:eastAsia="仿宋" w:cs="Arial"/>
          <w:color w:val="auto"/>
          <w:sz w:val="24"/>
          <w:highlight w:val="none"/>
        </w:rPr>
      </w:pPr>
      <w:r>
        <w:rPr>
          <w:rFonts w:ascii="仿宋" w:hAnsi="仿宋" w:eastAsia="仿宋" w:cs="Arial"/>
          <w:color w:val="auto"/>
          <w:sz w:val="24"/>
          <w:highlight w:val="none"/>
        </w:rPr>
        <w:t>（2）中标人在收到中标通知书后，无正当理由不与采购人订立合同，在签订合同时向采购人提出附加条件。</w:t>
      </w:r>
    </w:p>
    <w:p w14:paraId="28276494">
      <w:pPr>
        <w:tabs>
          <w:tab w:val="left" w:pos="-180"/>
          <w:tab w:val="left" w:pos="180"/>
          <w:tab w:val="left" w:pos="360"/>
        </w:tabs>
        <w:snapToGrid w:val="0"/>
        <w:spacing w:line="460" w:lineRule="exact"/>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15.投标有效期</w:t>
      </w:r>
    </w:p>
    <w:p w14:paraId="46FD7642">
      <w:pPr>
        <w:snapToGrid w:val="0"/>
        <w:spacing w:line="460" w:lineRule="exact"/>
        <w:ind w:firstLine="480" w:firstLineChars="200"/>
        <w:rPr>
          <w:rFonts w:ascii="仿宋" w:hAnsi="仿宋" w:eastAsia="仿宋" w:cs="新宋体"/>
          <w:color w:val="auto"/>
          <w:kern w:val="0"/>
          <w:sz w:val="24"/>
          <w:highlight w:val="none"/>
        </w:rPr>
      </w:pPr>
      <w:r>
        <w:rPr>
          <w:rFonts w:hint="eastAsia" w:ascii="仿宋" w:hAnsi="仿宋" w:eastAsia="仿宋" w:cs="新宋体"/>
          <w:color w:val="auto"/>
          <w:kern w:val="0"/>
          <w:sz w:val="24"/>
          <w:highlight w:val="none"/>
        </w:rPr>
        <w:t>15.1</w:t>
      </w:r>
      <w:bookmarkStart w:id="49" w:name="_Hlk93150253"/>
      <w:r>
        <w:rPr>
          <w:rFonts w:hint="eastAsia" w:ascii="仿宋" w:hAnsi="仿宋" w:eastAsia="仿宋" w:cs="新宋体"/>
          <w:color w:val="auto"/>
          <w:kern w:val="0"/>
          <w:sz w:val="24"/>
          <w:highlight w:val="none"/>
        </w:rPr>
        <w:t>投标有效期见投标人须知前附表。</w:t>
      </w:r>
      <w:r>
        <w:rPr>
          <w:rFonts w:hint="eastAsia" w:ascii="仿宋" w:hAnsi="仿宋" w:eastAsia="仿宋" w:cs="新宋体"/>
          <w:b/>
          <w:color w:val="auto"/>
          <w:kern w:val="0"/>
          <w:sz w:val="24"/>
          <w:highlight w:val="none"/>
          <w:u w:val="single"/>
        </w:rPr>
        <w:t>▲投标人的投标文件中承诺的投标有效期少于招标文件中载明的投标有效期的，投标无效</w:t>
      </w:r>
      <w:r>
        <w:rPr>
          <w:rFonts w:hint="eastAsia" w:ascii="仿宋" w:hAnsi="仿宋" w:eastAsia="仿宋" w:cs="新宋体"/>
          <w:color w:val="auto"/>
          <w:kern w:val="0"/>
          <w:sz w:val="24"/>
          <w:highlight w:val="none"/>
        </w:rPr>
        <w:t>。</w:t>
      </w:r>
    </w:p>
    <w:p w14:paraId="14F44523">
      <w:pPr>
        <w:snapToGrid w:val="0"/>
        <w:spacing w:line="460" w:lineRule="exact"/>
        <w:ind w:firstLine="480" w:firstLineChars="200"/>
        <w:rPr>
          <w:rFonts w:ascii="仿宋" w:hAnsi="仿宋" w:eastAsia="仿宋" w:cs="新宋体"/>
          <w:color w:val="auto"/>
          <w:kern w:val="0"/>
          <w:sz w:val="24"/>
          <w:highlight w:val="none"/>
        </w:rPr>
      </w:pPr>
      <w:r>
        <w:rPr>
          <w:rFonts w:hint="eastAsia" w:ascii="仿宋" w:hAnsi="仿宋" w:eastAsia="仿宋" w:cs="新宋体"/>
          <w:color w:val="auto"/>
          <w:kern w:val="0"/>
          <w:sz w:val="24"/>
          <w:highlight w:val="none"/>
        </w:rPr>
        <w:t>15.2投标文件合格投递后，自投标截止日期起，在投标有效期内有效。</w:t>
      </w:r>
    </w:p>
    <w:p w14:paraId="3E06DF6F">
      <w:pPr>
        <w:snapToGrid w:val="0"/>
        <w:spacing w:line="460" w:lineRule="exact"/>
        <w:ind w:firstLine="480" w:firstLineChars="200"/>
        <w:rPr>
          <w:rFonts w:ascii="仿宋" w:hAnsi="仿宋" w:eastAsia="仿宋" w:cs="新宋体"/>
          <w:color w:val="auto"/>
          <w:kern w:val="0"/>
          <w:sz w:val="24"/>
          <w:highlight w:val="none"/>
        </w:rPr>
      </w:pPr>
      <w:r>
        <w:rPr>
          <w:rFonts w:hint="eastAsia" w:ascii="仿宋" w:hAnsi="仿宋" w:eastAsia="仿宋" w:cs="新宋体"/>
          <w:color w:val="auto"/>
          <w:kern w:val="0"/>
          <w:sz w:val="24"/>
          <w:highlight w:val="none"/>
        </w:rPr>
        <w:t>15.3在原定投标有效期满之前，如果出现特殊情况，采购机构可以以书面形式通知投标人延长投标有效期。投标人同意延长的，不得要求或被允许修改其投标文件，投标人拒绝延长的，其投标无效。</w:t>
      </w:r>
    </w:p>
    <w:bookmarkEnd w:id="40"/>
    <w:bookmarkEnd w:id="41"/>
    <w:bookmarkEnd w:id="42"/>
    <w:bookmarkEnd w:id="43"/>
    <w:bookmarkEnd w:id="44"/>
    <w:bookmarkEnd w:id="45"/>
    <w:bookmarkEnd w:id="46"/>
    <w:bookmarkEnd w:id="47"/>
    <w:bookmarkEnd w:id="48"/>
    <w:bookmarkEnd w:id="49"/>
    <w:p w14:paraId="493B0067">
      <w:pPr>
        <w:pStyle w:val="89"/>
        <w:snapToGrid w:val="0"/>
        <w:spacing w:before="0" w:line="460" w:lineRule="exact"/>
        <w:ind w:firstLine="0" w:firstLineChars="0"/>
        <w:rPr>
          <w:rFonts w:ascii="仿宋" w:hAnsi="仿宋" w:eastAsia="仿宋" w:cs="仿宋_GB2312"/>
          <w:b/>
          <w:color w:val="auto"/>
          <w:szCs w:val="24"/>
          <w:highlight w:val="none"/>
        </w:rPr>
      </w:pPr>
      <w:bookmarkStart w:id="50" w:name="_Hlk93150425"/>
      <w:r>
        <w:rPr>
          <w:rFonts w:ascii="仿宋" w:hAnsi="仿宋" w:eastAsia="仿宋" w:cs="仿宋_GB2312"/>
          <w:b/>
          <w:color w:val="auto"/>
          <w:szCs w:val="24"/>
          <w:highlight w:val="none"/>
        </w:rPr>
        <w:t>1</w:t>
      </w:r>
      <w:r>
        <w:rPr>
          <w:rFonts w:hint="eastAsia" w:ascii="仿宋" w:hAnsi="仿宋" w:eastAsia="仿宋" w:cs="仿宋_GB2312"/>
          <w:b/>
          <w:color w:val="auto"/>
          <w:szCs w:val="24"/>
          <w:highlight w:val="none"/>
        </w:rPr>
        <w:t>6</w:t>
      </w:r>
      <w:r>
        <w:rPr>
          <w:rFonts w:ascii="仿宋" w:hAnsi="仿宋" w:eastAsia="仿宋" w:cs="仿宋_GB2312"/>
          <w:b/>
          <w:color w:val="auto"/>
          <w:szCs w:val="24"/>
          <w:highlight w:val="none"/>
        </w:rPr>
        <w:t>.</w:t>
      </w:r>
      <w:r>
        <w:rPr>
          <w:rFonts w:hint="eastAsia" w:ascii="仿宋" w:hAnsi="仿宋" w:eastAsia="仿宋" w:cs="仿宋_GB2312"/>
          <w:b/>
          <w:color w:val="auto"/>
          <w:szCs w:val="24"/>
          <w:highlight w:val="none"/>
        </w:rPr>
        <w:t>投标文件的递交、补充、修改、撤回</w:t>
      </w:r>
    </w:p>
    <w:p w14:paraId="3B0170DD">
      <w:pPr>
        <w:pStyle w:val="89"/>
        <w:snapToGrid w:val="0"/>
        <w:spacing w:before="0" w:line="460" w:lineRule="exact"/>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6</w:t>
      </w: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投标人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hint="eastAsia" w:ascii="仿宋" w:hAnsi="仿宋" w:eastAsia="仿宋" w:cs="新宋体"/>
          <w:b/>
          <w:color w:val="auto"/>
          <w:kern w:val="0"/>
          <w:highlight w:val="none"/>
          <w:u w:val="single"/>
        </w:rPr>
        <w:t>▲</w:t>
      </w:r>
      <w:r>
        <w:rPr>
          <w:rFonts w:hint="eastAsia" w:ascii="仿宋" w:hAnsi="仿宋" w:eastAsia="仿宋" w:cs="仿宋_GB2312"/>
          <w:b/>
          <w:color w:val="auto"/>
          <w:szCs w:val="24"/>
          <w:highlight w:val="none"/>
          <w:u w:val="single"/>
        </w:rPr>
        <w:t>投标截止时间后递交的投标文件，政采云平台将拒收</w:t>
      </w:r>
      <w:r>
        <w:rPr>
          <w:rFonts w:hint="eastAsia" w:ascii="仿宋" w:hAnsi="仿宋" w:eastAsia="仿宋" w:cs="仿宋_GB2312"/>
          <w:color w:val="auto"/>
          <w:szCs w:val="24"/>
          <w:highlight w:val="none"/>
        </w:rPr>
        <w:t>。</w:t>
      </w:r>
    </w:p>
    <w:p w14:paraId="1F7DA312">
      <w:pPr>
        <w:pStyle w:val="89"/>
        <w:snapToGrid w:val="0"/>
        <w:spacing w:before="0" w:line="460" w:lineRule="exact"/>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6</w:t>
      </w:r>
      <w:r>
        <w:rPr>
          <w:rFonts w:ascii="仿宋" w:hAnsi="仿宋" w:eastAsia="仿宋" w:cs="仿宋_GB2312"/>
          <w:color w:val="auto"/>
          <w:szCs w:val="24"/>
          <w:highlight w:val="none"/>
        </w:rPr>
        <w:t>.2政采云平台收到投标文件，将妥善保存并即时向投标人发出确认回执通知。在投标截止时间前，除投标人补充、修改或者撤回投标文件外，任何单位和个人不得解密或提取投标文件。</w:t>
      </w:r>
    </w:p>
    <w:p w14:paraId="6CB3C3CF">
      <w:pPr>
        <w:pStyle w:val="89"/>
        <w:snapToGrid w:val="0"/>
        <w:spacing w:before="0" w:line="460" w:lineRule="exact"/>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6</w:t>
      </w:r>
      <w:r>
        <w:rPr>
          <w:rFonts w:ascii="仿宋" w:hAnsi="仿宋" w:eastAsia="仿宋" w:cs="仿宋_GB2312"/>
          <w:color w:val="auto"/>
          <w:szCs w:val="24"/>
          <w:highlight w:val="none"/>
        </w:rPr>
        <w:t>.3采购人、采购机构可以视情况延长投标文件提交的截止时间。在上述情况下，采购机构与</w:t>
      </w:r>
      <w:r>
        <w:rPr>
          <w:rFonts w:hint="eastAsia" w:ascii="仿宋" w:hAnsi="仿宋" w:eastAsia="仿宋" w:cs="仿宋_GB2312"/>
          <w:color w:val="auto"/>
          <w:szCs w:val="24"/>
          <w:highlight w:val="none"/>
        </w:rPr>
        <w:t>投标人</w:t>
      </w:r>
      <w:r>
        <w:rPr>
          <w:rFonts w:ascii="仿宋" w:hAnsi="仿宋" w:eastAsia="仿宋" w:cs="仿宋_GB2312"/>
          <w:color w:val="auto"/>
          <w:szCs w:val="24"/>
          <w:highlight w:val="none"/>
        </w:rPr>
        <w:t>以前在投标截止期方面的全部权利、责任和义务，将适用于延长至新的投标截止期。</w:t>
      </w:r>
    </w:p>
    <w:p w14:paraId="435BEC95">
      <w:pPr>
        <w:pStyle w:val="32"/>
        <w:autoSpaceDE/>
        <w:autoSpaceDN/>
        <w:snapToGrid w:val="0"/>
        <w:spacing w:line="460" w:lineRule="exact"/>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1</w:t>
      </w:r>
      <w:r>
        <w:rPr>
          <w:rFonts w:hint="eastAsia" w:ascii="仿宋" w:hAnsi="仿宋" w:eastAsia="仿宋" w:cs="仿宋_GB2312"/>
          <w:b/>
          <w:color w:val="auto"/>
          <w:sz w:val="24"/>
          <w:szCs w:val="24"/>
          <w:highlight w:val="none"/>
        </w:rPr>
        <w:t>7</w:t>
      </w:r>
      <w:r>
        <w:rPr>
          <w:rFonts w:ascii="仿宋" w:hAnsi="仿宋" w:eastAsia="仿宋" w:cs="仿宋_GB2312"/>
          <w:b/>
          <w:color w:val="auto"/>
          <w:sz w:val="24"/>
          <w:szCs w:val="24"/>
          <w:highlight w:val="none"/>
        </w:rPr>
        <w:t>.备份投标文件</w:t>
      </w:r>
    </w:p>
    <w:p w14:paraId="5EA433EA">
      <w:pPr>
        <w:pStyle w:val="32"/>
        <w:autoSpaceDE/>
        <w:autoSpaceDN/>
        <w:snapToGrid w:val="0"/>
        <w:spacing w:line="460" w:lineRule="exact"/>
        <w:ind w:firstLine="480" w:firstLineChars="200"/>
        <w:rPr>
          <w:rFonts w:ascii="仿宋" w:hAnsi="仿宋" w:eastAsia="仿宋" w:cs="仿宋_GB2312"/>
          <w:b/>
          <w:color w:val="auto"/>
          <w:sz w:val="24"/>
          <w:szCs w:val="24"/>
          <w:highlight w:val="none"/>
        </w:rPr>
      </w:pPr>
      <w:r>
        <w:rPr>
          <w:rFonts w:ascii="仿宋" w:hAnsi="仿宋" w:eastAsia="仿宋" w:cs="仿宋_GB2312"/>
          <w:color w:val="auto"/>
          <w:sz w:val="24"/>
          <w:szCs w:val="24"/>
          <w:highlight w:val="none"/>
        </w:rPr>
        <w:t>1</w:t>
      </w:r>
      <w:r>
        <w:rPr>
          <w:rFonts w:hint="eastAsia" w:ascii="仿宋" w:hAnsi="仿宋" w:eastAsia="仿宋" w:cs="仿宋_GB2312"/>
          <w:color w:val="auto"/>
          <w:sz w:val="24"/>
          <w:szCs w:val="24"/>
          <w:highlight w:val="none"/>
        </w:rPr>
        <w:t>7</w:t>
      </w:r>
      <w:r>
        <w:rPr>
          <w:rFonts w:ascii="仿宋" w:hAnsi="仿宋" w:eastAsia="仿宋" w:cs="仿宋_GB2312"/>
          <w:color w:val="auto"/>
          <w:sz w:val="24"/>
          <w:szCs w:val="24"/>
          <w:highlight w:val="none"/>
        </w:rPr>
        <w:t>.1</w:t>
      </w:r>
      <w:r>
        <w:rPr>
          <w:rFonts w:hint="eastAsia" w:ascii="仿宋" w:hAnsi="仿宋" w:eastAsia="仿宋" w:cs="仿宋_GB2312"/>
          <w:color w:val="auto"/>
          <w:sz w:val="24"/>
          <w:szCs w:val="24"/>
          <w:highlight w:val="none"/>
        </w:rPr>
        <w:t>投标人</w:t>
      </w:r>
      <w:r>
        <w:rPr>
          <w:rFonts w:ascii="仿宋" w:hAnsi="仿宋" w:eastAsia="仿宋" w:cs="仿宋_GB2312"/>
          <w:color w:val="auto"/>
          <w:sz w:val="24"/>
          <w:szCs w:val="24"/>
          <w:highlight w:val="none"/>
        </w:rPr>
        <w:t>在政采云平台传输递交投标文件后，还可以在投标截止时间前直接提交或者以邮政快递方式</w:t>
      </w:r>
      <w:r>
        <w:rPr>
          <w:rFonts w:hint="eastAsia" w:ascii="仿宋" w:hAnsi="仿宋" w:eastAsia="仿宋" w:cs="仿宋_GB2312"/>
          <w:color w:val="auto"/>
          <w:sz w:val="24"/>
          <w:szCs w:val="24"/>
          <w:highlight w:val="none"/>
        </w:rPr>
        <w:t>（递交地点见投标人须知前附表）</w:t>
      </w:r>
      <w:r>
        <w:rPr>
          <w:rFonts w:ascii="仿宋" w:hAnsi="仿宋" w:eastAsia="仿宋" w:cs="仿宋_GB2312"/>
          <w:color w:val="auto"/>
          <w:sz w:val="24"/>
          <w:szCs w:val="24"/>
          <w:highlight w:val="none"/>
        </w:rPr>
        <w:t>递交备份投标文件1份，</w:t>
      </w:r>
      <w:r>
        <w:rPr>
          <w:rFonts w:hint="eastAsia" w:ascii="仿宋" w:hAnsi="仿宋" w:eastAsia="仿宋" w:cs="仿宋_GB2312"/>
          <w:b/>
          <w:color w:val="auto"/>
          <w:sz w:val="24"/>
          <w:szCs w:val="24"/>
          <w:highlight w:val="none"/>
        </w:rPr>
        <w:t>但采购人、采购机构不强制或变相强制投标人提交备份投标文件。</w:t>
      </w:r>
    </w:p>
    <w:p w14:paraId="444B8AFB">
      <w:pPr>
        <w:pStyle w:val="32"/>
        <w:autoSpaceDE/>
        <w:autoSpaceDN/>
        <w:snapToGrid w:val="0"/>
        <w:spacing w:line="460" w:lineRule="exact"/>
        <w:ind w:firstLine="480" w:firstLineChars="200"/>
        <w:rPr>
          <w:rFonts w:ascii="仿宋" w:hAnsi="仿宋" w:eastAsia="仿宋" w:cs="仿宋_GB2312"/>
          <w:b/>
          <w:color w:val="auto"/>
          <w:sz w:val="24"/>
          <w:szCs w:val="24"/>
          <w:highlight w:val="none"/>
        </w:rPr>
      </w:pPr>
      <w:r>
        <w:rPr>
          <w:rFonts w:hint="eastAsia" w:ascii="仿宋" w:hAnsi="仿宋" w:eastAsia="仿宋" w:cs="仿宋_GB2312"/>
          <w:color w:val="auto"/>
          <w:sz w:val="24"/>
          <w:szCs w:val="24"/>
          <w:highlight w:val="none"/>
        </w:rPr>
        <w:t>17</w:t>
      </w:r>
      <w:r>
        <w:rPr>
          <w:rFonts w:ascii="仿宋" w:hAnsi="仿宋" w:eastAsia="仿宋" w:cs="仿宋_GB2312"/>
          <w:color w:val="auto"/>
          <w:sz w:val="24"/>
          <w:szCs w:val="24"/>
          <w:highlight w:val="none"/>
        </w:rPr>
        <w:t>.2备份投标文件须在“政</w:t>
      </w:r>
      <w:r>
        <w:rPr>
          <w:rFonts w:hint="eastAsia" w:ascii="仿宋" w:hAnsi="仿宋" w:eastAsia="仿宋" w:cs="仿宋_GB2312"/>
          <w:color w:val="auto"/>
          <w:sz w:val="24"/>
          <w:szCs w:val="24"/>
          <w:highlight w:val="none"/>
        </w:rPr>
        <w:t>采云投标客户端”制作生成，并储存在</w:t>
      </w:r>
      <w:r>
        <w:rPr>
          <w:rFonts w:ascii="仿宋" w:hAnsi="仿宋" w:eastAsia="仿宋"/>
          <w:color w:val="auto"/>
          <w:sz w:val="24"/>
          <w:szCs w:val="24"/>
          <w:highlight w:val="none"/>
        </w:rPr>
        <w:t>光盘</w:t>
      </w:r>
      <w:r>
        <w:rPr>
          <w:rFonts w:hint="eastAsia" w:ascii="仿宋" w:hAnsi="仿宋" w:eastAsia="仿宋"/>
          <w:color w:val="auto"/>
          <w:sz w:val="24"/>
          <w:szCs w:val="24"/>
          <w:highlight w:val="none"/>
        </w:rPr>
        <w:t>或U盘</w:t>
      </w:r>
      <w:r>
        <w:rPr>
          <w:rFonts w:hint="eastAsia" w:ascii="仿宋" w:hAnsi="仿宋" w:eastAsia="仿宋" w:cs="仿宋_GB2312"/>
          <w:color w:val="auto"/>
          <w:sz w:val="24"/>
          <w:szCs w:val="24"/>
          <w:highlight w:val="none"/>
        </w:rPr>
        <w:t>中。备份投标文件应当密封包装并在包装上加盖公章并注明投标项目名称，投标人名称</w:t>
      </w:r>
      <w:r>
        <w:rPr>
          <w:rFonts w:ascii="仿宋" w:hAnsi="仿宋" w:eastAsia="仿宋" w:cs="仿宋_GB2312"/>
          <w:color w:val="auto"/>
          <w:sz w:val="24"/>
          <w:szCs w:val="24"/>
          <w:highlight w:val="none"/>
        </w:rPr>
        <w:t>(联合体投标的，包装物封面需注明联合体投标，并注明联合体成员各方的名称和联合体协议中约定的牵头人的名称)。</w:t>
      </w:r>
      <w:r>
        <w:rPr>
          <w:rFonts w:hint="eastAsia" w:ascii="仿宋" w:hAnsi="仿宋" w:eastAsia="仿宋"/>
          <w:b/>
          <w:color w:val="auto"/>
          <w:sz w:val="24"/>
          <w:szCs w:val="24"/>
          <w:highlight w:val="none"/>
        </w:rPr>
        <w:t>不符合上述制作、</w:t>
      </w:r>
      <w:r>
        <w:rPr>
          <w:rFonts w:hint="eastAsia" w:ascii="仿宋" w:hAnsi="仿宋" w:eastAsia="仿宋" w:cs="仿宋_GB2312"/>
          <w:b/>
          <w:color w:val="auto"/>
          <w:sz w:val="24"/>
          <w:szCs w:val="24"/>
          <w:highlight w:val="none"/>
        </w:rPr>
        <w:t>存储、密封规定的备份投标文件将被视为无效或者被拒绝接收。</w:t>
      </w:r>
    </w:p>
    <w:p w14:paraId="1E88CDC2">
      <w:pPr>
        <w:pStyle w:val="32"/>
        <w:autoSpaceDE/>
        <w:autoSpaceDN/>
        <w:snapToGrid w:val="0"/>
        <w:spacing w:line="460" w:lineRule="exact"/>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w:t>
      </w:r>
      <w:r>
        <w:rPr>
          <w:rFonts w:hint="eastAsia" w:ascii="仿宋" w:hAnsi="仿宋" w:eastAsia="仿宋" w:cs="仿宋_GB2312"/>
          <w:color w:val="auto"/>
          <w:sz w:val="24"/>
          <w:szCs w:val="24"/>
          <w:highlight w:val="none"/>
        </w:rPr>
        <w:t>7</w:t>
      </w:r>
      <w:r>
        <w:rPr>
          <w:rFonts w:ascii="仿宋" w:hAnsi="仿宋" w:eastAsia="仿宋" w:cs="仿宋_GB2312"/>
          <w:color w:val="auto"/>
          <w:sz w:val="24"/>
          <w:szCs w:val="24"/>
          <w:highlight w:val="none"/>
        </w:rPr>
        <w:t>.3</w:t>
      </w:r>
      <w:r>
        <w:rPr>
          <w:rFonts w:ascii="仿宋" w:hAnsi="仿宋" w:eastAsia="仿宋" w:cs="仿宋_GB2312"/>
          <w:b/>
          <w:bCs/>
          <w:color w:val="auto"/>
          <w:sz w:val="24"/>
          <w:szCs w:val="24"/>
          <w:highlight w:val="none"/>
        </w:rPr>
        <w:t>采购机构将拒绝接受逾期送达的备份投标文件。</w:t>
      </w:r>
      <w:r>
        <w:rPr>
          <w:rFonts w:hint="eastAsia" w:ascii="仿宋" w:hAnsi="仿宋" w:eastAsia="仿宋" w:cs="仿宋_GB2312"/>
          <w:color w:val="auto"/>
          <w:sz w:val="24"/>
          <w:szCs w:val="24"/>
          <w:highlight w:val="none"/>
        </w:rPr>
        <w:t>采用</w:t>
      </w:r>
      <w:r>
        <w:rPr>
          <w:rFonts w:ascii="仿宋" w:hAnsi="仿宋" w:eastAsia="仿宋" w:cs="仿宋_GB2312"/>
          <w:color w:val="auto"/>
          <w:sz w:val="24"/>
          <w:szCs w:val="24"/>
          <w:highlight w:val="none"/>
        </w:rPr>
        <w:t>邮政快递方式递交备份投标文件的，</w:t>
      </w:r>
      <w:r>
        <w:rPr>
          <w:rFonts w:hint="eastAsia" w:ascii="仿宋" w:hAnsi="仿宋" w:eastAsia="仿宋" w:cs="仿宋_GB2312"/>
          <w:color w:val="auto"/>
          <w:sz w:val="24"/>
          <w:szCs w:val="24"/>
          <w:highlight w:val="none"/>
        </w:rPr>
        <w:t>送达时间以签收人签收时间为准。邮寄过程中，备份投标文件发生泄露、遗失、损坏或延期送达等情况的，由投标人自行负责。</w:t>
      </w:r>
    </w:p>
    <w:p w14:paraId="2835F57D">
      <w:pPr>
        <w:pStyle w:val="32"/>
        <w:autoSpaceDE/>
        <w:autoSpaceDN/>
        <w:snapToGrid w:val="0"/>
        <w:spacing w:line="460" w:lineRule="exact"/>
        <w:ind w:firstLine="472" w:firstLineChars="196"/>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17</w:t>
      </w:r>
      <w:r>
        <w:rPr>
          <w:rFonts w:ascii="仿宋" w:hAnsi="仿宋" w:eastAsia="仿宋" w:cs="仿宋_GB2312"/>
          <w:b/>
          <w:color w:val="auto"/>
          <w:sz w:val="24"/>
          <w:szCs w:val="24"/>
          <w:highlight w:val="none"/>
        </w:rPr>
        <w:t>.4</w:t>
      </w:r>
      <w:r>
        <w:rPr>
          <w:rFonts w:hint="eastAsia" w:ascii="仿宋" w:hAnsi="仿宋" w:eastAsia="仿宋" w:cs="新宋体"/>
          <w:b/>
          <w:color w:val="auto"/>
          <w:kern w:val="0"/>
          <w:sz w:val="24"/>
          <w:highlight w:val="none"/>
          <w:u w:val="single"/>
        </w:rPr>
        <w:t>▲</w:t>
      </w:r>
      <w:r>
        <w:rPr>
          <w:rFonts w:hint="eastAsia" w:ascii="仿宋" w:hAnsi="仿宋" w:eastAsia="仿宋" w:cs="仿宋_GB2312"/>
          <w:b/>
          <w:color w:val="auto"/>
          <w:sz w:val="24"/>
          <w:szCs w:val="24"/>
          <w:highlight w:val="none"/>
          <w:u w:val="single"/>
        </w:rPr>
        <w:t>投标人</w:t>
      </w:r>
      <w:r>
        <w:rPr>
          <w:rFonts w:ascii="仿宋" w:hAnsi="仿宋" w:eastAsia="仿宋" w:cs="仿宋_GB2312"/>
          <w:b/>
          <w:color w:val="auto"/>
          <w:sz w:val="24"/>
          <w:szCs w:val="24"/>
          <w:highlight w:val="none"/>
          <w:u w:val="single"/>
        </w:rPr>
        <w:t>仅提交备份投标文件，没有在政采云平台传输递交投标文件的，投标无效</w:t>
      </w:r>
      <w:r>
        <w:rPr>
          <w:rFonts w:ascii="仿宋" w:hAnsi="仿宋" w:eastAsia="仿宋" w:cs="仿宋_GB2312"/>
          <w:b/>
          <w:color w:val="auto"/>
          <w:sz w:val="24"/>
          <w:szCs w:val="24"/>
          <w:highlight w:val="none"/>
        </w:rPr>
        <w:t>。</w:t>
      </w:r>
    </w:p>
    <w:p w14:paraId="02BF75BA">
      <w:pPr>
        <w:pStyle w:val="89"/>
        <w:snapToGrid w:val="0"/>
        <w:spacing w:before="0" w:line="460" w:lineRule="exact"/>
        <w:ind w:firstLine="0" w:firstLineChars="0"/>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18</w:t>
      </w:r>
      <w:r>
        <w:rPr>
          <w:rFonts w:ascii="仿宋" w:hAnsi="仿宋" w:eastAsia="仿宋" w:cs="仿宋_GB2312"/>
          <w:b/>
          <w:color w:val="auto"/>
          <w:szCs w:val="24"/>
          <w:highlight w:val="none"/>
        </w:rPr>
        <w:t>.投标文件的无效处理</w:t>
      </w:r>
    </w:p>
    <w:p w14:paraId="36C201B7">
      <w:pPr>
        <w:pStyle w:val="25"/>
        <w:adjustRightInd w:val="0"/>
        <w:snapToGrid w:val="0"/>
        <w:spacing w:line="460" w:lineRule="exact"/>
        <w:ind w:left="0" w:firstLine="480" w:firstLineChars="200"/>
        <w:rPr>
          <w:rFonts w:ascii="仿宋" w:hAnsi="仿宋" w:eastAsia="仿宋"/>
          <w:color w:val="auto"/>
          <w:highlight w:val="none"/>
        </w:rPr>
      </w:pPr>
      <w:r>
        <w:rPr>
          <w:rFonts w:hint="eastAsia" w:ascii="仿宋" w:hAnsi="仿宋" w:eastAsia="仿宋" w:cs="仿宋_GB2312"/>
          <w:color w:val="auto"/>
          <w:highlight w:val="none"/>
        </w:rPr>
        <w:t>见招标文件第六部分</w:t>
      </w:r>
      <w:r>
        <w:rPr>
          <w:rFonts w:hint="eastAsia" w:ascii="仿宋" w:hAnsi="仿宋" w:eastAsia="仿宋"/>
          <w:color w:val="auto"/>
          <w:highlight w:val="none"/>
        </w:rPr>
        <w:t>评标办法。</w:t>
      </w:r>
      <w:bookmarkEnd w:id="50"/>
    </w:p>
    <w:p w14:paraId="2B2FB5D4">
      <w:pPr>
        <w:pStyle w:val="25"/>
        <w:adjustRightInd w:val="0"/>
        <w:snapToGrid w:val="0"/>
        <w:spacing w:line="460" w:lineRule="exact"/>
        <w:ind w:left="0" w:firstLine="480" w:firstLineChars="200"/>
        <w:rPr>
          <w:rFonts w:ascii="仿宋" w:hAnsi="仿宋" w:eastAsia="仿宋" w:cs="仿宋_GB2312"/>
          <w:color w:val="auto"/>
          <w:highlight w:val="none"/>
        </w:rPr>
      </w:pPr>
    </w:p>
    <w:p w14:paraId="3597D7B5">
      <w:pPr>
        <w:pStyle w:val="89"/>
        <w:snapToGrid w:val="0"/>
        <w:spacing w:before="0" w:line="460" w:lineRule="exact"/>
        <w:ind w:firstLine="0" w:firstLineChars="0"/>
        <w:jc w:val="center"/>
        <w:outlineLvl w:val="1"/>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四、开标、资格审查与信用信息查询</w:t>
      </w:r>
    </w:p>
    <w:p w14:paraId="0EF37619">
      <w:pPr>
        <w:pStyle w:val="92"/>
        <w:autoSpaceDE/>
        <w:autoSpaceDN/>
        <w:snapToGrid w:val="0"/>
        <w:spacing w:before="0" w:line="460" w:lineRule="exact"/>
        <w:ind w:left="0" w:firstLine="0"/>
        <w:rPr>
          <w:rFonts w:ascii="仿宋" w:hAnsi="仿宋" w:eastAsia="仿宋"/>
          <w:color w:val="auto"/>
          <w:sz w:val="24"/>
          <w:szCs w:val="24"/>
          <w:highlight w:val="none"/>
        </w:rPr>
      </w:pPr>
      <w:r>
        <w:rPr>
          <w:rFonts w:hint="eastAsia" w:ascii="仿宋" w:hAnsi="仿宋" w:eastAsia="仿宋" w:cs="仿宋_GB2312"/>
          <w:b/>
          <w:color w:val="auto"/>
          <w:sz w:val="24"/>
          <w:szCs w:val="24"/>
          <w:highlight w:val="none"/>
        </w:rPr>
        <w:t>19</w:t>
      </w:r>
      <w:r>
        <w:rPr>
          <w:rFonts w:ascii="仿宋" w:hAnsi="仿宋" w:eastAsia="仿宋" w:cs="仿宋_GB2312"/>
          <w:b/>
          <w:color w:val="auto"/>
          <w:sz w:val="24"/>
          <w:szCs w:val="24"/>
          <w:highlight w:val="none"/>
        </w:rPr>
        <w:t>.开标</w:t>
      </w:r>
    </w:p>
    <w:p w14:paraId="7317062A">
      <w:pPr>
        <w:pStyle w:val="92"/>
        <w:autoSpaceDE/>
        <w:autoSpaceDN/>
        <w:snapToGrid w:val="0"/>
        <w:spacing w:before="0" w:line="460" w:lineRule="exact"/>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19</w:t>
      </w:r>
      <w:r>
        <w:rPr>
          <w:rFonts w:ascii="仿宋" w:hAnsi="仿宋" w:eastAsia="仿宋" w:cs="仿宋_GB2312"/>
          <w:color w:val="auto"/>
          <w:sz w:val="24"/>
          <w:szCs w:val="24"/>
          <w:highlight w:val="none"/>
        </w:rPr>
        <w:t>.1采购机构按照</w:t>
      </w:r>
      <w:r>
        <w:rPr>
          <w:rFonts w:hint="eastAsia" w:ascii="仿宋" w:hAnsi="仿宋" w:eastAsia="仿宋" w:cs="仿宋_GB2312"/>
          <w:color w:val="auto"/>
          <w:sz w:val="24"/>
          <w:szCs w:val="24"/>
          <w:highlight w:val="none"/>
        </w:rPr>
        <w:t>招标文件</w:t>
      </w:r>
      <w:r>
        <w:rPr>
          <w:rFonts w:ascii="仿宋" w:hAnsi="仿宋" w:eastAsia="仿宋" w:cs="仿宋_GB2312"/>
          <w:color w:val="auto"/>
          <w:sz w:val="24"/>
          <w:szCs w:val="24"/>
          <w:highlight w:val="none"/>
        </w:rPr>
        <w:t>规定的时间通过政采云平台组织开标，所有</w:t>
      </w:r>
      <w:r>
        <w:rPr>
          <w:rFonts w:hint="eastAsia" w:ascii="仿宋" w:hAnsi="仿宋" w:eastAsia="仿宋" w:cs="仿宋_GB2312"/>
          <w:color w:val="auto"/>
          <w:sz w:val="24"/>
          <w:szCs w:val="24"/>
          <w:highlight w:val="none"/>
        </w:rPr>
        <w:t>投标人</w:t>
      </w:r>
      <w:r>
        <w:rPr>
          <w:rFonts w:ascii="仿宋" w:hAnsi="仿宋" w:eastAsia="仿宋" w:cs="仿宋_GB2312"/>
          <w:color w:val="auto"/>
          <w:sz w:val="24"/>
          <w:szCs w:val="24"/>
          <w:highlight w:val="none"/>
        </w:rPr>
        <w:t>均应当准时在线参加。</w:t>
      </w:r>
      <w:r>
        <w:rPr>
          <w:rFonts w:hint="eastAsia" w:ascii="仿宋" w:hAnsi="仿宋" w:eastAsia="仿宋" w:cs="仿宋_GB2312"/>
          <w:color w:val="auto"/>
          <w:sz w:val="24"/>
          <w:szCs w:val="24"/>
          <w:highlight w:val="none"/>
        </w:rPr>
        <w:t>投标人</w:t>
      </w:r>
      <w:r>
        <w:rPr>
          <w:rFonts w:ascii="仿宋" w:hAnsi="仿宋" w:eastAsia="仿宋" w:cs="仿宋_GB2312"/>
          <w:color w:val="auto"/>
          <w:sz w:val="24"/>
          <w:szCs w:val="24"/>
          <w:highlight w:val="none"/>
        </w:rPr>
        <w:t>不足3家的，不得开标。</w:t>
      </w:r>
    </w:p>
    <w:p w14:paraId="6603DDA8">
      <w:pPr>
        <w:pStyle w:val="92"/>
        <w:autoSpaceDE/>
        <w:autoSpaceDN/>
        <w:snapToGrid w:val="0"/>
        <w:spacing w:before="0" w:line="460" w:lineRule="exact"/>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19</w:t>
      </w:r>
      <w:r>
        <w:rPr>
          <w:rFonts w:ascii="仿宋" w:hAnsi="仿宋" w:eastAsia="仿宋" w:cs="仿宋_GB2312"/>
          <w:color w:val="auto"/>
          <w:sz w:val="24"/>
          <w:szCs w:val="24"/>
          <w:highlight w:val="none"/>
        </w:rPr>
        <w:t>.2开标时，政采云平台按开标时间自动提取所有投标文件。采购机构依托政采云平台发起开始解密指令，</w:t>
      </w:r>
      <w:r>
        <w:rPr>
          <w:rFonts w:hint="eastAsia" w:ascii="仿宋" w:hAnsi="仿宋" w:eastAsia="仿宋" w:cs="仿宋_GB2312"/>
          <w:color w:val="auto"/>
          <w:sz w:val="24"/>
          <w:szCs w:val="24"/>
          <w:highlight w:val="none"/>
        </w:rPr>
        <w:t>投标人</w:t>
      </w:r>
      <w:r>
        <w:rPr>
          <w:rFonts w:ascii="仿宋" w:hAnsi="仿宋" w:eastAsia="仿宋" w:cs="仿宋_GB2312"/>
          <w:color w:val="auto"/>
          <w:sz w:val="24"/>
          <w:szCs w:val="24"/>
          <w:highlight w:val="none"/>
        </w:rPr>
        <w:t>按照平台提示和</w:t>
      </w:r>
      <w:r>
        <w:rPr>
          <w:rFonts w:hint="eastAsia" w:ascii="仿宋" w:hAnsi="仿宋" w:eastAsia="仿宋" w:cs="仿宋_GB2312"/>
          <w:color w:val="auto"/>
          <w:sz w:val="24"/>
          <w:szCs w:val="24"/>
          <w:highlight w:val="none"/>
        </w:rPr>
        <w:t>招标文件</w:t>
      </w:r>
      <w:r>
        <w:rPr>
          <w:rFonts w:ascii="仿宋" w:hAnsi="仿宋" w:eastAsia="仿宋" w:cs="仿宋_GB2312"/>
          <w:color w:val="auto"/>
          <w:sz w:val="24"/>
          <w:szCs w:val="24"/>
          <w:highlight w:val="none"/>
        </w:rPr>
        <w:t>的规定完成在线解密。</w:t>
      </w:r>
    </w:p>
    <w:p w14:paraId="708C7610">
      <w:pPr>
        <w:tabs>
          <w:tab w:val="left" w:pos="540"/>
        </w:tabs>
        <w:snapToGrid w:val="0"/>
        <w:spacing w:line="460" w:lineRule="exact"/>
        <w:ind w:firstLine="480" w:firstLine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采用二阶段开标形式的，第一阶段按前款规定</w:t>
      </w:r>
      <w:r>
        <w:rPr>
          <w:rFonts w:hint="eastAsia" w:ascii="仿宋" w:hAnsi="仿宋" w:eastAsia="仿宋" w:cs="仿宋_GB2312"/>
          <w:color w:val="auto"/>
          <w:sz w:val="24"/>
          <w:highlight w:val="none"/>
        </w:rPr>
        <w:t>投标人</w:t>
      </w:r>
      <w:r>
        <w:rPr>
          <w:rFonts w:ascii="仿宋" w:hAnsi="仿宋" w:eastAsia="仿宋" w:cs="仿宋_GB2312"/>
          <w:color w:val="auto"/>
          <w:sz w:val="24"/>
          <w:highlight w:val="none"/>
        </w:rPr>
        <w:t>完成在线解密</w:t>
      </w:r>
      <w:r>
        <w:rPr>
          <w:rFonts w:hint="eastAsia" w:ascii="仿宋" w:hAnsi="仿宋" w:eastAsia="仿宋" w:cs="仿宋_GB2312"/>
          <w:color w:val="auto"/>
          <w:kern w:val="0"/>
          <w:sz w:val="24"/>
          <w:highlight w:val="none"/>
        </w:rPr>
        <w:t>，先进入符合性审查、商务技术文件的评审；</w:t>
      </w:r>
      <w:r>
        <w:rPr>
          <w:rFonts w:ascii="仿宋" w:hAnsi="仿宋" w:eastAsia="仿宋" w:cs="仿宋_GB2312"/>
          <w:color w:val="auto"/>
          <w:sz w:val="24"/>
          <w:highlight w:val="none"/>
        </w:rPr>
        <w:t>采购机构</w:t>
      </w:r>
      <w:r>
        <w:rPr>
          <w:rFonts w:hint="eastAsia" w:ascii="仿宋" w:hAnsi="仿宋" w:eastAsia="仿宋" w:cs="仿宋_GB2312"/>
          <w:color w:val="auto"/>
          <w:kern w:val="0"/>
          <w:sz w:val="24"/>
          <w:highlight w:val="none"/>
        </w:rPr>
        <w:t>在符合性审查、商务技术文件的评审结束后再进行第二阶段开标：</w:t>
      </w:r>
      <w:r>
        <w:rPr>
          <w:rFonts w:ascii="仿宋" w:hAnsi="仿宋" w:eastAsia="仿宋" w:cs="仿宋_GB2312"/>
          <w:color w:val="auto"/>
          <w:kern w:val="0"/>
          <w:sz w:val="24"/>
          <w:highlight w:val="none"/>
        </w:rPr>
        <w:t>采购机构</w:t>
      </w:r>
      <w:r>
        <w:rPr>
          <w:rFonts w:hint="eastAsia" w:ascii="仿宋" w:hAnsi="仿宋" w:eastAsia="仿宋" w:cs="仿宋_GB2312"/>
          <w:color w:val="auto"/>
          <w:kern w:val="0"/>
          <w:sz w:val="24"/>
          <w:highlight w:val="none"/>
        </w:rPr>
        <w:t>在</w:t>
      </w:r>
      <w:r>
        <w:rPr>
          <w:rFonts w:ascii="仿宋" w:hAnsi="仿宋" w:eastAsia="仿宋" w:cs="仿宋_GB2312"/>
          <w:color w:val="auto"/>
          <w:kern w:val="0"/>
          <w:sz w:val="24"/>
          <w:highlight w:val="none"/>
        </w:rPr>
        <w:t>政采云平台</w:t>
      </w:r>
      <w:r>
        <w:rPr>
          <w:rFonts w:hint="eastAsia" w:ascii="仿宋" w:hAnsi="仿宋" w:eastAsia="仿宋" w:cs="仿宋_GB2312"/>
          <w:color w:val="auto"/>
          <w:kern w:val="0"/>
          <w:sz w:val="24"/>
          <w:highlight w:val="none"/>
        </w:rPr>
        <w:t>公布符合性审查、商务技术评审无效投标人名称及理由，公布有效投标人名称及其商务技术部分得分情况，再公布有效投标人开标一览表及有关内容，制作开标记录，投标人应当在</w:t>
      </w:r>
      <w:r>
        <w:rPr>
          <w:rFonts w:hint="eastAsia" w:ascii="仿宋" w:hAnsi="仿宋" w:eastAsia="仿宋" w:cs="仿宋_GB2312"/>
          <w:b/>
          <w:bCs/>
          <w:color w:val="auto"/>
          <w:kern w:val="0"/>
          <w:sz w:val="24"/>
          <w:highlight w:val="none"/>
        </w:rPr>
        <w:t>30分钟</w:t>
      </w:r>
      <w:r>
        <w:rPr>
          <w:rFonts w:hint="eastAsia" w:ascii="仿宋" w:hAnsi="仿宋" w:eastAsia="仿宋" w:cs="仿宋_GB2312"/>
          <w:color w:val="auto"/>
          <w:kern w:val="0"/>
          <w:sz w:val="24"/>
          <w:highlight w:val="none"/>
        </w:rPr>
        <w:t>内完成</w:t>
      </w:r>
      <w:r>
        <w:rPr>
          <w:rFonts w:ascii="仿宋" w:hAnsi="仿宋" w:eastAsia="仿宋" w:cs="仿宋_GB2312"/>
          <w:color w:val="auto"/>
          <w:kern w:val="0"/>
          <w:sz w:val="24"/>
          <w:highlight w:val="none"/>
        </w:rPr>
        <w:t>政采云平台</w:t>
      </w:r>
      <w:r>
        <w:rPr>
          <w:rFonts w:hint="eastAsia" w:ascii="仿宋" w:hAnsi="仿宋" w:eastAsia="仿宋" w:cs="仿宋_GB2312"/>
          <w:color w:val="auto"/>
          <w:kern w:val="0"/>
          <w:sz w:val="24"/>
          <w:highlight w:val="none"/>
        </w:rPr>
        <w:t>上签字确认。</w:t>
      </w:r>
    </w:p>
    <w:p w14:paraId="34F4BCF4">
      <w:pPr>
        <w:tabs>
          <w:tab w:val="left" w:pos="540"/>
        </w:tabs>
        <w:snapToGrid w:val="0"/>
        <w:spacing w:line="460" w:lineRule="exact"/>
        <w:ind w:firstLine="480" w:firstLineChars="200"/>
        <w:rPr>
          <w:rFonts w:ascii="仿宋" w:hAnsi="仿宋" w:eastAsia="仿宋" w:cs="新宋体"/>
          <w:bCs/>
          <w:color w:val="auto"/>
          <w:kern w:val="0"/>
          <w:sz w:val="24"/>
          <w:highlight w:val="none"/>
        </w:rPr>
      </w:pPr>
      <w:r>
        <w:rPr>
          <w:rFonts w:hint="eastAsia" w:ascii="仿宋" w:hAnsi="仿宋" w:eastAsia="仿宋" w:cs="新宋体"/>
          <w:bCs/>
          <w:color w:val="auto"/>
          <w:kern w:val="0"/>
          <w:sz w:val="24"/>
          <w:highlight w:val="none"/>
        </w:rPr>
        <w:t>19.</w:t>
      </w:r>
      <w:r>
        <w:rPr>
          <w:rFonts w:ascii="仿宋" w:hAnsi="仿宋" w:eastAsia="仿宋" w:cs="新宋体"/>
          <w:bCs/>
          <w:color w:val="auto"/>
          <w:kern w:val="0"/>
          <w:sz w:val="24"/>
          <w:highlight w:val="none"/>
        </w:rPr>
        <w:t>3</w:t>
      </w:r>
      <w:r>
        <w:rPr>
          <w:rFonts w:hint="eastAsia" w:ascii="仿宋" w:hAnsi="仿宋" w:eastAsia="仿宋" w:cs="新宋体"/>
          <w:bCs/>
          <w:color w:val="auto"/>
          <w:kern w:val="0"/>
          <w:sz w:val="24"/>
          <w:highlight w:val="none"/>
        </w:rPr>
        <w:t>特别说明：</w:t>
      </w:r>
    </w:p>
    <w:p w14:paraId="7A1A5EAA">
      <w:pPr>
        <w:tabs>
          <w:tab w:val="left" w:pos="540"/>
        </w:tabs>
        <w:snapToGrid w:val="0"/>
        <w:spacing w:line="460" w:lineRule="exact"/>
        <w:ind w:firstLine="480" w:firstLineChars="200"/>
        <w:rPr>
          <w:rFonts w:ascii="仿宋" w:hAnsi="仿宋" w:eastAsia="仿宋" w:cs="新宋体"/>
          <w:bCs/>
          <w:color w:val="auto"/>
          <w:kern w:val="0"/>
          <w:sz w:val="24"/>
          <w:highlight w:val="none"/>
        </w:rPr>
      </w:pPr>
      <w:r>
        <w:rPr>
          <w:rFonts w:hint="eastAsia" w:ascii="仿宋" w:hAnsi="仿宋" w:eastAsia="仿宋" w:cs="新宋体"/>
          <w:bCs/>
          <w:color w:val="auto"/>
          <w:kern w:val="0"/>
          <w:sz w:val="24"/>
          <w:highlight w:val="none"/>
        </w:rPr>
        <w:t>（1）如遇“政采云平台”电子化开标或评审程序（含相关数据公布）调整的，按调整后程序执行。</w:t>
      </w:r>
    </w:p>
    <w:p w14:paraId="06DD374D">
      <w:pPr>
        <w:tabs>
          <w:tab w:val="left" w:pos="540"/>
        </w:tabs>
        <w:snapToGrid w:val="0"/>
        <w:spacing w:line="460" w:lineRule="exact"/>
        <w:ind w:firstLine="480" w:firstLineChars="200"/>
        <w:rPr>
          <w:rFonts w:ascii="仿宋" w:hAnsi="仿宋" w:eastAsia="仿宋" w:cs="新宋体"/>
          <w:bCs/>
          <w:color w:val="auto"/>
          <w:kern w:val="0"/>
          <w:sz w:val="24"/>
          <w:highlight w:val="none"/>
        </w:rPr>
      </w:pPr>
      <w:r>
        <w:rPr>
          <w:rFonts w:hint="eastAsia" w:ascii="仿宋" w:hAnsi="仿宋" w:eastAsia="仿宋" w:cs="新宋体"/>
          <w:bCs/>
          <w:color w:val="auto"/>
          <w:kern w:val="0"/>
          <w:sz w:val="24"/>
          <w:highlight w:val="none"/>
        </w:rPr>
        <w:t>（2）开标过程中需要相关当事人进行签字或盖章确认的材料将通过“政采云平台”进行，若因“政采云平台”技术问题无法进行签字或盖章确认的，采购组织机构将通过邮件、传真等形式组织确认。</w:t>
      </w:r>
    </w:p>
    <w:p w14:paraId="6E502ED3">
      <w:pPr>
        <w:tabs>
          <w:tab w:val="left" w:pos="540"/>
        </w:tabs>
        <w:snapToGrid w:val="0"/>
        <w:spacing w:line="460" w:lineRule="exact"/>
        <w:ind w:firstLine="480" w:firstLineChars="200"/>
        <w:rPr>
          <w:rFonts w:ascii="仿宋" w:hAnsi="仿宋" w:eastAsia="仿宋" w:cs="新宋体"/>
          <w:bCs/>
          <w:color w:val="auto"/>
          <w:kern w:val="0"/>
          <w:sz w:val="24"/>
          <w:highlight w:val="none"/>
        </w:rPr>
      </w:pPr>
      <w:r>
        <w:rPr>
          <w:rFonts w:hint="eastAsia" w:ascii="仿宋" w:hAnsi="仿宋" w:eastAsia="仿宋" w:cs="新宋体"/>
          <w:bCs/>
          <w:color w:val="auto"/>
          <w:kern w:val="0"/>
          <w:sz w:val="24"/>
          <w:highlight w:val="none"/>
        </w:rPr>
        <w:t>（3）投标人代表应保持“政采云平台”在线并准备好投标人公章、笔、纸、打印机等办公用品，随时做好开评标过程所需文件的邮件收发及签字、盖章工作（下同）。由于投标人代表未在线或电话无法联系而导致的相关损失或责任由投标人承担。</w:t>
      </w:r>
    </w:p>
    <w:p w14:paraId="5F310A38">
      <w:pPr>
        <w:pStyle w:val="92"/>
        <w:autoSpaceDE/>
        <w:autoSpaceDN/>
        <w:snapToGrid w:val="0"/>
        <w:spacing w:before="0" w:line="460" w:lineRule="exact"/>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19</w:t>
      </w:r>
      <w:r>
        <w:rPr>
          <w:rFonts w:ascii="仿宋" w:hAnsi="仿宋" w:eastAsia="仿宋" w:cs="仿宋_GB2312"/>
          <w:color w:val="auto"/>
          <w:sz w:val="24"/>
          <w:szCs w:val="24"/>
          <w:highlight w:val="none"/>
        </w:rPr>
        <w:t>.4</w:t>
      </w:r>
      <w:r>
        <w:rPr>
          <w:rFonts w:hint="eastAsia" w:ascii="仿宋" w:hAnsi="仿宋" w:eastAsia="仿宋" w:cs="仿宋_GB2312"/>
          <w:color w:val="auto"/>
          <w:sz w:val="24"/>
          <w:szCs w:val="24"/>
          <w:highlight w:val="none"/>
        </w:rPr>
        <w:t>投标文件未按时解密，投标人提供了备份投标文件的，以备份投标文件作为依据，否则视为投标文件撤回。投标文件已按时解密的，备份投标文件自动失效。</w:t>
      </w:r>
    </w:p>
    <w:p w14:paraId="5F3105F7">
      <w:pPr>
        <w:widowControl/>
        <w:snapToGrid w:val="0"/>
        <w:spacing w:line="460" w:lineRule="exact"/>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20</w:t>
      </w:r>
      <w:r>
        <w:rPr>
          <w:rFonts w:ascii="仿宋" w:hAnsi="仿宋" w:eastAsia="仿宋" w:cs="仿宋_GB2312"/>
          <w:b/>
          <w:color w:val="auto"/>
          <w:sz w:val="24"/>
          <w:highlight w:val="none"/>
        </w:rPr>
        <w:t>、资格审查</w:t>
      </w:r>
    </w:p>
    <w:p w14:paraId="02A1CDBA">
      <w:pPr>
        <w:pStyle w:val="89"/>
        <w:snapToGrid w:val="0"/>
        <w:spacing w:before="0" w:line="460" w:lineRule="exact"/>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20</w:t>
      </w:r>
      <w:r>
        <w:rPr>
          <w:rFonts w:ascii="仿宋" w:hAnsi="仿宋" w:eastAsia="仿宋" w:cs="Arial"/>
          <w:color w:val="auto"/>
          <w:kern w:val="0"/>
          <w:szCs w:val="24"/>
          <w:highlight w:val="none"/>
        </w:rPr>
        <w:t>.1开标后，采购人或采购代理机构将依法对</w:t>
      </w:r>
      <w:r>
        <w:rPr>
          <w:rFonts w:hint="eastAsia" w:ascii="仿宋" w:hAnsi="仿宋" w:eastAsia="仿宋" w:cs="Arial"/>
          <w:color w:val="auto"/>
          <w:kern w:val="0"/>
          <w:szCs w:val="24"/>
          <w:highlight w:val="none"/>
        </w:rPr>
        <w:t>投标人</w:t>
      </w:r>
      <w:r>
        <w:rPr>
          <w:rFonts w:ascii="仿宋" w:hAnsi="仿宋" w:eastAsia="仿宋" w:cs="Arial"/>
          <w:color w:val="auto"/>
          <w:kern w:val="0"/>
          <w:szCs w:val="24"/>
          <w:highlight w:val="none"/>
        </w:rPr>
        <w:t>的资格进行审查。</w:t>
      </w:r>
    </w:p>
    <w:p w14:paraId="3F066996">
      <w:pPr>
        <w:snapToGrid w:val="0"/>
        <w:spacing w:line="460" w:lineRule="exact"/>
        <w:ind w:firstLine="480" w:firstLineChars="200"/>
        <w:rPr>
          <w:rFonts w:ascii="仿宋" w:hAnsi="仿宋" w:eastAsia="仿宋" w:cs="仿宋_GB2312"/>
          <w:color w:val="auto"/>
          <w:sz w:val="24"/>
          <w:highlight w:val="none"/>
        </w:rPr>
      </w:pPr>
      <w:r>
        <w:rPr>
          <w:rFonts w:hint="eastAsia" w:ascii="仿宋" w:hAnsi="仿宋" w:eastAsia="仿宋" w:cs="Arial"/>
          <w:color w:val="auto"/>
          <w:kern w:val="0"/>
          <w:sz w:val="24"/>
          <w:highlight w:val="none"/>
        </w:rPr>
        <w:t>20</w:t>
      </w:r>
      <w:r>
        <w:rPr>
          <w:rFonts w:ascii="仿宋" w:hAnsi="仿宋" w:eastAsia="仿宋" w:cs="Arial"/>
          <w:color w:val="auto"/>
          <w:kern w:val="0"/>
          <w:sz w:val="24"/>
          <w:highlight w:val="none"/>
        </w:rPr>
        <w:t>.2</w:t>
      </w:r>
      <w:r>
        <w:rPr>
          <w:rFonts w:hint="eastAsia" w:ascii="仿宋" w:hAnsi="仿宋" w:eastAsia="仿宋" w:cs="仿宋_GB2312"/>
          <w:color w:val="auto"/>
          <w:sz w:val="24"/>
          <w:highlight w:val="none"/>
        </w:rPr>
        <w:t>采购人或采购代理机构依据法律法规和招标文件的规定，对投标人的基本资格条件、</w:t>
      </w:r>
      <w:r>
        <w:rPr>
          <w:rFonts w:ascii="仿宋" w:hAnsi="仿宋" w:eastAsia="仿宋" w:cs="仿宋_GB2312"/>
          <w:color w:val="auto"/>
          <w:sz w:val="24"/>
          <w:highlight w:val="none"/>
        </w:rPr>
        <w:t>落实政府采购政策需满足的资格要求</w:t>
      </w:r>
      <w:r>
        <w:rPr>
          <w:rFonts w:hint="eastAsia" w:ascii="仿宋" w:hAnsi="仿宋" w:eastAsia="仿宋" w:cs="仿宋_GB2312"/>
          <w:color w:val="auto"/>
          <w:sz w:val="24"/>
          <w:highlight w:val="none"/>
        </w:rPr>
        <w:t>、特定资格条件进行审查。</w:t>
      </w:r>
    </w:p>
    <w:p w14:paraId="00F4A060">
      <w:pPr>
        <w:pStyle w:val="89"/>
        <w:snapToGrid w:val="0"/>
        <w:spacing w:before="0" w:line="460" w:lineRule="exact"/>
        <w:ind w:firstLine="480"/>
        <w:rPr>
          <w:rFonts w:ascii="仿宋" w:hAnsi="仿宋" w:eastAsia="仿宋" w:cs="仿宋_GB2312"/>
          <w:color w:val="auto"/>
          <w:szCs w:val="24"/>
          <w:highlight w:val="none"/>
        </w:rPr>
      </w:pPr>
      <w:r>
        <w:rPr>
          <w:rFonts w:hint="eastAsia" w:ascii="仿宋" w:hAnsi="仿宋" w:eastAsia="仿宋" w:cs="Arial"/>
          <w:color w:val="auto"/>
          <w:kern w:val="0"/>
          <w:szCs w:val="24"/>
          <w:highlight w:val="none"/>
        </w:rPr>
        <w:t>20</w:t>
      </w:r>
      <w:r>
        <w:rPr>
          <w:rFonts w:ascii="仿宋" w:hAnsi="仿宋" w:eastAsia="仿宋" w:cs="Arial"/>
          <w:color w:val="auto"/>
          <w:kern w:val="0"/>
          <w:szCs w:val="24"/>
          <w:highlight w:val="none"/>
        </w:rPr>
        <w:t>.3</w:t>
      </w:r>
      <w:r>
        <w:rPr>
          <w:rFonts w:hint="eastAsia" w:ascii="仿宋" w:hAnsi="仿宋" w:eastAsia="仿宋" w:cs="新宋体"/>
          <w:b/>
          <w:color w:val="auto"/>
          <w:kern w:val="0"/>
          <w:highlight w:val="none"/>
          <w:u w:val="single"/>
        </w:rPr>
        <w:t>▲</w:t>
      </w:r>
      <w:r>
        <w:rPr>
          <w:rFonts w:hint="eastAsia" w:ascii="仿宋" w:hAnsi="仿宋" w:eastAsia="仿宋" w:cs="Arial"/>
          <w:b/>
          <w:color w:val="auto"/>
          <w:kern w:val="0"/>
          <w:szCs w:val="24"/>
          <w:highlight w:val="none"/>
          <w:u w:val="single"/>
        </w:rPr>
        <w:t>投标人</w:t>
      </w:r>
      <w:r>
        <w:rPr>
          <w:rFonts w:ascii="仿宋" w:hAnsi="仿宋" w:eastAsia="仿宋" w:cs="Arial"/>
          <w:b/>
          <w:color w:val="auto"/>
          <w:kern w:val="0"/>
          <w:szCs w:val="24"/>
          <w:highlight w:val="none"/>
          <w:u w:val="single"/>
        </w:rPr>
        <w:t>未按照</w:t>
      </w:r>
      <w:r>
        <w:rPr>
          <w:rFonts w:hint="eastAsia" w:ascii="仿宋" w:hAnsi="仿宋" w:eastAsia="仿宋" w:cs="Arial"/>
          <w:b/>
          <w:color w:val="auto"/>
          <w:kern w:val="0"/>
          <w:szCs w:val="24"/>
          <w:highlight w:val="none"/>
          <w:u w:val="single"/>
        </w:rPr>
        <w:t>招标文件</w:t>
      </w:r>
      <w:r>
        <w:rPr>
          <w:rFonts w:ascii="仿宋" w:hAnsi="仿宋" w:eastAsia="仿宋" w:cs="Arial"/>
          <w:b/>
          <w:color w:val="auto"/>
          <w:kern w:val="0"/>
          <w:szCs w:val="24"/>
          <w:highlight w:val="none"/>
          <w:u w:val="single"/>
        </w:rPr>
        <w:t>要求提供与</w:t>
      </w:r>
      <w:r>
        <w:rPr>
          <w:rFonts w:hint="eastAsia" w:ascii="仿宋" w:hAnsi="仿宋" w:eastAsia="仿宋" w:cs="仿宋_GB2312"/>
          <w:b/>
          <w:color w:val="auto"/>
          <w:szCs w:val="24"/>
          <w:highlight w:val="none"/>
          <w:u w:val="single"/>
        </w:rPr>
        <w:t>基本资格条件、</w:t>
      </w:r>
      <w:r>
        <w:rPr>
          <w:rFonts w:ascii="仿宋" w:hAnsi="仿宋" w:eastAsia="仿宋" w:cs="仿宋_GB2312"/>
          <w:b/>
          <w:color w:val="auto"/>
          <w:highlight w:val="none"/>
          <w:u w:val="single"/>
        </w:rPr>
        <w:t>落实政府采购政策需满足的资格要求</w:t>
      </w:r>
      <w:r>
        <w:rPr>
          <w:rFonts w:hint="eastAsia" w:ascii="仿宋" w:hAnsi="仿宋" w:eastAsia="仿宋" w:cs="仿宋_GB2312"/>
          <w:b/>
          <w:color w:val="auto"/>
          <w:highlight w:val="none"/>
          <w:u w:val="single"/>
        </w:rPr>
        <w:t>、</w:t>
      </w:r>
      <w:r>
        <w:rPr>
          <w:rFonts w:hint="eastAsia" w:ascii="仿宋" w:hAnsi="仿宋" w:eastAsia="仿宋" w:cs="仿宋_GB2312"/>
          <w:b/>
          <w:color w:val="auto"/>
          <w:szCs w:val="24"/>
          <w:highlight w:val="none"/>
          <w:u w:val="single"/>
        </w:rPr>
        <w:t>特定资格条件相应的</w:t>
      </w:r>
      <w:r>
        <w:rPr>
          <w:rFonts w:hint="eastAsia" w:ascii="仿宋" w:hAnsi="仿宋" w:eastAsia="仿宋" w:cs="Arial"/>
          <w:b/>
          <w:color w:val="auto"/>
          <w:kern w:val="0"/>
          <w:szCs w:val="24"/>
          <w:highlight w:val="none"/>
          <w:u w:val="single"/>
        </w:rPr>
        <w:t>有效资格证明材料的，视为</w:t>
      </w:r>
      <w:r>
        <w:rPr>
          <w:rFonts w:hint="eastAsia" w:ascii="仿宋" w:hAnsi="仿宋" w:eastAsia="仿宋" w:cs="仿宋_GB2312"/>
          <w:b/>
          <w:color w:val="auto"/>
          <w:szCs w:val="24"/>
          <w:highlight w:val="none"/>
          <w:u w:val="single"/>
        </w:rPr>
        <w:t>投标人不具备招标文件中规定的资格要求，其投标无效</w:t>
      </w:r>
      <w:r>
        <w:rPr>
          <w:rFonts w:hint="eastAsia" w:ascii="仿宋" w:hAnsi="仿宋" w:eastAsia="仿宋" w:cs="仿宋_GB2312"/>
          <w:color w:val="auto"/>
          <w:szCs w:val="24"/>
          <w:highlight w:val="none"/>
        </w:rPr>
        <w:t>。</w:t>
      </w:r>
    </w:p>
    <w:p w14:paraId="33352E0E">
      <w:pPr>
        <w:pStyle w:val="89"/>
        <w:snapToGrid w:val="0"/>
        <w:spacing w:before="0" w:line="460" w:lineRule="exact"/>
        <w:ind w:firstLine="480"/>
        <w:rPr>
          <w:rFonts w:ascii="仿宋" w:hAnsi="仿宋" w:eastAsia="仿宋" w:cs="仿宋_GB2312"/>
          <w:color w:val="auto"/>
          <w:szCs w:val="24"/>
          <w:highlight w:val="none"/>
        </w:rPr>
      </w:pPr>
      <w:r>
        <w:rPr>
          <w:rFonts w:hint="eastAsia" w:ascii="仿宋" w:hAnsi="仿宋" w:eastAsia="仿宋" w:cs="Arial"/>
          <w:color w:val="auto"/>
          <w:kern w:val="0"/>
          <w:szCs w:val="24"/>
          <w:highlight w:val="none"/>
        </w:rPr>
        <w:t>20</w:t>
      </w:r>
      <w:r>
        <w:rPr>
          <w:rFonts w:ascii="仿宋" w:hAnsi="仿宋" w:eastAsia="仿宋" w:cs="Arial"/>
          <w:color w:val="auto"/>
          <w:kern w:val="0"/>
          <w:szCs w:val="24"/>
          <w:highlight w:val="none"/>
        </w:rPr>
        <w:t>.</w:t>
      </w:r>
      <w:r>
        <w:rPr>
          <w:rFonts w:ascii="仿宋" w:hAnsi="仿宋" w:eastAsia="仿宋" w:cs="仿宋_GB2312"/>
          <w:color w:val="auto"/>
          <w:szCs w:val="24"/>
          <w:highlight w:val="none"/>
        </w:rPr>
        <w:t>4对未通过资格审查的</w:t>
      </w:r>
      <w:r>
        <w:rPr>
          <w:rFonts w:hint="eastAsia" w:ascii="仿宋" w:hAnsi="仿宋" w:eastAsia="仿宋" w:cs="仿宋_GB2312"/>
          <w:color w:val="auto"/>
          <w:szCs w:val="24"/>
          <w:highlight w:val="none"/>
        </w:rPr>
        <w:t>投标人</w:t>
      </w:r>
      <w:r>
        <w:rPr>
          <w:rFonts w:ascii="仿宋" w:hAnsi="仿宋" w:eastAsia="仿宋" w:cs="仿宋_GB2312"/>
          <w:color w:val="auto"/>
          <w:szCs w:val="24"/>
          <w:highlight w:val="none"/>
        </w:rPr>
        <w:t>，采购人或采购代理机构告知其未通过的原因。</w:t>
      </w:r>
    </w:p>
    <w:p w14:paraId="5F4EC62D">
      <w:pPr>
        <w:pStyle w:val="89"/>
        <w:snapToGrid w:val="0"/>
        <w:spacing w:before="0" w:line="460" w:lineRule="exact"/>
        <w:ind w:firstLine="480"/>
        <w:rPr>
          <w:rFonts w:ascii="仿宋" w:hAnsi="仿宋" w:eastAsia="仿宋" w:cs="仿宋_GB2312"/>
          <w:color w:val="auto"/>
          <w:szCs w:val="24"/>
          <w:highlight w:val="none"/>
        </w:rPr>
      </w:pPr>
      <w:r>
        <w:rPr>
          <w:rFonts w:hint="eastAsia" w:ascii="仿宋" w:hAnsi="仿宋" w:eastAsia="仿宋" w:cs="Arial"/>
          <w:color w:val="auto"/>
          <w:kern w:val="0"/>
          <w:szCs w:val="24"/>
          <w:highlight w:val="none"/>
        </w:rPr>
        <w:t>20</w:t>
      </w:r>
      <w:r>
        <w:rPr>
          <w:rFonts w:ascii="仿宋" w:hAnsi="仿宋" w:eastAsia="仿宋" w:cs="Arial"/>
          <w:color w:val="auto"/>
          <w:kern w:val="0"/>
          <w:szCs w:val="24"/>
          <w:highlight w:val="none"/>
        </w:rPr>
        <w:t>.</w:t>
      </w:r>
      <w:r>
        <w:rPr>
          <w:rFonts w:ascii="仿宋" w:hAnsi="仿宋" w:eastAsia="仿宋" w:cs="仿宋_GB2312"/>
          <w:color w:val="auto"/>
          <w:szCs w:val="24"/>
          <w:highlight w:val="none"/>
        </w:rPr>
        <w:t>5合格投标人不足3家的，不再评标。</w:t>
      </w:r>
    </w:p>
    <w:p w14:paraId="1302DE76">
      <w:pPr>
        <w:pStyle w:val="89"/>
        <w:snapToGrid w:val="0"/>
        <w:spacing w:before="0" w:line="460" w:lineRule="exact"/>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2</w:t>
      </w:r>
      <w:r>
        <w:rPr>
          <w:rFonts w:hint="eastAsia" w:ascii="仿宋" w:hAnsi="仿宋" w:eastAsia="仿宋" w:cs="仿宋_GB2312"/>
          <w:b/>
          <w:color w:val="auto"/>
          <w:szCs w:val="24"/>
          <w:highlight w:val="none"/>
        </w:rPr>
        <w:t>1</w:t>
      </w:r>
      <w:r>
        <w:rPr>
          <w:rFonts w:ascii="仿宋" w:hAnsi="仿宋" w:eastAsia="仿宋" w:cs="仿宋_GB2312"/>
          <w:b/>
          <w:color w:val="auto"/>
          <w:szCs w:val="24"/>
          <w:highlight w:val="none"/>
        </w:rPr>
        <w:t>、信用信息查询</w:t>
      </w:r>
    </w:p>
    <w:p w14:paraId="104DEB88">
      <w:pPr>
        <w:pStyle w:val="89"/>
        <w:snapToGrid w:val="0"/>
        <w:spacing w:before="0" w:line="460" w:lineRule="exact"/>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2</w:t>
      </w:r>
      <w:r>
        <w:rPr>
          <w:rFonts w:hint="eastAsia" w:ascii="仿宋" w:hAnsi="仿宋" w:eastAsia="仿宋" w:cs="Arial"/>
          <w:color w:val="auto"/>
          <w:kern w:val="0"/>
          <w:szCs w:val="24"/>
          <w:highlight w:val="none"/>
        </w:rPr>
        <w:t>1</w:t>
      </w:r>
      <w:r>
        <w:rPr>
          <w:rFonts w:ascii="仿宋" w:hAnsi="仿宋" w:eastAsia="仿宋" w:cs="Arial"/>
          <w:color w:val="auto"/>
          <w:kern w:val="0"/>
          <w:szCs w:val="24"/>
          <w:highlight w:val="none"/>
        </w:rPr>
        <w:t>.1信用信息查询渠道及截止时间：采购机构将通过“信用中国”网站(www.creditchina.gov.cn)、中国政府采购网(www.ccgp.gov.cn)渠道查询供应商投标截止时间当天的信用记录。</w:t>
      </w:r>
    </w:p>
    <w:p w14:paraId="2DA01942">
      <w:pPr>
        <w:pStyle w:val="89"/>
        <w:snapToGrid w:val="0"/>
        <w:spacing w:before="0" w:line="460" w:lineRule="exact"/>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2</w:t>
      </w:r>
      <w:r>
        <w:rPr>
          <w:rFonts w:hint="eastAsia" w:ascii="仿宋" w:hAnsi="仿宋" w:eastAsia="仿宋" w:cs="Arial"/>
          <w:color w:val="auto"/>
          <w:kern w:val="0"/>
          <w:szCs w:val="24"/>
          <w:highlight w:val="none"/>
        </w:rPr>
        <w:t>1</w:t>
      </w:r>
      <w:r>
        <w:rPr>
          <w:rFonts w:ascii="仿宋" w:hAnsi="仿宋" w:eastAsia="仿宋" w:cs="Arial"/>
          <w:color w:val="auto"/>
          <w:kern w:val="0"/>
          <w:szCs w:val="24"/>
          <w:highlight w:val="none"/>
        </w:rPr>
        <w:t>.2信用信息查询记录和证据留存的具体方式：现场查询的</w:t>
      </w:r>
      <w:r>
        <w:rPr>
          <w:rFonts w:hint="eastAsia" w:ascii="仿宋" w:hAnsi="仿宋" w:eastAsia="仿宋" w:cs="Arial"/>
          <w:color w:val="auto"/>
          <w:kern w:val="0"/>
          <w:szCs w:val="24"/>
          <w:highlight w:val="none"/>
        </w:rPr>
        <w:t>供应商</w:t>
      </w:r>
      <w:r>
        <w:rPr>
          <w:rFonts w:ascii="仿宋" w:hAnsi="仿宋" w:eastAsia="仿宋" w:cs="Arial"/>
          <w:color w:val="auto"/>
          <w:kern w:val="0"/>
          <w:szCs w:val="24"/>
          <w:highlight w:val="none"/>
        </w:rPr>
        <w:t>的信用记录、查询结果经确认后将与招标文件一起存档。</w:t>
      </w:r>
    </w:p>
    <w:p w14:paraId="0A7D8F9F">
      <w:pPr>
        <w:pStyle w:val="89"/>
        <w:snapToGrid w:val="0"/>
        <w:spacing w:before="0" w:line="460" w:lineRule="exact"/>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2</w:t>
      </w:r>
      <w:r>
        <w:rPr>
          <w:rFonts w:hint="eastAsia" w:ascii="仿宋" w:hAnsi="仿宋" w:eastAsia="仿宋" w:cs="Arial"/>
          <w:color w:val="auto"/>
          <w:kern w:val="0"/>
          <w:szCs w:val="24"/>
          <w:highlight w:val="none"/>
        </w:rPr>
        <w:t>1</w:t>
      </w:r>
      <w:r>
        <w:rPr>
          <w:rFonts w:ascii="仿宋" w:hAnsi="仿宋" w:eastAsia="仿宋" w:cs="Arial"/>
          <w:color w:val="auto"/>
          <w:kern w:val="0"/>
          <w:szCs w:val="24"/>
          <w:highlight w:val="none"/>
        </w:rPr>
        <w:t>.3信用信息的使用规则：经查询列入失信被执行人名单、重大税收违法案件当事人名单、政府采购严重违法失信行为记录名单的</w:t>
      </w:r>
      <w:r>
        <w:rPr>
          <w:rFonts w:hint="eastAsia" w:ascii="仿宋" w:hAnsi="仿宋" w:eastAsia="仿宋" w:cs="Arial"/>
          <w:color w:val="auto"/>
          <w:kern w:val="0"/>
          <w:szCs w:val="24"/>
          <w:highlight w:val="none"/>
        </w:rPr>
        <w:t>供应商</w:t>
      </w:r>
      <w:r>
        <w:rPr>
          <w:rFonts w:ascii="仿宋" w:hAnsi="仿宋" w:eastAsia="仿宋" w:cs="Arial"/>
          <w:color w:val="auto"/>
          <w:kern w:val="0"/>
          <w:szCs w:val="24"/>
          <w:highlight w:val="none"/>
        </w:rPr>
        <w:t>将被拒绝参与政府采购活动。</w:t>
      </w:r>
    </w:p>
    <w:p w14:paraId="2327DE7C">
      <w:pPr>
        <w:pStyle w:val="89"/>
        <w:snapToGrid w:val="0"/>
        <w:spacing w:before="0" w:line="460" w:lineRule="exact"/>
        <w:ind w:firstLine="480"/>
        <w:rPr>
          <w:rFonts w:ascii="仿宋" w:hAnsi="仿宋" w:eastAsia="仿宋" w:cs="仿宋_GB2312"/>
          <w:color w:val="auto"/>
          <w:szCs w:val="24"/>
          <w:highlight w:val="none"/>
        </w:rPr>
      </w:pPr>
      <w:r>
        <w:rPr>
          <w:rFonts w:ascii="仿宋" w:hAnsi="仿宋" w:eastAsia="仿宋" w:cs="Arial"/>
          <w:color w:val="auto"/>
          <w:kern w:val="0"/>
          <w:szCs w:val="24"/>
          <w:highlight w:val="none"/>
        </w:rPr>
        <w:t>2</w:t>
      </w:r>
      <w:r>
        <w:rPr>
          <w:rFonts w:hint="eastAsia" w:ascii="仿宋" w:hAnsi="仿宋" w:eastAsia="仿宋" w:cs="Arial"/>
          <w:color w:val="auto"/>
          <w:kern w:val="0"/>
          <w:szCs w:val="24"/>
          <w:highlight w:val="none"/>
        </w:rPr>
        <w:t>1</w:t>
      </w:r>
      <w:r>
        <w:rPr>
          <w:rFonts w:ascii="仿宋" w:hAnsi="仿宋" w:eastAsia="仿宋" w:cs="Arial"/>
          <w:color w:val="auto"/>
          <w:kern w:val="0"/>
          <w:szCs w:val="24"/>
          <w:highlight w:val="none"/>
        </w:rPr>
        <w:t>.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auto"/>
          <w:szCs w:val="24"/>
          <w:highlight w:val="none"/>
        </w:rPr>
        <w:t>。</w:t>
      </w:r>
    </w:p>
    <w:p w14:paraId="72A4F772">
      <w:pPr>
        <w:pStyle w:val="89"/>
        <w:snapToGrid w:val="0"/>
        <w:spacing w:before="0" w:line="460" w:lineRule="exact"/>
        <w:ind w:firstLine="480"/>
        <w:rPr>
          <w:rFonts w:ascii="仿宋" w:hAnsi="仿宋" w:eastAsia="仿宋" w:cs="仿宋_GB2312"/>
          <w:color w:val="auto"/>
          <w:szCs w:val="24"/>
          <w:highlight w:val="none"/>
        </w:rPr>
      </w:pPr>
    </w:p>
    <w:p w14:paraId="4DCF10FD">
      <w:pPr>
        <w:snapToGrid w:val="0"/>
        <w:spacing w:line="460" w:lineRule="exact"/>
        <w:jc w:val="center"/>
        <w:outlineLvl w:val="1"/>
        <w:rPr>
          <w:rFonts w:ascii="仿宋" w:hAnsi="仿宋" w:eastAsia="仿宋" w:cs="新宋体"/>
          <w:b/>
          <w:color w:val="auto"/>
          <w:sz w:val="28"/>
          <w:szCs w:val="28"/>
          <w:highlight w:val="none"/>
        </w:rPr>
      </w:pPr>
      <w:bookmarkStart w:id="51" w:name="_Toc34221900"/>
      <w:bookmarkStart w:id="52" w:name="_Toc34508135"/>
      <w:r>
        <w:rPr>
          <w:rFonts w:hint="eastAsia" w:ascii="仿宋" w:hAnsi="仿宋" w:eastAsia="仿宋" w:cs="新宋体"/>
          <w:b/>
          <w:color w:val="auto"/>
          <w:sz w:val="28"/>
          <w:szCs w:val="28"/>
          <w:highlight w:val="none"/>
        </w:rPr>
        <w:t>五、评标</w:t>
      </w:r>
      <w:bookmarkEnd w:id="51"/>
      <w:bookmarkEnd w:id="52"/>
    </w:p>
    <w:p w14:paraId="6ADFD0B0">
      <w:pPr>
        <w:snapToGrid w:val="0"/>
        <w:spacing w:line="460" w:lineRule="exact"/>
        <w:rPr>
          <w:rFonts w:ascii="仿宋" w:hAnsi="仿宋" w:eastAsia="仿宋"/>
          <w:b/>
          <w:color w:val="auto"/>
          <w:sz w:val="24"/>
          <w:highlight w:val="none"/>
        </w:rPr>
      </w:pPr>
      <w:r>
        <w:rPr>
          <w:rFonts w:ascii="仿宋" w:hAnsi="仿宋" w:eastAsia="仿宋" w:cs="仿宋_GB2312"/>
          <w:b/>
          <w:color w:val="auto"/>
          <w:sz w:val="24"/>
          <w:highlight w:val="none"/>
        </w:rPr>
        <w:t>2</w:t>
      </w:r>
      <w:r>
        <w:rPr>
          <w:rFonts w:hint="eastAsia" w:ascii="仿宋" w:hAnsi="仿宋" w:eastAsia="仿宋" w:cs="仿宋_GB2312"/>
          <w:b/>
          <w:color w:val="auto"/>
          <w:sz w:val="24"/>
          <w:highlight w:val="none"/>
        </w:rPr>
        <w:t>2</w:t>
      </w:r>
      <w:r>
        <w:rPr>
          <w:rFonts w:ascii="仿宋" w:hAnsi="仿宋" w:eastAsia="仿宋" w:cs="仿宋_GB2312"/>
          <w:b/>
          <w:color w:val="auto"/>
          <w:sz w:val="24"/>
          <w:highlight w:val="none"/>
        </w:rPr>
        <w:t>.</w:t>
      </w:r>
      <w:r>
        <w:rPr>
          <w:rFonts w:hint="eastAsia" w:ascii="仿宋" w:hAnsi="仿宋" w:eastAsia="仿宋"/>
          <w:b/>
          <w:color w:val="auto"/>
          <w:sz w:val="24"/>
          <w:highlight w:val="none"/>
        </w:rPr>
        <w:t>评标委员会</w:t>
      </w:r>
    </w:p>
    <w:p w14:paraId="01E03809">
      <w:pPr>
        <w:snapToGrid w:val="0"/>
        <w:spacing w:line="46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评标委员会将根据招标文件和有关规定，履行评标工作职责，并按照评标方法及评分标准，全面衡量各投标人对招标文件的响应情况（符合性审查）。对实质上响应招标文件的投标人，按照评审因素的量化指标排出推荐中标的投标人的先后顺序，并按顺序提出授标建议。</w:t>
      </w:r>
    </w:p>
    <w:p w14:paraId="1678C8CE">
      <w:pPr>
        <w:snapToGrid w:val="0"/>
        <w:spacing w:line="460" w:lineRule="exact"/>
        <w:rPr>
          <w:rFonts w:ascii="仿宋" w:hAnsi="仿宋" w:eastAsia="仿宋"/>
          <w:b/>
          <w:color w:val="auto"/>
          <w:sz w:val="24"/>
          <w:highlight w:val="none"/>
        </w:rPr>
      </w:pPr>
      <w:r>
        <w:rPr>
          <w:rFonts w:hint="eastAsia" w:ascii="仿宋" w:hAnsi="仿宋" w:eastAsia="仿宋"/>
          <w:b/>
          <w:color w:val="auto"/>
          <w:sz w:val="24"/>
          <w:highlight w:val="none"/>
        </w:rPr>
        <w:t>23.评标程序</w:t>
      </w:r>
    </w:p>
    <w:p w14:paraId="0211065A">
      <w:pPr>
        <w:snapToGrid w:val="0"/>
        <w:spacing w:line="46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具体见招标文件第六部分评标办法。</w:t>
      </w:r>
    </w:p>
    <w:p w14:paraId="2F54D5D5">
      <w:pPr>
        <w:snapToGrid w:val="0"/>
        <w:spacing w:line="460" w:lineRule="exact"/>
        <w:rPr>
          <w:rFonts w:ascii="仿宋" w:hAnsi="仿宋" w:eastAsia="仿宋" w:cs="仿宋_GB2312"/>
          <w:b/>
          <w:color w:val="auto"/>
          <w:sz w:val="24"/>
          <w:highlight w:val="none"/>
        </w:rPr>
      </w:pPr>
    </w:p>
    <w:p w14:paraId="32E84FCA">
      <w:pPr>
        <w:snapToGrid w:val="0"/>
        <w:spacing w:line="460" w:lineRule="exact"/>
        <w:jc w:val="center"/>
        <w:outlineLvl w:val="1"/>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六、定标</w:t>
      </w:r>
    </w:p>
    <w:p w14:paraId="18F78078">
      <w:pPr>
        <w:pStyle w:val="25"/>
        <w:adjustRightInd w:val="0"/>
        <w:snapToGrid w:val="0"/>
        <w:spacing w:line="460" w:lineRule="exact"/>
        <w:ind w:left="0" w:firstLine="0" w:firstLineChars="0"/>
        <w:rPr>
          <w:rFonts w:ascii="仿宋" w:hAnsi="仿宋" w:eastAsia="仿宋" w:cs="仿宋_GB2312"/>
          <w:b/>
          <w:color w:val="auto"/>
          <w:highlight w:val="none"/>
        </w:rPr>
      </w:pPr>
      <w:r>
        <w:rPr>
          <w:rFonts w:ascii="仿宋" w:hAnsi="仿宋" w:eastAsia="仿宋" w:cs="仿宋_GB2312"/>
          <w:b/>
          <w:color w:val="auto"/>
          <w:highlight w:val="none"/>
        </w:rPr>
        <w:t>2</w:t>
      </w:r>
      <w:r>
        <w:rPr>
          <w:rFonts w:hint="eastAsia" w:ascii="仿宋" w:hAnsi="仿宋" w:eastAsia="仿宋" w:cs="仿宋_GB2312"/>
          <w:b/>
          <w:color w:val="auto"/>
          <w:highlight w:val="none"/>
        </w:rPr>
        <w:t>4</w:t>
      </w:r>
      <w:r>
        <w:rPr>
          <w:rFonts w:ascii="仿宋" w:hAnsi="仿宋" w:eastAsia="仿宋" w:cs="仿宋_GB2312"/>
          <w:b/>
          <w:color w:val="auto"/>
          <w:highlight w:val="none"/>
        </w:rPr>
        <w:t>.</w:t>
      </w:r>
      <w:r>
        <w:rPr>
          <w:rFonts w:hint="eastAsia" w:ascii="仿宋" w:hAnsi="仿宋" w:eastAsia="仿宋" w:cs="仿宋_GB2312"/>
          <w:b/>
          <w:color w:val="auto"/>
          <w:highlight w:val="none"/>
        </w:rPr>
        <w:t>确定中标人</w:t>
      </w:r>
    </w:p>
    <w:p w14:paraId="63A21D4A">
      <w:pPr>
        <w:pStyle w:val="89"/>
        <w:snapToGrid w:val="0"/>
        <w:spacing w:before="0" w:line="460" w:lineRule="exact"/>
        <w:ind w:firstLine="480"/>
        <w:rPr>
          <w:rFonts w:ascii="仿宋" w:hAnsi="仿宋" w:eastAsia="仿宋" w:cs="仿宋_GB2312"/>
          <w:b/>
          <w:color w:val="auto"/>
          <w:szCs w:val="24"/>
          <w:highlight w:val="none"/>
        </w:rPr>
      </w:pPr>
      <w:r>
        <w:rPr>
          <w:rFonts w:hint="eastAsia" w:ascii="仿宋" w:hAnsi="仿宋" w:eastAsia="仿宋" w:cs="仿宋_GB2312"/>
          <w:color w:val="auto"/>
          <w:szCs w:val="24"/>
          <w:highlight w:val="none"/>
        </w:rPr>
        <w:t>采购人将自收到评审报告之日起</w:t>
      </w:r>
      <w:r>
        <w:rPr>
          <w:rFonts w:ascii="仿宋" w:hAnsi="仿宋" w:eastAsia="仿宋" w:cs="仿宋_GB2312"/>
          <w:color w:val="auto"/>
          <w:szCs w:val="24"/>
          <w:highlight w:val="none"/>
        </w:rPr>
        <w:t>5个工作日内通过政采云平台在评审报告推荐的中标候选人中按顺序确定中标</w:t>
      </w:r>
      <w:r>
        <w:rPr>
          <w:rFonts w:hint="eastAsia" w:ascii="仿宋" w:hAnsi="仿宋" w:eastAsia="仿宋" w:cs="仿宋_GB2312"/>
          <w:color w:val="auto"/>
          <w:szCs w:val="24"/>
          <w:highlight w:val="none"/>
        </w:rPr>
        <w:t>人</w:t>
      </w:r>
      <w:r>
        <w:rPr>
          <w:rFonts w:ascii="仿宋" w:hAnsi="仿宋" w:eastAsia="仿宋" w:cs="仿宋_GB2312"/>
          <w:color w:val="auto"/>
          <w:szCs w:val="24"/>
          <w:highlight w:val="none"/>
        </w:rPr>
        <w:t>。</w:t>
      </w:r>
    </w:p>
    <w:p w14:paraId="0414F1FE">
      <w:pPr>
        <w:pStyle w:val="89"/>
        <w:snapToGrid w:val="0"/>
        <w:spacing w:before="0" w:line="460" w:lineRule="exact"/>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2</w:t>
      </w:r>
      <w:r>
        <w:rPr>
          <w:rFonts w:hint="eastAsia" w:ascii="仿宋" w:hAnsi="仿宋" w:eastAsia="仿宋" w:cs="仿宋_GB2312"/>
          <w:b/>
          <w:color w:val="auto"/>
          <w:szCs w:val="24"/>
          <w:highlight w:val="none"/>
        </w:rPr>
        <w:t>5</w:t>
      </w:r>
      <w:r>
        <w:rPr>
          <w:rFonts w:ascii="仿宋" w:hAnsi="仿宋" w:eastAsia="仿宋" w:cs="仿宋_GB2312"/>
          <w:b/>
          <w:color w:val="auto"/>
          <w:szCs w:val="24"/>
          <w:highlight w:val="none"/>
        </w:rPr>
        <w:t>.</w:t>
      </w:r>
      <w:r>
        <w:rPr>
          <w:rFonts w:hint="eastAsia" w:ascii="仿宋" w:hAnsi="仿宋" w:eastAsia="仿宋" w:cs="仿宋_GB2312"/>
          <w:b/>
          <w:color w:val="auto"/>
          <w:szCs w:val="24"/>
          <w:highlight w:val="none"/>
        </w:rPr>
        <w:t>中标通知与中标结果公告</w:t>
      </w:r>
    </w:p>
    <w:p w14:paraId="5D4A270C">
      <w:pPr>
        <w:widowControl/>
        <w:shd w:val="clear" w:color="auto" w:fill="FFFFFF"/>
        <w:snapToGrid w:val="0"/>
        <w:spacing w:line="460" w:lineRule="exact"/>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5</w:t>
      </w:r>
      <w:r>
        <w:rPr>
          <w:rFonts w:ascii="仿宋" w:hAnsi="仿宋" w:eastAsia="仿宋" w:cs="仿宋_GB2312"/>
          <w:color w:val="auto"/>
          <w:sz w:val="24"/>
          <w:highlight w:val="none"/>
        </w:rPr>
        <w:t>.1自中标人确定之日起2个工作日内，采购</w:t>
      </w:r>
      <w:r>
        <w:rPr>
          <w:rFonts w:hint="eastAsia" w:ascii="仿宋" w:hAnsi="仿宋" w:eastAsia="仿宋" w:cs="仿宋_GB2312"/>
          <w:color w:val="auto"/>
          <w:sz w:val="24"/>
          <w:highlight w:val="none"/>
        </w:rPr>
        <w:t>人</w:t>
      </w:r>
      <w:r>
        <w:rPr>
          <w:rFonts w:ascii="仿宋" w:hAnsi="仿宋" w:eastAsia="仿宋" w:cs="仿宋_GB2312"/>
          <w:color w:val="auto"/>
          <w:sz w:val="24"/>
          <w:highlight w:val="none"/>
        </w:rPr>
        <w:t>向中标人发出中标通知书，</w:t>
      </w:r>
      <w:r>
        <w:rPr>
          <w:rFonts w:hint="eastAsia" w:ascii="仿宋" w:hAnsi="仿宋" w:eastAsia="仿宋" w:cs="仿宋_GB2312"/>
          <w:color w:val="auto"/>
          <w:sz w:val="24"/>
          <w:highlight w:val="none"/>
        </w:rPr>
        <w:t>同时编制发布采购结果公告。</w:t>
      </w:r>
    </w:p>
    <w:p w14:paraId="666536B1">
      <w:pPr>
        <w:widowControl/>
        <w:shd w:val="clear" w:color="auto" w:fill="FFFFFF"/>
        <w:snapToGrid w:val="0"/>
        <w:spacing w:line="460" w:lineRule="exact"/>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5</w:t>
      </w:r>
      <w:r>
        <w:rPr>
          <w:rFonts w:ascii="仿宋" w:hAnsi="仿宋" w:eastAsia="仿宋" w:cs="仿宋_GB2312"/>
          <w:color w:val="auto"/>
          <w:sz w:val="24"/>
          <w:highlight w:val="none"/>
        </w:rPr>
        <w:t>.2中标结果公告内容包括采购人及其委托的采购机构的名称、地址、联系方式，项目名称和项目编号，中标人名称、地址和中标金额，主要中标标的</w:t>
      </w:r>
      <w:r>
        <w:rPr>
          <w:rFonts w:hint="eastAsia" w:ascii="仿宋" w:hAnsi="仿宋" w:eastAsia="仿宋" w:cs="仿宋_GB2312"/>
          <w:color w:val="auto"/>
          <w:sz w:val="24"/>
          <w:highlight w:val="none"/>
        </w:rPr>
        <w:t>的名称、规格型号、数量、单价、服务要求，开标记录、未中标情况说明、中标公告期限以及评审专家名单、评分汇总及明细。</w:t>
      </w:r>
    </w:p>
    <w:p w14:paraId="50F725D9">
      <w:pPr>
        <w:widowControl/>
        <w:shd w:val="clear" w:color="auto" w:fill="FFFFFF"/>
        <w:snapToGrid w:val="0"/>
        <w:spacing w:line="460" w:lineRule="exact"/>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5</w:t>
      </w:r>
      <w:r>
        <w:rPr>
          <w:rFonts w:ascii="仿宋" w:hAnsi="仿宋" w:eastAsia="仿宋" w:cs="仿宋_GB2312"/>
          <w:color w:val="auto"/>
          <w:sz w:val="24"/>
          <w:highlight w:val="none"/>
        </w:rPr>
        <w:t>.3公告期限为1个工作日。</w:t>
      </w:r>
    </w:p>
    <w:p w14:paraId="6F57CFE2">
      <w:pPr>
        <w:snapToGrid w:val="0"/>
        <w:spacing w:line="460" w:lineRule="exact"/>
        <w:rPr>
          <w:rFonts w:ascii="仿宋" w:hAnsi="仿宋" w:eastAsia="仿宋" w:cs="仿宋_GB2312"/>
          <w:b/>
          <w:color w:val="auto"/>
          <w:sz w:val="24"/>
          <w:highlight w:val="none"/>
        </w:rPr>
      </w:pPr>
    </w:p>
    <w:p w14:paraId="3304EF01">
      <w:pPr>
        <w:snapToGrid w:val="0"/>
        <w:spacing w:line="460" w:lineRule="exact"/>
        <w:jc w:val="center"/>
        <w:outlineLvl w:val="1"/>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七、合同授予</w:t>
      </w:r>
    </w:p>
    <w:p w14:paraId="630763CD">
      <w:pPr>
        <w:pStyle w:val="25"/>
        <w:adjustRightInd w:val="0"/>
        <w:snapToGrid w:val="0"/>
        <w:spacing w:line="460" w:lineRule="exact"/>
        <w:ind w:left="0" w:firstLine="0" w:firstLineChars="0"/>
        <w:rPr>
          <w:rFonts w:ascii="仿宋" w:hAnsi="仿宋" w:eastAsia="仿宋" w:cs="仿宋_GB2312"/>
          <w:b/>
          <w:color w:val="auto"/>
          <w:highlight w:val="none"/>
        </w:rPr>
      </w:pPr>
      <w:r>
        <w:rPr>
          <w:rFonts w:ascii="仿宋" w:hAnsi="仿宋" w:eastAsia="仿宋" w:cs="仿宋_GB2312"/>
          <w:b/>
          <w:color w:val="auto"/>
          <w:highlight w:val="none"/>
        </w:rPr>
        <w:t>2</w:t>
      </w:r>
      <w:r>
        <w:rPr>
          <w:rFonts w:hint="eastAsia" w:ascii="仿宋" w:hAnsi="仿宋" w:eastAsia="仿宋" w:cs="仿宋_GB2312"/>
          <w:b/>
          <w:color w:val="auto"/>
          <w:highlight w:val="none"/>
        </w:rPr>
        <w:t>6</w:t>
      </w:r>
      <w:r>
        <w:rPr>
          <w:rFonts w:ascii="仿宋" w:hAnsi="仿宋" w:eastAsia="仿宋" w:cs="仿宋_GB2312"/>
          <w:b/>
          <w:color w:val="auto"/>
          <w:highlight w:val="none"/>
        </w:rPr>
        <w:t>.</w:t>
      </w:r>
      <w:r>
        <w:rPr>
          <w:rFonts w:hint="eastAsia" w:ascii="仿宋" w:hAnsi="仿宋" w:eastAsia="仿宋" w:cs="仿宋_GB2312"/>
          <w:b/>
          <w:color w:val="auto"/>
          <w:highlight w:val="none"/>
        </w:rPr>
        <w:t>合同的签订</w:t>
      </w:r>
    </w:p>
    <w:p w14:paraId="3078768F">
      <w:pPr>
        <w:widowControl/>
        <w:shd w:val="clear" w:color="auto" w:fill="FFFFFF"/>
        <w:snapToGrid w:val="0"/>
        <w:spacing w:line="460" w:lineRule="exact"/>
        <w:ind w:firstLine="480" w:firstLineChars="200"/>
        <w:jc w:val="left"/>
        <w:rPr>
          <w:rFonts w:ascii="仿宋" w:hAnsi="仿宋" w:eastAsia="仿宋" w:cs="Arial"/>
          <w:color w:val="auto"/>
          <w:kern w:val="0"/>
          <w:sz w:val="24"/>
          <w:highlight w:val="none"/>
        </w:rPr>
      </w:pP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6</w:t>
      </w:r>
      <w:r>
        <w:rPr>
          <w:rFonts w:ascii="仿宋" w:hAnsi="仿宋" w:eastAsia="仿宋" w:cs="仿宋_GB2312"/>
          <w:color w:val="auto"/>
          <w:sz w:val="24"/>
          <w:highlight w:val="none"/>
        </w:rPr>
        <w:t>.1</w:t>
      </w:r>
      <w:r>
        <w:rPr>
          <w:rFonts w:ascii="仿宋" w:hAnsi="仿宋" w:eastAsia="仿宋" w:cs="Arial"/>
          <w:color w:val="auto"/>
          <w:kern w:val="0"/>
          <w:sz w:val="24"/>
          <w:highlight w:val="none"/>
        </w:rPr>
        <w:t xml:space="preserve"> 采购人与中标人应当在中标通知书发出之日起三十日内，按照</w:t>
      </w:r>
      <w:r>
        <w:rPr>
          <w:rFonts w:hint="eastAsia" w:ascii="仿宋" w:hAnsi="仿宋" w:eastAsia="仿宋" w:cs="Arial"/>
          <w:color w:val="auto"/>
          <w:kern w:val="0"/>
          <w:sz w:val="24"/>
          <w:highlight w:val="none"/>
        </w:rPr>
        <w:t>招标文件</w:t>
      </w:r>
      <w:r>
        <w:rPr>
          <w:rFonts w:ascii="仿宋" w:hAnsi="仿宋" w:eastAsia="仿宋" w:cs="Arial"/>
          <w:color w:val="auto"/>
          <w:kern w:val="0"/>
          <w:sz w:val="24"/>
          <w:highlight w:val="none"/>
        </w:rPr>
        <w:t>确定的事项签订政府采购合同，并在</w:t>
      </w:r>
      <w:r>
        <w:rPr>
          <w:rFonts w:hint="eastAsia" w:ascii="仿宋" w:hAnsi="仿宋" w:eastAsia="仿宋" w:cs="Arial"/>
          <w:color w:val="auto"/>
          <w:kern w:val="0"/>
          <w:sz w:val="24"/>
          <w:highlight w:val="none"/>
        </w:rPr>
        <w:t>合同签订之日起2个工作日</w:t>
      </w:r>
      <w:r>
        <w:rPr>
          <w:rFonts w:ascii="仿宋" w:hAnsi="仿宋" w:eastAsia="仿宋" w:cs="Arial"/>
          <w:color w:val="auto"/>
          <w:kern w:val="0"/>
          <w:sz w:val="24"/>
          <w:highlight w:val="none"/>
        </w:rPr>
        <w:t>内依法发布合同公告。</w:t>
      </w:r>
      <w:r>
        <w:rPr>
          <w:rFonts w:hint="eastAsia" w:ascii="仿宋" w:hAnsi="仿宋" w:eastAsia="仿宋" w:cs="仿宋_GB2312"/>
          <w:color w:val="auto"/>
          <w:sz w:val="24"/>
          <w:highlight w:val="none"/>
        </w:rPr>
        <w:t>合同主要条款详见第四部分拟签订的合同文本。</w:t>
      </w:r>
    </w:p>
    <w:p w14:paraId="33FF0380">
      <w:pPr>
        <w:pStyle w:val="89"/>
        <w:snapToGrid w:val="0"/>
        <w:spacing w:before="0" w:line="460" w:lineRule="exact"/>
        <w:ind w:firstLine="480"/>
        <w:rPr>
          <w:rFonts w:ascii="仿宋" w:hAnsi="仿宋" w:eastAsia="仿宋"/>
          <w:color w:val="auto"/>
          <w:kern w:val="0"/>
          <w:szCs w:val="24"/>
          <w:highlight w:val="none"/>
          <w:lang w:val="zh-CN"/>
        </w:rPr>
      </w:pPr>
      <w:r>
        <w:rPr>
          <w:rFonts w:ascii="仿宋" w:hAnsi="仿宋" w:eastAsia="仿宋" w:cs="仿宋_GB2312"/>
          <w:color w:val="auto"/>
          <w:kern w:val="0"/>
          <w:szCs w:val="24"/>
          <w:highlight w:val="none"/>
          <w:lang w:val="zh-CN"/>
        </w:rPr>
        <w:t>2</w:t>
      </w:r>
      <w:r>
        <w:rPr>
          <w:rFonts w:hint="eastAsia" w:ascii="仿宋" w:hAnsi="仿宋" w:eastAsia="仿宋" w:cs="仿宋_GB2312"/>
          <w:color w:val="auto"/>
          <w:kern w:val="0"/>
          <w:szCs w:val="24"/>
          <w:highlight w:val="none"/>
          <w:lang w:val="zh-CN"/>
        </w:rPr>
        <w:t>6</w:t>
      </w:r>
      <w:r>
        <w:rPr>
          <w:rFonts w:ascii="仿宋" w:hAnsi="仿宋" w:eastAsia="仿宋" w:cs="仿宋_GB2312"/>
          <w:color w:val="auto"/>
          <w:kern w:val="0"/>
          <w:szCs w:val="24"/>
          <w:highlight w:val="none"/>
          <w:lang w:val="zh-CN"/>
        </w:rPr>
        <w:t>.2</w:t>
      </w:r>
      <w:r>
        <w:rPr>
          <w:rFonts w:hint="eastAsia" w:ascii="仿宋" w:hAnsi="仿宋" w:eastAsia="仿宋"/>
          <w:color w:val="auto"/>
          <w:kern w:val="0"/>
          <w:szCs w:val="24"/>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0A01F529">
      <w:pPr>
        <w:pStyle w:val="89"/>
        <w:snapToGrid w:val="0"/>
        <w:spacing w:before="0" w:line="460" w:lineRule="exact"/>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2</w:t>
      </w:r>
      <w:r>
        <w:rPr>
          <w:rFonts w:hint="eastAsia" w:ascii="仿宋" w:hAnsi="仿宋" w:eastAsia="仿宋" w:cs="仿宋_GB2312"/>
          <w:color w:val="auto"/>
          <w:szCs w:val="24"/>
          <w:highlight w:val="none"/>
        </w:rPr>
        <w:t>6</w:t>
      </w:r>
      <w:r>
        <w:rPr>
          <w:rFonts w:ascii="仿宋" w:hAnsi="仿宋" w:eastAsia="仿宋" w:cs="仿宋_GB2312"/>
          <w:color w:val="auto"/>
          <w:szCs w:val="24"/>
          <w:highlight w:val="none"/>
        </w:rPr>
        <w:t>.3中标</w:t>
      </w:r>
      <w:r>
        <w:rPr>
          <w:rFonts w:hint="eastAsia" w:ascii="仿宋" w:hAnsi="仿宋" w:eastAsia="仿宋" w:cs="仿宋_GB2312"/>
          <w:color w:val="auto"/>
          <w:szCs w:val="24"/>
          <w:highlight w:val="none"/>
        </w:rPr>
        <w:t>人拒绝与采购人签订合同的，重新开展政府采购活动。</w:t>
      </w:r>
    </w:p>
    <w:p w14:paraId="305D67C3">
      <w:pPr>
        <w:pStyle w:val="89"/>
        <w:snapToGrid w:val="0"/>
        <w:spacing w:before="0" w:line="460" w:lineRule="exact"/>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2</w:t>
      </w:r>
      <w:r>
        <w:rPr>
          <w:rFonts w:hint="eastAsia" w:ascii="仿宋" w:hAnsi="仿宋" w:eastAsia="仿宋" w:cs="仿宋_GB2312"/>
          <w:color w:val="auto"/>
          <w:szCs w:val="24"/>
          <w:highlight w:val="none"/>
        </w:rPr>
        <w:t>6</w:t>
      </w:r>
      <w:r>
        <w:rPr>
          <w:rFonts w:ascii="仿宋" w:hAnsi="仿宋" w:eastAsia="仿宋" w:cs="仿宋_GB2312"/>
          <w:color w:val="auto"/>
          <w:szCs w:val="24"/>
          <w:highlight w:val="none"/>
        </w:rPr>
        <w:t>.4采购合同</w:t>
      </w:r>
      <w:r>
        <w:rPr>
          <w:rFonts w:hint="eastAsia" w:ascii="仿宋" w:hAnsi="仿宋" w:eastAsia="仿宋" w:cs="仿宋_GB2312"/>
          <w:color w:val="auto"/>
          <w:szCs w:val="24"/>
          <w:highlight w:val="none"/>
        </w:rPr>
        <w:t>可</w:t>
      </w:r>
      <w:r>
        <w:rPr>
          <w:rFonts w:ascii="仿宋" w:hAnsi="仿宋" w:eastAsia="仿宋" w:cs="仿宋_GB2312"/>
          <w:color w:val="auto"/>
          <w:szCs w:val="24"/>
          <w:highlight w:val="none"/>
        </w:rPr>
        <w:t>由采购人与中标</w:t>
      </w:r>
      <w:r>
        <w:rPr>
          <w:rFonts w:hint="eastAsia" w:ascii="仿宋" w:hAnsi="仿宋" w:eastAsia="仿宋" w:cs="仿宋_GB2312"/>
          <w:color w:val="auto"/>
          <w:szCs w:val="24"/>
          <w:highlight w:val="none"/>
        </w:rPr>
        <w:t>人</w:t>
      </w:r>
      <w:r>
        <w:rPr>
          <w:rFonts w:ascii="仿宋" w:hAnsi="仿宋" w:eastAsia="仿宋" w:cs="仿宋_GB2312"/>
          <w:color w:val="auto"/>
          <w:szCs w:val="24"/>
          <w:highlight w:val="none"/>
        </w:rPr>
        <w:t>根据</w:t>
      </w:r>
      <w:r>
        <w:rPr>
          <w:rFonts w:hint="eastAsia" w:ascii="仿宋" w:hAnsi="仿宋" w:eastAsia="仿宋" w:cs="仿宋_GB2312"/>
          <w:color w:val="auto"/>
          <w:szCs w:val="24"/>
          <w:highlight w:val="none"/>
        </w:rPr>
        <w:t>招标文件、投标文件等内容通过政采云平台在线签订，自动备案。</w:t>
      </w:r>
    </w:p>
    <w:p w14:paraId="72CF7248">
      <w:pPr>
        <w:pStyle w:val="89"/>
        <w:snapToGrid w:val="0"/>
        <w:spacing w:before="0" w:line="460" w:lineRule="exact"/>
        <w:ind w:firstLine="0" w:firstLineChars="0"/>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27.合同履约管理</w:t>
      </w:r>
    </w:p>
    <w:p w14:paraId="7AD887DF">
      <w:pPr>
        <w:pStyle w:val="89"/>
        <w:snapToGrid w:val="0"/>
        <w:spacing w:before="0" w:line="460" w:lineRule="exact"/>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合同签订后，采购人依法加强对合同履约进行管理，并在中标单位服务、项目验收等重要关节，如实填写《合同验收报告》（或考核资料），并及时向同级财政部门报告验收过程中遇到的问题。</w:t>
      </w:r>
    </w:p>
    <w:p w14:paraId="1E7427BE">
      <w:pPr>
        <w:pStyle w:val="25"/>
        <w:adjustRightInd w:val="0"/>
        <w:snapToGrid w:val="0"/>
        <w:spacing w:line="460" w:lineRule="exact"/>
        <w:ind w:left="0" w:firstLine="0" w:firstLineChars="0"/>
        <w:rPr>
          <w:rFonts w:hint="eastAsia" w:ascii="仿宋" w:hAnsi="仿宋" w:eastAsia="仿宋" w:cs="仿宋_GB2312"/>
          <w:b/>
          <w:color w:val="auto"/>
          <w:highlight w:val="none"/>
        </w:rPr>
      </w:pPr>
      <w:r>
        <w:rPr>
          <w:rFonts w:hint="eastAsia" w:ascii="仿宋" w:hAnsi="仿宋" w:eastAsia="仿宋" w:cs="仿宋_GB2312"/>
          <w:b/>
          <w:color w:val="auto"/>
          <w:highlight w:val="none"/>
        </w:rPr>
        <w:t>28</w:t>
      </w:r>
      <w:r>
        <w:rPr>
          <w:rFonts w:ascii="仿宋" w:hAnsi="仿宋" w:eastAsia="仿宋" w:cs="仿宋_GB2312"/>
          <w:b/>
          <w:color w:val="auto"/>
          <w:highlight w:val="none"/>
        </w:rPr>
        <w:t>.</w:t>
      </w:r>
      <w:r>
        <w:rPr>
          <w:rFonts w:hint="eastAsia" w:ascii="仿宋" w:hAnsi="仿宋" w:eastAsia="仿宋" w:cs="仿宋_GB2312"/>
          <w:b/>
          <w:color w:val="auto"/>
          <w:highlight w:val="none"/>
        </w:rPr>
        <w:t>履约保证金</w:t>
      </w:r>
      <w:r>
        <w:rPr>
          <w:rFonts w:hint="eastAsia" w:ascii="仿宋" w:hAnsi="仿宋" w:eastAsia="仿宋" w:cs="仿宋_GB2312"/>
          <w:b/>
          <w:color w:val="auto"/>
          <w:highlight w:val="none"/>
          <w:lang w:eastAsia="zh-CN"/>
        </w:rPr>
        <w:t>（</w:t>
      </w:r>
      <w:r>
        <w:rPr>
          <w:rFonts w:hint="eastAsia" w:ascii="仿宋" w:hAnsi="仿宋" w:eastAsia="仿宋" w:cs="仿宋_GB2312"/>
          <w:b/>
          <w:color w:val="auto"/>
          <w:highlight w:val="none"/>
          <w:lang w:val="en-US" w:eastAsia="zh-CN"/>
        </w:rPr>
        <w:t>本项目</w:t>
      </w:r>
      <w:r>
        <w:rPr>
          <w:rFonts w:hint="eastAsia" w:ascii="仿宋" w:hAnsi="仿宋" w:eastAsia="仿宋" w:cs="仿宋_GB2312"/>
          <w:b/>
          <w:color w:val="auto"/>
          <w:kern w:val="2"/>
          <w:szCs w:val="24"/>
          <w:highlight w:val="none"/>
        </w:rPr>
        <w:t>无需提交</w:t>
      </w:r>
      <w:r>
        <w:rPr>
          <w:rFonts w:hint="eastAsia" w:ascii="仿宋" w:hAnsi="仿宋" w:eastAsia="仿宋" w:cs="仿宋_GB2312"/>
          <w:b/>
          <w:color w:val="auto"/>
          <w:highlight w:val="none"/>
          <w:lang w:eastAsia="zh-CN"/>
        </w:rPr>
        <w:t>）</w:t>
      </w:r>
    </w:p>
    <w:p w14:paraId="2E5F772E">
      <w:pPr>
        <w:snapToGrid w:val="0"/>
        <w:spacing w:line="460" w:lineRule="exact"/>
        <w:jc w:val="center"/>
        <w:outlineLvl w:val="1"/>
        <w:rPr>
          <w:rFonts w:ascii="仿宋" w:hAnsi="仿宋" w:eastAsia="仿宋"/>
          <w:b/>
          <w:color w:val="auto"/>
          <w:sz w:val="28"/>
          <w:szCs w:val="28"/>
          <w:highlight w:val="none"/>
        </w:rPr>
      </w:pPr>
      <w:r>
        <w:rPr>
          <w:rFonts w:hint="eastAsia" w:ascii="仿宋" w:hAnsi="仿宋" w:eastAsia="仿宋" w:cs="仿宋_GB2312"/>
          <w:b/>
          <w:color w:val="auto"/>
          <w:sz w:val="28"/>
          <w:szCs w:val="28"/>
          <w:highlight w:val="none"/>
        </w:rPr>
        <w:t>八、电子交易活动的中止</w:t>
      </w:r>
    </w:p>
    <w:p w14:paraId="3EB9A61A">
      <w:pPr>
        <w:pStyle w:val="89"/>
        <w:snapToGrid w:val="0"/>
        <w:spacing w:before="0" w:line="460" w:lineRule="exact"/>
        <w:ind w:firstLine="0" w:firstLineChars="0"/>
        <w:rPr>
          <w:rFonts w:ascii="仿宋" w:hAnsi="仿宋" w:eastAsia="仿宋" w:cs="仿宋_GB2312"/>
          <w:b/>
          <w:color w:val="auto"/>
          <w:szCs w:val="24"/>
          <w:highlight w:val="none"/>
        </w:rPr>
      </w:pPr>
      <w:r>
        <w:rPr>
          <w:rFonts w:hint="eastAsia" w:ascii="仿宋" w:hAnsi="仿宋" w:eastAsia="仿宋" w:cs="仿宋_GB2312"/>
          <w:color w:val="auto"/>
          <w:szCs w:val="24"/>
          <w:highlight w:val="none"/>
        </w:rPr>
        <w:t>29</w:t>
      </w:r>
      <w:r>
        <w:rPr>
          <w:rFonts w:ascii="仿宋" w:hAnsi="仿宋" w:eastAsia="仿宋" w:cs="仿宋_GB2312"/>
          <w:b/>
          <w:color w:val="auto"/>
          <w:szCs w:val="24"/>
          <w:highlight w:val="none"/>
        </w:rPr>
        <w:t>.</w:t>
      </w:r>
      <w:r>
        <w:rPr>
          <w:rFonts w:hint="eastAsia" w:ascii="仿宋" w:hAnsi="仿宋" w:eastAsia="仿宋" w:cs="仿宋_GB2312"/>
          <w:b/>
          <w:color w:val="auto"/>
          <w:szCs w:val="24"/>
          <w:highlight w:val="none"/>
        </w:rPr>
        <w:t>电子交易活动的中止。</w:t>
      </w:r>
    </w:p>
    <w:p w14:paraId="32C242E6">
      <w:pPr>
        <w:pStyle w:val="89"/>
        <w:snapToGrid w:val="0"/>
        <w:spacing w:before="0" w:line="460" w:lineRule="exact"/>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采购过程中出现以下情形，导致政采云平台无法正常运行，或者无法保证电子交易的公平、公正和安全时，采购机构可中止电子交易活动：</w:t>
      </w:r>
    </w:p>
    <w:p w14:paraId="18874772">
      <w:pPr>
        <w:pStyle w:val="89"/>
        <w:snapToGrid w:val="0"/>
        <w:spacing w:before="0" w:line="460" w:lineRule="exact"/>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29</w:t>
      </w:r>
      <w:r>
        <w:rPr>
          <w:rFonts w:ascii="仿宋" w:hAnsi="仿宋" w:eastAsia="仿宋" w:cs="仿宋_GB2312"/>
          <w:color w:val="auto"/>
          <w:szCs w:val="24"/>
          <w:highlight w:val="none"/>
        </w:rPr>
        <w:t xml:space="preserve">.1政采云平台发生故障而无法登录访问的； </w:t>
      </w:r>
    </w:p>
    <w:p w14:paraId="0F145E70">
      <w:pPr>
        <w:pStyle w:val="89"/>
        <w:snapToGrid w:val="0"/>
        <w:spacing w:before="0" w:line="460" w:lineRule="exact"/>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29</w:t>
      </w:r>
      <w:r>
        <w:rPr>
          <w:rFonts w:ascii="仿宋" w:hAnsi="仿宋" w:eastAsia="仿宋" w:cs="仿宋_GB2312"/>
          <w:color w:val="auto"/>
          <w:szCs w:val="24"/>
          <w:highlight w:val="none"/>
        </w:rPr>
        <w:t>.2政采云平台应用或数据库出现错误，不能进行正常操作的；</w:t>
      </w:r>
    </w:p>
    <w:p w14:paraId="010970BD">
      <w:pPr>
        <w:pStyle w:val="89"/>
        <w:snapToGrid w:val="0"/>
        <w:spacing w:before="0" w:line="460" w:lineRule="exact"/>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29</w:t>
      </w:r>
      <w:r>
        <w:rPr>
          <w:rFonts w:ascii="仿宋" w:hAnsi="仿宋" w:eastAsia="仿宋" w:cs="仿宋_GB2312"/>
          <w:color w:val="auto"/>
          <w:szCs w:val="24"/>
          <w:highlight w:val="none"/>
        </w:rPr>
        <w:t>.3政采云平台发现严重安全漏洞，有潜在泄密危险的；</w:t>
      </w:r>
    </w:p>
    <w:p w14:paraId="6E890865">
      <w:pPr>
        <w:pStyle w:val="89"/>
        <w:snapToGrid w:val="0"/>
        <w:spacing w:before="0" w:line="460" w:lineRule="exact"/>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29</w:t>
      </w:r>
      <w:r>
        <w:rPr>
          <w:rFonts w:ascii="仿宋" w:hAnsi="仿宋" w:eastAsia="仿宋" w:cs="仿宋_GB2312"/>
          <w:color w:val="auto"/>
          <w:szCs w:val="24"/>
          <w:highlight w:val="none"/>
        </w:rPr>
        <w:t xml:space="preserve">.4病毒发作导致不能进行正常操作的； </w:t>
      </w:r>
    </w:p>
    <w:p w14:paraId="00E7129D">
      <w:pPr>
        <w:pStyle w:val="89"/>
        <w:snapToGrid w:val="0"/>
        <w:spacing w:before="0" w:line="460" w:lineRule="exact"/>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29</w:t>
      </w:r>
      <w:r>
        <w:rPr>
          <w:rFonts w:ascii="仿宋" w:hAnsi="仿宋" w:eastAsia="仿宋" w:cs="仿宋_GB2312"/>
          <w:color w:val="auto"/>
          <w:szCs w:val="24"/>
          <w:highlight w:val="none"/>
        </w:rPr>
        <w:t>.5其他无法保证电子交易的公平、公正和安全的情况。</w:t>
      </w:r>
    </w:p>
    <w:p w14:paraId="6536A194">
      <w:pPr>
        <w:pStyle w:val="89"/>
        <w:snapToGrid w:val="0"/>
        <w:spacing w:before="0" w:line="460" w:lineRule="exact"/>
        <w:ind w:firstLine="470" w:firstLineChars="196"/>
        <w:rPr>
          <w:rFonts w:ascii="仿宋" w:hAnsi="仿宋" w:eastAsia="仿宋" w:cs="仿宋_GB2312"/>
          <w:color w:val="auto"/>
          <w:szCs w:val="24"/>
          <w:highlight w:val="none"/>
        </w:rPr>
      </w:pPr>
      <w:r>
        <w:rPr>
          <w:rFonts w:ascii="仿宋" w:hAnsi="仿宋" w:eastAsia="仿宋" w:cs="仿宋_GB2312"/>
          <w:color w:val="auto"/>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7ECBCFE9">
      <w:pPr>
        <w:pStyle w:val="25"/>
        <w:snapToGrid w:val="0"/>
        <w:spacing w:line="460" w:lineRule="exact"/>
        <w:ind w:left="479" w:hanging="479" w:hangingChars="199"/>
        <w:rPr>
          <w:rFonts w:ascii="仿宋" w:hAnsi="仿宋" w:eastAsia="仿宋" w:cs="仿宋_GB2312"/>
          <w:b/>
          <w:color w:val="auto"/>
          <w:highlight w:val="none"/>
        </w:rPr>
      </w:pPr>
      <w:r>
        <w:rPr>
          <w:rFonts w:hint="eastAsia" w:ascii="仿宋" w:hAnsi="仿宋" w:eastAsia="仿宋" w:cs="仿宋_GB2312"/>
          <w:b/>
          <w:color w:val="auto"/>
          <w:highlight w:val="none"/>
        </w:rPr>
        <w:t>30.重新采购</w:t>
      </w:r>
    </w:p>
    <w:p w14:paraId="1D062F9E">
      <w:pPr>
        <w:pStyle w:val="25"/>
        <w:adjustRightInd w:val="0"/>
        <w:snapToGrid w:val="0"/>
        <w:spacing w:line="460" w:lineRule="exact"/>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有政府采购法第七十一条、第七十二条规定的违法行为之一，影响或者可能影响中标、成交结果的，依照下列规定处理：</w:t>
      </w:r>
    </w:p>
    <w:p w14:paraId="5F018069">
      <w:pPr>
        <w:pStyle w:val="25"/>
        <w:adjustRightInd w:val="0"/>
        <w:snapToGrid w:val="0"/>
        <w:spacing w:line="460" w:lineRule="exact"/>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30.1</w:t>
      </w:r>
      <w:r>
        <w:rPr>
          <w:rFonts w:ascii="仿宋" w:hAnsi="仿宋" w:eastAsia="仿宋" w:cs="仿宋_GB2312"/>
          <w:color w:val="auto"/>
          <w:highlight w:val="none"/>
        </w:rPr>
        <w:t>未确定</w:t>
      </w:r>
      <w:r>
        <w:rPr>
          <w:rFonts w:hint="eastAsia" w:ascii="仿宋" w:hAnsi="仿宋" w:eastAsia="仿宋" w:cs="仿宋_GB2312"/>
          <w:color w:val="auto"/>
          <w:highlight w:val="none"/>
        </w:rPr>
        <w:t>中标、成交供应商</w:t>
      </w:r>
      <w:r>
        <w:rPr>
          <w:rFonts w:ascii="仿宋" w:hAnsi="仿宋" w:eastAsia="仿宋" w:cs="仿宋_GB2312"/>
          <w:color w:val="auto"/>
          <w:highlight w:val="none"/>
        </w:rPr>
        <w:t>的，终止本次政府采购活动，重新开展政府采购</w:t>
      </w:r>
      <w:r>
        <w:rPr>
          <w:rFonts w:hint="eastAsia" w:ascii="仿宋" w:hAnsi="仿宋" w:eastAsia="仿宋" w:cs="仿宋_GB2312"/>
          <w:color w:val="auto"/>
          <w:highlight w:val="none"/>
        </w:rPr>
        <w:t>活动。</w:t>
      </w:r>
    </w:p>
    <w:p w14:paraId="609ACFB2">
      <w:pPr>
        <w:pStyle w:val="25"/>
        <w:adjustRightInd w:val="0"/>
        <w:snapToGrid w:val="0"/>
        <w:spacing w:line="460" w:lineRule="exact"/>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30.2中标</w:t>
      </w:r>
      <w:r>
        <w:rPr>
          <w:rFonts w:hint="eastAsia" w:ascii="仿宋" w:hAnsi="仿宋" w:eastAsia="仿宋" w:cs="仿宋_GB2312"/>
          <w:color w:val="auto"/>
          <w:highlight w:val="none"/>
          <w:lang w:eastAsia="zh-CN"/>
        </w:rPr>
        <w:t>人</w:t>
      </w:r>
      <w:r>
        <w:rPr>
          <w:rFonts w:hint="eastAsia" w:ascii="仿宋" w:hAnsi="仿宋" w:eastAsia="仿宋" w:cs="仿宋_GB2312"/>
          <w:color w:val="auto"/>
          <w:highlight w:val="none"/>
        </w:rPr>
        <w:t>已经确定但采购合同尚未履行</w:t>
      </w:r>
      <w:r>
        <w:rPr>
          <w:rFonts w:hint="default" w:ascii="仿宋" w:hAnsi="仿宋" w:eastAsia="仿宋" w:cs="仿宋_GB2312"/>
          <w:color w:val="auto"/>
          <w:highlight w:val="none"/>
        </w:rPr>
        <w:t>而</w:t>
      </w:r>
      <w:r>
        <w:rPr>
          <w:rFonts w:hint="eastAsia" w:ascii="仿宋" w:hAnsi="仿宋" w:eastAsia="仿宋" w:cs="仿宋_GB2312"/>
          <w:color w:val="auto"/>
          <w:highlight w:val="none"/>
        </w:rPr>
        <w:t>撤销合同</w:t>
      </w:r>
      <w:r>
        <w:rPr>
          <w:rFonts w:hint="default" w:ascii="仿宋" w:hAnsi="仿宋" w:eastAsia="仿宋" w:cs="仿宋_GB2312"/>
          <w:color w:val="auto"/>
          <w:highlight w:val="none"/>
        </w:rPr>
        <w:t>的</w:t>
      </w:r>
      <w:r>
        <w:rPr>
          <w:rFonts w:hint="eastAsia" w:ascii="仿宋" w:hAnsi="仿宋" w:eastAsia="仿宋" w:cs="仿宋_GB2312"/>
          <w:color w:val="auto"/>
          <w:highlight w:val="none"/>
        </w:rPr>
        <w:t>，</w:t>
      </w:r>
      <w:r>
        <w:rPr>
          <w:rFonts w:ascii="仿宋" w:hAnsi="仿宋" w:eastAsia="仿宋" w:cs="仿宋_GB2312"/>
          <w:color w:val="auto"/>
          <w:highlight w:val="none"/>
        </w:rPr>
        <w:t>重新开展政府采购活动。</w:t>
      </w:r>
    </w:p>
    <w:p w14:paraId="5ABB4E88">
      <w:pPr>
        <w:pStyle w:val="25"/>
        <w:adjustRightInd w:val="0"/>
        <w:snapToGrid w:val="0"/>
        <w:spacing w:line="460" w:lineRule="exact"/>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30.3</w:t>
      </w:r>
      <w:r>
        <w:rPr>
          <w:rFonts w:ascii="仿宋" w:hAnsi="仿宋" w:eastAsia="仿宋" w:cs="仿宋_GB2312"/>
          <w:color w:val="auto"/>
          <w:highlight w:val="none"/>
        </w:rPr>
        <w:t>政府采购合同已签订但尚未履行而撤销合同，重新开展政府采购活动。</w:t>
      </w:r>
    </w:p>
    <w:p w14:paraId="6930508A">
      <w:pPr>
        <w:pStyle w:val="25"/>
        <w:adjustRightInd w:val="0"/>
        <w:snapToGrid w:val="0"/>
        <w:spacing w:line="460" w:lineRule="exact"/>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30.4</w:t>
      </w:r>
      <w:r>
        <w:rPr>
          <w:rFonts w:ascii="仿宋" w:hAnsi="仿宋" w:eastAsia="仿宋" w:cs="仿宋_GB2312"/>
          <w:color w:val="auto"/>
          <w:highlight w:val="none"/>
        </w:rPr>
        <w:t>政府采购合同已经履行，给采购人、供应</w:t>
      </w:r>
      <w:r>
        <w:rPr>
          <w:rFonts w:hint="eastAsia" w:ascii="仿宋" w:hAnsi="仿宋" w:eastAsia="仿宋" w:cs="仿宋_GB2312"/>
          <w:color w:val="auto"/>
          <w:highlight w:val="none"/>
        </w:rPr>
        <w:t>商造成损失的，由责任人承担赔偿责任。</w:t>
      </w:r>
    </w:p>
    <w:p w14:paraId="59EBF6E9">
      <w:pPr>
        <w:tabs>
          <w:tab w:val="left" w:pos="0"/>
        </w:tabs>
        <w:snapToGrid w:val="0"/>
        <w:spacing w:line="46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30.5</w:t>
      </w:r>
      <w:r>
        <w:rPr>
          <w:rFonts w:ascii="仿宋" w:hAnsi="仿宋" w:eastAsia="仿宋" w:cs="仿宋_GB2312"/>
          <w:color w:val="auto"/>
          <w:sz w:val="24"/>
          <w:highlight w:val="none"/>
        </w:rPr>
        <w:t>政府采购当事人有其他违反政府采购</w:t>
      </w:r>
      <w:r>
        <w:rPr>
          <w:rFonts w:hint="eastAsia" w:ascii="仿宋" w:hAnsi="仿宋" w:eastAsia="仿宋" w:cs="仿宋_GB2312"/>
          <w:color w:val="auto"/>
          <w:sz w:val="24"/>
          <w:highlight w:val="none"/>
        </w:rPr>
        <w:t>法或者政府采购法实施条例等法律法规规定的行为，经改正后仍然影响或者可能影响中标或成交结果或者依法被认定为中标或成交无效的，依照30.1</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30.4</w:t>
      </w:r>
      <w:r>
        <w:rPr>
          <w:rFonts w:ascii="仿宋" w:hAnsi="仿宋" w:eastAsia="仿宋" w:cs="仿宋_GB2312"/>
          <w:color w:val="auto"/>
          <w:sz w:val="24"/>
          <w:highlight w:val="none"/>
        </w:rPr>
        <w:t>规定处理。</w:t>
      </w:r>
    </w:p>
    <w:p w14:paraId="053B820F">
      <w:pPr>
        <w:tabs>
          <w:tab w:val="left" w:pos="0"/>
        </w:tabs>
        <w:snapToGrid w:val="0"/>
        <w:spacing w:line="460" w:lineRule="exact"/>
        <w:ind w:firstLine="480" w:firstLineChars="200"/>
        <w:rPr>
          <w:rFonts w:ascii="仿宋" w:hAnsi="仿宋" w:eastAsia="仿宋"/>
          <w:color w:val="auto"/>
          <w:sz w:val="24"/>
          <w:highlight w:val="none"/>
        </w:rPr>
      </w:pPr>
    </w:p>
    <w:p w14:paraId="0EA4EAE3">
      <w:pPr>
        <w:snapToGrid w:val="0"/>
        <w:spacing w:line="460" w:lineRule="exact"/>
        <w:jc w:val="center"/>
        <w:outlineLvl w:val="1"/>
        <w:rPr>
          <w:rFonts w:hint="default"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九、验收</w:t>
      </w:r>
    </w:p>
    <w:p w14:paraId="10F51F98">
      <w:pPr>
        <w:pStyle w:val="25"/>
        <w:adjustRightInd w:val="0"/>
        <w:snapToGrid w:val="0"/>
        <w:spacing w:line="460" w:lineRule="exact"/>
        <w:ind w:left="0" w:firstLine="0" w:firstLineChars="0"/>
        <w:rPr>
          <w:rFonts w:ascii="仿宋" w:hAnsi="仿宋" w:eastAsia="仿宋" w:cs="仿宋_GB2312"/>
          <w:b/>
          <w:color w:val="auto"/>
          <w:highlight w:val="none"/>
        </w:rPr>
      </w:pPr>
      <w:r>
        <w:rPr>
          <w:rFonts w:hint="eastAsia" w:ascii="仿宋" w:hAnsi="仿宋" w:eastAsia="仿宋" w:cs="仿宋_GB2312"/>
          <w:b/>
          <w:color w:val="auto"/>
          <w:highlight w:val="none"/>
        </w:rPr>
        <w:t>31</w:t>
      </w:r>
      <w:r>
        <w:rPr>
          <w:rFonts w:ascii="仿宋" w:hAnsi="仿宋" w:eastAsia="仿宋" w:cs="仿宋_GB2312"/>
          <w:b/>
          <w:color w:val="auto"/>
          <w:highlight w:val="none"/>
        </w:rPr>
        <w:t>.验收</w:t>
      </w:r>
    </w:p>
    <w:p w14:paraId="3644479F">
      <w:pPr>
        <w:pStyle w:val="25"/>
        <w:adjustRightInd w:val="0"/>
        <w:snapToGrid w:val="0"/>
        <w:spacing w:line="460" w:lineRule="exact"/>
        <w:ind w:left="0" w:firstLine="480" w:firstLineChars="200"/>
        <w:rPr>
          <w:rFonts w:hint="eastAsia" w:ascii="仿宋" w:hAnsi="仿宋" w:eastAsia="仿宋" w:cs="Helvetica"/>
          <w:b w:val="0"/>
          <w:color w:val="auto"/>
          <w:kern w:val="0"/>
          <w:highlight w:val="none"/>
        </w:rPr>
      </w:pPr>
      <w:r>
        <w:rPr>
          <w:rFonts w:hint="eastAsia" w:ascii="仿宋" w:hAnsi="仿宋" w:eastAsia="仿宋" w:cs="Helvetica"/>
          <w:color w:val="auto"/>
          <w:kern w:val="0"/>
          <w:sz w:val="24"/>
          <w:highlight w:val="none"/>
        </w:rPr>
        <w:t>31</w:t>
      </w:r>
      <w:r>
        <w:rPr>
          <w:rFonts w:ascii="仿宋" w:hAnsi="仿宋" w:eastAsia="仿宋" w:cs="Helvetica"/>
          <w:color w:val="auto"/>
          <w:kern w:val="0"/>
          <w:sz w:val="24"/>
          <w:highlight w:val="none"/>
        </w:rPr>
        <w:t>.1</w:t>
      </w:r>
      <w:r>
        <w:rPr>
          <w:rFonts w:hint="eastAsia" w:ascii="仿宋" w:hAnsi="仿宋" w:eastAsia="仿宋" w:cs="Helvetica"/>
          <w:bCs w:val="0"/>
          <w:color w:val="auto"/>
          <w:kern w:val="0"/>
          <w:sz w:val="24"/>
          <w:szCs w:val="24"/>
          <w:highlight w:val="none"/>
          <w:lang w:eastAsia="zh-CN"/>
        </w:rPr>
        <w:t>采购人</w:t>
      </w:r>
      <w:r>
        <w:rPr>
          <w:rFonts w:hint="eastAsia" w:ascii="仿宋" w:hAnsi="仿宋" w:eastAsia="仿宋" w:cs="Helvetica"/>
          <w:bCs w:val="0"/>
          <w:color w:val="auto"/>
          <w:kern w:val="0"/>
          <w:sz w:val="24"/>
          <w:szCs w:val="24"/>
          <w:highlight w:val="none"/>
        </w:rPr>
        <w:t>严格按照《温州市政府采购履约验收办法》</w:t>
      </w:r>
      <w:r>
        <w:rPr>
          <w:rFonts w:hint="eastAsia" w:ascii="仿宋" w:hAnsi="仿宋" w:eastAsia="仿宋" w:cs="Helvetica"/>
          <w:bCs w:val="0"/>
          <w:color w:val="auto"/>
          <w:kern w:val="0"/>
          <w:sz w:val="24"/>
          <w:szCs w:val="24"/>
          <w:highlight w:val="none"/>
          <w:lang w:val="en-US" w:eastAsia="zh-CN"/>
        </w:rPr>
        <w:t>和相关法律法规</w:t>
      </w:r>
      <w:r>
        <w:rPr>
          <w:rFonts w:hint="eastAsia" w:ascii="仿宋" w:hAnsi="仿宋" w:eastAsia="仿宋" w:cs="Helvetica"/>
          <w:bCs w:val="0"/>
          <w:color w:val="auto"/>
          <w:kern w:val="0"/>
          <w:sz w:val="24"/>
          <w:szCs w:val="24"/>
          <w:highlight w:val="none"/>
        </w:rPr>
        <w:t>要求及招标文件、投标文件、采购合同等服务要求和标准组织</w:t>
      </w:r>
      <w:r>
        <w:rPr>
          <w:rFonts w:hint="eastAsia" w:ascii="仿宋" w:hAnsi="仿宋" w:eastAsia="仿宋" w:cs="Helvetica"/>
          <w:bCs w:val="0"/>
          <w:color w:val="auto"/>
          <w:kern w:val="0"/>
          <w:sz w:val="24"/>
          <w:szCs w:val="24"/>
          <w:highlight w:val="none"/>
          <w:lang w:eastAsia="zh-CN"/>
        </w:rPr>
        <w:t>，自行组织</w:t>
      </w:r>
      <w:r>
        <w:rPr>
          <w:rFonts w:hint="eastAsia" w:ascii="仿宋" w:hAnsi="仿宋" w:eastAsia="仿宋" w:cs="Helvetica"/>
          <w:bCs w:val="0"/>
          <w:color w:val="auto"/>
          <w:kern w:val="0"/>
          <w:sz w:val="24"/>
          <w:szCs w:val="24"/>
          <w:highlight w:val="none"/>
        </w:rPr>
        <w:t>履约验收。</w:t>
      </w:r>
    </w:p>
    <w:p w14:paraId="3E38445C">
      <w:pPr>
        <w:tabs>
          <w:tab w:val="left" w:pos="0"/>
        </w:tabs>
        <w:snapToGrid w:val="0"/>
        <w:spacing w:line="460" w:lineRule="exact"/>
        <w:ind w:firstLine="480" w:firstLineChars="200"/>
        <w:rPr>
          <w:rFonts w:ascii="仿宋" w:hAnsi="仿宋" w:eastAsia="仿宋" w:cs="Helvetica"/>
          <w:color w:val="auto"/>
          <w:kern w:val="0"/>
          <w:sz w:val="24"/>
          <w:highlight w:val="none"/>
        </w:rPr>
      </w:pPr>
      <w:bookmarkStart w:id="53" w:name="_Hlk93169321"/>
      <w:r>
        <w:rPr>
          <w:rFonts w:hint="eastAsia" w:ascii="仿宋" w:hAnsi="仿宋" w:eastAsia="仿宋" w:cs="Helvetica"/>
          <w:color w:val="auto"/>
          <w:kern w:val="0"/>
          <w:sz w:val="24"/>
          <w:highlight w:val="none"/>
        </w:rPr>
        <w:t>31</w:t>
      </w:r>
      <w:r>
        <w:rPr>
          <w:rFonts w:ascii="仿宋" w:hAnsi="仿宋" w:eastAsia="仿宋" w:cs="Helvetica"/>
          <w:color w:val="auto"/>
          <w:kern w:val="0"/>
          <w:sz w:val="24"/>
          <w:highlight w:val="none"/>
        </w:rPr>
        <w:t>.</w:t>
      </w:r>
      <w:r>
        <w:rPr>
          <w:rFonts w:hint="eastAsia" w:ascii="仿宋" w:hAnsi="仿宋" w:eastAsia="仿宋" w:cs="Helvetica"/>
          <w:color w:val="auto"/>
          <w:kern w:val="0"/>
          <w:sz w:val="24"/>
          <w:highlight w:val="none"/>
          <w:lang w:val="en-US" w:eastAsia="zh-CN"/>
        </w:rPr>
        <w:t>2</w:t>
      </w:r>
      <w:r>
        <w:rPr>
          <w:rFonts w:ascii="仿宋" w:hAnsi="仿宋" w:eastAsia="仿宋" w:cs="Helvetica"/>
          <w:color w:val="auto"/>
          <w:kern w:val="0"/>
          <w:sz w:val="24"/>
          <w:highlight w:val="none"/>
        </w:rPr>
        <w:t>采购人组织对供应商履约的验收。验收方成员应当在验收书上签字，并承担相应的法律责任。如果发现与合同中要求不符，供应商须承担由此发生的一切损失和费用，并接受相应的处理。</w:t>
      </w:r>
    </w:p>
    <w:p w14:paraId="0E8C227D">
      <w:pPr>
        <w:tabs>
          <w:tab w:val="left" w:pos="0"/>
        </w:tabs>
        <w:snapToGrid w:val="0"/>
        <w:spacing w:line="460" w:lineRule="exact"/>
        <w:ind w:firstLine="480" w:firstLineChars="20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31</w:t>
      </w:r>
      <w:r>
        <w:rPr>
          <w:rFonts w:ascii="仿宋" w:hAnsi="仿宋" w:eastAsia="仿宋" w:cs="Helvetica"/>
          <w:color w:val="auto"/>
          <w:kern w:val="0"/>
          <w:sz w:val="24"/>
          <w:highlight w:val="none"/>
        </w:rPr>
        <w:t>.</w:t>
      </w:r>
      <w:r>
        <w:rPr>
          <w:rFonts w:hint="eastAsia" w:ascii="仿宋" w:hAnsi="仿宋" w:eastAsia="仿宋" w:cs="Helvetica"/>
          <w:color w:val="auto"/>
          <w:kern w:val="0"/>
          <w:sz w:val="24"/>
          <w:highlight w:val="none"/>
          <w:lang w:val="en-US" w:eastAsia="zh-CN"/>
        </w:rPr>
        <w:t>3</w:t>
      </w:r>
      <w:r>
        <w:rPr>
          <w:rFonts w:ascii="仿宋" w:hAnsi="仿宋" w:eastAsia="仿宋" w:cs="Helvetica"/>
          <w:color w:val="auto"/>
          <w:kern w:val="0"/>
          <w:sz w:val="24"/>
          <w:highlight w:val="none"/>
        </w:rPr>
        <w:t>采购人可以邀请参加本项目的其他投标人或者第三方机构参与验收。参与验收的投标人或者第三方机构的意见作为</w:t>
      </w:r>
      <w:r>
        <w:rPr>
          <w:rFonts w:hint="eastAsia" w:ascii="仿宋" w:hAnsi="仿宋" w:eastAsia="仿宋" w:cs="Helvetica"/>
          <w:color w:val="auto"/>
          <w:kern w:val="0"/>
          <w:sz w:val="24"/>
          <w:highlight w:val="none"/>
        </w:rPr>
        <w:t>验收书的参考资料一并存档。</w:t>
      </w:r>
    </w:p>
    <w:p w14:paraId="51E0A64D">
      <w:pPr>
        <w:tabs>
          <w:tab w:val="left" w:pos="0"/>
        </w:tabs>
        <w:snapToGrid w:val="0"/>
        <w:spacing w:line="460" w:lineRule="exact"/>
        <w:ind w:firstLine="480" w:firstLineChars="20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31</w:t>
      </w:r>
      <w:r>
        <w:rPr>
          <w:rFonts w:ascii="仿宋" w:hAnsi="仿宋" w:eastAsia="仿宋" w:cs="Helvetica"/>
          <w:color w:val="auto"/>
          <w:kern w:val="0"/>
          <w:sz w:val="24"/>
          <w:highlight w:val="none"/>
        </w:rPr>
        <w:t>.</w:t>
      </w:r>
      <w:r>
        <w:rPr>
          <w:rFonts w:hint="eastAsia" w:ascii="仿宋" w:hAnsi="仿宋" w:eastAsia="仿宋" w:cs="Helvetica"/>
          <w:color w:val="auto"/>
          <w:kern w:val="0"/>
          <w:sz w:val="24"/>
          <w:highlight w:val="none"/>
          <w:lang w:val="en-US" w:eastAsia="zh-CN"/>
        </w:rPr>
        <w:t>4</w:t>
      </w:r>
      <w:r>
        <w:rPr>
          <w:rFonts w:ascii="仿宋" w:hAnsi="仿宋" w:eastAsia="仿宋" w:cs="Helvetica"/>
          <w:color w:val="auto"/>
          <w:kern w:val="0"/>
          <w:sz w:val="24"/>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bookmarkEnd w:id="53"/>
    </w:p>
    <w:p w14:paraId="7FAA9BED">
      <w:pPr>
        <w:widowControl/>
        <w:snapToGrid w:val="0"/>
        <w:spacing w:line="460" w:lineRule="exact"/>
        <w:ind w:firstLine="480" w:firstLineChars="200"/>
        <w:jc w:val="left"/>
        <w:rPr>
          <w:rFonts w:ascii="仿宋" w:hAnsi="仿宋" w:eastAsia="仿宋" w:cs="新宋体"/>
          <w:color w:val="auto"/>
          <w:sz w:val="24"/>
          <w:highlight w:val="none"/>
        </w:rPr>
      </w:pPr>
      <w:bookmarkStart w:id="54" w:name="_Hlk93169378"/>
      <w:r>
        <w:rPr>
          <w:rFonts w:hint="eastAsia" w:ascii="仿宋" w:hAnsi="仿宋" w:eastAsia="仿宋" w:cs="Helvetica"/>
          <w:color w:val="auto"/>
          <w:kern w:val="0"/>
          <w:sz w:val="24"/>
          <w:highlight w:val="none"/>
        </w:rPr>
        <w:t>31</w:t>
      </w:r>
      <w:r>
        <w:rPr>
          <w:rFonts w:ascii="仿宋" w:hAnsi="仿宋" w:eastAsia="仿宋" w:cs="Helvetica"/>
          <w:color w:val="auto"/>
          <w:kern w:val="0"/>
          <w:sz w:val="24"/>
          <w:highlight w:val="none"/>
        </w:rPr>
        <w:t>.</w:t>
      </w:r>
      <w:r>
        <w:rPr>
          <w:rFonts w:hint="eastAsia" w:ascii="仿宋" w:hAnsi="仿宋" w:eastAsia="仿宋" w:cs="Helvetica"/>
          <w:color w:val="auto"/>
          <w:kern w:val="0"/>
          <w:sz w:val="24"/>
          <w:highlight w:val="none"/>
          <w:lang w:val="en-US" w:eastAsia="zh-CN"/>
        </w:rPr>
        <w:t>5</w:t>
      </w:r>
      <w:r>
        <w:rPr>
          <w:rFonts w:ascii="仿宋" w:hAnsi="仿宋" w:eastAsia="仿宋" w:cs="Helvetica"/>
          <w:color w:val="auto"/>
          <w:kern w:val="0"/>
          <w:sz w:val="24"/>
          <w:highlight w:val="none"/>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0070BB">
      <w:pPr>
        <w:widowControl/>
        <w:snapToGrid w:val="0"/>
        <w:spacing w:line="460" w:lineRule="exact"/>
        <w:jc w:val="left"/>
        <w:rPr>
          <w:rFonts w:ascii="新宋体" w:hAnsi="新宋体" w:eastAsia="新宋体" w:cs="新宋体"/>
          <w:color w:val="auto"/>
          <w:sz w:val="22"/>
          <w:szCs w:val="22"/>
          <w:highlight w:val="none"/>
        </w:rPr>
      </w:pPr>
    </w:p>
    <w:p w14:paraId="587A2173">
      <w:pPr>
        <w:snapToGrid w:val="0"/>
        <w:spacing w:line="460" w:lineRule="exact"/>
        <w:jc w:val="center"/>
        <w:outlineLvl w:val="1"/>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十、其他说明</w:t>
      </w:r>
    </w:p>
    <w:p w14:paraId="4BC050F5">
      <w:pPr>
        <w:pStyle w:val="25"/>
        <w:adjustRightInd w:val="0"/>
        <w:snapToGrid w:val="0"/>
        <w:spacing w:line="460" w:lineRule="exact"/>
        <w:ind w:left="0" w:firstLine="0" w:firstLineChars="0"/>
        <w:rPr>
          <w:rFonts w:ascii="仿宋" w:hAnsi="仿宋" w:eastAsia="仿宋" w:cs="仿宋_GB2312"/>
          <w:b/>
          <w:color w:val="auto"/>
          <w:highlight w:val="none"/>
        </w:rPr>
      </w:pPr>
      <w:r>
        <w:rPr>
          <w:rFonts w:hint="eastAsia" w:ascii="仿宋" w:hAnsi="仿宋" w:eastAsia="仿宋" w:cs="仿宋_GB2312"/>
          <w:b/>
          <w:color w:val="auto"/>
          <w:highlight w:val="none"/>
        </w:rPr>
        <w:t>32</w:t>
      </w:r>
      <w:r>
        <w:rPr>
          <w:rFonts w:ascii="仿宋" w:hAnsi="仿宋" w:eastAsia="仿宋" w:cs="仿宋_GB2312"/>
          <w:b/>
          <w:color w:val="auto"/>
          <w:highlight w:val="none"/>
        </w:rPr>
        <w:t>.</w:t>
      </w:r>
      <w:r>
        <w:rPr>
          <w:rFonts w:hint="eastAsia" w:ascii="仿宋" w:hAnsi="仿宋" w:eastAsia="仿宋" w:cs="仿宋_GB2312"/>
          <w:b/>
          <w:color w:val="auto"/>
          <w:highlight w:val="none"/>
        </w:rPr>
        <w:t>其他说明</w:t>
      </w:r>
    </w:p>
    <w:p w14:paraId="7229B182">
      <w:pPr>
        <w:widowControl/>
        <w:snapToGrid w:val="0"/>
        <w:spacing w:line="460" w:lineRule="exact"/>
        <w:ind w:firstLine="480" w:firstLineChars="200"/>
        <w:jc w:val="left"/>
        <w:rPr>
          <w:rFonts w:ascii="新宋体" w:hAnsi="新宋体" w:eastAsia="新宋体" w:cs="新宋体"/>
          <w:color w:val="auto"/>
          <w:sz w:val="22"/>
          <w:szCs w:val="22"/>
          <w:highlight w:val="none"/>
        </w:rPr>
      </w:pPr>
      <w:r>
        <w:rPr>
          <w:rFonts w:hint="eastAsia" w:ascii="仿宋" w:hAnsi="仿宋" w:eastAsia="仿宋" w:cs="Helvetica"/>
          <w:color w:val="auto"/>
          <w:kern w:val="0"/>
          <w:sz w:val="24"/>
          <w:highlight w:val="none"/>
        </w:rPr>
        <w:t>见投标人须知前附表。</w:t>
      </w:r>
      <w:bookmarkEnd w:id="54"/>
    </w:p>
    <w:p w14:paraId="7F1836E0">
      <w:pPr>
        <w:widowControl/>
        <w:adjustRightInd/>
        <w:jc w:val="left"/>
        <w:rPr>
          <w:rFonts w:ascii="新宋体" w:hAnsi="新宋体" w:eastAsia="新宋体" w:cs="新宋体"/>
          <w:b/>
          <w:bCs/>
          <w:color w:val="auto"/>
          <w:sz w:val="22"/>
          <w:szCs w:val="22"/>
          <w:highlight w:val="none"/>
        </w:rPr>
      </w:pPr>
      <w:r>
        <w:rPr>
          <w:rFonts w:ascii="新宋体" w:hAnsi="新宋体" w:eastAsia="新宋体" w:cs="新宋体"/>
          <w:b/>
          <w:bCs/>
          <w:color w:val="auto"/>
          <w:sz w:val="22"/>
          <w:szCs w:val="22"/>
          <w:highlight w:val="none"/>
        </w:rPr>
        <w:br w:type="page"/>
      </w:r>
    </w:p>
    <w:p w14:paraId="14127374">
      <w:pPr>
        <w:numPr>
          <w:ilvl w:val="0"/>
          <w:numId w:val="2"/>
        </w:numPr>
        <w:snapToGrid w:val="0"/>
        <w:spacing w:beforeLines="100" w:line="360" w:lineRule="auto"/>
        <w:jc w:val="center"/>
        <w:outlineLvl w:val="0"/>
        <w:rPr>
          <w:rFonts w:hint="eastAsia"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 xml:space="preserve"> 采购需求</w:t>
      </w:r>
    </w:p>
    <w:p w14:paraId="185DCF23">
      <w:pPr>
        <w:pStyle w:val="2"/>
        <w:spacing w:line="240" w:lineRule="auto"/>
        <w:ind w:left="210" w:right="210"/>
        <w:rPr>
          <w:rFonts w:hint="eastAsia" w:ascii="仿宋" w:hAnsi="仿宋" w:eastAsia="仿宋" w:cs="仿宋"/>
          <w:color w:val="auto"/>
          <w:sz w:val="24"/>
          <w:szCs w:val="24"/>
          <w:highlight w:val="none"/>
        </w:rPr>
      </w:pPr>
      <w:bookmarkStart w:id="55" w:name="_Toc1723"/>
      <w:r>
        <w:rPr>
          <w:rFonts w:hint="eastAsia" w:ascii="仿宋" w:hAnsi="仿宋" w:eastAsia="仿宋" w:cs="仿宋"/>
          <w:color w:val="auto"/>
          <w:sz w:val="24"/>
          <w:szCs w:val="24"/>
          <w:highlight w:val="none"/>
        </w:rPr>
        <w:t>一、项目背景</w:t>
      </w:r>
      <w:bookmarkEnd w:id="55"/>
    </w:p>
    <w:p w14:paraId="3251990B">
      <w:pPr>
        <w:pStyle w:val="994"/>
        <w:rPr>
          <w:rFonts w:hint="eastAsia" w:ascii="仿宋" w:hAnsi="仿宋" w:eastAsia="仿宋" w:cs="仿宋"/>
          <w:color w:val="auto"/>
          <w:highlight w:val="none"/>
        </w:rPr>
      </w:pPr>
      <w:r>
        <w:rPr>
          <w:rFonts w:hint="eastAsia" w:ascii="仿宋" w:hAnsi="仿宋" w:eastAsia="仿宋" w:cs="仿宋"/>
          <w:color w:val="auto"/>
          <w:highlight w:val="none"/>
        </w:rPr>
        <w:t>餐厨垃圾处理是关系生态环境和国计民生的大事。近年来，国内餐厨垃圾处理厂快速发展，同时安全生产及环保要求愈加严格，生产运行过程中对餐厨垃圾来源、收运及处置环节管理要求越来越高，对政府监管也提出了更高的要求。</w:t>
      </w:r>
    </w:p>
    <w:p w14:paraId="30B9CCA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临江生活垃圾焚烧发电厂三期</w:t>
      </w:r>
      <w:r>
        <w:rPr>
          <w:rFonts w:hint="default" w:ascii="仿宋" w:hAnsi="仿宋" w:eastAsia="仿宋" w:cs="仿宋"/>
          <w:color w:val="auto"/>
          <w:sz w:val="24"/>
          <w:highlight w:val="none"/>
        </w:rPr>
        <w:t>工程</w:t>
      </w:r>
      <w:r>
        <w:rPr>
          <w:rFonts w:hint="eastAsia" w:ascii="仿宋" w:hAnsi="仿宋" w:eastAsia="仿宋" w:cs="仿宋"/>
          <w:color w:val="auto"/>
          <w:sz w:val="24"/>
          <w:highlight w:val="none"/>
        </w:rPr>
        <w:t>包括</w:t>
      </w:r>
      <w:r>
        <w:rPr>
          <w:rFonts w:hint="eastAsia" w:ascii="仿宋" w:hAnsi="仿宋" w:eastAsia="仿宋" w:cs="仿宋"/>
          <w:color w:val="auto"/>
          <w:sz w:val="24"/>
          <w:highlight w:val="none"/>
          <w:lang w:val="en-US" w:eastAsia="zh-CN"/>
        </w:rPr>
        <w:t>温州市区</w:t>
      </w:r>
      <w:r>
        <w:rPr>
          <w:rFonts w:hint="eastAsia" w:ascii="仿宋" w:hAnsi="仿宋" w:eastAsia="仿宋" w:cs="仿宋"/>
          <w:color w:val="auto"/>
          <w:sz w:val="24"/>
          <w:highlight w:val="none"/>
        </w:rPr>
        <w:t>餐厨</w:t>
      </w:r>
      <w:r>
        <w:rPr>
          <w:rFonts w:hint="eastAsia" w:ascii="仿宋" w:hAnsi="仿宋" w:eastAsia="仿宋" w:cs="仿宋"/>
          <w:color w:val="auto"/>
          <w:sz w:val="24"/>
          <w:highlight w:val="none"/>
          <w:lang w:val="en-US" w:eastAsia="zh-CN"/>
        </w:rPr>
        <w:t>垃圾</w:t>
      </w:r>
      <w:r>
        <w:rPr>
          <w:rFonts w:hint="eastAsia" w:ascii="仿宋" w:hAnsi="仿宋" w:eastAsia="仿宋" w:cs="仿宋"/>
          <w:color w:val="auto"/>
          <w:sz w:val="24"/>
          <w:highlight w:val="none"/>
        </w:rPr>
        <w:t>收运系统和餐厨</w:t>
      </w:r>
      <w:r>
        <w:rPr>
          <w:rFonts w:hint="eastAsia" w:ascii="仿宋" w:hAnsi="仿宋" w:eastAsia="仿宋" w:cs="仿宋"/>
          <w:color w:val="auto"/>
          <w:sz w:val="24"/>
          <w:highlight w:val="none"/>
          <w:lang w:val="en-US" w:eastAsia="zh-CN"/>
        </w:rPr>
        <w:t>垃圾</w:t>
      </w:r>
      <w:r>
        <w:rPr>
          <w:rFonts w:hint="eastAsia" w:ascii="仿宋" w:hAnsi="仿宋" w:eastAsia="仿宋" w:cs="仿宋"/>
          <w:color w:val="auto"/>
          <w:sz w:val="24"/>
          <w:highlight w:val="none"/>
        </w:rPr>
        <w:t>资源化处理系统。收运系统包括收运车辆、餐厨垃圾桶和调度中心</w:t>
      </w:r>
      <w:r>
        <w:rPr>
          <w:rFonts w:hint="default" w:ascii="仿宋" w:hAnsi="仿宋" w:eastAsia="仿宋" w:cs="仿宋"/>
          <w:color w:val="auto"/>
          <w:sz w:val="24"/>
          <w:highlight w:val="none"/>
        </w:rPr>
        <w:t>等</w:t>
      </w:r>
      <w:r>
        <w:rPr>
          <w:rFonts w:hint="eastAsia" w:ascii="仿宋" w:hAnsi="仿宋" w:eastAsia="仿宋" w:cs="仿宋"/>
          <w:color w:val="auto"/>
          <w:sz w:val="24"/>
          <w:highlight w:val="none"/>
        </w:rPr>
        <w:t>，资源化处理系统采用“预处理+厌氧发酵”工艺，配套沼气净化和储存系统，以“粗油脂”和“沼气发电”为高附加值产品的处理方式</w:t>
      </w:r>
      <w:r>
        <w:rPr>
          <w:rFonts w:hint="default" w:ascii="仿宋" w:hAnsi="仿宋" w:eastAsia="仿宋" w:cs="仿宋"/>
          <w:color w:val="auto"/>
          <w:sz w:val="24"/>
          <w:highlight w:val="none"/>
        </w:rPr>
        <w:t>，</w:t>
      </w:r>
      <w:r>
        <w:rPr>
          <w:rFonts w:hint="eastAsia" w:ascii="仿宋" w:hAnsi="仿宋" w:eastAsia="仿宋" w:cs="仿宋"/>
          <w:color w:val="auto"/>
          <w:sz w:val="24"/>
          <w:highlight w:val="none"/>
        </w:rPr>
        <w:t>包括计量收料系统、预处理系统、油水分离系统、厌氧发酵处理系统、沼气综合利用系统、固液分离系统、生产设备自动控制系统、臭气处理系统和控制系统等。</w:t>
      </w:r>
    </w:p>
    <w:p w14:paraId="6003CBFF">
      <w:pPr>
        <w:spacing w:before="0" w:beforeAutospacing="0" w:after="0" w:afterAutospacing="0" w:line="360" w:lineRule="auto"/>
        <w:ind w:firstLine="422" w:firstLineChars="200"/>
        <w:rPr>
          <w:rFonts w:hint="eastAsia" w:ascii="仿宋" w:hAnsi="仿宋" w:eastAsia="仿宋" w:cs="仿宋"/>
          <w:b/>
          <w:bCs/>
          <w:color w:val="auto"/>
          <w:kern w:val="2"/>
          <w:highlight w:val="none"/>
        </w:rPr>
      </w:pPr>
      <w:r>
        <w:rPr>
          <w:rFonts w:hint="eastAsia" w:ascii="仿宋" w:hAnsi="仿宋" w:eastAsia="仿宋" w:cs="仿宋"/>
          <w:b/>
          <w:bCs/>
          <w:color w:val="auto"/>
          <w:highlight w:val="none"/>
        </w:rPr>
        <w:t>二</w:t>
      </w:r>
      <w:r>
        <w:rPr>
          <w:rFonts w:hint="eastAsia" w:ascii="仿宋" w:hAnsi="仿宋" w:eastAsia="仿宋" w:cs="仿宋"/>
          <w:b/>
          <w:bCs/>
          <w:color w:val="auto"/>
          <w:kern w:val="2"/>
          <w:highlight w:val="none"/>
        </w:rPr>
        <w:t>、服务内容</w:t>
      </w:r>
    </w:p>
    <w:p w14:paraId="4DB1700A">
      <w:pPr>
        <w:pStyle w:val="53"/>
        <w:spacing w:before="0" w:beforeAutospacing="0" w:after="0" w:afterAutospacing="0" w:line="360" w:lineRule="auto"/>
        <w:ind w:firstLine="480" w:firstLineChars="200"/>
        <w:rPr>
          <w:rFonts w:hint="eastAsia" w:ascii="仿宋" w:hAnsi="仿宋" w:eastAsia="仿宋" w:cs="仿宋"/>
          <w:bCs/>
          <w:color w:val="auto"/>
          <w:kern w:val="2"/>
          <w:highlight w:val="none"/>
        </w:rPr>
      </w:pPr>
      <w:r>
        <w:rPr>
          <w:rFonts w:hint="eastAsia" w:ascii="仿宋" w:hAnsi="仿宋" w:eastAsia="仿宋" w:cs="仿宋"/>
          <w:bCs/>
          <w:color w:val="auto"/>
          <w:kern w:val="2"/>
          <w:highlight w:val="none"/>
        </w:rPr>
        <w:t>1、本项目服务期</w:t>
      </w:r>
      <w:r>
        <w:rPr>
          <w:rFonts w:hint="default" w:ascii="仿宋" w:hAnsi="仿宋" w:eastAsia="仿宋" w:cs="仿宋"/>
          <w:bCs/>
          <w:color w:val="auto"/>
          <w:kern w:val="2"/>
          <w:highlight w:val="none"/>
        </w:rPr>
        <w:t>限</w:t>
      </w:r>
      <w:r>
        <w:rPr>
          <w:rFonts w:hint="eastAsia" w:ascii="仿宋" w:hAnsi="仿宋" w:eastAsia="仿宋" w:cs="仿宋"/>
          <w:bCs/>
          <w:color w:val="auto"/>
          <w:kern w:val="2"/>
          <w:highlight w:val="none"/>
        </w:rPr>
        <w:t>：</w:t>
      </w:r>
      <w:r>
        <w:rPr>
          <w:rFonts w:hint="eastAsia" w:ascii="仿宋" w:hAnsi="仿宋" w:eastAsia="仿宋" w:cs="仿宋"/>
          <w:bCs/>
          <w:color w:val="auto"/>
          <w:kern w:val="2"/>
          <w:highlight w:val="none"/>
          <w:lang w:val="en-US" w:eastAsia="zh-CN"/>
        </w:rPr>
        <w:t>1年，</w:t>
      </w:r>
      <w:r>
        <w:rPr>
          <w:rFonts w:hint="eastAsia" w:ascii="仿宋" w:hAnsi="仿宋" w:eastAsia="仿宋" w:cs="仿宋"/>
          <w:bCs/>
          <w:color w:val="auto"/>
          <w:kern w:val="2"/>
          <w:highlight w:val="none"/>
        </w:rPr>
        <w:t>时间为</w:t>
      </w:r>
      <w:r>
        <w:rPr>
          <w:rFonts w:hint="eastAsia" w:ascii="仿宋" w:hAnsi="仿宋" w:eastAsia="仿宋" w:cs="仿宋"/>
          <w:bCs/>
          <w:color w:val="auto"/>
          <w:kern w:val="2"/>
          <w:highlight w:val="none"/>
          <w:lang w:eastAsia="zh-CN"/>
        </w:rPr>
        <w:t>202</w:t>
      </w:r>
      <w:r>
        <w:rPr>
          <w:rFonts w:hint="eastAsia" w:ascii="仿宋" w:hAnsi="仿宋" w:eastAsia="仿宋" w:cs="仿宋"/>
          <w:bCs/>
          <w:color w:val="auto"/>
          <w:kern w:val="2"/>
          <w:highlight w:val="none"/>
          <w:lang w:val="en-US" w:eastAsia="zh-CN"/>
        </w:rPr>
        <w:t>4</w:t>
      </w:r>
      <w:r>
        <w:rPr>
          <w:rFonts w:hint="eastAsia" w:ascii="仿宋" w:hAnsi="仿宋" w:eastAsia="仿宋" w:cs="仿宋"/>
          <w:bCs/>
          <w:color w:val="auto"/>
          <w:kern w:val="2"/>
          <w:highlight w:val="none"/>
          <w:lang w:eastAsia="zh-CN"/>
        </w:rPr>
        <w:t>年</w:t>
      </w:r>
      <w:r>
        <w:rPr>
          <w:rFonts w:hint="eastAsia" w:ascii="仿宋" w:hAnsi="仿宋" w:eastAsia="仿宋" w:cs="仿宋"/>
          <w:bCs/>
          <w:color w:val="auto"/>
          <w:kern w:val="2"/>
          <w:highlight w:val="none"/>
          <w:lang w:val="en-US" w:eastAsia="zh-CN"/>
        </w:rPr>
        <w:t>10</w:t>
      </w:r>
      <w:r>
        <w:rPr>
          <w:rFonts w:hint="eastAsia" w:ascii="仿宋" w:hAnsi="仿宋" w:eastAsia="仿宋" w:cs="仿宋"/>
          <w:bCs/>
          <w:color w:val="auto"/>
          <w:kern w:val="2"/>
          <w:highlight w:val="none"/>
        </w:rPr>
        <w:t>月1日至202</w:t>
      </w:r>
      <w:r>
        <w:rPr>
          <w:rFonts w:hint="eastAsia" w:ascii="仿宋" w:hAnsi="仿宋" w:eastAsia="仿宋" w:cs="仿宋"/>
          <w:bCs/>
          <w:color w:val="auto"/>
          <w:kern w:val="2"/>
          <w:highlight w:val="none"/>
          <w:lang w:val="en-US" w:eastAsia="zh-CN"/>
        </w:rPr>
        <w:t>5</w:t>
      </w:r>
      <w:r>
        <w:rPr>
          <w:rFonts w:hint="eastAsia" w:ascii="仿宋" w:hAnsi="仿宋" w:eastAsia="仿宋" w:cs="仿宋"/>
          <w:bCs/>
          <w:color w:val="auto"/>
          <w:kern w:val="2"/>
          <w:highlight w:val="none"/>
        </w:rPr>
        <w:t>年9月30日（具体起始日期以甲乙双方合同约定为准）。</w:t>
      </w:r>
    </w:p>
    <w:p w14:paraId="27FDB05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default" w:ascii="仿宋" w:hAnsi="仿宋" w:eastAsia="仿宋" w:cs="仿宋"/>
          <w:color w:val="auto"/>
          <w:sz w:val="24"/>
          <w:highlight w:val="none"/>
        </w:rPr>
        <w:t>服务需求：对</w:t>
      </w:r>
      <w:r>
        <w:rPr>
          <w:rFonts w:hint="eastAsia" w:ascii="仿宋" w:hAnsi="仿宋" w:eastAsia="仿宋" w:cs="仿宋"/>
          <w:color w:val="auto"/>
          <w:sz w:val="24"/>
          <w:highlight w:val="none"/>
        </w:rPr>
        <w:t>临江生活垃圾焚烧发电厂三期</w:t>
      </w:r>
      <w:r>
        <w:rPr>
          <w:rFonts w:hint="default" w:ascii="仿宋" w:hAnsi="仿宋" w:eastAsia="仿宋" w:cs="仿宋"/>
          <w:color w:val="auto"/>
          <w:sz w:val="24"/>
          <w:highlight w:val="none"/>
        </w:rPr>
        <w:t>工程（包含</w:t>
      </w:r>
      <w:r>
        <w:rPr>
          <w:rFonts w:hint="eastAsia" w:ascii="仿宋" w:hAnsi="仿宋" w:eastAsia="仿宋" w:cs="仿宋"/>
          <w:color w:val="auto"/>
          <w:sz w:val="24"/>
          <w:highlight w:val="none"/>
          <w:lang w:val="en-US" w:eastAsia="zh-CN"/>
        </w:rPr>
        <w:t>温州市区</w:t>
      </w:r>
      <w:r>
        <w:rPr>
          <w:rFonts w:hint="eastAsia" w:ascii="仿宋" w:hAnsi="仿宋" w:eastAsia="仿宋" w:cs="仿宋"/>
          <w:color w:val="auto"/>
          <w:sz w:val="24"/>
          <w:highlight w:val="none"/>
        </w:rPr>
        <w:t>餐厨</w:t>
      </w:r>
      <w:r>
        <w:rPr>
          <w:rFonts w:hint="eastAsia" w:ascii="仿宋" w:hAnsi="仿宋" w:eastAsia="仿宋" w:cs="仿宋"/>
          <w:color w:val="auto"/>
          <w:sz w:val="24"/>
          <w:highlight w:val="none"/>
          <w:lang w:val="en-US" w:eastAsia="zh-CN"/>
        </w:rPr>
        <w:t>垃圾</w:t>
      </w:r>
      <w:r>
        <w:rPr>
          <w:rFonts w:hint="eastAsia" w:ascii="仿宋" w:hAnsi="仿宋" w:eastAsia="仿宋" w:cs="仿宋"/>
          <w:color w:val="auto"/>
          <w:sz w:val="24"/>
          <w:highlight w:val="none"/>
        </w:rPr>
        <w:t>收运系统和餐厨</w:t>
      </w:r>
      <w:r>
        <w:rPr>
          <w:rFonts w:hint="eastAsia" w:ascii="仿宋" w:hAnsi="仿宋" w:eastAsia="仿宋" w:cs="仿宋"/>
          <w:color w:val="auto"/>
          <w:sz w:val="24"/>
          <w:highlight w:val="none"/>
          <w:lang w:val="en-US" w:eastAsia="zh-CN"/>
        </w:rPr>
        <w:t>垃圾</w:t>
      </w:r>
      <w:r>
        <w:rPr>
          <w:rFonts w:hint="eastAsia" w:ascii="仿宋" w:hAnsi="仿宋" w:eastAsia="仿宋" w:cs="仿宋"/>
          <w:color w:val="auto"/>
          <w:sz w:val="24"/>
          <w:highlight w:val="none"/>
        </w:rPr>
        <w:t>资源化处理系统</w:t>
      </w:r>
      <w:r>
        <w:rPr>
          <w:rFonts w:hint="default" w:ascii="仿宋" w:hAnsi="仿宋" w:eastAsia="仿宋" w:cs="仿宋"/>
          <w:color w:val="auto"/>
          <w:sz w:val="24"/>
          <w:highlight w:val="none"/>
        </w:rPr>
        <w:t>）全过程运行进行第三方监管</w:t>
      </w:r>
      <w:r>
        <w:rPr>
          <w:rFonts w:hint="eastAsia" w:ascii="仿宋" w:hAnsi="仿宋" w:eastAsia="仿宋" w:cs="仿宋"/>
          <w:color w:val="auto"/>
          <w:sz w:val="24"/>
          <w:highlight w:val="none"/>
        </w:rPr>
        <w:t>。</w:t>
      </w:r>
      <w:r>
        <w:rPr>
          <w:rFonts w:hint="default" w:ascii="仿宋" w:hAnsi="仿宋" w:eastAsia="仿宋" w:cs="仿宋"/>
          <w:color w:val="auto"/>
          <w:sz w:val="24"/>
          <w:highlight w:val="none"/>
        </w:rPr>
        <w:t>专业机构</w:t>
      </w:r>
      <w:r>
        <w:rPr>
          <w:rFonts w:hint="eastAsia" w:ascii="仿宋" w:hAnsi="仿宋" w:eastAsia="仿宋" w:cs="仿宋"/>
          <w:color w:val="auto"/>
          <w:sz w:val="24"/>
          <w:highlight w:val="none"/>
        </w:rPr>
        <w:t>依照国家和地方相关政策和标准规范，借助互联网+的技术手段，通过智能化在线+技术驻场+日常收运巡查三位一体的科学管控手段</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对全数据</w:t>
      </w:r>
      <w:r>
        <w:rPr>
          <w:rFonts w:hint="default" w:ascii="仿宋" w:hAnsi="仿宋" w:eastAsia="仿宋" w:cs="仿宋"/>
          <w:color w:val="auto"/>
          <w:sz w:val="24"/>
          <w:highlight w:val="none"/>
        </w:rPr>
        <w:t>进行</w:t>
      </w:r>
      <w:r>
        <w:rPr>
          <w:rFonts w:hint="eastAsia" w:ascii="仿宋" w:hAnsi="仿宋" w:eastAsia="仿宋" w:cs="仿宋"/>
          <w:color w:val="auto"/>
          <w:sz w:val="24"/>
          <w:highlight w:val="none"/>
        </w:rPr>
        <w:t>分析管理，实现信息共享、预警预控、保障及时、管理标准统一、创新的监管</w:t>
      </w:r>
      <w:r>
        <w:rPr>
          <w:rFonts w:hint="default" w:ascii="仿宋" w:hAnsi="仿宋" w:eastAsia="仿宋" w:cs="仿宋"/>
          <w:color w:val="auto"/>
          <w:sz w:val="24"/>
          <w:highlight w:val="none"/>
        </w:rPr>
        <w:t>成效</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如有增加终端处置设施，需按采购人要求做好监管，根据需求相应增加驻场监管人员的相关费用另行</w:t>
      </w:r>
      <w:r>
        <w:rPr>
          <w:rFonts w:hint="eastAsia" w:ascii="仿宋" w:hAnsi="仿宋" w:eastAsia="仿宋" w:cs="仿宋"/>
          <w:color w:val="auto"/>
          <w:sz w:val="24"/>
          <w:highlight w:val="none"/>
          <w:lang w:val="en-US" w:eastAsia="zh-CN"/>
        </w:rPr>
        <w:t>参考</w:t>
      </w:r>
      <w:r>
        <w:rPr>
          <w:rFonts w:hint="eastAsia" w:ascii="仿宋" w:hAnsi="仿宋" w:eastAsia="仿宋" w:cs="仿宋"/>
          <w:color w:val="auto"/>
          <w:sz w:val="24"/>
          <w:highlight w:val="none"/>
          <w:lang w:eastAsia="zh-CN"/>
        </w:rPr>
        <w:t>投标响应文件中驻场服务人员报价费用</w:t>
      </w:r>
      <w:r>
        <w:rPr>
          <w:rFonts w:hint="eastAsia" w:ascii="仿宋" w:hAnsi="仿宋" w:eastAsia="仿宋" w:cs="仿宋"/>
          <w:color w:val="auto"/>
          <w:sz w:val="24"/>
          <w:highlight w:val="none"/>
          <w:lang w:val="en-US" w:eastAsia="zh-CN"/>
        </w:rPr>
        <w:t>协商</w:t>
      </w:r>
      <w:r>
        <w:rPr>
          <w:rFonts w:hint="eastAsia" w:ascii="仿宋" w:hAnsi="仿宋" w:eastAsia="仿宋" w:cs="仿宋"/>
          <w:color w:val="auto"/>
          <w:sz w:val="24"/>
          <w:highlight w:val="none"/>
          <w:lang w:eastAsia="zh-CN"/>
        </w:rPr>
        <w:t>签订补充合同</w:t>
      </w:r>
      <w:r>
        <w:rPr>
          <w:rFonts w:hint="eastAsia" w:ascii="仿宋" w:hAnsi="仿宋" w:eastAsia="仿宋" w:cs="仿宋"/>
          <w:color w:val="auto"/>
          <w:sz w:val="24"/>
          <w:highlight w:val="none"/>
        </w:rPr>
        <w:t>。</w:t>
      </w:r>
    </w:p>
    <w:p w14:paraId="1E17CEA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3、第三方监管包括但不限于以下相关依据</w:t>
      </w:r>
    </w:p>
    <w:p w14:paraId="4E137D31">
      <w:pPr>
        <w:pStyle w:val="994"/>
        <w:rPr>
          <w:rFonts w:hint="eastAsia" w:ascii="仿宋" w:hAnsi="仿宋" w:eastAsia="仿宋" w:cs="仿宋"/>
          <w:color w:val="auto"/>
          <w:highlight w:val="none"/>
        </w:rPr>
      </w:pPr>
      <w:r>
        <w:rPr>
          <w:rFonts w:hint="eastAsia" w:ascii="仿宋" w:hAnsi="仿宋" w:eastAsia="仿宋" w:cs="仿宋"/>
          <w:color w:val="auto"/>
          <w:highlight w:val="none"/>
        </w:rPr>
        <w:t>《城市生活垃圾管理办法》</w:t>
      </w:r>
    </w:p>
    <w:p w14:paraId="771557AC">
      <w:pPr>
        <w:pStyle w:val="994"/>
        <w:rPr>
          <w:rFonts w:hint="eastAsia" w:ascii="仿宋" w:hAnsi="仿宋" w:eastAsia="仿宋" w:cs="仿宋"/>
          <w:color w:val="auto"/>
          <w:highlight w:val="none"/>
        </w:rPr>
      </w:pPr>
      <w:r>
        <w:rPr>
          <w:rFonts w:hint="eastAsia" w:ascii="仿宋" w:hAnsi="仿宋" w:eastAsia="仿宋" w:cs="仿宋"/>
          <w:color w:val="auto"/>
          <w:highlight w:val="none"/>
        </w:rPr>
        <w:t>《浙江省餐厨垃圾管理办法》</w:t>
      </w:r>
    </w:p>
    <w:p w14:paraId="6A1767A8">
      <w:pPr>
        <w:pStyle w:val="994"/>
        <w:rPr>
          <w:rFonts w:hint="eastAsia" w:ascii="仿宋" w:hAnsi="仿宋" w:eastAsia="仿宋" w:cs="仿宋"/>
          <w:color w:val="auto"/>
          <w:highlight w:val="none"/>
        </w:rPr>
      </w:pPr>
      <w:r>
        <w:rPr>
          <w:rFonts w:hint="eastAsia" w:ascii="仿宋" w:hAnsi="仿宋" w:eastAsia="仿宋" w:cs="仿宋"/>
          <w:color w:val="auto"/>
          <w:highlight w:val="none"/>
        </w:rPr>
        <w:t>《温州市区餐厨垃圾管理办法》</w:t>
      </w:r>
    </w:p>
    <w:p w14:paraId="4E1E37D4">
      <w:pPr>
        <w:pStyle w:val="994"/>
        <w:rPr>
          <w:rFonts w:hint="eastAsia" w:ascii="仿宋" w:hAnsi="仿宋" w:eastAsia="仿宋" w:cs="仿宋"/>
          <w:color w:val="auto"/>
          <w:highlight w:val="none"/>
        </w:rPr>
      </w:pPr>
      <w:r>
        <w:rPr>
          <w:rFonts w:hint="eastAsia" w:ascii="仿宋" w:hAnsi="仿宋" w:eastAsia="仿宋" w:cs="仿宋"/>
          <w:color w:val="auto"/>
          <w:highlight w:val="none"/>
        </w:rPr>
        <w:t>《餐厨垃圾处理技术规范》</w:t>
      </w:r>
      <w:r>
        <w:rPr>
          <w:rFonts w:hint="default" w:ascii="仿宋" w:hAnsi="仿宋" w:eastAsia="仿宋" w:cs="仿宋"/>
          <w:color w:val="auto"/>
          <w:highlight w:val="none"/>
        </w:rPr>
        <w:t>（</w:t>
      </w:r>
      <w:r>
        <w:rPr>
          <w:rFonts w:hint="eastAsia" w:ascii="仿宋" w:hAnsi="仿宋" w:eastAsia="仿宋" w:cs="仿宋"/>
          <w:color w:val="auto"/>
          <w:highlight w:val="none"/>
        </w:rPr>
        <w:t>CJJ184-2012</w:t>
      </w:r>
      <w:r>
        <w:rPr>
          <w:rFonts w:hint="default" w:ascii="仿宋" w:hAnsi="仿宋" w:eastAsia="仿宋" w:cs="仿宋"/>
          <w:color w:val="auto"/>
          <w:highlight w:val="none"/>
        </w:rPr>
        <w:t>）</w:t>
      </w:r>
    </w:p>
    <w:p w14:paraId="0D23F0FA">
      <w:pPr>
        <w:pStyle w:val="994"/>
        <w:rPr>
          <w:rFonts w:hint="eastAsia" w:ascii="仿宋" w:hAnsi="仿宋" w:eastAsia="仿宋" w:cs="仿宋"/>
          <w:color w:val="auto"/>
          <w:highlight w:val="none"/>
        </w:rPr>
      </w:pPr>
      <w:r>
        <w:rPr>
          <w:rFonts w:hint="eastAsia" w:ascii="仿宋" w:hAnsi="仿宋" w:eastAsia="仿宋" w:cs="仿宋"/>
          <w:color w:val="auto"/>
          <w:highlight w:val="none"/>
        </w:rPr>
        <w:t>《工业企业厂界环境噪声排放标准》</w:t>
      </w:r>
      <w:r>
        <w:rPr>
          <w:rFonts w:hint="default" w:ascii="仿宋" w:hAnsi="仿宋" w:eastAsia="仿宋" w:cs="仿宋"/>
          <w:color w:val="auto"/>
          <w:highlight w:val="none"/>
        </w:rPr>
        <w:t>（</w:t>
      </w:r>
      <w:r>
        <w:rPr>
          <w:rFonts w:hint="eastAsia" w:ascii="仿宋" w:hAnsi="仿宋" w:eastAsia="仿宋" w:cs="仿宋"/>
          <w:color w:val="auto"/>
          <w:highlight w:val="none"/>
        </w:rPr>
        <w:t>GB12348</w:t>
      </w:r>
      <w:r>
        <w:rPr>
          <w:rFonts w:hint="default" w:ascii="仿宋" w:hAnsi="仿宋" w:eastAsia="仿宋" w:cs="仿宋"/>
          <w:color w:val="auto"/>
          <w:highlight w:val="none"/>
        </w:rPr>
        <w:t>）</w:t>
      </w:r>
    </w:p>
    <w:p w14:paraId="4ABD3C4F">
      <w:pPr>
        <w:pStyle w:val="994"/>
        <w:rPr>
          <w:rFonts w:hint="eastAsia" w:ascii="仿宋" w:hAnsi="仿宋" w:eastAsia="仿宋" w:cs="仿宋"/>
          <w:color w:val="auto"/>
          <w:highlight w:val="none"/>
        </w:rPr>
      </w:pPr>
      <w:r>
        <w:rPr>
          <w:rFonts w:hint="eastAsia" w:ascii="仿宋" w:hAnsi="仿宋" w:eastAsia="仿宋" w:cs="仿宋"/>
          <w:color w:val="auto"/>
          <w:highlight w:val="none"/>
        </w:rPr>
        <w:t>《环境空气质量标准》</w:t>
      </w:r>
      <w:r>
        <w:rPr>
          <w:rFonts w:hint="default" w:ascii="仿宋" w:hAnsi="仿宋" w:eastAsia="仿宋" w:cs="仿宋"/>
          <w:color w:val="auto"/>
          <w:highlight w:val="none"/>
        </w:rPr>
        <w:t>（</w:t>
      </w:r>
      <w:r>
        <w:rPr>
          <w:rFonts w:hint="eastAsia" w:ascii="仿宋" w:hAnsi="仿宋" w:eastAsia="仿宋" w:cs="仿宋"/>
          <w:color w:val="auto"/>
          <w:highlight w:val="none"/>
        </w:rPr>
        <w:t>GB3095-2012</w:t>
      </w:r>
      <w:r>
        <w:rPr>
          <w:rFonts w:hint="default" w:ascii="仿宋" w:hAnsi="仿宋" w:eastAsia="仿宋" w:cs="仿宋"/>
          <w:color w:val="auto"/>
          <w:highlight w:val="none"/>
        </w:rPr>
        <w:t>）</w:t>
      </w:r>
    </w:p>
    <w:p w14:paraId="6A074F23">
      <w:pPr>
        <w:pStyle w:val="994"/>
        <w:rPr>
          <w:rFonts w:hint="eastAsia" w:ascii="仿宋" w:hAnsi="仿宋" w:eastAsia="仿宋" w:cs="仿宋"/>
          <w:color w:val="auto"/>
          <w:highlight w:val="none"/>
        </w:rPr>
      </w:pPr>
      <w:r>
        <w:rPr>
          <w:rFonts w:hint="eastAsia" w:ascii="仿宋" w:hAnsi="仿宋" w:eastAsia="仿宋" w:cs="仿宋"/>
          <w:color w:val="auto"/>
          <w:highlight w:val="none"/>
        </w:rPr>
        <w:t>《环境卫生设施设置标准》（CJJ27-2012）</w:t>
      </w:r>
    </w:p>
    <w:p w14:paraId="2A76AE6A">
      <w:pPr>
        <w:pStyle w:val="994"/>
        <w:rPr>
          <w:rFonts w:hint="eastAsia" w:ascii="仿宋" w:hAnsi="仿宋" w:eastAsia="仿宋" w:cs="仿宋"/>
          <w:color w:val="auto"/>
          <w:highlight w:val="none"/>
        </w:rPr>
      </w:pPr>
      <w:r>
        <w:rPr>
          <w:rFonts w:hint="eastAsia" w:ascii="仿宋" w:hAnsi="仿宋" w:eastAsia="仿宋" w:cs="仿宋"/>
          <w:color w:val="auto"/>
          <w:highlight w:val="none"/>
        </w:rPr>
        <w:t>《恶臭污染物排放标准》（GB14554-93）</w:t>
      </w:r>
    </w:p>
    <w:p w14:paraId="574D7CBD">
      <w:pPr>
        <w:pStyle w:val="994"/>
        <w:rPr>
          <w:rFonts w:hint="eastAsia" w:ascii="仿宋" w:hAnsi="仿宋" w:eastAsia="仿宋" w:cs="仿宋"/>
          <w:color w:val="auto"/>
          <w:highlight w:val="none"/>
        </w:rPr>
      </w:pPr>
      <w:r>
        <w:rPr>
          <w:rFonts w:hint="eastAsia" w:ascii="仿宋" w:hAnsi="仿宋" w:eastAsia="仿宋" w:cs="仿宋"/>
          <w:color w:val="auto"/>
          <w:highlight w:val="none"/>
        </w:rPr>
        <w:t>《地下水质量标准》（GB/T14848-2017）</w:t>
      </w:r>
    </w:p>
    <w:p w14:paraId="6E7EE392">
      <w:pPr>
        <w:pStyle w:val="994"/>
        <w:rPr>
          <w:rFonts w:hint="eastAsia" w:ascii="仿宋" w:hAnsi="仿宋" w:eastAsia="仿宋" w:cs="仿宋"/>
          <w:color w:val="auto"/>
          <w:highlight w:val="none"/>
        </w:rPr>
      </w:pPr>
      <w:r>
        <w:rPr>
          <w:rFonts w:hint="eastAsia" w:ascii="仿宋" w:hAnsi="仿宋" w:eastAsia="仿宋" w:cs="仿宋"/>
          <w:color w:val="auto"/>
          <w:highlight w:val="none"/>
        </w:rPr>
        <w:t>《临江生活垃圾焚烧发电厂三期工程BOT项目服务协议》</w:t>
      </w:r>
      <w:bookmarkStart w:id="56" w:name="_Toc498569330"/>
    </w:p>
    <w:p w14:paraId="078ABEC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4、监管</w:t>
      </w:r>
      <w:r>
        <w:rPr>
          <w:rFonts w:hint="default" w:ascii="仿宋" w:hAnsi="仿宋" w:eastAsia="仿宋" w:cs="仿宋"/>
          <w:color w:val="auto"/>
          <w:sz w:val="24"/>
          <w:highlight w:val="none"/>
        </w:rPr>
        <w:t>内容</w:t>
      </w:r>
      <w:bookmarkEnd w:id="56"/>
    </w:p>
    <w:p w14:paraId="69CB9A60">
      <w:pPr>
        <w:pStyle w:val="995"/>
        <w:tabs>
          <w:tab w:val="left" w:pos="480"/>
          <w:tab w:val="clear" w:pos="7012"/>
        </w:tabs>
        <w:spacing w:line="408" w:lineRule="auto"/>
        <w:ind w:left="567"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u w:val="none"/>
          <w:lang w:eastAsia="zh-CN"/>
        </w:rPr>
        <w:t>餐厨</w:t>
      </w:r>
      <w:r>
        <w:rPr>
          <w:rFonts w:hint="default" w:ascii="仿宋" w:hAnsi="仿宋" w:eastAsia="仿宋" w:cs="仿宋"/>
          <w:color w:val="auto"/>
          <w:highlight w:val="none"/>
          <w:u w:val="none"/>
          <w:lang w:eastAsia="zh-CN"/>
        </w:rPr>
        <w:t>垃圾</w:t>
      </w:r>
      <w:r>
        <w:rPr>
          <w:rFonts w:hint="eastAsia" w:ascii="仿宋" w:hAnsi="仿宋" w:eastAsia="仿宋" w:cs="仿宋"/>
          <w:color w:val="auto"/>
          <w:highlight w:val="none"/>
          <w:u w:val="none"/>
          <w:lang w:eastAsia="zh-CN"/>
        </w:rPr>
        <w:t>收运</w:t>
      </w:r>
      <w:r>
        <w:rPr>
          <w:rFonts w:hint="eastAsia" w:ascii="仿宋" w:hAnsi="仿宋" w:eastAsia="仿宋" w:cs="仿宋"/>
          <w:color w:val="auto"/>
          <w:highlight w:val="none"/>
        </w:rPr>
        <w:t>环节管理需求</w:t>
      </w:r>
    </w:p>
    <w:p w14:paraId="78DBA1D1">
      <w:pPr>
        <w:pStyle w:val="995"/>
        <w:tabs>
          <w:tab w:val="left" w:pos="480"/>
          <w:tab w:val="clear" w:pos="7012"/>
        </w:tabs>
        <w:spacing w:line="408" w:lineRule="auto"/>
        <w:ind w:left="567" w:firstLine="0" w:firstLineChars="0"/>
        <w:rPr>
          <w:rFonts w:hint="eastAsia" w:ascii="仿宋" w:hAnsi="仿宋" w:eastAsia="仿宋" w:cs="仿宋"/>
          <w:color w:val="auto"/>
          <w:highlight w:val="none"/>
          <w:u w:val="none"/>
          <w:lang w:eastAsia="zh-CN"/>
        </w:rPr>
      </w:pPr>
      <w:r>
        <w:rPr>
          <w:rFonts w:hint="eastAsia" w:ascii="仿宋" w:hAnsi="仿宋" w:eastAsia="仿宋" w:cs="仿宋"/>
          <w:color w:val="auto"/>
          <w:highlight w:val="none"/>
        </w:rPr>
        <w:t></w:t>
      </w:r>
      <w:r>
        <w:rPr>
          <w:rFonts w:hint="eastAsia" w:ascii="仿宋" w:hAnsi="仿宋" w:eastAsia="仿宋" w:cs="仿宋"/>
          <w:color w:val="auto"/>
          <w:highlight w:val="none"/>
          <w:u w:val="none"/>
        </w:rPr>
        <w:tab/>
      </w:r>
      <w:r>
        <w:rPr>
          <w:rFonts w:hint="eastAsia" w:ascii="仿宋" w:hAnsi="仿宋" w:eastAsia="仿宋" w:cs="仿宋"/>
          <w:color w:val="auto"/>
          <w:highlight w:val="none"/>
          <w:u w:val="none"/>
          <w:lang w:eastAsia="zh-CN"/>
        </w:rPr>
        <w:t>对餐厨收运</w:t>
      </w:r>
      <w:r>
        <w:rPr>
          <w:rFonts w:hint="eastAsia" w:ascii="仿宋" w:hAnsi="仿宋" w:eastAsia="仿宋" w:cs="仿宋"/>
          <w:color w:val="auto"/>
          <w:highlight w:val="none"/>
          <w:u w:val="none"/>
          <w:lang w:val="en-US" w:eastAsia="zh-CN"/>
        </w:rPr>
        <w:t>企业</w:t>
      </w:r>
      <w:r>
        <w:rPr>
          <w:rFonts w:hint="eastAsia" w:ascii="仿宋" w:hAnsi="仿宋" w:eastAsia="仿宋" w:cs="仿宋"/>
          <w:color w:val="auto"/>
          <w:highlight w:val="none"/>
          <w:u w:val="none"/>
          <w:lang w:eastAsia="zh-CN"/>
        </w:rPr>
        <w:t>拒收</w:t>
      </w:r>
      <w:r>
        <w:rPr>
          <w:rFonts w:hint="default" w:ascii="仿宋" w:hAnsi="仿宋" w:eastAsia="仿宋" w:cs="仿宋"/>
          <w:color w:val="auto"/>
          <w:highlight w:val="none"/>
          <w:u w:val="none"/>
          <w:lang w:eastAsia="zh-CN"/>
        </w:rPr>
        <w:t>、漏收等应收未收</w:t>
      </w:r>
      <w:r>
        <w:rPr>
          <w:rFonts w:hint="eastAsia" w:ascii="仿宋" w:hAnsi="仿宋" w:eastAsia="仿宋" w:cs="仿宋"/>
          <w:color w:val="auto"/>
          <w:highlight w:val="none"/>
          <w:u w:val="none"/>
          <w:lang w:eastAsia="zh-CN"/>
        </w:rPr>
        <w:t>餐厨垃圾的监管；</w:t>
      </w:r>
    </w:p>
    <w:p w14:paraId="6861D995">
      <w:pPr>
        <w:pStyle w:val="995"/>
        <w:tabs>
          <w:tab w:val="left" w:pos="480"/>
          <w:tab w:val="clear" w:pos="7012"/>
        </w:tabs>
        <w:spacing w:line="408" w:lineRule="auto"/>
        <w:ind w:left="567" w:firstLine="0" w:firstLineChars="0"/>
        <w:rPr>
          <w:rFonts w:hint="default"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 xml:space="preserve">  对餐厨收运点环境卫生的监管</w:t>
      </w:r>
      <w:r>
        <w:rPr>
          <w:rFonts w:hint="eastAsia" w:ascii="仿宋" w:hAnsi="仿宋" w:eastAsia="仿宋" w:cs="仿宋"/>
          <w:color w:val="auto"/>
          <w:highlight w:val="none"/>
          <w:u w:val="none"/>
          <w:lang w:eastAsia="zh-CN"/>
        </w:rPr>
        <w:t>；</w:t>
      </w:r>
    </w:p>
    <w:p w14:paraId="1265F181">
      <w:pPr>
        <w:pStyle w:val="995"/>
        <w:tabs>
          <w:tab w:val="left" w:pos="480"/>
          <w:tab w:val="clear" w:pos="7012"/>
        </w:tabs>
        <w:spacing w:line="408" w:lineRule="auto"/>
        <w:ind w:left="567"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对</w:t>
      </w:r>
      <w:r>
        <w:rPr>
          <w:rFonts w:hint="default" w:ascii="仿宋" w:hAnsi="仿宋" w:eastAsia="仿宋" w:cs="仿宋"/>
          <w:color w:val="auto"/>
          <w:highlight w:val="none"/>
        </w:rPr>
        <w:t>餐厨收运</w:t>
      </w:r>
      <w:r>
        <w:rPr>
          <w:rFonts w:hint="eastAsia" w:ascii="仿宋" w:hAnsi="仿宋" w:eastAsia="仿宋" w:cs="仿宋"/>
          <w:color w:val="auto"/>
          <w:highlight w:val="none"/>
        </w:rPr>
        <w:t>过程随意倾倒、遗撒餐厨垃圾等违规操作进行监管；</w:t>
      </w:r>
    </w:p>
    <w:p w14:paraId="292156AD">
      <w:pPr>
        <w:pStyle w:val="995"/>
        <w:tabs>
          <w:tab w:val="left" w:pos="480"/>
          <w:tab w:val="clear" w:pos="7012"/>
        </w:tabs>
        <w:spacing w:line="408" w:lineRule="auto"/>
        <w:ind w:left="567"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rPr>
        <w:tab/>
      </w:r>
      <w:r>
        <w:rPr>
          <w:rFonts w:hint="eastAsia" w:ascii="仿宋" w:hAnsi="仿宋" w:eastAsia="仿宋" w:cs="仿宋"/>
          <w:color w:val="auto"/>
          <w:highlight w:val="none"/>
        </w:rPr>
        <w:t>对餐厨垃圾收运企业非法倒卖餐厨垃圾进行监管；</w:t>
      </w:r>
    </w:p>
    <w:p w14:paraId="01151601">
      <w:pPr>
        <w:pStyle w:val="995"/>
        <w:tabs>
          <w:tab w:val="left" w:pos="480"/>
          <w:tab w:val="clear" w:pos="7012"/>
        </w:tabs>
        <w:spacing w:line="408" w:lineRule="auto"/>
        <w:ind w:left="567"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rPr>
        <w:tab/>
      </w:r>
      <w:r>
        <w:rPr>
          <w:rFonts w:hint="eastAsia" w:ascii="仿宋" w:hAnsi="仿宋" w:eastAsia="仿宋" w:cs="仿宋"/>
          <w:color w:val="auto"/>
          <w:highlight w:val="none"/>
        </w:rPr>
        <w:t>对餐厨垃圾收运车“跨区收运”进行监管；</w:t>
      </w:r>
    </w:p>
    <w:p w14:paraId="1D1BE3EB">
      <w:pPr>
        <w:pStyle w:val="995"/>
        <w:tabs>
          <w:tab w:val="left" w:pos="480"/>
          <w:tab w:val="clear" w:pos="7012"/>
        </w:tabs>
        <w:spacing w:line="408" w:lineRule="auto"/>
        <w:ind w:left="567"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rPr>
        <w:tab/>
      </w:r>
      <w:r>
        <w:rPr>
          <w:rFonts w:hint="eastAsia" w:ascii="仿宋" w:hAnsi="仿宋" w:eastAsia="仿宋" w:cs="仿宋"/>
          <w:color w:val="auto"/>
          <w:highlight w:val="none"/>
        </w:rPr>
        <w:t>对餐厨垃圾收运企业收运过程非法掺水进行监管；</w:t>
      </w:r>
    </w:p>
    <w:p w14:paraId="2D0F1F1E">
      <w:pPr>
        <w:pStyle w:val="995"/>
        <w:tabs>
          <w:tab w:val="left" w:pos="480"/>
          <w:tab w:val="clear" w:pos="7012"/>
        </w:tabs>
        <w:spacing w:line="408" w:lineRule="auto"/>
        <w:ind w:left="567"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w:t>
      </w:r>
      <w:r>
        <w:rPr>
          <w:rFonts w:hint="default" w:ascii="仿宋" w:hAnsi="仿宋" w:eastAsia="仿宋" w:cs="仿宋"/>
          <w:color w:val="auto"/>
          <w:highlight w:val="none"/>
          <w:lang w:eastAsia="zh-CN"/>
        </w:rPr>
        <w:t>对</w:t>
      </w:r>
      <w:r>
        <w:rPr>
          <w:rFonts w:hint="eastAsia" w:ascii="仿宋" w:hAnsi="仿宋" w:eastAsia="仿宋" w:cs="仿宋"/>
          <w:color w:val="auto"/>
          <w:highlight w:val="none"/>
          <w:lang w:val="en-US" w:eastAsia="zh-CN"/>
        </w:rPr>
        <w:t>收运质量、安全行车</w:t>
      </w:r>
      <w:r>
        <w:rPr>
          <w:rFonts w:hint="default" w:ascii="仿宋" w:hAnsi="仿宋" w:eastAsia="仿宋" w:cs="仿宋"/>
          <w:color w:val="auto"/>
          <w:highlight w:val="none"/>
          <w:lang w:eastAsia="zh-CN"/>
        </w:rPr>
        <w:t>等进行监管</w:t>
      </w:r>
      <w:r>
        <w:rPr>
          <w:rFonts w:hint="eastAsia" w:ascii="仿宋" w:hAnsi="仿宋" w:eastAsia="仿宋" w:cs="仿宋"/>
          <w:color w:val="auto"/>
          <w:highlight w:val="none"/>
          <w:lang w:val="en-US" w:eastAsia="zh-CN"/>
        </w:rPr>
        <w:t>。</w:t>
      </w:r>
    </w:p>
    <w:p w14:paraId="509B04AB">
      <w:pPr>
        <w:pStyle w:val="995"/>
        <w:tabs>
          <w:tab w:val="left" w:pos="480"/>
          <w:tab w:val="clear" w:pos="7012"/>
        </w:tabs>
        <w:spacing w:line="408" w:lineRule="auto"/>
        <w:rPr>
          <w:rFonts w:hint="eastAsia" w:ascii="仿宋" w:hAnsi="仿宋" w:eastAsia="仿宋" w:cs="仿宋"/>
          <w:color w:val="auto"/>
          <w:highlight w:val="none"/>
        </w:rPr>
      </w:pPr>
      <w:r>
        <w:rPr>
          <w:rFonts w:hint="eastAsia" w:ascii="仿宋" w:hAnsi="仿宋" w:eastAsia="仿宋" w:cs="仿宋"/>
          <w:color w:val="auto"/>
          <w:highlight w:val="none"/>
        </w:rPr>
        <w:t>（2）餐厨垃圾处置环节管理需求</w:t>
      </w:r>
    </w:p>
    <w:p w14:paraId="3898E027">
      <w:pPr>
        <w:pStyle w:val="995"/>
        <w:tabs>
          <w:tab w:val="left" w:pos="480"/>
          <w:tab w:val="clear" w:pos="7012"/>
        </w:tabs>
        <w:spacing w:line="408" w:lineRule="auto"/>
        <w:ind w:left="567"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rPr>
        <w:tab/>
      </w:r>
      <w:r>
        <w:rPr>
          <w:rFonts w:hint="eastAsia" w:ascii="仿宋" w:hAnsi="仿宋" w:eastAsia="仿宋" w:cs="仿宋"/>
          <w:color w:val="auto"/>
          <w:highlight w:val="none"/>
        </w:rPr>
        <w:t>对处置过程规范操作与安全进行监管；</w:t>
      </w:r>
    </w:p>
    <w:p w14:paraId="56C14CAD">
      <w:pPr>
        <w:pStyle w:val="995"/>
        <w:tabs>
          <w:tab w:val="left" w:pos="480"/>
          <w:tab w:val="clear" w:pos="7012"/>
        </w:tabs>
        <w:spacing w:line="408" w:lineRule="auto"/>
        <w:ind w:left="567"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rPr>
        <w:tab/>
      </w:r>
      <w:r>
        <w:rPr>
          <w:rFonts w:hint="eastAsia" w:ascii="仿宋" w:hAnsi="仿宋" w:eastAsia="仿宋" w:cs="仿宋"/>
          <w:color w:val="auto"/>
          <w:highlight w:val="none"/>
        </w:rPr>
        <w:t>餐厨垃圾处置场实时进场处置量监管；</w:t>
      </w:r>
    </w:p>
    <w:p w14:paraId="33B8D82D">
      <w:pPr>
        <w:pStyle w:val="995"/>
        <w:tabs>
          <w:tab w:val="left" w:pos="480"/>
          <w:tab w:val="clear" w:pos="7012"/>
        </w:tabs>
        <w:spacing w:line="408" w:lineRule="auto"/>
        <w:ind w:left="567"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rPr>
        <w:tab/>
      </w:r>
      <w:r>
        <w:rPr>
          <w:rFonts w:hint="eastAsia" w:ascii="仿宋" w:hAnsi="仿宋" w:eastAsia="仿宋" w:cs="仿宋"/>
          <w:color w:val="auto"/>
          <w:highlight w:val="none"/>
        </w:rPr>
        <w:t>对餐厨垃圾处置过程是否产生二次污染进行监管</w:t>
      </w:r>
      <w:r>
        <w:rPr>
          <w:rFonts w:hint="eastAsia" w:ascii="仿宋" w:hAnsi="仿宋" w:eastAsia="仿宋" w:cs="仿宋"/>
          <w:color w:val="auto"/>
          <w:highlight w:val="none"/>
          <w:lang w:val="en-US" w:eastAsia="zh-CN"/>
        </w:rPr>
        <w:t>。</w:t>
      </w:r>
    </w:p>
    <w:p w14:paraId="0B426120">
      <w:pPr>
        <w:spacing w:line="360" w:lineRule="auto"/>
        <w:ind w:firstLine="480" w:firstLineChars="200"/>
        <w:rPr>
          <w:rFonts w:hint="eastAsia" w:ascii="仿宋" w:hAnsi="仿宋" w:eastAsia="仿宋" w:cs="仿宋"/>
          <w:color w:val="auto"/>
          <w:sz w:val="24"/>
          <w:highlight w:val="none"/>
        </w:rPr>
      </w:pPr>
      <w:bookmarkStart w:id="57" w:name="_Toc1771547662"/>
      <w:r>
        <w:rPr>
          <w:rFonts w:hint="eastAsia" w:ascii="仿宋" w:hAnsi="仿宋" w:eastAsia="仿宋" w:cs="仿宋"/>
          <w:color w:val="auto"/>
          <w:sz w:val="24"/>
          <w:highlight w:val="none"/>
        </w:rPr>
        <w:t>5、监管</w:t>
      </w:r>
      <w:r>
        <w:rPr>
          <w:rFonts w:hint="default" w:ascii="仿宋" w:hAnsi="仿宋" w:eastAsia="仿宋" w:cs="仿宋"/>
          <w:color w:val="auto"/>
          <w:sz w:val="24"/>
          <w:highlight w:val="none"/>
        </w:rPr>
        <w:t>依据</w:t>
      </w:r>
      <w:bookmarkEnd w:id="57"/>
    </w:p>
    <w:p w14:paraId="77A3DE36">
      <w:pPr>
        <w:pStyle w:val="994"/>
        <w:spacing w:line="360" w:lineRule="auto"/>
        <w:ind w:firstLine="480" w:firstLineChars="200"/>
        <w:rPr>
          <w:rFonts w:hint="eastAsia" w:ascii="仿宋" w:hAnsi="仿宋" w:eastAsia="仿宋" w:cs="仿宋"/>
          <w:bCs/>
          <w:color w:val="auto"/>
          <w:kern w:val="0"/>
          <w:sz w:val="24"/>
          <w:szCs w:val="21"/>
          <w:highlight w:val="none"/>
        </w:rPr>
      </w:pPr>
      <w:r>
        <w:rPr>
          <w:rFonts w:hint="eastAsia" w:ascii="仿宋" w:hAnsi="仿宋" w:eastAsia="仿宋" w:cs="仿宋"/>
          <w:color w:val="auto"/>
          <w:sz w:val="24"/>
          <w:szCs w:val="22"/>
          <w:highlight w:val="none"/>
        </w:rPr>
        <w:t>严格执行《餐厨垃圾处理技术规范》（CJJ184-2012）、</w:t>
      </w:r>
      <w:r>
        <w:rPr>
          <w:rFonts w:hint="eastAsia" w:ascii="仿宋" w:hAnsi="仿宋" w:eastAsia="仿宋" w:cs="仿宋"/>
          <w:color w:val="auto"/>
          <w:kern w:val="0"/>
          <w:sz w:val="24"/>
          <w:highlight w:val="none"/>
        </w:rPr>
        <w:t>《餐厨垃圾处理厂运行维护技术规程》</w:t>
      </w:r>
      <w:r>
        <w:rPr>
          <w:rFonts w:hint="eastAsia" w:ascii="仿宋" w:hAnsi="仿宋" w:eastAsia="仿宋" w:cs="仿宋"/>
          <w:bCs/>
          <w:color w:val="auto"/>
          <w:kern w:val="0"/>
          <w:sz w:val="24"/>
          <w:szCs w:val="21"/>
          <w:highlight w:val="none"/>
        </w:rPr>
        <w:t>等国家相关法律、法规、标准的要求和</w:t>
      </w:r>
      <w:r>
        <w:rPr>
          <w:rFonts w:hint="eastAsia" w:ascii="仿宋" w:hAnsi="仿宋" w:eastAsia="仿宋" w:cs="仿宋"/>
          <w:color w:val="auto"/>
          <w:highlight w:val="none"/>
        </w:rPr>
        <w:t>《临江生活垃圾焚烧发电厂三期工程BOT项目服务协议》</w:t>
      </w:r>
      <w:r>
        <w:rPr>
          <w:rFonts w:hint="default" w:ascii="仿宋" w:hAnsi="仿宋" w:eastAsia="仿宋" w:cs="仿宋"/>
          <w:bCs/>
          <w:color w:val="auto"/>
          <w:kern w:val="0"/>
          <w:sz w:val="24"/>
          <w:szCs w:val="21"/>
          <w:highlight w:val="none"/>
        </w:rPr>
        <w:t>等</w:t>
      </w:r>
      <w:r>
        <w:rPr>
          <w:rFonts w:hint="eastAsia" w:ascii="仿宋" w:hAnsi="仿宋" w:eastAsia="仿宋" w:cs="仿宋"/>
          <w:color w:val="auto"/>
          <w:sz w:val="24"/>
          <w:szCs w:val="22"/>
          <w:highlight w:val="none"/>
        </w:rPr>
        <w:t>相关规定，对</w:t>
      </w:r>
      <w:r>
        <w:rPr>
          <w:rFonts w:hint="eastAsia" w:ascii="仿宋" w:hAnsi="仿宋" w:eastAsia="仿宋" w:cs="仿宋"/>
          <w:color w:val="auto"/>
          <w:kern w:val="0"/>
          <w:sz w:val="24"/>
          <w:highlight w:val="none"/>
        </w:rPr>
        <w:t>垃圾处</w:t>
      </w:r>
      <w:r>
        <w:rPr>
          <w:rFonts w:hint="default" w:ascii="仿宋" w:hAnsi="仿宋" w:eastAsia="仿宋" w:cs="仿宋"/>
          <w:color w:val="auto"/>
          <w:kern w:val="0"/>
          <w:sz w:val="24"/>
          <w:highlight w:val="none"/>
        </w:rPr>
        <w:t>置</w:t>
      </w:r>
      <w:r>
        <w:rPr>
          <w:rFonts w:hint="eastAsia" w:ascii="仿宋" w:hAnsi="仿宋" w:eastAsia="仿宋" w:cs="仿宋"/>
          <w:color w:val="auto"/>
          <w:kern w:val="0"/>
          <w:sz w:val="24"/>
          <w:highlight w:val="none"/>
        </w:rPr>
        <w:t>产生的三废处理</w:t>
      </w:r>
      <w:r>
        <w:rPr>
          <w:rFonts w:hint="eastAsia" w:ascii="仿宋" w:hAnsi="仿宋" w:eastAsia="仿宋" w:cs="仿宋"/>
          <w:bCs/>
          <w:color w:val="auto"/>
          <w:kern w:val="0"/>
          <w:sz w:val="24"/>
          <w:szCs w:val="21"/>
          <w:highlight w:val="none"/>
        </w:rPr>
        <w:t>实行重点监管，包括但不限于以下九个方面：运营基本条件、计量系统、作业规程、安全生产、环境风险、运营数据报表等。</w:t>
      </w:r>
    </w:p>
    <w:p w14:paraId="5A4FCA7E">
      <w:pPr>
        <w:spacing w:line="360" w:lineRule="auto"/>
        <w:ind w:firstLine="480" w:firstLineChars="200"/>
        <w:rPr>
          <w:rFonts w:hint="eastAsia" w:ascii="仿宋" w:hAnsi="仿宋" w:eastAsia="仿宋" w:cs="仿宋"/>
          <w:bCs/>
          <w:color w:val="auto"/>
          <w:kern w:val="0"/>
          <w:sz w:val="24"/>
          <w:szCs w:val="21"/>
          <w:highlight w:val="none"/>
        </w:rPr>
      </w:pPr>
      <w:r>
        <w:rPr>
          <w:rFonts w:hint="eastAsia" w:ascii="仿宋" w:hAnsi="仿宋" w:eastAsia="仿宋" w:cs="仿宋"/>
          <w:bCs/>
          <w:color w:val="auto"/>
          <w:kern w:val="0"/>
          <w:sz w:val="24"/>
          <w:szCs w:val="21"/>
          <w:highlight w:val="none"/>
        </w:rPr>
        <w:t>（1）运营基本条件：主要包括运营方的运营证、许可证、机构设置，设施设备配置，人员资质以及运营相关管理、运行、检修等制度与规程。</w:t>
      </w:r>
    </w:p>
    <w:p w14:paraId="07B87C32">
      <w:pPr>
        <w:spacing w:line="360" w:lineRule="auto"/>
        <w:ind w:firstLine="480" w:firstLineChars="200"/>
        <w:jc w:val="left"/>
        <w:rPr>
          <w:rFonts w:hint="eastAsia" w:ascii="仿宋" w:hAnsi="仿宋" w:eastAsia="仿宋" w:cs="仿宋"/>
          <w:bCs/>
          <w:color w:val="auto"/>
          <w:kern w:val="0"/>
          <w:sz w:val="24"/>
          <w:szCs w:val="21"/>
          <w:highlight w:val="none"/>
        </w:rPr>
      </w:pPr>
      <w:r>
        <w:rPr>
          <w:rFonts w:hint="eastAsia" w:ascii="仿宋" w:hAnsi="仿宋" w:eastAsia="仿宋" w:cs="仿宋"/>
          <w:bCs/>
          <w:color w:val="auto"/>
          <w:kern w:val="0"/>
          <w:sz w:val="24"/>
          <w:szCs w:val="21"/>
          <w:highlight w:val="none"/>
        </w:rPr>
        <w:t>（2）产生单位</w:t>
      </w:r>
      <w:r>
        <w:rPr>
          <w:rFonts w:hint="eastAsia" w:ascii="仿宋" w:hAnsi="仿宋" w:eastAsia="仿宋" w:cs="仿宋"/>
          <w:bCs/>
          <w:color w:val="auto"/>
          <w:kern w:val="0"/>
          <w:sz w:val="24"/>
          <w:szCs w:val="21"/>
          <w:highlight w:val="none"/>
          <w:lang w:eastAsia="zh-CN"/>
        </w:rPr>
        <w:t>信息管理</w:t>
      </w:r>
      <w:r>
        <w:rPr>
          <w:rFonts w:hint="eastAsia" w:ascii="仿宋" w:hAnsi="仿宋" w:eastAsia="仿宋" w:cs="仿宋"/>
          <w:bCs/>
          <w:color w:val="auto"/>
          <w:kern w:val="0"/>
          <w:sz w:val="24"/>
          <w:szCs w:val="21"/>
          <w:highlight w:val="none"/>
        </w:rPr>
        <w:t>：主要包括产生单位地理信息、产生情况、</w:t>
      </w:r>
      <w:r>
        <w:rPr>
          <w:rFonts w:hint="eastAsia" w:ascii="仿宋" w:hAnsi="仿宋" w:eastAsia="仿宋" w:cs="仿宋"/>
          <w:bCs/>
          <w:color w:val="auto"/>
          <w:kern w:val="0"/>
          <w:sz w:val="24"/>
          <w:szCs w:val="21"/>
          <w:highlight w:val="none"/>
          <w:lang w:eastAsia="zh-CN"/>
        </w:rPr>
        <w:t>信息标签</w:t>
      </w:r>
      <w:r>
        <w:rPr>
          <w:rFonts w:hint="eastAsia" w:ascii="仿宋" w:hAnsi="仿宋" w:eastAsia="仿宋" w:cs="仿宋"/>
          <w:bCs/>
          <w:color w:val="auto"/>
          <w:kern w:val="0"/>
          <w:sz w:val="24"/>
          <w:szCs w:val="21"/>
          <w:highlight w:val="none"/>
        </w:rPr>
        <w:t>、</w:t>
      </w:r>
      <w:r>
        <w:rPr>
          <w:rFonts w:hint="eastAsia" w:ascii="仿宋" w:hAnsi="仿宋" w:eastAsia="仿宋" w:cs="仿宋"/>
          <w:bCs/>
          <w:color w:val="auto"/>
          <w:kern w:val="0"/>
          <w:sz w:val="24"/>
          <w:szCs w:val="21"/>
          <w:highlight w:val="none"/>
          <w:lang w:eastAsia="zh-CN"/>
        </w:rPr>
        <w:t>满意度调查</w:t>
      </w:r>
      <w:r>
        <w:rPr>
          <w:rFonts w:hint="eastAsia" w:ascii="仿宋" w:hAnsi="仿宋" w:eastAsia="仿宋" w:cs="仿宋"/>
          <w:bCs/>
          <w:color w:val="auto"/>
          <w:kern w:val="0"/>
          <w:sz w:val="24"/>
          <w:szCs w:val="21"/>
          <w:highlight w:val="none"/>
        </w:rPr>
        <w:t>、是否收运</w:t>
      </w:r>
      <w:r>
        <w:rPr>
          <w:rFonts w:hint="eastAsia" w:ascii="仿宋" w:hAnsi="仿宋" w:eastAsia="仿宋" w:cs="仿宋"/>
          <w:bCs/>
          <w:color w:val="auto"/>
          <w:kern w:val="0"/>
          <w:sz w:val="24"/>
          <w:szCs w:val="21"/>
          <w:highlight w:val="none"/>
          <w:lang w:eastAsia="zh-CN"/>
        </w:rPr>
        <w:t>等</w:t>
      </w:r>
      <w:r>
        <w:rPr>
          <w:rFonts w:hint="eastAsia" w:ascii="仿宋" w:hAnsi="仿宋" w:eastAsia="仿宋" w:cs="仿宋"/>
          <w:bCs/>
          <w:color w:val="auto"/>
          <w:kern w:val="0"/>
          <w:sz w:val="24"/>
          <w:szCs w:val="21"/>
          <w:highlight w:val="none"/>
        </w:rPr>
        <w:t>进行</w:t>
      </w:r>
      <w:r>
        <w:rPr>
          <w:rFonts w:hint="eastAsia" w:ascii="仿宋" w:hAnsi="仿宋" w:eastAsia="仿宋" w:cs="仿宋"/>
          <w:bCs/>
          <w:color w:val="auto"/>
          <w:kern w:val="0"/>
          <w:sz w:val="24"/>
          <w:szCs w:val="21"/>
          <w:highlight w:val="none"/>
          <w:lang w:eastAsia="zh-CN"/>
        </w:rPr>
        <w:t>管理</w:t>
      </w:r>
      <w:r>
        <w:rPr>
          <w:rFonts w:hint="eastAsia" w:ascii="仿宋" w:hAnsi="仿宋" w:eastAsia="仿宋" w:cs="仿宋"/>
          <w:bCs/>
          <w:color w:val="auto"/>
          <w:kern w:val="0"/>
          <w:sz w:val="24"/>
          <w:szCs w:val="21"/>
          <w:highlight w:val="none"/>
        </w:rPr>
        <w:t>。</w:t>
      </w:r>
    </w:p>
    <w:p w14:paraId="6EE7D6F7">
      <w:pPr>
        <w:spacing w:line="360" w:lineRule="auto"/>
        <w:ind w:firstLine="480" w:firstLineChars="200"/>
        <w:rPr>
          <w:rFonts w:hint="default" w:ascii="仿宋" w:hAnsi="仿宋" w:eastAsia="仿宋" w:cs="仿宋"/>
          <w:bCs/>
          <w:color w:val="auto"/>
          <w:kern w:val="0"/>
          <w:sz w:val="24"/>
          <w:szCs w:val="21"/>
          <w:highlight w:val="none"/>
          <w:lang w:val="en-US" w:eastAsia="zh-CN"/>
        </w:rPr>
      </w:pPr>
      <w:r>
        <w:rPr>
          <w:rFonts w:hint="eastAsia" w:ascii="仿宋" w:hAnsi="仿宋" w:eastAsia="仿宋" w:cs="仿宋"/>
          <w:bCs/>
          <w:color w:val="auto"/>
          <w:kern w:val="0"/>
          <w:sz w:val="24"/>
          <w:szCs w:val="21"/>
          <w:highlight w:val="none"/>
        </w:rPr>
        <w:t>（3）收运监管：主要包括收运单位、收运车辆、收运司机、收运路线、收运频次</w:t>
      </w:r>
      <w:r>
        <w:rPr>
          <w:rFonts w:hint="eastAsia" w:ascii="仿宋" w:hAnsi="仿宋" w:eastAsia="仿宋" w:cs="仿宋"/>
          <w:bCs/>
          <w:color w:val="auto"/>
          <w:kern w:val="0"/>
          <w:sz w:val="24"/>
          <w:szCs w:val="21"/>
          <w:highlight w:val="none"/>
          <w:lang w:eastAsia="zh-CN"/>
        </w:rPr>
        <w:t>、收运质量、</w:t>
      </w:r>
      <w:r>
        <w:rPr>
          <w:rFonts w:hint="eastAsia" w:ascii="仿宋" w:hAnsi="仿宋" w:eastAsia="仿宋" w:cs="仿宋"/>
          <w:bCs/>
          <w:color w:val="auto"/>
          <w:kern w:val="0"/>
          <w:sz w:val="24"/>
          <w:szCs w:val="21"/>
          <w:highlight w:val="none"/>
          <w:lang w:val="en-US" w:eastAsia="zh-CN"/>
        </w:rPr>
        <w:t>收运点环境卫生</w:t>
      </w:r>
      <w:r>
        <w:rPr>
          <w:rFonts w:hint="eastAsia" w:ascii="仿宋" w:hAnsi="仿宋" w:eastAsia="仿宋" w:cs="仿宋"/>
          <w:bCs/>
          <w:color w:val="auto"/>
          <w:kern w:val="0"/>
          <w:sz w:val="24"/>
          <w:szCs w:val="21"/>
          <w:highlight w:val="none"/>
        </w:rPr>
        <w:t>等</w:t>
      </w:r>
      <w:r>
        <w:rPr>
          <w:rFonts w:hint="default" w:ascii="仿宋" w:hAnsi="仿宋" w:eastAsia="仿宋" w:cs="仿宋"/>
          <w:bCs/>
          <w:color w:val="auto"/>
          <w:kern w:val="0"/>
          <w:sz w:val="24"/>
          <w:szCs w:val="21"/>
          <w:highlight w:val="none"/>
        </w:rPr>
        <w:t>情况</w:t>
      </w:r>
      <w:r>
        <w:rPr>
          <w:rFonts w:hint="eastAsia" w:ascii="仿宋" w:hAnsi="仿宋" w:eastAsia="仿宋" w:cs="仿宋"/>
          <w:bCs/>
          <w:color w:val="auto"/>
          <w:kern w:val="0"/>
          <w:sz w:val="24"/>
          <w:szCs w:val="21"/>
          <w:highlight w:val="none"/>
        </w:rPr>
        <w:t>进行全面监管。监管</w:t>
      </w:r>
      <w:r>
        <w:rPr>
          <w:rFonts w:hint="eastAsia" w:ascii="仿宋" w:hAnsi="仿宋" w:eastAsia="仿宋" w:cs="仿宋"/>
          <w:bCs/>
          <w:color w:val="auto"/>
          <w:kern w:val="0"/>
          <w:sz w:val="24"/>
          <w:szCs w:val="21"/>
          <w:highlight w:val="none"/>
          <w:lang w:val="en-US" w:eastAsia="zh-CN"/>
        </w:rPr>
        <w:t>全过程中须要佩戴视频记录仪，并储存好每天的视频以备核查和取证。</w:t>
      </w:r>
    </w:p>
    <w:p w14:paraId="5CE78588">
      <w:pPr>
        <w:spacing w:line="360" w:lineRule="auto"/>
        <w:ind w:firstLine="480" w:firstLineChars="200"/>
        <w:rPr>
          <w:rFonts w:hint="eastAsia" w:ascii="仿宋" w:hAnsi="仿宋" w:eastAsia="仿宋" w:cs="仿宋"/>
          <w:bCs/>
          <w:color w:val="auto"/>
          <w:kern w:val="0"/>
          <w:sz w:val="24"/>
          <w:szCs w:val="21"/>
          <w:highlight w:val="none"/>
        </w:rPr>
      </w:pPr>
      <w:r>
        <w:rPr>
          <w:rFonts w:hint="eastAsia" w:ascii="仿宋" w:hAnsi="仿宋" w:eastAsia="仿宋" w:cs="仿宋"/>
          <w:bCs/>
          <w:color w:val="auto"/>
          <w:kern w:val="0"/>
          <w:sz w:val="24"/>
          <w:szCs w:val="21"/>
          <w:highlight w:val="none"/>
        </w:rPr>
        <w:t>（4）计量监管：主要包括垃圾量记录，垃圾来源与</w:t>
      </w:r>
      <w:r>
        <w:rPr>
          <w:rFonts w:hint="eastAsia" w:ascii="仿宋" w:hAnsi="仿宋" w:eastAsia="仿宋" w:cs="仿宋"/>
          <w:bCs/>
          <w:color w:val="auto"/>
          <w:kern w:val="0"/>
          <w:sz w:val="24"/>
          <w:szCs w:val="21"/>
          <w:highlight w:val="none"/>
          <w:lang w:val="en-US" w:eastAsia="zh-CN"/>
        </w:rPr>
        <w:t>质量</w:t>
      </w:r>
      <w:r>
        <w:rPr>
          <w:rFonts w:hint="eastAsia" w:ascii="仿宋" w:hAnsi="仿宋" w:eastAsia="仿宋" w:cs="仿宋"/>
          <w:bCs/>
          <w:color w:val="auto"/>
          <w:kern w:val="0"/>
          <w:sz w:val="24"/>
          <w:szCs w:val="21"/>
          <w:highlight w:val="none"/>
        </w:rPr>
        <w:t>，计量设备按规定校验、标定，进厂环卫车辆运输作业工况及车容车貌检查等。</w:t>
      </w:r>
    </w:p>
    <w:p w14:paraId="77440E48">
      <w:pPr>
        <w:spacing w:line="360" w:lineRule="auto"/>
        <w:ind w:firstLine="480" w:firstLineChars="200"/>
        <w:rPr>
          <w:rFonts w:hint="eastAsia" w:ascii="仿宋" w:hAnsi="仿宋" w:eastAsia="仿宋" w:cs="仿宋"/>
          <w:bCs/>
          <w:color w:val="auto"/>
          <w:kern w:val="0"/>
          <w:sz w:val="24"/>
          <w:szCs w:val="21"/>
          <w:highlight w:val="none"/>
        </w:rPr>
      </w:pPr>
      <w:r>
        <w:rPr>
          <w:rFonts w:hint="eastAsia" w:ascii="仿宋" w:hAnsi="仿宋" w:eastAsia="仿宋" w:cs="仿宋"/>
          <w:bCs/>
          <w:color w:val="auto"/>
          <w:kern w:val="0"/>
          <w:sz w:val="24"/>
          <w:szCs w:val="21"/>
          <w:highlight w:val="none"/>
        </w:rPr>
        <w:t>（5）作业规程：主要包括称重系统、物料接受与预处理系统、厌氧消化系统、沼气净化及利用系统、沼液（污水）处理利用系统、臭气处理系统、厂区臭味控制系统以及作业场所环境状况。</w:t>
      </w:r>
    </w:p>
    <w:p w14:paraId="5F440293">
      <w:pPr>
        <w:spacing w:line="360" w:lineRule="auto"/>
        <w:ind w:firstLine="480" w:firstLineChars="200"/>
        <w:rPr>
          <w:rFonts w:hint="eastAsia" w:ascii="仿宋" w:hAnsi="仿宋" w:eastAsia="仿宋" w:cs="仿宋"/>
          <w:bCs/>
          <w:color w:val="auto"/>
          <w:kern w:val="0"/>
          <w:sz w:val="24"/>
          <w:szCs w:val="21"/>
          <w:highlight w:val="none"/>
        </w:rPr>
      </w:pPr>
      <w:r>
        <w:rPr>
          <w:rFonts w:hint="eastAsia" w:ascii="仿宋" w:hAnsi="仿宋" w:eastAsia="仿宋" w:cs="仿宋"/>
          <w:bCs/>
          <w:color w:val="auto"/>
          <w:kern w:val="0"/>
          <w:sz w:val="24"/>
          <w:szCs w:val="21"/>
          <w:highlight w:val="none"/>
        </w:rPr>
        <w:t>（6）安全生产：包括重要设备与设施检修工作的现场安全措施执行情况，现场有动火工作执行动火工作票的相应制度、有关可燃气与各类安全自动报警等安全设施的有效性，安全管理制度与突发事件应急预案、安全事故处理、值班等制度，涉及公共安全及卫生管理、汛期防台防汛准备工作等。</w:t>
      </w:r>
    </w:p>
    <w:p w14:paraId="50F0747B">
      <w:pPr>
        <w:spacing w:line="360" w:lineRule="auto"/>
        <w:ind w:firstLine="480" w:firstLineChars="200"/>
        <w:rPr>
          <w:rFonts w:hint="eastAsia" w:ascii="仿宋" w:hAnsi="仿宋" w:eastAsia="仿宋" w:cs="仿宋"/>
          <w:bCs/>
          <w:color w:val="auto"/>
          <w:kern w:val="0"/>
          <w:sz w:val="24"/>
          <w:szCs w:val="21"/>
          <w:highlight w:val="none"/>
        </w:rPr>
      </w:pPr>
      <w:r>
        <w:rPr>
          <w:rFonts w:hint="eastAsia" w:ascii="仿宋" w:hAnsi="仿宋" w:eastAsia="仿宋" w:cs="仿宋"/>
          <w:bCs/>
          <w:color w:val="auto"/>
          <w:kern w:val="0"/>
          <w:sz w:val="24"/>
          <w:szCs w:val="21"/>
          <w:highlight w:val="none"/>
        </w:rPr>
        <w:t>（7）环境风险：对运营过程中产生的环境污染如厂界恶臭、污水、噪声、燃气尾气排放等的在线和定期检测。</w:t>
      </w:r>
    </w:p>
    <w:p w14:paraId="7EA14EDB">
      <w:pPr>
        <w:spacing w:line="360" w:lineRule="auto"/>
        <w:ind w:firstLine="480" w:firstLineChars="200"/>
        <w:rPr>
          <w:rFonts w:hint="eastAsia" w:ascii="仿宋" w:hAnsi="仿宋" w:eastAsia="仿宋" w:cs="仿宋"/>
          <w:bCs/>
          <w:color w:val="auto"/>
          <w:kern w:val="0"/>
          <w:sz w:val="24"/>
          <w:szCs w:val="21"/>
          <w:highlight w:val="none"/>
        </w:rPr>
      </w:pPr>
      <w:r>
        <w:rPr>
          <w:rFonts w:hint="eastAsia" w:ascii="仿宋" w:hAnsi="仿宋" w:eastAsia="仿宋" w:cs="仿宋"/>
          <w:bCs/>
          <w:color w:val="auto"/>
          <w:kern w:val="0"/>
          <w:sz w:val="24"/>
          <w:szCs w:val="21"/>
          <w:highlight w:val="none"/>
        </w:rPr>
        <w:t>（8）运营文件与数据：运行日报、月报和年报，设备检查、调整、保养与维修记录，餐厨垃圾进量及处理情况，安全生产情况等各环节记录报表等。</w:t>
      </w:r>
    </w:p>
    <w:p w14:paraId="1F1F3DB5">
      <w:pPr>
        <w:spacing w:line="360" w:lineRule="auto"/>
        <w:ind w:firstLine="480" w:firstLineChars="200"/>
        <w:rPr>
          <w:rFonts w:hint="eastAsia" w:ascii="仿宋" w:hAnsi="仿宋" w:eastAsia="仿宋" w:cs="仿宋"/>
          <w:bCs/>
          <w:color w:val="auto"/>
          <w:kern w:val="0"/>
          <w:sz w:val="24"/>
          <w:szCs w:val="21"/>
          <w:highlight w:val="none"/>
        </w:rPr>
      </w:pPr>
      <w:r>
        <w:rPr>
          <w:rFonts w:hint="eastAsia" w:ascii="仿宋" w:hAnsi="仿宋" w:eastAsia="仿宋" w:cs="仿宋"/>
          <w:bCs/>
          <w:color w:val="auto"/>
          <w:kern w:val="0"/>
          <w:sz w:val="24"/>
          <w:szCs w:val="21"/>
          <w:highlight w:val="none"/>
        </w:rPr>
        <w:t>（9）智能网络监管平台：具备车辆路线监管、人员定位功能、</w:t>
      </w:r>
      <w:r>
        <w:rPr>
          <w:rFonts w:hint="eastAsia" w:ascii="仿宋" w:hAnsi="仿宋" w:eastAsia="仿宋" w:cs="仿宋"/>
          <w:color w:val="auto"/>
          <w:sz w:val="24"/>
          <w:highlight w:val="none"/>
        </w:rPr>
        <w:t>计量监管、视频监控、信息化监管（数据分析的能力）、预警功能、</w:t>
      </w:r>
      <w:r>
        <w:rPr>
          <w:rFonts w:hint="eastAsia" w:ascii="仿宋" w:hAnsi="仿宋" w:eastAsia="仿宋" w:cs="仿宋"/>
          <w:color w:val="auto"/>
          <w:sz w:val="24"/>
          <w:highlight w:val="none"/>
          <w:lang w:eastAsia="zh-CN"/>
        </w:rPr>
        <w:t>实时</w:t>
      </w:r>
      <w:r>
        <w:rPr>
          <w:rFonts w:hint="eastAsia" w:ascii="仿宋" w:hAnsi="仿宋" w:eastAsia="仿宋" w:cs="仿宋"/>
          <w:color w:val="auto"/>
          <w:sz w:val="24"/>
          <w:highlight w:val="none"/>
        </w:rPr>
        <w:t>信息反馈功能等，如以上功能供应商认为不够的可以根据监管需求自行增加相应功能。</w:t>
      </w:r>
    </w:p>
    <w:p w14:paraId="206BE27C">
      <w:pPr>
        <w:spacing w:line="360" w:lineRule="auto"/>
        <w:ind w:firstLine="480" w:firstLineChars="200"/>
        <w:rPr>
          <w:rFonts w:hint="default" w:ascii="仿宋" w:hAnsi="仿宋" w:eastAsia="仿宋" w:cs="仿宋"/>
          <w:bCs/>
          <w:color w:val="auto"/>
          <w:kern w:val="0"/>
          <w:sz w:val="24"/>
          <w:szCs w:val="21"/>
          <w:highlight w:val="none"/>
          <w:lang w:val="en-US" w:eastAsia="zh-CN"/>
        </w:rPr>
      </w:pPr>
      <w:r>
        <w:rPr>
          <w:rFonts w:hint="eastAsia" w:ascii="仿宋" w:hAnsi="仿宋" w:eastAsia="仿宋" w:cs="仿宋"/>
          <w:bCs/>
          <w:color w:val="auto"/>
          <w:kern w:val="0"/>
          <w:sz w:val="24"/>
          <w:szCs w:val="21"/>
          <w:highlight w:val="none"/>
        </w:rPr>
        <w:t>6、</w:t>
      </w:r>
      <w:r>
        <w:rPr>
          <w:rFonts w:hint="eastAsia" w:ascii="仿宋" w:hAnsi="仿宋" w:eastAsia="仿宋" w:cs="仿宋"/>
          <w:bCs/>
          <w:color w:val="auto"/>
          <w:kern w:val="0"/>
          <w:sz w:val="24"/>
          <w:szCs w:val="21"/>
          <w:highlight w:val="none"/>
          <w:lang w:val="en-US" w:eastAsia="zh-CN"/>
        </w:rPr>
        <w:t>监管台账</w:t>
      </w:r>
    </w:p>
    <w:p w14:paraId="3287793D">
      <w:pP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第三方监管机构在监管期间将针对餐厨运营方基础材料及文件提交内容是否完整、时间是否符合规定、文件质量是否达到要求等项目进行审查。</w:t>
      </w:r>
    </w:p>
    <w:p w14:paraId="560F984F">
      <w:pPr>
        <w:numPr>
          <w:ilvl w:val="0"/>
          <w:numId w:val="3"/>
        </w:numPr>
        <w:spacing w:line="360" w:lineRule="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运营日报/月报/季报/年报审查及监督;</w:t>
      </w:r>
    </w:p>
    <w:p w14:paraId="222AF6F6">
      <w:pPr>
        <w:numPr>
          <w:ilvl w:val="0"/>
          <w:numId w:val="3"/>
        </w:numPr>
        <w:spacing w:line="360" w:lineRule="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垃圾、各类产出物（如生物柴油、有机堆肥）计量审查与记录;</w:t>
      </w:r>
    </w:p>
    <w:p w14:paraId="3FA5D90C">
      <w:pPr>
        <w:numPr>
          <w:ilvl w:val="0"/>
          <w:numId w:val="3"/>
        </w:numPr>
        <w:spacing w:line="360" w:lineRule="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渗滤液处理水计量审查与记录;</w:t>
      </w:r>
    </w:p>
    <w:p w14:paraId="2ED2DB62">
      <w:pPr>
        <w:numPr>
          <w:ilvl w:val="0"/>
          <w:numId w:val="3"/>
        </w:numPr>
        <w:spacing w:line="360" w:lineRule="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下一年度的垃圾进厂计划;</w:t>
      </w:r>
    </w:p>
    <w:p w14:paraId="448C5FBD">
      <w:pPr>
        <w:numPr>
          <w:ilvl w:val="0"/>
          <w:numId w:val="3"/>
        </w:numPr>
        <w:spacing w:line="360" w:lineRule="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下一年度的生产计划;</w:t>
      </w:r>
    </w:p>
    <w:p w14:paraId="615EB161">
      <w:pPr>
        <w:numPr>
          <w:ilvl w:val="0"/>
          <w:numId w:val="3"/>
        </w:numPr>
        <w:spacing w:line="360" w:lineRule="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下一年度的维保计划;</w:t>
      </w:r>
    </w:p>
    <w:p w14:paraId="4D0CE714">
      <w:pPr>
        <w:numPr>
          <w:ilvl w:val="0"/>
          <w:numId w:val="3"/>
        </w:numPr>
        <w:spacing w:line="360" w:lineRule="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下一年度的设备检定计划;</w:t>
      </w:r>
    </w:p>
    <w:p w14:paraId="50A47C47">
      <w:pPr>
        <w:numPr>
          <w:ilvl w:val="0"/>
          <w:numId w:val="3"/>
        </w:numPr>
        <w:spacing w:line="360" w:lineRule="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下一年度的污染物检测计划;</w:t>
      </w:r>
    </w:p>
    <w:p w14:paraId="6CE43A2F">
      <w:pPr>
        <w:numPr>
          <w:ilvl w:val="0"/>
          <w:numId w:val="3"/>
        </w:numPr>
        <w:spacing w:line="360" w:lineRule="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下一年度的突发事件应急处置计划及应急处置演练计划;</w:t>
      </w:r>
    </w:p>
    <w:p w14:paraId="2E569787">
      <w:pPr>
        <w:numPr>
          <w:ilvl w:val="0"/>
          <w:numId w:val="3"/>
        </w:numPr>
        <w:tabs>
          <w:tab w:val="left" w:pos="1049"/>
        </w:tabs>
        <w:spacing w:line="360" w:lineRule="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运营工作总结报告;</w:t>
      </w:r>
    </w:p>
    <w:p w14:paraId="06D40E14">
      <w:pPr>
        <w:numPr>
          <w:ilvl w:val="0"/>
          <w:numId w:val="3"/>
        </w:numPr>
        <w:tabs>
          <w:tab w:val="left" w:pos="1049"/>
        </w:tabs>
        <w:spacing w:line="360" w:lineRule="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设备检查、调整、保养与维修记录;</w:t>
      </w:r>
    </w:p>
    <w:p w14:paraId="55C4AB04">
      <w:pPr>
        <w:numPr>
          <w:ilvl w:val="0"/>
          <w:numId w:val="3"/>
        </w:numPr>
        <w:tabs>
          <w:tab w:val="left" w:pos="1049"/>
        </w:tabs>
        <w:spacing w:line="360" w:lineRule="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设备零件、消耗品使用记录;</w:t>
      </w:r>
    </w:p>
    <w:p w14:paraId="510E798C">
      <w:pPr>
        <w:numPr>
          <w:ilvl w:val="0"/>
          <w:numId w:val="3"/>
        </w:numPr>
        <w:tabs>
          <w:tab w:val="left" w:pos="1049"/>
        </w:tabs>
        <w:spacing w:line="360" w:lineRule="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环境质量监测(运营方自测及管理单位处委托的检测)的会同与监督</w:t>
      </w:r>
      <w:bookmarkStart w:id="58" w:name="_Toc10249"/>
      <w:bookmarkStart w:id="59" w:name="_Toc7990022"/>
      <w:r>
        <w:rPr>
          <w:rFonts w:hint="eastAsia" w:ascii="仿宋" w:hAnsi="仿宋" w:eastAsia="仿宋" w:cs="仿宋"/>
          <w:color w:val="auto"/>
          <w:sz w:val="24"/>
          <w:szCs w:val="22"/>
          <w:highlight w:val="none"/>
        </w:rPr>
        <w:t>;</w:t>
      </w:r>
    </w:p>
    <w:p w14:paraId="231E9AAB">
      <w:pPr>
        <w:numPr>
          <w:ilvl w:val="0"/>
          <w:numId w:val="3"/>
        </w:numPr>
        <w:tabs>
          <w:tab w:val="left" w:pos="1049"/>
        </w:tabs>
        <w:spacing w:line="360" w:lineRule="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val="en-US" w:eastAsia="zh-CN"/>
        </w:rPr>
        <w:t>收运合同签订情况、电子标签和上墙码的匹配情况及分析。</w:t>
      </w:r>
    </w:p>
    <w:p w14:paraId="39F18EEB">
      <w:pPr>
        <w:spacing w:line="360" w:lineRule="auto"/>
        <w:ind w:firstLine="480" w:firstLineChars="200"/>
        <w:rPr>
          <w:rFonts w:hint="eastAsia" w:ascii="仿宋" w:hAnsi="仿宋" w:eastAsia="仿宋" w:cs="仿宋"/>
          <w:bCs/>
          <w:color w:val="auto"/>
          <w:kern w:val="0"/>
          <w:sz w:val="24"/>
          <w:szCs w:val="21"/>
          <w:highlight w:val="none"/>
        </w:rPr>
      </w:pPr>
      <w:r>
        <w:rPr>
          <w:rFonts w:hint="eastAsia" w:ascii="仿宋" w:hAnsi="仿宋" w:eastAsia="仿宋" w:cs="仿宋"/>
          <w:bCs/>
          <w:color w:val="auto"/>
          <w:kern w:val="0"/>
          <w:sz w:val="24"/>
          <w:szCs w:val="21"/>
          <w:highlight w:val="none"/>
        </w:rPr>
        <w:t>7、监管组织机构及人员要求</w:t>
      </w:r>
    </w:p>
    <w:p w14:paraId="7EF07B59">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（1）项目应配备专职人工进行监管：监管应围绕相关标准</w:t>
      </w:r>
      <w:r>
        <w:rPr>
          <w:rFonts w:hint="eastAsia" w:ascii="仿宋" w:hAnsi="仿宋" w:eastAsia="仿宋" w:cs="仿宋"/>
          <w:bCs/>
          <w:color w:val="auto"/>
          <w:kern w:val="0"/>
          <w:sz w:val="24"/>
          <w:szCs w:val="21"/>
          <w:highlight w:val="none"/>
        </w:rPr>
        <w:t>和临江三期BOT项目服务协议的</w:t>
      </w:r>
      <w:r>
        <w:rPr>
          <w:rFonts w:hint="eastAsia" w:ascii="仿宋" w:hAnsi="仿宋" w:eastAsia="仿宋" w:cs="仿宋"/>
          <w:color w:val="auto"/>
          <w:sz w:val="24"/>
          <w:szCs w:val="22"/>
          <w:highlight w:val="none"/>
        </w:rPr>
        <w:t>相关规定</w:t>
      </w:r>
      <w:r>
        <w:rPr>
          <w:rFonts w:hint="eastAsia" w:ascii="仿宋" w:hAnsi="仿宋" w:eastAsia="仿宋" w:cs="仿宋"/>
          <w:color w:val="auto"/>
          <w:sz w:val="24"/>
          <w:highlight w:val="none"/>
        </w:rPr>
        <w:t>进行全方位监管。</w:t>
      </w:r>
    </w:p>
    <w:p w14:paraId="12858905">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（2）项目负责人要求：1</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none"/>
        </w:rPr>
        <w:t>需具有</w:t>
      </w:r>
      <w:r>
        <w:rPr>
          <w:rFonts w:hint="eastAsia" w:ascii="仿宋" w:hAnsi="仿宋" w:eastAsia="仿宋" w:cs="仿宋"/>
          <w:color w:val="auto"/>
          <w:sz w:val="24"/>
          <w:highlight w:val="none"/>
          <w:u w:val="none"/>
          <w:lang w:val="en-US" w:eastAsia="zh-CN"/>
        </w:rPr>
        <w:t>1</w:t>
      </w:r>
      <w:r>
        <w:rPr>
          <w:rFonts w:hint="eastAsia" w:ascii="仿宋" w:hAnsi="仿宋" w:eastAsia="仿宋" w:cs="仿宋"/>
          <w:color w:val="auto"/>
          <w:sz w:val="24"/>
          <w:highlight w:val="none"/>
          <w:u w:val="none"/>
        </w:rPr>
        <w:t>年及以上餐厨垃圾</w:t>
      </w:r>
      <w:r>
        <w:rPr>
          <w:rFonts w:hint="eastAsia" w:ascii="仿宋" w:hAnsi="仿宋" w:eastAsia="仿宋" w:cs="仿宋"/>
          <w:color w:val="auto"/>
          <w:sz w:val="24"/>
          <w:highlight w:val="none"/>
          <w:u w:val="none"/>
          <w:lang w:eastAsia="zh-CN"/>
        </w:rPr>
        <w:t>处置厂</w:t>
      </w:r>
      <w:r>
        <w:rPr>
          <w:rFonts w:hint="eastAsia" w:ascii="仿宋" w:hAnsi="仿宋" w:eastAsia="仿宋" w:cs="仿宋"/>
          <w:color w:val="auto"/>
          <w:sz w:val="24"/>
          <w:highlight w:val="none"/>
          <w:u w:val="none"/>
        </w:rPr>
        <w:t>或</w:t>
      </w:r>
      <w:r>
        <w:rPr>
          <w:rFonts w:hint="eastAsia" w:ascii="仿宋" w:hAnsi="仿宋" w:eastAsia="仿宋" w:cs="仿宋"/>
          <w:color w:val="auto"/>
          <w:sz w:val="24"/>
          <w:highlight w:val="none"/>
          <w:u w:val="none"/>
          <w:lang w:eastAsia="zh-CN"/>
        </w:rPr>
        <w:t>生活垃圾焚烧厂</w:t>
      </w:r>
      <w:r>
        <w:rPr>
          <w:rFonts w:hint="eastAsia" w:ascii="仿宋" w:hAnsi="仿宋" w:eastAsia="仿宋" w:cs="仿宋"/>
          <w:color w:val="auto"/>
          <w:sz w:val="24"/>
          <w:highlight w:val="none"/>
          <w:u w:val="none"/>
        </w:rPr>
        <w:t>运营管理</w:t>
      </w: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u w:val="none"/>
        </w:rPr>
        <w:t>监管</w:t>
      </w: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u w:val="none"/>
        </w:rPr>
        <w:t>经验，</w:t>
      </w:r>
      <w:r>
        <w:rPr>
          <w:rFonts w:hint="eastAsia" w:ascii="仿宋" w:hAnsi="仿宋" w:eastAsia="仿宋" w:cs="仿宋"/>
          <w:color w:val="auto"/>
          <w:sz w:val="24"/>
          <w:highlight w:val="none"/>
        </w:rPr>
        <w:t>具有环境或化学相关专业中级职称。负责全面统筹管理</w:t>
      </w:r>
      <w:r>
        <w:rPr>
          <w:rFonts w:hint="eastAsia" w:ascii="仿宋" w:hAnsi="仿宋" w:eastAsia="仿宋" w:cs="仿宋"/>
          <w:color w:val="auto"/>
          <w:sz w:val="24"/>
          <w:highlight w:val="none"/>
          <w:lang w:eastAsia="zh-CN"/>
        </w:rPr>
        <w:t>和监管运营</w:t>
      </w:r>
      <w:r>
        <w:rPr>
          <w:rFonts w:hint="eastAsia" w:ascii="仿宋" w:hAnsi="仿宋" w:eastAsia="仿宋" w:cs="仿宋"/>
          <w:color w:val="auto"/>
          <w:sz w:val="24"/>
          <w:highlight w:val="none"/>
        </w:rPr>
        <w:t>工作，工作时间：根据采购人或餐厨厂安排的时间进行排班。</w:t>
      </w:r>
    </w:p>
    <w:p w14:paraId="4159923C">
      <w:pPr>
        <w:spacing w:line="360" w:lineRule="auto"/>
        <w:ind w:firstLine="480"/>
        <w:rPr>
          <w:rFonts w:hint="eastAsia" w:ascii="仿宋" w:hAnsi="仿宋" w:eastAsia="仿宋" w:cs="仿宋"/>
          <w:bCs w:val="0"/>
          <w:color w:val="auto"/>
          <w:sz w:val="24"/>
          <w:szCs w:val="24"/>
          <w:highlight w:val="none"/>
          <w:u w:val="none"/>
          <w:lang w:val="en-US" w:eastAsia="zh-CN"/>
        </w:rPr>
      </w:pPr>
      <w:r>
        <w:rPr>
          <w:rFonts w:hint="eastAsia" w:ascii="仿宋" w:hAnsi="仿宋" w:eastAsia="仿宋" w:cs="仿宋"/>
          <w:color w:val="auto"/>
          <w:sz w:val="24"/>
          <w:highlight w:val="none"/>
          <w:u w:val="none"/>
        </w:rPr>
        <w:t>（3）</w:t>
      </w:r>
      <w:r>
        <w:rPr>
          <w:rFonts w:hint="eastAsia" w:ascii="仿宋" w:hAnsi="仿宋" w:eastAsia="仿宋" w:cs="仿宋"/>
          <w:bCs w:val="0"/>
          <w:color w:val="auto"/>
          <w:sz w:val="24"/>
          <w:szCs w:val="24"/>
          <w:highlight w:val="none"/>
          <w:u w:val="none"/>
        </w:rPr>
        <w:t>项目组成员</w:t>
      </w:r>
      <w:r>
        <w:rPr>
          <w:rFonts w:hint="eastAsia" w:ascii="仿宋" w:hAnsi="仿宋" w:eastAsia="仿宋" w:cs="仿宋"/>
          <w:bCs w:val="0"/>
          <w:color w:val="auto"/>
          <w:sz w:val="24"/>
          <w:szCs w:val="24"/>
          <w:highlight w:val="none"/>
          <w:u w:val="none"/>
          <w:lang w:val="en-US" w:eastAsia="zh-CN"/>
        </w:rPr>
        <w:t>要求</w:t>
      </w:r>
    </w:p>
    <w:p w14:paraId="741150F0">
      <w:pPr>
        <w:spacing w:line="360" w:lineRule="auto"/>
        <w:ind w:firstLine="480" w:firstLineChars="200"/>
        <w:rPr>
          <w:rFonts w:hint="eastAsia" w:ascii="仿宋" w:hAnsi="仿宋" w:eastAsia="仿宋" w:cs="仿宋"/>
          <w:b w:val="0"/>
          <w:bCs w:val="0"/>
          <w:color w:val="auto"/>
          <w:sz w:val="24"/>
          <w:szCs w:val="24"/>
          <w:highlight w:val="none"/>
          <w:u w:val="none"/>
          <w:lang w:val="en-US" w:eastAsia="zh-CN"/>
        </w:rPr>
      </w:pPr>
      <w:r>
        <w:rPr>
          <w:rFonts w:hint="eastAsia" w:ascii="汉仪书宋二S" w:hAnsi="汉仪书宋二S" w:eastAsia="汉仪书宋二S" w:cs="汉仪书宋二S"/>
          <w:bCs w:val="0"/>
          <w:color w:val="auto"/>
          <w:sz w:val="24"/>
          <w:szCs w:val="24"/>
          <w:highlight w:val="none"/>
          <w:u w:val="none"/>
          <w:lang w:val="en-US" w:eastAsia="zh-CN"/>
        </w:rPr>
        <w:t>①</w:t>
      </w:r>
      <w:r>
        <w:rPr>
          <w:rFonts w:hint="eastAsia" w:ascii="仿宋" w:hAnsi="仿宋" w:eastAsia="仿宋" w:cs="仿宋"/>
          <w:color w:val="auto"/>
          <w:sz w:val="24"/>
          <w:highlight w:val="none"/>
          <w:u w:val="none"/>
        </w:rPr>
        <w:t>项目监管巡查人员：</w:t>
      </w:r>
      <w:r>
        <w:rPr>
          <w:rFonts w:hint="eastAsia" w:ascii="仿宋" w:hAnsi="仿宋" w:eastAsia="仿宋" w:cs="仿宋"/>
          <w:color w:val="auto"/>
          <w:sz w:val="24"/>
          <w:highlight w:val="none"/>
          <w:u w:val="none"/>
          <w:lang w:val="en-US" w:eastAsia="zh-CN"/>
        </w:rPr>
        <w:t>6</w:t>
      </w:r>
      <w:r>
        <w:rPr>
          <w:rFonts w:hint="eastAsia" w:ascii="仿宋" w:hAnsi="仿宋" w:eastAsia="仿宋" w:cs="仿宋"/>
          <w:color w:val="auto"/>
          <w:sz w:val="24"/>
          <w:highlight w:val="none"/>
          <w:u w:val="none"/>
        </w:rPr>
        <w:t>人，</w:t>
      </w:r>
      <w:r>
        <w:rPr>
          <w:rFonts w:hint="eastAsia" w:ascii="仿宋" w:hAnsi="仿宋" w:eastAsia="仿宋" w:cs="仿宋"/>
          <w:color w:val="auto"/>
          <w:sz w:val="24"/>
          <w:highlight w:val="none"/>
          <w:u w:val="none"/>
          <w:lang w:val="en-US" w:eastAsia="zh-CN"/>
        </w:rPr>
        <w:t>终端处置监管2人</w:t>
      </w: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u w:val="none"/>
        </w:rPr>
        <w:t>需具有</w:t>
      </w:r>
      <w:r>
        <w:rPr>
          <w:rFonts w:hint="eastAsia" w:ascii="仿宋" w:hAnsi="仿宋" w:eastAsia="仿宋" w:cs="仿宋"/>
          <w:color w:val="auto"/>
          <w:sz w:val="24"/>
          <w:highlight w:val="none"/>
          <w:u w:val="none"/>
          <w:lang w:val="en-US" w:eastAsia="zh-CN"/>
        </w:rPr>
        <w:t>1年</w:t>
      </w:r>
      <w:r>
        <w:rPr>
          <w:rFonts w:hint="eastAsia" w:ascii="仿宋" w:hAnsi="仿宋" w:eastAsia="仿宋" w:cs="仿宋"/>
          <w:color w:val="auto"/>
          <w:sz w:val="24"/>
          <w:highlight w:val="none"/>
          <w:u w:val="none"/>
        </w:rPr>
        <w:t>及以上餐厨垃圾</w:t>
      </w:r>
      <w:r>
        <w:rPr>
          <w:rFonts w:hint="eastAsia" w:ascii="仿宋" w:hAnsi="仿宋" w:eastAsia="仿宋" w:cs="仿宋"/>
          <w:color w:val="auto"/>
          <w:sz w:val="24"/>
          <w:highlight w:val="none"/>
          <w:u w:val="none"/>
          <w:lang w:eastAsia="zh-CN"/>
        </w:rPr>
        <w:t>处置厂</w:t>
      </w:r>
      <w:r>
        <w:rPr>
          <w:rFonts w:hint="eastAsia" w:ascii="仿宋" w:hAnsi="仿宋" w:eastAsia="仿宋" w:cs="仿宋"/>
          <w:color w:val="auto"/>
          <w:sz w:val="24"/>
          <w:highlight w:val="none"/>
          <w:u w:val="none"/>
        </w:rPr>
        <w:t>或</w:t>
      </w:r>
      <w:r>
        <w:rPr>
          <w:rFonts w:hint="eastAsia" w:ascii="仿宋" w:hAnsi="仿宋" w:eastAsia="仿宋" w:cs="仿宋"/>
          <w:color w:val="auto"/>
          <w:sz w:val="24"/>
          <w:highlight w:val="none"/>
          <w:u w:val="none"/>
          <w:lang w:eastAsia="zh-CN"/>
        </w:rPr>
        <w:t>生活</w:t>
      </w:r>
      <w:r>
        <w:rPr>
          <w:rFonts w:hint="eastAsia" w:ascii="仿宋" w:hAnsi="仿宋" w:eastAsia="仿宋" w:cs="仿宋"/>
          <w:color w:val="auto"/>
          <w:sz w:val="24"/>
          <w:highlight w:val="none"/>
          <w:u w:val="none"/>
        </w:rPr>
        <w:t>垃圾</w:t>
      </w:r>
      <w:r>
        <w:rPr>
          <w:rFonts w:hint="eastAsia" w:ascii="仿宋" w:hAnsi="仿宋" w:eastAsia="仿宋" w:cs="仿宋"/>
          <w:color w:val="auto"/>
          <w:sz w:val="24"/>
          <w:highlight w:val="none"/>
          <w:u w:val="none"/>
          <w:lang w:eastAsia="zh-CN"/>
        </w:rPr>
        <w:t>焚烧厂</w:t>
      </w:r>
      <w:r>
        <w:rPr>
          <w:rFonts w:hint="eastAsia" w:ascii="仿宋" w:hAnsi="仿宋" w:eastAsia="仿宋" w:cs="仿宋"/>
          <w:color w:val="auto"/>
          <w:sz w:val="24"/>
          <w:highlight w:val="none"/>
          <w:u w:val="none"/>
        </w:rPr>
        <w:t>运营管理或监管经验</w:t>
      </w: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u w:val="none"/>
        </w:rPr>
        <w:t>，工作时间驻厂，服务期内需居住在温州市范围内，1小时内到达被监管项目地点；</w:t>
      </w:r>
      <w:r>
        <w:rPr>
          <w:rFonts w:hint="eastAsia" w:ascii="仿宋" w:hAnsi="仿宋" w:eastAsia="仿宋" w:cs="仿宋"/>
          <w:color w:val="auto"/>
          <w:sz w:val="24"/>
          <w:highlight w:val="none"/>
          <w:u w:val="none"/>
          <w:lang w:val="en-US" w:eastAsia="zh-CN"/>
        </w:rPr>
        <w:t>收运</w:t>
      </w:r>
      <w:r>
        <w:rPr>
          <w:rFonts w:hint="eastAsia" w:ascii="仿宋" w:hAnsi="仿宋" w:eastAsia="仿宋" w:cs="仿宋"/>
          <w:color w:val="auto"/>
          <w:sz w:val="24"/>
          <w:highlight w:val="none"/>
          <w:u w:val="none"/>
        </w:rPr>
        <w:t>巡查监管</w:t>
      </w:r>
      <w:r>
        <w:rPr>
          <w:rFonts w:hint="eastAsia" w:ascii="仿宋" w:hAnsi="仿宋" w:eastAsia="仿宋" w:cs="仿宋"/>
          <w:color w:val="auto"/>
          <w:sz w:val="24"/>
          <w:highlight w:val="none"/>
          <w:u w:val="none"/>
          <w:lang w:val="en-US" w:eastAsia="zh-CN"/>
        </w:rPr>
        <w:t>4人分2组</w:t>
      </w:r>
      <w:r>
        <w:rPr>
          <w:rFonts w:hint="eastAsia" w:ascii="仿宋" w:hAnsi="仿宋" w:eastAsia="仿宋" w:cs="仿宋"/>
          <w:b w:val="0"/>
          <w:bCs w:val="0"/>
          <w:color w:val="auto"/>
          <w:sz w:val="24"/>
          <w:szCs w:val="24"/>
          <w:highlight w:val="none"/>
          <w:u w:val="none"/>
          <w:lang w:val="en-US" w:eastAsia="zh-CN"/>
        </w:rPr>
        <w:t>。</w:t>
      </w:r>
    </w:p>
    <w:p w14:paraId="77E5E903">
      <w:pPr>
        <w:spacing w:line="360" w:lineRule="auto"/>
        <w:ind w:firstLine="480" w:firstLineChars="0"/>
        <w:rPr>
          <w:rFonts w:hint="eastAsia" w:ascii="仿宋" w:hAnsi="仿宋" w:eastAsia="仿宋" w:cs="仿宋"/>
          <w:b w:val="0"/>
          <w:color w:val="auto"/>
          <w:sz w:val="24"/>
          <w:highlight w:val="none"/>
          <w:u w:val="none"/>
        </w:rPr>
      </w:pPr>
      <w:r>
        <w:rPr>
          <w:rFonts w:hint="eastAsia" w:ascii="汉仪书宋二S" w:hAnsi="汉仪书宋二S" w:eastAsia="汉仪书宋二S" w:cs="汉仪书宋二S"/>
          <w:color w:val="auto"/>
          <w:sz w:val="24"/>
          <w:highlight w:val="none"/>
          <w:u w:val="none"/>
        </w:rPr>
        <w:t>②</w:t>
      </w:r>
      <w:r>
        <w:rPr>
          <w:rFonts w:hint="eastAsia" w:ascii="仿宋" w:hAnsi="仿宋" w:eastAsia="仿宋" w:cs="仿宋"/>
          <w:color w:val="auto"/>
          <w:sz w:val="24"/>
          <w:highlight w:val="none"/>
          <w:u w:val="none"/>
        </w:rPr>
        <w:t>工作时间</w:t>
      </w:r>
      <w:r>
        <w:rPr>
          <w:rFonts w:hint="eastAsia" w:ascii="仿宋" w:hAnsi="仿宋" w:eastAsia="仿宋" w:cs="仿宋"/>
          <w:color w:val="auto"/>
          <w:sz w:val="24"/>
          <w:highlight w:val="none"/>
          <w:u w:val="none"/>
          <w:lang w:eastAsia="zh-CN"/>
        </w:rPr>
        <w:t>及要求</w:t>
      </w:r>
      <w:r>
        <w:rPr>
          <w:rFonts w:hint="eastAsia" w:ascii="仿宋" w:hAnsi="仿宋" w:eastAsia="仿宋" w:cs="仿宋"/>
          <w:color w:val="auto"/>
          <w:sz w:val="24"/>
          <w:highlight w:val="none"/>
          <w:u w:val="none"/>
        </w:rPr>
        <w:t>：根据采购人安排的时间进行排班，餐厨厂的运行时间内必须有人员在场监管，收运巡查监管人员必须每天对运行线路进行收运巡查。收运巡查监管</w:t>
      </w:r>
      <w:r>
        <w:rPr>
          <w:rFonts w:hint="eastAsia" w:ascii="仿宋" w:hAnsi="仿宋" w:eastAsia="仿宋" w:cs="仿宋"/>
          <w:color w:val="auto"/>
          <w:sz w:val="24"/>
          <w:highlight w:val="none"/>
          <w:u w:val="none"/>
          <w:lang w:val="en-US" w:eastAsia="zh-CN"/>
        </w:rPr>
        <w:t>人员必须每天巡查2条</w:t>
      </w:r>
      <w:r>
        <w:rPr>
          <w:rFonts w:hint="eastAsia" w:ascii="仿宋" w:hAnsi="仿宋" w:eastAsia="仿宋" w:cs="仿宋"/>
          <w:color w:val="auto"/>
          <w:sz w:val="24"/>
          <w:highlight w:val="none"/>
          <w:u w:val="none"/>
          <w:lang w:eastAsia="zh-CN"/>
        </w:rPr>
        <w:t>收运</w:t>
      </w:r>
      <w:r>
        <w:rPr>
          <w:rFonts w:hint="eastAsia" w:ascii="仿宋" w:hAnsi="仿宋" w:eastAsia="仿宋" w:cs="仿宋"/>
          <w:color w:val="auto"/>
          <w:sz w:val="24"/>
          <w:highlight w:val="none"/>
          <w:u w:val="none"/>
          <w:lang w:val="en-US" w:eastAsia="zh-CN"/>
        </w:rPr>
        <w:t>线路，每条线路至少需要5个</w:t>
      </w:r>
      <w:r>
        <w:rPr>
          <w:rFonts w:hint="eastAsia" w:ascii="仿宋" w:hAnsi="仿宋" w:eastAsia="仿宋" w:cs="仿宋"/>
          <w:color w:val="auto"/>
          <w:sz w:val="24"/>
          <w:highlight w:val="none"/>
          <w:u w:val="none"/>
          <w:lang w:eastAsia="zh-CN"/>
        </w:rPr>
        <w:t>收运</w:t>
      </w:r>
      <w:r>
        <w:rPr>
          <w:rFonts w:hint="eastAsia" w:ascii="仿宋" w:hAnsi="仿宋" w:eastAsia="仿宋" w:cs="仿宋"/>
          <w:color w:val="auto"/>
          <w:sz w:val="24"/>
          <w:highlight w:val="none"/>
          <w:u w:val="none"/>
          <w:lang w:val="en-US" w:eastAsia="zh-CN"/>
        </w:rPr>
        <w:t>点</w:t>
      </w:r>
      <w:r>
        <w:rPr>
          <w:rFonts w:hint="eastAsia" w:ascii="仿宋" w:hAnsi="仿宋" w:eastAsia="仿宋" w:cs="仿宋"/>
          <w:color w:val="auto"/>
          <w:sz w:val="24"/>
          <w:highlight w:val="none"/>
          <w:u w:val="none"/>
          <w:lang w:eastAsia="zh-CN"/>
        </w:rPr>
        <w:t>位</w:t>
      </w:r>
      <w:r>
        <w:rPr>
          <w:rFonts w:hint="eastAsia" w:ascii="仿宋" w:hAnsi="仿宋" w:eastAsia="仿宋" w:cs="仿宋"/>
          <w:color w:val="auto"/>
          <w:sz w:val="24"/>
          <w:highlight w:val="none"/>
          <w:u w:val="none"/>
          <w:lang w:val="en-US" w:eastAsia="zh-CN"/>
        </w:rPr>
        <w:t>以上，并做好拍照等相关记录，</w:t>
      </w:r>
      <w:r>
        <w:rPr>
          <w:rFonts w:hint="eastAsia" w:ascii="仿宋" w:hAnsi="仿宋" w:eastAsia="仿宋" w:cs="仿宋"/>
          <w:b w:val="0"/>
          <w:color w:val="auto"/>
          <w:sz w:val="24"/>
          <w:highlight w:val="none"/>
          <w:u w:val="none"/>
        </w:rPr>
        <w:t>每月需对全市各餐厨收运线路</w:t>
      </w:r>
      <w:r>
        <w:rPr>
          <w:rFonts w:hint="eastAsia" w:ascii="仿宋" w:hAnsi="仿宋" w:eastAsia="仿宋" w:cs="仿宋"/>
          <w:b w:val="0"/>
          <w:color w:val="auto"/>
          <w:sz w:val="24"/>
          <w:highlight w:val="none"/>
          <w:u w:val="none"/>
          <w:lang w:eastAsia="zh-CN"/>
        </w:rPr>
        <w:t>和收运点位的</w:t>
      </w:r>
      <w:r>
        <w:rPr>
          <w:rFonts w:hint="eastAsia" w:ascii="仿宋" w:hAnsi="仿宋" w:eastAsia="仿宋" w:cs="仿宋"/>
          <w:b w:val="0"/>
          <w:color w:val="auto"/>
          <w:sz w:val="24"/>
          <w:highlight w:val="none"/>
          <w:u w:val="none"/>
        </w:rPr>
        <w:t>全覆盖巡查</w:t>
      </w:r>
      <w:r>
        <w:rPr>
          <w:rFonts w:hint="eastAsia" w:ascii="仿宋" w:hAnsi="仿宋" w:eastAsia="仿宋" w:cs="仿宋"/>
          <w:b w:val="0"/>
          <w:color w:val="auto"/>
          <w:sz w:val="24"/>
          <w:highlight w:val="none"/>
          <w:u w:val="none"/>
          <w:lang w:eastAsia="zh-CN"/>
        </w:rPr>
        <w:t>，</w:t>
      </w:r>
      <w:r>
        <w:rPr>
          <w:rFonts w:hint="eastAsia" w:ascii="仿宋" w:hAnsi="仿宋" w:eastAsia="仿宋" w:cs="仿宋"/>
          <w:b w:val="0"/>
          <w:color w:val="auto"/>
          <w:sz w:val="24"/>
          <w:highlight w:val="none"/>
          <w:u w:val="none"/>
        </w:rPr>
        <w:t>并进行量化考核。</w:t>
      </w:r>
    </w:p>
    <w:p w14:paraId="31763E9B">
      <w:pPr>
        <w:widowControl/>
        <w:numPr>
          <w:ilvl w:val="0"/>
          <w:numId w:val="4"/>
        </w:numPr>
        <w:snapToGrid w:val="0"/>
        <w:spacing w:line="400" w:lineRule="exact"/>
        <w:ind w:firstLine="480" w:firstLineChars="200"/>
        <w:jc w:val="left"/>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u w:val="single"/>
        </w:rPr>
        <w:t>智能</w:t>
      </w:r>
      <w:r>
        <w:rPr>
          <w:rFonts w:hint="eastAsia" w:ascii="仿宋" w:hAnsi="仿宋" w:eastAsia="仿宋" w:cs="仿宋"/>
          <w:color w:val="auto"/>
          <w:sz w:val="24"/>
          <w:highlight w:val="none"/>
          <w:u w:val="single"/>
          <w:lang w:val="en-US" w:eastAsia="zh-CN"/>
        </w:rPr>
        <w:t>网络平台基本要求</w:t>
      </w:r>
      <w:r>
        <w:rPr>
          <w:rFonts w:hint="eastAsia" w:ascii="仿宋" w:hAnsi="仿宋" w:eastAsia="仿宋" w:cs="仿宋"/>
          <w:bCs/>
          <w:color w:val="auto"/>
          <w:kern w:val="0"/>
          <w:sz w:val="24"/>
          <w:szCs w:val="21"/>
          <w:highlight w:val="none"/>
          <w:u w:val="single"/>
        </w:rPr>
        <w:t>：具备车辆路线监管、人员定位功能、</w:t>
      </w:r>
      <w:r>
        <w:rPr>
          <w:rFonts w:hint="eastAsia" w:ascii="仿宋" w:hAnsi="仿宋" w:eastAsia="仿宋" w:cs="仿宋"/>
          <w:color w:val="auto"/>
          <w:sz w:val="24"/>
          <w:highlight w:val="none"/>
          <w:u w:val="single"/>
        </w:rPr>
        <w:t>计量监管、视频监控、信息化监管（数据分析的能力）、预警功能、</w:t>
      </w:r>
      <w:r>
        <w:rPr>
          <w:rFonts w:hint="eastAsia" w:ascii="仿宋" w:hAnsi="仿宋" w:eastAsia="仿宋" w:cs="仿宋"/>
          <w:color w:val="auto"/>
          <w:sz w:val="24"/>
          <w:highlight w:val="none"/>
          <w:u w:val="single"/>
          <w:lang w:eastAsia="zh-CN"/>
        </w:rPr>
        <w:t>实时</w:t>
      </w:r>
      <w:r>
        <w:rPr>
          <w:rFonts w:hint="eastAsia" w:ascii="仿宋" w:hAnsi="仿宋" w:eastAsia="仿宋" w:cs="仿宋"/>
          <w:color w:val="auto"/>
          <w:sz w:val="24"/>
          <w:highlight w:val="none"/>
          <w:u w:val="single"/>
        </w:rPr>
        <w:t>信息反馈功能等</w:t>
      </w:r>
      <w:r>
        <w:rPr>
          <w:rFonts w:hint="eastAsia" w:ascii="仿宋" w:hAnsi="仿宋" w:eastAsia="仿宋" w:cs="仿宋"/>
          <w:color w:val="auto"/>
          <w:sz w:val="24"/>
          <w:highlight w:val="none"/>
          <w:u w:val="single"/>
          <w:lang w:eastAsia="zh-CN"/>
        </w:rPr>
        <w:t>。</w:t>
      </w:r>
    </w:p>
    <w:p w14:paraId="4C375E98">
      <w:pPr>
        <w:widowControl/>
        <w:numPr>
          <w:numId w:val="0"/>
        </w:numPr>
        <w:snapToGrid w:val="0"/>
        <w:spacing w:line="400" w:lineRule="exact"/>
        <w:ind w:firstLine="480" w:firstLineChars="200"/>
        <w:jc w:val="left"/>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根据采购人的实际需求，待</w:t>
      </w:r>
      <w:r>
        <w:rPr>
          <w:rFonts w:hint="eastAsia" w:ascii="仿宋" w:hAnsi="仿宋" w:eastAsia="仿宋" w:cs="仿宋"/>
          <w:b w:val="0"/>
          <w:bCs w:val="0"/>
          <w:color w:val="auto"/>
          <w:kern w:val="2"/>
          <w:sz w:val="24"/>
          <w:highlight w:val="none"/>
          <w:u w:val="single"/>
          <w:lang w:val="en-US" w:eastAsia="zh-CN"/>
        </w:rPr>
        <w:t>垃圾分类与市容环卫协同应用系统（https://wzljfl.wzzhcg.gov.cn:9391/#/）建设完毕后（预计2025年2月完成），供应商须将</w:t>
      </w:r>
      <w:r>
        <w:rPr>
          <w:rFonts w:hint="eastAsia" w:ascii="仿宋" w:hAnsi="仿宋" w:eastAsia="仿宋" w:cs="仿宋"/>
          <w:color w:val="auto"/>
          <w:sz w:val="24"/>
          <w:highlight w:val="none"/>
          <w:u w:val="single"/>
        </w:rPr>
        <w:t>智能</w:t>
      </w:r>
      <w:r>
        <w:rPr>
          <w:rFonts w:hint="eastAsia" w:ascii="仿宋" w:hAnsi="仿宋" w:eastAsia="仿宋" w:cs="仿宋"/>
          <w:color w:val="auto"/>
          <w:sz w:val="24"/>
          <w:highlight w:val="none"/>
          <w:u w:val="single"/>
          <w:lang w:val="en-US" w:eastAsia="zh-CN"/>
        </w:rPr>
        <w:t>网络平台包含的内容纳入上述平台，采购人</w:t>
      </w:r>
      <w:r>
        <w:rPr>
          <w:rFonts w:hint="eastAsia" w:ascii="仿宋" w:hAnsi="仿宋" w:eastAsia="仿宋" w:cs="仿宋"/>
          <w:b w:val="0"/>
          <w:bCs w:val="0"/>
          <w:color w:val="auto"/>
          <w:kern w:val="2"/>
          <w:sz w:val="24"/>
          <w:highlight w:val="none"/>
          <w:u w:val="single"/>
          <w:lang w:val="en-US" w:eastAsia="zh-CN"/>
        </w:rPr>
        <w:t>实行实时监控。</w:t>
      </w:r>
    </w:p>
    <w:p w14:paraId="6D79E322">
      <w:pPr>
        <w:spacing w:line="360" w:lineRule="auto"/>
        <w:ind w:firstLine="480"/>
        <w:rPr>
          <w:rFonts w:hint="eastAsia" w:ascii="仿宋" w:hAnsi="仿宋" w:eastAsia="仿宋" w:cs="仿宋"/>
          <w:bCs/>
          <w:color w:val="auto"/>
          <w:kern w:val="0"/>
          <w:sz w:val="24"/>
          <w:szCs w:val="21"/>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bCs/>
          <w:color w:val="auto"/>
          <w:kern w:val="0"/>
          <w:sz w:val="24"/>
          <w:szCs w:val="21"/>
          <w:highlight w:val="none"/>
        </w:rPr>
        <w:t>智能网络监管平台维护能力：供应商自行配置网络平台运行维护人员，能时时解决相应网络问题，保证投入本次平台的正常运行。</w:t>
      </w:r>
    </w:p>
    <w:p w14:paraId="4B5790D0">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 xml:space="preserve">）第三方监管服务机构主要职责  </w:t>
      </w:r>
    </w:p>
    <w:p w14:paraId="50900E2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负责实施现场监管，派驻驻场人员，巡查日常工况，审查运营文件、督促运营方问题整改落实与反馈、编制监管手册、提供监管月度与年度报告等。</w:t>
      </w:r>
    </w:p>
    <w:p w14:paraId="17244333">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提供综合专家技术支持，包括提供运营方面的技术支持、法务、财务审核、对政府所发函件提供技术咨询</w:t>
      </w:r>
      <w:r>
        <w:rPr>
          <w:rFonts w:hint="eastAsia" w:ascii="仿宋" w:hAnsi="仿宋" w:eastAsia="仿宋" w:cs="仿宋"/>
          <w:color w:val="auto"/>
          <w:sz w:val="24"/>
          <w:highlight w:val="none"/>
          <w:lang w:eastAsia="zh-CN"/>
        </w:rPr>
        <w:t>；</w:t>
      </w:r>
      <w:r>
        <w:rPr>
          <w:rFonts w:hint="eastAsia" w:ascii="仿宋" w:hAnsi="仿宋" w:eastAsia="仿宋" w:cs="仿宋"/>
          <w:bCs/>
          <w:color w:val="auto"/>
          <w:kern w:val="0"/>
          <w:sz w:val="24"/>
          <w:szCs w:val="21"/>
          <w:highlight w:val="none"/>
          <w:u w:val="single"/>
        </w:rPr>
        <w:t>协助运营方</w:t>
      </w:r>
      <w:r>
        <w:rPr>
          <w:rFonts w:hint="eastAsia" w:ascii="仿宋" w:hAnsi="仿宋" w:eastAsia="仿宋" w:cs="仿宋"/>
          <w:bCs/>
          <w:color w:val="auto"/>
          <w:kern w:val="0"/>
          <w:sz w:val="24"/>
          <w:szCs w:val="21"/>
          <w:highlight w:val="none"/>
          <w:u w:val="single"/>
          <w:lang w:eastAsia="zh-CN"/>
        </w:rPr>
        <w:t>做好</w:t>
      </w:r>
      <w:r>
        <w:rPr>
          <w:rFonts w:hint="eastAsia" w:ascii="仿宋" w:hAnsi="仿宋" w:eastAsia="仿宋" w:cs="仿宋"/>
          <w:bCs/>
          <w:color w:val="auto"/>
          <w:kern w:val="0"/>
          <w:sz w:val="24"/>
          <w:szCs w:val="21"/>
          <w:highlight w:val="none"/>
          <w:u w:val="single"/>
        </w:rPr>
        <w:t>政府部门信息公开要求等</w:t>
      </w:r>
      <w:r>
        <w:rPr>
          <w:rFonts w:hint="eastAsia" w:ascii="仿宋" w:hAnsi="仿宋" w:eastAsia="仿宋" w:cs="仿宋"/>
          <w:bCs/>
          <w:color w:val="auto"/>
          <w:kern w:val="0"/>
          <w:sz w:val="24"/>
          <w:szCs w:val="21"/>
          <w:highlight w:val="none"/>
          <w:u w:val="single"/>
          <w:lang w:eastAsia="zh-CN"/>
        </w:rPr>
        <w:t>。</w:t>
      </w:r>
    </w:p>
    <w:p w14:paraId="225C1E8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协助其他咨询服务，包括协助政府调节和周边社区的关系、监管考核标准的编制等。</w:t>
      </w:r>
    </w:p>
    <w:p w14:paraId="6464A6AB">
      <w:pPr>
        <w:spacing w:line="360" w:lineRule="auto"/>
        <w:ind w:left="239" w:leftChars="114" w:firstLine="307" w:firstLineChars="12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接受政府委托，代表履行特许经营监督管理职责，协助监管方实现全方位、全流程的</w:t>
      </w:r>
      <w:r>
        <w:rPr>
          <w:rFonts w:hint="eastAsia" w:ascii="仿宋" w:hAnsi="仿宋" w:eastAsia="仿宋" w:cs="仿宋"/>
          <w:color w:val="auto"/>
          <w:sz w:val="24"/>
          <w:highlight w:val="none"/>
          <w:lang w:eastAsia="zh-CN"/>
        </w:rPr>
        <w:t>餐厨</w:t>
      </w:r>
      <w:r>
        <w:rPr>
          <w:rFonts w:hint="eastAsia" w:ascii="仿宋" w:hAnsi="仿宋" w:eastAsia="仿宋" w:cs="仿宋"/>
          <w:color w:val="auto"/>
          <w:sz w:val="24"/>
          <w:highlight w:val="none"/>
        </w:rPr>
        <w:t>垃圾</w:t>
      </w:r>
      <w:r>
        <w:rPr>
          <w:rFonts w:hint="eastAsia" w:ascii="仿宋" w:hAnsi="仿宋" w:eastAsia="仿宋" w:cs="仿宋"/>
          <w:color w:val="auto"/>
          <w:sz w:val="24"/>
          <w:highlight w:val="none"/>
          <w:lang w:eastAsia="zh-CN"/>
        </w:rPr>
        <w:t>收运</w:t>
      </w:r>
      <w:r>
        <w:rPr>
          <w:rFonts w:hint="eastAsia" w:ascii="仿宋" w:hAnsi="仿宋" w:eastAsia="仿宋" w:cs="仿宋"/>
          <w:color w:val="auto"/>
          <w:sz w:val="24"/>
          <w:highlight w:val="none"/>
        </w:rPr>
        <w:t>处理监管，打造</w:t>
      </w:r>
      <w:r>
        <w:rPr>
          <w:rFonts w:hint="eastAsia" w:ascii="仿宋" w:hAnsi="仿宋" w:eastAsia="仿宋" w:cs="仿宋"/>
          <w:color w:val="auto"/>
          <w:sz w:val="24"/>
          <w:highlight w:val="none"/>
          <w:lang w:eastAsia="zh-CN"/>
        </w:rPr>
        <w:t>餐厨</w:t>
      </w:r>
      <w:r>
        <w:rPr>
          <w:rFonts w:hint="eastAsia" w:ascii="仿宋" w:hAnsi="仿宋" w:eastAsia="仿宋" w:cs="仿宋"/>
          <w:color w:val="auto"/>
          <w:sz w:val="24"/>
          <w:highlight w:val="none"/>
        </w:rPr>
        <w:t>垃圾</w:t>
      </w:r>
      <w:r>
        <w:rPr>
          <w:rFonts w:hint="eastAsia" w:ascii="仿宋" w:hAnsi="仿宋" w:eastAsia="仿宋" w:cs="仿宋"/>
          <w:color w:val="auto"/>
          <w:sz w:val="24"/>
          <w:highlight w:val="none"/>
          <w:lang w:eastAsia="zh-CN"/>
        </w:rPr>
        <w:t>收运</w:t>
      </w:r>
      <w:r>
        <w:rPr>
          <w:rFonts w:hint="eastAsia" w:ascii="仿宋" w:hAnsi="仿宋" w:eastAsia="仿宋" w:cs="仿宋"/>
          <w:color w:val="auto"/>
          <w:sz w:val="24"/>
          <w:highlight w:val="none"/>
        </w:rPr>
        <w:t>处理监管闭环考核执法体系。</w:t>
      </w:r>
    </w:p>
    <w:p w14:paraId="0B76393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实时掌握</w:t>
      </w:r>
      <w:r>
        <w:rPr>
          <w:rFonts w:hint="eastAsia" w:ascii="仿宋" w:hAnsi="仿宋" w:eastAsia="仿宋" w:cs="仿宋"/>
          <w:color w:val="auto"/>
          <w:sz w:val="24"/>
          <w:highlight w:val="none"/>
          <w:lang w:eastAsia="zh-CN"/>
        </w:rPr>
        <w:t>餐厨</w:t>
      </w:r>
      <w:r>
        <w:rPr>
          <w:rFonts w:hint="eastAsia" w:ascii="仿宋" w:hAnsi="仿宋" w:eastAsia="仿宋" w:cs="仿宋"/>
          <w:color w:val="auto"/>
          <w:sz w:val="24"/>
          <w:highlight w:val="none"/>
        </w:rPr>
        <w:t>垃圾</w:t>
      </w:r>
      <w:r>
        <w:rPr>
          <w:rFonts w:hint="eastAsia" w:ascii="仿宋" w:hAnsi="仿宋" w:eastAsia="仿宋" w:cs="仿宋"/>
          <w:color w:val="auto"/>
          <w:sz w:val="24"/>
          <w:highlight w:val="none"/>
          <w:lang w:eastAsia="zh-CN"/>
        </w:rPr>
        <w:t>收运监管平台</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处置终端运行状况、安全生产、环保排放等情况，发现问题以联系单形式上报采购人，特别紧急、重大的先短信、电话报送后于24小时内补联系单。</w:t>
      </w:r>
    </w:p>
    <w:p w14:paraId="58BCC1DC">
      <w:pPr>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u w:val="single"/>
        </w:rPr>
        <w:t>每月需对全市各餐厨收运线路</w:t>
      </w:r>
      <w:r>
        <w:rPr>
          <w:rFonts w:hint="eastAsia" w:ascii="仿宋" w:hAnsi="仿宋" w:eastAsia="仿宋" w:cs="仿宋"/>
          <w:b/>
          <w:color w:val="auto"/>
          <w:sz w:val="24"/>
          <w:highlight w:val="none"/>
          <w:u w:val="single"/>
          <w:lang w:eastAsia="zh-CN"/>
        </w:rPr>
        <w:t>和</w:t>
      </w:r>
      <w:r>
        <w:rPr>
          <w:rFonts w:hint="default" w:ascii="仿宋" w:hAnsi="仿宋" w:eastAsia="仿宋" w:cs="仿宋"/>
          <w:b/>
          <w:color w:val="auto"/>
          <w:sz w:val="24"/>
          <w:highlight w:val="none"/>
          <w:u w:val="single"/>
          <w:lang w:eastAsia="zh-CN"/>
        </w:rPr>
        <w:t>收运</w:t>
      </w:r>
      <w:r>
        <w:rPr>
          <w:rFonts w:hint="eastAsia" w:ascii="仿宋" w:hAnsi="仿宋" w:eastAsia="仿宋" w:cs="仿宋"/>
          <w:b/>
          <w:color w:val="auto"/>
          <w:sz w:val="24"/>
          <w:highlight w:val="none"/>
          <w:u w:val="single"/>
        </w:rPr>
        <w:t>运线</w:t>
      </w:r>
      <w:r>
        <w:rPr>
          <w:rFonts w:hint="eastAsia" w:ascii="仿宋" w:hAnsi="仿宋" w:eastAsia="仿宋" w:cs="仿宋"/>
          <w:b/>
          <w:color w:val="auto"/>
          <w:sz w:val="24"/>
          <w:highlight w:val="none"/>
          <w:u w:val="single"/>
          <w:lang w:eastAsia="zh-CN"/>
        </w:rPr>
        <w:t>点</w:t>
      </w:r>
      <w:r>
        <w:rPr>
          <w:rFonts w:hint="default" w:ascii="仿宋" w:hAnsi="仿宋" w:eastAsia="仿宋" w:cs="仿宋"/>
          <w:b/>
          <w:color w:val="auto"/>
          <w:sz w:val="24"/>
          <w:highlight w:val="none"/>
          <w:u w:val="single"/>
          <w:lang w:eastAsia="zh-CN"/>
        </w:rPr>
        <w:t>位</w:t>
      </w:r>
      <w:r>
        <w:rPr>
          <w:rFonts w:hint="eastAsia" w:ascii="仿宋" w:hAnsi="仿宋" w:eastAsia="仿宋" w:cs="仿宋"/>
          <w:b/>
          <w:color w:val="auto"/>
          <w:sz w:val="24"/>
          <w:highlight w:val="none"/>
          <w:u w:val="single"/>
          <w:lang w:eastAsia="zh-CN"/>
        </w:rPr>
        <w:t>的</w:t>
      </w:r>
      <w:r>
        <w:rPr>
          <w:rFonts w:hint="eastAsia" w:ascii="仿宋" w:hAnsi="仿宋" w:eastAsia="仿宋" w:cs="仿宋"/>
          <w:b/>
          <w:color w:val="auto"/>
          <w:sz w:val="24"/>
          <w:highlight w:val="none"/>
          <w:u w:val="single"/>
        </w:rPr>
        <w:t>全覆盖巡查</w:t>
      </w:r>
      <w:r>
        <w:rPr>
          <w:rFonts w:hint="eastAsia" w:ascii="仿宋" w:hAnsi="仿宋" w:eastAsia="仿宋" w:cs="仿宋"/>
          <w:b/>
          <w:color w:val="auto"/>
          <w:sz w:val="24"/>
          <w:highlight w:val="none"/>
        </w:rPr>
        <w:t>，并根据</w:t>
      </w:r>
      <w:r>
        <w:rPr>
          <w:rFonts w:hint="eastAsia" w:ascii="仿宋" w:hAnsi="仿宋" w:eastAsia="仿宋" w:cs="仿宋"/>
          <w:b/>
          <w:color w:val="auto"/>
          <w:sz w:val="24"/>
          <w:highlight w:val="none"/>
          <w:u w:val="none"/>
          <w:lang w:eastAsia="zh-CN"/>
        </w:rPr>
        <w:t>合同</w:t>
      </w:r>
      <w:r>
        <w:rPr>
          <w:rFonts w:hint="eastAsia" w:ascii="仿宋" w:hAnsi="仿宋" w:eastAsia="仿宋" w:cs="仿宋"/>
          <w:b/>
          <w:color w:val="auto"/>
          <w:sz w:val="24"/>
          <w:highlight w:val="none"/>
          <w:u w:val="none"/>
        </w:rPr>
        <w:t>附件</w:t>
      </w:r>
      <w:r>
        <w:rPr>
          <w:rFonts w:hint="eastAsia" w:ascii="仿宋" w:hAnsi="仿宋" w:eastAsia="仿宋" w:cs="仿宋"/>
          <w:b/>
          <w:color w:val="auto"/>
          <w:sz w:val="24"/>
          <w:highlight w:val="none"/>
        </w:rPr>
        <w:t>《温州市区餐厨垃圾收运监管考核评分表》，做好相关记录，并进行量化考核。</w:t>
      </w:r>
    </w:p>
    <w:p w14:paraId="58AA9F75">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定期参加采购人、第三方、运营方联席会议，根据日常监管工作提出合理化建议单供多方协商，并跟踪落实情况。</w:t>
      </w:r>
    </w:p>
    <w:p w14:paraId="1F64129F">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做好日常运行监管信息的采集、记录、确认工作，建立健全各项监管台账。</w:t>
      </w:r>
    </w:p>
    <w:p w14:paraId="2A7B0591">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发生针对餐厨厂或餐厨收运的投诉或媒体曝光等，应及时调查相关情况，并在规定期限内将原因分析报送采购人。</w:t>
      </w:r>
    </w:p>
    <w:bookmarkEnd w:id="58"/>
    <w:bookmarkEnd w:id="59"/>
    <w:p w14:paraId="0E77C21F">
      <w:pPr>
        <w:spacing w:line="360" w:lineRule="auto"/>
        <w:ind w:firstLine="480" w:firstLineChars="200"/>
        <w:rPr>
          <w:rFonts w:hint="eastAsia" w:ascii="仿宋" w:hAnsi="仿宋" w:eastAsia="仿宋" w:cs="仿宋"/>
          <w:bCs/>
          <w:color w:val="auto"/>
          <w:kern w:val="0"/>
          <w:sz w:val="24"/>
          <w:szCs w:val="21"/>
          <w:highlight w:val="none"/>
          <w:u w:val="single"/>
        </w:rPr>
      </w:pPr>
      <w:r>
        <w:rPr>
          <w:rFonts w:hint="eastAsia" w:ascii="仿宋" w:hAnsi="仿宋" w:eastAsia="仿宋" w:cs="仿宋"/>
          <w:bCs/>
          <w:color w:val="auto"/>
          <w:kern w:val="0"/>
          <w:sz w:val="24"/>
          <w:szCs w:val="21"/>
          <w:highlight w:val="none"/>
          <w:u w:val="single"/>
        </w:rPr>
        <w:t>8、考核评价服务</w:t>
      </w:r>
    </w:p>
    <w:p w14:paraId="13ABE82D">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采购人</w:t>
      </w:r>
      <w:r>
        <w:rPr>
          <w:rFonts w:hint="eastAsia" w:ascii="仿宋" w:hAnsi="仿宋" w:eastAsia="仿宋" w:cs="仿宋"/>
          <w:bCs/>
          <w:color w:val="auto"/>
          <w:sz w:val="24"/>
          <w:highlight w:val="none"/>
          <w:u w:val="single"/>
        </w:rPr>
        <w:t>将根据</w:t>
      </w:r>
      <w:r>
        <w:rPr>
          <w:rFonts w:hint="eastAsia" w:ascii="仿宋" w:hAnsi="仿宋" w:eastAsia="仿宋" w:cs="仿宋"/>
          <w:bCs/>
          <w:color w:val="auto"/>
          <w:sz w:val="24"/>
          <w:highlight w:val="none"/>
          <w:u w:val="single"/>
          <w:lang w:eastAsia="zh-CN"/>
        </w:rPr>
        <w:t>合同附件</w:t>
      </w:r>
      <w:r>
        <w:rPr>
          <w:rFonts w:hint="eastAsia" w:ascii="仿宋" w:hAnsi="仿宋" w:eastAsia="仿宋" w:cs="仿宋"/>
          <w:bCs/>
          <w:color w:val="auto"/>
          <w:sz w:val="24"/>
          <w:highlight w:val="none"/>
          <w:u w:val="single"/>
          <w:lang w:val="en-US" w:eastAsia="zh-CN"/>
        </w:rPr>
        <w:t>一</w:t>
      </w:r>
      <w:r>
        <w:rPr>
          <w:rFonts w:hint="eastAsia" w:ascii="仿宋" w:hAnsi="仿宋" w:eastAsia="仿宋" w:cs="仿宋"/>
          <w:bCs/>
          <w:color w:val="auto"/>
          <w:sz w:val="24"/>
          <w:highlight w:val="none"/>
          <w:u w:val="single"/>
        </w:rPr>
        <w:t>《第三方监管服务日常工作考评标准表》进行考核，表格中</w:t>
      </w:r>
      <w:r>
        <w:rPr>
          <w:rFonts w:hint="eastAsia" w:ascii="仿宋" w:hAnsi="仿宋" w:eastAsia="仿宋" w:cs="仿宋"/>
          <w:color w:val="auto"/>
          <w:sz w:val="24"/>
          <w:highlight w:val="none"/>
          <w:u w:val="single"/>
        </w:rPr>
        <w:t>各单项分数均扣完为止，以9</w:t>
      </w:r>
      <w:r>
        <w:rPr>
          <w:rFonts w:hint="default" w:ascii="仿宋" w:hAnsi="仿宋" w:eastAsia="仿宋" w:cs="仿宋"/>
          <w:color w:val="auto"/>
          <w:sz w:val="24"/>
          <w:highlight w:val="none"/>
          <w:u w:val="single"/>
        </w:rPr>
        <w:t>2</w:t>
      </w:r>
      <w:r>
        <w:rPr>
          <w:rFonts w:hint="eastAsia" w:ascii="仿宋" w:hAnsi="仿宋" w:eastAsia="仿宋" w:cs="仿宋"/>
          <w:color w:val="auto"/>
          <w:sz w:val="24"/>
          <w:highlight w:val="none"/>
          <w:u w:val="single"/>
        </w:rPr>
        <w:t>分为达标分，当月考核分数低于9</w:t>
      </w:r>
      <w:r>
        <w:rPr>
          <w:rFonts w:hint="default" w:ascii="仿宋" w:hAnsi="仿宋" w:eastAsia="仿宋" w:cs="仿宋"/>
          <w:color w:val="auto"/>
          <w:sz w:val="24"/>
          <w:highlight w:val="none"/>
          <w:u w:val="single"/>
        </w:rPr>
        <w:t>2</w:t>
      </w:r>
      <w:r>
        <w:rPr>
          <w:rFonts w:hint="eastAsia" w:ascii="仿宋" w:hAnsi="仿宋" w:eastAsia="仿宋" w:cs="仿宋"/>
          <w:color w:val="auto"/>
          <w:sz w:val="24"/>
          <w:highlight w:val="none"/>
          <w:u w:val="single"/>
        </w:rPr>
        <w:t>分的，每下降1分扣除当月服务费的</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%,依此类推,连续出现三个月考核分低于9</w:t>
      </w:r>
      <w:r>
        <w:rPr>
          <w:rFonts w:hint="default" w:ascii="仿宋" w:hAnsi="仿宋" w:eastAsia="仿宋" w:cs="仿宋"/>
          <w:color w:val="auto"/>
          <w:sz w:val="24"/>
          <w:highlight w:val="none"/>
          <w:u w:val="single"/>
        </w:rPr>
        <w:t>2</w:t>
      </w:r>
      <w:r>
        <w:rPr>
          <w:rFonts w:hint="eastAsia" w:ascii="仿宋" w:hAnsi="仿宋" w:eastAsia="仿宋" w:cs="仿宋"/>
          <w:color w:val="auto"/>
          <w:sz w:val="24"/>
          <w:highlight w:val="none"/>
          <w:u w:val="single"/>
        </w:rPr>
        <w:t>分的，</w:t>
      </w:r>
      <w:r>
        <w:rPr>
          <w:rFonts w:hint="eastAsia" w:ascii="仿宋" w:hAnsi="仿宋" w:eastAsia="仿宋" w:cs="仿宋"/>
          <w:color w:val="auto"/>
          <w:sz w:val="24"/>
          <w:highlight w:val="none"/>
          <w:u w:val="single"/>
          <w:lang w:val="en-US" w:eastAsia="zh-CN"/>
        </w:rPr>
        <w:t>采购人</w:t>
      </w:r>
      <w:r>
        <w:rPr>
          <w:rFonts w:hint="eastAsia" w:ascii="仿宋" w:hAnsi="仿宋" w:eastAsia="仿宋" w:cs="仿宋"/>
          <w:color w:val="auto"/>
          <w:kern w:val="0"/>
          <w:sz w:val="24"/>
          <w:highlight w:val="none"/>
          <w:u w:val="single"/>
        </w:rPr>
        <w:t>可以单方面终止合同，所造成的一切损失由乙方自行负责</w:t>
      </w:r>
      <w:r>
        <w:rPr>
          <w:rFonts w:hint="eastAsia" w:ascii="仿宋" w:hAnsi="仿宋" w:eastAsia="仿宋" w:cs="仿宋"/>
          <w:color w:val="auto"/>
          <w:sz w:val="24"/>
          <w:highlight w:val="none"/>
          <w:u w:val="single"/>
        </w:rPr>
        <w:t>。</w:t>
      </w:r>
    </w:p>
    <w:p w14:paraId="25B49AD9">
      <w:pPr>
        <w:spacing w:line="360" w:lineRule="auto"/>
        <w:ind w:firstLine="480" w:firstLineChars="200"/>
        <w:rPr>
          <w:rFonts w:hint="eastAsia" w:ascii="仿宋" w:hAnsi="仿宋" w:eastAsia="仿宋" w:cs="仿宋"/>
          <w:bCs/>
          <w:color w:val="auto"/>
          <w:kern w:val="0"/>
          <w:sz w:val="24"/>
          <w:szCs w:val="21"/>
          <w:highlight w:val="none"/>
        </w:rPr>
      </w:pPr>
      <w:r>
        <w:rPr>
          <w:rFonts w:hint="eastAsia" w:ascii="仿宋" w:hAnsi="仿宋" w:eastAsia="仿宋" w:cs="仿宋"/>
          <w:bCs/>
          <w:color w:val="auto"/>
          <w:kern w:val="0"/>
          <w:sz w:val="24"/>
          <w:szCs w:val="21"/>
          <w:highlight w:val="none"/>
        </w:rPr>
        <w:t>9、监管成效（验收要求）</w:t>
      </w:r>
    </w:p>
    <w:p w14:paraId="644016C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中标单位应确保项目监管质量，按时完成监管工作。项目监管应当严格遵守国家的有关法律、法规、制度规定、有关行业规范及采购人的要求。中标单位对监管结果的真实性、完整性、可靠性负责。</w:t>
      </w:r>
    </w:p>
    <w:p w14:paraId="6DB8B99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中标单位应按招标要求的时间（含同意延长的时间）提供月度监管报告和年度监管报告，报告应包括监管服务范围涉及的重要数据和内容。具体提交以下监管资料：</w:t>
      </w:r>
    </w:p>
    <w:p w14:paraId="679DB94C">
      <w:pPr>
        <w:spacing w:line="360" w:lineRule="auto"/>
        <w:ind w:lef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《月度监管服务工作报告》；</w:t>
      </w:r>
    </w:p>
    <w:p w14:paraId="4BE05C98">
      <w:pPr>
        <w:spacing w:line="360" w:lineRule="auto"/>
        <w:ind w:lef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《年度监管服务工作报告》；</w:t>
      </w:r>
    </w:p>
    <w:p w14:paraId="1042F087">
      <w:pPr>
        <w:spacing w:line="360" w:lineRule="auto"/>
        <w:ind w:lef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《项目监管简报》；</w:t>
      </w:r>
    </w:p>
    <w:p w14:paraId="3D87C19C">
      <w:pPr>
        <w:spacing w:line="360" w:lineRule="auto"/>
        <w:ind w:lef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《项目监管台账》。</w:t>
      </w:r>
    </w:p>
    <w:p w14:paraId="0CFCA61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中标单位驻厂监管人员应根据相关运行评价办法进行每日巡查以及月度、年度考核，及时指出、纠正违法违规行为，向采购人提出处置建议，必要时签发监管通告，做好相关记录，并进行量化考核，提交巡查日报以及月度、年度考核报表。</w:t>
      </w:r>
    </w:p>
    <w:p w14:paraId="642315D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中标单位驻厂监管人员应服从采购人管理，并接受考核。</w:t>
      </w:r>
    </w:p>
    <w:p w14:paraId="14C51E2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中标单位应对国家、省、地方等行业法规、标准有深入研究和实际应用经验，保证监管考核根据充分、严谨有效。</w:t>
      </w:r>
    </w:p>
    <w:p w14:paraId="1FBCB9B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中标单位应结合温州市实际情况，不断完善监管方案，展示监管成果。</w:t>
      </w:r>
    </w:p>
    <w:p w14:paraId="5605697E">
      <w:pPr>
        <w:spacing w:line="360" w:lineRule="auto"/>
        <w:ind w:firstLine="480" w:firstLineChars="200"/>
        <w:rPr>
          <w:rFonts w:hint="eastAsia" w:ascii="仿宋" w:hAnsi="仿宋" w:eastAsia="仿宋" w:cs="仿宋"/>
          <w:color w:val="auto"/>
          <w:sz w:val="24"/>
          <w:highlight w:val="none"/>
        </w:rPr>
        <w:sectPr>
          <w:footerReference r:id="rId3" w:type="default"/>
          <w:pgSz w:w="11907" w:h="16840"/>
          <w:pgMar w:top="1474" w:right="1814" w:bottom="1474" w:left="1814" w:header="851" w:footer="851" w:gutter="0"/>
          <w:pgNumType w:start="1"/>
          <w:cols w:space="720" w:num="1"/>
        </w:sect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合同履约达到验收条件时，供应商按照合同约定向采购人书面发起验收申请，采购人或者其委托的采购代理机构（以下简称验收组织机构）在收到供应商验收申请五个工作日内启动项目验收，并书面通知供应商。具体根据《温州市政府采购履约验收办法》、《温州市市容环境卫生管理中心采购管理办法》执行。</w:t>
      </w:r>
    </w:p>
    <w:p w14:paraId="33546981">
      <w:pPr>
        <w:snapToGrid w:val="0"/>
        <w:spacing w:beforeLines="0" w:afterLines="0" w:line="240" w:lineRule="auto"/>
        <w:jc w:val="center"/>
        <w:outlineLvl w:val="0"/>
        <w:rPr>
          <w:rFonts w:ascii="仿宋" w:hAnsi="仿宋" w:eastAsia="仿宋" w:cs="仿宋_GB2312"/>
          <w:b/>
          <w:color w:val="auto"/>
          <w:sz w:val="36"/>
          <w:szCs w:val="36"/>
          <w:highlight w:val="none"/>
        </w:rPr>
      </w:pPr>
      <w:bookmarkStart w:id="60" w:name="_Toc221356961"/>
      <w:bookmarkStart w:id="61" w:name="_Toc221356898"/>
      <w:r>
        <w:rPr>
          <w:rFonts w:hint="eastAsia" w:ascii="仿宋" w:hAnsi="仿宋" w:eastAsia="仿宋" w:cs="仿宋_GB2312"/>
          <w:b/>
          <w:color w:val="auto"/>
          <w:sz w:val="36"/>
          <w:szCs w:val="36"/>
          <w:highlight w:val="none"/>
        </w:rPr>
        <w:t>第四部分  拟签订的合同文本（参考格式）</w:t>
      </w:r>
    </w:p>
    <w:p w14:paraId="69DAA7BA">
      <w:pPr>
        <w:rPr>
          <w:rFonts w:hint="eastAsia" w:ascii="仿宋" w:hAnsi="仿宋" w:eastAsia="仿宋"/>
          <w:color w:val="auto"/>
          <w:sz w:val="24"/>
          <w:highlight w:val="none"/>
        </w:rPr>
      </w:pPr>
      <w:r>
        <w:rPr>
          <w:rFonts w:hint="eastAsia" w:ascii="仿宋" w:hAnsi="仿宋" w:eastAsia="仿宋"/>
          <w:color w:val="auto"/>
          <w:sz w:val="24"/>
          <w:highlight w:val="none"/>
        </w:rPr>
        <w:t>合同编号：</w:t>
      </w:r>
    </w:p>
    <w:p w14:paraId="3B9DFFAD">
      <w:pPr>
        <w:pStyle w:val="25"/>
        <w:rPr>
          <w:color w:val="auto"/>
          <w:highlight w:val="none"/>
        </w:rPr>
      </w:pPr>
    </w:p>
    <w:p w14:paraId="720C4C54">
      <w:pPr>
        <w:pStyle w:val="32"/>
        <w:spacing w:line="400" w:lineRule="exact"/>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发包方：                       （以下简称甲方）</w:t>
      </w:r>
    </w:p>
    <w:p w14:paraId="0F06C019">
      <w:pPr>
        <w:pStyle w:val="32"/>
        <w:spacing w:line="400" w:lineRule="exact"/>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承包方：                       （以下简称乙方）</w:t>
      </w:r>
    </w:p>
    <w:p w14:paraId="6E400BB8">
      <w:pPr>
        <w:pStyle w:val="32"/>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2025年温州市区餐厨垃圾收运处置第三方监管服务项目</w:t>
      </w:r>
      <w:r>
        <w:rPr>
          <w:rFonts w:hint="eastAsia" w:ascii="仿宋" w:hAnsi="仿宋" w:eastAsia="仿宋" w:cs="仿宋"/>
          <w:color w:val="auto"/>
          <w:sz w:val="24"/>
          <w:szCs w:val="24"/>
          <w:highlight w:val="none"/>
        </w:rPr>
        <w:t>》中标通知书，甲方将承包给乙方，为了明确甲、乙双方的权利和义务，履行各自的职责，高效优质地完成工作任务，按照《中华人民共和国民法典》的有关规定，经甲乙双方在平等、自愿的基础上共同协商一致，现签订承包合同。</w:t>
      </w:r>
    </w:p>
    <w:p w14:paraId="0C1D8087">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第一条 项目概况</w:t>
      </w:r>
    </w:p>
    <w:p w14:paraId="38ACA642">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 xml:space="preserve">    1、项目名称：</w:t>
      </w:r>
      <w:r>
        <w:rPr>
          <w:rFonts w:hint="eastAsia" w:ascii="仿宋" w:hAnsi="仿宋" w:eastAsia="仿宋" w:cs="仿宋"/>
          <w:bCs/>
          <w:color w:val="auto"/>
          <w:sz w:val="24"/>
          <w:highlight w:val="none"/>
        </w:rPr>
        <w:t xml:space="preserve"> </w:t>
      </w:r>
    </w:p>
    <w:p w14:paraId="4E943D60">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2、实施地点：</w:t>
      </w:r>
      <w:r>
        <w:rPr>
          <w:rFonts w:hint="eastAsia" w:ascii="仿宋" w:hAnsi="仿宋" w:eastAsia="仿宋" w:cs="仿宋"/>
          <w:color w:val="auto"/>
          <w:spacing w:val="-4"/>
          <w:sz w:val="24"/>
          <w:highlight w:val="none"/>
        </w:rPr>
        <w:t xml:space="preserve"> </w:t>
      </w:r>
    </w:p>
    <w:p w14:paraId="5840CCD6">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第二条  工作任务</w:t>
      </w:r>
    </w:p>
    <w:p w14:paraId="5D82F32E">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1、目的任务：</w:t>
      </w:r>
      <w:r>
        <w:rPr>
          <w:rFonts w:hint="eastAsia" w:ascii="仿宋" w:hAnsi="仿宋" w:eastAsia="仿宋" w:cs="仿宋"/>
          <w:bCs/>
          <w:color w:val="auto"/>
          <w:sz w:val="24"/>
          <w:highlight w:val="none"/>
        </w:rPr>
        <w:t xml:space="preserve"> </w:t>
      </w:r>
    </w:p>
    <w:p w14:paraId="2B104177">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2、工作时间： </w:t>
      </w:r>
    </w:p>
    <w:p w14:paraId="3C8B2527">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第三条  费用支付与结算</w:t>
      </w:r>
    </w:p>
    <w:p w14:paraId="170DC1B2">
      <w:pPr>
        <w:pStyle w:val="32"/>
        <w:spacing w:line="400" w:lineRule="exact"/>
        <w:ind w:firstLine="360" w:firstLineChars="1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预付款：</w:t>
      </w:r>
      <w:r>
        <w:rPr>
          <w:rFonts w:hint="eastAsia" w:ascii="仿宋" w:hAnsi="仿宋" w:eastAsia="仿宋" w:cs="仿宋"/>
          <w:color w:val="auto"/>
          <w:sz w:val="24"/>
          <w:szCs w:val="24"/>
          <w:highlight w:val="none"/>
          <w:lang w:val="ru-RU" w:eastAsia="zh-CN"/>
        </w:rPr>
        <w:t>合同签订生效以及具备实施条件后7个工作日内支付合同总金额</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ru-RU" w:eastAsia="zh-CN"/>
        </w:rPr>
        <w:t>0%的预付款。</w:t>
      </w:r>
      <w:r>
        <w:rPr>
          <w:rFonts w:hint="eastAsia" w:ascii="仿宋" w:hAnsi="仿宋" w:eastAsia="仿宋" w:cs="仿宋"/>
          <w:color w:val="auto"/>
          <w:sz w:val="24"/>
          <w:szCs w:val="24"/>
          <w:highlight w:val="none"/>
          <w:lang w:val="en-US" w:eastAsia="zh-CN"/>
        </w:rPr>
        <w:t>在签订合同时，乙方明确表示无需预付款或主动要求降低预付款比例的，甲方可不适用前述规定。</w:t>
      </w:r>
    </w:p>
    <w:p w14:paraId="587F764A">
      <w:pPr>
        <w:pStyle w:val="32"/>
        <w:spacing w:line="400" w:lineRule="exact"/>
        <w:ind w:firstLine="360" w:firstLineChars="150"/>
        <w:rPr>
          <w:rFonts w:hint="eastAsia"/>
          <w:color w:val="auto"/>
          <w:highlight w:val="none"/>
        </w:rPr>
      </w:pPr>
      <w:r>
        <w:rPr>
          <w:rFonts w:hint="eastAsia" w:ascii="仿宋" w:hAnsi="仿宋" w:eastAsia="仿宋" w:cs="仿宋"/>
          <w:color w:val="auto"/>
          <w:sz w:val="24"/>
          <w:szCs w:val="24"/>
          <w:highlight w:val="none"/>
          <w:lang w:val="en-US" w:eastAsia="zh-CN"/>
        </w:rPr>
        <w:t>预付款：</w:t>
      </w:r>
      <w:r>
        <w:rPr>
          <w:rFonts w:hint="eastAsia" w:ascii="仿宋" w:hAnsi="仿宋" w:eastAsia="仿宋" w:cs="仿宋"/>
          <w:color w:val="auto"/>
          <w:sz w:val="24"/>
          <w:szCs w:val="24"/>
          <w:highlight w:val="none"/>
          <w:u w:val="single"/>
          <w:lang w:val="en-US" w:eastAsia="zh-CN"/>
        </w:rPr>
        <w:t xml:space="preserve"> （需要提供/无需提供）    </w:t>
      </w:r>
      <w:r>
        <w:rPr>
          <w:rFonts w:hint="eastAsia" w:ascii="仿宋" w:hAnsi="仿宋" w:eastAsia="仿宋" w:cs="仿宋"/>
          <w:color w:val="auto"/>
          <w:sz w:val="24"/>
          <w:szCs w:val="24"/>
          <w:highlight w:val="none"/>
          <w:lang w:val="en-US" w:eastAsia="zh-CN"/>
        </w:rPr>
        <w:t xml:space="preserve"> 。</w:t>
      </w:r>
    </w:p>
    <w:p w14:paraId="5C7ED6D3">
      <w:pPr>
        <w:keepNext w:val="0"/>
        <w:keepLines w:val="0"/>
        <w:pageBreakBefore w:val="0"/>
        <w:widowControl w:val="0"/>
        <w:kinsoku/>
        <w:wordWrap/>
        <w:overflowPunct/>
        <w:topLinePunct w:val="0"/>
        <w:autoSpaceDE/>
        <w:autoSpaceDN/>
        <w:bidi w:val="0"/>
        <w:adjustRightInd w:val="0"/>
        <w:snapToGrid w:val="0"/>
        <w:spacing w:line="400" w:lineRule="exact"/>
        <w:ind w:firstLine="442" w:firstLineChars="200"/>
        <w:textAlignment w:val="auto"/>
        <w:rPr>
          <w:rFonts w:hint="eastAsia" w:ascii="仿宋" w:hAnsi="仿宋" w:eastAsia="仿宋" w:cs="仿宋"/>
          <w:b/>
          <w:color w:val="auto"/>
          <w:sz w:val="24"/>
          <w:szCs w:val="24"/>
          <w:highlight w:val="none"/>
          <w:u w:val="single"/>
          <w:lang w:eastAsia="zh-CN"/>
        </w:rPr>
      </w:pPr>
      <w:r>
        <w:rPr>
          <w:rFonts w:hint="eastAsia" w:ascii="仿宋" w:hAnsi="仿宋" w:eastAsia="仿宋" w:cs="仿宋"/>
          <w:b/>
          <w:color w:val="auto"/>
          <w:sz w:val="22"/>
          <w:highlight w:val="none"/>
          <w:u w:val="single"/>
        </w:rPr>
        <w:t>▲</w:t>
      </w:r>
      <w:r>
        <w:rPr>
          <w:rFonts w:hint="eastAsia" w:ascii="仿宋" w:hAnsi="仿宋" w:eastAsia="仿宋" w:cs="仿宋"/>
          <w:b/>
          <w:color w:val="auto"/>
          <w:sz w:val="24"/>
          <w:szCs w:val="24"/>
          <w:highlight w:val="none"/>
          <w:u w:val="single"/>
        </w:rPr>
        <w:t>合同签定后，服务费用以中标金额为准，</w:t>
      </w:r>
      <w:r>
        <w:rPr>
          <w:rFonts w:hint="eastAsia" w:ascii="仿宋" w:hAnsi="仿宋" w:eastAsia="仿宋" w:cs="仿宋"/>
          <w:b/>
          <w:color w:val="auto"/>
          <w:sz w:val="24"/>
          <w:szCs w:val="24"/>
          <w:highlight w:val="none"/>
          <w:u w:val="single"/>
          <w:lang w:eastAsia="zh-CN"/>
        </w:rPr>
        <w:t>乙方</w:t>
      </w:r>
      <w:r>
        <w:rPr>
          <w:rFonts w:hint="eastAsia" w:ascii="仿宋" w:hAnsi="仿宋" w:eastAsia="仿宋" w:cs="仿宋"/>
          <w:b/>
          <w:color w:val="auto"/>
          <w:sz w:val="24"/>
          <w:szCs w:val="24"/>
          <w:highlight w:val="none"/>
          <w:u w:val="single"/>
        </w:rPr>
        <w:t>向</w:t>
      </w:r>
      <w:r>
        <w:rPr>
          <w:rFonts w:hint="eastAsia" w:ascii="仿宋" w:hAnsi="仿宋" w:eastAsia="仿宋" w:cs="仿宋"/>
          <w:b/>
          <w:color w:val="auto"/>
          <w:sz w:val="24"/>
          <w:szCs w:val="24"/>
          <w:highlight w:val="none"/>
          <w:u w:val="single"/>
          <w:lang w:eastAsia="zh-CN"/>
        </w:rPr>
        <w:t>甲方</w:t>
      </w:r>
      <w:r>
        <w:rPr>
          <w:rFonts w:hint="eastAsia" w:ascii="仿宋" w:hAnsi="仿宋" w:eastAsia="仿宋" w:cs="仿宋"/>
          <w:b/>
          <w:color w:val="auto"/>
          <w:sz w:val="24"/>
          <w:szCs w:val="24"/>
          <w:highlight w:val="none"/>
          <w:u w:val="single"/>
        </w:rPr>
        <w:t>收取并开具增值税专用发票，采用先服务后支付的办法按季支付，每季度结算一次（</w:t>
      </w:r>
      <w:r>
        <w:rPr>
          <w:rFonts w:hint="eastAsia" w:ascii="仿宋" w:hAnsi="仿宋" w:eastAsia="仿宋" w:cs="仿宋"/>
          <w:b/>
          <w:color w:val="auto"/>
          <w:sz w:val="24"/>
          <w:szCs w:val="24"/>
          <w:highlight w:val="none"/>
          <w:u w:val="single"/>
          <w:lang w:eastAsia="zh-CN"/>
        </w:rPr>
        <w:t>乙方</w:t>
      </w:r>
      <w:r>
        <w:rPr>
          <w:rFonts w:hint="eastAsia" w:ascii="仿宋" w:hAnsi="仿宋" w:eastAsia="仿宋" w:cs="仿宋"/>
          <w:b/>
          <w:color w:val="auto"/>
          <w:sz w:val="24"/>
          <w:szCs w:val="24"/>
          <w:highlight w:val="none"/>
          <w:u w:val="single"/>
        </w:rPr>
        <w:t>必须提供发票）。</w:t>
      </w:r>
      <w:r>
        <w:rPr>
          <w:rFonts w:hint="eastAsia" w:ascii="仿宋" w:hAnsi="仿宋" w:eastAsia="仿宋" w:cs="仿宋"/>
          <w:b/>
          <w:color w:val="auto"/>
          <w:sz w:val="24"/>
          <w:szCs w:val="24"/>
          <w:highlight w:val="none"/>
          <w:u w:val="single"/>
          <w:lang w:eastAsia="zh-CN"/>
        </w:rPr>
        <w:t>甲方</w:t>
      </w:r>
      <w:r>
        <w:rPr>
          <w:rFonts w:hint="eastAsia" w:ascii="仿宋" w:hAnsi="仿宋" w:eastAsia="仿宋" w:cs="仿宋"/>
          <w:b/>
          <w:color w:val="auto"/>
          <w:sz w:val="24"/>
          <w:szCs w:val="24"/>
          <w:highlight w:val="none"/>
          <w:u w:val="single"/>
        </w:rPr>
        <w:t>根据合同约定对服务工作进行检查，</w:t>
      </w:r>
      <w:r>
        <w:rPr>
          <w:rFonts w:hint="eastAsia" w:ascii="仿宋" w:hAnsi="仿宋" w:eastAsia="仿宋" w:cs="仿宋"/>
          <w:b/>
          <w:color w:val="auto"/>
          <w:sz w:val="24"/>
          <w:szCs w:val="24"/>
          <w:highlight w:val="none"/>
          <w:u w:val="single"/>
          <w:lang w:eastAsia="zh-CN"/>
        </w:rPr>
        <w:t>甲方</w:t>
      </w:r>
      <w:r>
        <w:rPr>
          <w:rFonts w:hint="eastAsia" w:ascii="仿宋" w:hAnsi="仿宋" w:eastAsia="仿宋" w:cs="仿宋"/>
          <w:b/>
          <w:color w:val="auto"/>
          <w:sz w:val="24"/>
          <w:szCs w:val="24"/>
          <w:highlight w:val="none"/>
          <w:u w:val="single"/>
        </w:rPr>
        <w:t>检查或随机抽查进行管理工作的验收，每月形成考核结果，</w:t>
      </w:r>
      <w:r>
        <w:rPr>
          <w:rFonts w:hint="eastAsia" w:ascii="仿宋" w:hAnsi="仿宋" w:eastAsia="仿宋" w:cs="仿宋"/>
          <w:b/>
          <w:color w:val="auto"/>
          <w:sz w:val="24"/>
          <w:szCs w:val="24"/>
          <w:highlight w:val="none"/>
          <w:u w:val="single"/>
          <w:lang w:eastAsia="zh-CN"/>
        </w:rPr>
        <w:t>甲方</w:t>
      </w:r>
      <w:r>
        <w:rPr>
          <w:rFonts w:hint="eastAsia" w:ascii="仿宋" w:hAnsi="仿宋" w:eastAsia="仿宋" w:cs="仿宋"/>
          <w:b/>
          <w:color w:val="auto"/>
          <w:sz w:val="24"/>
          <w:szCs w:val="24"/>
          <w:highlight w:val="none"/>
          <w:u w:val="single"/>
        </w:rPr>
        <w:t>有权在季度服务费中扣罚。</w:t>
      </w:r>
      <w:r>
        <w:rPr>
          <w:rFonts w:hint="eastAsia" w:ascii="仿宋" w:hAnsi="仿宋" w:eastAsia="仿宋" w:cs="仿宋"/>
          <w:b/>
          <w:color w:val="auto"/>
          <w:sz w:val="24"/>
          <w:szCs w:val="24"/>
          <w:highlight w:val="none"/>
          <w:u w:val="single"/>
          <w:lang w:eastAsia="zh-CN"/>
        </w:rPr>
        <w:t>（注：待财政资金拨付后支付）</w:t>
      </w:r>
    </w:p>
    <w:p w14:paraId="2E9CB66B">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第四条  双方权利和义务</w:t>
      </w:r>
    </w:p>
    <w:p w14:paraId="6D781F18">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1、甲方有权对项目的工作进度、质量等情况进行监督、检查。</w:t>
      </w:r>
    </w:p>
    <w:p w14:paraId="16DD9A36">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2、提交的成果归甲方所有，甲方有占有、使用、转让等权利。</w:t>
      </w:r>
    </w:p>
    <w:p w14:paraId="2E7283F5">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3、乙方应按有关的技术标准开展工作，并负责报告通过评审。</w:t>
      </w:r>
    </w:p>
    <w:p w14:paraId="709E80B4">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4、乙方有义务解答甲方提出的与项目有关的询问。</w:t>
      </w:r>
    </w:p>
    <w:p w14:paraId="7FD84605">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5、乙方如要提前中止合同，需提前3个月，并征得甲方同意，否则按合同执行。</w:t>
      </w:r>
    </w:p>
    <w:p w14:paraId="4697FA3A">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bCs w:val="0"/>
          <w:color w:val="auto"/>
          <w:sz w:val="24"/>
          <w:szCs w:val="24"/>
          <w:highlight w:val="none"/>
        </w:rPr>
        <w:t>乙方应有保障其工作人员的安全服务措施，如发生包括工伤在内的人身伤害的，由乙方与其工作人员根据劳动合同法和劳动合同的约定承担责任，</w:t>
      </w:r>
      <w:r>
        <w:rPr>
          <w:rFonts w:hint="eastAsia" w:ascii="仿宋" w:hAnsi="仿宋" w:eastAsia="仿宋" w:cs="仿宋"/>
          <w:bCs w:val="0"/>
          <w:color w:val="auto"/>
          <w:sz w:val="24"/>
          <w:szCs w:val="24"/>
          <w:highlight w:val="none"/>
          <w:lang w:val="en-US" w:eastAsia="zh-CN"/>
        </w:rPr>
        <w:t>如未</w:t>
      </w:r>
      <w:r>
        <w:rPr>
          <w:rFonts w:hint="eastAsia" w:ascii="仿宋" w:hAnsi="仿宋" w:eastAsia="仿宋" w:cs="仿宋"/>
          <w:bCs w:val="0"/>
          <w:color w:val="auto"/>
          <w:sz w:val="24"/>
          <w:szCs w:val="24"/>
          <w:highlight w:val="none"/>
        </w:rPr>
        <w:t>约</w:t>
      </w:r>
      <w:r>
        <w:rPr>
          <w:rFonts w:hint="eastAsia" w:ascii="仿宋" w:hAnsi="仿宋" w:eastAsia="仿宋" w:cs="仿宋"/>
          <w:bCs w:val="0"/>
          <w:color w:val="auto"/>
          <w:sz w:val="24"/>
          <w:szCs w:val="24"/>
          <w:highlight w:val="none"/>
          <w:lang w:val="en-US" w:eastAsia="zh-CN"/>
        </w:rPr>
        <w:t>定</w:t>
      </w:r>
      <w:r>
        <w:rPr>
          <w:rFonts w:hint="eastAsia" w:ascii="仿宋" w:hAnsi="仿宋" w:eastAsia="仿宋" w:cs="仿宋"/>
          <w:bCs w:val="0"/>
          <w:color w:val="auto"/>
          <w:sz w:val="24"/>
          <w:szCs w:val="24"/>
          <w:highlight w:val="none"/>
          <w:lang w:eastAsia="zh-CN"/>
        </w:rPr>
        <w:t>的，</w:t>
      </w:r>
      <w:r>
        <w:rPr>
          <w:rFonts w:hint="eastAsia" w:ascii="仿宋" w:hAnsi="仿宋" w:eastAsia="仿宋" w:cs="仿宋"/>
          <w:bCs w:val="0"/>
          <w:color w:val="auto"/>
          <w:sz w:val="24"/>
          <w:szCs w:val="24"/>
          <w:highlight w:val="none"/>
          <w:lang w:val="en-US" w:eastAsia="zh-CN"/>
        </w:rPr>
        <w:t>一切安全问题由</w:t>
      </w:r>
      <w:r>
        <w:rPr>
          <w:rFonts w:hint="eastAsia" w:ascii="仿宋" w:hAnsi="仿宋" w:eastAsia="仿宋" w:cs="仿宋"/>
          <w:bCs w:val="0"/>
          <w:color w:val="auto"/>
          <w:sz w:val="24"/>
          <w:szCs w:val="24"/>
          <w:highlight w:val="none"/>
        </w:rPr>
        <w:t>乙方承担责任。</w:t>
      </w:r>
    </w:p>
    <w:p w14:paraId="797B5FF6">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第五条  违约责任</w:t>
      </w:r>
    </w:p>
    <w:p w14:paraId="02758A88">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双方如违反本合同规定，应承担违约责任和相应的经济处罚。</w:t>
      </w:r>
    </w:p>
    <w:p w14:paraId="076A2258">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、乙方标书上提供的驻场人员与签订合同后实际到场的工作人员保持一致，若不一致，也必须</w:t>
      </w:r>
      <w:r>
        <w:rPr>
          <w:rFonts w:hint="eastAsia" w:ascii="仿宋" w:hAnsi="仿宋" w:eastAsia="仿宋" w:cs="仿宋"/>
          <w:color w:val="auto"/>
          <w:sz w:val="24"/>
          <w:highlight w:val="none"/>
          <w:lang w:eastAsia="zh-CN"/>
        </w:rPr>
        <w:t>符合招标文件中要求的相同资格或以上。</w:t>
      </w:r>
      <w:r>
        <w:rPr>
          <w:rFonts w:hint="eastAsia" w:ascii="仿宋" w:hAnsi="仿宋" w:eastAsia="仿宋" w:cs="仿宋"/>
          <w:color w:val="auto"/>
          <w:sz w:val="24"/>
          <w:highlight w:val="none"/>
        </w:rPr>
        <w:t>人员更换</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必须</w:t>
      </w:r>
      <w:r>
        <w:rPr>
          <w:rFonts w:hint="eastAsia" w:ascii="仿宋" w:hAnsi="仿宋" w:eastAsia="仿宋" w:cs="仿宋"/>
          <w:color w:val="auto"/>
          <w:sz w:val="24"/>
          <w:highlight w:val="none"/>
          <w:lang w:eastAsia="zh-CN"/>
        </w:rPr>
        <w:t>向甲方提交书面申请材料并</w:t>
      </w:r>
      <w:r>
        <w:rPr>
          <w:rFonts w:hint="eastAsia" w:ascii="仿宋" w:hAnsi="仿宋" w:eastAsia="仿宋" w:cs="仿宋"/>
          <w:color w:val="auto"/>
          <w:sz w:val="24"/>
          <w:highlight w:val="none"/>
        </w:rPr>
        <w:t>征得甲方同意，</w:t>
      </w:r>
      <w:r>
        <w:rPr>
          <w:rFonts w:hint="eastAsia" w:ascii="仿宋" w:hAnsi="仿宋" w:eastAsia="仿宋" w:cs="仿宋"/>
          <w:color w:val="auto"/>
          <w:sz w:val="24"/>
          <w:highlight w:val="none"/>
          <w:lang w:eastAsia="zh-CN"/>
        </w:rPr>
        <w:t>如乙方私自</w:t>
      </w:r>
      <w:r>
        <w:rPr>
          <w:rFonts w:hint="eastAsia" w:ascii="仿宋" w:hAnsi="仿宋" w:eastAsia="仿宋" w:cs="仿宋"/>
          <w:color w:val="auto"/>
          <w:sz w:val="24"/>
          <w:highlight w:val="none"/>
        </w:rPr>
        <w:t>更换人员按违约进行处理，</w:t>
      </w:r>
      <w:r>
        <w:rPr>
          <w:rFonts w:hint="eastAsia" w:ascii="仿宋" w:hAnsi="仿宋" w:eastAsia="仿宋" w:cs="仿宋"/>
          <w:color w:val="auto"/>
          <w:sz w:val="24"/>
          <w:highlight w:val="none"/>
          <w:lang w:eastAsia="zh-CN"/>
        </w:rPr>
        <w:t>私自更换</w:t>
      </w:r>
      <w:r>
        <w:rPr>
          <w:rFonts w:hint="eastAsia" w:ascii="仿宋" w:hAnsi="仿宋" w:eastAsia="仿宋" w:cs="仿宋"/>
          <w:color w:val="auto"/>
          <w:sz w:val="24"/>
          <w:highlight w:val="none"/>
        </w:rPr>
        <w:t>项目负责人</w:t>
      </w:r>
      <w:r>
        <w:rPr>
          <w:rFonts w:hint="eastAsia" w:ascii="仿宋" w:hAnsi="仿宋" w:eastAsia="仿宋" w:cs="仿宋"/>
          <w:color w:val="auto"/>
          <w:sz w:val="24"/>
          <w:highlight w:val="none"/>
          <w:lang w:eastAsia="zh-CN"/>
        </w:rPr>
        <w:t>第一次</w:t>
      </w:r>
      <w:r>
        <w:rPr>
          <w:rFonts w:hint="eastAsia" w:ascii="仿宋" w:hAnsi="仿宋" w:eastAsia="仿宋" w:cs="仿宋"/>
          <w:color w:val="auto"/>
          <w:sz w:val="24"/>
          <w:highlight w:val="none"/>
        </w:rPr>
        <w:t>支付违约金</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万元，</w:t>
      </w:r>
      <w:r>
        <w:rPr>
          <w:rFonts w:hint="eastAsia" w:ascii="仿宋" w:hAnsi="仿宋" w:eastAsia="仿宋" w:cs="仿宋"/>
          <w:color w:val="auto"/>
          <w:sz w:val="24"/>
          <w:highlight w:val="none"/>
          <w:lang w:eastAsia="zh-CN"/>
        </w:rPr>
        <w:t>第二次</w:t>
      </w:r>
      <w:r>
        <w:rPr>
          <w:rFonts w:hint="eastAsia" w:ascii="仿宋" w:hAnsi="仿宋" w:eastAsia="仿宋" w:cs="仿宋"/>
          <w:color w:val="auto"/>
          <w:sz w:val="24"/>
          <w:highlight w:val="none"/>
        </w:rPr>
        <w:t>支付违约金</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万元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其他人员按</w:t>
      </w:r>
      <w:r>
        <w:rPr>
          <w:rFonts w:hint="eastAsia" w:ascii="仿宋" w:hAnsi="仿宋" w:eastAsia="仿宋" w:cs="仿宋"/>
          <w:color w:val="auto"/>
          <w:sz w:val="24"/>
          <w:highlight w:val="none"/>
          <w:lang w:eastAsia="zh-CN"/>
        </w:rPr>
        <w:t>每次</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万计取违约金，</w:t>
      </w:r>
      <w:r>
        <w:rPr>
          <w:rFonts w:hint="eastAsia" w:ascii="仿宋" w:hAnsi="仿宋" w:eastAsia="仿宋" w:cs="仿宋"/>
          <w:color w:val="auto"/>
          <w:sz w:val="24"/>
          <w:highlight w:val="none"/>
          <w:lang w:eastAsia="zh-CN"/>
        </w:rPr>
        <w:t>私自更换</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lang w:eastAsia="zh-CN"/>
        </w:rPr>
        <w:t>次以上</w:t>
      </w:r>
      <w:r>
        <w:rPr>
          <w:rFonts w:hint="eastAsia" w:ascii="仿宋" w:hAnsi="仿宋" w:eastAsia="仿宋" w:cs="仿宋"/>
          <w:color w:val="auto"/>
          <w:sz w:val="24"/>
          <w:highlight w:val="none"/>
        </w:rPr>
        <w:t>甲方有权利解除合同。人员必须按照甲方规定的工作时间到场，未到场的人员按投标文件中人员工资</w:t>
      </w:r>
      <w:r>
        <w:rPr>
          <w:rFonts w:hint="eastAsia" w:ascii="仿宋" w:hAnsi="仿宋" w:eastAsia="仿宋" w:cs="仿宋"/>
          <w:color w:val="auto"/>
          <w:sz w:val="24"/>
          <w:highlight w:val="none"/>
          <w:lang w:val="en-US" w:eastAsia="zh-CN"/>
        </w:rPr>
        <w:t>按日</w:t>
      </w:r>
      <w:r>
        <w:rPr>
          <w:rFonts w:hint="eastAsia" w:ascii="仿宋" w:hAnsi="仿宋" w:eastAsia="仿宋" w:cs="仿宋"/>
          <w:color w:val="auto"/>
          <w:sz w:val="24"/>
          <w:highlight w:val="none"/>
        </w:rPr>
        <w:t>进行扣减服务费，并按违约情况计取项目负责人不到岗500元/次，其他人员300元/次违约金。</w:t>
      </w:r>
    </w:p>
    <w:p w14:paraId="72FF5879">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、乙方</w:t>
      </w:r>
      <w:r>
        <w:rPr>
          <w:rFonts w:hint="eastAsia" w:ascii="仿宋" w:hAnsi="仿宋" w:eastAsia="仿宋" w:cs="仿宋"/>
          <w:color w:val="auto"/>
          <w:kern w:val="0"/>
          <w:sz w:val="24"/>
          <w:highlight w:val="none"/>
        </w:rPr>
        <w:t>必须严格按照技术资信标中所承诺的相关内容执行，并随时服从</w:t>
      </w:r>
      <w:r>
        <w:rPr>
          <w:rFonts w:hint="eastAsia" w:ascii="仿宋" w:hAnsi="仿宋" w:eastAsia="仿宋" w:cs="仿宋"/>
          <w:color w:val="auto"/>
          <w:kern w:val="0"/>
          <w:sz w:val="24"/>
          <w:highlight w:val="none"/>
          <w:lang w:val="en-US" w:eastAsia="zh-CN"/>
        </w:rPr>
        <w:t>甲</w:t>
      </w:r>
      <w:r>
        <w:rPr>
          <w:rFonts w:hint="eastAsia" w:ascii="仿宋" w:hAnsi="仿宋" w:eastAsia="仿宋" w:cs="仿宋"/>
          <w:color w:val="auto"/>
          <w:kern w:val="0"/>
          <w:sz w:val="24"/>
          <w:highlight w:val="none"/>
        </w:rPr>
        <w:t>方的安排，若存在未按技术资信标中所承诺的相关内容执行的，每发现一次罚5000元违约金，出现</w:t>
      </w:r>
      <w:r>
        <w:rPr>
          <w:rFonts w:hint="eastAsia" w:ascii="仿宋" w:hAnsi="仿宋" w:eastAsia="仿宋" w:cs="仿宋"/>
          <w:color w:val="auto"/>
          <w:kern w:val="0"/>
          <w:sz w:val="24"/>
          <w:highlight w:val="none"/>
          <w:lang w:val="en-US" w:eastAsia="zh-CN"/>
        </w:rPr>
        <w:t>二</w:t>
      </w:r>
      <w:r>
        <w:rPr>
          <w:rFonts w:hint="eastAsia" w:ascii="仿宋" w:hAnsi="仿宋" w:eastAsia="仿宋" w:cs="仿宋"/>
          <w:color w:val="auto"/>
          <w:kern w:val="0"/>
          <w:sz w:val="24"/>
          <w:highlight w:val="none"/>
        </w:rPr>
        <w:t>次及以上类似情况，甲方可以单方面终止合同，所造成的一切损失由乙方自行负责。</w:t>
      </w:r>
    </w:p>
    <w:p w14:paraId="19055DEF">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w:t>
      </w:r>
      <w:r>
        <w:rPr>
          <w:rFonts w:hint="eastAsia" w:ascii="仿宋" w:hAnsi="仿宋" w:eastAsia="仿宋" w:cs="仿宋"/>
          <w:bCs/>
          <w:color w:val="auto"/>
          <w:sz w:val="24"/>
          <w:highlight w:val="none"/>
        </w:rPr>
        <w:t>甲方将根据</w:t>
      </w:r>
      <w:r>
        <w:rPr>
          <w:rFonts w:hint="eastAsia" w:ascii="仿宋" w:hAnsi="仿宋" w:eastAsia="仿宋" w:cs="仿宋"/>
          <w:bCs/>
          <w:color w:val="auto"/>
          <w:sz w:val="24"/>
          <w:highlight w:val="none"/>
          <w:lang w:eastAsia="zh-CN"/>
        </w:rPr>
        <w:t>合同附件</w:t>
      </w:r>
      <w:r>
        <w:rPr>
          <w:rFonts w:hint="eastAsia" w:ascii="仿宋" w:hAnsi="仿宋" w:eastAsia="仿宋" w:cs="仿宋"/>
          <w:bCs/>
          <w:color w:val="auto"/>
          <w:sz w:val="24"/>
          <w:highlight w:val="none"/>
          <w:lang w:val="en-US" w:eastAsia="zh-CN"/>
        </w:rPr>
        <w:t>一</w:t>
      </w:r>
      <w:r>
        <w:rPr>
          <w:rFonts w:hint="eastAsia" w:ascii="仿宋" w:hAnsi="仿宋" w:eastAsia="仿宋" w:cs="仿宋"/>
          <w:bCs/>
          <w:color w:val="auto"/>
          <w:sz w:val="24"/>
          <w:highlight w:val="none"/>
        </w:rPr>
        <w:t>《第三方监管服务日常工作考评标准表》进行考核，表格中</w:t>
      </w:r>
      <w:r>
        <w:rPr>
          <w:rFonts w:hint="eastAsia" w:ascii="仿宋" w:hAnsi="仿宋" w:eastAsia="仿宋" w:cs="仿宋"/>
          <w:color w:val="auto"/>
          <w:sz w:val="24"/>
          <w:highlight w:val="none"/>
        </w:rPr>
        <w:t>各单项分数均扣完为止，以9</w:t>
      </w:r>
      <w:r>
        <w:rPr>
          <w:rFonts w:hint="default" w:ascii="仿宋" w:hAnsi="仿宋" w:eastAsia="仿宋" w:cs="仿宋"/>
          <w:color w:val="auto"/>
          <w:sz w:val="24"/>
          <w:highlight w:val="none"/>
        </w:rPr>
        <w:t>2</w:t>
      </w:r>
      <w:r>
        <w:rPr>
          <w:rFonts w:hint="eastAsia" w:ascii="仿宋" w:hAnsi="仿宋" w:eastAsia="仿宋" w:cs="仿宋"/>
          <w:color w:val="auto"/>
          <w:sz w:val="24"/>
          <w:highlight w:val="none"/>
        </w:rPr>
        <w:t>分为达标分，当月考核分数低于9</w:t>
      </w:r>
      <w:r>
        <w:rPr>
          <w:rFonts w:hint="default" w:ascii="仿宋" w:hAnsi="仿宋" w:eastAsia="仿宋" w:cs="仿宋"/>
          <w:color w:val="auto"/>
          <w:sz w:val="24"/>
          <w:highlight w:val="none"/>
        </w:rPr>
        <w:t>2</w:t>
      </w:r>
      <w:r>
        <w:rPr>
          <w:rFonts w:hint="eastAsia" w:ascii="仿宋" w:hAnsi="仿宋" w:eastAsia="仿宋" w:cs="仿宋"/>
          <w:color w:val="auto"/>
          <w:sz w:val="24"/>
          <w:highlight w:val="none"/>
        </w:rPr>
        <w:t>分的，每下降1分扣除当月服务费的</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%,依此类推，连续出现三个月考核分低于9</w:t>
      </w:r>
      <w:r>
        <w:rPr>
          <w:rFonts w:hint="default" w:ascii="仿宋" w:hAnsi="仿宋" w:eastAsia="仿宋" w:cs="仿宋"/>
          <w:color w:val="auto"/>
          <w:sz w:val="24"/>
          <w:highlight w:val="none"/>
        </w:rPr>
        <w:t>2</w:t>
      </w:r>
      <w:r>
        <w:rPr>
          <w:rFonts w:hint="eastAsia" w:ascii="仿宋" w:hAnsi="仿宋" w:eastAsia="仿宋" w:cs="仿宋"/>
          <w:color w:val="auto"/>
          <w:sz w:val="24"/>
          <w:highlight w:val="none"/>
        </w:rPr>
        <w:t>分的，</w:t>
      </w:r>
      <w:r>
        <w:rPr>
          <w:rFonts w:hint="eastAsia" w:ascii="仿宋" w:hAnsi="仿宋" w:eastAsia="仿宋" w:cs="仿宋"/>
          <w:color w:val="auto"/>
          <w:kern w:val="0"/>
          <w:sz w:val="24"/>
          <w:highlight w:val="none"/>
        </w:rPr>
        <w:t>甲方可以单方面终止合同，所造成的一切损失由乙方自行负责</w:t>
      </w:r>
      <w:r>
        <w:rPr>
          <w:rFonts w:hint="eastAsia" w:ascii="仿宋" w:hAnsi="仿宋" w:eastAsia="仿宋" w:cs="仿宋"/>
          <w:color w:val="auto"/>
          <w:sz w:val="24"/>
          <w:highlight w:val="none"/>
        </w:rPr>
        <w:t>。</w:t>
      </w:r>
    </w:p>
    <w:p w14:paraId="392A1995">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乙方应严格遵守国家有关的法律、法规及行业标准。如因乙方原因造成第三方损失的或在服务过程中乙方与从业人员发生任何劳动纠纷的，一切责任及费用由乙方全部负责。</w:t>
      </w:r>
    </w:p>
    <w:p w14:paraId="10EE03A4">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、除不可抗力外以，如发生乙方不能履行合同义务，或甲方发生中途终止合同等情况，应及时以书面形式通知对方。甲乙双方应本着友好的态度进行协商，妥善解决。如协商无效，按下列规定计算并支付违约金：</w:t>
      </w:r>
    </w:p>
    <w:p w14:paraId="0EB38089">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.1.乙方不能履行合同义务，应按未履行部分合同价格的10%向甲方偿付违约金。</w:t>
      </w:r>
    </w:p>
    <w:p w14:paraId="6DBB076A">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.2如乙方未能履行合同规定的任何一项义务，甲方按合同违约执行，未约定的甲方有权从</w:t>
      </w:r>
      <w:r>
        <w:rPr>
          <w:rFonts w:hint="eastAsia" w:ascii="仿宋" w:hAnsi="仿宋" w:eastAsia="仿宋" w:cs="仿宋"/>
          <w:color w:val="auto"/>
          <w:kern w:val="0"/>
          <w:sz w:val="24"/>
          <w:highlight w:val="none"/>
          <w:lang w:eastAsia="zh-CN"/>
        </w:rPr>
        <w:t>服务费</w:t>
      </w:r>
      <w:r>
        <w:rPr>
          <w:rFonts w:hint="eastAsia" w:ascii="仿宋" w:hAnsi="仿宋" w:eastAsia="仿宋" w:cs="仿宋"/>
          <w:color w:val="auto"/>
          <w:kern w:val="0"/>
          <w:sz w:val="24"/>
          <w:highlight w:val="none"/>
        </w:rPr>
        <w:t>中得到补偿。</w:t>
      </w:r>
    </w:p>
    <w:p w14:paraId="3749A69A">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.3甲方发生中途终止合同（甲方自身原因导致的），应向乙方偿付违约金，违约金按未履行部分合同价格的</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%计算。</w:t>
      </w:r>
    </w:p>
    <w:p w14:paraId="641D8696">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.4经双方协商可终止部分或全部合同的，无须承担违约责任。</w:t>
      </w:r>
    </w:p>
    <w:p w14:paraId="5CF4449D">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第六条  本合同未尽事项，经双方协商一致，可签订补充协议。补充协议与本合同具有同等效力。</w:t>
      </w:r>
    </w:p>
    <w:p w14:paraId="29B050F6">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第七条 合同的组成部分及其解释顺序如下：</w:t>
      </w:r>
    </w:p>
    <w:p w14:paraId="697F83F7">
      <w:pPr>
        <w:keepNext w:val="0"/>
        <w:keepLines w:val="0"/>
        <w:pageBreakBefore w:val="0"/>
        <w:widowControl w:val="0"/>
        <w:kinsoku/>
        <w:wordWrap/>
        <w:overflowPunct/>
        <w:topLinePunct w:val="0"/>
        <w:autoSpaceDE/>
        <w:autoSpaceDN/>
        <w:bidi w:val="0"/>
        <w:adjustRightInd w:val="0"/>
        <w:spacing w:line="400" w:lineRule="exact"/>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1)本合同的补充合同（如有）；</w:t>
      </w:r>
    </w:p>
    <w:p w14:paraId="190E738C">
      <w:pPr>
        <w:keepNext w:val="0"/>
        <w:keepLines w:val="0"/>
        <w:pageBreakBefore w:val="0"/>
        <w:widowControl w:val="0"/>
        <w:kinsoku/>
        <w:wordWrap/>
        <w:overflowPunct/>
        <w:topLinePunct w:val="0"/>
        <w:autoSpaceDE/>
        <w:autoSpaceDN/>
        <w:bidi w:val="0"/>
        <w:adjustRightInd w:val="0"/>
        <w:spacing w:line="400" w:lineRule="exact"/>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2)本合同；</w:t>
      </w:r>
    </w:p>
    <w:p w14:paraId="0C7060FA">
      <w:pPr>
        <w:keepNext w:val="0"/>
        <w:keepLines w:val="0"/>
        <w:pageBreakBefore w:val="0"/>
        <w:widowControl w:val="0"/>
        <w:kinsoku/>
        <w:wordWrap/>
        <w:overflowPunct/>
        <w:topLinePunct w:val="0"/>
        <w:autoSpaceDE/>
        <w:autoSpaceDN/>
        <w:bidi w:val="0"/>
        <w:adjustRightInd w:val="0"/>
        <w:spacing w:line="400" w:lineRule="exact"/>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3)中标通知书；</w:t>
      </w:r>
    </w:p>
    <w:p w14:paraId="2BE40655">
      <w:pPr>
        <w:keepNext w:val="0"/>
        <w:keepLines w:val="0"/>
        <w:pageBreakBefore w:val="0"/>
        <w:widowControl w:val="0"/>
        <w:kinsoku/>
        <w:wordWrap/>
        <w:overflowPunct/>
        <w:topLinePunct w:val="0"/>
        <w:autoSpaceDE/>
        <w:autoSpaceDN/>
        <w:bidi w:val="0"/>
        <w:adjustRightInd w:val="0"/>
        <w:spacing w:line="400" w:lineRule="exact"/>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4)询标记录（如有）；</w:t>
      </w:r>
    </w:p>
    <w:p w14:paraId="4D7C0B7D">
      <w:pPr>
        <w:keepNext w:val="0"/>
        <w:keepLines w:val="0"/>
        <w:pageBreakBefore w:val="0"/>
        <w:widowControl w:val="0"/>
        <w:kinsoku/>
        <w:wordWrap/>
        <w:overflowPunct/>
        <w:topLinePunct w:val="0"/>
        <w:autoSpaceDE/>
        <w:autoSpaceDN/>
        <w:bidi w:val="0"/>
        <w:adjustRightInd w:val="0"/>
        <w:spacing w:line="400" w:lineRule="exact"/>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5)投标文件；</w:t>
      </w:r>
    </w:p>
    <w:p w14:paraId="7FC655DD">
      <w:pPr>
        <w:keepNext w:val="0"/>
        <w:keepLines w:val="0"/>
        <w:pageBreakBefore w:val="0"/>
        <w:widowControl w:val="0"/>
        <w:kinsoku/>
        <w:wordWrap/>
        <w:overflowPunct/>
        <w:topLinePunct w:val="0"/>
        <w:autoSpaceDE/>
        <w:autoSpaceDN/>
        <w:bidi w:val="0"/>
        <w:adjustRightInd w:val="0"/>
        <w:spacing w:line="400" w:lineRule="exact"/>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6)招标文件的补充、澄清文件（如有）</w:t>
      </w:r>
    </w:p>
    <w:p w14:paraId="34E20E8D">
      <w:pPr>
        <w:keepNext w:val="0"/>
        <w:keepLines w:val="0"/>
        <w:pageBreakBefore w:val="0"/>
        <w:widowControl w:val="0"/>
        <w:kinsoku/>
        <w:wordWrap/>
        <w:overflowPunct/>
        <w:topLinePunct w:val="0"/>
        <w:autoSpaceDE/>
        <w:autoSpaceDN/>
        <w:bidi w:val="0"/>
        <w:adjustRightInd w:val="0"/>
        <w:spacing w:line="400" w:lineRule="exact"/>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7）招标文件。</w:t>
      </w:r>
    </w:p>
    <w:p w14:paraId="6F36D23E">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highlight w:val="none"/>
        </w:rPr>
      </w:pPr>
      <w:r>
        <w:rPr>
          <w:rFonts w:hint="default" w:ascii="仿宋" w:hAnsi="仿宋" w:eastAsia="仿宋" w:cs="仿宋"/>
          <w:color w:val="auto"/>
          <w:sz w:val="24"/>
          <w:highlight w:val="none"/>
        </w:rPr>
        <w:t xml:space="preserve">  </w:t>
      </w:r>
      <w:r>
        <w:rPr>
          <w:rFonts w:hint="eastAsia" w:ascii="仿宋" w:hAnsi="仿宋" w:eastAsia="仿宋" w:cs="仿宋"/>
          <w:color w:val="auto"/>
          <w:sz w:val="24"/>
          <w:highlight w:val="none"/>
        </w:rPr>
        <w:t>第</w:t>
      </w:r>
      <w:r>
        <w:rPr>
          <w:rFonts w:hint="default" w:ascii="仿宋" w:hAnsi="仿宋" w:eastAsia="仿宋" w:cs="仿宋"/>
          <w:color w:val="auto"/>
          <w:sz w:val="24"/>
          <w:highlight w:val="none"/>
        </w:rPr>
        <w:t>八</w:t>
      </w:r>
      <w:r>
        <w:rPr>
          <w:rFonts w:hint="eastAsia" w:ascii="仿宋" w:hAnsi="仿宋" w:eastAsia="仿宋" w:cs="仿宋"/>
          <w:color w:val="auto"/>
          <w:sz w:val="24"/>
          <w:highlight w:val="none"/>
        </w:rPr>
        <w:t>条  仲裁</w:t>
      </w:r>
    </w:p>
    <w:p w14:paraId="062B4303">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highlight w:val="none"/>
        </w:rPr>
      </w:pPr>
      <w:r>
        <w:rPr>
          <w:rFonts w:hint="default" w:ascii="仿宋" w:hAnsi="仿宋" w:eastAsia="仿宋" w:cs="仿宋"/>
          <w:color w:val="auto"/>
          <w:sz w:val="24"/>
          <w:highlight w:val="none"/>
        </w:rPr>
        <w:t xml:space="preserve">  </w:t>
      </w:r>
      <w:r>
        <w:rPr>
          <w:rFonts w:hint="eastAsia" w:ascii="仿宋" w:hAnsi="仿宋" w:eastAsia="仿宋" w:cs="仿宋"/>
          <w:color w:val="auto"/>
          <w:sz w:val="24"/>
          <w:highlight w:val="none"/>
        </w:rPr>
        <w:t>7.1双方在执行合同中所发生的一切争议，应通过协商解决。如协商不成，应向甲方法定地址所在仲裁机构提交仲裁，也可直接向甲方法定地址所在人民法院起诉。</w:t>
      </w:r>
    </w:p>
    <w:p w14:paraId="3C283D2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highlight w:val="none"/>
        </w:rPr>
      </w:pPr>
      <w:r>
        <w:rPr>
          <w:rFonts w:hint="default" w:ascii="仿宋" w:hAnsi="仿宋" w:eastAsia="仿宋" w:cs="仿宋"/>
          <w:color w:val="auto"/>
          <w:sz w:val="24"/>
          <w:highlight w:val="none"/>
        </w:rPr>
        <w:t xml:space="preserve">  </w:t>
      </w:r>
      <w:r>
        <w:rPr>
          <w:rFonts w:hint="eastAsia" w:ascii="仿宋" w:hAnsi="仿宋" w:eastAsia="仿宋" w:cs="仿宋"/>
          <w:color w:val="auto"/>
          <w:sz w:val="24"/>
          <w:highlight w:val="none"/>
        </w:rPr>
        <w:t>7.2  在仲裁期间，除正在进行仲裁的部份外，本合同其他部份应继续执行．</w:t>
      </w:r>
    </w:p>
    <w:p w14:paraId="233803C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highlight w:val="none"/>
        </w:rPr>
      </w:pPr>
      <w:r>
        <w:rPr>
          <w:rFonts w:hint="default" w:ascii="仿宋" w:hAnsi="仿宋" w:eastAsia="仿宋" w:cs="仿宋"/>
          <w:color w:val="auto"/>
          <w:sz w:val="24"/>
          <w:highlight w:val="none"/>
        </w:rPr>
        <w:t xml:space="preserve">  </w:t>
      </w:r>
      <w:r>
        <w:rPr>
          <w:rFonts w:hint="eastAsia" w:ascii="仿宋" w:hAnsi="仿宋" w:eastAsia="仿宋" w:cs="仿宋"/>
          <w:color w:val="auto"/>
          <w:sz w:val="24"/>
          <w:highlight w:val="none"/>
        </w:rPr>
        <w:t>7.3  仲裁费用除仲裁机构另行有裁决外，由败诉方承担。</w:t>
      </w:r>
    </w:p>
    <w:p w14:paraId="73C7F331">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highlight w:val="none"/>
        </w:rPr>
      </w:pPr>
      <w:r>
        <w:rPr>
          <w:rFonts w:hint="default" w:ascii="仿宋" w:hAnsi="仿宋" w:eastAsia="仿宋" w:cs="仿宋"/>
          <w:color w:val="auto"/>
          <w:sz w:val="24"/>
          <w:highlight w:val="none"/>
        </w:rPr>
        <w:t xml:space="preserve">  </w:t>
      </w:r>
      <w:r>
        <w:rPr>
          <w:rFonts w:hint="eastAsia" w:ascii="仿宋" w:hAnsi="仿宋" w:eastAsia="仿宋" w:cs="仿宋"/>
          <w:color w:val="auto"/>
          <w:sz w:val="24"/>
          <w:highlight w:val="none"/>
        </w:rPr>
        <w:t>第</w:t>
      </w:r>
      <w:r>
        <w:rPr>
          <w:rFonts w:hint="default" w:ascii="仿宋" w:hAnsi="仿宋" w:eastAsia="仿宋" w:cs="仿宋"/>
          <w:color w:val="auto"/>
          <w:sz w:val="24"/>
          <w:highlight w:val="none"/>
        </w:rPr>
        <w:t>九</w:t>
      </w:r>
      <w:r>
        <w:rPr>
          <w:rFonts w:hint="eastAsia" w:ascii="仿宋" w:hAnsi="仿宋" w:eastAsia="仿宋" w:cs="仿宋"/>
          <w:color w:val="auto"/>
          <w:sz w:val="24"/>
          <w:highlight w:val="none"/>
        </w:rPr>
        <w:t>条  本合同一式陆份，各方各执叁份，合同自双方签字盖章之日起生效。</w:t>
      </w:r>
    </w:p>
    <w:p w14:paraId="3615B87F">
      <w:pPr>
        <w:keepNext w:val="0"/>
        <w:keepLines w:val="0"/>
        <w:pageBreakBefore w:val="0"/>
        <w:widowControl w:val="0"/>
        <w:kinsoku/>
        <w:wordWrap/>
        <w:overflowPunct/>
        <w:topLinePunct w:val="0"/>
        <w:autoSpaceDE/>
        <w:autoSpaceDN/>
        <w:bidi w:val="0"/>
        <w:adjustRightInd w:val="0"/>
        <w:spacing w:line="400" w:lineRule="exact"/>
        <w:textAlignment w:val="auto"/>
        <w:outlineLvl w:val="0"/>
        <w:rPr>
          <w:rFonts w:hint="eastAsia" w:ascii="仿宋" w:hAnsi="仿宋" w:eastAsia="仿宋" w:cs="仿宋"/>
          <w:color w:val="auto"/>
          <w:kern w:val="0"/>
          <w:sz w:val="36"/>
          <w:szCs w:val="36"/>
          <w:highlight w:val="none"/>
        </w:rPr>
      </w:pPr>
    </w:p>
    <w:p w14:paraId="21F121FE">
      <w:pPr>
        <w:keepNext w:val="0"/>
        <w:keepLines w:val="0"/>
        <w:pageBreakBefore w:val="0"/>
        <w:widowControl w:val="0"/>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甲</w:t>
      </w:r>
      <w:r>
        <w:rPr>
          <w:rFonts w:hint="eastAsia" w:ascii="仿宋" w:hAnsi="仿宋" w:eastAsia="仿宋" w:cs="仿宋"/>
          <w:color w:val="auto"/>
          <w:sz w:val="22"/>
          <w:szCs w:val="22"/>
          <w:highlight w:val="none"/>
        </w:rPr>
        <w:t xml:space="preserve">方：（印章）                       </w:t>
      </w:r>
      <w:r>
        <w:rPr>
          <w:rFonts w:hint="eastAsia" w:ascii="仿宋" w:hAnsi="仿宋" w:eastAsia="仿宋" w:cs="仿宋"/>
          <w:color w:val="auto"/>
          <w:sz w:val="22"/>
          <w:szCs w:val="22"/>
          <w:highlight w:val="none"/>
          <w:lang w:eastAsia="zh-CN"/>
        </w:rPr>
        <w:t>乙</w:t>
      </w:r>
      <w:r>
        <w:rPr>
          <w:rFonts w:hint="eastAsia" w:ascii="仿宋" w:hAnsi="仿宋" w:eastAsia="仿宋" w:cs="仿宋"/>
          <w:color w:val="auto"/>
          <w:sz w:val="22"/>
          <w:szCs w:val="22"/>
          <w:highlight w:val="none"/>
        </w:rPr>
        <w:t>方：（印章）</w:t>
      </w:r>
    </w:p>
    <w:p w14:paraId="5A329FEF">
      <w:pPr>
        <w:keepNext w:val="0"/>
        <w:keepLines w:val="0"/>
        <w:pageBreakBefore w:val="0"/>
        <w:widowControl w:val="0"/>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全权代表:（签字）                    全权代表:（签字）</w:t>
      </w:r>
    </w:p>
    <w:p w14:paraId="270404BA">
      <w:pPr>
        <w:keepNext w:val="0"/>
        <w:keepLines w:val="0"/>
        <w:pageBreakBefore w:val="0"/>
        <w:widowControl w:val="0"/>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地址：                               地址：</w:t>
      </w:r>
    </w:p>
    <w:p w14:paraId="21E57F13">
      <w:pPr>
        <w:keepNext w:val="0"/>
        <w:keepLines w:val="0"/>
        <w:pageBreakBefore w:val="0"/>
        <w:widowControl w:val="0"/>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邮政编码：                           邮政编码：</w:t>
      </w:r>
    </w:p>
    <w:p w14:paraId="1B98F9BC">
      <w:pPr>
        <w:keepNext w:val="0"/>
        <w:keepLines w:val="0"/>
        <w:pageBreakBefore w:val="0"/>
        <w:widowControl w:val="0"/>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电话：                               电话：</w:t>
      </w:r>
    </w:p>
    <w:p w14:paraId="6EFD2CD1">
      <w:pPr>
        <w:keepNext w:val="0"/>
        <w:keepLines w:val="0"/>
        <w:pageBreakBefore w:val="0"/>
        <w:widowControl w:val="0"/>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传真：                               传真：</w:t>
      </w:r>
    </w:p>
    <w:p w14:paraId="2EFD09CD">
      <w:pPr>
        <w:keepNext w:val="0"/>
        <w:keepLines w:val="0"/>
        <w:pageBreakBefore w:val="0"/>
        <w:widowControl w:val="0"/>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开户银行：                           开户银行：</w:t>
      </w:r>
    </w:p>
    <w:p w14:paraId="69C0AD20">
      <w:pPr>
        <w:keepNext w:val="0"/>
        <w:keepLines w:val="0"/>
        <w:pageBreakBefore w:val="0"/>
        <w:widowControl w:val="0"/>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帐号：                               帐号：</w:t>
      </w:r>
    </w:p>
    <w:p w14:paraId="082A8377">
      <w:pPr>
        <w:pStyle w:val="32"/>
        <w:spacing w:line="400" w:lineRule="exact"/>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组织机构代码：</w:t>
      </w: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lang w:eastAsia="zh-CN"/>
        </w:rPr>
        <w:t>组织机构代码：</w:t>
      </w:r>
    </w:p>
    <w:p w14:paraId="5DEFF7AE">
      <w:pPr>
        <w:pStyle w:val="32"/>
        <w:spacing w:line="400" w:lineRule="exact"/>
        <w:ind w:firstLine="330" w:firstLineChars="150"/>
        <w:jc w:val="center"/>
        <w:rPr>
          <w:rFonts w:hint="eastAsia" w:ascii="仿宋" w:hAnsi="仿宋" w:eastAsia="仿宋" w:cs="仿宋"/>
          <w:b w:val="0"/>
          <w:color w:val="auto"/>
          <w:sz w:val="22"/>
          <w:szCs w:val="22"/>
          <w:highlight w:val="none"/>
        </w:rPr>
      </w:pPr>
    </w:p>
    <w:p w14:paraId="0B210DDB">
      <w:pPr>
        <w:pStyle w:val="32"/>
        <w:spacing w:line="400" w:lineRule="exact"/>
        <w:jc w:val="both"/>
        <w:rPr>
          <w:rFonts w:hint="eastAsia" w:ascii="仿宋" w:hAnsi="仿宋" w:eastAsia="仿宋" w:cs="仿宋"/>
          <w:b w:val="0"/>
          <w:color w:val="auto"/>
          <w:sz w:val="22"/>
          <w:szCs w:val="22"/>
          <w:highlight w:val="none"/>
        </w:rPr>
      </w:pPr>
      <w:r>
        <w:rPr>
          <w:rFonts w:hint="eastAsia" w:ascii="仿宋" w:hAnsi="仿宋" w:eastAsia="仿宋" w:cs="仿宋"/>
          <w:color w:val="auto"/>
          <w:sz w:val="22"/>
          <w:szCs w:val="22"/>
          <w:highlight w:val="none"/>
        </w:rPr>
        <w:t xml:space="preserve">签订日期：                        </w:t>
      </w: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签订日期：</w:t>
      </w:r>
    </w:p>
    <w:p w14:paraId="311413AF">
      <w:pPr>
        <w:pStyle w:val="32"/>
        <w:spacing w:line="400" w:lineRule="exact"/>
        <w:ind w:firstLine="542" w:firstLineChars="150"/>
        <w:jc w:val="center"/>
        <w:rPr>
          <w:rFonts w:hint="eastAsia" w:ascii="仿宋" w:hAnsi="仿宋" w:eastAsia="仿宋" w:cs="仿宋_GB2312"/>
          <w:b/>
          <w:color w:val="auto"/>
          <w:sz w:val="36"/>
          <w:szCs w:val="20"/>
          <w:highlight w:val="none"/>
        </w:rPr>
      </w:pPr>
    </w:p>
    <w:p w14:paraId="2DD35B82">
      <w:pPr>
        <w:pStyle w:val="32"/>
        <w:spacing w:line="400" w:lineRule="exact"/>
        <w:ind w:firstLine="542" w:firstLineChars="150"/>
        <w:jc w:val="center"/>
        <w:rPr>
          <w:rFonts w:hint="eastAsia" w:ascii="仿宋" w:hAnsi="仿宋" w:eastAsia="仿宋" w:cs="仿宋_GB2312"/>
          <w:b/>
          <w:color w:val="auto"/>
          <w:sz w:val="36"/>
          <w:szCs w:val="20"/>
          <w:highlight w:val="none"/>
        </w:rPr>
      </w:pPr>
    </w:p>
    <w:p w14:paraId="0CDF0B60">
      <w:pPr>
        <w:pStyle w:val="32"/>
        <w:spacing w:line="400" w:lineRule="exact"/>
        <w:ind w:firstLine="542" w:firstLineChars="150"/>
        <w:jc w:val="center"/>
        <w:rPr>
          <w:rFonts w:hint="eastAsia" w:ascii="仿宋" w:hAnsi="仿宋" w:eastAsia="仿宋" w:cs="仿宋_GB2312"/>
          <w:b/>
          <w:color w:val="auto"/>
          <w:sz w:val="36"/>
          <w:szCs w:val="20"/>
          <w:highlight w:val="none"/>
        </w:rPr>
      </w:pPr>
    </w:p>
    <w:p w14:paraId="1422F766">
      <w:pPr>
        <w:pStyle w:val="32"/>
        <w:spacing w:line="400" w:lineRule="exact"/>
        <w:ind w:firstLine="542" w:firstLineChars="150"/>
        <w:jc w:val="center"/>
        <w:rPr>
          <w:rFonts w:hint="eastAsia" w:ascii="仿宋" w:hAnsi="仿宋" w:eastAsia="仿宋" w:cs="仿宋_GB2312"/>
          <w:b/>
          <w:color w:val="auto"/>
          <w:sz w:val="36"/>
          <w:szCs w:val="20"/>
          <w:highlight w:val="none"/>
        </w:rPr>
      </w:pPr>
    </w:p>
    <w:p w14:paraId="63215ABF">
      <w:pPr>
        <w:pStyle w:val="32"/>
        <w:spacing w:line="400" w:lineRule="exact"/>
        <w:ind w:firstLine="542" w:firstLineChars="150"/>
        <w:jc w:val="center"/>
        <w:rPr>
          <w:rFonts w:hint="eastAsia" w:ascii="仿宋" w:hAnsi="仿宋" w:eastAsia="仿宋" w:cs="仿宋_GB2312"/>
          <w:b/>
          <w:color w:val="auto"/>
          <w:sz w:val="36"/>
          <w:szCs w:val="20"/>
          <w:highlight w:val="none"/>
        </w:rPr>
      </w:pPr>
    </w:p>
    <w:p w14:paraId="0C9C59A3">
      <w:pPr>
        <w:pStyle w:val="32"/>
        <w:spacing w:line="400" w:lineRule="exact"/>
        <w:ind w:firstLine="542" w:firstLineChars="150"/>
        <w:jc w:val="center"/>
        <w:rPr>
          <w:rFonts w:hint="eastAsia" w:ascii="仿宋" w:hAnsi="仿宋" w:eastAsia="仿宋" w:cs="仿宋_GB2312"/>
          <w:b/>
          <w:color w:val="auto"/>
          <w:sz w:val="36"/>
          <w:szCs w:val="20"/>
          <w:highlight w:val="none"/>
        </w:rPr>
      </w:pPr>
    </w:p>
    <w:p w14:paraId="53995FBA">
      <w:pPr>
        <w:spacing w:after="0"/>
        <w:ind w:left="0" w:firstLine="0" w:firstLineChars="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br w:type="page"/>
      </w:r>
    </w:p>
    <w:p w14:paraId="43C6D268">
      <w:pPr>
        <w:spacing w:after="0"/>
        <w:ind w:left="2160" w:hanging="1446" w:hangingChars="600"/>
        <w:jc w:val="left"/>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附件一</w:t>
      </w:r>
    </w:p>
    <w:p w14:paraId="045E91A8">
      <w:pPr>
        <w:spacing w:after="0"/>
        <w:ind w:left="2160" w:hanging="1920" w:hangingChars="600"/>
        <w:jc w:val="left"/>
        <w:rPr>
          <w:rFonts w:hint="eastAsia"/>
          <w:color w:val="auto"/>
          <w:sz w:val="32"/>
          <w:szCs w:val="32"/>
          <w:highlight w:val="none"/>
        </w:rPr>
      </w:pPr>
    </w:p>
    <w:p w14:paraId="42785E5A">
      <w:pPr>
        <w:spacing w:after="0"/>
        <w:ind w:left="2160" w:hanging="1920" w:hangingChars="6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第三方监管服务日常工作考核标准表（餐厨垃圾收运处置）</w:t>
      </w:r>
    </w:p>
    <w:tbl>
      <w:tblPr>
        <w:tblStyle w:val="57"/>
        <w:tblpPr w:leftFromText="180" w:rightFromText="180" w:vertAnchor="page" w:horzAnchor="page" w:tblpX="1662" w:tblpY="3072"/>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0"/>
        <w:gridCol w:w="855"/>
        <w:gridCol w:w="5239"/>
        <w:gridCol w:w="705"/>
        <w:gridCol w:w="750"/>
        <w:gridCol w:w="746"/>
      </w:tblGrid>
      <w:tr w14:paraId="2111C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00" w:type="dxa"/>
            <w:shd w:val="clear" w:color="auto" w:fill="FFFFFF"/>
            <w:tcMar>
              <w:top w:w="80" w:type="dxa"/>
              <w:left w:w="80" w:type="dxa"/>
              <w:bottom w:w="80" w:type="dxa"/>
              <w:right w:w="80" w:type="dxa"/>
            </w:tcMar>
            <w:vAlign w:val="center"/>
          </w:tcPr>
          <w:p w14:paraId="54422BB7">
            <w:pPr>
              <w:spacing w:after="0"/>
              <w:ind w:left="2160" w:hanging="1680" w:hangingChars="600"/>
              <w:jc w:val="left"/>
              <w:rPr>
                <w:rFonts w:hint="eastAsia" w:ascii="仿宋" w:hAnsi="仿宋" w:eastAsia="仿宋" w:cs="仿宋"/>
                <w:color w:val="auto"/>
                <w:sz w:val="22"/>
                <w:szCs w:val="22"/>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2"/>
                <w:szCs w:val="22"/>
                <w:highlight w:val="none"/>
              </w:rPr>
              <w:t>序号</w:t>
            </w:r>
          </w:p>
        </w:tc>
        <w:tc>
          <w:tcPr>
            <w:tcW w:w="855" w:type="dxa"/>
            <w:shd w:val="clear" w:color="auto" w:fill="FFFFFF"/>
            <w:vAlign w:val="center"/>
          </w:tcPr>
          <w:p w14:paraId="58628A14">
            <w:pPr>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项目</w:t>
            </w:r>
          </w:p>
        </w:tc>
        <w:tc>
          <w:tcPr>
            <w:tcW w:w="5239" w:type="dxa"/>
            <w:shd w:val="clear" w:color="auto" w:fill="FFFFFF"/>
            <w:vAlign w:val="center"/>
          </w:tcPr>
          <w:p w14:paraId="377658F0">
            <w:pPr>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考核内容</w:t>
            </w:r>
          </w:p>
        </w:tc>
        <w:tc>
          <w:tcPr>
            <w:tcW w:w="705" w:type="dxa"/>
            <w:shd w:val="clear" w:color="auto" w:fill="FFFFFF"/>
            <w:vAlign w:val="center"/>
          </w:tcPr>
          <w:p w14:paraId="69F41414">
            <w:pPr>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分值</w:t>
            </w:r>
          </w:p>
        </w:tc>
        <w:tc>
          <w:tcPr>
            <w:tcW w:w="750" w:type="dxa"/>
            <w:shd w:val="clear" w:color="auto" w:fill="FFFFFF"/>
            <w:vAlign w:val="center"/>
          </w:tcPr>
          <w:p w14:paraId="2CBA3264">
            <w:pPr>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得分</w:t>
            </w:r>
          </w:p>
        </w:tc>
        <w:tc>
          <w:tcPr>
            <w:tcW w:w="746" w:type="dxa"/>
            <w:shd w:val="clear" w:color="auto" w:fill="FFFFFF"/>
            <w:vAlign w:val="center"/>
          </w:tcPr>
          <w:p w14:paraId="5E1E5A47">
            <w:pPr>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备注</w:t>
            </w:r>
          </w:p>
        </w:tc>
      </w:tr>
      <w:tr w14:paraId="646B7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00" w:type="dxa"/>
            <w:vMerge w:val="restart"/>
            <w:shd w:val="clear" w:color="auto" w:fill="FFFFFF"/>
            <w:tcMar>
              <w:top w:w="80" w:type="dxa"/>
              <w:left w:w="80" w:type="dxa"/>
              <w:bottom w:w="80" w:type="dxa"/>
              <w:right w:w="80" w:type="dxa"/>
            </w:tcMar>
            <w:vAlign w:val="center"/>
          </w:tcPr>
          <w:p w14:paraId="5054B86A">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855" w:type="dxa"/>
            <w:vMerge w:val="restart"/>
            <w:shd w:val="clear" w:color="auto" w:fill="FFFFFF"/>
            <w:vAlign w:val="center"/>
          </w:tcPr>
          <w:p w14:paraId="731C2AB5">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人员管理</w:t>
            </w:r>
          </w:p>
          <w:p w14:paraId="22E3F4FB">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(15分)</w:t>
            </w:r>
          </w:p>
        </w:tc>
        <w:tc>
          <w:tcPr>
            <w:tcW w:w="5239" w:type="dxa"/>
            <w:shd w:val="clear" w:color="auto" w:fill="FFFFFF"/>
            <w:vAlign w:val="center"/>
          </w:tcPr>
          <w:p w14:paraId="48CF4534">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按要求配置人员。未按要求配置</w:t>
            </w:r>
            <w:r>
              <w:rPr>
                <w:rFonts w:hint="eastAsia" w:ascii="仿宋" w:hAnsi="仿宋" w:eastAsia="仿宋" w:cs="仿宋"/>
                <w:color w:val="auto"/>
                <w:sz w:val="22"/>
                <w:szCs w:val="22"/>
                <w:highlight w:val="none"/>
                <w:lang w:val="en-US" w:eastAsia="zh-CN"/>
              </w:rPr>
              <w:t>每</w:t>
            </w:r>
            <w:r>
              <w:rPr>
                <w:rFonts w:hint="eastAsia" w:ascii="仿宋" w:hAnsi="仿宋" w:eastAsia="仿宋" w:cs="仿宋"/>
                <w:color w:val="auto"/>
                <w:sz w:val="22"/>
                <w:szCs w:val="22"/>
                <w:highlight w:val="none"/>
              </w:rPr>
              <w:t>人员扣5分；人员应按时到岗，</w:t>
            </w:r>
            <w:r>
              <w:rPr>
                <w:rFonts w:hint="default" w:ascii="仿宋" w:hAnsi="仿宋" w:eastAsia="仿宋" w:cs="仿宋"/>
                <w:color w:val="auto"/>
                <w:sz w:val="22"/>
                <w:szCs w:val="22"/>
                <w:highlight w:val="none"/>
              </w:rPr>
              <w:t>未到岗或</w:t>
            </w:r>
            <w:r>
              <w:rPr>
                <w:rFonts w:hint="eastAsia" w:ascii="仿宋" w:hAnsi="仿宋" w:eastAsia="仿宋" w:cs="仿宋"/>
                <w:color w:val="auto"/>
                <w:sz w:val="22"/>
                <w:szCs w:val="22"/>
                <w:highlight w:val="none"/>
                <w:lang w:val="en-US" w:eastAsia="zh-CN"/>
              </w:rPr>
              <w:t>旷工</w:t>
            </w:r>
            <w:r>
              <w:rPr>
                <w:rFonts w:hint="eastAsia" w:ascii="仿宋" w:hAnsi="仿宋" w:eastAsia="仿宋" w:cs="仿宋"/>
                <w:color w:val="auto"/>
                <w:sz w:val="22"/>
                <w:szCs w:val="22"/>
                <w:highlight w:val="none"/>
              </w:rPr>
              <w:t>扣</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分/次。</w:t>
            </w:r>
          </w:p>
        </w:tc>
        <w:tc>
          <w:tcPr>
            <w:tcW w:w="705" w:type="dxa"/>
            <w:vMerge w:val="restart"/>
            <w:shd w:val="clear" w:color="auto" w:fill="FFFFFF"/>
            <w:vAlign w:val="center"/>
          </w:tcPr>
          <w:p w14:paraId="4A9A775A">
            <w:pPr>
              <w:jc w:val="center"/>
              <w:rPr>
                <w:rFonts w:hint="eastAsia" w:ascii="仿宋" w:hAnsi="仿宋" w:eastAsia="仿宋" w:cs="仿宋"/>
                <w:color w:val="auto"/>
                <w:sz w:val="20"/>
                <w:szCs w:val="22"/>
                <w:highlight w:val="none"/>
              </w:rPr>
            </w:pPr>
            <w:r>
              <w:rPr>
                <w:rFonts w:hint="eastAsia" w:ascii="仿宋" w:hAnsi="仿宋" w:eastAsia="仿宋" w:cs="仿宋"/>
                <w:color w:val="auto"/>
                <w:sz w:val="22"/>
                <w:szCs w:val="22"/>
                <w:highlight w:val="none"/>
              </w:rPr>
              <w:t>15</w:t>
            </w:r>
          </w:p>
          <w:p w14:paraId="6EE90E71">
            <w:pPr>
              <w:rPr>
                <w:rFonts w:hint="eastAsia" w:ascii="仿宋" w:hAnsi="仿宋" w:eastAsia="仿宋" w:cs="仿宋"/>
                <w:color w:val="auto"/>
                <w:sz w:val="20"/>
                <w:szCs w:val="22"/>
                <w:highlight w:val="none"/>
              </w:rPr>
            </w:pPr>
          </w:p>
          <w:p w14:paraId="4A7E58D0">
            <w:pPr>
              <w:spacing w:line="360" w:lineRule="auto"/>
              <w:jc w:val="center"/>
              <w:rPr>
                <w:rFonts w:hint="eastAsia" w:ascii="仿宋" w:hAnsi="仿宋" w:eastAsia="仿宋" w:cs="仿宋"/>
                <w:color w:val="auto"/>
                <w:sz w:val="22"/>
                <w:szCs w:val="22"/>
                <w:highlight w:val="none"/>
              </w:rPr>
            </w:pPr>
          </w:p>
        </w:tc>
        <w:tc>
          <w:tcPr>
            <w:tcW w:w="750" w:type="dxa"/>
            <w:vMerge w:val="restart"/>
            <w:shd w:val="clear" w:color="auto" w:fill="FFFFFF"/>
            <w:vAlign w:val="center"/>
          </w:tcPr>
          <w:p w14:paraId="774D66A9">
            <w:pPr>
              <w:spacing w:line="360" w:lineRule="auto"/>
              <w:rPr>
                <w:rFonts w:hint="eastAsia" w:ascii="仿宋" w:hAnsi="仿宋" w:eastAsia="仿宋" w:cs="仿宋"/>
                <w:color w:val="auto"/>
                <w:sz w:val="22"/>
                <w:szCs w:val="22"/>
                <w:highlight w:val="none"/>
              </w:rPr>
            </w:pPr>
          </w:p>
        </w:tc>
        <w:tc>
          <w:tcPr>
            <w:tcW w:w="746" w:type="dxa"/>
            <w:vMerge w:val="restart"/>
            <w:shd w:val="clear" w:color="auto" w:fill="FFFFFF"/>
            <w:vAlign w:val="center"/>
          </w:tcPr>
          <w:p w14:paraId="4742E46E">
            <w:pPr>
              <w:spacing w:line="360" w:lineRule="auto"/>
              <w:rPr>
                <w:rFonts w:hint="eastAsia" w:ascii="仿宋" w:hAnsi="仿宋" w:eastAsia="仿宋" w:cs="仿宋"/>
                <w:color w:val="auto"/>
                <w:sz w:val="22"/>
                <w:szCs w:val="22"/>
                <w:highlight w:val="none"/>
              </w:rPr>
            </w:pPr>
          </w:p>
        </w:tc>
      </w:tr>
      <w:tr w14:paraId="66AFF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00" w:type="dxa"/>
            <w:vMerge w:val="continue"/>
            <w:shd w:val="clear" w:color="auto" w:fill="auto"/>
            <w:vAlign w:val="center"/>
          </w:tcPr>
          <w:p w14:paraId="221648C6">
            <w:pPr>
              <w:spacing w:line="360" w:lineRule="auto"/>
              <w:rPr>
                <w:rFonts w:hint="eastAsia" w:ascii="仿宋" w:hAnsi="仿宋" w:eastAsia="仿宋" w:cs="仿宋"/>
                <w:color w:val="auto"/>
                <w:sz w:val="22"/>
                <w:szCs w:val="22"/>
                <w:highlight w:val="none"/>
              </w:rPr>
            </w:pPr>
          </w:p>
        </w:tc>
        <w:tc>
          <w:tcPr>
            <w:tcW w:w="855" w:type="dxa"/>
            <w:vMerge w:val="continue"/>
            <w:shd w:val="clear" w:color="auto" w:fill="auto"/>
            <w:vAlign w:val="center"/>
          </w:tcPr>
          <w:p w14:paraId="4996FA7F">
            <w:pPr>
              <w:spacing w:line="360" w:lineRule="auto"/>
              <w:rPr>
                <w:rFonts w:hint="eastAsia" w:ascii="仿宋" w:hAnsi="仿宋" w:eastAsia="仿宋" w:cs="仿宋"/>
                <w:color w:val="auto"/>
                <w:sz w:val="22"/>
                <w:szCs w:val="22"/>
                <w:highlight w:val="none"/>
              </w:rPr>
            </w:pPr>
          </w:p>
        </w:tc>
        <w:tc>
          <w:tcPr>
            <w:tcW w:w="5239" w:type="dxa"/>
            <w:shd w:val="clear" w:color="auto" w:fill="FFFFFF"/>
            <w:tcMar>
              <w:top w:w="80" w:type="dxa"/>
              <w:left w:w="80" w:type="dxa"/>
              <w:bottom w:w="80" w:type="dxa"/>
              <w:right w:w="80" w:type="dxa"/>
            </w:tcMar>
            <w:vAlign w:val="center"/>
          </w:tcPr>
          <w:p w14:paraId="59EBFBB7">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项目负责人应按规定参加监管会议并形成会议记要。会议不按规定参加扣2分/次；监管会议无会议纪要的扣1分/次。</w:t>
            </w:r>
          </w:p>
        </w:tc>
        <w:tc>
          <w:tcPr>
            <w:tcW w:w="705" w:type="dxa"/>
            <w:vMerge w:val="continue"/>
            <w:shd w:val="clear" w:color="auto" w:fill="FFFFFF"/>
            <w:vAlign w:val="center"/>
          </w:tcPr>
          <w:p w14:paraId="7E667E6D">
            <w:pPr>
              <w:spacing w:line="360" w:lineRule="auto"/>
              <w:jc w:val="center"/>
              <w:rPr>
                <w:rFonts w:hint="eastAsia" w:ascii="仿宋" w:hAnsi="仿宋" w:eastAsia="仿宋" w:cs="仿宋"/>
                <w:color w:val="auto"/>
                <w:sz w:val="22"/>
                <w:szCs w:val="22"/>
                <w:highlight w:val="none"/>
              </w:rPr>
            </w:pPr>
          </w:p>
        </w:tc>
        <w:tc>
          <w:tcPr>
            <w:tcW w:w="750" w:type="dxa"/>
            <w:vMerge w:val="continue"/>
            <w:shd w:val="clear" w:color="auto" w:fill="FFFFFF"/>
            <w:vAlign w:val="center"/>
          </w:tcPr>
          <w:p w14:paraId="7FF83DE2">
            <w:pPr>
              <w:spacing w:line="360" w:lineRule="auto"/>
              <w:rPr>
                <w:rFonts w:hint="eastAsia" w:ascii="仿宋" w:hAnsi="仿宋" w:eastAsia="仿宋" w:cs="仿宋"/>
                <w:color w:val="auto"/>
                <w:sz w:val="22"/>
                <w:szCs w:val="22"/>
                <w:highlight w:val="none"/>
              </w:rPr>
            </w:pPr>
          </w:p>
        </w:tc>
        <w:tc>
          <w:tcPr>
            <w:tcW w:w="746" w:type="dxa"/>
            <w:vMerge w:val="continue"/>
            <w:shd w:val="clear" w:color="auto" w:fill="FFFFFF"/>
            <w:vAlign w:val="center"/>
          </w:tcPr>
          <w:p w14:paraId="6B73E49D">
            <w:pPr>
              <w:spacing w:line="360" w:lineRule="auto"/>
              <w:rPr>
                <w:rFonts w:hint="eastAsia" w:ascii="仿宋" w:hAnsi="仿宋" w:eastAsia="仿宋" w:cs="仿宋"/>
                <w:color w:val="auto"/>
                <w:sz w:val="22"/>
                <w:szCs w:val="22"/>
                <w:highlight w:val="none"/>
              </w:rPr>
            </w:pPr>
          </w:p>
        </w:tc>
      </w:tr>
      <w:tr w14:paraId="3725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00" w:type="dxa"/>
            <w:vMerge w:val="continue"/>
            <w:shd w:val="clear" w:color="auto" w:fill="auto"/>
            <w:vAlign w:val="center"/>
          </w:tcPr>
          <w:p w14:paraId="39A8062D">
            <w:pPr>
              <w:spacing w:line="360" w:lineRule="auto"/>
              <w:rPr>
                <w:rFonts w:hint="eastAsia" w:ascii="仿宋" w:hAnsi="仿宋" w:eastAsia="仿宋" w:cs="仿宋"/>
                <w:color w:val="auto"/>
                <w:sz w:val="22"/>
                <w:szCs w:val="22"/>
                <w:highlight w:val="none"/>
              </w:rPr>
            </w:pPr>
          </w:p>
        </w:tc>
        <w:tc>
          <w:tcPr>
            <w:tcW w:w="855" w:type="dxa"/>
            <w:vMerge w:val="continue"/>
            <w:shd w:val="clear" w:color="auto" w:fill="auto"/>
            <w:vAlign w:val="center"/>
          </w:tcPr>
          <w:p w14:paraId="080B9883">
            <w:pPr>
              <w:spacing w:line="360" w:lineRule="auto"/>
              <w:rPr>
                <w:rFonts w:hint="eastAsia" w:ascii="仿宋" w:hAnsi="仿宋" w:eastAsia="仿宋" w:cs="仿宋"/>
                <w:color w:val="auto"/>
                <w:sz w:val="22"/>
                <w:szCs w:val="22"/>
                <w:highlight w:val="none"/>
              </w:rPr>
            </w:pPr>
          </w:p>
        </w:tc>
        <w:tc>
          <w:tcPr>
            <w:tcW w:w="5239" w:type="dxa"/>
            <w:shd w:val="clear" w:color="auto" w:fill="FFFFFF"/>
            <w:tcMar>
              <w:top w:w="80" w:type="dxa"/>
              <w:left w:w="80" w:type="dxa"/>
              <w:bottom w:w="80" w:type="dxa"/>
              <w:right w:w="80" w:type="dxa"/>
            </w:tcMar>
            <w:vAlign w:val="center"/>
          </w:tcPr>
          <w:p w14:paraId="38BC1B54">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厂区内巡查时须按规定穿工作服佩戴安全帽及工作证，收运巡查时须佩戴工作</w:t>
            </w:r>
            <w:r>
              <w:rPr>
                <w:rFonts w:hint="default" w:ascii="仿宋" w:hAnsi="仿宋" w:eastAsia="仿宋" w:cs="仿宋"/>
                <w:color w:val="auto"/>
                <w:sz w:val="22"/>
                <w:szCs w:val="22"/>
                <w:highlight w:val="none"/>
              </w:rPr>
              <w:t>证、记录仪</w:t>
            </w:r>
            <w:r>
              <w:rPr>
                <w:rFonts w:hint="eastAsia" w:ascii="仿宋" w:hAnsi="仿宋" w:eastAsia="仿宋" w:cs="仿宋"/>
                <w:color w:val="auto"/>
                <w:sz w:val="22"/>
                <w:szCs w:val="22"/>
                <w:highlight w:val="none"/>
              </w:rPr>
              <w:t>。巡查时未按规定着装佩戴安全防护用具</w:t>
            </w:r>
            <w:r>
              <w:rPr>
                <w:rFonts w:hint="default" w:ascii="仿宋" w:hAnsi="仿宋" w:eastAsia="仿宋" w:cs="仿宋"/>
                <w:color w:val="auto"/>
                <w:sz w:val="22"/>
                <w:szCs w:val="22"/>
                <w:highlight w:val="none"/>
              </w:rPr>
              <w:t>、工作证</w:t>
            </w:r>
            <w:r>
              <w:rPr>
                <w:rFonts w:hint="eastAsia" w:ascii="仿宋" w:hAnsi="仿宋" w:eastAsia="仿宋" w:cs="仿宋"/>
                <w:color w:val="auto"/>
                <w:sz w:val="22"/>
                <w:szCs w:val="22"/>
                <w:highlight w:val="none"/>
                <w:lang w:eastAsia="zh-CN"/>
              </w:rPr>
              <w:t>、记录仪</w:t>
            </w:r>
            <w:r>
              <w:rPr>
                <w:rFonts w:hint="eastAsia" w:ascii="仿宋" w:hAnsi="仿宋" w:eastAsia="仿宋" w:cs="仿宋"/>
                <w:color w:val="auto"/>
                <w:sz w:val="22"/>
                <w:szCs w:val="22"/>
                <w:highlight w:val="none"/>
              </w:rPr>
              <w:t>的扣1分/次。</w:t>
            </w:r>
          </w:p>
        </w:tc>
        <w:tc>
          <w:tcPr>
            <w:tcW w:w="705" w:type="dxa"/>
            <w:vMerge w:val="continue"/>
            <w:shd w:val="clear" w:color="auto" w:fill="FFFFFF"/>
            <w:vAlign w:val="center"/>
          </w:tcPr>
          <w:p w14:paraId="29C88264">
            <w:pPr>
              <w:spacing w:line="360" w:lineRule="auto"/>
              <w:jc w:val="center"/>
              <w:rPr>
                <w:rFonts w:hint="eastAsia" w:ascii="仿宋" w:hAnsi="仿宋" w:eastAsia="仿宋" w:cs="仿宋"/>
                <w:color w:val="auto"/>
                <w:sz w:val="22"/>
                <w:szCs w:val="22"/>
                <w:highlight w:val="none"/>
              </w:rPr>
            </w:pPr>
          </w:p>
        </w:tc>
        <w:tc>
          <w:tcPr>
            <w:tcW w:w="750" w:type="dxa"/>
            <w:vMerge w:val="continue"/>
            <w:shd w:val="clear" w:color="auto" w:fill="FFFFFF"/>
            <w:vAlign w:val="center"/>
          </w:tcPr>
          <w:p w14:paraId="66C67155">
            <w:pPr>
              <w:spacing w:line="360" w:lineRule="auto"/>
              <w:rPr>
                <w:rFonts w:hint="eastAsia" w:ascii="仿宋" w:hAnsi="仿宋" w:eastAsia="仿宋" w:cs="仿宋"/>
                <w:color w:val="auto"/>
                <w:sz w:val="22"/>
                <w:szCs w:val="22"/>
                <w:highlight w:val="none"/>
              </w:rPr>
            </w:pPr>
          </w:p>
        </w:tc>
        <w:tc>
          <w:tcPr>
            <w:tcW w:w="746" w:type="dxa"/>
            <w:vMerge w:val="continue"/>
            <w:shd w:val="clear" w:color="auto" w:fill="FFFFFF"/>
            <w:vAlign w:val="center"/>
          </w:tcPr>
          <w:p w14:paraId="6CBEF4EA">
            <w:pPr>
              <w:spacing w:line="360" w:lineRule="auto"/>
              <w:rPr>
                <w:rFonts w:hint="eastAsia" w:ascii="仿宋" w:hAnsi="仿宋" w:eastAsia="仿宋" w:cs="仿宋"/>
                <w:color w:val="auto"/>
                <w:sz w:val="22"/>
                <w:szCs w:val="22"/>
                <w:highlight w:val="none"/>
              </w:rPr>
            </w:pPr>
          </w:p>
        </w:tc>
      </w:tr>
      <w:tr w14:paraId="1F505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00" w:type="dxa"/>
            <w:vMerge w:val="restart"/>
            <w:shd w:val="clear" w:color="auto" w:fill="FFFFFF"/>
            <w:tcMar>
              <w:top w:w="80" w:type="dxa"/>
              <w:left w:w="80" w:type="dxa"/>
              <w:bottom w:w="80" w:type="dxa"/>
              <w:right w:w="80" w:type="dxa"/>
            </w:tcMar>
            <w:vAlign w:val="center"/>
          </w:tcPr>
          <w:p w14:paraId="53DB692D">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p>
        </w:tc>
        <w:tc>
          <w:tcPr>
            <w:tcW w:w="855" w:type="dxa"/>
            <w:vMerge w:val="restart"/>
            <w:shd w:val="clear" w:color="auto" w:fill="FFFFFF"/>
            <w:vAlign w:val="center"/>
          </w:tcPr>
          <w:p w14:paraId="0B481458">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现场监管</w:t>
            </w:r>
          </w:p>
          <w:p w14:paraId="2FF31D58">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r>
              <w:rPr>
                <w:rFonts w:hint="eastAsia" w:ascii="仿宋" w:hAnsi="仿宋" w:eastAsia="仿宋" w:cs="仿宋"/>
                <w:color w:val="auto"/>
                <w:sz w:val="22"/>
                <w:szCs w:val="22"/>
                <w:highlight w:val="none"/>
                <w:lang w:val="en-US" w:eastAsia="zh-CN"/>
              </w:rPr>
              <w:t>0</w:t>
            </w:r>
            <w:r>
              <w:rPr>
                <w:rFonts w:hint="eastAsia" w:ascii="仿宋" w:hAnsi="仿宋" w:eastAsia="仿宋" w:cs="仿宋"/>
                <w:color w:val="auto"/>
                <w:sz w:val="22"/>
                <w:szCs w:val="22"/>
                <w:highlight w:val="none"/>
              </w:rPr>
              <w:t>分）</w:t>
            </w:r>
          </w:p>
        </w:tc>
        <w:tc>
          <w:tcPr>
            <w:tcW w:w="5239" w:type="dxa"/>
            <w:shd w:val="clear" w:color="auto" w:fill="FFFFFF"/>
            <w:vAlign w:val="center"/>
          </w:tcPr>
          <w:p w14:paraId="338508C9">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根据《临江生活垃圾焚烧发电厂三期工程BOT项目服务协议》、《温州市区餐厨垃圾收运处置第三方监管服务招标文件》及《温州市区餐厨垃圾收运处置监管考核办法（试行）》相关要求，编制《温州市区餐厨垃圾收运处置第三方监管服务工作手册》，并严格按照具体措施方案实施监管并进行考核。不按照规定实施监管的扣2分/次；由于监管不力，未告知</w:t>
            </w:r>
            <w:r>
              <w:rPr>
                <w:rFonts w:hint="eastAsia" w:ascii="仿宋" w:hAnsi="仿宋" w:eastAsia="仿宋" w:cs="仿宋"/>
                <w:color w:val="auto"/>
                <w:sz w:val="22"/>
                <w:szCs w:val="22"/>
                <w:highlight w:val="none"/>
                <w:lang w:eastAsia="zh-CN"/>
              </w:rPr>
              <w:t>甲</w:t>
            </w:r>
            <w:r>
              <w:rPr>
                <w:rFonts w:hint="eastAsia" w:ascii="仿宋" w:hAnsi="仿宋" w:eastAsia="仿宋" w:cs="仿宋"/>
                <w:color w:val="auto"/>
                <w:sz w:val="22"/>
                <w:szCs w:val="22"/>
                <w:highlight w:val="none"/>
              </w:rPr>
              <w:t>方，因此造成严重后果的扣10分/次。</w:t>
            </w:r>
          </w:p>
        </w:tc>
        <w:tc>
          <w:tcPr>
            <w:tcW w:w="705" w:type="dxa"/>
            <w:shd w:val="clear" w:color="auto" w:fill="FFFFFF"/>
            <w:vAlign w:val="center"/>
          </w:tcPr>
          <w:p w14:paraId="28548FA9">
            <w:pPr>
              <w:spacing w:line="360" w:lineRule="auto"/>
              <w:jc w:val="center"/>
              <w:rPr>
                <w:rFonts w:hint="eastAsia" w:ascii="仿宋" w:hAnsi="仿宋" w:eastAsia="仿宋" w:cs="仿宋"/>
                <w:color w:val="auto"/>
                <w:sz w:val="22"/>
                <w:szCs w:val="22"/>
                <w:highlight w:val="none"/>
              </w:rPr>
            </w:pPr>
          </w:p>
          <w:p w14:paraId="74241102">
            <w:pPr>
              <w:spacing w:line="360" w:lineRule="auto"/>
              <w:ind w:firstLine="220" w:firstLineChars="1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20</w:t>
            </w:r>
          </w:p>
        </w:tc>
        <w:tc>
          <w:tcPr>
            <w:tcW w:w="750" w:type="dxa"/>
            <w:shd w:val="clear" w:color="auto" w:fill="FFFFFF"/>
            <w:vAlign w:val="center"/>
          </w:tcPr>
          <w:p w14:paraId="0D09B81E">
            <w:pPr>
              <w:spacing w:line="360" w:lineRule="auto"/>
              <w:rPr>
                <w:rFonts w:hint="eastAsia" w:ascii="仿宋" w:hAnsi="仿宋" w:eastAsia="仿宋" w:cs="仿宋"/>
                <w:color w:val="auto"/>
                <w:sz w:val="22"/>
                <w:szCs w:val="22"/>
                <w:highlight w:val="none"/>
              </w:rPr>
            </w:pPr>
          </w:p>
        </w:tc>
        <w:tc>
          <w:tcPr>
            <w:tcW w:w="746" w:type="dxa"/>
            <w:shd w:val="clear" w:color="auto" w:fill="FFFFFF"/>
            <w:vAlign w:val="center"/>
          </w:tcPr>
          <w:p w14:paraId="44E5F9C5">
            <w:pPr>
              <w:spacing w:line="360" w:lineRule="auto"/>
              <w:rPr>
                <w:rFonts w:hint="eastAsia" w:ascii="仿宋" w:hAnsi="仿宋" w:eastAsia="仿宋" w:cs="仿宋"/>
                <w:color w:val="auto"/>
                <w:sz w:val="22"/>
                <w:szCs w:val="22"/>
                <w:highlight w:val="none"/>
              </w:rPr>
            </w:pPr>
          </w:p>
        </w:tc>
      </w:tr>
      <w:tr w14:paraId="7239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00" w:type="dxa"/>
            <w:vMerge w:val="continue"/>
            <w:shd w:val="clear" w:color="auto" w:fill="auto"/>
            <w:vAlign w:val="center"/>
          </w:tcPr>
          <w:p w14:paraId="2B8D799C">
            <w:pPr>
              <w:spacing w:line="360" w:lineRule="auto"/>
              <w:rPr>
                <w:rFonts w:hint="eastAsia" w:ascii="仿宋" w:hAnsi="仿宋" w:eastAsia="仿宋" w:cs="仿宋"/>
                <w:color w:val="auto"/>
                <w:sz w:val="22"/>
                <w:szCs w:val="22"/>
                <w:highlight w:val="none"/>
              </w:rPr>
            </w:pPr>
          </w:p>
        </w:tc>
        <w:tc>
          <w:tcPr>
            <w:tcW w:w="855" w:type="dxa"/>
            <w:vMerge w:val="continue"/>
            <w:shd w:val="clear" w:color="auto" w:fill="auto"/>
            <w:vAlign w:val="center"/>
          </w:tcPr>
          <w:p w14:paraId="21203C57">
            <w:pPr>
              <w:spacing w:line="360" w:lineRule="auto"/>
              <w:rPr>
                <w:rFonts w:hint="eastAsia" w:ascii="仿宋" w:hAnsi="仿宋" w:eastAsia="仿宋" w:cs="仿宋"/>
                <w:color w:val="auto"/>
                <w:sz w:val="22"/>
                <w:szCs w:val="22"/>
                <w:highlight w:val="none"/>
              </w:rPr>
            </w:pPr>
          </w:p>
        </w:tc>
        <w:tc>
          <w:tcPr>
            <w:tcW w:w="5239" w:type="dxa"/>
            <w:shd w:val="clear" w:color="auto" w:fill="FFFFFF"/>
            <w:tcMar>
              <w:top w:w="80" w:type="dxa"/>
              <w:left w:w="80" w:type="dxa"/>
              <w:bottom w:w="80" w:type="dxa"/>
              <w:right w:w="80" w:type="dxa"/>
            </w:tcMar>
            <w:vAlign w:val="center"/>
          </w:tcPr>
          <w:p w14:paraId="769F6B51">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甲</w:t>
            </w:r>
            <w:r>
              <w:rPr>
                <w:rFonts w:hint="eastAsia" w:ascii="仿宋" w:hAnsi="仿宋" w:eastAsia="仿宋" w:cs="仿宋"/>
                <w:color w:val="auto"/>
                <w:sz w:val="22"/>
                <w:szCs w:val="22"/>
                <w:highlight w:val="none"/>
              </w:rPr>
              <w:t>方提出的重要议题或乙方监管中发现的重要问题应安排咨询团队给予技术支撑，并提供相关成果。没有安排咨询团队并提供成果的扣1分/次；扣完为止。</w:t>
            </w:r>
          </w:p>
        </w:tc>
        <w:tc>
          <w:tcPr>
            <w:tcW w:w="705" w:type="dxa"/>
            <w:vMerge w:val="restart"/>
            <w:shd w:val="clear" w:color="auto" w:fill="FFFFFF"/>
            <w:vAlign w:val="center"/>
          </w:tcPr>
          <w:p w14:paraId="1E63FDF2">
            <w:pPr>
              <w:jc w:val="center"/>
              <w:rPr>
                <w:rFonts w:hint="eastAsia" w:ascii="仿宋" w:hAnsi="仿宋" w:eastAsia="仿宋" w:cs="仿宋"/>
                <w:color w:val="auto"/>
                <w:sz w:val="20"/>
                <w:szCs w:val="22"/>
                <w:highlight w:val="none"/>
              </w:rPr>
            </w:pPr>
            <w:r>
              <w:rPr>
                <w:rFonts w:hint="eastAsia" w:ascii="仿宋" w:hAnsi="仿宋" w:eastAsia="仿宋" w:cs="仿宋"/>
                <w:color w:val="auto"/>
                <w:sz w:val="22"/>
                <w:szCs w:val="22"/>
                <w:highlight w:val="none"/>
              </w:rPr>
              <w:t>10</w:t>
            </w:r>
          </w:p>
          <w:p w14:paraId="2FC0A9A9">
            <w:pPr>
              <w:spacing w:line="360" w:lineRule="auto"/>
              <w:jc w:val="center"/>
              <w:rPr>
                <w:rFonts w:hint="eastAsia" w:ascii="仿宋" w:hAnsi="仿宋" w:eastAsia="仿宋" w:cs="仿宋"/>
                <w:color w:val="auto"/>
                <w:sz w:val="22"/>
                <w:szCs w:val="22"/>
                <w:highlight w:val="none"/>
              </w:rPr>
            </w:pPr>
          </w:p>
        </w:tc>
        <w:tc>
          <w:tcPr>
            <w:tcW w:w="750" w:type="dxa"/>
            <w:vMerge w:val="restart"/>
            <w:shd w:val="clear" w:color="auto" w:fill="FFFFFF"/>
            <w:vAlign w:val="center"/>
          </w:tcPr>
          <w:p w14:paraId="3E215EB1">
            <w:pPr>
              <w:spacing w:line="360" w:lineRule="auto"/>
              <w:rPr>
                <w:rFonts w:hint="eastAsia" w:ascii="仿宋" w:hAnsi="仿宋" w:eastAsia="仿宋" w:cs="仿宋"/>
                <w:color w:val="auto"/>
                <w:sz w:val="22"/>
                <w:szCs w:val="22"/>
                <w:highlight w:val="none"/>
              </w:rPr>
            </w:pPr>
          </w:p>
        </w:tc>
        <w:tc>
          <w:tcPr>
            <w:tcW w:w="746" w:type="dxa"/>
            <w:vMerge w:val="restart"/>
            <w:shd w:val="clear" w:color="auto" w:fill="FFFFFF"/>
            <w:vAlign w:val="center"/>
          </w:tcPr>
          <w:p w14:paraId="37B03EBB">
            <w:pPr>
              <w:spacing w:line="360" w:lineRule="auto"/>
              <w:rPr>
                <w:rFonts w:hint="eastAsia" w:ascii="仿宋" w:hAnsi="仿宋" w:eastAsia="仿宋" w:cs="仿宋"/>
                <w:color w:val="auto"/>
                <w:sz w:val="22"/>
                <w:szCs w:val="22"/>
                <w:highlight w:val="none"/>
              </w:rPr>
            </w:pPr>
          </w:p>
        </w:tc>
      </w:tr>
      <w:tr w14:paraId="24C66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00" w:type="dxa"/>
            <w:vMerge w:val="continue"/>
            <w:shd w:val="clear" w:color="auto" w:fill="auto"/>
            <w:vAlign w:val="center"/>
          </w:tcPr>
          <w:p w14:paraId="11BC52E2">
            <w:pPr>
              <w:spacing w:line="360" w:lineRule="auto"/>
              <w:rPr>
                <w:rFonts w:hint="eastAsia" w:ascii="仿宋" w:hAnsi="仿宋" w:eastAsia="仿宋" w:cs="仿宋"/>
                <w:color w:val="auto"/>
                <w:sz w:val="22"/>
                <w:szCs w:val="22"/>
                <w:highlight w:val="none"/>
              </w:rPr>
            </w:pPr>
          </w:p>
        </w:tc>
        <w:tc>
          <w:tcPr>
            <w:tcW w:w="855" w:type="dxa"/>
            <w:vMerge w:val="continue"/>
            <w:shd w:val="clear" w:color="auto" w:fill="auto"/>
            <w:vAlign w:val="center"/>
          </w:tcPr>
          <w:p w14:paraId="770BD67A">
            <w:pPr>
              <w:spacing w:line="360" w:lineRule="auto"/>
              <w:rPr>
                <w:rFonts w:hint="eastAsia" w:ascii="仿宋" w:hAnsi="仿宋" w:eastAsia="仿宋" w:cs="仿宋"/>
                <w:color w:val="auto"/>
                <w:sz w:val="22"/>
                <w:szCs w:val="22"/>
                <w:highlight w:val="none"/>
              </w:rPr>
            </w:pPr>
          </w:p>
        </w:tc>
        <w:tc>
          <w:tcPr>
            <w:tcW w:w="5239" w:type="dxa"/>
            <w:shd w:val="clear" w:color="auto" w:fill="FFFFFF"/>
            <w:tcMar>
              <w:top w:w="80" w:type="dxa"/>
              <w:left w:w="80" w:type="dxa"/>
              <w:bottom w:w="80" w:type="dxa"/>
              <w:right w:w="80" w:type="dxa"/>
            </w:tcMar>
            <w:vAlign w:val="center"/>
          </w:tcPr>
          <w:p w14:paraId="43F7C3AE">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监管会议重要事项应负责记录并跟踪</w:t>
            </w:r>
            <w:r>
              <w:rPr>
                <w:rFonts w:hint="eastAsia" w:ascii="仿宋" w:hAnsi="仿宋" w:eastAsia="仿宋" w:cs="仿宋"/>
                <w:color w:val="auto"/>
                <w:sz w:val="22"/>
                <w:szCs w:val="22"/>
                <w:highlight w:val="none"/>
                <w:lang w:eastAsia="zh-CN"/>
              </w:rPr>
              <w:t>落实</w:t>
            </w:r>
            <w:r>
              <w:rPr>
                <w:rFonts w:hint="eastAsia" w:ascii="仿宋" w:hAnsi="仿宋" w:eastAsia="仿宋" w:cs="仿宋"/>
                <w:color w:val="auto"/>
                <w:sz w:val="22"/>
                <w:szCs w:val="22"/>
                <w:highlight w:val="none"/>
              </w:rPr>
              <w:t>。没有跟踪</w:t>
            </w:r>
            <w:r>
              <w:rPr>
                <w:rFonts w:hint="default" w:ascii="仿宋" w:hAnsi="仿宋" w:eastAsia="仿宋" w:cs="仿宋"/>
                <w:color w:val="auto"/>
                <w:sz w:val="22"/>
                <w:szCs w:val="22"/>
                <w:highlight w:val="none"/>
              </w:rPr>
              <w:t>落实</w:t>
            </w:r>
            <w:r>
              <w:rPr>
                <w:rFonts w:hint="eastAsia" w:ascii="仿宋" w:hAnsi="仿宋" w:eastAsia="仿宋" w:cs="仿宋"/>
                <w:color w:val="auto"/>
                <w:sz w:val="22"/>
                <w:szCs w:val="22"/>
                <w:highlight w:val="none"/>
              </w:rPr>
              <w:t>或记录不完善的扣1分/次。</w:t>
            </w:r>
          </w:p>
        </w:tc>
        <w:tc>
          <w:tcPr>
            <w:tcW w:w="705" w:type="dxa"/>
            <w:vMerge w:val="continue"/>
            <w:shd w:val="clear" w:color="auto" w:fill="FFFFFF"/>
            <w:vAlign w:val="center"/>
          </w:tcPr>
          <w:p w14:paraId="2A067F87">
            <w:pPr>
              <w:spacing w:line="360" w:lineRule="auto"/>
              <w:jc w:val="center"/>
              <w:rPr>
                <w:rFonts w:hint="eastAsia" w:ascii="仿宋" w:hAnsi="仿宋" w:eastAsia="仿宋" w:cs="仿宋"/>
                <w:color w:val="auto"/>
                <w:sz w:val="22"/>
                <w:szCs w:val="22"/>
                <w:highlight w:val="none"/>
              </w:rPr>
            </w:pPr>
          </w:p>
        </w:tc>
        <w:tc>
          <w:tcPr>
            <w:tcW w:w="750" w:type="dxa"/>
            <w:vMerge w:val="continue"/>
            <w:shd w:val="clear" w:color="auto" w:fill="FFFFFF"/>
            <w:vAlign w:val="center"/>
          </w:tcPr>
          <w:p w14:paraId="5B2A3C40">
            <w:pPr>
              <w:spacing w:line="360" w:lineRule="auto"/>
              <w:rPr>
                <w:rFonts w:hint="eastAsia" w:ascii="仿宋" w:hAnsi="仿宋" w:eastAsia="仿宋" w:cs="仿宋"/>
                <w:color w:val="auto"/>
                <w:sz w:val="22"/>
                <w:szCs w:val="22"/>
                <w:highlight w:val="none"/>
              </w:rPr>
            </w:pPr>
          </w:p>
        </w:tc>
        <w:tc>
          <w:tcPr>
            <w:tcW w:w="746" w:type="dxa"/>
            <w:vMerge w:val="continue"/>
            <w:shd w:val="clear" w:color="auto" w:fill="FFFFFF"/>
            <w:vAlign w:val="center"/>
          </w:tcPr>
          <w:p w14:paraId="2EC34BB2">
            <w:pPr>
              <w:spacing w:line="360" w:lineRule="auto"/>
              <w:rPr>
                <w:rFonts w:hint="eastAsia" w:ascii="仿宋" w:hAnsi="仿宋" w:eastAsia="仿宋" w:cs="仿宋"/>
                <w:color w:val="auto"/>
                <w:sz w:val="22"/>
                <w:szCs w:val="22"/>
                <w:highlight w:val="none"/>
              </w:rPr>
            </w:pPr>
          </w:p>
        </w:tc>
      </w:tr>
      <w:tr w14:paraId="7348E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00" w:type="dxa"/>
            <w:vMerge w:val="continue"/>
            <w:shd w:val="clear" w:color="auto" w:fill="auto"/>
            <w:vAlign w:val="center"/>
          </w:tcPr>
          <w:p w14:paraId="58B9A580">
            <w:pPr>
              <w:spacing w:line="360" w:lineRule="auto"/>
              <w:rPr>
                <w:rFonts w:hint="eastAsia" w:ascii="仿宋" w:hAnsi="仿宋" w:eastAsia="仿宋" w:cs="仿宋"/>
                <w:color w:val="auto"/>
                <w:sz w:val="22"/>
                <w:szCs w:val="22"/>
                <w:highlight w:val="none"/>
              </w:rPr>
            </w:pPr>
          </w:p>
        </w:tc>
        <w:tc>
          <w:tcPr>
            <w:tcW w:w="855" w:type="dxa"/>
            <w:vMerge w:val="continue"/>
            <w:shd w:val="clear" w:color="auto" w:fill="auto"/>
            <w:vAlign w:val="center"/>
          </w:tcPr>
          <w:p w14:paraId="08B7FAEB">
            <w:pPr>
              <w:spacing w:line="360" w:lineRule="auto"/>
              <w:rPr>
                <w:rFonts w:hint="eastAsia" w:ascii="仿宋" w:hAnsi="仿宋" w:eastAsia="仿宋" w:cs="仿宋"/>
                <w:color w:val="auto"/>
                <w:sz w:val="22"/>
                <w:szCs w:val="22"/>
                <w:highlight w:val="none"/>
              </w:rPr>
            </w:pPr>
          </w:p>
        </w:tc>
        <w:tc>
          <w:tcPr>
            <w:tcW w:w="5239" w:type="dxa"/>
            <w:shd w:val="clear" w:color="auto" w:fill="FFFFFF"/>
            <w:tcMar>
              <w:top w:w="80" w:type="dxa"/>
              <w:left w:w="80" w:type="dxa"/>
              <w:bottom w:w="80" w:type="dxa"/>
              <w:right w:w="80" w:type="dxa"/>
            </w:tcMar>
            <w:vAlign w:val="center"/>
          </w:tcPr>
          <w:p w14:paraId="63E5E47C">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监管人员须与运营单位执行臭气等污染物检测工作时，应按规定派员至现场核实，并做好记录。不按规定参加扣2分/次。</w:t>
            </w:r>
          </w:p>
        </w:tc>
        <w:tc>
          <w:tcPr>
            <w:tcW w:w="705" w:type="dxa"/>
            <w:vMerge w:val="continue"/>
            <w:shd w:val="clear" w:color="auto" w:fill="FFFFFF"/>
            <w:vAlign w:val="center"/>
          </w:tcPr>
          <w:p w14:paraId="76867827">
            <w:pPr>
              <w:spacing w:line="360" w:lineRule="auto"/>
              <w:jc w:val="center"/>
              <w:rPr>
                <w:rFonts w:hint="eastAsia" w:ascii="仿宋" w:hAnsi="仿宋" w:eastAsia="仿宋" w:cs="仿宋"/>
                <w:color w:val="auto"/>
                <w:sz w:val="22"/>
                <w:szCs w:val="22"/>
                <w:highlight w:val="none"/>
              </w:rPr>
            </w:pPr>
          </w:p>
        </w:tc>
        <w:tc>
          <w:tcPr>
            <w:tcW w:w="750" w:type="dxa"/>
            <w:vMerge w:val="continue"/>
            <w:shd w:val="clear" w:color="auto" w:fill="FFFFFF"/>
            <w:vAlign w:val="center"/>
          </w:tcPr>
          <w:p w14:paraId="0A8D0D11">
            <w:pPr>
              <w:spacing w:line="360" w:lineRule="auto"/>
              <w:rPr>
                <w:rFonts w:hint="eastAsia" w:ascii="仿宋" w:hAnsi="仿宋" w:eastAsia="仿宋" w:cs="仿宋"/>
                <w:color w:val="auto"/>
                <w:sz w:val="22"/>
                <w:szCs w:val="22"/>
                <w:highlight w:val="none"/>
              </w:rPr>
            </w:pPr>
          </w:p>
        </w:tc>
        <w:tc>
          <w:tcPr>
            <w:tcW w:w="746" w:type="dxa"/>
            <w:vMerge w:val="continue"/>
            <w:shd w:val="clear" w:color="auto" w:fill="FFFFFF"/>
            <w:vAlign w:val="center"/>
          </w:tcPr>
          <w:p w14:paraId="4F445B83">
            <w:pPr>
              <w:spacing w:line="360" w:lineRule="auto"/>
              <w:rPr>
                <w:rFonts w:hint="eastAsia" w:ascii="仿宋" w:hAnsi="仿宋" w:eastAsia="仿宋" w:cs="仿宋"/>
                <w:color w:val="auto"/>
                <w:sz w:val="22"/>
                <w:szCs w:val="22"/>
                <w:highlight w:val="none"/>
              </w:rPr>
            </w:pPr>
          </w:p>
        </w:tc>
      </w:tr>
      <w:tr w14:paraId="11946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00" w:type="dxa"/>
            <w:vMerge w:val="continue"/>
            <w:shd w:val="clear" w:color="auto" w:fill="auto"/>
            <w:vAlign w:val="center"/>
          </w:tcPr>
          <w:p w14:paraId="2BEE17A2">
            <w:pPr>
              <w:spacing w:line="360" w:lineRule="auto"/>
              <w:rPr>
                <w:rFonts w:hint="eastAsia" w:ascii="仿宋" w:hAnsi="仿宋" w:eastAsia="仿宋" w:cs="仿宋"/>
                <w:color w:val="auto"/>
                <w:sz w:val="22"/>
                <w:szCs w:val="22"/>
                <w:highlight w:val="none"/>
              </w:rPr>
            </w:pPr>
          </w:p>
        </w:tc>
        <w:tc>
          <w:tcPr>
            <w:tcW w:w="855" w:type="dxa"/>
            <w:vMerge w:val="continue"/>
            <w:shd w:val="clear" w:color="auto" w:fill="auto"/>
            <w:vAlign w:val="center"/>
          </w:tcPr>
          <w:p w14:paraId="6F59E0CC">
            <w:pPr>
              <w:spacing w:line="360" w:lineRule="auto"/>
              <w:rPr>
                <w:rFonts w:hint="eastAsia" w:ascii="仿宋" w:hAnsi="仿宋" w:eastAsia="仿宋" w:cs="仿宋"/>
                <w:color w:val="auto"/>
                <w:sz w:val="22"/>
                <w:szCs w:val="22"/>
                <w:highlight w:val="none"/>
              </w:rPr>
            </w:pPr>
          </w:p>
        </w:tc>
        <w:tc>
          <w:tcPr>
            <w:tcW w:w="5239" w:type="dxa"/>
            <w:shd w:val="clear" w:color="auto" w:fill="FFFFFF"/>
            <w:tcMar>
              <w:top w:w="80" w:type="dxa"/>
              <w:left w:w="80" w:type="dxa"/>
              <w:bottom w:w="80" w:type="dxa"/>
              <w:right w:w="80" w:type="dxa"/>
            </w:tcMar>
            <w:vAlign w:val="center"/>
          </w:tcPr>
          <w:p w14:paraId="50F11286">
            <w:pPr>
              <w:widowControl/>
              <w:spacing w:line="240"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运营及监管数据应进行定期比对、检查、审核工作，数据应真实可靠，应按时提供审查意见。不及时提供审查意见的扣</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分/次；提供审查意见与实际不相符合扣</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分/次；如出现政府相关部门发现安全生产或环保或垃圾处理相关数据不达标，且乙方监管未发现的，扣5分</w:t>
            </w:r>
            <w:r>
              <w:rPr>
                <w:rFonts w:hint="eastAsia" w:ascii="仿宋" w:hAnsi="仿宋" w:eastAsia="仿宋" w:cs="仿宋"/>
                <w:color w:val="auto"/>
                <w:sz w:val="22"/>
                <w:szCs w:val="22"/>
                <w:highlight w:val="none"/>
                <w:lang w:val="en-US" w:eastAsia="zh-CN"/>
              </w:rPr>
              <w:t>/次</w:t>
            </w:r>
            <w:r>
              <w:rPr>
                <w:rFonts w:hint="eastAsia" w:ascii="仿宋" w:hAnsi="仿宋" w:eastAsia="仿宋" w:cs="仿宋"/>
                <w:color w:val="auto"/>
                <w:sz w:val="22"/>
                <w:szCs w:val="22"/>
                <w:highlight w:val="none"/>
              </w:rPr>
              <w:t>。如发现故意提供虚假数据的</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运营及监管</w:t>
            </w:r>
            <w:r>
              <w:rPr>
                <w:rFonts w:hint="eastAsia" w:ascii="仿宋" w:hAnsi="仿宋" w:eastAsia="仿宋" w:cs="仿宋"/>
                <w:color w:val="auto"/>
                <w:sz w:val="22"/>
                <w:szCs w:val="22"/>
                <w:highlight w:val="none"/>
                <w:lang w:eastAsia="zh-CN"/>
              </w:rPr>
              <w:t>数据失管的，</w:t>
            </w:r>
            <w:r>
              <w:rPr>
                <w:rFonts w:hint="eastAsia" w:ascii="仿宋" w:hAnsi="仿宋" w:eastAsia="仿宋" w:cs="仿宋"/>
                <w:color w:val="auto"/>
                <w:sz w:val="22"/>
                <w:szCs w:val="22"/>
                <w:highlight w:val="none"/>
              </w:rPr>
              <w:t>扣10分。</w:t>
            </w:r>
          </w:p>
        </w:tc>
        <w:tc>
          <w:tcPr>
            <w:tcW w:w="705" w:type="dxa"/>
            <w:shd w:val="clear" w:color="auto" w:fill="FFFFFF"/>
            <w:vAlign w:val="center"/>
          </w:tcPr>
          <w:p w14:paraId="2E057FF1">
            <w:pPr>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w:t>
            </w:r>
          </w:p>
        </w:tc>
        <w:tc>
          <w:tcPr>
            <w:tcW w:w="750" w:type="dxa"/>
            <w:shd w:val="clear" w:color="auto" w:fill="FFFFFF"/>
            <w:vAlign w:val="center"/>
          </w:tcPr>
          <w:p w14:paraId="5559E939">
            <w:pPr>
              <w:spacing w:line="360" w:lineRule="auto"/>
              <w:rPr>
                <w:rFonts w:hint="eastAsia" w:ascii="仿宋" w:hAnsi="仿宋" w:eastAsia="仿宋" w:cs="仿宋"/>
                <w:color w:val="auto"/>
                <w:sz w:val="22"/>
                <w:szCs w:val="22"/>
                <w:highlight w:val="none"/>
              </w:rPr>
            </w:pPr>
          </w:p>
        </w:tc>
        <w:tc>
          <w:tcPr>
            <w:tcW w:w="746" w:type="dxa"/>
            <w:shd w:val="clear" w:color="auto" w:fill="FFFFFF"/>
            <w:vAlign w:val="center"/>
          </w:tcPr>
          <w:p w14:paraId="759F4658">
            <w:pPr>
              <w:spacing w:line="360" w:lineRule="auto"/>
              <w:rPr>
                <w:rFonts w:hint="eastAsia" w:ascii="仿宋" w:hAnsi="仿宋" w:eastAsia="仿宋" w:cs="仿宋"/>
                <w:color w:val="auto"/>
                <w:sz w:val="22"/>
                <w:szCs w:val="22"/>
                <w:highlight w:val="none"/>
              </w:rPr>
            </w:pPr>
          </w:p>
        </w:tc>
      </w:tr>
      <w:tr w14:paraId="2A47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00" w:type="dxa"/>
            <w:vMerge w:val="restart"/>
            <w:shd w:val="clear" w:color="auto" w:fill="FFFFFF"/>
            <w:tcMar>
              <w:top w:w="80" w:type="dxa"/>
              <w:left w:w="80" w:type="dxa"/>
              <w:bottom w:w="80" w:type="dxa"/>
              <w:right w:w="80" w:type="dxa"/>
            </w:tcMar>
            <w:vAlign w:val="center"/>
          </w:tcPr>
          <w:p w14:paraId="7ECE6B8A">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855" w:type="dxa"/>
            <w:vMerge w:val="restart"/>
            <w:shd w:val="clear" w:color="auto" w:fill="FFFFFF"/>
            <w:vAlign w:val="center"/>
          </w:tcPr>
          <w:p w14:paraId="4E038FBD">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成果提送及文件管理（20分）</w:t>
            </w:r>
          </w:p>
        </w:tc>
        <w:tc>
          <w:tcPr>
            <w:tcW w:w="5239" w:type="dxa"/>
            <w:shd w:val="clear" w:color="auto" w:fill="FFFFFF"/>
            <w:vAlign w:val="center"/>
          </w:tcPr>
          <w:p w14:paraId="31EDA9E9">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每周（月、年）监管工作成果报告必须按</w:t>
            </w:r>
            <w:r>
              <w:rPr>
                <w:rFonts w:hint="eastAsia" w:ascii="仿宋" w:hAnsi="仿宋" w:eastAsia="仿宋" w:cs="仿宋"/>
                <w:color w:val="auto"/>
                <w:sz w:val="22"/>
                <w:szCs w:val="22"/>
                <w:highlight w:val="none"/>
                <w:lang w:val="en-US" w:eastAsia="zh-CN"/>
              </w:rPr>
              <w:t>甲</w:t>
            </w:r>
            <w:r>
              <w:rPr>
                <w:rFonts w:hint="eastAsia" w:ascii="仿宋" w:hAnsi="仿宋" w:eastAsia="仿宋" w:cs="仿宋"/>
                <w:color w:val="auto"/>
                <w:sz w:val="22"/>
                <w:szCs w:val="22"/>
                <w:highlight w:val="none"/>
              </w:rPr>
              <w:t>方要求的时间内报送。周报须在下周第一个工作日下班前报送，月报须在下个月第五个工作日下班前报送，年报须在第二年1月20日前报送。每延时一次扣1分；漏报一次扣2分；监管工作成果报告应符合</w:t>
            </w:r>
            <w:r>
              <w:rPr>
                <w:rFonts w:hint="eastAsia" w:ascii="仿宋" w:hAnsi="仿宋" w:eastAsia="仿宋" w:cs="仿宋"/>
                <w:color w:val="auto"/>
                <w:sz w:val="22"/>
                <w:szCs w:val="22"/>
                <w:highlight w:val="none"/>
                <w:lang w:eastAsia="zh-CN"/>
              </w:rPr>
              <w:t>甲方</w:t>
            </w:r>
            <w:r>
              <w:rPr>
                <w:rFonts w:hint="eastAsia" w:ascii="仿宋" w:hAnsi="仿宋" w:eastAsia="仿宋" w:cs="仿宋"/>
                <w:color w:val="auto"/>
                <w:sz w:val="22"/>
                <w:szCs w:val="22"/>
                <w:highlight w:val="none"/>
              </w:rPr>
              <w:t>要求，不符合要求进行报送的扣1分/次。</w:t>
            </w:r>
          </w:p>
        </w:tc>
        <w:tc>
          <w:tcPr>
            <w:tcW w:w="705" w:type="dxa"/>
            <w:shd w:val="clear" w:color="auto" w:fill="FFFFFF"/>
            <w:vAlign w:val="center"/>
          </w:tcPr>
          <w:p w14:paraId="3522B79A">
            <w:pPr>
              <w:spacing w:line="360" w:lineRule="auto"/>
              <w:jc w:val="center"/>
              <w:rPr>
                <w:rFonts w:hint="eastAsia" w:ascii="仿宋" w:hAnsi="仿宋" w:eastAsia="仿宋" w:cs="仿宋"/>
                <w:color w:val="auto"/>
                <w:sz w:val="22"/>
                <w:szCs w:val="22"/>
                <w:highlight w:val="none"/>
                <w:lang w:eastAsia="zh-CN"/>
              </w:rPr>
            </w:pPr>
            <w:r>
              <w:rPr>
                <w:rFonts w:hint="default" w:ascii="仿宋" w:hAnsi="仿宋" w:eastAsia="仿宋" w:cs="仿宋"/>
                <w:color w:val="auto"/>
                <w:sz w:val="22"/>
                <w:szCs w:val="22"/>
                <w:highlight w:val="none"/>
                <w:lang w:val="en-US"/>
              </w:rPr>
              <w:t>5</w:t>
            </w:r>
          </w:p>
        </w:tc>
        <w:tc>
          <w:tcPr>
            <w:tcW w:w="750" w:type="dxa"/>
            <w:shd w:val="clear" w:color="auto" w:fill="FFFFFF"/>
            <w:vAlign w:val="center"/>
          </w:tcPr>
          <w:p w14:paraId="15BCDBDC">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w:t>
            </w:r>
          </w:p>
        </w:tc>
        <w:tc>
          <w:tcPr>
            <w:tcW w:w="746" w:type="dxa"/>
            <w:shd w:val="clear" w:color="auto" w:fill="FFFFFF"/>
            <w:vAlign w:val="center"/>
          </w:tcPr>
          <w:p w14:paraId="2879E1B7">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w:t>
            </w:r>
          </w:p>
        </w:tc>
      </w:tr>
      <w:tr w14:paraId="6C1D1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00" w:type="dxa"/>
            <w:vMerge w:val="continue"/>
            <w:shd w:val="clear" w:color="auto" w:fill="auto"/>
            <w:vAlign w:val="center"/>
          </w:tcPr>
          <w:p w14:paraId="5C87C92B">
            <w:pPr>
              <w:spacing w:line="360" w:lineRule="auto"/>
              <w:rPr>
                <w:rFonts w:hint="eastAsia" w:ascii="仿宋" w:hAnsi="仿宋" w:eastAsia="仿宋" w:cs="仿宋"/>
                <w:color w:val="auto"/>
                <w:sz w:val="22"/>
                <w:szCs w:val="22"/>
                <w:highlight w:val="none"/>
              </w:rPr>
            </w:pPr>
          </w:p>
        </w:tc>
        <w:tc>
          <w:tcPr>
            <w:tcW w:w="855" w:type="dxa"/>
            <w:vMerge w:val="continue"/>
            <w:shd w:val="clear" w:color="auto" w:fill="auto"/>
            <w:vAlign w:val="center"/>
          </w:tcPr>
          <w:p w14:paraId="1ECAC735">
            <w:pPr>
              <w:spacing w:line="360" w:lineRule="auto"/>
              <w:rPr>
                <w:rFonts w:hint="eastAsia" w:ascii="仿宋" w:hAnsi="仿宋" w:eastAsia="仿宋" w:cs="仿宋"/>
                <w:color w:val="auto"/>
                <w:sz w:val="22"/>
                <w:szCs w:val="22"/>
                <w:highlight w:val="none"/>
              </w:rPr>
            </w:pPr>
          </w:p>
        </w:tc>
        <w:tc>
          <w:tcPr>
            <w:tcW w:w="5239" w:type="dxa"/>
            <w:shd w:val="clear" w:color="auto" w:fill="FFFFFF"/>
            <w:tcMar>
              <w:top w:w="80" w:type="dxa"/>
              <w:left w:w="80" w:type="dxa"/>
              <w:bottom w:w="80" w:type="dxa"/>
              <w:right w:w="80" w:type="dxa"/>
            </w:tcMar>
            <w:vAlign w:val="center"/>
          </w:tcPr>
          <w:p w14:paraId="35180EFE">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对于运营方递交的运营管理计划文件应及时向</w:t>
            </w:r>
            <w:r>
              <w:rPr>
                <w:rFonts w:hint="eastAsia" w:ascii="仿宋" w:hAnsi="仿宋" w:eastAsia="仿宋" w:cs="仿宋"/>
                <w:color w:val="auto"/>
                <w:sz w:val="22"/>
                <w:szCs w:val="22"/>
                <w:highlight w:val="none"/>
                <w:lang w:eastAsia="zh-CN"/>
              </w:rPr>
              <w:t>甲方</w:t>
            </w:r>
            <w:r>
              <w:rPr>
                <w:rFonts w:hint="eastAsia" w:ascii="仿宋" w:hAnsi="仿宋" w:eastAsia="仿宋" w:cs="仿宋"/>
                <w:color w:val="auto"/>
                <w:sz w:val="22"/>
                <w:szCs w:val="22"/>
                <w:highlight w:val="none"/>
              </w:rPr>
              <w:t>提供审查意见。未及时提供审查意见的扣2分。</w:t>
            </w:r>
          </w:p>
        </w:tc>
        <w:tc>
          <w:tcPr>
            <w:tcW w:w="705" w:type="dxa"/>
            <w:shd w:val="clear" w:color="auto" w:fill="FFFFFF"/>
            <w:vAlign w:val="center"/>
          </w:tcPr>
          <w:p w14:paraId="61EC2254">
            <w:pPr>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p>
        </w:tc>
        <w:tc>
          <w:tcPr>
            <w:tcW w:w="750" w:type="dxa"/>
            <w:shd w:val="clear" w:color="auto" w:fill="FFFFFF"/>
            <w:vAlign w:val="center"/>
          </w:tcPr>
          <w:p w14:paraId="63B092B3">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w:t>
            </w:r>
          </w:p>
        </w:tc>
        <w:tc>
          <w:tcPr>
            <w:tcW w:w="746" w:type="dxa"/>
            <w:shd w:val="clear" w:color="auto" w:fill="FFFFFF"/>
            <w:vAlign w:val="center"/>
          </w:tcPr>
          <w:p w14:paraId="45024ECB">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w:t>
            </w:r>
          </w:p>
        </w:tc>
      </w:tr>
      <w:tr w14:paraId="7F689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00" w:type="dxa"/>
            <w:vMerge w:val="continue"/>
            <w:shd w:val="clear" w:color="auto" w:fill="auto"/>
            <w:vAlign w:val="center"/>
          </w:tcPr>
          <w:p w14:paraId="194B73A9">
            <w:pPr>
              <w:spacing w:line="360" w:lineRule="auto"/>
              <w:rPr>
                <w:rFonts w:hint="eastAsia" w:ascii="仿宋" w:hAnsi="仿宋" w:eastAsia="仿宋" w:cs="仿宋"/>
                <w:color w:val="auto"/>
                <w:sz w:val="22"/>
                <w:szCs w:val="22"/>
                <w:highlight w:val="none"/>
              </w:rPr>
            </w:pPr>
          </w:p>
        </w:tc>
        <w:tc>
          <w:tcPr>
            <w:tcW w:w="855" w:type="dxa"/>
            <w:vMerge w:val="continue"/>
            <w:shd w:val="clear" w:color="auto" w:fill="auto"/>
            <w:vAlign w:val="center"/>
          </w:tcPr>
          <w:p w14:paraId="29BC8D6D">
            <w:pPr>
              <w:spacing w:line="360" w:lineRule="auto"/>
              <w:rPr>
                <w:rFonts w:hint="eastAsia" w:ascii="仿宋" w:hAnsi="仿宋" w:eastAsia="仿宋" w:cs="仿宋"/>
                <w:color w:val="auto"/>
                <w:sz w:val="22"/>
                <w:szCs w:val="22"/>
                <w:highlight w:val="none"/>
              </w:rPr>
            </w:pPr>
          </w:p>
        </w:tc>
        <w:tc>
          <w:tcPr>
            <w:tcW w:w="5239" w:type="dxa"/>
            <w:shd w:val="clear" w:color="auto" w:fill="FFFFFF"/>
            <w:tcMar>
              <w:top w:w="80" w:type="dxa"/>
              <w:left w:w="80" w:type="dxa"/>
              <w:bottom w:w="80" w:type="dxa"/>
              <w:right w:w="80" w:type="dxa"/>
            </w:tcMar>
            <w:vAlign w:val="center"/>
          </w:tcPr>
          <w:p w14:paraId="526AF52C">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配合各职能部门做好信息收集、上报工作，建立健全各项基础台账。材料报送不及时、不完整的，扣2分。</w:t>
            </w:r>
          </w:p>
        </w:tc>
        <w:tc>
          <w:tcPr>
            <w:tcW w:w="705" w:type="dxa"/>
            <w:shd w:val="clear" w:color="auto" w:fill="FFFFFF"/>
            <w:vAlign w:val="center"/>
          </w:tcPr>
          <w:p w14:paraId="17C2E773">
            <w:pPr>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p>
        </w:tc>
        <w:tc>
          <w:tcPr>
            <w:tcW w:w="750" w:type="dxa"/>
            <w:shd w:val="clear" w:color="auto" w:fill="FFFFFF"/>
            <w:vAlign w:val="center"/>
          </w:tcPr>
          <w:p w14:paraId="554273F2">
            <w:pPr>
              <w:spacing w:line="360" w:lineRule="auto"/>
              <w:rPr>
                <w:rFonts w:hint="eastAsia" w:ascii="仿宋" w:hAnsi="仿宋" w:eastAsia="仿宋" w:cs="仿宋"/>
                <w:color w:val="auto"/>
                <w:sz w:val="22"/>
                <w:szCs w:val="22"/>
                <w:highlight w:val="none"/>
              </w:rPr>
            </w:pPr>
          </w:p>
        </w:tc>
        <w:tc>
          <w:tcPr>
            <w:tcW w:w="746" w:type="dxa"/>
            <w:shd w:val="clear" w:color="auto" w:fill="FFFFFF"/>
            <w:vAlign w:val="center"/>
          </w:tcPr>
          <w:p w14:paraId="3D56BC94">
            <w:pPr>
              <w:spacing w:line="360" w:lineRule="auto"/>
              <w:rPr>
                <w:rFonts w:hint="eastAsia" w:ascii="仿宋" w:hAnsi="仿宋" w:eastAsia="仿宋" w:cs="仿宋"/>
                <w:color w:val="auto"/>
                <w:sz w:val="22"/>
                <w:szCs w:val="22"/>
                <w:highlight w:val="none"/>
              </w:rPr>
            </w:pPr>
          </w:p>
        </w:tc>
      </w:tr>
      <w:tr w14:paraId="3A9A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00" w:type="dxa"/>
            <w:vMerge w:val="continue"/>
            <w:shd w:val="clear" w:color="auto" w:fill="auto"/>
            <w:vAlign w:val="center"/>
          </w:tcPr>
          <w:p w14:paraId="64C954AC">
            <w:pPr>
              <w:spacing w:line="360" w:lineRule="auto"/>
              <w:rPr>
                <w:rFonts w:hint="eastAsia" w:ascii="仿宋" w:hAnsi="仿宋" w:eastAsia="仿宋" w:cs="仿宋"/>
                <w:color w:val="auto"/>
                <w:sz w:val="22"/>
                <w:szCs w:val="22"/>
                <w:highlight w:val="none"/>
              </w:rPr>
            </w:pPr>
          </w:p>
        </w:tc>
        <w:tc>
          <w:tcPr>
            <w:tcW w:w="855" w:type="dxa"/>
            <w:vMerge w:val="continue"/>
            <w:shd w:val="clear" w:color="auto" w:fill="auto"/>
            <w:vAlign w:val="center"/>
          </w:tcPr>
          <w:p w14:paraId="72FDECAB">
            <w:pPr>
              <w:spacing w:line="360" w:lineRule="auto"/>
              <w:rPr>
                <w:rFonts w:hint="eastAsia" w:ascii="仿宋" w:hAnsi="仿宋" w:eastAsia="仿宋" w:cs="仿宋"/>
                <w:color w:val="auto"/>
                <w:sz w:val="22"/>
                <w:szCs w:val="22"/>
                <w:highlight w:val="none"/>
              </w:rPr>
            </w:pPr>
          </w:p>
        </w:tc>
        <w:tc>
          <w:tcPr>
            <w:tcW w:w="5239" w:type="dxa"/>
            <w:shd w:val="clear" w:color="auto" w:fill="FFFFFF"/>
            <w:tcMar>
              <w:top w:w="80" w:type="dxa"/>
              <w:left w:w="80" w:type="dxa"/>
              <w:bottom w:w="80" w:type="dxa"/>
              <w:right w:w="80" w:type="dxa"/>
            </w:tcMar>
            <w:vAlign w:val="center"/>
          </w:tcPr>
          <w:p w14:paraId="77F1DA67">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对运营单位的运营管理及工作落实情况进行月度考核，并按时报送考核结果。同时负责对考核中发现问题，提出整改意见，全程跟踪督促运营方整改，并出具书面报告。未按时报送的，每次扣1分；</w:t>
            </w:r>
            <w:r>
              <w:rPr>
                <w:rFonts w:hint="eastAsia" w:ascii="仿宋" w:hAnsi="仿宋" w:eastAsia="仿宋" w:cs="仿宋"/>
                <w:color w:val="auto"/>
                <w:sz w:val="22"/>
                <w:szCs w:val="22"/>
                <w:highlight w:val="none"/>
                <w:lang w:eastAsia="zh-CN"/>
              </w:rPr>
              <w:t>未落实该项工作的</w:t>
            </w:r>
            <w:r>
              <w:rPr>
                <w:rFonts w:hint="eastAsia" w:ascii="仿宋" w:hAnsi="仿宋" w:eastAsia="仿宋" w:cs="仿宋"/>
                <w:color w:val="auto"/>
                <w:sz w:val="22"/>
                <w:szCs w:val="22"/>
                <w:highlight w:val="none"/>
              </w:rPr>
              <w:t>，扣3分。</w:t>
            </w:r>
          </w:p>
        </w:tc>
        <w:tc>
          <w:tcPr>
            <w:tcW w:w="705" w:type="dxa"/>
            <w:shd w:val="clear" w:color="auto" w:fill="FFFFFF"/>
            <w:vAlign w:val="center"/>
          </w:tcPr>
          <w:p w14:paraId="5DFF1964">
            <w:pPr>
              <w:spacing w:line="360" w:lineRule="auto"/>
              <w:jc w:val="center"/>
              <w:rPr>
                <w:rFonts w:hint="eastAsia" w:ascii="仿宋" w:hAnsi="仿宋" w:eastAsia="仿宋" w:cs="仿宋"/>
                <w:color w:val="auto"/>
                <w:sz w:val="22"/>
                <w:szCs w:val="22"/>
                <w:highlight w:val="none"/>
                <w:lang w:eastAsia="zh-CN"/>
              </w:rPr>
            </w:pPr>
            <w:r>
              <w:rPr>
                <w:rFonts w:hint="default" w:ascii="仿宋" w:hAnsi="仿宋" w:eastAsia="仿宋" w:cs="仿宋"/>
                <w:color w:val="auto"/>
                <w:sz w:val="22"/>
                <w:szCs w:val="22"/>
                <w:highlight w:val="none"/>
                <w:lang w:val="en-US"/>
              </w:rPr>
              <w:t>5</w:t>
            </w:r>
          </w:p>
        </w:tc>
        <w:tc>
          <w:tcPr>
            <w:tcW w:w="750" w:type="dxa"/>
            <w:shd w:val="clear" w:color="auto" w:fill="FFFFFF"/>
            <w:vAlign w:val="center"/>
          </w:tcPr>
          <w:p w14:paraId="7D19833B">
            <w:pPr>
              <w:spacing w:line="360" w:lineRule="auto"/>
              <w:rPr>
                <w:rFonts w:hint="eastAsia" w:ascii="仿宋" w:hAnsi="仿宋" w:eastAsia="仿宋" w:cs="仿宋"/>
                <w:color w:val="auto"/>
                <w:sz w:val="22"/>
                <w:szCs w:val="22"/>
                <w:highlight w:val="none"/>
              </w:rPr>
            </w:pPr>
          </w:p>
        </w:tc>
        <w:tc>
          <w:tcPr>
            <w:tcW w:w="746" w:type="dxa"/>
            <w:shd w:val="clear" w:color="auto" w:fill="FFFFFF"/>
            <w:vAlign w:val="center"/>
          </w:tcPr>
          <w:p w14:paraId="52A059B0">
            <w:pPr>
              <w:spacing w:line="360" w:lineRule="auto"/>
              <w:rPr>
                <w:rFonts w:hint="eastAsia" w:ascii="仿宋" w:hAnsi="仿宋" w:eastAsia="仿宋" w:cs="仿宋"/>
                <w:color w:val="auto"/>
                <w:sz w:val="22"/>
                <w:szCs w:val="22"/>
                <w:highlight w:val="none"/>
              </w:rPr>
            </w:pPr>
          </w:p>
        </w:tc>
      </w:tr>
      <w:tr w14:paraId="5001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00" w:type="dxa"/>
            <w:vMerge w:val="continue"/>
            <w:shd w:val="clear" w:color="auto" w:fill="auto"/>
            <w:vAlign w:val="center"/>
          </w:tcPr>
          <w:p w14:paraId="7065AE55">
            <w:pPr>
              <w:spacing w:line="360" w:lineRule="auto"/>
              <w:rPr>
                <w:rFonts w:hint="eastAsia" w:ascii="仿宋" w:hAnsi="仿宋" w:eastAsia="仿宋" w:cs="仿宋"/>
                <w:color w:val="auto"/>
                <w:sz w:val="22"/>
                <w:szCs w:val="22"/>
                <w:highlight w:val="none"/>
              </w:rPr>
            </w:pPr>
          </w:p>
        </w:tc>
        <w:tc>
          <w:tcPr>
            <w:tcW w:w="855" w:type="dxa"/>
            <w:vMerge w:val="continue"/>
            <w:shd w:val="clear" w:color="auto" w:fill="auto"/>
            <w:vAlign w:val="center"/>
          </w:tcPr>
          <w:p w14:paraId="487D1F96">
            <w:pPr>
              <w:spacing w:line="360" w:lineRule="auto"/>
              <w:rPr>
                <w:rFonts w:hint="eastAsia" w:ascii="仿宋" w:hAnsi="仿宋" w:eastAsia="仿宋" w:cs="仿宋"/>
                <w:color w:val="auto"/>
                <w:sz w:val="22"/>
                <w:szCs w:val="22"/>
                <w:highlight w:val="none"/>
              </w:rPr>
            </w:pPr>
          </w:p>
        </w:tc>
        <w:tc>
          <w:tcPr>
            <w:tcW w:w="5239" w:type="dxa"/>
            <w:shd w:val="clear" w:color="auto" w:fill="FFFFFF"/>
            <w:tcMar>
              <w:top w:w="80" w:type="dxa"/>
              <w:left w:w="80" w:type="dxa"/>
              <w:bottom w:w="80" w:type="dxa"/>
              <w:right w:w="80" w:type="dxa"/>
            </w:tcMar>
            <w:vAlign w:val="center"/>
          </w:tcPr>
          <w:p w14:paraId="13E38FFB">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发生针对餐厨垃圾收运、处理的投诉或媒体曝光等，及时调查相关情况，提出整改意见，在规定期限内将原因分析、整改意见报送</w:t>
            </w:r>
            <w:r>
              <w:rPr>
                <w:rFonts w:hint="eastAsia" w:ascii="仿宋" w:hAnsi="仿宋" w:eastAsia="仿宋" w:cs="仿宋"/>
                <w:color w:val="auto"/>
                <w:sz w:val="22"/>
                <w:szCs w:val="22"/>
                <w:highlight w:val="none"/>
                <w:lang w:eastAsia="zh-CN"/>
              </w:rPr>
              <w:t>甲</w:t>
            </w:r>
            <w:r>
              <w:rPr>
                <w:rFonts w:hint="eastAsia" w:ascii="仿宋" w:hAnsi="仿宋" w:eastAsia="仿宋" w:cs="仿宋"/>
                <w:color w:val="auto"/>
                <w:sz w:val="22"/>
                <w:szCs w:val="22"/>
                <w:highlight w:val="none"/>
              </w:rPr>
              <w:t>方，并全程跟踪督促运营方整改。未及时报送的</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未全程跟踪督促运营方整改</w:t>
            </w:r>
            <w:r>
              <w:rPr>
                <w:rFonts w:hint="default" w:ascii="仿宋" w:hAnsi="仿宋" w:eastAsia="仿宋" w:cs="仿宋"/>
                <w:color w:val="auto"/>
                <w:sz w:val="22"/>
                <w:szCs w:val="22"/>
                <w:highlight w:val="none"/>
              </w:rPr>
              <w:t>的</w:t>
            </w:r>
            <w:r>
              <w:rPr>
                <w:rFonts w:hint="eastAsia" w:ascii="仿宋" w:hAnsi="仿宋" w:eastAsia="仿宋" w:cs="仿宋"/>
                <w:color w:val="auto"/>
                <w:sz w:val="22"/>
                <w:szCs w:val="22"/>
                <w:highlight w:val="none"/>
              </w:rPr>
              <w:t>，扣</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tc>
        <w:tc>
          <w:tcPr>
            <w:tcW w:w="705" w:type="dxa"/>
            <w:shd w:val="clear" w:color="auto" w:fill="FFFFFF"/>
            <w:vAlign w:val="center"/>
          </w:tcPr>
          <w:p w14:paraId="647D1B75">
            <w:pPr>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p>
        </w:tc>
        <w:tc>
          <w:tcPr>
            <w:tcW w:w="750" w:type="dxa"/>
            <w:shd w:val="clear" w:color="auto" w:fill="FFFFFF"/>
            <w:vAlign w:val="center"/>
          </w:tcPr>
          <w:p w14:paraId="47F52220">
            <w:pPr>
              <w:spacing w:line="360" w:lineRule="auto"/>
              <w:rPr>
                <w:rFonts w:hint="eastAsia" w:ascii="仿宋" w:hAnsi="仿宋" w:eastAsia="仿宋" w:cs="仿宋"/>
                <w:color w:val="auto"/>
                <w:sz w:val="22"/>
                <w:szCs w:val="22"/>
                <w:highlight w:val="none"/>
              </w:rPr>
            </w:pPr>
          </w:p>
        </w:tc>
        <w:tc>
          <w:tcPr>
            <w:tcW w:w="746" w:type="dxa"/>
            <w:shd w:val="clear" w:color="auto" w:fill="FFFFFF"/>
            <w:vAlign w:val="center"/>
          </w:tcPr>
          <w:p w14:paraId="74DC65AC">
            <w:pPr>
              <w:spacing w:line="360" w:lineRule="auto"/>
              <w:rPr>
                <w:rFonts w:hint="eastAsia" w:ascii="仿宋" w:hAnsi="仿宋" w:eastAsia="仿宋" w:cs="仿宋"/>
                <w:color w:val="auto"/>
                <w:sz w:val="22"/>
                <w:szCs w:val="22"/>
                <w:highlight w:val="none"/>
              </w:rPr>
            </w:pPr>
          </w:p>
        </w:tc>
      </w:tr>
      <w:tr w14:paraId="2D4C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00" w:type="dxa"/>
            <w:vMerge w:val="continue"/>
            <w:shd w:val="clear" w:color="auto" w:fill="auto"/>
            <w:vAlign w:val="center"/>
          </w:tcPr>
          <w:p w14:paraId="4AA129CF">
            <w:pPr>
              <w:spacing w:line="360" w:lineRule="auto"/>
              <w:rPr>
                <w:rFonts w:hint="eastAsia" w:ascii="仿宋" w:hAnsi="仿宋" w:eastAsia="仿宋" w:cs="仿宋"/>
                <w:color w:val="auto"/>
                <w:sz w:val="22"/>
                <w:szCs w:val="22"/>
                <w:highlight w:val="none"/>
              </w:rPr>
            </w:pPr>
          </w:p>
        </w:tc>
        <w:tc>
          <w:tcPr>
            <w:tcW w:w="855" w:type="dxa"/>
            <w:vMerge w:val="continue"/>
            <w:shd w:val="clear" w:color="auto" w:fill="auto"/>
            <w:vAlign w:val="center"/>
          </w:tcPr>
          <w:p w14:paraId="47ADDB0D">
            <w:pPr>
              <w:spacing w:line="360" w:lineRule="auto"/>
              <w:rPr>
                <w:rFonts w:hint="eastAsia" w:ascii="仿宋" w:hAnsi="仿宋" w:eastAsia="仿宋" w:cs="仿宋"/>
                <w:color w:val="auto"/>
                <w:sz w:val="22"/>
                <w:szCs w:val="22"/>
                <w:highlight w:val="none"/>
              </w:rPr>
            </w:pPr>
          </w:p>
        </w:tc>
        <w:tc>
          <w:tcPr>
            <w:tcW w:w="5239" w:type="dxa"/>
            <w:shd w:val="clear" w:color="auto" w:fill="FFFFFF"/>
            <w:tcMar>
              <w:top w:w="80" w:type="dxa"/>
              <w:left w:w="80" w:type="dxa"/>
              <w:bottom w:w="80" w:type="dxa"/>
              <w:right w:w="80" w:type="dxa"/>
            </w:tcMar>
            <w:vAlign w:val="center"/>
          </w:tcPr>
          <w:p w14:paraId="3F8F2212">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定期检查运营单位各项管理制度执行情况，上报检查材料。对检查中发现的问题，提出整改意见，全程跟踪督促运营方整改。</w:t>
            </w:r>
            <w:r>
              <w:rPr>
                <w:rFonts w:hint="eastAsia" w:ascii="仿宋" w:hAnsi="仿宋" w:eastAsia="仿宋" w:cs="仿宋"/>
                <w:color w:val="auto"/>
                <w:sz w:val="22"/>
                <w:szCs w:val="22"/>
                <w:highlight w:val="none"/>
                <w:lang w:eastAsia="zh-CN"/>
              </w:rPr>
              <w:t>未落实该项工作的</w:t>
            </w:r>
            <w:r>
              <w:rPr>
                <w:rFonts w:hint="eastAsia" w:ascii="仿宋" w:hAnsi="仿宋" w:eastAsia="仿宋" w:cs="仿宋"/>
                <w:color w:val="auto"/>
                <w:sz w:val="22"/>
                <w:szCs w:val="22"/>
                <w:highlight w:val="none"/>
              </w:rPr>
              <w:t>，扣</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tc>
        <w:tc>
          <w:tcPr>
            <w:tcW w:w="705" w:type="dxa"/>
            <w:shd w:val="clear" w:color="auto" w:fill="FFFFFF"/>
            <w:vAlign w:val="center"/>
          </w:tcPr>
          <w:p w14:paraId="7005F103">
            <w:pPr>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p>
        </w:tc>
        <w:tc>
          <w:tcPr>
            <w:tcW w:w="750" w:type="dxa"/>
            <w:shd w:val="clear" w:color="auto" w:fill="FFFFFF"/>
            <w:vAlign w:val="center"/>
          </w:tcPr>
          <w:p w14:paraId="1C2C7E38">
            <w:pPr>
              <w:spacing w:line="360" w:lineRule="auto"/>
              <w:rPr>
                <w:rFonts w:hint="eastAsia" w:ascii="仿宋" w:hAnsi="仿宋" w:eastAsia="仿宋" w:cs="仿宋"/>
                <w:color w:val="auto"/>
                <w:sz w:val="22"/>
                <w:szCs w:val="22"/>
                <w:highlight w:val="none"/>
              </w:rPr>
            </w:pPr>
          </w:p>
        </w:tc>
        <w:tc>
          <w:tcPr>
            <w:tcW w:w="746" w:type="dxa"/>
            <w:shd w:val="clear" w:color="auto" w:fill="FFFFFF"/>
            <w:vAlign w:val="center"/>
          </w:tcPr>
          <w:p w14:paraId="0B867267">
            <w:pPr>
              <w:spacing w:line="360" w:lineRule="auto"/>
              <w:rPr>
                <w:rFonts w:hint="eastAsia" w:ascii="仿宋" w:hAnsi="仿宋" w:eastAsia="仿宋" w:cs="仿宋"/>
                <w:color w:val="auto"/>
                <w:sz w:val="22"/>
                <w:szCs w:val="22"/>
                <w:highlight w:val="none"/>
              </w:rPr>
            </w:pPr>
          </w:p>
        </w:tc>
      </w:tr>
      <w:tr w14:paraId="1F8A9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00" w:type="dxa"/>
            <w:vMerge w:val="continue"/>
            <w:shd w:val="clear" w:color="auto" w:fill="auto"/>
            <w:vAlign w:val="center"/>
          </w:tcPr>
          <w:p w14:paraId="33BC3311">
            <w:pPr>
              <w:spacing w:line="360" w:lineRule="auto"/>
              <w:rPr>
                <w:rFonts w:hint="eastAsia" w:ascii="仿宋" w:hAnsi="仿宋" w:eastAsia="仿宋" w:cs="仿宋"/>
                <w:color w:val="auto"/>
                <w:sz w:val="22"/>
                <w:szCs w:val="22"/>
                <w:highlight w:val="none"/>
              </w:rPr>
            </w:pPr>
          </w:p>
        </w:tc>
        <w:tc>
          <w:tcPr>
            <w:tcW w:w="855" w:type="dxa"/>
            <w:vMerge w:val="continue"/>
            <w:shd w:val="clear" w:color="auto" w:fill="auto"/>
            <w:vAlign w:val="center"/>
          </w:tcPr>
          <w:p w14:paraId="20D4999B">
            <w:pPr>
              <w:spacing w:line="360" w:lineRule="auto"/>
              <w:rPr>
                <w:rFonts w:hint="eastAsia" w:ascii="仿宋" w:hAnsi="仿宋" w:eastAsia="仿宋" w:cs="仿宋"/>
                <w:color w:val="auto"/>
                <w:sz w:val="22"/>
                <w:szCs w:val="22"/>
                <w:highlight w:val="none"/>
              </w:rPr>
            </w:pPr>
          </w:p>
        </w:tc>
        <w:tc>
          <w:tcPr>
            <w:tcW w:w="5239" w:type="dxa"/>
            <w:shd w:val="clear" w:color="auto" w:fill="FFFFFF"/>
            <w:tcMar>
              <w:top w:w="80" w:type="dxa"/>
              <w:left w:w="80" w:type="dxa"/>
              <w:bottom w:w="80" w:type="dxa"/>
              <w:right w:w="80" w:type="dxa"/>
            </w:tcMar>
            <w:vAlign w:val="center"/>
          </w:tcPr>
          <w:p w14:paraId="722CA2CD">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项目监管资料按规定建档保存。不按规定归档的扣1分/次；造成无法查阅后果的扣2分。</w:t>
            </w:r>
          </w:p>
        </w:tc>
        <w:tc>
          <w:tcPr>
            <w:tcW w:w="705" w:type="dxa"/>
            <w:shd w:val="clear" w:color="auto" w:fill="FFFFFF"/>
            <w:vAlign w:val="center"/>
          </w:tcPr>
          <w:p w14:paraId="5501D07D">
            <w:pPr>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p>
        </w:tc>
        <w:tc>
          <w:tcPr>
            <w:tcW w:w="750" w:type="dxa"/>
            <w:shd w:val="clear" w:color="auto" w:fill="FFFFFF"/>
            <w:vAlign w:val="center"/>
          </w:tcPr>
          <w:p w14:paraId="6BD4DA20">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w:t>
            </w:r>
          </w:p>
        </w:tc>
        <w:tc>
          <w:tcPr>
            <w:tcW w:w="746" w:type="dxa"/>
            <w:shd w:val="clear" w:color="auto" w:fill="FFFFFF"/>
            <w:vAlign w:val="center"/>
          </w:tcPr>
          <w:p w14:paraId="21833944">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w:t>
            </w:r>
          </w:p>
        </w:tc>
      </w:tr>
      <w:tr w14:paraId="7A102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3" w:hRule="atLeast"/>
        </w:trPr>
        <w:tc>
          <w:tcPr>
            <w:tcW w:w="600" w:type="dxa"/>
            <w:vMerge w:val="restart"/>
            <w:shd w:val="clear" w:color="auto" w:fill="FFFFFF"/>
            <w:tcMar>
              <w:top w:w="80" w:type="dxa"/>
              <w:left w:w="80" w:type="dxa"/>
              <w:bottom w:w="80" w:type="dxa"/>
              <w:right w:w="80" w:type="dxa"/>
            </w:tcMar>
            <w:vAlign w:val="center"/>
          </w:tcPr>
          <w:p w14:paraId="33C57637">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p>
        </w:tc>
        <w:tc>
          <w:tcPr>
            <w:tcW w:w="855" w:type="dxa"/>
            <w:vMerge w:val="restart"/>
            <w:shd w:val="clear" w:color="auto" w:fill="FFFFFF"/>
            <w:vAlign w:val="center"/>
          </w:tcPr>
          <w:p w14:paraId="20B86A1C">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行政配合情形（10分）</w:t>
            </w:r>
          </w:p>
        </w:tc>
        <w:tc>
          <w:tcPr>
            <w:tcW w:w="5239" w:type="dxa"/>
            <w:shd w:val="clear" w:color="auto" w:fill="FFFFFF"/>
            <w:vAlign w:val="center"/>
          </w:tcPr>
          <w:p w14:paraId="01E39182">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负责督促运营方做好投诉处理整改工作,及时完成项目</w:t>
            </w:r>
            <w:r>
              <w:rPr>
                <w:rFonts w:hint="eastAsia" w:ascii="仿宋" w:hAnsi="仿宋" w:eastAsia="仿宋" w:cs="仿宋"/>
                <w:color w:val="auto"/>
                <w:sz w:val="22"/>
                <w:szCs w:val="22"/>
                <w:highlight w:val="none"/>
                <w:lang w:eastAsia="zh-CN"/>
              </w:rPr>
              <w:t>甲</w:t>
            </w:r>
            <w:r>
              <w:rPr>
                <w:rFonts w:hint="eastAsia" w:ascii="仿宋" w:hAnsi="仿宋" w:eastAsia="仿宋" w:cs="仿宋"/>
                <w:color w:val="auto"/>
                <w:sz w:val="22"/>
                <w:szCs w:val="22"/>
                <w:highlight w:val="none"/>
              </w:rPr>
              <w:t>方交办的其他应急性任务。未按照</w:t>
            </w:r>
            <w:r>
              <w:rPr>
                <w:rFonts w:hint="eastAsia" w:ascii="仿宋" w:hAnsi="仿宋" w:eastAsia="仿宋" w:cs="仿宋"/>
                <w:color w:val="auto"/>
                <w:sz w:val="22"/>
                <w:szCs w:val="22"/>
                <w:highlight w:val="none"/>
                <w:lang w:eastAsia="zh-CN"/>
              </w:rPr>
              <w:t>甲</w:t>
            </w:r>
            <w:r>
              <w:rPr>
                <w:rFonts w:hint="eastAsia" w:ascii="仿宋" w:hAnsi="仿宋" w:eastAsia="仿宋" w:cs="仿宋"/>
                <w:color w:val="auto"/>
                <w:sz w:val="22"/>
                <w:szCs w:val="22"/>
                <w:highlight w:val="none"/>
              </w:rPr>
              <w:t>方要求的，扣2分</w:t>
            </w:r>
            <w:r>
              <w:rPr>
                <w:rFonts w:hint="eastAsia" w:ascii="仿宋" w:hAnsi="仿宋" w:eastAsia="仿宋" w:cs="仿宋"/>
                <w:color w:val="auto"/>
                <w:sz w:val="22"/>
                <w:szCs w:val="22"/>
                <w:highlight w:val="none"/>
                <w:lang w:val="en-US" w:eastAsia="zh-CN"/>
              </w:rPr>
              <w:t>/次</w:t>
            </w:r>
            <w:r>
              <w:rPr>
                <w:rFonts w:hint="eastAsia" w:ascii="仿宋" w:hAnsi="仿宋" w:eastAsia="仿宋" w:cs="仿宋"/>
                <w:color w:val="auto"/>
                <w:sz w:val="22"/>
                <w:szCs w:val="22"/>
                <w:highlight w:val="none"/>
              </w:rPr>
              <w:t>。</w:t>
            </w:r>
          </w:p>
        </w:tc>
        <w:tc>
          <w:tcPr>
            <w:tcW w:w="705" w:type="dxa"/>
            <w:vMerge w:val="restart"/>
            <w:shd w:val="clear" w:color="auto" w:fill="FFFFFF"/>
            <w:vAlign w:val="center"/>
          </w:tcPr>
          <w:p w14:paraId="6DB7FCB3">
            <w:pPr>
              <w:jc w:val="center"/>
              <w:rPr>
                <w:rFonts w:hint="eastAsia" w:ascii="仿宋" w:hAnsi="仿宋" w:eastAsia="仿宋" w:cs="仿宋"/>
                <w:color w:val="auto"/>
                <w:sz w:val="20"/>
                <w:szCs w:val="22"/>
                <w:highlight w:val="none"/>
              </w:rPr>
            </w:pPr>
            <w:r>
              <w:rPr>
                <w:rFonts w:hint="eastAsia" w:ascii="仿宋" w:hAnsi="仿宋" w:eastAsia="仿宋" w:cs="仿宋"/>
                <w:color w:val="auto"/>
                <w:sz w:val="22"/>
                <w:szCs w:val="22"/>
                <w:highlight w:val="none"/>
              </w:rPr>
              <w:t>10</w:t>
            </w:r>
          </w:p>
          <w:p w14:paraId="4B3EC13F">
            <w:pPr>
              <w:rPr>
                <w:rFonts w:hint="eastAsia" w:ascii="仿宋" w:hAnsi="仿宋" w:eastAsia="仿宋" w:cs="仿宋"/>
                <w:color w:val="auto"/>
                <w:sz w:val="20"/>
                <w:szCs w:val="22"/>
                <w:highlight w:val="none"/>
              </w:rPr>
            </w:pPr>
          </w:p>
          <w:p w14:paraId="4DB8ADD8">
            <w:pPr>
              <w:rPr>
                <w:rFonts w:hint="eastAsia" w:ascii="仿宋" w:hAnsi="仿宋" w:eastAsia="仿宋" w:cs="仿宋"/>
                <w:color w:val="auto"/>
                <w:sz w:val="20"/>
                <w:szCs w:val="22"/>
                <w:highlight w:val="none"/>
              </w:rPr>
            </w:pPr>
          </w:p>
          <w:p w14:paraId="6EDF0D8A">
            <w:pPr>
              <w:spacing w:line="360" w:lineRule="auto"/>
              <w:jc w:val="center"/>
              <w:rPr>
                <w:rFonts w:hint="eastAsia" w:ascii="仿宋" w:hAnsi="仿宋" w:eastAsia="仿宋" w:cs="仿宋"/>
                <w:color w:val="auto"/>
                <w:sz w:val="22"/>
                <w:szCs w:val="22"/>
                <w:highlight w:val="none"/>
              </w:rPr>
            </w:pPr>
          </w:p>
        </w:tc>
        <w:tc>
          <w:tcPr>
            <w:tcW w:w="750" w:type="dxa"/>
            <w:vMerge w:val="restart"/>
            <w:shd w:val="clear" w:color="auto" w:fill="FFFFFF"/>
            <w:vAlign w:val="center"/>
          </w:tcPr>
          <w:p w14:paraId="7B4A4D70">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w:t>
            </w:r>
          </w:p>
        </w:tc>
        <w:tc>
          <w:tcPr>
            <w:tcW w:w="746" w:type="dxa"/>
            <w:vMerge w:val="restart"/>
            <w:shd w:val="clear" w:color="auto" w:fill="FFFFFF"/>
            <w:vAlign w:val="center"/>
          </w:tcPr>
          <w:p w14:paraId="64D93183">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w:t>
            </w:r>
          </w:p>
        </w:tc>
      </w:tr>
      <w:tr w14:paraId="0A424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00" w:type="dxa"/>
            <w:vMerge w:val="continue"/>
            <w:shd w:val="clear" w:color="auto" w:fill="FFFFFF"/>
            <w:tcMar>
              <w:top w:w="80" w:type="dxa"/>
              <w:left w:w="80" w:type="dxa"/>
              <w:bottom w:w="80" w:type="dxa"/>
              <w:right w:w="80" w:type="dxa"/>
            </w:tcMar>
            <w:vAlign w:val="center"/>
          </w:tcPr>
          <w:p w14:paraId="7BB076D9">
            <w:pPr>
              <w:spacing w:line="360" w:lineRule="auto"/>
              <w:rPr>
                <w:rFonts w:hint="eastAsia" w:ascii="仿宋" w:hAnsi="仿宋" w:eastAsia="仿宋" w:cs="仿宋"/>
                <w:color w:val="auto"/>
                <w:sz w:val="22"/>
                <w:szCs w:val="22"/>
                <w:highlight w:val="none"/>
              </w:rPr>
            </w:pPr>
          </w:p>
        </w:tc>
        <w:tc>
          <w:tcPr>
            <w:tcW w:w="855" w:type="dxa"/>
            <w:vMerge w:val="continue"/>
            <w:shd w:val="clear" w:color="auto" w:fill="FFFFFF"/>
            <w:vAlign w:val="center"/>
          </w:tcPr>
          <w:p w14:paraId="715B9C2D">
            <w:pPr>
              <w:spacing w:line="360" w:lineRule="auto"/>
              <w:rPr>
                <w:rFonts w:hint="eastAsia" w:ascii="仿宋" w:hAnsi="仿宋" w:eastAsia="仿宋" w:cs="仿宋"/>
                <w:color w:val="auto"/>
                <w:sz w:val="22"/>
                <w:szCs w:val="22"/>
                <w:highlight w:val="none"/>
              </w:rPr>
            </w:pPr>
          </w:p>
        </w:tc>
        <w:tc>
          <w:tcPr>
            <w:tcW w:w="5239" w:type="dxa"/>
            <w:shd w:val="clear" w:color="auto" w:fill="FFFFFF"/>
            <w:vAlign w:val="center"/>
          </w:tcPr>
          <w:p w14:paraId="2492A5DE">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要保持软件设备数据采集及传输的稳定性，若出现严重故障，如系统无法访问、功能页面报错等，未及时报备</w:t>
            </w:r>
            <w:r>
              <w:rPr>
                <w:rFonts w:hint="eastAsia" w:ascii="仿宋" w:hAnsi="仿宋" w:eastAsia="仿宋" w:cs="仿宋"/>
                <w:color w:val="auto"/>
                <w:sz w:val="22"/>
                <w:szCs w:val="22"/>
                <w:highlight w:val="none"/>
                <w:lang w:eastAsia="zh-CN"/>
              </w:rPr>
              <w:t>甲</w:t>
            </w:r>
            <w:r>
              <w:rPr>
                <w:rFonts w:hint="eastAsia" w:ascii="仿宋" w:hAnsi="仿宋" w:eastAsia="仿宋" w:cs="仿宋"/>
                <w:color w:val="auto"/>
                <w:sz w:val="22"/>
                <w:szCs w:val="22"/>
                <w:highlight w:val="none"/>
              </w:rPr>
              <w:t>方的，扣2分</w:t>
            </w:r>
            <w:r>
              <w:rPr>
                <w:rFonts w:hint="eastAsia" w:ascii="仿宋" w:hAnsi="仿宋" w:eastAsia="仿宋" w:cs="仿宋"/>
                <w:color w:val="auto"/>
                <w:sz w:val="22"/>
                <w:szCs w:val="22"/>
                <w:highlight w:val="none"/>
                <w:lang w:val="en-US" w:eastAsia="zh-CN"/>
              </w:rPr>
              <w:t>/次</w:t>
            </w:r>
            <w:r>
              <w:rPr>
                <w:rFonts w:hint="eastAsia" w:ascii="仿宋" w:hAnsi="仿宋" w:eastAsia="仿宋" w:cs="仿宋"/>
                <w:color w:val="auto"/>
                <w:sz w:val="22"/>
                <w:szCs w:val="22"/>
                <w:highlight w:val="none"/>
              </w:rPr>
              <w:t>。若出现数据丢失且无法恢复，扣</w:t>
            </w:r>
            <w:r>
              <w:rPr>
                <w:rFonts w:hint="eastAsia" w:ascii="仿宋" w:hAnsi="仿宋" w:eastAsia="仿宋" w:cs="仿宋"/>
                <w:color w:val="auto"/>
                <w:sz w:val="22"/>
                <w:szCs w:val="22"/>
                <w:highlight w:val="none"/>
                <w:lang w:val="en-US" w:eastAsia="zh-CN"/>
              </w:rPr>
              <w:t>10</w:t>
            </w:r>
            <w:r>
              <w:rPr>
                <w:rFonts w:hint="eastAsia" w:ascii="仿宋" w:hAnsi="仿宋" w:eastAsia="仿宋" w:cs="仿宋"/>
                <w:color w:val="auto"/>
                <w:sz w:val="22"/>
                <w:szCs w:val="22"/>
                <w:highlight w:val="none"/>
              </w:rPr>
              <w:t>分。</w:t>
            </w:r>
          </w:p>
        </w:tc>
        <w:tc>
          <w:tcPr>
            <w:tcW w:w="705" w:type="dxa"/>
            <w:vMerge w:val="continue"/>
            <w:shd w:val="clear" w:color="auto" w:fill="FFFFFF"/>
            <w:vAlign w:val="center"/>
          </w:tcPr>
          <w:p w14:paraId="6BB9D6DF">
            <w:pPr>
              <w:spacing w:line="360" w:lineRule="auto"/>
              <w:jc w:val="center"/>
              <w:rPr>
                <w:rFonts w:hint="eastAsia" w:ascii="仿宋" w:hAnsi="仿宋" w:eastAsia="仿宋" w:cs="仿宋"/>
                <w:color w:val="auto"/>
                <w:sz w:val="22"/>
                <w:szCs w:val="22"/>
                <w:highlight w:val="none"/>
              </w:rPr>
            </w:pPr>
          </w:p>
        </w:tc>
        <w:tc>
          <w:tcPr>
            <w:tcW w:w="750" w:type="dxa"/>
            <w:vMerge w:val="continue"/>
            <w:shd w:val="clear" w:color="auto" w:fill="FFFFFF"/>
            <w:vAlign w:val="center"/>
          </w:tcPr>
          <w:p w14:paraId="5D21B0EA">
            <w:pPr>
              <w:spacing w:line="360" w:lineRule="auto"/>
              <w:rPr>
                <w:rFonts w:hint="eastAsia" w:ascii="仿宋" w:hAnsi="仿宋" w:eastAsia="仿宋" w:cs="仿宋"/>
                <w:color w:val="auto"/>
                <w:sz w:val="22"/>
                <w:szCs w:val="22"/>
                <w:highlight w:val="none"/>
              </w:rPr>
            </w:pPr>
          </w:p>
        </w:tc>
        <w:tc>
          <w:tcPr>
            <w:tcW w:w="746" w:type="dxa"/>
            <w:vMerge w:val="continue"/>
            <w:shd w:val="clear" w:color="auto" w:fill="FFFFFF"/>
            <w:vAlign w:val="center"/>
          </w:tcPr>
          <w:p w14:paraId="62627E86">
            <w:pPr>
              <w:spacing w:line="360" w:lineRule="auto"/>
              <w:rPr>
                <w:rFonts w:hint="eastAsia" w:ascii="仿宋" w:hAnsi="仿宋" w:eastAsia="仿宋" w:cs="仿宋"/>
                <w:color w:val="auto"/>
                <w:sz w:val="22"/>
                <w:szCs w:val="22"/>
                <w:highlight w:val="none"/>
              </w:rPr>
            </w:pPr>
          </w:p>
        </w:tc>
      </w:tr>
      <w:tr w14:paraId="28D2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trPr>
        <w:tc>
          <w:tcPr>
            <w:tcW w:w="600" w:type="dxa"/>
            <w:vMerge w:val="continue"/>
            <w:shd w:val="clear" w:color="auto" w:fill="FFFFFF"/>
            <w:tcMar>
              <w:top w:w="80" w:type="dxa"/>
              <w:left w:w="80" w:type="dxa"/>
              <w:bottom w:w="80" w:type="dxa"/>
              <w:right w:w="80" w:type="dxa"/>
            </w:tcMar>
            <w:vAlign w:val="center"/>
          </w:tcPr>
          <w:p w14:paraId="1C4427B0">
            <w:pPr>
              <w:spacing w:line="360" w:lineRule="auto"/>
              <w:rPr>
                <w:rFonts w:hint="eastAsia" w:ascii="仿宋" w:hAnsi="仿宋" w:eastAsia="仿宋" w:cs="仿宋"/>
                <w:color w:val="auto"/>
                <w:sz w:val="22"/>
                <w:szCs w:val="22"/>
                <w:highlight w:val="none"/>
              </w:rPr>
            </w:pPr>
          </w:p>
        </w:tc>
        <w:tc>
          <w:tcPr>
            <w:tcW w:w="855" w:type="dxa"/>
            <w:vMerge w:val="continue"/>
            <w:shd w:val="clear" w:color="auto" w:fill="FFFFFF"/>
            <w:vAlign w:val="center"/>
          </w:tcPr>
          <w:p w14:paraId="1DC94053">
            <w:pPr>
              <w:spacing w:line="360" w:lineRule="auto"/>
              <w:rPr>
                <w:rFonts w:hint="eastAsia" w:ascii="仿宋" w:hAnsi="仿宋" w:eastAsia="仿宋" w:cs="仿宋"/>
                <w:color w:val="auto"/>
                <w:sz w:val="22"/>
                <w:szCs w:val="22"/>
                <w:highlight w:val="none"/>
              </w:rPr>
            </w:pPr>
          </w:p>
        </w:tc>
        <w:tc>
          <w:tcPr>
            <w:tcW w:w="5239" w:type="dxa"/>
            <w:shd w:val="clear" w:color="auto" w:fill="FFFFFF"/>
            <w:vAlign w:val="center"/>
          </w:tcPr>
          <w:p w14:paraId="1E8E26BE">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定期参加培训，提升餐厨垃圾收运、处理监管专业水平。对</w:t>
            </w:r>
            <w:r>
              <w:rPr>
                <w:rFonts w:hint="eastAsia" w:ascii="仿宋" w:hAnsi="仿宋" w:eastAsia="仿宋" w:cs="仿宋"/>
                <w:color w:val="auto"/>
                <w:sz w:val="22"/>
                <w:szCs w:val="22"/>
                <w:highlight w:val="none"/>
                <w:lang w:eastAsia="zh-CN"/>
              </w:rPr>
              <w:t>甲</w:t>
            </w:r>
            <w:r>
              <w:rPr>
                <w:rFonts w:hint="eastAsia" w:ascii="仿宋" w:hAnsi="仿宋" w:eastAsia="仿宋" w:cs="仿宋"/>
                <w:color w:val="auto"/>
                <w:sz w:val="22"/>
                <w:szCs w:val="22"/>
                <w:highlight w:val="none"/>
              </w:rPr>
              <w:t>方咨询未能提供专业答复意见的，扣2分</w:t>
            </w:r>
            <w:r>
              <w:rPr>
                <w:rFonts w:hint="eastAsia" w:ascii="仿宋" w:hAnsi="仿宋" w:eastAsia="仿宋" w:cs="仿宋"/>
                <w:color w:val="auto"/>
                <w:sz w:val="22"/>
                <w:szCs w:val="22"/>
                <w:highlight w:val="none"/>
                <w:lang w:val="en-US" w:eastAsia="zh-CN"/>
              </w:rPr>
              <w:t>/次</w:t>
            </w:r>
            <w:r>
              <w:rPr>
                <w:rFonts w:hint="eastAsia" w:ascii="仿宋" w:hAnsi="仿宋" w:eastAsia="仿宋" w:cs="仿宋"/>
                <w:color w:val="auto"/>
                <w:sz w:val="22"/>
                <w:szCs w:val="22"/>
                <w:highlight w:val="none"/>
              </w:rPr>
              <w:t>。</w:t>
            </w:r>
          </w:p>
        </w:tc>
        <w:tc>
          <w:tcPr>
            <w:tcW w:w="705" w:type="dxa"/>
            <w:vMerge w:val="continue"/>
            <w:shd w:val="clear" w:color="auto" w:fill="FFFFFF"/>
            <w:vAlign w:val="center"/>
          </w:tcPr>
          <w:p w14:paraId="69542CD1">
            <w:pPr>
              <w:spacing w:line="360" w:lineRule="auto"/>
              <w:jc w:val="center"/>
              <w:rPr>
                <w:rFonts w:hint="eastAsia" w:ascii="仿宋" w:hAnsi="仿宋" w:eastAsia="仿宋" w:cs="仿宋"/>
                <w:color w:val="auto"/>
                <w:sz w:val="22"/>
                <w:szCs w:val="22"/>
                <w:highlight w:val="none"/>
              </w:rPr>
            </w:pPr>
          </w:p>
        </w:tc>
        <w:tc>
          <w:tcPr>
            <w:tcW w:w="750" w:type="dxa"/>
            <w:vMerge w:val="continue"/>
            <w:shd w:val="clear" w:color="auto" w:fill="FFFFFF"/>
            <w:vAlign w:val="center"/>
          </w:tcPr>
          <w:p w14:paraId="2A19A508">
            <w:pPr>
              <w:spacing w:line="360" w:lineRule="auto"/>
              <w:rPr>
                <w:rFonts w:hint="eastAsia" w:ascii="仿宋" w:hAnsi="仿宋" w:eastAsia="仿宋" w:cs="仿宋"/>
                <w:color w:val="auto"/>
                <w:sz w:val="22"/>
                <w:szCs w:val="22"/>
                <w:highlight w:val="none"/>
              </w:rPr>
            </w:pPr>
          </w:p>
        </w:tc>
        <w:tc>
          <w:tcPr>
            <w:tcW w:w="746" w:type="dxa"/>
            <w:vMerge w:val="continue"/>
            <w:shd w:val="clear" w:color="auto" w:fill="FFFFFF"/>
            <w:vAlign w:val="center"/>
          </w:tcPr>
          <w:p w14:paraId="6918872E">
            <w:pPr>
              <w:spacing w:line="360" w:lineRule="auto"/>
              <w:rPr>
                <w:rFonts w:hint="eastAsia" w:ascii="仿宋" w:hAnsi="仿宋" w:eastAsia="仿宋" w:cs="仿宋"/>
                <w:color w:val="auto"/>
                <w:sz w:val="22"/>
                <w:szCs w:val="22"/>
                <w:highlight w:val="none"/>
              </w:rPr>
            </w:pPr>
          </w:p>
        </w:tc>
      </w:tr>
      <w:tr w14:paraId="13B04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rPr>
        <w:tc>
          <w:tcPr>
            <w:tcW w:w="600" w:type="dxa"/>
            <w:vMerge w:val="continue"/>
            <w:shd w:val="clear" w:color="auto" w:fill="FFFFFF"/>
            <w:tcMar>
              <w:top w:w="80" w:type="dxa"/>
              <w:left w:w="80" w:type="dxa"/>
              <w:bottom w:w="80" w:type="dxa"/>
              <w:right w:w="80" w:type="dxa"/>
            </w:tcMar>
            <w:vAlign w:val="center"/>
          </w:tcPr>
          <w:p w14:paraId="70E3CB41">
            <w:pPr>
              <w:spacing w:line="360" w:lineRule="auto"/>
              <w:rPr>
                <w:rFonts w:hint="eastAsia" w:ascii="仿宋" w:hAnsi="仿宋" w:eastAsia="仿宋" w:cs="仿宋"/>
                <w:color w:val="auto"/>
                <w:sz w:val="22"/>
                <w:szCs w:val="22"/>
                <w:highlight w:val="none"/>
              </w:rPr>
            </w:pPr>
          </w:p>
        </w:tc>
        <w:tc>
          <w:tcPr>
            <w:tcW w:w="855" w:type="dxa"/>
            <w:vMerge w:val="continue"/>
            <w:shd w:val="clear" w:color="auto" w:fill="FFFFFF"/>
            <w:vAlign w:val="center"/>
          </w:tcPr>
          <w:p w14:paraId="6B64FDB1">
            <w:pPr>
              <w:spacing w:line="360" w:lineRule="auto"/>
              <w:rPr>
                <w:rFonts w:hint="eastAsia" w:ascii="仿宋" w:hAnsi="仿宋" w:eastAsia="仿宋" w:cs="仿宋"/>
                <w:color w:val="auto"/>
                <w:sz w:val="22"/>
                <w:szCs w:val="22"/>
                <w:highlight w:val="none"/>
              </w:rPr>
            </w:pPr>
          </w:p>
        </w:tc>
        <w:tc>
          <w:tcPr>
            <w:tcW w:w="5239" w:type="dxa"/>
            <w:shd w:val="clear" w:color="auto" w:fill="FFFFFF"/>
            <w:vAlign w:val="center"/>
          </w:tcPr>
          <w:p w14:paraId="5CDBD541">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配合做好市民体验活动及各类迎检、成果展示等工作，未积极配合的，扣2分</w:t>
            </w:r>
            <w:r>
              <w:rPr>
                <w:rFonts w:hint="eastAsia" w:ascii="仿宋" w:hAnsi="仿宋" w:eastAsia="仿宋" w:cs="仿宋"/>
                <w:color w:val="auto"/>
                <w:sz w:val="22"/>
                <w:szCs w:val="22"/>
                <w:highlight w:val="none"/>
                <w:lang w:val="en-US" w:eastAsia="zh-CN"/>
              </w:rPr>
              <w:t>/次</w:t>
            </w:r>
            <w:r>
              <w:rPr>
                <w:rFonts w:hint="eastAsia" w:ascii="仿宋" w:hAnsi="仿宋" w:eastAsia="仿宋" w:cs="仿宋"/>
                <w:color w:val="auto"/>
                <w:sz w:val="22"/>
                <w:szCs w:val="22"/>
                <w:highlight w:val="none"/>
              </w:rPr>
              <w:t>。</w:t>
            </w:r>
          </w:p>
        </w:tc>
        <w:tc>
          <w:tcPr>
            <w:tcW w:w="705" w:type="dxa"/>
            <w:vMerge w:val="continue"/>
            <w:shd w:val="clear" w:color="auto" w:fill="FFFFFF"/>
            <w:vAlign w:val="center"/>
          </w:tcPr>
          <w:p w14:paraId="6ABE4543">
            <w:pPr>
              <w:spacing w:line="360" w:lineRule="auto"/>
              <w:jc w:val="center"/>
              <w:rPr>
                <w:rFonts w:hint="eastAsia" w:ascii="仿宋" w:hAnsi="仿宋" w:eastAsia="仿宋" w:cs="仿宋"/>
                <w:color w:val="auto"/>
                <w:sz w:val="22"/>
                <w:szCs w:val="22"/>
                <w:highlight w:val="none"/>
              </w:rPr>
            </w:pPr>
          </w:p>
        </w:tc>
        <w:tc>
          <w:tcPr>
            <w:tcW w:w="750" w:type="dxa"/>
            <w:vMerge w:val="continue"/>
            <w:shd w:val="clear" w:color="auto" w:fill="FFFFFF"/>
            <w:vAlign w:val="center"/>
          </w:tcPr>
          <w:p w14:paraId="774E452E">
            <w:pPr>
              <w:spacing w:line="360" w:lineRule="auto"/>
              <w:rPr>
                <w:rFonts w:hint="eastAsia" w:ascii="仿宋" w:hAnsi="仿宋" w:eastAsia="仿宋" w:cs="仿宋"/>
                <w:color w:val="auto"/>
                <w:sz w:val="22"/>
                <w:szCs w:val="22"/>
                <w:highlight w:val="none"/>
              </w:rPr>
            </w:pPr>
          </w:p>
        </w:tc>
        <w:tc>
          <w:tcPr>
            <w:tcW w:w="746" w:type="dxa"/>
            <w:vMerge w:val="continue"/>
            <w:shd w:val="clear" w:color="auto" w:fill="FFFFFF"/>
            <w:vAlign w:val="center"/>
          </w:tcPr>
          <w:p w14:paraId="5C1AD121">
            <w:pPr>
              <w:spacing w:line="360" w:lineRule="auto"/>
              <w:rPr>
                <w:rFonts w:hint="eastAsia" w:ascii="仿宋" w:hAnsi="仿宋" w:eastAsia="仿宋" w:cs="仿宋"/>
                <w:color w:val="auto"/>
                <w:sz w:val="22"/>
                <w:szCs w:val="22"/>
                <w:highlight w:val="none"/>
              </w:rPr>
            </w:pPr>
          </w:p>
        </w:tc>
      </w:tr>
      <w:tr w14:paraId="7002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00" w:type="dxa"/>
            <w:shd w:val="clear" w:color="auto" w:fill="FFFFFF"/>
            <w:vAlign w:val="center"/>
          </w:tcPr>
          <w:p w14:paraId="6037A0F9">
            <w:pPr>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w:t>
            </w:r>
          </w:p>
        </w:tc>
        <w:tc>
          <w:tcPr>
            <w:tcW w:w="855" w:type="dxa"/>
            <w:shd w:val="clear" w:color="auto" w:fill="FFFFFF"/>
            <w:vAlign w:val="center"/>
          </w:tcPr>
          <w:p w14:paraId="137C06AF">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安全、环境污染责任（10分）</w:t>
            </w:r>
          </w:p>
        </w:tc>
        <w:tc>
          <w:tcPr>
            <w:tcW w:w="5239" w:type="dxa"/>
            <w:shd w:val="clear" w:color="auto" w:fill="FFFFFF"/>
            <w:tcMar>
              <w:top w:w="80" w:type="dxa"/>
              <w:left w:w="80" w:type="dxa"/>
              <w:bottom w:w="80" w:type="dxa"/>
              <w:right w:w="80" w:type="dxa"/>
            </w:tcMar>
            <w:vAlign w:val="center"/>
          </w:tcPr>
          <w:p w14:paraId="64BD0A02">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负责项目安全生产、环境污染评估检查工作，对发生安全事故、环境污染事故、较大社会影响的突发事件、安全隐患、环境污染隐患等运营事件应及时上报，并提出整改意见，全程跟踪督促运营方整改。</w:t>
            </w:r>
            <w:r>
              <w:rPr>
                <w:rFonts w:hint="eastAsia" w:ascii="仿宋" w:hAnsi="仿宋" w:eastAsia="仿宋" w:cs="仿宋"/>
                <w:color w:val="auto"/>
                <w:sz w:val="22"/>
                <w:szCs w:val="22"/>
                <w:highlight w:val="none"/>
                <w:lang w:eastAsia="zh-CN"/>
              </w:rPr>
              <w:t>未落实该项工作的，扣</w:t>
            </w:r>
            <w:r>
              <w:rPr>
                <w:rFonts w:hint="eastAsia" w:ascii="仿宋" w:hAnsi="仿宋" w:eastAsia="仿宋" w:cs="仿宋"/>
                <w:color w:val="auto"/>
                <w:sz w:val="22"/>
                <w:szCs w:val="22"/>
                <w:highlight w:val="none"/>
                <w:lang w:val="en-US" w:eastAsia="zh-CN"/>
              </w:rPr>
              <w:t>10分。</w:t>
            </w:r>
          </w:p>
        </w:tc>
        <w:tc>
          <w:tcPr>
            <w:tcW w:w="705" w:type="dxa"/>
            <w:shd w:val="clear" w:color="auto" w:fill="FFFFFF"/>
            <w:vAlign w:val="center"/>
          </w:tcPr>
          <w:p w14:paraId="33D4FCC7">
            <w:pPr>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w:t>
            </w:r>
          </w:p>
        </w:tc>
        <w:tc>
          <w:tcPr>
            <w:tcW w:w="750" w:type="dxa"/>
            <w:shd w:val="clear" w:color="auto" w:fill="FFFFFF"/>
            <w:vAlign w:val="center"/>
          </w:tcPr>
          <w:p w14:paraId="0D918A1A">
            <w:pPr>
              <w:spacing w:line="360" w:lineRule="auto"/>
              <w:rPr>
                <w:rFonts w:hint="eastAsia" w:ascii="仿宋" w:hAnsi="仿宋" w:eastAsia="仿宋" w:cs="仿宋"/>
                <w:color w:val="auto"/>
                <w:sz w:val="22"/>
                <w:szCs w:val="22"/>
                <w:highlight w:val="none"/>
              </w:rPr>
            </w:pPr>
          </w:p>
        </w:tc>
        <w:tc>
          <w:tcPr>
            <w:tcW w:w="746" w:type="dxa"/>
            <w:shd w:val="clear" w:color="auto" w:fill="FFFFFF"/>
            <w:vAlign w:val="center"/>
          </w:tcPr>
          <w:p w14:paraId="2439A5DB">
            <w:pPr>
              <w:spacing w:line="360" w:lineRule="auto"/>
              <w:rPr>
                <w:rFonts w:hint="eastAsia" w:ascii="仿宋" w:hAnsi="仿宋" w:eastAsia="仿宋" w:cs="仿宋"/>
                <w:color w:val="auto"/>
                <w:sz w:val="22"/>
                <w:szCs w:val="22"/>
                <w:highlight w:val="none"/>
              </w:rPr>
            </w:pPr>
          </w:p>
        </w:tc>
      </w:tr>
      <w:tr w14:paraId="2346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00" w:type="dxa"/>
            <w:shd w:val="clear" w:color="auto" w:fill="FFFFFF"/>
            <w:vAlign w:val="center"/>
          </w:tcPr>
          <w:p w14:paraId="50914365">
            <w:pPr>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w:t>
            </w:r>
          </w:p>
        </w:tc>
        <w:tc>
          <w:tcPr>
            <w:tcW w:w="855" w:type="dxa"/>
            <w:shd w:val="clear" w:color="auto" w:fill="FFFFFF"/>
            <w:vAlign w:val="center"/>
          </w:tcPr>
          <w:p w14:paraId="7BBD30C3">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服务评价（5分）</w:t>
            </w:r>
          </w:p>
        </w:tc>
        <w:tc>
          <w:tcPr>
            <w:tcW w:w="5239" w:type="dxa"/>
            <w:shd w:val="clear" w:color="auto" w:fill="FFFFFF"/>
            <w:tcMar>
              <w:top w:w="80" w:type="dxa"/>
              <w:left w:w="80" w:type="dxa"/>
              <w:bottom w:w="80" w:type="dxa"/>
              <w:right w:w="80" w:type="dxa"/>
            </w:tcMar>
            <w:vAlign w:val="center"/>
          </w:tcPr>
          <w:p w14:paraId="0D99F117">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甲方</w:t>
            </w:r>
            <w:r>
              <w:rPr>
                <w:rFonts w:hint="eastAsia" w:ascii="仿宋" w:hAnsi="仿宋" w:eastAsia="仿宋" w:cs="仿宋"/>
                <w:color w:val="auto"/>
                <w:sz w:val="22"/>
                <w:szCs w:val="22"/>
                <w:highlight w:val="none"/>
              </w:rPr>
              <w:t>对本月服务内容进行评价，满意不扣分，一般扣2分，不满意扣5分。</w:t>
            </w:r>
          </w:p>
        </w:tc>
        <w:tc>
          <w:tcPr>
            <w:tcW w:w="705" w:type="dxa"/>
            <w:shd w:val="clear" w:color="auto" w:fill="FFFFFF"/>
            <w:vAlign w:val="center"/>
          </w:tcPr>
          <w:p w14:paraId="33379C30">
            <w:pPr>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w:t>
            </w:r>
          </w:p>
        </w:tc>
        <w:tc>
          <w:tcPr>
            <w:tcW w:w="750" w:type="dxa"/>
            <w:shd w:val="clear" w:color="auto" w:fill="FFFFFF"/>
            <w:vAlign w:val="center"/>
          </w:tcPr>
          <w:p w14:paraId="6A5374B8">
            <w:pPr>
              <w:spacing w:line="360" w:lineRule="auto"/>
              <w:rPr>
                <w:rFonts w:hint="eastAsia" w:ascii="仿宋" w:hAnsi="仿宋" w:eastAsia="仿宋" w:cs="仿宋"/>
                <w:color w:val="auto"/>
                <w:sz w:val="22"/>
                <w:szCs w:val="22"/>
                <w:highlight w:val="none"/>
              </w:rPr>
            </w:pPr>
          </w:p>
        </w:tc>
        <w:tc>
          <w:tcPr>
            <w:tcW w:w="746" w:type="dxa"/>
            <w:shd w:val="clear" w:color="auto" w:fill="FFFFFF"/>
            <w:vAlign w:val="center"/>
          </w:tcPr>
          <w:p w14:paraId="702274AF">
            <w:pPr>
              <w:spacing w:line="360" w:lineRule="auto"/>
              <w:rPr>
                <w:rFonts w:hint="eastAsia" w:ascii="仿宋" w:hAnsi="仿宋" w:eastAsia="仿宋" w:cs="仿宋"/>
                <w:color w:val="auto"/>
                <w:sz w:val="22"/>
                <w:szCs w:val="22"/>
                <w:highlight w:val="none"/>
              </w:rPr>
            </w:pPr>
          </w:p>
        </w:tc>
      </w:tr>
      <w:tr w14:paraId="4F60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94" w:type="dxa"/>
            <w:gridSpan w:val="3"/>
            <w:shd w:val="clear" w:color="auto" w:fill="FFFFFF"/>
            <w:vAlign w:val="center"/>
          </w:tcPr>
          <w:p w14:paraId="2AD84E5A">
            <w:pPr>
              <w:spacing w:after="0" w:line="240" w:lineRule="auto"/>
              <w:jc w:val="center"/>
              <w:rPr>
                <w:rFonts w:hint="eastAsia" w:ascii="仿宋" w:hAnsi="仿宋" w:eastAsia="仿宋" w:cs="仿宋"/>
                <w:color w:val="auto"/>
                <w:sz w:val="22"/>
                <w:szCs w:val="22"/>
                <w:highlight w:val="none"/>
                <w:lang w:val="en-US" w:eastAsia="zh-CN"/>
              </w:rPr>
            </w:pPr>
          </w:p>
          <w:p w14:paraId="218DCA9E">
            <w:pPr>
              <w:spacing w:after="0" w:line="240" w:lineRule="auto"/>
              <w:ind w:firstLine="660" w:firstLineChars="300"/>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 xml:space="preserve">合计                          </w:t>
            </w:r>
          </w:p>
        </w:tc>
        <w:tc>
          <w:tcPr>
            <w:tcW w:w="705" w:type="dxa"/>
            <w:shd w:val="clear" w:color="auto" w:fill="FFFFFF"/>
            <w:vAlign w:val="center"/>
          </w:tcPr>
          <w:p w14:paraId="363FECBB">
            <w:pPr>
              <w:spacing w:after="0" w:line="24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100</w:t>
            </w:r>
          </w:p>
        </w:tc>
        <w:tc>
          <w:tcPr>
            <w:tcW w:w="750" w:type="dxa"/>
            <w:shd w:val="clear" w:color="auto" w:fill="FFFFFF"/>
            <w:vAlign w:val="center"/>
          </w:tcPr>
          <w:p w14:paraId="0ED92F5C">
            <w:pPr>
              <w:spacing w:after="0" w:line="240" w:lineRule="auto"/>
              <w:jc w:val="both"/>
              <w:rPr>
                <w:rFonts w:hint="eastAsia" w:ascii="仿宋" w:hAnsi="仿宋" w:eastAsia="仿宋" w:cs="仿宋"/>
                <w:color w:val="auto"/>
                <w:sz w:val="22"/>
                <w:szCs w:val="22"/>
                <w:highlight w:val="none"/>
                <w:lang w:val="en-US" w:eastAsia="zh-CN"/>
              </w:rPr>
            </w:pPr>
          </w:p>
        </w:tc>
        <w:tc>
          <w:tcPr>
            <w:tcW w:w="746" w:type="dxa"/>
            <w:shd w:val="clear" w:color="auto" w:fill="FFFFFF"/>
            <w:vAlign w:val="center"/>
          </w:tcPr>
          <w:p w14:paraId="77E9CDF4">
            <w:pPr>
              <w:spacing w:after="0" w:line="240" w:lineRule="auto"/>
              <w:jc w:val="both"/>
              <w:rPr>
                <w:rFonts w:hint="eastAsia" w:ascii="仿宋" w:hAnsi="仿宋" w:eastAsia="仿宋" w:cs="仿宋"/>
                <w:color w:val="auto"/>
                <w:sz w:val="22"/>
                <w:szCs w:val="22"/>
                <w:highlight w:val="none"/>
                <w:lang w:val="en-US" w:eastAsia="zh-CN"/>
              </w:rPr>
            </w:pPr>
          </w:p>
        </w:tc>
      </w:tr>
    </w:tbl>
    <w:p w14:paraId="2CFF958D">
      <w:pPr>
        <w:rPr>
          <w:color w:val="auto"/>
          <w:highlight w:val="none"/>
        </w:rPr>
      </w:pPr>
    </w:p>
    <w:p w14:paraId="5154E4FD">
      <w:pPr>
        <w:rPr>
          <w:color w:val="auto"/>
          <w:highlight w:val="none"/>
        </w:rPr>
      </w:pPr>
    </w:p>
    <w:p w14:paraId="39DB873F">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被考核方签字</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sz w:val="24"/>
          <w:szCs w:val="24"/>
          <w:highlight w:val="none"/>
          <w:lang w:val="en-US" w:eastAsia="zh-CN"/>
        </w:rPr>
        <w:t>考核人员签字：</w:t>
      </w:r>
    </w:p>
    <w:p w14:paraId="144320E7">
      <w:pPr>
        <w:pStyle w:val="32"/>
        <w:spacing w:line="400" w:lineRule="exact"/>
        <w:ind w:firstLine="542" w:firstLineChars="150"/>
        <w:jc w:val="center"/>
        <w:rPr>
          <w:rFonts w:hint="eastAsia" w:ascii="仿宋" w:hAnsi="仿宋" w:eastAsia="仿宋" w:cs="仿宋_GB2312"/>
          <w:b/>
          <w:color w:val="auto"/>
          <w:sz w:val="36"/>
          <w:szCs w:val="20"/>
          <w:highlight w:val="none"/>
        </w:rPr>
        <w:sectPr>
          <w:pgSz w:w="11907" w:h="16840"/>
          <w:pgMar w:top="1474" w:right="1814" w:bottom="1474" w:left="1814" w:header="851" w:footer="851" w:gutter="0"/>
          <w:cols w:space="720" w:num="1"/>
        </w:sectPr>
      </w:pPr>
    </w:p>
    <w:p w14:paraId="39001EB5">
      <w:pPr>
        <w:pStyle w:val="32"/>
        <w:spacing w:line="400" w:lineRule="exact"/>
        <w:jc w:val="both"/>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eastAsia="zh-CN"/>
        </w:rPr>
        <w:t>合同附件</w:t>
      </w:r>
      <w:r>
        <w:rPr>
          <w:rFonts w:hint="eastAsia" w:ascii="仿宋" w:hAnsi="仿宋" w:eastAsia="仿宋" w:cs="仿宋"/>
          <w:b/>
          <w:bCs/>
          <w:color w:val="auto"/>
          <w:kern w:val="0"/>
          <w:sz w:val="24"/>
          <w:szCs w:val="24"/>
          <w:highlight w:val="none"/>
          <w:lang w:val="en-US" w:eastAsia="zh-CN"/>
        </w:rPr>
        <w:t>二</w:t>
      </w:r>
    </w:p>
    <w:p w14:paraId="413B15BC">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36"/>
          <w:szCs w:val="36"/>
          <w:highlight w:val="none"/>
        </w:rPr>
        <w:t>温州市区餐厨垃圾收运处置监管考核办法(试行）</w:t>
      </w:r>
    </w:p>
    <w:p w14:paraId="2C0A92F8">
      <w:pPr>
        <w:jc w:val="center"/>
        <w:rPr>
          <w:rFonts w:hint="eastAsia" w:ascii="仿宋_GB2312" w:eastAsia="仿宋_GB2312"/>
          <w:b/>
          <w:color w:val="auto"/>
          <w:sz w:val="32"/>
          <w:szCs w:val="32"/>
          <w:highlight w:val="none"/>
        </w:rPr>
      </w:pPr>
    </w:p>
    <w:p w14:paraId="5674F83C">
      <w:pPr>
        <w:keepNext w:val="0"/>
        <w:keepLines w:val="0"/>
        <w:pageBreakBefore w:val="0"/>
        <w:kinsoku/>
        <w:wordWrap/>
        <w:overflowPunct/>
        <w:topLinePunct w:val="0"/>
        <w:bidi w:val="0"/>
        <w:adjustRightInd w:val="0"/>
        <w:snapToGrid/>
        <w:spacing w:line="360" w:lineRule="auto"/>
        <w:ind w:left="1"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rPr>
        <w:t>第一条  为规范市区餐厨垃圾收运处置管理，提高餐厨垃圾项目服务与管理水平，保障公众利益，根据《国务院办公厅关于加强地沟油整治和餐厨废弃物管理的意见》、《餐厨垃圾处理技术规范》、《浙江省资源综合利用促进条例》、《浙江省餐厨垃圾管理办法》、《温州市区餐厨垃圾管理办法》、《临江生活垃圾焚烧发电厂三期工程BOT项目服务协议》（以下简称“服务协议”）等国家、省、市相关法律法规及有关规定、文件，结合我市实际，制定本办法。</w:t>
      </w:r>
    </w:p>
    <w:p w14:paraId="19966BFC">
      <w:pPr>
        <w:keepNext w:val="0"/>
        <w:keepLines w:val="0"/>
        <w:pageBreakBefore w:val="0"/>
        <w:kinsoku/>
        <w:wordWrap/>
        <w:overflowPunct/>
        <w:topLinePunct w:val="0"/>
        <w:bidi w:val="0"/>
        <w:adjustRightInd w:val="0"/>
        <w:snapToGrid/>
        <w:spacing w:line="360" w:lineRule="auto"/>
        <w:ind w:left="1"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rPr>
        <w:t>第二条  本办法适用于在市区（鹿城区、龙湾区、瓯海区、瓯江口新区、经济技术开发区）从事餐厨垃圾收运处置的运营活动以及对其所实施的监督管理。</w:t>
      </w:r>
    </w:p>
    <w:p w14:paraId="09C21648">
      <w:pPr>
        <w:keepNext w:val="0"/>
        <w:keepLines w:val="0"/>
        <w:pageBreakBefore w:val="0"/>
        <w:kinsoku/>
        <w:wordWrap/>
        <w:overflowPunct/>
        <w:topLinePunct w:val="0"/>
        <w:bidi w:val="0"/>
        <w:adjustRightInd w:val="0"/>
        <w:snapToGrid/>
        <w:spacing w:line="360" w:lineRule="auto"/>
        <w:ind w:left="1"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第三条  市区餐厨垃圾收运处置的运营考核，包括服务质量、安全运营、环境影响、基础台账等全面全程的考核 。</w:t>
      </w:r>
    </w:p>
    <w:p w14:paraId="74159124">
      <w:pPr>
        <w:keepNext w:val="0"/>
        <w:keepLines w:val="0"/>
        <w:pageBreakBefore w:val="0"/>
        <w:kinsoku/>
        <w:wordWrap/>
        <w:overflowPunct/>
        <w:topLinePunct w:val="0"/>
        <w:bidi w:val="0"/>
        <w:adjustRightInd w:val="0"/>
        <w:snapToGrid/>
        <w:spacing w:line="360" w:lineRule="auto"/>
        <w:ind w:firstLine="6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第四条  温州市综合行政执法局委托温州市环境卫生管理处（以下简称“监管方”），负责对餐厨垃圾特许经营项目运营方的业务指导、调度、计量以及日常运营质量监管考核等工作。</w:t>
      </w:r>
    </w:p>
    <w:p w14:paraId="02F3D3CA">
      <w:pPr>
        <w:keepNext w:val="0"/>
        <w:keepLines w:val="0"/>
        <w:pageBreakBefore w:val="0"/>
        <w:kinsoku/>
        <w:wordWrap/>
        <w:overflowPunct/>
        <w:topLinePunct w:val="0"/>
        <w:bidi w:val="0"/>
        <w:adjustRightInd w:val="0"/>
        <w:snapToGrid/>
        <w:spacing w:line="360" w:lineRule="auto"/>
        <w:ind w:left="1" w:firstLine="6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第五条  本细则所称餐厨垃圾处置厂，特指温州市临江生活垃圾焚烧发电厂三期（温州市区餐厨垃圾处理厂）。</w:t>
      </w:r>
    </w:p>
    <w:p w14:paraId="455DB3B3">
      <w:pPr>
        <w:keepNext w:val="0"/>
        <w:keepLines w:val="0"/>
        <w:pageBreakBefore w:val="0"/>
        <w:kinsoku/>
        <w:wordWrap/>
        <w:overflowPunct/>
        <w:topLinePunct w:val="0"/>
        <w:bidi w:val="0"/>
        <w:adjustRightInd w:val="0"/>
        <w:snapToGrid/>
        <w:spacing w:line="360" w:lineRule="auto"/>
        <w:ind w:left="1" w:firstLine="6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餐厨垃圾收运处置运营单位（仅指温州伟明餐厨再生资源有限公司，以下简称运营方）负责为实现餐厨垃圾无害化处理与资源化利用而进行的全部工作。</w:t>
      </w:r>
    </w:p>
    <w:p w14:paraId="55F2A11E">
      <w:pPr>
        <w:keepNext w:val="0"/>
        <w:keepLines w:val="0"/>
        <w:pageBreakBefore w:val="0"/>
        <w:kinsoku/>
        <w:wordWrap/>
        <w:overflowPunct/>
        <w:topLinePunct w:val="0"/>
        <w:bidi w:val="0"/>
        <w:adjustRightInd w:val="0"/>
        <w:snapToGrid/>
        <w:spacing w:line="360" w:lineRule="auto"/>
        <w:ind w:firstLine="6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第六条  运营方需在监管方的监管下依照服务协议及相关规定，进行餐厨垃圾收运及处置厂的运行维护、安全管理、污染物减排与处理、环境监测及再生资源能源的销售等工作。</w:t>
      </w:r>
    </w:p>
    <w:p w14:paraId="3A664A24">
      <w:pPr>
        <w:keepNext w:val="0"/>
        <w:keepLines w:val="0"/>
        <w:pageBreakBefore w:val="0"/>
        <w:kinsoku/>
        <w:wordWrap/>
        <w:overflowPunct/>
        <w:topLinePunct w:val="0"/>
        <w:bidi w:val="0"/>
        <w:adjustRightInd w:val="0"/>
        <w:snapToGrid/>
        <w:spacing w:line="360" w:lineRule="auto"/>
        <w:ind w:firstLine="6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第七条  </w:t>
      </w:r>
      <w:r>
        <w:rPr>
          <w:rFonts w:hint="eastAsia" w:ascii="仿宋" w:hAnsi="仿宋" w:eastAsia="仿宋" w:cs="仿宋"/>
          <w:color w:val="auto"/>
          <w:kern w:val="0"/>
          <w:sz w:val="24"/>
          <w:szCs w:val="24"/>
          <w:highlight w:val="none"/>
        </w:rPr>
        <w:t>监管机构每月对运营单位进行全面考核，考核</w:t>
      </w:r>
      <w:r>
        <w:rPr>
          <w:rFonts w:hint="eastAsia" w:ascii="仿宋" w:hAnsi="仿宋" w:eastAsia="仿宋" w:cs="仿宋"/>
          <w:color w:val="auto"/>
          <w:sz w:val="24"/>
          <w:szCs w:val="24"/>
          <w:highlight w:val="none"/>
        </w:rPr>
        <w:t>形式包括但不限于现场巡查、在线监控和查阅台账。考核的主要依据如下：</w:t>
      </w:r>
    </w:p>
    <w:p w14:paraId="46EE140E">
      <w:pPr>
        <w:pStyle w:val="991"/>
        <w:keepNext w:val="0"/>
        <w:keepLines w:val="0"/>
        <w:pageBreakBefore w:val="0"/>
        <w:numPr>
          <w:ilvl w:val="0"/>
          <w:numId w:val="5"/>
        </w:numPr>
        <w:kinsoku/>
        <w:wordWrap/>
        <w:overflowPunct/>
        <w:topLinePunct w:val="0"/>
        <w:bidi w:val="0"/>
        <w:adjustRightInd w:val="0"/>
        <w:snapToGrid/>
        <w:spacing w:line="360" w:lineRule="auto"/>
        <w:ind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权威部门、第三方机构检测报告和数据。</w:t>
      </w:r>
    </w:p>
    <w:p w14:paraId="59EACB94">
      <w:pPr>
        <w:pStyle w:val="991"/>
        <w:keepNext w:val="0"/>
        <w:keepLines w:val="0"/>
        <w:pageBreakBefore w:val="0"/>
        <w:numPr>
          <w:ilvl w:val="0"/>
          <w:numId w:val="5"/>
        </w:numPr>
        <w:kinsoku/>
        <w:wordWrap/>
        <w:overflowPunct/>
        <w:topLinePunct w:val="0"/>
        <w:bidi w:val="0"/>
        <w:adjustRightInd w:val="0"/>
        <w:snapToGrid/>
        <w:spacing w:line="360" w:lineRule="auto"/>
        <w:ind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现场巡查记录、现场拍摄的照片或录像。</w:t>
      </w:r>
    </w:p>
    <w:p w14:paraId="7FE9F9D9">
      <w:pPr>
        <w:pStyle w:val="991"/>
        <w:keepNext w:val="0"/>
        <w:keepLines w:val="0"/>
        <w:pageBreakBefore w:val="0"/>
        <w:numPr>
          <w:ilvl w:val="0"/>
          <w:numId w:val="5"/>
        </w:numPr>
        <w:kinsoku/>
        <w:wordWrap/>
        <w:overflowPunct/>
        <w:topLinePunct w:val="0"/>
        <w:bidi w:val="0"/>
        <w:adjustRightInd w:val="0"/>
        <w:snapToGrid/>
        <w:spacing w:line="360" w:lineRule="auto"/>
        <w:ind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重点运行作业环境在线监控情况。</w:t>
      </w:r>
    </w:p>
    <w:p w14:paraId="79AB0E3E">
      <w:pPr>
        <w:pStyle w:val="991"/>
        <w:keepNext w:val="0"/>
        <w:keepLines w:val="0"/>
        <w:pageBreakBefore w:val="0"/>
        <w:numPr>
          <w:ilvl w:val="0"/>
          <w:numId w:val="5"/>
        </w:numPr>
        <w:kinsoku/>
        <w:wordWrap/>
        <w:overflowPunct/>
        <w:topLinePunct w:val="0"/>
        <w:bidi w:val="0"/>
        <w:adjustRightInd w:val="0"/>
        <w:snapToGrid/>
        <w:spacing w:line="360" w:lineRule="auto"/>
        <w:ind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计量统计报表、运行作业记录。</w:t>
      </w:r>
    </w:p>
    <w:p w14:paraId="0523E579">
      <w:pPr>
        <w:pStyle w:val="991"/>
        <w:keepNext w:val="0"/>
        <w:keepLines w:val="0"/>
        <w:pageBreakBefore w:val="0"/>
        <w:numPr>
          <w:ilvl w:val="0"/>
          <w:numId w:val="5"/>
        </w:numPr>
        <w:kinsoku/>
        <w:wordWrap/>
        <w:overflowPunct/>
        <w:topLinePunct w:val="0"/>
        <w:bidi w:val="0"/>
        <w:adjustRightInd w:val="0"/>
        <w:snapToGrid/>
        <w:spacing w:line="360" w:lineRule="auto"/>
        <w:ind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媒体曝光、由于运行问题导致的居民上访等恶性事件发生。</w:t>
      </w:r>
    </w:p>
    <w:p w14:paraId="01B74836">
      <w:pPr>
        <w:pStyle w:val="991"/>
        <w:keepNext w:val="0"/>
        <w:keepLines w:val="0"/>
        <w:pageBreakBefore w:val="0"/>
        <w:numPr>
          <w:ilvl w:val="0"/>
          <w:numId w:val="5"/>
        </w:numPr>
        <w:kinsoku/>
        <w:wordWrap/>
        <w:overflowPunct/>
        <w:topLinePunct w:val="0"/>
        <w:bidi w:val="0"/>
        <w:adjustRightInd w:val="0"/>
        <w:snapToGrid/>
        <w:spacing w:line="360" w:lineRule="auto"/>
        <w:ind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其他证明材料</w:t>
      </w:r>
    </w:p>
    <w:p w14:paraId="00CCE92E">
      <w:pPr>
        <w:keepNext w:val="0"/>
        <w:keepLines w:val="0"/>
        <w:pageBreakBefore w:val="0"/>
        <w:kinsoku/>
        <w:wordWrap/>
        <w:overflowPunct/>
        <w:topLinePunct w:val="0"/>
        <w:bidi w:val="0"/>
        <w:adjustRightInd w:val="0"/>
        <w:snapToGrid/>
        <w:spacing w:line="360" w:lineRule="auto"/>
        <w:ind w:left="1"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第八条  餐厨垃圾收运、处置费按季结算，结算按《服务协议》支付程序办理。</w:t>
      </w:r>
    </w:p>
    <w:p w14:paraId="5C5BA9E3">
      <w:pPr>
        <w:keepNext w:val="0"/>
        <w:keepLines w:val="0"/>
        <w:pageBreakBefore w:val="0"/>
        <w:kinsoku/>
        <w:wordWrap/>
        <w:overflowPunct/>
        <w:topLinePunct w:val="0"/>
        <w:bidi w:val="0"/>
        <w:adjustRightInd w:val="0"/>
        <w:snapToGrid/>
        <w:spacing w:line="360" w:lineRule="auto"/>
        <w:ind w:left="1" w:firstLine="480" w:firstLineChars="200"/>
        <w:textAlignment w:val="auto"/>
        <w:rPr>
          <w:rFonts w:hint="eastAsia" w:ascii="仿宋" w:hAnsi="仿宋" w:eastAsia="仿宋" w:cs="仿宋"/>
          <w:color w:val="auto"/>
          <w:sz w:val="24"/>
          <w:szCs w:val="24"/>
          <w:highlight w:val="none"/>
        </w:rPr>
      </w:pPr>
    </w:p>
    <w:p w14:paraId="2360DF19">
      <w:pPr>
        <w:keepNext w:val="0"/>
        <w:keepLines w:val="0"/>
        <w:pageBreakBefore w:val="0"/>
        <w:kinsoku/>
        <w:wordWrap/>
        <w:overflowPunct/>
        <w:topLinePunct w:val="0"/>
        <w:bidi w:val="0"/>
        <w:adjustRightInd w:val="0"/>
        <w:snapToGrid/>
        <w:spacing w:line="360" w:lineRule="auto"/>
        <w:ind w:left="1"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 xml:space="preserve">第九条  </w:t>
      </w:r>
      <w:r>
        <w:rPr>
          <w:rFonts w:hint="eastAsia" w:ascii="仿宋" w:hAnsi="仿宋" w:eastAsia="仿宋" w:cs="仿宋"/>
          <w:color w:val="auto"/>
          <w:kern w:val="0"/>
          <w:sz w:val="24"/>
          <w:szCs w:val="24"/>
          <w:highlight w:val="none"/>
        </w:rPr>
        <w:t>监管机构根据</w:t>
      </w:r>
      <w:r>
        <w:rPr>
          <w:rFonts w:hint="eastAsia" w:ascii="仿宋" w:hAnsi="仿宋" w:eastAsia="仿宋" w:cs="仿宋"/>
          <w:color w:val="auto"/>
          <w:sz w:val="24"/>
          <w:szCs w:val="24"/>
          <w:highlight w:val="none"/>
        </w:rPr>
        <w:t>《温州市区餐厨垃圾收运监管考核评分表》、《温州市区餐厨垃圾处置监管考核评分表》（以下简称《考核评分表》，</w:t>
      </w:r>
      <w:r>
        <w:rPr>
          <w:rFonts w:hint="eastAsia" w:ascii="仿宋" w:hAnsi="仿宋" w:eastAsia="仿宋" w:cs="仿宋"/>
          <w:color w:val="auto"/>
          <w:kern w:val="0"/>
          <w:sz w:val="24"/>
          <w:szCs w:val="24"/>
          <w:highlight w:val="none"/>
        </w:rPr>
        <w:t>详见附件）按自然月对日常收运与处置管理分别进行</w:t>
      </w:r>
      <w:r>
        <w:rPr>
          <w:rFonts w:hint="eastAsia" w:ascii="仿宋" w:hAnsi="仿宋" w:eastAsia="仿宋" w:cs="仿宋"/>
          <w:color w:val="auto"/>
          <w:sz w:val="24"/>
          <w:szCs w:val="24"/>
          <w:highlight w:val="none"/>
        </w:rPr>
        <w:t>独立考核评分，</w:t>
      </w:r>
      <w:r>
        <w:rPr>
          <w:rFonts w:hint="eastAsia" w:ascii="仿宋" w:hAnsi="仿宋" w:eastAsia="仿宋" w:cs="仿宋"/>
          <w:color w:val="auto"/>
          <w:kern w:val="0"/>
          <w:sz w:val="24"/>
          <w:szCs w:val="24"/>
          <w:highlight w:val="none"/>
        </w:rPr>
        <w:t>考核分值采用百分制。</w:t>
      </w:r>
    </w:p>
    <w:p w14:paraId="04CD973B">
      <w:pPr>
        <w:keepNext w:val="0"/>
        <w:keepLines w:val="0"/>
        <w:pageBreakBefore w:val="0"/>
        <w:kinsoku/>
        <w:wordWrap/>
        <w:overflowPunct/>
        <w:topLinePunct w:val="0"/>
        <w:bidi w:val="0"/>
        <w:adjustRightInd w:val="0"/>
        <w:snapToGrid/>
        <w:spacing w:line="360" w:lineRule="auto"/>
        <w:ind w:left="1"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以90分为准，每下降1分扣除相应服务费总额的2%，</w:t>
      </w:r>
      <w:r>
        <w:rPr>
          <w:rFonts w:hint="eastAsia" w:ascii="仿宋" w:hAnsi="仿宋" w:eastAsia="仿宋" w:cs="仿宋"/>
          <w:color w:val="auto"/>
          <w:sz w:val="24"/>
          <w:szCs w:val="24"/>
          <w:highlight w:val="none"/>
        </w:rPr>
        <w:t>依此类推；若运营质量定期检测项目不合格，将按照《服务协议》扣除处理费。</w:t>
      </w:r>
    </w:p>
    <w:p w14:paraId="491DA492">
      <w:pPr>
        <w:keepNext w:val="0"/>
        <w:keepLines w:val="0"/>
        <w:pageBreakBefore w:val="0"/>
        <w:widowControl/>
        <w:kinsoku/>
        <w:wordWrap/>
        <w:overflowPunct/>
        <w:topLinePunct w:val="0"/>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 xml:space="preserve">第十条  </w:t>
      </w:r>
      <w:r>
        <w:rPr>
          <w:rFonts w:hint="eastAsia" w:ascii="仿宋" w:hAnsi="仿宋" w:eastAsia="仿宋" w:cs="仿宋"/>
          <w:color w:val="auto"/>
          <w:kern w:val="0"/>
          <w:sz w:val="24"/>
          <w:szCs w:val="24"/>
          <w:highlight w:val="none"/>
        </w:rPr>
        <w:t>监管机构和考核人员应遵守考核纪律，对在考核工作中知悉的运营单位的商业秘密、技术秘密等负有保密责任。</w:t>
      </w:r>
    </w:p>
    <w:p w14:paraId="2526301D">
      <w:pPr>
        <w:keepNext w:val="0"/>
        <w:keepLines w:val="0"/>
        <w:pageBreakBefore w:val="0"/>
        <w:widowControl/>
        <w:kinsoku/>
        <w:wordWrap/>
        <w:overflowPunct/>
        <w:topLinePunct w:val="0"/>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对在考核工作中滥用职权、徇私舞弊、索贿受贿的考核人员，由有关部门依法给予行政处分；构成犯罪的，由司法机关依法追究刑事责任。</w:t>
      </w:r>
    </w:p>
    <w:p w14:paraId="0062EAB1">
      <w:pPr>
        <w:keepNext w:val="0"/>
        <w:keepLines w:val="0"/>
        <w:pageBreakBefore w:val="0"/>
        <w:widowControl/>
        <w:kinsoku/>
        <w:wordWrap/>
        <w:overflowPunct/>
        <w:topLinePunct w:val="0"/>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第十一条  </w:t>
      </w:r>
      <w:r>
        <w:rPr>
          <w:rFonts w:hint="eastAsia" w:ascii="仿宋" w:hAnsi="仿宋" w:eastAsia="仿宋" w:cs="仿宋"/>
          <w:color w:val="auto"/>
          <w:sz w:val="24"/>
          <w:szCs w:val="24"/>
          <w:highlight w:val="none"/>
        </w:rPr>
        <w:t>本办法自发布之日起实施，解释权归温州市综合行政执法局。</w:t>
      </w:r>
    </w:p>
    <w:p w14:paraId="16BC2ECB">
      <w:pPr>
        <w:keepNext w:val="0"/>
        <w:keepLines w:val="0"/>
        <w:pageBreakBefore w:val="0"/>
        <w:widowControl/>
        <w:kinsoku/>
        <w:wordWrap/>
        <w:overflowPunct/>
        <w:topLinePunct w:val="0"/>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如本办法与现行上级法规、标准有冲突的，以上级法规、标准为准。上级部门今后发布新的法规、标准适用于本办法。如在监管协议执行期间，协议内容调整，依照新监管协议执行。</w:t>
      </w:r>
    </w:p>
    <w:p w14:paraId="332F6A04">
      <w:pPr>
        <w:widowControl/>
        <w:spacing w:line="600" w:lineRule="exact"/>
        <w:ind w:firstLine="480" w:firstLineChars="200"/>
        <w:jc w:val="left"/>
        <w:rPr>
          <w:rFonts w:hint="eastAsia" w:ascii="仿宋" w:hAnsi="仿宋" w:eastAsia="仿宋" w:cs="仿宋"/>
          <w:color w:val="auto"/>
          <w:kern w:val="0"/>
          <w:sz w:val="24"/>
          <w:szCs w:val="24"/>
          <w:highlight w:val="none"/>
        </w:rPr>
      </w:pPr>
    </w:p>
    <w:p w14:paraId="6397702F">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附：1《温州市区餐厨垃圾收运监管考核评分表》</w:t>
      </w:r>
    </w:p>
    <w:p w14:paraId="713B7E1F">
      <w:pPr>
        <w:widowControl/>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2《温州市区餐厨垃圾处置监管考核评分表》</w:t>
      </w:r>
    </w:p>
    <w:p w14:paraId="262772D3">
      <w:pPr>
        <w:widowControl/>
        <w:spacing w:line="360" w:lineRule="auto"/>
        <w:rPr>
          <w:rFonts w:hint="eastAsia" w:ascii="仿宋_GB2312" w:hAnsi="仿宋" w:eastAsia="仿宋_GB2312" w:cs="宋体"/>
          <w:color w:val="auto"/>
          <w:kern w:val="0"/>
          <w:sz w:val="32"/>
          <w:szCs w:val="32"/>
          <w:highlight w:val="none"/>
        </w:rPr>
        <w:sectPr>
          <w:footerReference r:id="rId4" w:type="default"/>
          <w:pgSz w:w="11906" w:h="16838"/>
          <w:pgMar w:top="1440" w:right="1800" w:bottom="1440" w:left="1800" w:header="851" w:footer="992" w:gutter="0"/>
          <w:cols w:space="720" w:num="1"/>
          <w:docGrid w:type="lines" w:linePitch="312" w:charSpace="0"/>
        </w:sectPr>
      </w:pPr>
    </w:p>
    <w:p w14:paraId="4E38467A">
      <w:pPr>
        <w:widowControl/>
        <w:spacing w:line="440" w:lineRule="exact"/>
        <w:rPr>
          <w:rFonts w:hint="eastAsia" w:ascii="仿宋_GB2312" w:hAnsi="黑体" w:eastAsia="仿宋_GB2312" w:cs="宋体"/>
          <w:color w:val="auto"/>
          <w:kern w:val="0"/>
          <w:sz w:val="44"/>
          <w:szCs w:val="44"/>
          <w:highlight w:val="none"/>
        </w:rPr>
      </w:pPr>
      <w:r>
        <w:rPr>
          <w:rFonts w:hint="eastAsia" w:ascii="仿宋_GB2312" w:hAnsi="仿宋" w:eastAsia="仿宋_GB2312" w:cs="宋体"/>
          <w:color w:val="auto"/>
          <w:kern w:val="0"/>
          <w:sz w:val="24"/>
          <w:szCs w:val="24"/>
          <w:highlight w:val="none"/>
        </w:rPr>
        <w:t xml:space="preserve">附件1                            </w:t>
      </w:r>
      <w:r>
        <w:rPr>
          <w:rFonts w:hint="eastAsia" w:ascii="仿宋_GB2312" w:hAnsi="仿宋" w:eastAsia="仿宋_GB2312" w:cs="宋体"/>
          <w:color w:val="auto"/>
          <w:kern w:val="0"/>
          <w:sz w:val="32"/>
          <w:szCs w:val="32"/>
          <w:highlight w:val="none"/>
        </w:rPr>
        <w:t>温州市区餐厨垃圾收运监管考核评分表</w:t>
      </w:r>
    </w:p>
    <w:p w14:paraId="022A1191">
      <w:pPr>
        <w:widowControl/>
        <w:spacing w:line="440" w:lineRule="exact"/>
        <w:jc w:val="center"/>
        <w:rPr>
          <w:rFonts w:hint="eastAsia" w:ascii="仿宋_GB2312" w:hAnsi="黑体" w:eastAsia="仿宋_GB2312"/>
          <w:color w:val="auto"/>
          <w:kern w:val="0"/>
          <w:szCs w:val="21"/>
          <w:highlight w:val="none"/>
        </w:rPr>
      </w:pPr>
      <w:r>
        <w:rPr>
          <w:rFonts w:hint="eastAsia" w:ascii="仿宋_GB2312" w:hAnsi="黑体" w:eastAsia="仿宋_GB2312" w:cs="宋体"/>
          <w:color w:val="auto"/>
          <w:kern w:val="0"/>
          <w:szCs w:val="21"/>
          <w:highlight w:val="none"/>
        </w:rPr>
        <w:t xml:space="preserve">                                                                                                              年   月</w:t>
      </w:r>
    </w:p>
    <w:tbl>
      <w:tblPr>
        <w:tblStyle w:val="57"/>
        <w:tblW w:w="15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262"/>
        <w:gridCol w:w="2165"/>
        <w:gridCol w:w="5232"/>
        <w:gridCol w:w="1443"/>
        <w:gridCol w:w="1697"/>
        <w:gridCol w:w="2065"/>
      </w:tblGrid>
      <w:tr w14:paraId="69E99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91" w:type="dxa"/>
            <w:tcBorders>
              <w:top w:val="single" w:color="auto" w:sz="4" w:space="0"/>
              <w:left w:val="single" w:color="auto" w:sz="4" w:space="0"/>
              <w:bottom w:val="single" w:color="auto" w:sz="4" w:space="0"/>
              <w:right w:val="single" w:color="auto" w:sz="4" w:space="0"/>
            </w:tcBorders>
            <w:noWrap w:val="0"/>
            <w:vAlign w:val="center"/>
          </w:tcPr>
          <w:p w14:paraId="20BA3DDC">
            <w:pPr>
              <w:widowControl/>
              <w:spacing w:line="240" w:lineRule="atLeast"/>
              <w:jc w:val="center"/>
              <w:rPr>
                <w:rFonts w:hint="eastAsia" w:ascii="仿宋_GB2312" w:hAnsi="宋体" w:eastAsia="仿宋_GB2312" w:cs="宋体"/>
                <w:b/>
                <w:color w:val="auto"/>
                <w:kern w:val="0"/>
                <w:sz w:val="24"/>
                <w:highlight w:val="none"/>
              </w:rPr>
            </w:pPr>
            <w:r>
              <w:rPr>
                <w:rFonts w:hint="eastAsia" w:ascii="仿宋_GB2312" w:hAnsi="宋体" w:eastAsia="仿宋_GB2312" w:cs="宋体"/>
                <w:b/>
                <w:color w:val="auto"/>
                <w:kern w:val="0"/>
                <w:sz w:val="24"/>
                <w:highlight w:val="none"/>
              </w:rPr>
              <w:t>项目</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158846CF">
            <w:pPr>
              <w:widowControl/>
              <w:spacing w:line="240" w:lineRule="atLeast"/>
              <w:jc w:val="center"/>
              <w:rPr>
                <w:rFonts w:hint="eastAsia" w:ascii="仿宋_GB2312" w:hAnsi="宋体" w:eastAsia="仿宋_GB2312" w:cs="宋体"/>
                <w:b/>
                <w:color w:val="auto"/>
                <w:kern w:val="0"/>
                <w:sz w:val="24"/>
                <w:highlight w:val="none"/>
              </w:rPr>
            </w:pPr>
            <w:r>
              <w:rPr>
                <w:rFonts w:hint="eastAsia" w:ascii="仿宋_GB2312" w:hAnsi="宋体" w:eastAsia="仿宋_GB2312" w:cs="宋体"/>
                <w:b/>
                <w:color w:val="auto"/>
                <w:kern w:val="0"/>
                <w:sz w:val="24"/>
                <w:highlight w:val="none"/>
              </w:rPr>
              <w:t>项目</w:t>
            </w:r>
          </w:p>
        </w:tc>
        <w:tc>
          <w:tcPr>
            <w:tcW w:w="2165" w:type="dxa"/>
            <w:tcBorders>
              <w:top w:val="single" w:color="auto" w:sz="4" w:space="0"/>
              <w:left w:val="single" w:color="auto" w:sz="4" w:space="0"/>
              <w:bottom w:val="single" w:color="auto" w:sz="4" w:space="0"/>
              <w:right w:val="single" w:color="auto" w:sz="4" w:space="0"/>
            </w:tcBorders>
            <w:noWrap w:val="0"/>
            <w:vAlign w:val="center"/>
          </w:tcPr>
          <w:p w14:paraId="3E825CA8">
            <w:pPr>
              <w:widowControl/>
              <w:spacing w:line="240" w:lineRule="atLeast"/>
              <w:jc w:val="center"/>
              <w:rPr>
                <w:rFonts w:hint="eastAsia" w:ascii="仿宋_GB2312" w:hAnsi="宋体" w:eastAsia="仿宋_GB2312" w:cs="宋体"/>
                <w:b/>
                <w:color w:val="auto"/>
                <w:kern w:val="0"/>
                <w:sz w:val="24"/>
                <w:highlight w:val="none"/>
              </w:rPr>
            </w:pPr>
            <w:r>
              <w:rPr>
                <w:rFonts w:hint="eastAsia" w:ascii="仿宋_GB2312" w:hAnsi="宋体" w:eastAsia="仿宋_GB2312" w:cs="宋体"/>
                <w:b/>
                <w:color w:val="auto"/>
                <w:kern w:val="0"/>
                <w:sz w:val="24"/>
                <w:highlight w:val="none"/>
              </w:rPr>
              <w:t>监管要求、指标</w:t>
            </w:r>
          </w:p>
        </w:tc>
        <w:tc>
          <w:tcPr>
            <w:tcW w:w="5232" w:type="dxa"/>
            <w:tcBorders>
              <w:top w:val="single" w:color="auto" w:sz="4" w:space="0"/>
              <w:left w:val="single" w:color="auto" w:sz="4" w:space="0"/>
              <w:bottom w:val="single" w:color="auto" w:sz="4" w:space="0"/>
              <w:right w:val="single" w:color="auto" w:sz="4" w:space="0"/>
            </w:tcBorders>
            <w:noWrap w:val="0"/>
            <w:vAlign w:val="center"/>
          </w:tcPr>
          <w:p w14:paraId="4EA3F298">
            <w:pPr>
              <w:widowControl/>
              <w:spacing w:line="240" w:lineRule="atLeast"/>
              <w:jc w:val="center"/>
              <w:rPr>
                <w:rFonts w:hint="eastAsia" w:ascii="仿宋_GB2312" w:hAnsi="宋体" w:eastAsia="仿宋_GB2312" w:cs="宋体"/>
                <w:b/>
                <w:color w:val="auto"/>
                <w:kern w:val="0"/>
                <w:sz w:val="24"/>
                <w:highlight w:val="none"/>
              </w:rPr>
            </w:pPr>
            <w:r>
              <w:rPr>
                <w:rFonts w:hint="eastAsia" w:ascii="仿宋_GB2312" w:hAnsi="宋体" w:eastAsia="仿宋_GB2312" w:cs="宋体"/>
                <w:b/>
                <w:color w:val="auto"/>
                <w:kern w:val="0"/>
                <w:sz w:val="24"/>
                <w:highlight w:val="none"/>
              </w:rPr>
              <w:t>检查评分和扣罚办法</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23BCF118">
            <w:pPr>
              <w:widowControl/>
              <w:spacing w:line="240" w:lineRule="atLeast"/>
              <w:ind w:firstLine="118" w:firstLineChars="49"/>
              <w:rPr>
                <w:rFonts w:hint="eastAsia" w:ascii="仿宋_GB2312" w:hAnsi="宋体" w:eastAsia="仿宋_GB2312" w:cs="宋体"/>
                <w:b/>
                <w:color w:val="auto"/>
                <w:kern w:val="0"/>
                <w:sz w:val="24"/>
                <w:highlight w:val="none"/>
              </w:rPr>
            </w:pPr>
            <w:r>
              <w:rPr>
                <w:rFonts w:hint="eastAsia" w:ascii="仿宋_GB2312" w:hAnsi="宋体" w:eastAsia="仿宋_GB2312" w:cs="宋体"/>
                <w:b/>
                <w:color w:val="auto"/>
                <w:kern w:val="0"/>
                <w:sz w:val="24"/>
                <w:highlight w:val="none"/>
              </w:rPr>
              <w:t>检查方式</w:t>
            </w:r>
          </w:p>
        </w:tc>
        <w:tc>
          <w:tcPr>
            <w:tcW w:w="1697" w:type="dxa"/>
            <w:tcBorders>
              <w:top w:val="single" w:color="auto" w:sz="4" w:space="0"/>
              <w:left w:val="single" w:color="auto" w:sz="4" w:space="0"/>
              <w:bottom w:val="single" w:color="auto" w:sz="4" w:space="0"/>
              <w:right w:val="single" w:color="auto" w:sz="4" w:space="0"/>
            </w:tcBorders>
            <w:noWrap w:val="0"/>
            <w:vAlign w:val="center"/>
          </w:tcPr>
          <w:p w14:paraId="437DFCCE">
            <w:pPr>
              <w:spacing w:line="240" w:lineRule="atLeast"/>
              <w:ind w:firstLine="118" w:firstLineChars="49"/>
              <w:rPr>
                <w:rFonts w:hint="eastAsia" w:ascii="仿宋_GB2312" w:hAnsi="宋体" w:eastAsia="仿宋_GB2312" w:cs="宋体"/>
                <w:b/>
                <w:color w:val="auto"/>
                <w:kern w:val="0"/>
                <w:sz w:val="24"/>
                <w:highlight w:val="none"/>
              </w:rPr>
            </w:pPr>
            <w:r>
              <w:rPr>
                <w:rFonts w:hint="eastAsia" w:ascii="仿宋_GB2312" w:hAnsi="宋体" w:eastAsia="仿宋_GB2312" w:cs="宋体"/>
                <w:b/>
                <w:color w:val="auto"/>
                <w:kern w:val="0"/>
                <w:sz w:val="24"/>
                <w:highlight w:val="none"/>
              </w:rPr>
              <w:t>检查及扣分</w:t>
            </w:r>
          </w:p>
        </w:tc>
        <w:tc>
          <w:tcPr>
            <w:tcW w:w="2065" w:type="dxa"/>
            <w:tcBorders>
              <w:top w:val="single" w:color="auto" w:sz="4" w:space="0"/>
              <w:left w:val="single" w:color="auto" w:sz="4" w:space="0"/>
              <w:bottom w:val="single" w:color="auto" w:sz="4" w:space="0"/>
              <w:right w:val="single" w:color="auto" w:sz="4" w:space="0"/>
            </w:tcBorders>
            <w:noWrap w:val="0"/>
            <w:vAlign w:val="center"/>
          </w:tcPr>
          <w:p w14:paraId="1C85D29D">
            <w:pPr>
              <w:widowControl/>
              <w:spacing w:line="240" w:lineRule="atLeast"/>
              <w:jc w:val="center"/>
              <w:rPr>
                <w:rFonts w:hint="eastAsia" w:ascii="仿宋_GB2312" w:hAnsi="宋体" w:eastAsia="仿宋_GB2312" w:cs="宋体"/>
                <w:b/>
                <w:color w:val="auto"/>
                <w:kern w:val="0"/>
                <w:sz w:val="24"/>
                <w:highlight w:val="none"/>
              </w:rPr>
            </w:pPr>
            <w:r>
              <w:rPr>
                <w:rFonts w:hint="eastAsia" w:ascii="仿宋_GB2312" w:hAnsi="宋体" w:eastAsia="仿宋_GB2312" w:cs="宋体"/>
                <w:b/>
                <w:color w:val="auto"/>
                <w:kern w:val="0"/>
                <w:sz w:val="24"/>
                <w:highlight w:val="none"/>
              </w:rPr>
              <w:t>分项得分</w:t>
            </w:r>
          </w:p>
        </w:tc>
      </w:tr>
      <w:tr w14:paraId="2E1B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trPr>
        <w:tc>
          <w:tcPr>
            <w:tcW w:w="1191" w:type="dxa"/>
            <w:vMerge w:val="restart"/>
            <w:tcBorders>
              <w:top w:val="single" w:color="auto" w:sz="4" w:space="0"/>
              <w:left w:val="single" w:color="auto" w:sz="4" w:space="0"/>
              <w:right w:val="single" w:color="auto" w:sz="4" w:space="0"/>
            </w:tcBorders>
            <w:noWrap w:val="0"/>
            <w:vAlign w:val="center"/>
          </w:tcPr>
          <w:p w14:paraId="5F623704">
            <w:pPr>
              <w:widowControl/>
              <w:spacing w:line="240" w:lineRule="atLeast"/>
              <w:jc w:val="left"/>
              <w:rPr>
                <w:rFonts w:hint="eastAsia"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规范收运（80分）</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67DDBD70">
            <w:pPr>
              <w:widowControl/>
              <w:spacing w:line="240" w:lineRule="atLeast"/>
              <w:jc w:val="left"/>
              <w:rPr>
                <w:rFonts w:hint="eastAsia"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合同管理（8分）</w:t>
            </w:r>
          </w:p>
        </w:tc>
        <w:tc>
          <w:tcPr>
            <w:tcW w:w="2165" w:type="dxa"/>
            <w:tcBorders>
              <w:top w:val="single" w:color="auto" w:sz="4" w:space="0"/>
              <w:left w:val="single" w:color="auto" w:sz="4" w:space="0"/>
              <w:bottom w:val="single" w:color="auto" w:sz="4" w:space="0"/>
              <w:right w:val="single" w:color="auto" w:sz="4" w:space="0"/>
            </w:tcBorders>
            <w:noWrap w:val="0"/>
            <w:vAlign w:val="center"/>
          </w:tcPr>
          <w:p w14:paraId="587A81D9">
            <w:pPr>
              <w:widowControl/>
              <w:spacing w:line="240" w:lineRule="atLeast"/>
              <w:jc w:val="left"/>
              <w:rPr>
                <w:rFonts w:hint="eastAsia" w:ascii="仿宋_GB2312" w:hAnsi="宋体" w:eastAsia="仿宋_GB2312" w:cs="宋体"/>
                <w:color w:val="auto"/>
                <w:kern w:val="0"/>
                <w:sz w:val="24"/>
                <w:highlight w:val="none"/>
              </w:rPr>
            </w:pPr>
            <w:r>
              <w:rPr>
                <w:rFonts w:hint="eastAsia" w:ascii="仿宋_GB2312" w:hAnsi="宋体" w:eastAsia="仿宋_GB2312" w:cs="宋体"/>
                <w:color w:val="auto"/>
                <w:kern w:val="0"/>
                <w:szCs w:val="21"/>
                <w:highlight w:val="none"/>
              </w:rPr>
              <w:t>签订不规范、签约合同管理不善。</w:t>
            </w:r>
          </w:p>
        </w:tc>
        <w:tc>
          <w:tcPr>
            <w:tcW w:w="5232" w:type="dxa"/>
            <w:tcBorders>
              <w:top w:val="single" w:color="auto" w:sz="4" w:space="0"/>
              <w:left w:val="single" w:color="auto" w:sz="4" w:space="0"/>
              <w:bottom w:val="single" w:color="auto" w:sz="4" w:space="0"/>
              <w:right w:val="single" w:color="auto" w:sz="4" w:space="0"/>
            </w:tcBorders>
            <w:noWrap w:val="0"/>
            <w:vAlign w:val="center"/>
          </w:tcPr>
          <w:p w14:paraId="7F072FE5">
            <w:pPr>
              <w:widowControl/>
              <w:numPr>
                <w:ilvl w:val="0"/>
                <w:numId w:val="6"/>
              </w:numPr>
              <w:spacing w:line="240" w:lineRule="atLeast"/>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合同未建立一户一档的，每家（次）扣0.5分。</w:t>
            </w:r>
          </w:p>
          <w:p w14:paraId="69F10DB8">
            <w:pPr>
              <w:widowControl/>
              <w:numPr>
                <w:ilvl w:val="0"/>
                <w:numId w:val="6"/>
              </w:numPr>
              <w:spacing w:line="240" w:lineRule="atLeast"/>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合同未确定收运频次、垃圾桶发放的数量、签订日期等的，每家（次）扣0.5分。</w:t>
            </w:r>
          </w:p>
          <w:p w14:paraId="371517AF">
            <w:pPr>
              <w:widowControl/>
              <w:numPr>
                <w:ilvl w:val="0"/>
                <w:numId w:val="6"/>
              </w:numPr>
              <w:spacing w:line="240" w:lineRule="atLeast"/>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发现合同期满后未续签的，每家（次）扣0.5分。</w:t>
            </w:r>
          </w:p>
          <w:p w14:paraId="02B13AA9">
            <w:pPr>
              <w:widowControl/>
              <w:numPr>
                <w:ilvl w:val="0"/>
                <w:numId w:val="6"/>
              </w:numPr>
              <w:spacing w:line="240" w:lineRule="atLeast"/>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合同签订后（电子扫描件）未在七个工作日内报送监管方的，每次扣0.5分。</w:t>
            </w:r>
          </w:p>
          <w:p w14:paraId="040227ED">
            <w:pPr>
              <w:widowControl/>
              <w:numPr>
                <w:ilvl w:val="0"/>
                <w:numId w:val="6"/>
              </w:numPr>
              <w:spacing w:line="240" w:lineRule="atLeast"/>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因运营方自身因素或餐厨垃圾产生单位垃圾量较少等原因，拒绝签订合同的，每次扣0.5分</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4C63E644">
            <w:pPr>
              <w:widowControl/>
              <w:spacing w:line="240" w:lineRule="atLeast"/>
              <w:ind w:firstLine="315" w:firstLineChars="150"/>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看台帐</w:t>
            </w:r>
          </w:p>
        </w:tc>
        <w:tc>
          <w:tcPr>
            <w:tcW w:w="1697" w:type="dxa"/>
            <w:tcBorders>
              <w:top w:val="single" w:color="auto" w:sz="4" w:space="0"/>
              <w:left w:val="single" w:color="auto" w:sz="4" w:space="0"/>
              <w:bottom w:val="single" w:color="auto" w:sz="4" w:space="0"/>
              <w:right w:val="single" w:color="auto" w:sz="4" w:space="0"/>
            </w:tcBorders>
            <w:noWrap w:val="0"/>
            <w:vAlign w:val="center"/>
          </w:tcPr>
          <w:p w14:paraId="501FEF40">
            <w:pPr>
              <w:widowControl/>
              <w:spacing w:line="240" w:lineRule="atLeast"/>
              <w:ind w:firstLine="361" w:firstLineChars="150"/>
              <w:rPr>
                <w:rFonts w:hint="eastAsia" w:ascii="仿宋_GB2312" w:hAnsi="宋体" w:eastAsia="仿宋_GB2312" w:cs="宋体"/>
                <w:b/>
                <w:color w:val="auto"/>
                <w:kern w:val="0"/>
                <w:sz w:val="24"/>
                <w:highlight w:val="none"/>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14:paraId="34A55C77">
            <w:pPr>
              <w:widowControl/>
              <w:spacing w:line="240" w:lineRule="atLeast"/>
              <w:jc w:val="center"/>
              <w:rPr>
                <w:rFonts w:hint="eastAsia" w:ascii="仿宋_GB2312" w:hAnsi="宋体" w:eastAsia="仿宋_GB2312" w:cs="宋体"/>
                <w:b/>
                <w:color w:val="auto"/>
                <w:kern w:val="0"/>
                <w:sz w:val="24"/>
                <w:highlight w:val="none"/>
              </w:rPr>
            </w:pPr>
          </w:p>
        </w:tc>
      </w:tr>
      <w:tr w14:paraId="0A13A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191" w:type="dxa"/>
            <w:vMerge w:val="continue"/>
            <w:tcBorders>
              <w:left w:val="single" w:color="auto" w:sz="4" w:space="0"/>
              <w:right w:val="single" w:color="auto" w:sz="4" w:space="0"/>
            </w:tcBorders>
            <w:noWrap w:val="0"/>
            <w:vAlign w:val="center"/>
          </w:tcPr>
          <w:p w14:paraId="44E8211A">
            <w:pPr>
              <w:spacing w:line="240" w:lineRule="atLeast"/>
              <w:jc w:val="left"/>
              <w:rPr>
                <w:rFonts w:hint="eastAsia" w:ascii="仿宋_GB2312" w:hAnsi="宋体" w:eastAsia="仿宋_GB2312" w:cs="宋体"/>
                <w:b/>
                <w:color w:val="auto"/>
                <w:kern w:val="0"/>
                <w:sz w:val="24"/>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14:paraId="21B4412E">
            <w:pPr>
              <w:widowControl/>
              <w:spacing w:line="240" w:lineRule="atLeast"/>
              <w:jc w:val="center"/>
              <w:rPr>
                <w:rFonts w:hint="eastAsia"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盛装容器管理</w:t>
            </w:r>
          </w:p>
          <w:p w14:paraId="1A072E4C">
            <w:pPr>
              <w:widowControl/>
              <w:spacing w:line="240" w:lineRule="atLeast"/>
              <w:jc w:val="left"/>
              <w:rPr>
                <w:rFonts w:hint="eastAsia"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（15分）</w:t>
            </w:r>
          </w:p>
        </w:tc>
        <w:tc>
          <w:tcPr>
            <w:tcW w:w="2165" w:type="dxa"/>
            <w:tcBorders>
              <w:top w:val="single" w:color="auto" w:sz="4" w:space="0"/>
              <w:left w:val="single" w:color="auto" w:sz="4" w:space="0"/>
              <w:bottom w:val="single" w:color="auto" w:sz="4" w:space="0"/>
              <w:right w:val="single" w:color="auto" w:sz="4" w:space="0"/>
            </w:tcBorders>
            <w:noWrap w:val="0"/>
            <w:vAlign w:val="center"/>
          </w:tcPr>
          <w:p w14:paraId="0BE605B5">
            <w:pPr>
              <w:widowControl/>
              <w:spacing w:line="240" w:lineRule="atLeast"/>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维护收集容器和收运作业区环境整洁。</w:t>
            </w:r>
          </w:p>
        </w:tc>
        <w:tc>
          <w:tcPr>
            <w:tcW w:w="5232" w:type="dxa"/>
            <w:tcBorders>
              <w:top w:val="single" w:color="auto" w:sz="4" w:space="0"/>
              <w:left w:val="single" w:color="auto" w:sz="4" w:space="0"/>
              <w:bottom w:val="single" w:color="auto" w:sz="4" w:space="0"/>
              <w:right w:val="single" w:color="auto" w:sz="4" w:space="0"/>
            </w:tcBorders>
            <w:noWrap w:val="0"/>
            <w:vAlign w:val="center"/>
          </w:tcPr>
          <w:p w14:paraId="567FF100">
            <w:pPr>
              <w:widowControl/>
              <w:numPr>
                <w:ilvl w:val="0"/>
                <w:numId w:val="7"/>
              </w:numPr>
              <w:spacing w:line="240" w:lineRule="atLeast"/>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未给签订合同的餐饮单位配发足够的带电子标签的盛装容器，发现一次扣0.2分；</w:t>
            </w:r>
          </w:p>
          <w:p w14:paraId="2740C1B5">
            <w:pPr>
              <w:widowControl/>
              <w:numPr>
                <w:ilvl w:val="0"/>
                <w:numId w:val="7"/>
              </w:numPr>
              <w:spacing w:line="240" w:lineRule="atLeast"/>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盛装容器、电子标签有破损未及时更换，发现一次扣0.2分；</w:t>
            </w:r>
          </w:p>
          <w:p w14:paraId="6021853A">
            <w:pPr>
              <w:widowControl/>
              <w:numPr>
                <w:ilvl w:val="0"/>
                <w:numId w:val="7"/>
              </w:numPr>
              <w:spacing w:line="240" w:lineRule="atLeast"/>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发现作业人员未维护收集容器，收集容器、收运作业区环境不整洁，每处扣0.2分。</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1EACACAA">
            <w:pPr>
              <w:widowControl/>
              <w:spacing w:line="240" w:lineRule="atLeast"/>
              <w:ind w:left="315" w:leftChars="150"/>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查现场、看台帐</w:t>
            </w:r>
          </w:p>
        </w:tc>
        <w:tc>
          <w:tcPr>
            <w:tcW w:w="1697" w:type="dxa"/>
            <w:tcBorders>
              <w:top w:val="single" w:color="auto" w:sz="4" w:space="0"/>
              <w:left w:val="single" w:color="auto" w:sz="4" w:space="0"/>
              <w:bottom w:val="single" w:color="auto" w:sz="4" w:space="0"/>
              <w:right w:val="single" w:color="auto" w:sz="4" w:space="0"/>
            </w:tcBorders>
            <w:noWrap w:val="0"/>
            <w:vAlign w:val="center"/>
          </w:tcPr>
          <w:p w14:paraId="48A5EDC0">
            <w:pPr>
              <w:widowControl/>
              <w:spacing w:line="240" w:lineRule="atLeast"/>
              <w:ind w:firstLine="361" w:firstLineChars="150"/>
              <w:rPr>
                <w:rFonts w:hint="eastAsia" w:ascii="仿宋_GB2312" w:hAnsi="宋体" w:eastAsia="仿宋_GB2312" w:cs="宋体"/>
                <w:b/>
                <w:color w:val="auto"/>
                <w:kern w:val="0"/>
                <w:sz w:val="24"/>
                <w:highlight w:val="none"/>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14:paraId="747087A4">
            <w:pPr>
              <w:widowControl/>
              <w:spacing w:line="240" w:lineRule="atLeast"/>
              <w:jc w:val="center"/>
              <w:rPr>
                <w:rFonts w:hint="eastAsia" w:ascii="仿宋_GB2312" w:hAnsi="宋体" w:eastAsia="仿宋_GB2312" w:cs="宋体"/>
                <w:b/>
                <w:color w:val="auto"/>
                <w:kern w:val="0"/>
                <w:sz w:val="24"/>
                <w:highlight w:val="none"/>
              </w:rPr>
            </w:pPr>
          </w:p>
        </w:tc>
      </w:tr>
      <w:tr w14:paraId="5EBC4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191" w:type="dxa"/>
            <w:vMerge w:val="continue"/>
            <w:tcBorders>
              <w:left w:val="single" w:color="auto" w:sz="4" w:space="0"/>
              <w:right w:val="single" w:color="auto" w:sz="4" w:space="0"/>
            </w:tcBorders>
            <w:noWrap w:val="0"/>
            <w:vAlign w:val="center"/>
          </w:tcPr>
          <w:p w14:paraId="5A79026C">
            <w:pPr>
              <w:spacing w:line="240" w:lineRule="atLeast"/>
              <w:jc w:val="left"/>
              <w:rPr>
                <w:rFonts w:hint="eastAsia" w:ascii="仿宋_GB2312" w:hAnsi="宋体" w:eastAsia="仿宋_GB2312" w:cs="宋体"/>
                <w:color w:val="auto"/>
                <w:kern w:val="0"/>
                <w:sz w:val="24"/>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14:paraId="7A7B80D6">
            <w:pPr>
              <w:widowControl/>
              <w:spacing w:line="240" w:lineRule="atLeast"/>
              <w:jc w:val="center"/>
              <w:rPr>
                <w:rFonts w:hint="eastAsia"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人员管理（5分）</w:t>
            </w:r>
          </w:p>
        </w:tc>
        <w:tc>
          <w:tcPr>
            <w:tcW w:w="2165" w:type="dxa"/>
            <w:tcBorders>
              <w:top w:val="single" w:color="auto" w:sz="4" w:space="0"/>
              <w:left w:val="single" w:color="auto" w:sz="4" w:space="0"/>
              <w:bottom w:val="single" w:color="auto" w:sz="4" w:space="0"/>
              <w:right w:val="single" w:color="auto" w:sz="4" w:space="0"/>
            </w:tcBorders>
            <w:noWrap w:val="0"/>
            <w:vAlign w:val="center"/>
          </w:tcPr>
          <w:p w14:paraId="3E83A56D">
            <w:pPr>
              <w:widowControl/>
              <w:spacing w:line="240" w:lineRule="atLeast"/>
              <w:jc w:val="left"/>
              <w:rPr>
                <w:rFonts w:hint="eastAsia" w:ascii="仿宋_GB2312" w:hAnsi="宋体" w:eastAsia="仿宋_GB2312" w:cs="宋体"/>
                <w:b/>
                <w:color w:val="auto"/>
                <w:kern w:val="0"/>
                <w:sz w:val="24"/>
                <w:highlight w:val="none"/>
              </w:rPr>
            </w:pPr>
            <w:r>
              <w:rPr>
                <w:rFonts w:hint="eastAsia" w:ascii="仿宋_GB2312" w:hAnsi="宋体" w:eastAsia="仿宋_GB2312" w:cs="宋体"/>
                <w:color w:val="auto"/>
                <w:kern w:val="0"/>
                <w:szCs w:val="21"/>
                <w:highlight w:val="none"/>
              </w:rPr>
              <w:t>作业人员配证上岗，作业人员穿着统一的作业服装并穿戴整齐。</w:t>
            </w:r>
          </w:p>
        </w:tc>
        <w:tc>
          <w:tcPr>
            <w:tcW w:w="5232" w:type="dxa"/>
            <w:tcBorders>
              <w:top w:val="single" w:color="auto" w:sz="4" w:space="0"/>
              <w:left w:val="single" w:color="auto" w:sz="4" w:space="0"/>
              <w:bottom w:val="single" w:color="auto" w:sz="4" w:space="0"/>
              <w:right w:val="single" w:color="auto" w:sz="4" w:space="0"/>
            </w:tcBorders>
            <w:noWrap w:val="0"/>
            <w:vAlign w:val="center"/>
          </w:tcPr>
          <w:p w14:paraId="59987E28">
            <w:pPr>
              <w:widowControl/>
              <w:numPr>
                <w:ilvl w:val="0"/>
                <w:numId w:val="8"/>
              </w:numPr>
              <w:spacing w:line="240" w:lineRule="atLeast"/>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未配证上岗的，每人（次）扣0.5分；</w:t>
            </w:r>
          </w:p>
          <w:p w14:paraId="0C80208B">
            <w:pPr>
              <w:widowControl/>
              <w:numPr>
                <w:ilvl w:val="0"/>
                <w:numId w:val="8"/>
              </w:numPr>
              <w:spacing w:line="240" w:lineRule="atLeast"/>
              <w:jc w:val="left"/>
              <w:rPr>
                <w:rFonts w:hint="eastAsia" w:ascii="仿宋_GB2312" w:hAnsi="宋体" w:eastAsia="仿宋_GB2312" w:cs="宋体"/>
                <w:b/>
                <w:color w:val="auto"/>
                <w:kern w:val="0"/>
                <w:sz w:val="24"/>
                <w:highlight w:val="none"/>
              </w:rPr>
            </w:pPr>
            <w:r>
              <w:rPr>
                <w:rFonts w:hint="eastAsia" w:ascii="仿宋_GB2312" w:hAnsi="宋体" w:eastAsia="仿宋_GB2312" w:cs="宋体"/>
                <w:color w:val="auto"/>
                <w:kern w:val="0"/>
                <w:szCs w:val="21"/>
                <w:highlight w:val="none"/>
              </w:rPr>
              <w:t>未统一着装或穿戴不整齐的，每人（次）扣0.5分；</w:t>
            </w:r>
          </w:p>
          <w:p w14:paraId="3540D25B">
            <w:pPr>
              <w:widowControl/>
              <w:numPr>
                <w:ilvl w:val="0"/>
                <w:numId w:val="8"/>
              </w:numPr>
              <w:spacing w:line="240" w:lineRule="atLeast"/>
              <w:jc w:val="left"/>
              <w:rPr>
                <w:rFonts w:hint="eastAsia" w:ascii="仿宋_GB2312" w:hAnsi="宋体" w:eastAsia="仿宋_GB2312" w:cs="宋体"/>
                <w:b/>
                <w:color w:val="auto"/>
                <w:kern w:val="0"/>
                <w:sz w:val="24"/>
                <w:highlight w:val="none"/>
              </w:rPr>
            </w:pPr>
            <w:r>
              <w:rPr>
                <w:rFonts w:hint="eastAsia" w:ascii="仿宋_GB2312" w:hAnsi="宋体" w:eastAsia="仿宋_GB2312" w:cs="宋体"/>
                <w:color w:val="auto"/>
                <w:kern w:val="0"/>
                <w:szCs w:val="21"/>
                <w:highlight w:val="none"/>
              </w:rPr>
              <w:t>作业人员态度粗暴、行为恶劣的，每人（次）扣0.5分。</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64F7CADB">
            <w:pPr>
              <w:widowControl/>
              <w:spacing w:line="240" w:lineRule="atLeast"/>
              <w:ind w:firstLine="315" w:firstLineChars="150"/>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查现场</w:t>
            </w:r>
          </w:p>
        </w:tc>
        <w:tc>
          <w:tcPr>
            <w:tcW w:w="1697" w:type="dxa"/>
            <w:tcBorders>
              <w:top w:val="single" w:color="auto" w:sz="4" w:space="0"/>
              <w:left w:val="single" w:color="auto" w:sz="4" w:space="0"/>
              <w:bottom w:val="single" w:color="auto" w:sz="4" w:space="0"/>
              <w:right w:val="single" w:color="auto" w:sz="4" w:space="0"/>
            </w:tcBorders>
            <w:noWrap w:val="0"/>
            <w:vAlign w:val="center"/>
          </w:tcPr>
          <w:p w14:paraId="7093AF5F">
            <w:pPr>
              <w:widowControl/>
              <w:spacing w:line="240" w:lineRule="atLeast"/>
              <w:ind w:firstLine="361" w:firstLineChars="150"/>
              <w:rPr>
                <w:rFonts w:hint="eastAsia" w:ascii="仿宋_GB2312" w:hAnsi="宋体" w:eastAsia="仿宋_GB2312" w:cs="宋体"/>
                <w:b/>
                <w:color w:val="auto"/>
                <w:kern w:val="0"/>
                <w:sz w:val="24"/>
                <w:highlight w:val="none"/>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14:paraId="79252FAE">
            <w:pPr>
              <w:widowControl/>
              <w:spacing w:line="240" w:lineRule="atLeast"/>
              <w:jc w:val="center"/>
              <w:rPr>
                <w:rFonts w:hint="eastAsia" w:ascii="仿宋_GB2312" w:hAnsi="宋体" w:eastAsia="仿宋_GB2312" w:cs="宋体"/>
                <w:b/>
                <w:color w:val="auto"/>
                <w:kern w:val="0"/>
                <w:sz w:val="24"/>
                <w:highlight w:val="none"/>
              </w:rPr>
            </w:pPr>
          </w:p>
        </w:tc>
      </w:tr>
      <w:tr w14:paraId="3DF80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91" w:type="dxa"/>
            <w:vMerge w:val="continue"/>
            <w:tcBorders>
              <w:left w:val="single" w:color="auto" w:sz="4" w:space="0"/>
              <w:right w:val="single" w:color="auto" w:sz="4" w:space="0"/>
            </w:tcBorders>
            <w:noWrap w:val="0"/>
            <w:vAlign w:val="center"/>
          </w:tcPr>
          <w:p w14:paraId="6AC03987">
            <w:pPr>
              <w:spacing w:line="240" w:lineRule="atLeast"/>
              <w:jc w:val="left"/>
              <w:rPr>
                <w:rFonts w:hint="eastAsia" w:ascii="仿宋_GB2312" w:hAnsi="宋体" w:eastAsia="仿宋_GB2312" w:cs="宋体"/>
                <w:b/>
                <w:color w:val="auto"/>
                <w:kern w:val="0"/>
                <w:sz w:val="24"/>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14:paraId="07DF9BA1">
            <w:pPr>
              <w:widowControl/>
              <w:spacing w:line="240" w:lineRule="atLeast"/>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安全行驶（10分）</w:t>
            </w:r>
          </w:p>
        </w:tc>
        <w:tc>
          <w:tcPr>
            <w:tcW w:w="2165" w:type="dxa"/>
            <w:tcBorders>
              <w:top w:val="single" w:color="auto" w:sz="4" w:space="0"/>
              <w:left w:val="single" w:color="auto" w:sz="4" w:space="0"/>
              <w:bottom w:val="single" w:color="auto" w:sz="4" w:space="0"/>
              <w:right w:val="single" w:color="auto" w:sz="4" w:space="0"/>
            </w:tcBorders>
            <w:noWrap w:val="0"/>
            <w:vAlign w:val="center"/>
          </w:tcPr>
          <w:p w14:paraId="66038689">
            <w:pPr>
              <w:widowControl/>
              <w:spacing w:line="240" w:lineRule="atLeast"/>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收运过程中车辆停靠不得妨碍道路交通，收运作业过程中车辆须文明驾驶，遵守交通规则；收运作业期间无人员伤亡或重大车辆事故发生。</w:t>
            </w:r>
          </w:p>
        </w:tc>
        <w:tc>
          <w:tcPr>
            <w:tcW w:w="5232" w:type="dxa"/>
            <w:tcBorders>
              <w:top w:val="single" w:color="auto" w:sz="4" w:space="0"/>
              <w:left w:val="single" w:color="auto" w:sz="4" w:space="0"/>
              <w:bottom w:val="single" w:color="auto" w:sz="4" w:space="0"/>
              <w:right w:val="single" w:color="auto" w:sz="4" w:space="0"/>
            </w:tcBorders>
            <w:noWrap w:val="0"/>
            <w:vAlign w:val="center"/>
          </w:tcPr>
          <w:p w14:paraId="6ABFE121">
            <w:pPr>
              <w:widowControl/>
              <w:numPr>
                <w:ilvl w:val="0"/>
                <w:numId w:val="9"/>
              </w:numPr>
              <w:spacing w:line="240" w:lineRule="atLeast"/>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发现车辆停靠妨碍道路交通并造成严重堵塞、未文明驾驶、野蛮行车等违反交通规则的，每车次扣2分。</w:t>
            </w:r>
          </w:p>
          <w:p w14:paraId="37866760">
            <w:pPr>
              <w:widowControl/>
              <w:numPr>
                <w:ilvl w:val="0"/>
                <w:numId w:val="9"/>
              </w:numPr>
              <w:spacing w:line="240" w:lineRule="atLeast"/>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若出现人员伤亡或重大车辆事故且负主要责任的，扣5分；</w:t>
            </w:r>
          </w:p>
          <w:p w14:paraId="093014B5">
            <w:pPr>
              <w:widowControl/>
              <w:numPr>
                <w:ilvl w:val="0"/>
                <w:numId w:val="9"/>
              </w:numPr>
              <w:spacing w:line="240" w:lineRule="atLeast"/>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发现未报、瞒报、迟报安全责任事故的，扣5分。</w:t>
            </w:r>
          </w:p>
          <w:p w14:paraId="510947C6">
            <w:pPr>
              <w:widowControl/>
              <w:numPr>
                <w:ilvl w:val="0"/>
                <w:numId w:val="9"/>
              </w:numPr>
              <w:spacing w:line="240" w:lineRule="atLeast"/>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每月定期开展驾驶员安全教育工作，未开展一次扣</w:t>
            </w:r>
          </w:p>
          <w:p w14:paraId="2C3E5BCD">
            <w:pPr>
              <w:widowControl/>
              <w:spacing w:line="240" w:lineRule="atLeast"/>
              <w:ind w:firstLine="420" w:firstLineChars="200"/>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2分。</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19AE1091">
            <w:pPr>
              <w:widowControl/>
              <w:spacing w:line="240" w:lineRule="atLeast"/>
              <w:ind w:left="315" w:leftChars="150"/>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查现场、看台帐</w:t>
            </w:r>
          </w:p>
        </w:tc>
        <w:tc>
          <w:tcPr>
            <w:tcW w:w="1697" w:type="dxa"/>
            <w:tcBorders>
              <w:top w:val="single" w:color="auto" w:sz="4" w:space="0"/>
              <w:left w:val="single" w:color="auto" w:sz="4" w:space="0"/>
              <w:bottom w:val="single" w:color="auto" w:sz="4" w:space="0"/>
              <w:right w:val="single" w:color="auto" w:sz="4" w:space="0"/>
            </w:tcBorders>
            <w:noWrap w:val="0"/>
            <w:vAlign w:val="center"/>
          </w:tcPr>
          <w:p w14:paraId="62B97A66">
            <w:pPr>
              <w:widowControl/>
              <w:spacing w:line="240" w:lineRule="atLeast"/>
              <w:ind w:firstLine="361" w:firstLineChars="150"/>
              <w:rPr>
                <w:rFonts w:hint="eastAsia" w:ascii="仿宋_GB2312" w:hAnsi="宋体" w:eastAsia="仿宋_GB2312" w:cs="宋体"/>
                <w:b/>
                <w:color w:val="auto"/>
                <w:kern w:val="0"/>
                <w:sz w:val="24"/>
                <w:highlight w:val="none"/>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14:paraId="49E0ADCD">
            <w:pPr>
              <w:widowControl/>
              <w:spacing w:line="240" w:lineRule="atLeast"/>
              <w:jc w:val="center"/>
              <w:rPr>
                <w:rFonts w:hint="eastAsia" w:ascii="仿宋_GB2312" w:hAnsi="宋体" w:eastAsia="仿宋_GB2312" w:cs="宋体"/>
                <w:b/>
                <w:color w:val="auto"/>
                <w:kern w:val="0"/>
                <w:sz w:val="24"/>
                <w:highlight w:val="none"/>
              </w:rPr>
            </w:pPr>
          </w:p>
        </w:tc>
      </w:tr>
      <w:tr w14:paraId="28FE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191" w:type="dxa"/>
            <w:vMerge w:val="continue"/>
            <w:tcBorders>
              <w:left w:val="single" w:color="auto" w:sz="4" w:space="0"/>
              <w:right w:val="single" w:color="auto" w:sz="4" w:space="0"/>
            </w:tcBorders>
            <w:noWrap w:val="0"/>
            <w:vAlign w:val="center"/>
          </w:tcPr>
          <w:p w14:paraId="16A5BDB9">
            <w:pPr>
              <w:widowControl/>
              <w:spacing w:line="240" w:lineRule="atLeast"/>
              <w:jc w:val="left"/>
              <w:rPr>
                <w:rFonts w:hint="eastAsia" w:ascii="仿宋_GB2312" w:hAnsi="宋体" w:eastAsia="仿宋_GB2312" w:cs="宋体"/>
                <w:color w:val="auto"/>
                <w:kern w:val="0"/>
                <w:sz w:val="24"/>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14:paraId="474C2EF9">
            <w:pPr>
              <w:widowControl/>
              <w:spacing w:line="240" w:lineRule="atLeast"/>
              <w:jc w:val="left"/>
              <w:rPr>
                <w:rFonts w:hint="eastAsia" w:ascii="仿宋_GB2312" w:hAnsi="宋体" w:eastAsia="仿宋_GB2312" w:cs="仿宋_GB2312"/>
                <w:color w:val="auto"/>
                <w:kern w:val="0"/>
                <w:szCs w:val="21"/>
                <w:highlight w:val="none"/>
              </w:rPr>
            </w:pPr>
            <w:r>
              <w:rPr>
                <w:rFonts w:hint="eastAsia" w:ascii="仿宋_GB2312" w:hAnsi="宋体" w:eastAsia="仿宋_GB2312" w:cs="仿宋_GB2312"/>
                <w:color w:val="auto"/>
                <w:kern w:val="0"/>
                <w:szCs w:val="21"/>
                <w:highlight w:val="none"/>
              </w:rPr>
              <w:t>车辆管理</w:t>
            </w:r>
          </w:p>
          <w:p w14:paraId="0A384A3C">
            <w:pPr>
              <w:widowControl/>
              <w:spacing w:line="240" w:lineRule="atLeast"/>
              <w:jc w:val="left"/>
              <w:rPr>
                <w:rFonts w:hint="eastAsia" w:ascii="仿宋_GB2312" w:hAnsi="宋体" w:eastAsia="仿宋_GB2312" w:cs="宋体"/>
                <w:color w:val="auto"/>
                <w:kern w:val="0"/>
                <w:szCs w:val="21"/>
                <w:highlight w:val="none"/>
              </w:rPr>
            </w:pPr>
            <w:r>
              <w:rPr>
                <w:rFonts w:hint="eastAsia" w:ascii="仿宋_GB2312" w:hAnsi="宋体" w:eastAsia="仿宋_GB2312" w:cs="仿宋_GB2312"/>
                <w:color w:val="auto"/>
                <w:kern w:val="0"/>
                <w:szCs w:val="21"/>
                <w:highlight w:val="none"/>
              </w:rPr>
              <w:t>（5分）</w:t>
            </w:r>
          </w:p>
        </w:tc>
        <w:tc>
          <w:tcPr>
            <w:tcW w:w="2165" w:type="dxa"/>
            <w:tcBorders>
              <w:top w:val="single" w:color="auto" w:sz="4" w:space="0"/>
              <w:left w:val="single" w:color="auto" w:sz="4" w:space="0"/>
              <w:right w:val="single" w:color="auto" w:sz="4" w:space="0"/>
            </w:tcBorders>
            <w:noWrap w:val="0"/>
            <w:vAlign w:val="center"/>
          </w:tcPr>
          <w:p w14:paraId="0E3DAAC5">
            <w:pPr>
              <w:widowControl/>
              <w:tabs>
                <w:tab w:val="left" w:pos="720"/>
              </w:tabs>
              <w:spacing w:line="240" w:lineRule="atLeast"/>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保持车况良好、车容车貌整洁、密闭化运输。</w:t>
            </w:r>
          </w:p>
        </w:tc>
        <w:tc>
          <w:tcPr>
            <w:tcW w:w="5232" w:type="dxa"/>
            <w:tcBorders>
              <w:top w:val="single" w:color="auto" w:sz="4" w:space="0"/>
              <w:left w:val="single" w:color="auto" w:sz="4" w:space="0"/>
              <w:right w:val="single" w:color="auto" w:sz="4" w:space="0"/>
            </w:tcBorders>
            <w:noWrap w:val="0"/>
            <w:vAlign w:val="center"/>
          </w:tcPr>
          <w:p w14:paraId="60987AA2">
            <w:pPr>
              <w:widowControl/>
              <w:numPr>
                <w:ilvl w:val="0"/>
                <w:numId w:val="10"/>
              </w:numPr>
              <w:spacing w:line="240" w:lineRule="exact"/>
              <w:ind w:left="357" w:hanging="357"/>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车容车貌不洁或出现滴、洒、漏情况，每辆（次）扣0.5分。</w:t>
            </w:r>
          </w:p>
          <w:p w14:paraId="0ECF788A">
            <w:pPr>
              <w:widowControl/>
              <w:numPr>
                <w:ilvl w:val="0"/>
                <w:numId w:val="10"/>
              </w:numPr>
              <w:spacing w:line="240" w:lineRule="exact"/>
              <w:ind w:left="357" w:hanging="357"/>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发现收运车辆喷涂的餐厨垃圾标识、监督号码、颜色模糊不清的，未及时维护更新的，每辆（次）扣0.5分。</w:t>
            </w:r>
          </w:p>
          <w:p w14:paraId="1AF15181">
            <w:pPr>
              <w:widowControl/>
              <w:spacing w:line="240" w:lineRule="exact"/>
              <w:ind w:left="357"/>
              <w:jc w:val="left"/>
              <w:rPr>
                <w:rFonts w:hint="eastAsia" w:ascii="仿宋_GB2312" w:hAnsi="宋体" w:eastAsia="仿宋_GB2312" w:cs="宋体"/>
                <w:color w:val="auto"/>
                <w:kern w:val="0"/>
                <w:szCs w:val="21"/>
                <w:highlight w:val="none"/>
              </w:rPr>
            </w:pPr>
          </w:p>
        </w:tc>
        <w:tc>
          <w:tcPr>
            <w:tcW w:w="1443" w:type="dxa"/>
            <w:tcBorders>
              <w:top w:val="single" w:color="auto" w:sz="4" w:space="0"/>
              <w:left w:val="single" w:color="auto" w:sz="4" w:space="0"/>
              <w:right w:val="single" w:color="auto" w:sz="4" w:space="0"/>
            </w:tcBorders>
            <w:noWrap w:val="0"/>
            <w:vAlign w:val="center"/>
          </w:tcPr>
          <w:p w14:paraId="0DFEAC7A">
            <w:pPr>
              <w:widowControl/>
              <w:spacing w:line="240" w:lineRule="atLeast"/>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查现场</w:t>
            </w:r>
          </w:p>
        </w:tc>
        <w:tc>
          <w:tcPr>
            <w:tcW w:w="1697" w:type="dxa"/>
            <w:tcBorders>
              <w:top w:val="single" w:color="auto" w:sz="4" w:space="0"/>
              <w:left w:val="single" w:color="auto" w:sz="4" w:space="0"/>
              <w:right w:val="single" w:color="auto" w:sz="4" w:space="0"/>
            </w:tcBorders>
            <w:noWrap w:val="0"/>
            <w:vAlign w:val="center"/>
          </w:tcPr>
          <w:p w14:paraId="38148ADA">
            <w:pPr>
              <w:widowControl/>
              <w:spacing w:line="240" w:lineRule="atLeast"/>
              <w:jc w:val="left"/>
              <w:rPr>
                <w:rFonts w:hint="eastAsia" w:ascii="仿宋_GB2312" w:hAnsi="宋体" w:eastAsia="仿宋_GB2312" w:cs="宋体"/>
                <w:color w:val="auto"/>
                <w:kern w:val="0"/>
                <w:szCs w:val="21"/>
                <w:highlight w:val="none"/>
              </w:rPr>
            </w:pPr>
          </w:p>
        </w:tc>
        <w:tc>
          <w:tcPr>
            <w:tcW w:w="2065" w:type="dxa"/>
            <w:tcBorders>
              <w:top w:val="single" w:color="auto" w:sz="4" w:space="0"/>
              <w:left w:val="single" w:color="auto" w:sz="4" w:space="0"/>
              <w:right w:val="single" w:color="auto" w:sz="4" w:space="0"/>
            </w:tcBorders>
            <w:noWrap w:val="0"/>
            <w:vAlign w:val="center"/>
          </w:tcPr>
          <w:p w14:paraId="309DD956">
            <w:pPr>
              <w:widowControl/>
              <w:spacing w:line="240" w:lineRule="atLeast"/>
              <w:jc w:val="left"/>
              <w:rPr>
                <w:rFonts w:hint="eastAsia" w:ascii="仿宋_GB2312" w:hAnsi="宋体" w:eastAsia="仿宋_GB2312" w:cs="宋体"/>
                <w:color w:val="auto"/>
                <w:kern w:val="0"/>
                <w:szCs w:val="21"/>
                <w:highlight w:val="none"/>
              </w:rPr>
            </w:pPr>
          </w:p>
        </w:tc>
      </w:tr>
      <w:tr w14:paraId="46E0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191" w:type="dxa"/>
            <w:vMerge w:val="continue"/>
            <w:tcBorders>
              <w:left w:val="single" w:color="auto" w:sz="4" w:space="0"/>
              <w:right w:val="single" w:color="auto" w:sz="4" w:space="0"/>
            </w:tcBorders>
            <w:noWrap w:val="0"/>
            <w:vAlign w:val="center"/>
          </w:tcPr>
          <w:p w14:paraId="71A4D21B">
            <w:pPr>
              <w:widowControl/>
              <w:spacing w:line="240" w:lineRule="atLeast"/>
              <w:jc w:val="left"/>
              <w:rPr>
                <w:rFonts w:hint="eastAsia" w:ascii="仿宋_GB2312" w:hAnsi="宋体" w:eastAsia="仿宋_GB2312" w:cs="宋体"/>
                <w:color w:val="auto"/>
                <w:kern w:val="0"/>
                <w:sz w:val="24"/>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14:paraId="7981A2A7">
            <w:pPr>
              <w:widowControl/>
              <w:spacing w:line="240" w:lineRule="atLeast"/>
              <w:jc w:val="left"/>
              <w:rPr>
                <w:rFonts w:hint="eastAsia" w:ascii="仿宋_GB2312" w:hAnsi="宋体" w:eastAsia="仿宋_GB2312" w:cs="仿宋_GB2312"/>
                <w:color w:val="auto"/>
                <w:kern w:val="0"/>
                <w:szCs w:val="21"/>
                <w:highlight w:val="none"/>
              </w:rPr>
            </w:pPr>
            <w:r>
              <w:rPr>
                <w:rFonts w:hint="eastAsia" w:ascii="仿宋_GB2312" w:hAnsi="宋体" w:eastAsia="仿宋_GB2312" w:cs="仿宋_GB2312"/>
                <w:color w:val="auto"/>
                <w:kern w:val="0"/>
                <w:szCs w:val="21"/>
                <w:highlight w:val="none"/>
              </w:rPr>
              <w:t>运行管理</w:t>
            </w:r>
          </w:p>
          <w:p w14:paraId="45C5C1F9">
            <w:pPr>
              <w:widowControl/>
              <w:spacing w:line="240" w:lineRule="atLeast"/>
              <w:jc w:val="left"/>
              <w:rPr>
                <w:rFonts w:hint="eastAsia" w:ascii="仿宋_GB2312" w:hAnsi="宋体" w:eastAsia="仿宋_GB2312" w:cs="仿宋_GB2312"/>
                <w:color w:val="auto"/>
                <w:kern w:val="0"/>
                <w:szCs w:val="21"/>
                <w:highlight w:val="none"/>
              </w:rPr>
            </w:pPr>
            <w:r>
              <w:rPr>
                <w:rFonts w:hint="eastAsia" w:ascii="仿宋_GB2312" w:hAnsi="宋体" w:eastAsia="仿宋_GB2312" w:cs="仿宋_GB2312"/>
                <w:color w:val="auto"/>
                <w:kern w:val="0"/>
                <w:szCs w:val="21"/>
                <w:highlight w:val="none"/>
              </w:rPr>
              <w:t>（12分）</w:t>
            </w:r>
          </w:p>
        </w:tc>
        <w:tc>
          <w:tcPr>
            <w:tcW w:w="2165" w:type="dxa"/>
            <w:tcBorders>
              <w:left w:val="single" w:color="auto" w:sz="4" w:space="0"/>
              <w:bottom w:val="single" w:color="auto" w:sz="4" w:space="0"/>
              <w:right w:val="single" w:color="auto" w:sz="4" w:space="0"/>
            </w:tcBorders>
            <w:noWrap w:val="0"/>
            <w:vAlign w:val="center"/>
          </w:tcPr>
          <w:p w14:paraId="066D8ED1">
            <w:pPr>
              <w:widowControl/>
              <w:tabs>
                <w:tab w:val="left" w:pos="720"/>
              </w:tabs>
              <w:spacing w:line="240" w:lineRule="atLeast"/>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规范收运线路，加强对签约合同的管理。</w:t>
            </w:r>
          </w:p>
        </w:tc>
        <w:tc>
          <w:tcPr>
            <w:tcW w:w="5232" w:type="dxa"/>
            <w:tcBorders>
              <w:left w:val="single" w:color="auto" w:sz="4" w:space="0"/>
              <w:bottom w:val="single" w:color="auto" w:sz="4" w:space="0"/>
              <w:right w:val="single" w:color="auto" w:sz="4" w:space="0"/>
            </w:tcBorders>
            <w:noWrap w:val="0"/>
            <w:vAlign w:val="top"/>
          </w:tcPr>
          <w:p w14:paraId="6ED53CD2">
            <w:pPr>
              <w:widowControl/>
              <w:numPr>
                <w:ilvl w:val="0"/>
                <w:numId w:val="11"/>
              </w:numPr>
              <w:spacing w:line="240" w:lineRule="exact"/>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定期做好内部运行考核工作，并做好台账记录，考核不到位或记录不完善每次扣0.5分。</w:t>
            </w:r>
          </w:p>
          <w:p w14:paraId="24D8BEB8">
            <w:pPr>
              <w:widowControl/>
              <w:numPr>
                <w:ilvl w:val="0"/>
                <w:numId w:val="11"/>
              </w:numPr>
              <w:spacing w:line="240" w:lineRule="exact"/>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监管方开具《整改通知书》后，运营方应在整改期限内完成，逾期一天扣1分。</w:t>
            </w:r>
          </w:p>
          <w:p w14:paraId="0F1C1991">
            <w:pPr>
              <w:widowControl/>
              <w:numPr>
                <w:ilvl w:val="0"/>
                <w:numId w:val="11"/>
              </w:numPr>
              <w:spacing w:line="240" w:lineRule="exact"/>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未经批准，随意变更收运范围、调整收运线路的，每辆（次）扣1分。</w:t>
            </w:r>
          </w:p>
          <w:p w14:paraId="6447E2BA">
            <w:pPr>
              <w:widowControl/>
              <w:numPr>
                <w:ilvl w:val="0"/>
                <w:numId w:val="11"/>
              </w:numPr>
              <w:spacing w:line="240" w:lineRule="exact"/>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未建立、更新和报送车辆档案、收运线路、频次等信息，每辆（次）扣1分。</w:t>
            </w:r>
          </w:p>
          <w:p w14:paraId="6224EA5A">
            <w:pPr>
              <w:widowControl/>
              <w:numPr>
                <w:ilvl w:val="0"/>
                <w:numId w:val="11"/>
              </w:numPr>
              <w:spacing w:line="240" w:lineRule="exact"/>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未按规定收运频次对餐饮单位进行收运的，每家（次）扣1分。</w:t>
            </w:r>
          </w:p>
          <w:p w14:paraId="3ADACE73">
            <w:pPr>
              <w:widowControl/>
              <w:numPr>
                <w:ilvl w:val="0"/>
                <w:numId w:val="11"/>
              </w:numPr>
              <w:spacing w:line="240" w:lineRule="exact"/>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因运营方自身因素或餐厨垃圾产生单位垃圾量较少等原因，拒绝履行合同进行收运的，每次扣1分。</w:t>
            </w:r>
          </w:p>
        </w:tc>
        <w:tc>
          <w:tcPr>
            <w:tcW w:w="1443" w:type="dxa"/>
            <w:tcBorders>
              <w:left w:val="single" w:color="auto" w:sz="4" w:space="0"/>
              <w:bottom w:val="single" w:color="auto" w:sz="4" w:space="0"/>
              <w:right w:val="single" w:color="auto" w:sz="4" w:space="0"/>
            </w:tcBorders>
            <w:noWrap w:val="0"/>
            <w:vAlign w:val="center"/>
          </w:tcPr>
          <w:p w14:paraId="3102ED31">
            <w:pPr>
              <w:widowControl/>
              <w:spacing w:line="240" w:lineRule="atLeast"/>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查现场、</w:t>
            </w:r>
          </w:p>
          <w:p w14:paraId="79052E3A">
            <w:pPr>
              <w:widowControl/>
              <w:spacing w:line="240" w:lineRule="atLeast"/>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看台帐</w:t>
            </w:r>
          </w:p>
        </w:tc>
        <w:tc>
          <w:tcPr>
            <w:tcW w:w="1697" w:type="dxa"/>
            <w:tcBorders>
              <w:left w:val="single" w:color="auto" w:sz="4" w:space="0"/>
              <w:bottom w:val="single" w:color="auto" w:sz="4" w:space="0"/>
              <w:right w:val="single" w:color="auto" w:sz="4" w:space="0"/>
            </w:tcBorders>
            <w:noWrap w:val="0"/>
            <w:vAlign w:val="center"/>
          </w:tcPr>
          <w:p w14:paraId="21BC2130">
            <w:pPr>
              <w:widowControl/>
              <w:spacing w:line="240" w:lineRule="atLeast"/>
              <w:jc w:val="left"/>
              <w:rPr>
                <w:rFonts w:hint="eastAsia" w:ascii="仿宋_GB2312" w:hAnsi="宋体" w:eastAsia="仿宋_GB2312" w:cs="宋体"/>
                <w:color w:val="auto"/>
                <w:kern w:val="0"/>
                <w:szCs w:val="21"/>
                <w:highlight w:val="none"/>
              </w:rPr>
            </w:pPr>
          </w:p>
        </w:tc>
        <w:tc>
          <w:tcPr>
            <w:tcW w:w="2065" w:type="dxa"/>
            <w:tcBorders>
              <w:left w:val="single" w:color="auto" w:sz="4" w:space="0"/>
              <w:bottom w:val="single" w:color="auto" w:sz="4" w:space="0"/>
              <w:right w:val="single" w:color="auto" w:sz="4" w:space="0"/>
            </w:tcBorders>
            <w:noWrap w:val="0"/>
            <w:vAlign w:val="center"/>
          </w:tcPr>
          <w:p w14:paraId="2C73E90A">
            <w:pPr>
              <w:widowControl/>
              <w:spacing w:line="240" w:lineRule="atLeast"/>
              <w:jc w:val="left"/>
              <w:rPr>
                <w:rFonts w:hint="eastAsia" w:ascii="仿宋_GB2312" w:hAnsi="宋体" w:eastAsia="仿宋_GB2312" w:cs="宋体"/>
                <w:color w:val="auto"/>
                <w:kern w:val="0"/>
                <w:szCs w:val="21"/>
                <w:highlight w:val="none"/>
              </w:rPr>
            </w:pPr>
          </w:p>
        </w:tc>
      </w:tr>
      <w:tr w14:paraId="12AC5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91" w:type="dxa"/>
            <w:vMerge w:val="continue"/>
            <w:tcBorders>
              <w:left w:val="single" w:color="auto" w:sz="4" w:space="0"/>
              <w:right w:val="single" w:color="auto" w:sz="4" w:space="0"/>
            </w:tcBorders>
            <w:noWrap w:val="0"/>
            <w:vAlign w:val="center"/>
          </w:tcPr>
          <w:p w14:paraId="25E1ADC3">
            <w:pPr>
              <w:widowControl/>
              <w:spacing w:line="240" w:lineRule="atLeast"/>
              <w:jc w:val="left"/>
              <w:rPr>
                <w:rFonts w:hint="eastAsia" w:ascii="仿宋_GB2312" w:hAnsi="宋体" w:eastAsia="仿宋_GB2312" w:cs="宋体"/>
                <w:color w:val="auto"/>
                <w:kern w:val="0"/>
                <w:sz w:val="24"/>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14:paraId="79D79072">
            <w:pPr>
              <w:widowControl/>
              <w:spacing w:line="240" w:lineRule="atLeast"/>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台账登记</w:t>
            </w:r>
          </w:p>
          <w:p w14:paraId="1EADC861">
            <w:pPr>
              <w:widowControl/>
              <w:spacing w:line="240" w:lineRule="atLeast"/>
              <w:jc w:val="left"/>
              <w:rPr>
                <w:rFonts w:hint="eastAsia" w:ascii="仿宋_GB2312" w:hAnsi="宋体" w:eastAsia="仿宋_GB2312" w:cs="宋体"/>
                <w:color w:val="auto"/>
                <w:kern w:val="0"/>
                <w:sz w:val="24"/>
                <w:highlight w:val="none"/>
              </w:rPr>
            </w:pPr>
            <w:r>
              <w:rPr>
                <w:rFonts w:hint="eastAsia" w:ascii="仿宋_GB2312" w:hAnsi="宋体" w:eastAsia="仿宋_GB2312" w:cs="宋体"/>
                <w:color w:val="auto"/>
                <w:kern w:val="0"/>
                <w:szCs w:val="21"/>
                <w:highlight w:val="none"/>
              </w:rPr>
              <w:t>（10分）</w:t>
            </w:r>
          </w:p>
        </w:tc>
        <w:tc>
          <w:tcPr>
            <w:tcW w:w="2165" w:type="dxa"/>
            <w:tcBorders>
              <w:top w:val="single" w:color="auto" w:sz="4" w:space="0"/>
              <w:left w:val="single" w:color="auto" w:sz="4" w:space="0"/>
              <w:bottom w:val="single" w:color="auto" w:sz="4" w:space="0"/>
              <w:right w:val="single" w:color="auto" w:sz="4" w:space="0"/>
            </w:tcBorders>
            <w:noWrap w:val="0"/>
            <w:vAlign w:val="center"/>
          </w:tcPr>
          <w:p w14:paraId="017CDC2D">
            <w:pPr>
              <w:widowControl/>
              <w:spacing w:line="240" w:lineRule="atLeast"/>
              <w:jc w:val="left"/>
              <w:rPr>
                <w:rFonts w:hint="eastAsia" w:ascii="仿宋_GB2312" w:hAnsi="宋体" w:eastAsia="仿宋_GB2312" w:cs="宋体"/>
                <w:color w:val="auto"/>
                <w:kern w:val="0"/>
                <w:sz w:val="24"/>
                <w:highlight w:val="none"/>
              </w:rPr>
            </w:pPr>
            <w:r>
              <w:rPr>
                <w:rFonts w:hint="eastAsia" w:ascii="仿宋_GB2312" w:hAnsi="宋体" w:eastAsia="仿宋_GB2312" w:cs="宋体"/>
                <w:color w:val="auto"/>
                <w:kern w:val="0"/>
                <w:szCs w:val="21"/>
                <w:highlight w:val="none"/>
              </w:rPr>
              <w:t>《温州市区餐饮单位环境保护管理台账》登记</w:t>
            </w:r>
          </w:p>
        </w:tc>
        <w:tc>
          <w:tcPr>
            <w:tcW w:w="5232" w:type="dxa"/>
            <w:tcBorders>
              <w:top w:val="single" w:color="auto" w:sz="4" w:space="0"/>
              <w:left w:val="single" w:color="auto" w:sz="4" w:space="0"/>
              <w:bottom w:val="single" w:color="auto" w:sz="4" w:space="0"/>
              <w:right w:val="single" w:color="auto" w:sz="4" w:space="0"/>
            </w:tcBorders>
            <w:noWrap w:val="0"/>
            <w:vAlign w:val="center"/>
          </w:tcPr>
          <w:p w14:paraId="63C75189">
            <w:pPr>
              <w:widowControl/>
              <w:numPr>
                <w:ilvl w:val="0"/>
                <w:numId w:val="12"/>
              </w:numPr>
              <w:spacing w:line="240" w:lineRule="atLeast"/>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台账填写不规范、不齐全的，每家（次）扣1分。</w:t>
            </w:r>
          </w:p>
          <w:p w14:paraId="4C391B6D">
            <w:pPr>
              <w:widowControl/>
              <w:numPr>
                <w:ilvl w:val="0"/>
                <w:numId w:val="12"/>
              </w:numPr>
              <w:spacing w:line="240" w:lineRule="atLeast"/>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未填写或伪造等行为的，扣3分。</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60EC499B">
            <w:pPr>
              <w:widowControl/>
              <w:spacing w:line="240" w:lineRule="atLeast"/>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看台帐</w:t>
            </w:r>
          </w:p>
        </w:tc>
        <w:tc>
          <w:tcPr>
            <w:tcW w:w="1697" w:type="dxa"/>
            <w:tcBorders>
              <w:top w:val="single" w:color="auto" w:sz="4" w:space="0"/>
              <w:left w:val="single" w:color="auto" w:sz="4" w:space="0"/>
              <w:bottom w:val="single" w:color="auto" w:sz="4" w:space="0"/>
              <w:right w:val="single" w:color="auto" w:sz="4" w:space="0"/>
            </w:tcBorders>
            <w:noWrap w:val="0"/>
            <w:vAlign w:val="center"/>
          </w:tcPr>
          <w:p w14:paraId="66363B4C">
            <w:pPr>
              <w:widowControl/>
              <w:spacing w:line="240" w:lineRule="atLeast"/>
              <w:jc w:val="left"/>
              <w:rPr>
                <w:rFonts w:hint="eastAsia" w:ascii="仿宋_GB2312" w:hAnsi="宋体" w:eastAsia="仿宋_GB2312" w:cs="宋体"/>
                <w:color w:val="auto"/>
                <w:kern w:val="0"/>
                <w:sz w:val="24"/>
                <w:highlight w:val="none"/>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14:paraId="5D2A3D1D">
            <w:pPr>
              <w:widowControl/>
              <w:spacing w:line="240" w:lineRule="atLeast"/>
              <w:jc w:val="left"/>
              <w:rPr>
                <w:rFonts w:hint="eastAsia" w:ascii="仿宋_GB2312" w:hAnsi="宋体" w:eastAsia="仿宋_GB2312" w:cs="宋体"/>
                <w:color w:val="auto"/>
                <w:kern w:val="0"/>
                <w:sz w:val="24"/>
                <w:highlight w:val="none"/>
              </w:rPr>
            </w:pPr>
          </w:p>
        </w:tc>
      </w:tr>
      <w:tr w14:paraId="1E682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191" w:type="dxa"/>
            <w:vMerge w:val="continue"/>
            <w:tcBorders>
              <w:left w:val="single" w:color="auto" w:sz="4" w:space="0"/>
              <w:right w:val="single" w:color="auto" w:sz="4" w:space="0"/>
            </w:tcBorders>
            <w:noWrap w:val="0"/>
            <w:vAlign w:val="center"/>
          </w:tcPr>
          <w:p w14:paraId="54AD1124">
            <w:pPr>
              <w:spacing w:line="240" w:lineRule="atLeast"/>
              <w:jc w:val="left"/>
              <w:rPr>
                <w:rFonts w:hint="eastAsia" w:ascii="仿宋_GB2312" w:hAnsi="宋体" w:eastAsia="仿宋_GB2312" w:cs="宋体"/>
                <w:color w:val="auto"/>
                <w:kern w:val="0"/>
                <w:szCs w:val="21"/>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14:paraId="59DD1E46">
            <w:pPr>
              <w:widowControl/>
              <w:spacing w:line="240" w:lineRule="atLeast"/>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信息管理</w:t>
            </w:r>
          </w:p>
          <w:p w14:paraId="4072690E">
            <w:pPr>
              <w:widowControl/>
              <w:spacing w:line="240" w:lineRule="atLeast"/>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（15分）</w:t>
            </w:r>
          </w:p>
        </w:tc>
        <w:tc>
          <w:tcPr>
            <w:tcW w:w="2165" w:type="dxa"/>
            <w:tcBorders>
              <w:top w:val="single" w:color="auto" w:sz="4" w:space="0"/>
              <w:left w:val="single" w:color="auto" w:sz="4" w:space="0"/>
              <w:bottom w:val="single" w:color="auto" w:sz="4" w:space="0"/>
              <w:right w:val="single" w:color="auto" w:sz="4" w:space="0"/>
            </w:tcBorders>
            <w:noWrap w:val="0"/>
            <w:vAlign w:val="center"/>
          </w:tcPr>
          <w:p w14:paraId="57A39A45">
            <w:pPr>
              <w:widowControl/>
              <w:spacing w:line="240" w:lineRule="atLeast"/>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安装车辆GPS、车载称重、视频监控等监管设备，并保证设备的正常使用。做好对餐厨垃圾管理系统的更新、完善等信息系统建设。</w:t>
            </w:r>
          </w:p>
        </w:tc>
        <w:tc>
          <w:tcPr>
            <w:tcW w:w="5232" w:type="dxa"/>
            <w:tcBorders>
              <w:top w:val="single" w:color="auto" w:sz="4" w:space="0"/>
              <w:left w:val="single" w:color="auto" w:sz="4" w:space="0"/>
              <w:bottom w:val="single" w:color="auto" w:sz="4" w:space="0"/>
              <w:right w:val="single" w:color="auto" w:sz="4" w:space="0"/>
            </w:tcBorders>
            <w:noWrap w:val="0"/>
            <w:vAlign w:val="center"/>
          </w:tcPr>
          <w:p w14:paraId="23ECF852">
            <w:pPr>
              <w:widowControl/>
              <w:numPr>
                <w:ilvl w:val="0"/>
                <w:numId w:val="13"/>
              </w:numPr>
              <w:spacing w:line="240" w:lineRule="atLeast"/>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车载称重、视频监控、GPS、盛装容器电子标签等设备未正常使用的，每项（次）扣0.5分。</w:t>
            </w:r>
          </w:p>
          <w:p w14:paraId="4CC577A5">
            <w:pPr>
              <w:widowControl/>
              <w:numPr>
                <w:ilvl w:val="0"/>
                <w:numId w:val="13"/>
              </w:numPr>
              <w:spacing w:line="240" w:lineRule="atLeast"/>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车载设备未开启、拔除线缆等故意导致信号中断，使设备无法正常使用，每辆（次）扣1分。</w:t>
            </w:r>
          </w:p>
          <w:p w14:paraId="6F1A2EA8">
            <w:pPr>
              <w:widowControl/>
              <w:numPr>
                <w:ilvl w:val="0"/>
                <w:numId w:val="13"/>
              </w:numPr>
              <w:spacing w:line="240" w:lineRule="atLeast"/>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未将餐厨垃圾盛装容器安装电子标签的，发现一个扣0.2分。</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7ABEFA5F">
            <w:pPr>
              <w:widowControl/>
              <w:spacing w:line="240" w:lineRule="atLeast"/>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查现场、</w:t>
            </w:r>
          </w:p>
          <w:p w14:paraId="652DCBF4">
            <w:pPr>
              <w:widowControl/>
              <w:spacing w:line="240" w:lineRule="atLeast"/>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看台帐</w:t>
            </w:r>
          </w:p>
        </w:tc>
        <w:tc>
          <w:tcPr>
            <w:tcW w:w="1697" w:type="dxa"/>
            <w:tcBorders>
              <w:top w:val="single" w:color="auto" w:sz="4" w:space="0"/>
              <w:left w:val="single" w:color="auto" w:sz="4" w:space="0"/>
              <w:bottom w:val="single" w:color="auto" w:sz="4" w:space="0"/>
              <w:right w:val="single" w:color="auto" w:sz="4" w:space="0"/>
            </w:tcBorders>
            <w:noWrap w:val="0"/>
            <w:vAlign w:val="center"/>
          </w:tcPr>
          <w:p w14:paraId="6AF64F43">
            <w:pPr>
              <w:widowControl/>
              <w:spacing w:line="240" w:lineRule="atLeast"/>
              <w:jc w:val="left"/>
              <w:rPr>
                <w:rFonts w:hint="eastAsia" w:ascii="仿宋_GB2312" w:hAnsi="宋体" w:eastAsia="仿宋_GB2312" w:cs="宋体"/>
                <w:color w:val="auto"/>
                <w:kern w:val="0"/>
                <w:szCs w:val="21"/>
                <w:highlight w:val="none"/>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14:paraId="0DF1E9BA">
            <w:pPr>
              <w:widowControl/>
              <w:spacing w:line="240" w:lineRule="atLeast"/>
              <w:jc w:val="left"/>
              <w:rPr>
                <w:rFonts w:hint="eastAsia" w:ascii="仿宋_GB2312" w:hAnsi="宋体" w:eastAsia="仿宋_GB2312" w:cs="宋体"/>
                <w:color w:val="auto"/>
                <w:kern w:val="0"/>
                <w:szCs w:val="21"/>
                <w:highlight w:val="none"/>
              </w:rPr>
            </w:pPr>
          </w:p>
        </w:tc>
      </w:tr>
      <w:tr w14:paraId="72B38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191" w:type="dxa"/>
            <w:tcBorders>
              <w:left w:val="single" w:color="auto" w:sz="4" w:space="0"/>
              <w:right w:val="single" w:color="auto" w:sz="4" w:space="0"/>
            </w:tcBorders>
            <w:noWrap w:val="0"/>
            <w:vAlign w:val="center"/>
          </w:tcPr>
          <w:p w14:paraId="5907AB9F">
            <w:pPr>
              <w:widowControl/>
              <w:spacing w:line="240" w:lineRule="atLeast"/>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优质服务</w:t>
            </w:r>
          </w:p>
          <w:p w14:paraId="4D3508C3">
            <w:pPr>
              <w:widowControl/>
              <w:spacing w:line="240" w:lineRule="atLeast"/>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（10分）</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627D5021">
            <w:pPr>
              <w:spacing w:line="240" w:lineRule="atLeast"/>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满意率调查</w:t>
            </w:r>
          </w:p>
          <w:p w14:paraId="7488FF21">
            <w:pPr>
              <w:spacing w:line="240" w:lineRule="atLeast"/>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（10分）</w:t>
            </w:r>
          </w:p>
        </w:tc>
        <w:tc>
          <w:tcPr>
            <w:tcW w:w="2165" w:type="dxa"/>
            <w:tcBorders>
              <w:top w:val="single" w:color="auto" w:sz="4" w:space="0"/>
              <w:left w:val="single" w:color="auto" w:sz="4" w:space="0"/>
              <w:bottom w:val="single" w:color="auto" w:sz="4" w:space="0"/>
              <w:right w:val="single" w:color="auto" w:sz="4" w:space="0"/>
            </w:tcBorders>
            <w:noWrap w:val="0"/>
            <w:vAlign w:val="center"/>
          </w:tcPr>
          <w:p w14:paraId="6B094FF5">
            <w:pPr>
              <w:spacing w:line="24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产生单位满意与基本满意率不低于80%（随机抽查15家）</w:t>
            </w:r>
          </w:p>
        </w:tc>
        <w:tc>
          <w:tcPr>
            <w:tcW w:w="5232" w:type="dxa"/>
            <w:tcBorders>
              <w:top w:val="single" w:color="auto" w:sz="4" w:space="0"/>
              <w:left w:val="single" w:color="auto" w:sz="4" w:space="0"/>
              <w:bottom w:val="single" w:color="auto" w:sz="4" w:space="0"/>
              <w:right w:val="single" w:color="auto" w:sz="4" w:space="0"/>
            </w:tcBorders>
            <w:noWrap w:val="0"/>
            <w:vAlign w:val="center"/>
          </w:tcPr>
          <w:p w14:paraId="31BC7493">
            <w:pPr>
              <w:widowControl/>
              <w:spacing w:line="240" w:lineRule="atLeast"/>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若产生单位满意与基本满意率低于80%，每增加1家不满意单位扣1分，以此类推。</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0015A15B">
            <w:pPr>
              <w:widowControl/>
              <w:spacing w:line="240" w:lineRule="atLeast"/>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看台帐</w:t>
            </w:r>
          </w:p>
        </w:tc>
        <w:tc>
          <w:tcPr>
            <w:tcW w:w="1697" w:type="dxa"/>
            <w:tcBorders>
              <w:top w:val="single" w:color="auto" w:sz="4" w:space="0"/>
              <w:left w:val="single" w:color="auto" w:sz="4" w:space="0"/>
              <w:bottom w:val="single" w:color="auto" w:sz="4" w:space="0"/>
              <w:right w:val="single" w:color="auto" w:sz="4" w:space="0"/>
            </w:tcBorders>
            <w:noWrap w:val="0"/>
            <w:vAlign w:val="center"/>
          </w:tcPr>
          <w:p w14:paraId="14629515">
            <w:pPr>
              <w:widowControl/>
              <w:spacing w:line="240" w:lineRule="atLeast"/>
              <w:jc w:val="left"/>
              <w:rPr>
                <w:rFonts w:hint="eastAsia" w:ascii="仿宋_GB2312" w:hAnsi="宋体" w:eastAsia="仿宋_GB2312" w:cs="宋体"/>
                <w:color w:val="auto"/>
                <w:kern w:val="0"/>
                <w:szCs w:val="21"/>
                <w:highlight w:val="none"/>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14:paraId="543B3090">
            <w:pPr>
              <w:widowControl/>
              <w:spacing w:line="240" w:lineRule="atLeast"/>
              <w:jc w:val="left"/>
              <w:rPr>
                <w:rFonts w:hint="eastAsia" w:ascii="仿宋_GB2312" w:hAnsi="宋体" w:eastAsia="仿宋_GB2312" w:cs="宋体"/>
                <w:color w:val="auto"/>
                <w:kern w:val="0"/>
                <w:szCs w:val="21"/>
                <w:highlight w:val="none"/>
              </w:rPr>
            </w:pPr>
          </w:p>
        </w:tc>
      </w:tr>
      <w:tr w14:paraId="2EB1A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191" w:type="dxa"/>
            <w:tcBorders>
              <w:left w:val="single" w:color="auto" w:sz="4" w:space="0"/>
              <w:right w:val="single" w:color="auto" w:sz="4" w:space="0"/>
            </w:tcBorders>
            <w:noWrap w:val="0"/>
            <w:vAlign w:val="center"/>
          </w:tcPr>
          <w:p w14:paraId="592E9353">
            <w:pPr>
              <w:widowControl/>
              <w:spacing w:line="240" w:lineRule="atLeast"/>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社会责任(10分)</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5EF3CFAB">
            <w:pPr>
              <w:spacing w:line="240" w:lineRule="atLeast"/>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公众监督、良好形象</w:t>
            </w:r>
          </w:p>
          <w:p w14:paraId="58E99F1F">
            <w:pPr>
              <w:spacing w:line="240" w:lineRule="atLeast"/>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（10分）</w:t>
            </w:r>
          </w:p>
        </w:tc>
        <w:tc>
          <w:tcPr>
            <w:tcW w:w="2165" w:type="dxa"/>
            <w:tcBorders>
              <w:top w:val="single" w:color="auto" w:sz="4" w:space="0"/>
              <w:left w:val="single" w:color="auto" w:sz="4" w:space="0"/>
              <w:bottom w:val="single" w:color="auto" w:sz="4" w:space="0"/>
              <w:right w:val="single" w:color="auto" w:sz="4" w:space="0"/>
            </w:tcBorders>
            <w:noWrap w:val="0"/>
            <w:vAlign w:val="center"/>
          </w:tcPr>
          <w:p w14:paraId="1739E540">
            <w:pPr>
              <w:spacing w:line="24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接受公众监督，树立良好的社会公共服务企业形象。</w:t>
            </w:r>
          </w:p>
        </w:tc>
        <w:tc>
          <w:tcPr>
            <w:tcW w:w="5232" w:type="dxa"/>
            <w:tcBorders>
              <w:top w:val="single" w:color="auto" w:sz="4" w:space="0"/>
              <w:left w:val="single" w:color="auto" w:sz="4" w:space="0"/>
              <w:bottom w:val="single" w:color="auto" w:sz="4" w:space="0"/>
              <w:right w:val="single" w:color="auto" w:sz="4" w:space="0"/>
            </w:tcBorders>
            <w:noWrap w:val="0"/>
            <w:vAlign w:val="center"/>
          </w:tcPr>
          <w:p w14:paraId="447308D3">
            <w:pPr>
              <w:widowControl/>
              <w:numPr>
                <w:ilvl w:val="0"/>
                <w:numId w:val="14"/>
              </w:numPr>
              <w:spacing w:line="240" w:lineRule="atLeast"/>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新闻媒体负面性曝光或批评性报道，查实有责的，每次扣5分。</w:t>
            </w:r>
          </w:p>
          <w:p w14:paraId="77BA4966">
            <w:pPr>
              <w:widowControl/>
              <w:numPr>
                <w:ilvl w:val="0"/>
                <w:numId w:val="14"/>
              </w:numPr>
              <w:spacing w:line="240" w:lineRule="atLeast"/>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发生餐厨垃圾产生单位投诉，查实有责的，每次扣1分。</w:t>
            </w:r>
          </w:p>
          <w:p w14:paraId="000D0211">
            <w:pPr>
              <w:widowControl/>
              <w:numPr>
                <w:ilvl w:val="0"/>
                <w:numId w:val="14"/>
              </w:numPr>
              <w:spacing w:line="240" w:lineRule="atLeast"/>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不配合接受公众监督的，每次扣5分。</w:t>
            </w:r>
          </w:p>
        </w:tc>
        <w:tc>
          <w:tcPr>
            <w:tcW w:w="1443" w:type="dxa"/>
            <w:noWrap w:val="0"/>
            <w:vAlign w:val="center"/>
          </w:tcPr>
          <w:p w14:paraId="7A2A7DAE">
            <w:pPr>
              <w:widowControl/>
              <w:spacing w:line="240" w:lineRule="atLeast"/>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看台帐</w:t>
            </w:r>
          </w:p>
        </w:tc>
        <w:tc>
          <w:tcPr>
            <w:tcW w:w="1697" w:type="dxa"/>
            <w:noWrap w:val="0"/>
            <w:vAlign w:val="center"/>
          </w:tcPr>
          <w:p w14:paraId="7E1FF38C">
            <w:pPr>
              <w:widowControl/>
              <w:spacing w:line="240" w:lineRule="atLeast"/>
              <w:jc w:val="left"/>
              <w:rPr>
                <w:rFonts w:hint="eastAsia" w:ascii="仿宋_GB2312" w:hAnsi="宋体" w:eastAsia="仿宋_GB2312"/>
                <w:color w:val="auto"/>
                <w:kern w:val="0"/>
                <w:szCs w:val="21"/>
                <w:highlight w:val="none"/>
              </w:rPr>
            </w:pPr>
          </w:p>
        </w:tc>
        <w:tc>
          <w:tcPr>
            <w:tcW w:w="2065" w:type="dxa"/>
            <w:noWrap w:val="0"/>
            <w:vAlign w:val="center"/>
          </w:tcPr>
          <w:p w14:paraId="576693A3">
            <w:pPr>
              <w:widowControl/>
              <w:spacing w:line="240" w:lineRule="atLeast"/>
              <w:jc w:val="left"/>
              <w:rPr>
                <w:rFonts w:hint="eastAsia" w:ascii="仿宋_GB2312" w:hAnsi="宋体" w:eastAsia="仿宋_GB2312"/>
                <w:color w:val="auto"/>
                <w:kern w:val="0"/>
                <w:szCs w:val="21"/>
                <w:highlight w:val="none"/>
              </w:rPr>
            </w:pPr>
          </w:p>
        </w:tc>
      </w:tr>
      <w:tr w14:paraId="6074B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191" w:type="dxa"/>
            <w:tcBorders>
              <w:left w:val="single" w:color="auto" w:sz="4" w:space="0"/>
              <w:right w:val="single" w:color="auto" w:sz="4" w:space="0"/>
            </w:tcBorders>
            <w:noWrap w:val="0"/>
            <w:vAlign w:val="center"/>
          </w:tcPr>
          <w:p w14:paraId="6496A84F">
            <w:pPr>
              <w:widowControl/>
              <w:spacing w:line="240" w:lineRule="atLeast"/>
              <w:jc w:val="left"/>
              <w:rPr>
                <w:rFonts w:hint="eastAsia"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合计</w:t>
            </w:r>
          </w:p>
        </w:tc>
        <w:tc>
          <w:tcPr>
            <w:tcW w:w="13864" w:type="dxa"/>
            <w:gridSpan w:val="6"/>
            <w:tcBorders>
              <w:top w:val="single" w:color="auto" w:sz="4" w:space="0"/>
              <w:left w:val="single" w:color="auto" w:sz="4" w:space="0"/>
              <w:bottom w:val="single" w:color="auto" w:sz="4" w:space="0"/>
            </w:tcBorders>
            <w:noWrap w:val="0"/>
            <w:vAlign w:val="center"/>
          </w:tcPr>
          <w:p w14:paraId="501083DB">
            <w:pPr>
              <w:widowControl/>
              <w:spacing w:line="240" w:lineRule="atLeast"/>
              <w:ind w:firstLine="738" w:firstLineChars="350"/>
              <w:jc w:val="left"/>
              <w:rPr>
                <w:rFonts w:hint="eastAsia" w:ascii="仿宋_GB2312" w:hAnsi="宋体" w:eastAsia="仿宋_GB2312" w:cs="宋体"/>
                <w:b/>
                <w:color w:val="auto"/>
                <w:kern w:val="0"/>
                <w:szCs w:val="21"/>
                <w:highlight w:val="none"/>
              </w:rPr>
            </w:pPr>
          </w:p>
          <w:p w14:paraId="3E7AAED3">
            <w:pPr>
              <w:widowControl/>
              <w:spacing w:line="240" w:lineRule="atLeast"/>
              <w:ind w:firstLine="4427" w:firstLineChars="2100"/>
              <w:jc w:val="left"/>
              <w:rPr>
                <w:rFonts w:hint="eastAsia" w:ascii="仿宋_GB2312" w:hAnsi="宋体" w:eastAsia="仿宋_GB2312" w:cs="宋体"/>
                <w:color w:val="auto"/>
                <w:kern w:val="0"/>
                <w:szCs w:val="21"/>
                <w:highlight w:val="none"/>
              </w:rPr>
            </w:pPr>
            <w:r>
              <w:rPr>
                <w:rFonts w:hint="eastAsia" w:ascii="仿宋_GB2312" w:hAnsi="宋体" w:eastAsia="仿宋_GB2312" w:cs="宋体"/>
                <w:b/>
                <w:color w:val="auto"/>
                <w:kern w:val="0"/>
                <w:szCs w:val="21"/>
                <w:highlight w:val="none"/>
              </w:rPr>
              <w:t xml:space="preserve">本月考核扣分______分，综合得分为______分。      </w:t>
            </w:r>
          </w:p>
          <w:p w14:paraId="5D35A7A0">
            <w:pPr>
              <w:widowControl/>
              <w:spacing w:line="240" w:lineRule="atLeast"/>
              <w:ind w:firstLine="5775" w:firstLineChars="2750"/>
              <w:jc w:val="left"/>
              <w:rPr>
                <w:rFonts w:hint="eastAsia" w:ascii="仿宋_GB2312" w:hAnsi="宋体" w:eastAsia="仿宋_GB2312" w:cs="宋体"/>
                <w:color w:val="auto"/>
                <w:kern w:val="0"/>
                <w:szCs w:val="21"/>
                <w:highlight w:val="none"/>
              </w:rPr>
            </w:pPr>
          </w:p>
          <w:p w14:paraId="178EB208">
            <w:pPr>
              <w:widowControl/>
              <w:spacing w:line="240" w:lineRule="atLeast"/>
              <w:jc w:val="left"/>
              <w:rPr>
                <w:rFonts w:hint="eastAsia"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监管方考核人员签字：                               运营方签字确认：</w:t>
            </w:r>
          </w:p>
          <w:p w14:paraId="1DDCD2C5">
            <w:pPr>
              <w:widowControl/>
              <w:spacing w:line="240" w:lineRule="atLeast"/>
              <w:ind w:firstLine="735" w:firstLineChars="350"/>
              <w:jc w:val="left"/>
              <w:rPr>
                <w:rFonts w:hint="eastAsia" w:ascii="仿宋_GB2312" w:hAnsi="宋体" w:eastAsia="仿宋_GB2312" w:cs="宋体"/>
                <w:color w:val="auto"/>
                <w:kern w:val="0"/>
                <w:szCs w:val="21"/>
                <w:highlight w:val="none"/>
              </w:rPr>
            </w:pPr>
          </w:p>
        </w:tc>
      </w:tr>
    </w:tbl>
    <w:p w14:paraId="64A2B75F">
      <w:pPr>
        <w:spacing w:line="240" w:lineRule="atLeast"/>
        <w:rPr>
          <w:rFonts w:hint="eastAsia" w:ascii="仿宋_GB2312" w:hAnsi="宋体" w:eastAsia="仿宋_GB2312" w:cs="宋体"/>
          <w:color w:val="auto"/>
          <w:kern w:val="0"/>
          <w:szCs w:val="21"/>
          <w:highlight w:val="none"/>
        </w:rPr>
      </w:pPr>
    </w:p>
    <w:p w14:paraId="457E9ED1">
      <w:pPr>
        <w:rPr>
          <w:rFonts w:hint="eastAsia" w:ascii="仿宋_GB2312" w:hAnsi="仿宋_GB2312" w:eastAsia="仿宋_GB2312"/>
          <w:b/>
          <w:color w:val="auto"/>
          <w:highlight w:val="none"/>
        </w:rPr>
      </w:pPr>
    </w:p>
    <w:p w14:paraId="7DF98429">
      <w:pPr>
        <w:rPr>
          <w:rFonts w:hint="eastAsia" w:ascii="仿宋_GB2312" w:hAnsi="仿宋_GB2312" w:eastAsia="仿宋_GB2312"/>
          <w:b/>
          <w:color w:val="auto"/>
          <w:highlight w:val="none"/>
        </w:rPr>
      </w:pPr>
    </w:p>
    <w:p w14:paraId="7F0F0ED4">
      <w:pPr>
        <w:rPr>
          <w:rFonts w:hint="eastAsia" w:ascii="仿宋_GB2312" w:hAnsi="仿宋_GB2312" w:eastAsia="仿宋_GB2312"/>
          <w:b/>
          <w:color w:val="auto"/>
          <w:highlight w:val="none"/>
        </w:rPr>
      </w:pPr>
    </w:p>
    <w:p w14:paraId="41FF0744">
      <w:pPr>
        <w:rPr>
          <w:rFonts w:hint="eastAsia" w:ascii="仿宋_GB2312" w:hAnsi="仿宋_GB2312" w:eastAsia="仿宋_GB2312"/>
          <w:b/>
          <w:color w:val="auto"/>
          <w:highlight w:val="none"/>
        </w:rPr>
      </w:pPr>
    </w:p>
    <w:p w14:paraId="5E76830B">
      <w:pPr>
        <w:rPr>
          <w:rFonts w:hint="eastAsia" w:ascii="仿宋_GB2312" w:hAnsi="仿宋_GB2312" w:eastAsia="仿宋_GB2312"/>
          <w:b/>
          <w:color w:val="auto"/>
          <w:highlight w:val="none"/>
        </w:rPr>
      </w:pPr>
    </w:p>
    <w:p w14:paraId="1F88C5B5">
      <w:pPr>
        <w:rPr>
          <w:rFonts w:hint="eastAsia" w:ascii="仿宋_GB2312" w:hAnsi="仿宋_GB2312" w:eastAsia="仿宋_GB2312"/>
          <w:b/>
          <w:color w:val="auto"/>
          <w:highlight w:val="none"/>
        </w:rPr>
      </w:pPr>
    </w:p>
    <w:p w14:paraId="27A70E20">
      <w:pPr>
        <w:rPr>
          <w:rFonts w:hint="eastAsia" w:ascii="仿宋_GB2312" w:hAnsi="仿宋_GB2312" w:eastAsia="仿宋_GB2312"/>
          <w:b/>
          <w:color w:val="auto"/>
          <w:highlight w:val="none"/>
        </w:rPr>
      </w:pPr>
    </w:p>
    <w:p w14:paraId="7494B178">
      <w:pPr>
        <w:rPr>
          <w:rFonts w:hint="eastAsia" w:ascii="仿宋_GB2312" w:hAnsi="仿宋_GB2312" w:eastAsia="仿宋_GB2312"/>
          <w:b/>
          <w:color w:val="auto"/>
          <w:highlight w:val="none"/>
        </w:rPr>
      </w:pPr>
    </w:p>
    <w:p w14:paraId="2724ACCA">
      <w:pPr>
        <w:rPr>
          <w:rFonts w:hint="eastAsia" w:ascii="仿宋_GB2312" w:hAnsi="仿宋_GB2312" w:eastAsia="仿宋_GB2312"/>
          <w:b/>
          <w:color w:val="auto"/>
          <w:highlight w:val="none"/>
        </w:rPr>
      </w:pPr>
    </w:p>
    <w:p w14:paraId="66CBECF6">
      <w:pPr>
        <w:rPr>
          <w:rFonts w:hint="eastAsia" w:ascii="仿宋_GB2312" w:hAnsi="仿宋_GB2312" w:eastAsia="仿宋_GB2312"/>
          <w:b/>
          <w:color w:val="auto"/>
          <w:highlight w:val="none"/>
        </w:rPr>
        <w:sectPr>
          <w:pgSz w:w="16840" w:h="11907" w:orient="landscape"/>
          <w:pgMar w:top="1814" w:right="1474" w:bottom="1814" w:left="1474" w:header="851" w:footer="851" w:gutter="0"/>
          <w:cols w:space="720" w:num="1"/>
        </w:sectPr>
      </w:pPr>
    </w:p>
    <w:p w14:paraId="4CECF6AC">
      <w:pPr>
        <w:rPr>
          <w:rFonts w:hint="eastAsia" w:ascii="仿宋_GB2312" w:hAnsi="仿宋" w:eastAsia="仿宋_GB2312"/>
          <w:b/>
          <w:color w:val="auto"/>
          <w:sz w:val="24"/>
          <w:szCs w:val="24"/>
          <w:highlight w:val="none"/>
        </w:rPr>
      </w:pPr>
    </w:p>
    <w:p w14:paraId="1952CEAA">
      <w:pPr>
        <w:rPr>
          <w:rFonts w:hint="eastAsia" w:ascii="仿宋_GB2312" w:hAnsi="仿宋" w:eastAsia="仿宋_GB2312" w:cs="宋体"/>
          <w:color w:val="auto"/>
          <w:kern w:val="0"/>
          <w:sz w:val="32"/>
          <w:szCs w:val="32"/>
          <w:highlight w:val="none"/>
        </w:rPr>
      </w:pPr>
      <w:r>
        <w:rPr>
          <w:rFonts w:hint="eastAsia" w:ascii="仿宋_GB2312" w:hAnsi="仿宋" w:eastAsia="仿宋_GB2312"/>
          <w:b/>
          <w:color w:val="auto"/>
          <w:sz w:val="24"/>
          <w:szCs w:val="24"/>
          <w:highlight w:val="none"/>
        </w:rPr>
        <w:t xml:space="preserve">附件2：                           </w:t>
      </w:r>
      <w:r>
        <w:rPr>
          <w:rFonts w:hint="eastAsia" w:ascii="仿宋_GB2312" w:hAnsi="仿宋" w:eastAsia="仿宋_GB2312" w:cs="宋体"/>
          <w:color w:val="auto"/>
          <w:kern w:val="0"/>
          <w:sz w:val="32"/>
          <w:szCs w:val="32"/>
          <w:highlight w:val="none"/>
        </w:rPr>
        <w:t>温州市区餐厨垃圾处置监管考核评分表</w:t>
      </w:r>
    </w:p>
    <w:p w14:paraId="2A142423">
      <w:pPr>
        <w:rPr>
          <w:rFonts w:hint="eastAsia" w:ascii="仿宋_GB2312" w:hAnsi="仿宋" w:eastAsia="仿宋_GB2312"/>
          <w:b/>
          <w:color w:val="auto"/>
          <w:sz w:val="24"/>
          <w:szCs w:val="24"/>
          <w:highlight w:val="none"/>
        </w:rPr>
      </w:pPr>
      <w:r>
        <w:rPr>
          <w:rFonts w:hint="eastAsia" w:ascii="仿宋_GB2312" w:hAnsi="仿宋" w:eastAsia="仿宋_GB2312" w:cs="宋体"/>
          <w:color w:val="auto"/>
          <w:kern w:val="0"/>
          <w:sz w:val="24"/>
          <w:szCs w:val="24"/>
          <w:highlight w:val="none"/>
        </w:rPr>
        <w:t xml:space="preserve">                                                                                              年     月 </w:t>
      </w:r>
    </w:p>
    <w:tbl>
      <w:tblPr>
        <w:tblStyle w:val="57"/>
        <w:tblW w:w="13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638"/>
        <w:gridCol w:w="430"/>
        <w:gridCol w:w="6564"/>
        <w:gridCol w:w="4060"/>
        <w:gridCol w:w="504"/>
        <w:gridCol w:w="430"/>
      </w:tblGrid>
      <w:tr w14:paraId="655B1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431" w:type="dxa"/>
            <w:noWrap w:val="0"/>
            <w:vAlign w:val="center"/>
          </w:tcPr>
          <w:p w14:paraId="715F872D">
            <w:pPr>
              <w:widowControl/>
              <w:spacing w:line="300" w:lineRule="exact"/>
              <w:jc w:val="center"/>
              <w:rPr>
                <w:rFonts w:hint="eastAsia"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序号</w:t>
            </w:r>
          </w:p>
        </w:tc>
        <w:tc>
          <w:tcPr>
            <w:tcW w:w="638" w:type="dxa"/>
            <w:noWrap w:val="0"/>
            <w:vAlign w:val="center"/>
          </w:tcPr>
          <w:p w14:paraId="7FED5A30">
            <w:pPr>
              <w:widowControl/>
              <w:spacing w:line="300" w:lineRule="exact"/>
              <w:jc w:val="center"/>
              <w:rPr>
                <w:rFonts w:hint="eastAsia"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监管</w:t>
            </w:r>
          </w:p>
          <w:p w14:paraId="58A156D3">
            <w:pPr>
              <w:widowControl/>
              <w:spacing w:line="300" w:lineRule="exact"/>
              <w:jc w:val="center"/>
              <w:rPr>
                <w:rFonts w:hint="eastAsia"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项目</w:t>
            </w:r>
          </w:p>
        </w:tc>
        <w:tc>
          <w:tcPr>
            <w:tcW w:w="430" w:type="dxa"/>
            <w:noWrap w:val="0"/>
            <w:vAlign w:val="center"/>
          </w:tcPr>
          <w:p w14:paraId="23AF75AC">
            <w:pPr>
              <w:widowControl/>
              <w:spacing w:line="300" w:lineRule="exact"/>
              <w:jc w:val="center"/>
              <w:rPr>
                <w:rFonts w:hint="eastAsia"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分值</w:t>
            </w:r>
          </w:p>
        </w:tc>
        <w:tc>
          <w:tcPr>
            <w:tcW w:w="6564" w:type="dxa"/>
            <w:noWrap w:val="0"/>
            <w:vAlign w:val="center"/>
          </w:tcPr>
          <w:p w14:paraId="139BBDE3">
            <w:pPr>
              <w:widowControl/>
              <w:spacing w:line="300" w:lineRule="exact"/>
              <w:jc w:val="center"/>
              <w:rPr>
                <w:rFonts w:hint="eastAsia"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监管内容和要求</w:t>
            </w:r>
          </w:p>
        </w:tc>
        <w:tc>
          <w:tcPr>
            <w:tcW w:w="4060" w:type="dxa"/>
            <w:noWrap w:val="0"/>
            <w:vAlign w:val="center"/>
          </w:tcPr>
          <w:p w14:paraId="7BAF7A7D">
            <w:pPr>
              <w:widowControl/>
              <w:spacing w:line="300" w:lineRule="exact"/>
              <w:jc w:val="center"/>
              <w:rPr>
                <w:rFonts w:hint="eastAsia"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检查评分和扣罚办法</w:t>
            </w:r>
          </w:p>
        </w:tc>
        <w:tc>
          <w:tcPr>
            <w:tcW w:w="504" w:type="dxa"/>
            <w:noWrap w:val="0"/>
            <w:vAlign w:val="center"/>
          </w:tcPr>
          <w:p w14:paraId="3383236E">
            <w:pPr>
              <w:widowControl/>
              <w:spacing w:line="300" w:lineRule="exact"/>
              <w:jc w:val="center"/>
              <w:rPr>
                <w:rFonts w:hint="eastAsia"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检查记录</w:t>
            </w:r>
          </w:p>
        </w:tc>
        <w:tc>
          <w:tcPr>
            <w:tcW w:w="430" w:type="dxa"/>
            <w:noWrap w:val="0"/>
            <w:vAlign w:val="center"/>
          </w:tcPr>
          <w:p w14:paraId="51EB185E">
            <w:pPr>
              <w:widowControl/>
              <w:spacing w:line="300" w:lineRule="exact"/>
              <w:jc w:val="center"/>
              <w:rPr>
                <w:rFonts w:hint="eastAsia"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得分</w:t>
            </w:r>
          </w:p>
        </w:tc>
      </w:tr>
      <w:tr w14:paraId="13249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31" w:type="dxa"/>
            <w:noWrap w:val="0"/>
            <w:vAlign w:val="center"/>
          </w:tcPr>
          <w:p w14:paraId="07048174">
            <w:pPr>
              <w:widowControl/>
              <w:spacing w:line="300" w:lineRule="exact"/>
              <w:jc w:val="center"/>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一</w:t>
            </w:r>
          </w:p>
        </w:tc>
        <w:tc>
          <w:tcPr>
            <w:tcW w:w="638" w:type="dxa"/>
            <w:noWrap w:val="0"/>
            <w:vAlign w:val="center"/>
          </w:tcPr>
          <w:p w14:paraId="08352E50">
            <w:pPr>
              <w:widowControl/>
              <w:spacing w:line="300" w:lineRule="exact"/>
              <w:jc w:val="center"/>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基本</w:t>
            </w:r>
          </w:p>
          <w:p w14:paraId="63E91BAE">
            <w:pPr>
              <w:widowControl/>
              <w:spacing w:line="300" w:lineRule="exact"/>
              <w:jc w:val="center"/>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要求</w:t>
            </w:r>
          </w:p>
        </w:tc>
        <w:tc>
          <w:tcPr>
            <w:tcW w:w="430" w:type="dxa"/>
            <w:noWrap w:val="0"/>
            <w:vAlign w:val="center"/>
          </w:tcPr>
          <w:p w14:paraId="20AC244A">
            <w:pPr>
              <w:widowControl/>
              <w:spacing w:line="300" w:lineRule="exact"/>
              <w:jc w:val="center"/>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10</w:t>
            </w:r>
          </w:p>
        </w:tc>
        <w:tc>
          <w:tcPr>
            <w:tcW w:w="6564" w:type="dxa"/>
            <w:noWrap w:val="0"/>
            <w:vAlign w:val="center"/>
          </w:tcPr>
          <w:p w14:paraId="6907F80D">
            <w:pPr>
              <w:widowControl/>
              <w:spacing w:line="300" w:lineRule="exact"/>
              <w:jc w:val="left"/>
              <w:rPr>
                <w:rFonts w:hint="eastAsia"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4060" w:type="dxa"/>
            <w:noWrap w:val="0"/>
            <w:vAlign w:val="center"/>
          </w:tcPr>
          <w:p w14:paraId="0717FE26">
            <w:pPr>
              <w:widowControl/>
              <w:spacing w:line="300" w:lineRule="exact"/>
              <w:jc w:val="left"/>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注：连续稳定运行作为必要的前提条件，不占分值。但如不符合要求，则进行惩罚性扣分。</w:t>
            </w:r>
          </w:p>
        </w:tc>
        <w:tc>
          <w:tcPr>
            <w:tcW w:w="504" w:type="dxa"/>
            <w:noWrap w:val="0"/>
            <w:vAlign w:val="center"/>
          </w:tcPr>
          <w:p w14:paraId="65A23746">
            <w:pPr>
              <w:widowControl/>
              <w:spacing w:line="300" w:lineRule="exact"/>
              <w:jc w:val="left"/>
              <w:rPr>
                <w:rFonts w:hint="eastAsia" w:ascii="仿宋_GB2312" w:hAnsi="宋体" w:eastAsia="仿宋_GB2312" w:cs="宋体"/>
                <w:b/>
                <w:bCs/>
                <w:color w:val="auto"/>
                <w:kern w:val="0"/>
                <w:sz w:val="20"/>
                <w:highlight w:val="none"/>
              </w:rPr>
            </w:pPr>
            <w:r>
              <w:rPr>
                <w:rFonts w:hint="eastAsia" w:ascii="仿宋_GB2312" w:hAnsi="宋体" w:eastAsia="仿宋_GB2312" w:cs="宋体"/>
                <w:b/>
                <w:bCs/>
                <w:color w:val="auto"/>
                <w:kern w:val="0"/>
                <w:sz w:val="20"/>
                <w:highlight w:val="none"/>
              </w:rPr>
              <w:t>　</w:t>
            </w:r>
          </w:p>
        </w:tc>
        <w:tc>
          <w:tcPr>
            <w:tcW w:w="430" w:type="dxa"/>
            <w:noWrap w:val="0"/>
            <w:vAlign w:val="center"/>
          </w:tcPr>
          <w:p w14:paraId="19B0CEF9">
            <w:pPr>
              <w:widowControl/>
              <w:spacing w:line="300" w:lineRule="exact"/>
              <w:jc w:val="left"/>
              <w:rPr>
                <w:rFonts w:hint="eastAsia"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r>
      <w:tr w14:paraId="50C95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31" w:type="dxa"/>
            <w:noWrap w:val="0"/>
            <w:vAlign w:val="center"/>
          </w:tcPr>
          <w:p w14:paraId="3256B7EA">
            <w:pPr>
              <w:widowControl/>
              <w:spacing w:line="300" w:lineRule="exact"/>
              <w:jc w:val="center"/>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1</w:t>
            </w:r>
          </w:p>
        </w:tc>
        <w:tc>
          <w:tcPr>
            <w:tcW w:w="638" w:type="dxa"/>
            <w:noWrap w:val="0"/>
            <w:vAlign w:val="center"/>
          </w:tcPr>
          <w:p w14:paraId="77266059">
            <w:pPr>
              <w:widowControl/>
              <w:spacing w:line="300" w:lineRule="exact"/>
              <w:jc w:val="center"/>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连续</w:t>
            </w:r>
          </w:p>
          <w:p w14:paraId="691AF1ED">
            <w:pPr>
              <w:widowControl/>
              <w:spacing w:line="300" w:lineRule="exact"/>
              <w:jc w:val="center"/>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运行</w:t>
            </w:r>
          </w:p>
        </w:tc>
        <w:tc>
          <w:tcPr>
            <w:tcW w:w="430" w:type="dxa"/>
            <w:noWrap w:val="0"/>
            <w:vAlign w:val="center"/>
          </w:tcPr>
          <w:p w14:paraId="27A583D0">
            <w:pPr>
              <w:widowControl/>
              <w:spacing w:line="300" w:lineRule="exact"/>
              <w:jc w:val="center"/>
              <w:rPr>
                <w:rFonts w:hint="eastAsia" w:ascii="仿宋_GB2312" w:hAnsi="宋体" w:eastAsia="仿宋_GB2312" w:cs="宋体"/>
                <w:color w:val="auto"/>
                <w:kern w:val="0"/>
                <w:sz w:val="20"/>
                <w:highlight w:val="none"/>
              </w:rPr>
            </w:pPr>
          </w:p>
        </w:tc>
        <w:tc>
          <w:tcPr>
            <w:tcW w:w="6564" w:type="dxa"/>
            <w:noWrap w:val="0"/>
            <w:vAlign w:val="center"/>
          </w:tcPr>
          <w:p w14:paraId="7AB56AE1">
            <w:pPr>
              <w:widowControl/>
              <w:spacing w:line="300" w:lineRule="exact"/>
              <w:jc w:val="left"/>
              <w:rPr>
                <w:rFonts w:hint="eastAsia"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运营方应全年保持安全、正常、连续稳定运行。</w:t>
            </w:r>
          </w:p>
        </w:tc>
        <w:tc>
          <w:tcPr>
            <w:tcW w:w="4060" w:type="dxa"/>
            <w:noWrap w:val="0"/>
            <w:vAlign w:val="center"/>
          </w:tcPr>
          <w:p w14:paraId="6473EDCA">
            <w:pPr>
              <w:widowControl/>
              <w:spacing w:line="300" w:lineRule="exact"/>
              <w:jc w:val="left"/>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未经批准同意，每停运1天扣10分，连续停运3天的扣40分。</w:t>
            </w:r>
          </w:p>
        </w:tc>
        <w:tc>
          <w:tcPr>
            <w:tcW w:w="504" w:type="dxa"/>
            <w:noWrap w:val="0"/>
            <w:vAlign w:val="center"/>
          </w:tcPr>
          <w:p w14:paraId="38F1FE58">
            <w:pPr>
              <w:widowControl/>
              <w:spacing w:line="300" w:lineRule="exact"/>
              <w:jc w:val="left"/>
              <w:rPr>
                <w:rFonts w:hint="eastAsia" w:ascii="仿宋_GB2312" w:hAnsi="宋体" w:eastAsia="仿宋_GB2312" w:cs="宋体"/>
                <w:b/>
                <w:bCs/>
                <w:color w:val="auto"/>
                <w:kern w:val="0"/>
                <w:sz w:val="20"/>
                <w:highlight w:val="none"/>
              </w:rPr>
            </w:pPr>
            <w:r>
              <w:rPr>
                <w:rFonts w:hint="eastAsia" w:ascii="仿宋_GB2312" w:hAnsi="宋体" w:eastAsia="仿宋_GB2312" w:cs="宋体"/>
                <w:b/>
                <w:bCs/>
                <w:color w:val="auto"/>
                <w:kern w:val="0"/>
                <w:sz w:val="20"/>
                <w:highlight w:val="none"/>
              </w:rPr>
              <w:t>　</w:t>
            </w:r>
          </w:p>
        </w:tc>
        <w:tc>
          <w:tcPr>
            <w:tcW w:w="430" w:type="dxa"/>
            <w:noWrap w:val="0"/>
            <w:vAlign w:val="center"/>
          </w:tcPr>
          <w:p w14:paraId="12269200">
            <w:pPr>
              <w:widowControl/>
              <w:spacing w:line="300" w:lineRule="exact"/>
              <w:jc w:val="left"/>
              <w:rPr>
                <w:rFonts w:hint="eastAsia"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r>
      <w:tr w14:paraId="47043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31" w:type="dxa"/>
            <w:noWrap w:val="0"/>
            <w:vAlign w:val="center"/>
          </w:tcPr>
          <w:p w14:paraId="15543EF7">
            <w:pPr>
              <w:widowControl/>
              <w:spacing w:line="300" w:lineRule="exact"/>
              <w:jc w:val="center"/>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2</w:t>
            </w:r>
          </w:p>
        </w:tc>
        <w:tc>
          <w:tcPr>
            <w:tcW w:w="638" w:type="dxa"/>
            <w:noWrap w:val="0"/>
            <w:vAlign w:val="center"/>
          </w:tcPr>
          <w:p w14:paraId="7F63BCC9">
            <w:pPr>
              <w:widowControl/>
              <w:spacing w:line="300" w:lineRule="exact"/>
              <w:jc w:val="center"/>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密闭</w:t>
            </w:r>
          </w:p>
          <w:p w14:paraId="1F1CD870">
            <w:pPr>
              <w:widowControl/>
              <w:spacing w:line="300" w:lineRule="exact"/>
              <w:jc w:val="center"/>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运行</w:t>
            </w:r>
          </w:p>
        </w:tc>
        <w:tc>
          <w:tcPr>
            <w:tcW w:w="430" w:type="dxa"/>
            <w:noWrap w:val="0"/>
            <w:vAlign w:val="center"/>
          </w:tcPr>
          <w:p w14:paraId="23C78F5F">
            <w:pPr>
              <w:widowControl/>
              <w:spacing w:line="300" w:lineRule="exact"/>
              <w:jc w:val="center"/>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4</w:t>
            </w:r>
          </w:p>
        </w:tc>
        <w:tc>
          <w:tcPr>
            <w:tcW w:w="6564" w:type="dxa"/>
            <w:noWrap w:val="0"/>
            <w:vAlign w:val="center"/>
          </w:tcPr>
          <w:p w14:paraId="0D7913DF">
            <w:pPr>
              <w:widowControl/>
              <w:spacing w:line="300" w:lineRule="exact"/>
              <w:jc w:val="left"/>
              <w:rPr>
                <w:rFonts w:hint="eastAsia"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xml:space="preserve">餐厨垃圾处置应在密闭状态下进行，物料不裸露（不包括出渣、卸料时），并确保臭气不扩散。 </w:t>
            </w:r>
          </w:p>
        </w:tc>
        <w:tc>
          <w:tcPr>
            <w:tcW w:w="4060" w:type="dxa"/>
            <w:noWrap w:val="0"/>
            <w:vAlign w:val="center"/>
          </w:tcPr>
          <w:p w14:paraId="22610383">
            <w:pPr>
              <w:widowControl/>
              <w:spacing w:line="300" w:lineRule="exact"/>
              <w:jc w:val="left"/>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未密闭处置发现一次扣1分；物料裸露发现一次扣1分；有明显臭气发现一次扣1分。</w:t>
            </w:r>
          </w:p>
        </w:tc>
        <w:tc>
          <w:tcPr>
            <w:tcW w:w="504" w:type="dxa"/>
            <w:noWrap w:val="0"/>
            <w:vAlign w:val="center"/>
          </w:tcPr>
          <w:p w14:paraId="467BF31E">
            <w:pPr>
              <w:widowControl/>
              <w:spacing w:line="300" w:lineRule="exact"/>
              <w:jc w:val="left"/>
              <w:rPr>
                <w:rFonts w:hint="eastAsia" w:ascii="仿宋_GB2312" w:hAnsi="宋体" w:eastAsia="仿宋_GB2312" w:cs="宋体"/>
                <w:b/>
                <w:bCs/>
                <w:color w:val="auto"/>
                <w:kern w:val="0"/>
                <w:sz w:val="20"/>
                <w:highlight w:val="none"/>
              </w:rPr>
            </w:pPr>
            <w:r>
              <w:rPr>
                <w:rFonts w:hint="eastAsia" w:ascii="仿宋_GB2312" w:hAnsi="宋体" w:eastAsia="仿宋_GB2312" w:cs="宋体"/>
                <w:b/>
                <w:bCs/>
                <w:color w:val="auto"/>
                <w:kern w:val="0"/>
                <w:sz w:val="20"/>
                <w:highlight w:val="none"/>
              </w:rPr>
              <w:t>　</w:t>
            </w:r>
          </w:p>
        </w:tc>
        <w:tc>
          <w:tcPr>
            <w:tcW w:w="430" w:type="dxa"/>
            <w:noWrap w:val="0"/>
            <w:vAlign w:val="center"/>
          </w:tcPr>
          <w:p w14:paraId="67FA3B4A">
            <w:pPr>
              <w:widowControl/>
              <w:spacing w:line="300" w:lineRule="exact"/>
              <w:jc w:val="left"/>
              <w:rPr>
                <w:rFonts w:hint="eastAsia"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r>
      <w:tr w14:paraId="32101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431" w:type="dxa"/>
            <w:noWrap w:val="0"/>
            <w:vAlign w:val="center"/>
          </w:tcPr>
          <w:p w14:paraId="6DB32A2C">
            <w:pPr>
              <w:widowControl/>
              <w:spacing w:line="300" w:lineRule="exact"/>
              <w:jc w:val="center"/>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3</w:t>
            </w:r>
          </w:p>
        </w:tc>
        <w:tc>
          <w:tcPr>
            <w:tcW w:w="638" w:type="dxa"/>
            <w:noWrap w:val="0"/>
            <w:vAlign w:val="center"/>
          </w:tcPr>
          <w:p w14:paraId="54F24D70">
            <w:pPr>
              <w:widowControl/>
              <w:spacing w:line="300" w:lineRule="exact"/>
              <w:jc w:val="center"/>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场区</w:t>
            </w:r>
          </w:p>
          <w:p w14:paraId="057D5692">
            <w:pPr>
              <w:widowControl/>
              <w:spacing w:line="300" w:lineRule="exact"/>
              <w:jc w:val="center"/>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环境</w:t>
            </w:r>
          </w:p>
        </w:tc>
        <w:tc>
          <w:tcPr>
            <w:tcW w:w="430" w:type="dxa"/>
            <w:noWrap w:val="0"/>
            <w:vAlign w:val="center"/>
          </w:tcPr>
          <w:p w14:paraId="76E0449A">
            <w:pPr>
              <w:widowControl/>
              <w:spacing w:line="300" w:lineRule="exact"/>
              <w:jc w:val="center"/>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6</w:t>
            </w:r>
          </w:p>
        </w:tc>
        <w:tc>
          <w:tcPr>
            <w:tcW w:w="6564" w:type="dxa"/>
            <w:noWrap w:val="0"/>
            <w:vAlign w:val="center"/>
          </w:tcPr>
          <w:p w14:paraId="79D41D6E">
            <w:pPr>
              <w:widowControl/>
              <w:spacing w:line="300" w:lineRule="exact"/>
              <w:jc w:val="left"/>
              <w:rPr>
                <w:rFonts w:hint="eastAsia"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厂区及处理车间环境整洁，无暴露垃圾和污水，无杂物堆放，不孳生虫蝇，无明显异味；卸料间设置地面和设备冲洗设施及冲水排放系统，确保卸料完成后地面，墙壁等的洁净；卸料间、</w:t>
            </w:r>
            <w:r>
              <w:rPr>
                <w:rFonts w:hint="eastAsia" w:ascii="仿宋_GB2312" w:hAnsi="宋体" w:eastAsia="仿宋_GB2312" w:cs="宋体"/>
                <w:color w:val="auto"/>
                <w:kern w:val="0"/>
                <w:sz w:val="20"/>
                <w:highlight w:val="none"/>
              </w:rPr>
              <w:t>预处理分选出渣操作间</w:t>
            </w:r>
            <w:r>
              <w:rPr>
                <w:rFonts w:hint="eastAsia" w:ascii="仿宋_GB2312" w:hAnsi="宋体" w:eastAsia="仿宋_GB2312" w:cs="宋体"/>
                <w:color w:val="auto"/>
                <w:kern w:val="0"/>
                <w:sz w:val="20"/>
                <w:szCs w:val="20"/>
                <w:highlight w:val="none"/>
              </w:rPr>
              <w:t>应封闭；厂区及处理车间设置必要的除臭净化设施。</w:t>
            </w:r>
          </w:p>
        </w:tc>
        <w:tc>
          <w:tcPr>
            <w:tcW w:w="4060" w:type="dxa"/>
            <w:noWrap w:val="0"/>
            <w:vAlign w:val="center"/>
          </w:tcPr>
          <w:p w14:paraId="59C6329F">
            <w:pPr>
              <w:widowControl/>
              <w:spacing w:line="300" w:lineRule="exact"/>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有暴露垃圾和污水扣1分；有杂物堆放扣1分；卸料间未设置冲洗设施和排水系统扣1分；地面、墙壁未及时冲洗不洁净的扣1分；</w:t>
            </w:r>
            <w:r>
              <w:rPr>
                <w:rFonts w:hint="eastAsia" w:ascii="仿宋_GB2312" w:hAnsi="宋体" w:eastAsia="仿宋_GB2312" w:cs="宋体"/>
                <w:color w:val="auto"/>
                <w:kern w:val="0"/>
                <w:sz w:val="20"/>
                <w:szCs w:val="20"/>
                <w:highlight w:val="none"/>
              </w:rPr>
              <w:t>卸料间、</w:t>
            </w:r>
            <w:r>
              <w:rPr>
                <w:rFonts w:hint="eastAsia" w:ascii="仿宋_GB2312" w:hAnsi="宋体" w:eastAsia="仿宋_GB2312" w:cs="宋体"/>
                <w:color w:val="auto"/>
                <w:kern w:val="0"/>
                <w:sz w:val="20"/>
                <w:highlight w:val="none"/>
              </w:rPr>
              <w:t>预处理分选出渣操作间未封闭扣1分；</w:t>
            </w:r>
            <w:r>
              <w:rPr>
                <w:rFonts w:hint="eastAsia" w:ascii="仿宋_GB2312" w:hAnsi="宋体" w:eastAsia="仿宋_GB2312" w:cs="宋体"/>
                <w:color w:val="auto"/>
                <w:kern w:val="0"/>
                <w:sz w:val="20"/>
                <w:szCs w:val="20"/>
                <w:highlight w:val="none"/>
              </w:rPr>
              <w:t>产区及处理车间未设置除臭净化设施扣1分。</w:t>
            </w:r>
          </w:p>
        </w:tc>
        <w:tc>
          <w:tcPr>
            <w:tcW w:w="504" w:type="dxa"/>
            <w:noWrap w:val="0"/>
            <w:vAlign w:val="center"/>
          </w:tcPr>
          <w:p w14:paraId="4ACD730B">
            <w:pPr>
              <w:widowControl/>
              <w:spacing w:line="300" w:lineRule="exact"/>
              <w:jc w:val="left"/>
              <w:rPr>
                <w:rFonts w:hint="eastAsia" w:ascii="仿宋_GB2312" w:hAnsi="宋体" w:eastAsia="仿宋_GB2312" w:cs="宋体"/>
                <w:b/>
                <w:bCs/>
                <w:color w:val="auto"/>
                <w:kern w:val="0"/>
                <w:sz w:val="20"/>
                <w:highlight w:val="none"/>
              </w:rPr>
            </w:pPr>
            <w:r>
              <w:rPr>
                <w:rFonts w:hint="eastAsia" w:ascii="仿宋_GB2312" w:hAnsi="宋体" w:eastAsia="仿宋_GB2312" w:cs="宋体"/>
                <w:b/>
                <w:bCs/>
                <w:color w:val="auto"/>
                <w:kern w:val="0"/>
                <w:sz w:val="20"/>
                <w:highlight w:val="none"/>
              </w:rPr>
              <w:t>　</w:t>
            </w:r>
          </w:p>
        </w:tc>
        <w:tc>
          <w:tcPr>
            <w:tcW w:w="430" w:type="dxa"/>
            <w:noWrap w:val="0"/>
            <w:vAlign w:val="center"/>
          </w:tcPr>
          <w:p w14:paraId="598B05A5">
            <w:pPr>
              <w:widowControl/>
              <w:spacing w:line="300" w:lineRule="exact"/>
              <w:jc w:val="left"/>
              <w:rPr>
                <w:rFonts w:hint="eastAsia"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r>
      <w:tr w14:paraId="363D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31" w:type="dxa"/>
            <w:noWrap w:val="0"/>
            <w:vAlign w:val="center"/>
          </w:tcPr>
          <w:p w14:paraId="71E96132">
            <w:pPr>
              <w:widowControl/>
              <w:spacing w:line="300" w:lineRule="exact"/>
              <w:jc w:val="center"/>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二</w:t>
            </w:r>
          </w:p>
        </w:tc>
        <w:tc>
          <w:tcPr>
            <w:tcW w:w="638" w:type="dxa"/>
            <w:noWrap w:val="0"/>
            <w:vAlign w:val="center"/>
          </w:tcPr>
          <w:p w14:paraId="7CF36529">
            <w:pPr>
              <w:widowControl/>
              <w:spacing w:line="300" w:lineRule="exact"/>
              <w:jc w:val="center"/>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运营</w:t>
            </w:r>
          </w:p>
          <w:p w14:paraId="025DF323">
            <w:pPr>
              <w:widowControl/>
              <w:spacing w:line="300" w:lineRule="exact"/>
              <w:jc w:val="center"/>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管理</w:t>
            </w:r>
          </w:p>
        </w:tc>
        <w:tc>
          <w:tcPr>
            <w:tcW w:w="430" w:type="dxa"/>
            <w:noWrap w:val="0"/>
            <w:vAlign w:val="center"/>
          </w:tcPr>
          <w:p w14:paraId="217E837A">
            <w:pPr>
              <w:widowControl/>
              <w:spacing w:line="300" w:lineRule="exact"/>
              <w:jc w:val="center"/>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90</w:t>
            </w:r>
          </w:p>
        </w:tc>
        <w:tc>
          <w:tcPr>
            <w:tcW w:w="6564" w:type="dxa"/>
            <w:noWrap w:val="0"/>
            <w:vAlign w:val="center"/>
          </w:tcPr>
          <w:p w14:paraId="2E6F00CF">
            <w:pPr>
              <w:widowControl/>
              <w:spacing w:line="300" w:lineRule="exact"/>
              <w:jc w:val="center"/>
              <w:rPr>
                <w:rFonts w:hint="eastAsia" w:ascii="仿宋_GB2312" w:hAnsi="宋体" w:eastAsia="仿宋_GB2312" w:cs="宋体"/>
                <w:color w:val="auto"/>
                <w:kern w:val="0"/>
                <w:sz w:val="20"/>
                <w:szCs w:val="24"/>
                <w:highlight w:val="none"/>
              </w:rPr>
            </w:pPr>
            <w:r>
              <w:rPr>
                <w:rFonts w:hint="eastAsia" w:ascii="仿宋_GB2312" w:hAnsi="宋体" w:eastAsia="仿宋_GB2312" w:cs="宋体"/>
                <w:color w:val="auto"/>
                <w:kern w:val="0"/>
                <w:sz w:val="20"/>
                <w:szCs w:val="24"/>
                <w:highlight w:val="none"/>
              </w:rPr>
              <w:t>　</w:t>
            </w:r>
          </w:p>
        </w:tc>
        <w:tc>
          <w:tcPr>
            <w:tcW w:w="4060" w:type="dxa"/>
            <w:noWrap w:val="0"/>
            <w:vAlign w:val="center"/>
          </w:tcPr>
          <w:p w14:paraId="17117785">
            <w:pPr>
              <w:widowControl/>
              <w:spacing w:line="300" w:lineRule="exact"/>
              <w:jc w:val="left"/>
              <w:rPr>
                <w:rFonts w:hint="eastAsia" w:ascii="仿宋_GB2312" w:hAnsi="宋体" w:eastAsia="仿宋_GB2312" w:cs="宋体"/>
                <w:color w:val="auto"/>
                <w:kern w:val="0"/>
                <w:sz w:val="20"/>
                <w:highlight w:val="none"/>
              </w:rPr>
            </w:pPr>
          </w:p>
        </w:tc>
        <w:tc>
          <w:tcPr>
            <w:tcW w:w="504" w:type="dxa"/>
            <w:noWrap w:val="0"/>
            <w:vAlign w:val="center"/>
          </w:tcPr>
          <w:p w14:paraId="7990B9C7">
            <w:pPr>
              <w:widowControl/>
              <w:spacing w:line="300" w:lineRule="exact"/>
              <w:jc w:val="left"/>
              <w:rPr>
                <w:rFonts w:hint="eastAsia" w:ascii="仿宋_GB2312" w:hAnsi="宋体" w:eastAsia="仿宋_GB2312" w:cs="宋体"/>
                <w:b/>
                <w:bCs/>
                <w:color w:val="auto"/>
                <w:kern w:val="0"/>
                <w:sz w:val="20"/>
                <w:highlight w:val="none"/>
              </w:rPr>
            </w:pPr>
            <w:r>
              <w:rPr>
                <w:rFonts w:hint="eastAsia" w:ascii="仿宋_GB2312" w:hAnsi="宋体" w:eastAsia="仿宋_GB2312" w:cs="宋体"/>
                <w:b/>
                <w:bCs/>
                <w:color w:val="auto"/>
                <w:kern w:val="0"/>
                <w:sz w:val="20"/>
                <w:highlight w:val="none"/>
              </w:rPr>
              <w:t>　</w:t>
            </w:r>
          </w:p>
        </w:tc>
        <w:tc>
          <w:tcPr>
            <w:tcW w:w="430" w:type="dxa"/>
            <w:noWrap w:val="0"/>
            <w:vAlign w:val="center"/>
          </w:tcPr>
          <w:p w14:paraId="6EC63AD9">
            <w:pPr>
              <w:widowControl/>
              <w:spacing w:line="300" w:lineRule="exact"/>
              <w:jc w:val="left"/>
              <w:rPr>
                <w:rFonts w:hint="eastAsia"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r>
      <w:tr w14:paraId="185F0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431" w:type="dxa"/>
            <w:noWrap w:val="0"/>
            <w:vAlign w:val="center"/>
          </w:tcPr>
          <w:p w14:paraId="21666AD0">
            <w:pPr>
              <w:widowControl/>
              <w:spacing w:line="300" w:lineRule="exact"/>
              <w:jc w:val="center"/>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4</w:t>
            </w:r>
          </w:p>
        </w:tc>
        <w:tc>
          <w:tcPr>
            <w:tcW w:w="638" w:type="dxa"/>
            <w:noWrap w:val="0"/>
            <w:vAlign w:val="center"/>
          </w:tcPr>
          <w:p w14:paraId="2123A77B">
            <w:pPr>
              <w:widowControl/>
              <w:spacing w:line="300" w:lineRule="exact"/>
              <w:jc w:val="center"/>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接收</w:t>
            </w:r>
          </w:p>
        </w:tc>
        <w:tc>
          <w:tcPr>
            <w:tcW w:w="430" w:type="dxa"/>
            <w:noWrap w:val="0"/>
            <w:vAlign w:val="center"/>
          </w:tcPr>
          <w:p w14:paraId="4B68725F">
            <w:pPr>
              <w:widowControl/>
              <w:spacing w:line="300" w:lineRule="exact"/>
              <w:jc w:val="left"/>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10</w:t>
            </w:r>
          </w:p>
        </w:tc>
        <w:tc>
          <w:tcPr>
            <w:tcW w:w="6564" w:type="dxa"/>
            <w:noWrap w:val="0"/>
            <w:vAlign w:val="center"/>
          </w:tcPr>
          <w:p w14:paraId="6EDB2BAF">
            <w:pPr>
              <w:widowControl/>
              <w:spacing w:line="300" w:lineRule="exact"/>
              <w:jc w:val="left"/>
              <w:rPr>
                <w:rFonts w:hint="eastAsia" w:ascii="仿宋_GB2312" w:hAnsi="宋体" w:eastAsia="仿宋_GB2312" w:cs="宋体"/>
                <w:color w:val="auto"/>
                <w:kern w:val="0"/>
                <w:sz w:val="20"/>
                <w:szCs w:val="20"/>
                <w:highlight w:val="none"/>
                <w:lang w:eastAsia="zh-CN"/>
              </w:rPr>
            </w:pPr>
            <w:r>
              <w:rPr>
                <w:rFonts w:hint="eastAsia" w:ascii="仿宋_GB2312" w:hAnsi="宋体" w:eastAsia="仿宋_GB2312" w:cs="宋体"/>
                <w:color w:val="auto"/>
                <w:kern w:val="0"/>
                <w:sz w:val="20"/>
                <w:szCs w:val="20"/>
                <w:highlight w:val="none"/>
              </w:rPr>
              <w:t>1、每天在规定时间内不间断接收餐厨垃圾，满足２辆车辆同时有序安全地卸料, 卸料过程中避免飞溅和溢洒。</w:t>
            </w:r>
          </w:p>
          <w:p w14:paraId="070AE103">
            <w:pPr>
              <w:pStyle w:val="2"/>
              <w:rPr>
                <w:rFonts w:hint="eastAsia"/>
                <w:color w:val="auto"/>
                <w:highlight w:val="none"/>
                <w:lang w:eastAsia="zh-CN"/>
              </w:rPr>
            </w:pPr>
          </w:p>
          <w:p w14:paraId="638B6D8B">
            <w:pPr>
              <w:widowControl/>
              <w:spacing w:line="300" w:lineRule="exact"/>
              <w:jc w:val="left"/>
              <w:rPr>
                <w:rFonts w:hint="eastAsia" w:ascii="仿宋_GB2312" w:hAnsi="宋体" w:eastAsia="仿宋_GB2312" w:cs="宋体"/>
                <w:color w:val="auto"/>
                <w:kern w:val="0"/>
                <w:sz w:val="20"/>
                <w:szCs w:val="20"/>
                <w:highlight w:val="none"/>
              </w:rPr>
            </w:pPr>
            <w:r>
              <w:rPr>
                <w:rFonts w:hint="eastAsia" w:ascii="仿宋_GB2312" w:hAnsi="宋体" w:eastAsia="仿宋_GB2312"/>
                <w:color w:val="auto"/>
                <w:sz w:val="20"/>
                <w:szCs w:val="20"/>
                <w:highlight w:val="none"/>
              </w:rPr>
              <w:t>2、严禁接纳未经监管方认可的餐厨垃圾，严禁其他垃圾进厂处置。</w:t>
            </w:r>
          </w:p>
        </w:tc>
        <w:tc>
          <w:tcPr>
            <w:tcW w:w="4060" w:type="dxa"/>
            <w:noWrap w:val="0"/>
            <w:vAlign w:val="center"/>
          </w:tcPr>
          <w:p w14:paraId="0E5BA0DF">
            <w:pPr>
              <w:widowControl/>
              <w:spacing w:line="300" w:lineRule="exact"/>
              <w:jc w:val="left"/>
              <w:rPr>
                <w:rFonts w:hint="eastAsia" w:ascii="仿宋_GB2312" w:hAnsi="宋体" w:eastAsia="仿宋_GB2312" w:cs="宋体"/>
                <w:color w:val="auto"/>
                <w:kern w:val="0"/>
                <w:sz w:val="20"/>
                <w:highlight w:val="none"/>
                <w:lang w:eastAsia="zh-CN"/>
              </w:rPr>
            </w:pPr>
            <w:r>
              <w:rPr>
                <w:rFonts w:hint="eastAsia" w:ascii="仿宋_GB2312" w:hAnsi="宋体" w:eastAsia="仿宋_GB2312" w:cs="宋体"/>
                <w:color w:val="auto"/>
                <w:kern w:val="0"/>
                <w:sz w:val="20"/>
                <w:highlight w:val="none"/>
              </w:rPr>
              <w:t>1、不符合第一款的，每次扣1分。</w:t>
            </w:r>
          </w:p>
          <w:p w14:paraId="65C3D366">
            <w:pPr>
              <w:pStyle w:val="2"/>
              <w:rPr>
                <w:rFonts w:hint="eastAsia"/>
                <w:color w:val="auto"/>
                <w:highlight w:val="none"/>
                <w:lang w:eastAsia="zh-CN"/>
              </w:rPr>
            </w:pPr>
          </w:p>
          <w:p w14:paraId="4CF5FA48">
            <w:pPr>
              <w:widowControl/>
              <w:spacing w:line="300" w:lineRule="exact"/>
              <w:jc w:val="left"/>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2、不符合第二款的，每车次扣2分，且垃圾量不计入当月垃圾处理费结算范畴。</w:t>
            </w:r>
          </w:p>
        </w:tc>
        <w:tc>
          <w:tcPr>
            <w:tcW w:w="504" w:type="dxa"/>
            <w:noWrap w:val="0"/>
            <w:vAlign w:val="center"/>
          </w:tcPr>
          <w:p w14:paraId="5C2627EA">
            <w:pPr>
              <w:widowControl/>
              <w:spacing w:line="300" w:lineRule="exact"/>
              <w:jc w:val="left"/>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　</w:t>
            </w:r>
          </w:p>
        </w:tc>
        <w:tc>
          <w:tcPr>
            <w:tcW w:w="430" w:type="dxa"/>
            <w:noWrap w:val="0"/>
            <w:vAlign w:val="center"/>
          </w:tcPr>
          <w:p w14:paraId="1B9B9E44">
            <w:pPr>
              <w:widowControl/>
              <w:spacing w:line="300" w:lineRule="exact"/>
              <w:jc w:val="left"/>
              <w:rPr>
                <w:rFonts w:hint="eastAsia" w:ascii="仿宋_GB2312" w:hAnsi="宋体" w:eastAsia="仿宋_GB2312" w:cs="宋体"/>
                <w:color w:val="auto"/>
                <w:kern w:val="0"/>
                <w:sz w:val="22"/>
                <w:highlight w:val="none"/>
              </w:rPr>
            </w:pPr>
            <w:r>
              <w:rPr>
                <w:rFonts w:hint="eastAsia" w:ascii="仿宋_GB2312" w:hAnsi="宋体" w:eastAsia="仿宋_GB2312" w:cs="宋体"/>
                <w:color w:val="auto"/>
                <w:kern w:val="0"/>
                <w:sz w:val="22"/>
                <w:highlight w:val="none"/>
              </w:rPr>
              <w:t>　</w:t>
            </w:r>
          </w:p>
        </w:tc>
      </w:tr>
      <w:tr w14:paraId="4CC0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431" w:type="dxa"/>
            <w:noWrap w:val="0"/>
            <w:vAlign w:val="center"/>
          </w:tcPr>
          <w:p w14:paraId="6ACDA193">
            <w:pPr>
              <w:widowControl/>
              <w:spacing w:line="300" w:lineRule="exact"/>
              <w:jc w:val="center"/>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5</w:t>
            </w:r>
          </w:p>
        </w:tc>
        <w:tc>
          <w:tcPr>
            <w:tcW w:w="638" w:type="dxa"/>
            <w:noWrap w:val="0"/>
            <w:vAlign w:val="center"/>
          </w:tcPr>
          <w:p w14:paraId="399A8C7A">
            <w:pPr>
              <w:widowControl/>
              <w:spacing w:line="300" w:lineRule="exact"/>
              <w:jc w:val="center"/>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计量</w:t>
            </w:r>
          </w:p>
        </w:tc>
        <w:tc>
          <w:tcPr>
            <w:tcW w:w="430" w:type="dxa"/>
            <w:noWrap w:val="0"/>
            <w:vAlign w:val="center"/>
          </w:tcPr>
          <w:p w14:paraId="43253452">
            <w:pPr>
              <w:widowControl/>
              <w:spacing w:line="300" w:lineRule="exact"/>
              <w:jc w:val="left"/>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10</w:t>
            </w:r>
          </w:p>
        </w:tc>
        <w:tc>
          <w:tcPr>
            <w:tcW w:w="6564" w:type="dxa"/>
            <w:noWrap w:val="0"/>
            <w:vAlign w:val="center"/>
          </w:tcPr>
          <w:p w14:paraId="6DDEB667">
            <w:pPr>
              <w:widowControl/>
              <w:spacing w:line="300" w:lineRule="exact"/>
              <w:jc w:val="left"/>
              <w:rPr>
                <w:rFonts w:hint="eastAsia"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1、建立完善的计量管理制度，配备专职司磅员，不得擅自离岗，并利用流量计、称重系统等对餐厨垃圾，污水、废渣、沼渣、再生资源产品等进行计量。</w:t>
            </w:r>
          </w:p>
          <w:p w14:paraId="313B96A1">
            <w:pPr>
              <w:widowControl/>
              <w:spacing w:line="300" w:lineRule="exact"/>
              <w:jc w:val="left"/>
              <w:rPr>
                <w:rFonts w:hint="eastAsia"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2、计量设备由运营方负责维护、维修，确保计量系统的准确性，校准检查或日常运行中发现系统异常等问题的，运营方须在10天内自费完成修理或更换。</w:t>
            </w:r>
          </w:p>
          <w:p w14:paraId="424BADF5">
            <w:pPr>
              <w:widowControl/>
              <w:spacing w:line="300" w:lineRule="exact"/>
              <w:jc w:val="left"/>
              <w:rPr>
                <w:rFonts w:hint="eastAsia"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3、运营方至少每年要委托有相应资质的机构对计量设备、系统的准确性进行一次校准检查。</w:t>
            </w:r>
          </w:p>
        </w:tc>
        <w:tc>
          <w:tcPr>
            <w:tcW w:w="4060" w:type="dxa"/>
            <w:noWrap w:val="0"/>
            <w:vAlign w:val="center"/>
          </w:tcPr>
          <w:p w14:paraId="5E6EB0FC">
            <w:pPr>
              <w:widowControl/>
              <w:spacing w:line="300" w:lineRule="exact"/>
              <w:jc w:val="left"/>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1、不符合第一款的，每次扣1分。</w:t>
            </w:r>
          </w:p>
          <w:p w14:paraId="60A4533D">
            <w:pPr>
              <w:widowControl/>
              <w:spacing w:line="300" w:lineRule="exact"/>
              <w:jc w:val="left"/>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2、不符合第二款的，每次扣2分。</w:t>
            </w:r>
          </w:p>
          <w:p w14:paraId="3A950368">
            <w:pPr>
              <w:widowControl/>
              <w:spacing w:line="300" w:lineRule="exact"/>
              <w:jc w:val="left"/>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3、不符合第三款的，每次扣5分。</w:t>
            </w:r>
          </w:p>
        </w:tc>
        <w:tc>
          <w:tcPr>
            <w:tcW w:w="504" w:type="dxa"/>
            <w:noWrap w:val="0"/>
            <w:vAlign w:val="center"/>
          </w:tcPr>
          <w:p w14:paraId="16E5A6E8">
            <w:pPr>
              <w:widowControl/>
              <w:spacing w:line="300" w:lineRule="exact"/>
              <w:jc w:val="left"/>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　</w:t>
            </w:r>
          </w:p>
        </w:tc>
        <w:tc>
          <w:tcPr>
            <w:tcW w:w="430" w:type="dxa"/>
            <w:noWrap w:val="0"/>
            <w:vAlign w:val="center"/>
          </w:tcPr>
          <w:p w14:paraId="3BD5833E">
            <w:pPr>
              <w:widowControl/>
              <w:spacing w:line="300" w:lineRule="exact"/>
              <w:jc w:val="left"/>
              <w:rPr>
                <w:rFonts w:hint="eastAsia" w:ascii="仿宋_GB2312" w:hAnsi="宋体" w:eastAsia="仿宋_GB2312" w:cs="宋体"/>
                <w:color w:val="auto"/>
                <w:kern w:val="0"/>
                <w:sz w:val="22"/>
                <w:highlight w:val="none"/>
              </w:rPr>
            </w:pPr>
            <w:r>
              <w:rPr>
                <w:rFonts w:hint="eastAsia" w:ascii="仿宋_GB2312" w:hAnsi="宋体" w:eastAsia="仿宋_GB2312" w:cs="宋体"/>
                <w:color w:val="auto"/>
                <w:kern w:val="0"/>
                <w:sz w:val="22"/>
                <w:highlight w:val="none"/>
              </w:rPr>
              <w:t>　</w:t>
            </w:r>
          </w:p>
        </w:tc>
      </w:tr>
      <w:tr w14:paraId="7604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431" w:type="dxa"/>
            <w:noWrap w:val="0"/>
            <w:vAlign w:val="center"/>
          </w:tcPr>
          <w:p w14:paraId="58DB5102">
            <w:pPr>
              <w:widowControl/>
              <w:spacing w:line="300" w:lineRule="exact"/>
              <w:jc w:val="center"/>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6</w:t>
            </w:r>
          </w:p>
        </w:tc>
        <w:tc>
          <w:tcPr>
            <w:tcW w:w="638" w:type="dxa"/>
            <w:noWrap w:val="0"/>
            <w:vAlign w:val="center"/>
          </w:tcPr>
          <w:p w14:paraId="7E05C098">
            <w:pPr>
              <w:widowControl/>
              <w:spacing w:line="300" w:lineRule="exact"/>
              <w:jc w:val="center"/>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物料分选与输送</w:t>
            </w:r>
          </w:p>
        </w:tc>
        <w:tc>
          <w:tcPr>
            <w:tcW w:w="430" w:type="dxa"/>
            <w:noWrap w:val="0"/>
            <w:vAlign w:val="center"/>
          </w:tcPr>
          <w:p w14:paraId="06E7C5AB">
            <w:pPr>
              <w:widowControl/>
              <w:spacing w:line="300" w:lineRule="exact"/>
              <w:jc w:val="left"/>
              <w:rPr>
                <w:rFonts w:hint="eastAsia"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5</w:t>
            </w:r>
          </w:p>
        </w:tc>
        <w:tc>
          <w:tcPr>
            <w:tcW w:w="6564" w:type="dxa"/>
            <w:noWrap w:val="0"/>
            <w:vAlign w:val="center"/>
          </w:tcPr>
          <w:p w14:paraId="4954DE03">
            <w:pPr>
              <w:adjustRightInd w:val="0"/>
              <w:spacing w:line="300" w:lineRule="exact"/>
              <w:rPr>
                <w:rFonts w:hint="eastAsia" w:ascii="仿宋_GB2312" w:hAnsi="宋体" w:eastAsia="仿宋_GB2312"/>
                <w:color w:val="auto"/>
                <w:sz w:val="20"/>
                <w:szCs w:val="20"/>
                <w:highlight w:val="none"/>
              </w:rPr>
            </w:pPr>
            <w:r>
              <w:rPr>
                <w:rFonts w:hint="eastAsia" w:ascii="仿宋_GB2312" w:hAnsi="宋体" w:eastAsia="仿宋_GB2312"/>
                <w:color w:val="auto"/>
                <w:sz w:val="20"/>
                <w:szCs w:val="20"/>
                <w:highlight w:val="none"/>
              </w:rPr>
              <w:t>1、运营方应对进厂的餐厨垃圾进行前段机械预处理分选，分选设备应密闭，分选过程基本密闭。</w:t>
            </w:r>
          </w:p>
          <w:p w14:paraId="07614B5B">
            <w:pPr>
              <w:adjustRightInd w:val="0"/>
              <w:spacing w:line="300" w:lineRule="exact"/>
              <w:rPr>
                <w:rFonts w:hint="eastAsia" w:ascii="仿宋_GB2312" w:hAnsi="宋体" w:eastAsia="仿宋_GB2312"/>
                <w:color w:val="auto"/>
                <w:sz w:val="20"/>
                <w:szCs w:val="20"/>
                <w:highlight w:val="none"/>
              </w:rPr>
            </w:pPr>
            <w:r>
              <w:rPr>
                <w:rFonts w:hint="eastAsia" w:ascii="仿宋_GB2312" w:hAnsi="宋体" w:eastAsia="仿宋_GB2312"/>
                <w:color w:val="auto"/>
                <w:sz w:val="20"/>
                <w:szCs w:val="20"/>
                <w:highlight w:val="none"/>
              </w:rPr>
              <w:t xml:space="preserve">2、分选出餐厨垃圾中混杂的不可降解物含量应小于5%，分选后产生的废渣不得参杂大量餐厨垃圾。 </w:t>
            </w:r>
          </w:p>
        </w:tc>
        <w:tc>
          <w:tcPr>
            <w:tcW w:w="4060" w:type="dxa"/>
            <w:noWrap w:val="0"/>
            <w:vAlign w:val="center"/>
          </w:tcPr>
          <w:p w14:paraId="06125C66">
            <w:pPr>
              <w:widowControl/>
              <w:spacing w:line="300" w:lineRule="exact"/>
              <w:jc w:val="left"/>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1、不符合第一款要求的，每次扣1分。</w:t>
            </w:r>
          </w:p>
          <w:p w14:paraId="614DCD9A">
            <w:pPr>
              <w:widowControl/>
              <w:spacing w:line="300" w:lineRule="exact"/>
              <w:jc w:val="left"/>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2、不符合第二款要求的，每次扣1分。</w:t>
            </w:r>
          </w:p>
        </w:tc>
        <w:tc>
          <w:tcPr>
            <w:tcW w:w="504" w:type="dxa"/>
            <w:noWrap w:val="0"/>
            <w:vAlign w:val="center"/>
          </w:tcPr>
          <w:p w14:paraId="41164188">
            <w:pPr>
              <w:widowControl/>
              <w:spacing w:line="300" w:lineRule="exact"/>
              <w:jc w:val="left"/>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　</w:t>
            </w:r>
          </w:p>
        </w:tc>
        <w:tc>
          <w:tcPr>
            <w:tcW w:w="430" w:type="dxa"/>
            <w:noWrap w:val="0"/>
            <w:vAlign w:val="center"/>
          </w:tcPr>
          <w:p w14:paraId="5066D516">
            <w:pPr>
              <w:widowControl/>
              <w:spacing w:line="300" w:lineRule="exact"/>
              <w:jc w:val="left"/>
              <w:rPr>
                <w:rFonts w:hint="eastAsia" w:ascii="仿宋_GB2312" w:hAnsi="宋体" w:eastAsia="仿宋_GB2312" w:cs="宋体"/>
                <w:color w:val="auto"/>
                <w:kern w:val="0"/>
                <w:sz w:val="22"/>
                <w:highlight w:val="none"/>
              </w:rPr>
            </w:pPr>
            <w:r>
              <w:rPr>
                <w:rFonts w:hint="eastAsia" w:ascii="仿宋_GB2312" w:hAnsi="宋体" w:eastAsia="仿宋_GB2312" w:cs="宋体"/>
                <w:color w:val="auto"/>
                <w:kern w:val="0"/>
                <w:sz w:val="22"/>
                <w:highlight w:val="none"/>
              </w:rPr>
              <w:t>　</w:t>
            </w:r>
          </w:p>
        </w:tc>
      </w:tr>
      <w:tr w14:paraId="4BA91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431" w:type="dxa"/>
            <w:noWrap w:val="0"/>
            <w:vAlign w:val="center"/>
          </w:tcPr>
          <w:p w14:paraId="26C5DDAB">
            <w:pPr>
              <w:widowControl/>
              <w:spacing w:line="300" w:lineRule="exact"/>
              <w:jc w:val="center"/>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7</w:t>
            </w:r>
          </w:p>
        </w:tc>
        <w:tc>
          <w:tcPr>
            <w:tcW w:w="638" w:type="dxa"/>
            <w:noWrap w:val="0"/>
            <w:vAlign w:val="center"/>
          </w:tcPr>
          <w:p w14:paraId="24EEF5D6">
            <w:pPr>
              <w:widowControl/>
              <w:spacing w:line="300" w:lineRule="exact"/>
              <w:jc w:val="center"/>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后端生化处理</w:t>
            </w:r>
          </w:p>
        </w:tc>
        <w:tc>
          <w:tcPr>
            <w:tcW w:w="430" w:type="dxa"/>
            <w:noWrap w:val="0"/>
            <w:vAlign w:val="center"/>
          </w:tcPr>
          <w:p w14:paraId="6AEF9DD8">
            <w:pPr>
              <w:widowControl/>
              <w:spacing w:line="300" w:lineRule="exact"/>
              <w:jc w:val="left"/>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5</w:t>
            </w:r>
          </w:p>
        </w:tc>
        <w:tc>
          <w:tcPr>
            <w:tcW w:w="6564" w:type="dxa"/>
            <w:noWrap w:val="0"/>
            <w:vAlign w:val="center"/>
          </w:tcPr>
          <w:p w14:paraId="222191BA">
            <w:pPr>
              <w:widowControl/>
              <w:spacing w:line="300" w:lineRule="exact"/>
              <w:rPr>
                <w:rFonts w:hint="eastAsia" w:ascii="仿宋_GB2312" w:hAnsi="宋体" w:eastAsia="仿宋_GB2312" w:cs="宋体"/>
                <w:color w:val="auto"/>
                <w:kern w:val="0"/>
                <w:sz w:val="20"/>
                <w:szCs w:val="20"/>
                <w:highlight w:val="none"/>
                <w:lang w:eastAsia="zh-CN"/>
              </w:rPr>
            </w:pPr>
            <w:r>
              <w:rPr>
                <w:rFonts w:hint="eastAsia" w:ascii="仿宋_GB2312" w:hAnsi="宋体" w:eastAsia="仿宋_GB2312" w:cs="宋体"/>
                <w:color w:val="auto"/>
                <w:kern w:val="0"/>
                <w:sz w:val="20"/>
                <w:szCs w:val="20"/>
                <w:highlight w:val="none"/>
              </w:rPr>
              <w:t>1、生化处理设备和过程密闭。</w:t>
            </w:r>
          </w:p>
          <w:p w14:paraId="44E377FB">
            <w:pPr>
              <w:pStyle w:val="2"/>
              <w:rPr>
                <w:rFonts w:hint="eastAsia"/>
                <w:color w:val="auto"/>
                <w:highlight w:val="none"/>
                <w:lang w:eastAsia="zh-CN"/>
              </w:rPr>
            </w:pPr>
          </w:p>
          <w:p w14:paraId="0E7CBFC7">
            <w:pPr>
              <w:widowControl/>
              <w:spacing w:line="300" w:lineRule="exact"/>
              <w:rPr>
                <w:rFonts w:hint="eastAsia"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2、处理时间和温度能保证产品的工艺要求。</w:t>
            </w:r>
          </w:p>
          <w:p w14:paraId="395C410B">
            <w:pPr>
              <w:widowControl/>
              <w:spacing w:line="300" w:lineRule="exact"/>
              <w:rPr>
                <w:rFonts w:hint="eastAsia"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3、对生化处理过程所产生的废气进行收集及处理。</w:t>
            </w:r>
          </w:p>
        </w:tc>
        <w:tc>
          <w:tcPr>
            <w:tcW w:w="4060" w:type="dxa"/>
            <w:noWrap w:val="0"/>
            <w:vAlign w:val="center"/>
          </w:tcPr>
          <w:p w14:paraId="04EBD792">
            <w:pPr>
              <w:widowControl/>
              <w:spacing w:line="300" w:lineRule="exact"/>
              <w:jc w:val="left"/>
              <w:rPr>
                <w:rFonts w:hint="eastAsia" w:ascii="仿宋_GB2312" w:hAnsi="宋体" w:eastAsia="仿宋_GB2312" w:cs="宋体"/>
                <w:color w:val="auto"/>
                <w:kern w:val="0"/>
                <w:sz w:val="20"/>
                <w:highlight w:val="none"/>
                <w:lang w:eastAsia="zh-CN"/>
              </w:rPr>
            </w:pPr>
            <w:r>
              <w:rPr>
                <w:rFonts w:hint="eastAsia" w:ascii="仿宋_GB2312" w:hAnsi="宋体" w:eastAsia="仿宋_GB2312" w:cs="宋体"/>
                <w:color w:val="auto"/>
                <w:kern w:val="0"/>
                <w:sz w:val="20"/>
                <w:highlight w:val="none"/>
              </w:rPr>
              <w:t>1、不符合第一款的，每次扣1分。</w:t>
            </w:r>
          </w:p>
          <w:p w14:paraId="15028C9A">
            <w:pPr>
              <w:pStyle w:val="2"/>
              <w:rPr>
                <w:rFonts w:hint="eastAsia"/>
                <w:color w:val="auto"/>
                <w:highlight w:val="none"/>
                <w:lang w:eastAsia="zh-CN"/>
              </w:rPr>
            </w:pPr>
          </w:p>
          <w:p w14:paraId="493C12FA">
            <w:pPr>
              <w:widowControl/>
              <w:spacing w:line="300" w:lineRule="exact"/>
              <w:jc w:val="left"/>
              <w:rPr>
                <w:rFonts w:hint="eastAsia" w:ascii="仿宋_GB2312" w:hAnsi="宋体" w:eastAsia="仿宋_GB2312" w:cs="宋体"/>
                <w:color w:val="auto"/>
                <w:kern w:val="0"/>
                <w:sz w:val="20"/>
                <w:highlight w:val="none"/>
                <w:lang w:eastAsia="zh-CN"/>
              </w:rPr>
            </w:pPr>
            <w:r>
              <w:rPr>
                <w:rFonts w:hint="eastAsia" w:ascii="仿宋_GB2312" w:hAnsi="宋体" w:eastAsia="仿宋_GB2312" w:cs="宋体"/>
                <w:color w:val="auto"/>
                <w:kern w:val="0"/>
                <w:sz w:val="20"/>
                <w:highlight w:val="none"/>
              </w:rPr>
              <w:t>2、不符合第二款的，每次扣1分。</w:t>
            </w:r>
          </w:p>
          <w:p w14:paraId="5796AF20">
            <w:pPr>
              <w:pStyle w:val="2"/>
              <w:rPr>
                <w:rFonts w:hint="eastAsia"/>
                <w:color w:val="auto"/>
                <w:highlight w:val="none"/>
                <w:lang w:eastAsia="zh-CN"/>
              </w:rPr>
            </w:pPr>
          </w:p>
          <w:p w14:paraId="7CB3E4C6">
            <w:pPr>
              <w:widowControl/>
              <w:spacing w:line="300" w:lineRule="exact"/>
              <w:jc w:val="left"/>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3、不符合第三款的，每次扣1分。</w:t>
            </w:r>
          </w:p>
        </w:tc>
        <w:tc>
          <w:tcPr>
            <w:tcW w:w="504" w:type="dxa"/>
            <w:noWrap w:val="0"/>
            <w:vAlign w:val="center"/>
          </w:tcPr>
          <w:p w14:paraId="6E5C94F6">
            <w:pPr>
              <w:widowControl/>
              <w:spacing w:line="300" w:lineRule="exact"/>
              <w:jc w:val="left"/>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　</w:t>
            </w:r>
          </w:p>
        </w:tc>
        <w:tc>
          <w:tcPr>
            <w:tcW w:w="430" w:type="dxa"/>
            <w:noWrap w:val="0"/>
            <w:vAlign w:val="center"/>
          </w:tcPr>
          <w:p w14:paraId="678E3D4B">
            <w:pPr>
              <w:widowControl/>
              <w:spacing w:line="300" w:lineRule="exact"/>
              <w:jc w:val="left"/>
              <w:rPr>
                <w:rFonts w:hint="eastAsia" w:ascii="仿宋_GB2312" w:hAnsi="宋体" w:eastAsia="仿宋_GB2312" w:cs="宋体"/>
                <w:color w:val="auto"/>
                <w:kern w:val="0"/>
                <w:sz w:val="22"/>
                <w:highlight w:val="none"/>
              </w:rPr>
            </w:pPr>
            <w:r>
              <w:rPr>
                <w:rFonts w:hint="eastAsia" w:ascii="仿宋_GB2312" w:hAnsi="宋体" w:eastAsia="仿宋_GB2312" w:cs="宋体"/>
                <w:color w:val="auto"/>
                <w:kern w:val="0"/>
                <w:sz w:val="22"/>
                <w:highlight w:val="none"/>
              </w:rPr>
              <w:t>　</w:t>
            </w:r>
          </w:p>
        </w:tc>
      </w:tr>
      <w:tr w14:paraId="6A1A8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431" w:type="dxa"/>
            <w:noWrap w:val="0"/>
            <w:vAlign w:val="center"/>
          </w:tcPr>
          <w:p w14:paraId="6DFEB87C">
            <w:pPr>
              <w:widowControl/>
              <w:spacing w:line="300" w:lineRule="exact"/>
              <w:jc w:val="center"/>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8</w:t>
            </w:r>
          </w:p>
        </w:tc>
        <w:tc>
          <w:tcPr>
            <w:tcW w:w="638" w:type="dxa"/>
            <w:noWrap w:val="0"/>
            <w:vAlign w:val="center"/>
          </w:tcPr>
          <w:p w14:paraId="0DE07F84">
            <w:pPr>
              <w:widowControl/>
              <w:spacing w:line="300" w:lineRule="exact"/>
              <w:jc w:val="center"/>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再生油脂等产品</w:t>
            </w:r>
          </w:p>
        </w:tc>
        <w:tc>
          <w:tcPr>
            <w:tcW w:w="430" w:type="dxa"/>
            <w:noWrap w:val="0"/>
            <w:vAlign w:val="center"/>
          </w:tcPr>
          <w:p w14:paraId="1662946F">
            <w:pPr>
              <w:widowControl/>
              <w:spacing w:line="300" w:lineRule="exact"/>
              <w:jc w:val="left"/>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5</w:t>
            </w:r>
          </w:p>
        </w:tc>
        <w:tc>
          <w:tcPr>
            <w:tcW w:w="6564" w:type="dxa"/>
            <w:noWrap w:val="0"/>
            <w:vAlign w:val="center"/>
          </w:tcPr>
          <w:p w14:paraId="3D7BF079">
            <w:pPr>
              <w:widowControl/>
              <w:spacing w:line="300" w:lineRule="exact"/>
              <w:rPr>
                <w:rFonts w:hint="eastAsia" w:ascii="仿宋_GB2312" w:hAnsi="宋体" w:eastAsia="仿宋_GB2312" w:cs="宋体"/>
                <w:color w:val="auto"/>
                <w:kern w:val="0"/>
                <w:sz w:val="20"/>
                <w:szCs w:val="20"/>
                <w:highlight w:val="none"/>
                <w:lang w:eastAsia="zh-CN"/>
              </w:rPr>
            </w:pPr>
            <w:r>
              <w:rPr>
                <w:rFonts w:hint="eastAsia" w:ascii="仿宋_GB2312" w:hAnsi="宋体" w:eastAsia="仿宋_GB2312" w:cs="宋体"/>
                <w:color w:val="auto"/>
                <w:kern w:val="0"/>
                <w:sz w:val="20"/>
                <w:szCs w:val="20"/>
                <w:highlight w:val="none"/>
              </w:rPr>
              <w:t>1、再生油脂等产品质量、以及其去向，应符合相关法规、标准规定。</w:t>
            </w:r>
          </w:p>
          <w:p w14:paraId="02284ABA">
            <w:pPr>
              <w:pStyle w:val="2"/>
              <w:rPr>
                <w:rFonts w:hint="eastAsia"/>
                <w:color w:val="auto"/>
                <w:highlight w:val="none"/>
                <w:lang w:eastAsia="zh-CN"/>
              </w:rPr>
            </w:pPr>
          </w:p>
          <w:p w14:paraId="7F8DBF85">
            <w:pPr>
              <w:widowControl/>
              <w:spacing w:line="300" w:lineRule="exact"/>
              <w:rPr>
                <w:rFonts w:hint="eastAsia"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2、再生油脂必须提供给具备经批准废弃油脂回收或利用资格的企业。</w:t>
            </w:r>
          </w:p>
        </w:tc>
        <w:tc>
          <w:tcPr>
            <w:tcW w:w="4060" w:type="dxa"/>
            <w:noWrap w:val="0"/>
            <w:vAlign w:val="center"/>
          </w:tcPr>
          <w:p w14:paraId="60919081">
            <w:pPr>
              <w:widowControl/>
              <w:spacing w:line="300" w:lineRule="exact"/>
              <w:jc w:val="left"/>
              <w:rPr>
                <w:rFonts w:hint="eastAsia" w:ascii="仿宋_GB2312" w:hAnsi="宋体" w:eastAsia="仿宋_GB2312" w:cs="宋体"/>
                <w:color w:val="auto"/>
                <w:kern w:val="0"/>
                <w:sz w:val="20"/>
                <w:highlight w:val="none"/>
                <w:lang w:eastAsia="zh-CN"/>
              </w:rPr>
            </w:pPr>
            <w:r>
              <w:rPr>
                <w:rFonts w:hint="eastAsia" w:ascii="仿宋_GB2312" w:hAnsi="宋体" w:eastAsia="仿宋_GB2312" w:cs="宋体"/>
                <w:color w:val="auto"/>
                <w:kern w:val="0"/>
                <w:sz w:val="20"/>
                <w:highlight w:val="none"/>
              </w:rPr>
              <w:t>1、不符合第一款的，每次扣1分。</w:t>
            </w:r>
          </w:p>
          <w:p w14:paraId="33B23C63">
            <w:pPr>
              <w:pStyle w:val="2"/>
              <w:rPr>
                <w:rFonts w:hint="eastAsia"/>
                <w:color w:val="auto"/>
                <w:highlight w:val="none"/>
                <w:lang w:eastAsia="zh-CN"/>
              </w:rPr>
            </w:pPr>
          </w:p>
          <w:p w14:paraId="4F0B6D1F">
            <w:pPr>
              <w:widowControl/>
              <w:spacing w:line="300" w:lineRule="exact"/>
              <w:jc w:val="left"/>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2、不符合第二款的，每次加扣1分。</w:t>
            </w:r>
          </w:p>
        </w:tc>
        <w:tc>
          <w:tcPr>
            <w:tcW w:w="504" w:type="dxa"/>
            <w:noWrap w:val="0"/>
            <w:vAlign w:val="center"/>
          </w:tcPr>
          <w:p w14:paraId="55A6C6EC">
            <w:pPr>
              <w:widowControl/>
              <w:spacing w:line="300" w:lineRule="exact"/>
              <w:jc w:val="left"/>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　</w:t>
            </w:r>
          </w:p>
        </w:tc>
        <w:tc>
          <w:tcPr>
            <w:tcW w:w="430" w:type="dxa"/>
            <w:noWrap w:val="0"/>
            <w:vAlign w:val="center"/>
          </w:tcPr>
          <w:p w14:paraId="015486BE">
            <w:pPr>
              <w:widowControl/>
              <w:spacing w:line="300" w:lineRule="exact"/>
              <w:jc w:val="left"/>
              <w:rPr>
                <w:rFonts w:hint="eastAsia" w:ascii="仿宋_GB2312" w:hAnsi="宋体" w:eastAsia="仿宋_GB2312" w:cs="宋体"/>
                <w:color w:val="auto"/>
                <w:kern w:val="0"/>
                <w:sz w:val="22"/>
                <w:highlight w:val="none"/>
              </w:rPr>
            </w:pPr>
            <w:r>
              <w:rPr>
                <w:rFonts w:hint="eastAsia" w:ascii="仿宋_GB2312" w:hAnsi="宋体" w:eastAsia="仿宋_GB2312" w:cs="宋体"/>
                <w:color w:val="auto"/>
                <w:kern w:val="0"/>
                <w:sz w:val="22"/>
                <w:highlight w:val="none"/>
              </w:rPr>
              <w:t>　</w:t>
            </w:r>
          </w:p>
        </w:tc>
      </w:tr>
      <w:tr w14:paraId="00601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431" w:type="dxa"/>
            <w:noWrap w:val="0"/>
            <w:vAlign w:val="center"/>
          </w:tcPr>
          <w:p w14:paraId="0C2C4D74">
            <w:pPr>
              <w:widowControl/>
              <w:spacing w:line="300" w:lineRule="exact"/>
              <w:jc w:val="center"/>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9</w:t>
            </w:r>
          </w:p>
        </w:tc>
        <w:tc>
          <w:tcPr>
            <w:tcW w:w="638" w:type="dxa"/>
            <w:noWrap w:val="0"/>
            <w:vAlign w:val="center"/>
          </w:tcPr>
          <w:p w14:paraId="26922981">
            <w:pPr>
              <w:widowControl/>
              <w:spacing w:line="300" w:lineRule="exact"/>
              <w:jc w:val="center"/>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设施设备维护</w:t>
            </w:r>
          </w:p>
        </w:tc>
        <w:tc>
          <w:tcPr>
            <w:tcW w:w="430" w:type="dxa"/>
            <w:noWrap w:val="0"/>
            <w:vAlign w:val="center"/>
          </w:tcPr>
          <w:p w14:paraId="2B2DD03D">
            <w:pPr>
              <w:widowControl/>
              <w:spacing w:line="300" w:lineRule="exact"/>
              <w:jc w:val="left"/>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10</w:t>
            </w:r>
          </w:p>
        </w:tc>
        <w:tc>
          <w:tcPr>
            <w:tcW w:w="6564" w:type="dxa"/>
            <w:noWrap w:val="0"/>
            <w:vAlign w:val="center"/>
          </w:tcPr>
          <w:p w14:paraId="0CE0F3FC">
            <w:pPr>
              <w:widowControl/>
              <w:spacing w:line="300" w:lineRule="exact"/>
              <w:jc w:val="left"/>
              <w:rPr>
                <w:rFonts w:hint="eastAsia"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1、运营方应在每运营年度结束日60天前，向监管方提供下一运营年度的维护与维修计划，经监管方批准后严格按照检修计划实施检修工作。</w:t>
            </w:r>
          </w:p>
          <w:p w14:paraId="0B6C249F">
            <w:pPr>
              <w:widowControl/>
              <w:spacing w:line="300" w:lineRule="exact"/>
              <w:jc w:val="left"/>
              <w:rPr>
                <w:rFonts w:hint="eastAsia"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2、餐厨垃圾处置设施需要进行计划外维修的，必须经监管方同意后方可实施。</w:t>
            </w:r>
          </w:p>
          <w:p w14:paraId="69A88ED4">
            <w:pPr>
              <w:widowControl/>
              <w:spacing w:line="300" w:lineRule="exact"/>
              <w:jc w:val="left"/>
              <w:rPr>
                <w:rFonts w:hint="eastAsia" w:ascii="仿宋_GB2312" w:hAnsi="宋体" w:eastAsia="仿宋_GB2312" w:cs="宋体"/>
                <w:color w:val="auto"/>
                <w:kern w:val="0"/>
                <w:sz w:val="20"/>
                <w:szCs w:val="20"/>
                <w:highlight w:val="none"/>
              </w:rPr>
            </w:pPr>
            <w:r>
              <w:rPr>
                <w:rFonts w:hint="eastAsia" w:ascii="仿宋_GB2312" w:hAnsi="宋体" w:eastAsia="仿宋_GB2312"/>
                <w:color w:val="auto"/>
                <w:sz w:val="20"/>
                <w:szCs w:val="20"/>
                <w:highlight w:val="none"/>
              </w:rPr>
              <w:t>3、污水处理罐、沼气储存罐以及特种设备的维护保养应按国家和行业的有关规定执行，并建立操作档案</w:t>
            </w:r>
            <w:r>
              <w:rPr>
                <w:rFonts w:hint="eastAsia" w:ascii="仿宋_GB2312" w:hAnsi="宋体" w:eastAsia="仿宋_GB2312" w:cs="宋体"/>
                <w:color w:val="auto"/>
                <w:kern w:val="0"/>
                <w:sz w:val="20"/>
                <w:szCs w:val="20"/>
                <w:highlight w:val="none"/>
              </w:rPr>
              <w:t>。</w:t>
            </w:r>
          </w:p>
        </w:tc>
        <w:tc>
          <w:tcPr>
            <w:tcW w:w="4060" w:type="dxa"/>
            <w:noWrap w:val="0"/>
            <w:vAlign w:val="center"/>
          </w:tcPr>
          <w:p w14:paraId="3CB70CBC">
            <w:pPr>
              <w:widowControl/>
              <w:spacing w:line="300" w:lineRule="exact"/>
              <w:jc w:val="left"/>
              <w:rPr>
                <w:rFonts w:hint="eastAsia" w:ascii="仿宋_GB2312" w:hAnsi="宋体" w:eastAsia="仿宋_GB2312" w:cs="宋体"/>
                <w:color w:val="auto"/>
                <w:kern w:val="0"/>
                <w:sz w:val="20"/>
                <w:highlight w:val="none"/>
                <w:lang w:eastAsia="zh-CN"/>
              </w:rPr>
            </w:pPr>
            <w:r>
              <w:rPr>
                <w:rFonts w:hint="eastAsia" w:ascii="仿宋_GB2312" w:hAnsi="宋体" w:eastAsia="仿宋_GB2312" w:cs="宋体"/>
                <w:color w:val="auto"/>
                <w:kern w:val="0"/>
                <w:sz w:val="20"/>
                <w:highlight w:val="none"/>
              </w:rPr>
              <w:t>1、不报扣3分，迟报扣2分。</w:t>
            </w:r>
          </w:p>
          <w:p w14:paraId="30CA29D2">
            <w:pPr>
              <w:pStyle w:val="2"/>
              <w:rPr>
                <w:rFonts w:hint="eastAsia"/>
                <w:color w:val="auto"/>
                <w:highlight w:val="none"/>
                <w:lang w:eastAsia="zh-CN"/>
              </w:rPr>
            </w:pPr>
          </w:p>
          <w:p w14:paraId="6A26A939">
            <w:pPr>
              <w:widowControl/>
              <w:spacing w:line="300" w:lineRule="exact"/>
              <w:jc w:val="left"/>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2、不报按无故停运处理。</w:t>
            </w:r>
          </w:p>
          <w:p w14:paraId="5E298AEF">
            <w:pPr>
              <w:widowControl/>
              <w:spacing w:line="300" w:lineRule="exact"/>
              <w:jc w:val="left"/>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3、不符合第三款的，每次扣2分；</w:t>
            </w:r>
          </w:p>
        </w:tc>
        <w:tc>
          <w:tcPr>
            <w:tcW w:w="504" w:type="dxa"/>
            <w:noWrap w:val="0"/>
            <w:vAlign w:val="center"/>
          </w:tcPr>
          <w:p w14:paraId="61AFEA56">
            <w:pPr>
              <w:widowControl/>
              <w:spacing w:line="300" w:lineRule="exact"/>
              <w:jc w:val="left"/>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　</w:t>
            </w:r>
          </w:p>
        </w:tc>
        <w:tc>
          <w:tcPr>
            <w:tcW w:w="430" w:type="dxa"/>
            <w:noWrap w:val="0"/>
            <w:vAlign w:val="center"/>
          </w:tcPr>
          <w:p w14:paraId="76ADFCF8">
            <w:pPr>
              <w:widowControl/>
              <w:spacing w:line="300" w:lineRule="exact"/>
              <w:jc w:val="left"/>
              <w:rPr>
                <w:rFonts w:hint="eastAsia" w:ascii="仿宋_GB2312" w:hAnsi="宋体" w:eastAsia="仿宋_GB2312" w:cs="宋体"/>
                <w:color w:val="auto"/>
                <w:kern w:val="0"/>
                <w:sz w:val="22"/>
                <w:highlight w:val="none"/>
              </w:rPr>
            </w:pPr>
            <w:r>
              <w:rPr>
                <w:rFonts w:hint="eastAsia" w:ascii="仿宋_GB2312" w:hAnsi="宋体" w:eastAsia="仿宋_GB2312" w:cs="宋体"/>
                <w:color w:val="auto"/>
                <w:kern w:val="0"/>
                <w:sz w:val="22"/>
                <w:highlight w:val="none"/>
              </w:rPr>
              <w:t>　</w:t>
            </w:r>
          </w:p>
        </w:tc>
      </w:tr>
      <w:tr w14:paraId="6230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431" w:type="dxa"/>
            <w:noWrap w:val="0"/>
            <w:vAlign w:val="center"/>
          </w:tcPr>
          <w:p w14:paraId="1B22BD22">
            <w:pPr>
              <w:widowControl/>
              <w:spacing w:line="300" w:lineRule="exact"/>
              <w:jc w:val="center"/>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10</w:t>
            </w:r>
          </w:p>
        </w:tc>
        <w:tc>
          <w:tcPr>
            <w:tcW w:w="638" w:type="dxa"/>
            <w:noWrap w:val="0"/>
            <w:vAlign w:val="center"/>
          </w:tcPr>
          <w:p w14:paraId="1E3FE602">
            <w:pPr>
              <w:widowControl/>
              <w:spacing w:line="300" w:lineRule="exact"/>
              <w:jc w:val="center"/>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应急处置</w:t>
            </w:r>
          </w:p>
        </w:tc>
        <w:tc>
          <w:tcPr>
            <w:tcW w:w="430" w:type="dxa"/>
            <w:noWrap w:val="0"/>
            <w:vAlign w:val="center"/>
          </w:tcPr>
          <w:p w14:paraId="43E00B29">
            <w:pPr>
              <w:widowControl/>
              <w:spacing w:line="300" w:lineRule="exact"/>
              <w:jc w:val="left"/>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10</w:t>
            </w:r>
          </w:p>
        </w:tc>
        <w:tc>
          <w:tcPr>
            <w:tcW w:w="6564" w:type="dxa"/>
            <w:noWrap w:val="0"/>
            <w:vAlign w:val="center"/>
          </w:tcPr>
          <w:p w14:paraId="607832DC">
            <w:pPr>
              <w:rPr>
                <w:rFonts w:hint="eastAsia"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1、建立健全突发事件应急预案，发生应急事件或安全事故，必须30分钟内报告监管方，12小时内向监管方提交书面报告。</w:t>
            </w:r>
          </w:p>
          <w:p w14:paraId="67C88C48">
            <w:pPr>
              <w:rPr>
                <w:rFonts w:hint="eastAsia"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2、</w:t>
            </w:r>
            <w:r>
              <w:rPr>
                <w:rFonts w:hint="eastAsia" w:ascii="仿宋_GB2312" w:hAnsi="宋体" w:eastAsia="仿宋_GB2312"/>
                <w:color w:val="auto"/>
                <w:sz w:val="20"/>
                <w:szCs w:val="20"/>
                <w:highlight w:val="none"/>
              </w:rPr>
              <w:t>油脂储存间、燃料间和中央控制室等火灾易发设施应设置消防设施，设有可燃气体管道和储存设施的车间应设置可燃气体消防报警设施，</w:t>
            </w:r>
            <w:r>
              <w:rPr>
                <w:rFonts w:hint="eastAsia" w:ascii="仿宋_GB2312" w:hAnsi="宋体" w:eastAsia="仿宋_GB2312" w:cs="宋体"/>
                <w:color w:val="auto"/>
                <w:kern w:val="0"/>
                <w:sz w:val="20"/>
                <w:szCs w:val="20"/>
                <w:highlight w:val="none"/>
              </w:rPr>
              <w:t>并确保紧急情况下能正常使用。</w:t>
            </w:r>
          </w:p>
        </w:tc>
        <w:tc>
          <w:tcPr>
            <w:tcW w:w="4060" w:type="dxa"/>
            <w:noWrap w:val="0"/>
            <w:vAlign w:val="center"/>
          </w:tcPr>
          <w:p w14:paraId="07D9CE21">
            <w:pPr>
              <w:widowControl/>
              <w:spacing w:line="300" w:lineRule="exact"/>
              <w:jc w:val="left"/>
              <w:rPr>
                <w:rFonts w:hint="eastAsia" w:ascii="仿宋_GB2312" w:hAnsi="宋体" w:eastAsia="仿宋_GB2312" w:cs="宋体"/>
                <w:color w:val="auto"/>
                <w:kern w:val="0"/>
                <w:sz w:val="20"/>
                <w:highlight w:val="none"/>
                <w:lang w:eastAsia="zh-CN"/>
              </w:rPr>
            </w:pPr>
            <w:r>
              <w:rPr>
                <w:rFonts w:hint="eastAsia" w:ascii="仿宋_GB2312" w:hAnsi="宋体" w:eastAsia="仿宋_GB2312" w:cs="宋体"/>
                <w:color w:val="auto"/>
                <w:kern w:val="0"/>
                <w:sz w:val="20"/>
                <w:highlight w:val="none"/>
              </w:rPr>
              <w:t>1、不报扣3分，迟报扣2分。</w:t>
            </w:r>
          </w:p>
          <w:p w14:paraId="2E609637">
            <w:pPr>
              <w:pStyle w:val="2"/>
              <w:rPr>
                <w:rFonts w:hint="eastAsia"/>
                <w:color w:val="auto"/>
                <w:highlight w:val="none"/>
                <w:lang w:eastAsia="zh-CN"/>
              </w:rPr>
            </w:pPr>
          </w:p>
          <w:p w14:paraId="7B369478">
            <w:pPr>
              <w:widowControl/>
              <w:spacing w:line="300" w:lineRule="exact"/>
              <w:jc w:val="left"/>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2、不符合第二款的，每处扣2分。</w:t>
            </w:r>
          </w:p>
        </w:tc>
        <w:tc>
          <w:tcPr>
            <w:tcW w:w="504" w:type="dxa"/>
            <w:noWrap w:val="0"/>
            <w:vAlign w:val="center"/>
          </w:tcPr>
          <w:p w14:paraId="30527755">
            <w:pPr>
              <w:widowControl/>
              <w:spacing w:line="300" w:lineRule="exact"/>
              <w:jc w:val="left"/>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　</w:t>
            </w:r>
          </w:p>
        </w:tc>
        <w:tc>
          <w:tcPr>
            <w:tcW w:w="430" w:type="dxa"/>
            <w:noWrap w:val="0"/>
            <w:vAlign w:val="center"/>
          </w:tcPr>
          <w:p w14:paraId="660BBF35">
            <w:pPr>
              <w:widowControl/>
              <w:spacing w:line="300" w:lineRule="exact"/>
              <w:jc w:val="left"/>
              <w:rPr>
                <w:rFonts w:hint="eastAsia" w:ascii="仿宋_GB2312" w:hAnsi="宋体" w:eastAsia="仿宋_GB2312" w:cs="宋体"/>
                <w:color w:val="auto"/>
                <w:kern w:val="0"/>
                <w:sz w:val="22"/>
                <w:highlight w:val="none"/>
              </w:rPr>
            </w:pPr>
            <w:r>
              <w:rPr>
                <w:rFonts w:hint="eastAsia" w:ascii="仿宋_GB2312" w:hAnsi="宋体" w:eastAsia="仿宋_GB2312" w:cs="宋体"/>
                <w:color w:val="auto"/>
                <w:kern w:val="0"/>
                <w:sz w:val="22"/>
                <w:highlight w:val="none"/>
              </w:rPr>
              <w:t>　</w:t>
            </w:r>
          </w:p>
        </w:tc>
      </w:tr>
      <w:tr w14:paraId="77B60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431" w:type="dxa"/>
            <w:noWrap w:val="0"/>
            <w:vAlign w:val="center"/>
          </w:tcPr>
          <w:p w14:paraId="00607D7F">
            <w:pPr>
              <w:widowControl/>
              <w:spacing w:line="300" w:lineRule="exact"/>
              <w:jc w:val="center"/>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11</w:t>
            </w:r>
          </w:p>
        </w:tc>
        <w:tc>
          <w:tcPr>
            <w:tcW w:w="638" w:type="dxa"/>
            <w:noWrap w:val="0"/>
            <w:vAlign w:val="center"/>
          </w:tcPr>
          <w:p w14:paraId="1B5F011B">
            <w:pPr>
              <w:widowControl/>
              <w:spacing w:line="300" w:lineRule="exact"/>
              <w:jc w:val="center"/>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安全操作</w:t>
            </w:r>
          </w:p>
        </w:tc>
        <w:tc>
          <w:tcPr>
            <w:tcW w:w="430" w:type="dxa"/>
            <w:noWrap w:val="0"/>
            <w:vAlign w:val="center"/>
          </w:tcPr>
          <w:p w14:paraId="7980A9E6">
            <w:pPr>
              <w:widowControl/>
              <w:spacing w:line="300" w:lineRule="exact"/>
              <w:jc w:val="left"/>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5</w:t>
            </w:r>
          </w:p>
        </w:tc>
        <w:tc>
          <w:tcPr>
            <w:tcW w:w="6564" w:type="dxa"/>
            <w:noWrap w:val="0"/>
            <w:vAlign w:val="center"/>
          </w:tcPr>
          <w:p w14:paraId="3B14ECA6">
            <w:pPr>
              <w:widowControl/>
              <w:spacing w:line="300" w:lineRule="exact"/>
              <w:rPr>
                <w:rFonts w:hint="eastAsia"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处置过程的安全卫生管理应符合现行国家标准《生产过程安全卫生要求总则》(GB/T 12801-2008)的有关规定。</w:t>
            </w:r>
            <w:r>
              <w:rPr>
                <w:rFonts w:hint="eastAsia" w:ascii="仿宋_GB2312" w:hAnsi="宋体" w:eastAsia="仿宋_GB2312"/>
                <w:color w:val="auto"/>
                <w:sz w:val="20"/>
                <w:szCs w:val="20"/>
                <w:highlight w:val="none"/>
              </w:rPr>
              <w:t>采取职业病防治、卫生防疫和劳动保护措施，对员工进行相关法律法规、专业技术、安全防护、环境保护、应急处理等理论知识和操作技能培训，培训合格方能上岗操作，特殊工种需持证上岗；同时应按国家有关规定定期安排人工进行体检，建立员工健康档案。</w:t>
            </w:r>
          </w:p>
        </w:tc>
        <w:tc>
          <w:tcPr>
            <w:tcW w:w="4060" w:type="dxa"/>
            <w:noWrap w:val="0"/>
            <w:vAlign w:val="center"/>
          </w:tcPr>
          <w:p w14:paraId="37CDBAA2">
            <w:pPr>
              <w:widowControl/>
              <w:spacing w:line="300" w:lineRule="exact"/>
              <w:jc w:val="left"/>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不符合要求，无证上岗的每人/次扣0.5分；发生安全或卫生事故的，每次扣2分。</w:t>
            </w:r>
          </w:p>
        </w:tc>
        <w:tc>
          <w:tcPr>
            <w:tcW w:w="504" w:type="dxa"/>
            <w:noWrap w:val="0"/>
            <w:vAlign w:val="center"/>
          </w:tcPr>
          <w:p w14:paraId="6010C052">
            <w:pPr>
              <w:widowControl/>
              <w:spacing w:line="300" w:lineRule="exact"/>
              <w:jc w:val="left"/>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　</w:t>
            </w:r>
          </w:p>
        </w:tc>
        <w:tc>
          <w:tcPr>
            <w:tcW w:w="430" w:type="dxa"/>
            <w:noWrap w:val="0"/>
            <w:vAlign w:val="center"/>
          </w:tcPr>
          <w:p w14:paraId="6B8EABB9">
            <w:pPr>
              <w:widowControl/>
              <w:spacing w:line="300" w:lineRule="exact"/>
              <w:jc w:val="left"/>
              <w:rPr>
                <w:rFonts w:hint="eastAsia" w:ascii="仿宋_GB2312" w:hAnsi="宋体" w:eastAsia="仿宋_GB2312" w:cs="宋体"/>
                <w:color w:val="auto"/>
                <w:kern w:val="0"/>
                <w:sz w:val="22"/>
                <w:highlight w:val="none"/>
              </w:rPr>
            </w:pPr>
            <w:r>
              <w:rPr>
                <w:rFonts w:hint="eastAsia" w:ascii="仿宋_GB2312" w:hAnsi="宋体" w:eastAsia="仿宋_GB2312" w:cs="宋体"/>
                <w:color w:val="auto"/>
                <w:kern w:val="0"/>
                <w:sz w:val="22"/>
                <w:highlight w:val="none"/>
              </w:rPr>
              <w:t>　</w:t>
            </w:r>
          </w:p>
        </w:tc>
      </w:tr>
      <w:tr w14:paraId="247B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431" w:type="dxa"/>
            <w:noWrap w:val="0"/>
            <w:vAlign w:val="center"/>
          </w:tcPr>
          <w:p w14:paraId="65C96458">
            <w:pPr>
              <w:widowControl/>
              <w:spacing w:line="300" w:lineRule="exact"/>
              <w:jc w:val="center"/>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12</w:t>
            </w:r>
          </w:p>
        </w:tc>
        <w:tc>
          <w:tcPr>
            <w:tcW w:w="638" w:type="dxa"/>
            <w:noWrap w:val="0"/>
            <w:vAlign w:val="center"/>
          </w:tcPr>
          <w:p w14:paraId="5AC20192">
            <w:pPr>
              <w:widowControl/>
              <w:spacing w:line="300" w:lineRule="exact"/>
              <w:jc w:val="center"/>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污染物减排与处置</w:t>
            </w:r>
          </w:p>
        </w:tc>
        <w:tc>
          <w:tcPr>
            <w:tcW w:w="430" w:type="dxa"/>
            <w:noWrap w:val="0"/>
            <w:vAlign w:val="center"/>
          </w:tcPr>
          <w:p w14:paraId="7803C7E4">
            <w:pPr>
              <w:widowControl/>
              <w:spacing w:line="300" w:lineRule="exact"/>
              <w:jc w:val="left"/>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10</w:t>
            </w:r>
          </w:p>
        </w:tc>
        <w:tc>
          <w:tcPr>
            <w:tcW w:w="6564" w:type="dxa"/>
            <w:noWrap w:val="0"/>
            <w:vAlign w:val="center"/>
          </w:tcPr>
          <w:p w14:paraId="6FAE8B18">
            <w:pPr>
              <w:widowControl/>
              <w:spacing w:line="300" w:lineRule="exact"/>
              <w:rPr>
                <w:rFonts w:hint="eastAsia" w:ascii="仿宋_GB2312" w:hAnsi="宋体" w:eastAsia="仿宋_GB2312" w:cs="宋体"/>
                <w:color w:val="auto"/>
                <w:kern w:val="0"/>
                <w:sz w:val="20"/>
                <w:szCs w:val="20"/>
                <w:highlight w:val="none"/>
                <w:lang w:eastAsia="zh-CN"/>
              </w:rPr>
            </w:pPr>
            <w:r>
              <w:rPr>
                <w:rFonts w:hint="eastAsia" w:ascii="仿宋_GB2312" w:hAnsi="宋体" w:eastAsia="仿宋_GB2312" w:cs="宋体"/>
                <w:color w:val="auto"/>
                <w:kern w:val="0"/>
                <w:sz w:val="20"/>
                <w:szCs w:val="20"/>
                <w:highlight w:val="none"/>
              </w:rPr>
              <w:t>1、</w:t>
            </w:r>
            <w:r>
              <w:rPr>
                <w:rFonts w:hint="eastAsia" w:ascii="仿宋_GB2312" w:hAnsi="宋体" w:eastAsia="仿宋_GB2312"/>
                <w:color w:val="auto"/>
                <w:sz w:val="20"/>
                <w:szCs w:val="20"/>
                <w:highlight w:val="none"/>
              </w:rPr>
              <w:t>废渣和脱水后的沼渣含水率低于40%，统一由运营方运至政府指定的地点进行无害化处置，外运车辆应密闭，过程中无垃圾撒落、无污水滴漏</w:t>
            </w:r>
            <w:r>
              <w:rPr>
                <w:rFonts w:hint="eastAsia" w:ascii="仿宋_GB2312" w:hAnsi="宋体" w:eastAsia="仿宋_GB2312" w:cs="宋体"/>
                <w:color w:val="auto"/>
                <w:kern w:val="0"/>
                <w:sz w:val="20"/>
                <w:szCs w:val="20"/>
                <w:highlight w:val="none"/>
              </w:rPr>
              <w:t>。</w:t>
            </w:r>
          </w:p>
          <w:p w14:paraId="72C91F96">
            <w:pPr>
              <w:pStyle w:val="2"/>
              <w:rPr>
                <w:rFonts w:hint="eastAsia"/>
                <w:color w:val="auto"/>
                <w:highlight w:val="none"/>
                <w:lang w:eastAsia="zh-CN"/>
              </w:rPr>
            </w:pPr>
          </w:p>
          <w:p w14:paraId="1CAF9643">
            <w:pPr>
              <w:widowControl/>
              <w:spacing w:line="300" w:lineRule="exact"/>
              <w:rPr>
                <w:rFonts w:hint="eastAsia"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2、污染物的排放应达到现行标准，或环境影响评价批复的排放标准（就高原则）。</w:t>
            </w:r>
          </w:p>
        </w:tc>
        <w:tc>
          <w:tcPr>
            <w:tcW w:w="4060" w:type="dxa"/>
            <w:noWrap w:val="0"/>
            <w:vAlign w:val="center"/>
          </w:tcPr>
          <w:p w14:paraId="2FB3E24A">
            <w:pPr>
              <w:widowControl/>
              <w:spacing w:line="300" w:lineRule="exact"/>
              <w:jc w:val="left"/>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1、不符合第一款的，含水率未低于40%，每车次扣1分；未运至政府指定的地点进行无害化处置的每车次扣1分；外运车辆未密闭发生滴撒漏现象的每次扣 1分。</w:t>
            </w:r>
          </w:p>
          <w:p w14:paraId="0489309E">
            <w:pPr>
              <w:widowControl/>
              <w:spacing w:line="300" w:lineRule="exact"/>
              <w:jc w:val="left"/>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2、不符合第二款的，每次扣2分并扣除当日垃圾处置费的20%。</w:t>
            </w:r>
          </w:p>
        </w:tc>
        <w:tc>
          <w:tcPr>
            <w:tcW w:w="504" w:type="dxa"/>
            <w:noWrap w:val="0"/>
            <w:vAlign w:val="center"/>
          </w:tcPr>
          <w:p w14:paraId="20E04065">
            <w:pPr>
              <w:widowControl/>
              <w:spacing w:line="300" w:lineRule="exact"/>
              <w:jc w:val="left"/>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　</w:t>
            </w:r>
          </w:p>
        </w:tc>
        <w:tc>
          <w:tcPr>
            <w:tcW w:w="430" w:type="dxa"/>
            <w:noWrap w:val="0"/>
            <w:vAlign w:val="center"/>
          </w:tcPr>
          <w:p w14:paraId="26133228">
            <w:pPr>
              <w:widowControl/>
              <w:spacing w:line="300" w:lineRule="exact"/>
              <w:jc w:val="left"/>
              <w:rPr>
                <w:rFonts w:hint="eastAsia" w:ascii="仿宋_GB2312" w:hAnsi="宋体" w:eastAsia="仿宋_GB2312" w:cs="宋体"/>
                <w:color w:val="auto"/>
                <w:kern w:val="0"/>
                <w:sz w:val="22"/>
                <w:highlight w:val="none"/>
              </w:rPr>
            </w:pPr>
            <w:r>
              <w:rPr>
                <w:rFonts w:hint="eastAsia" w:ascii="仿宋_GB2312" w:hAnsi="宋体" w:eastAsia="仿宋_GB2312" w:cs="宋体"/>
                <w:color w:val="auto"/>
                <w:kern w:val="0"/>
                <w:sz w:val="22"/>
                <w:highlight w:val="none"/>
              </w:rPr>
              <w:t>　</w:t>
            </w:r>
          </w:p>
        </w:tc>
      </w:tr>
      <w:tr w14:paraId="2FEF2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431" w:type="dxa"/>
            <w:noWrap w:val="0"/>
            <w:vAlign w:val="center"/>
          </w:tcPr>
          <w:p w14:paraId="488C1A9F">
            <w:pPr>
              <w:widowControl/>
              <w:spacing w:line="300" w:lineRule="exact"/>
              <w:jc w:val="center"/>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13</w:t>
            </w:r>
          </w:p>
        </w:tc>
        <w:tc>
          <w:tcPr>
            <w:tcW w:w="638" w:type="dxa"/>
            <w:noWrap w:val="0"/>
            <w:vAlign w:val="center"/>
          </w:tcPr>
          <w:p w14:paraId="474A1B99">
            <w:pPr>
              <w:widowControl/>
              <w:spacing w:line="300" w:lineRule="exact"/>
              <w:jc w:val="center"/>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环境与污染物监测</w:t>
            </w:r>
          </w:p>
        </w:tc>
        <w:tc>
          <w:tcPr>
            <w:tcW w:w="430" w:type="dxa"/>
            <w:noWrap w:val="0"/>
            <w:vAlign w:val="center"/>
          </w:tcPr>
          <w:p w14:paraId="3C4F8459">
            <w:pPr>
              <w:widowControl/>
              <w:spacing w:line="300" w:lineRule="exact"/>
              <w:jc w:val="left"/>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10</w:t>
            </w:r>
          </w:p>
        </w:tc>
        <w:tc>
          <w:tcPr>
            <w:tcW w:w="6564" w:type="dxa"/>
            <w:noWrap w:val="0"/>
            <w:vAlign w:val="center"/>
          </w:tcPr>
          <w:p w14:paraId="4C79831E">
            <w:pPr>
              <w:widowControl/>
              <w:spacing w:line="300" w:lineRule="exact"/>
              <w:rPr>
                <w:rFonts w:hint="eastAsia"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运营方每季度要委托具备资质的机构对废气、污水、恶臭等进行一次监测，每年要委托具备资质的机构对噪音进行一次监测，监测结果30日内报送监管方，如发生超标须随时报告。</w:t>
            </w:r>
          </w:p>
        </w:tc>
        <w:tc>
          <w:tcPr>
            <w:tcW w:w="4060" w:type="dxa"/>
            <w:noWrap w:val="0"/>
            <w:vAlign w:val="center"/>
          </w:tcPr>
          <w:p w14:paraId="70E94542">
            <w:pPr>
              <w:widowControl/>
              <w:spacing w:line="300" w:lineRule="exact"/>
              <w:jc w:val="left"/>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监测结果未报送的每次每项扣1分；迟报的每次每项扣0.5分；监测超标未报告的每次每项扣2分。</w:t>
            </w:r>
          </w:p>
        </w:tc>
        <w:tc>
          <w:tcPr>
            <w:tcW w:w="504" w:type="dxa"/>
            <w:noWrap w:val="0"/>
            <w:vAlign w:val="center"/>
          </w:tcPr>
          <w:p w14:paraId="1FA504B3">
            <w:pPr>
              <w:widowControl/>
              <w:spacing w:line="300" w:lineRule="exact"/>
              <w:jc w:val="left"/>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　</w:t>
            </w:r>
          </w:p>
        </w:tc>
        <w:tc>
          <w:tcPr>
            <w:tcW w:w="430" w:type="dxa"/>
            <w:noWrap w:val="0"/>
            <w:vAlign w:val="center"/>
          </w:tcPr>
          <w:p w14:paraId="3F788480">
            <w:pPr>
              <w:widowControl/>
              <w:spacing w:line="300" w:lineRule="exact"/>
              <w:jc w:val="left"/>
              <w:rPr>
                <w:rFonts w:hint="eastAsia" w:ascii="仿宋_GB2312" w:hAnsi="宋体" w:eastAsia="仿宋_GB2312" w:cs="宋体"/>
                <w:color w:val="auto"/>
                <w:kern w:val="0"/>
                <w:sz w:val="22"/>
                <w:highlight w:val="none"/>
              </w:rPr>
            </w:pPr>
            <w:r>
              <w:rPr>
                <w:rFonts w:hint="eastAsia" w:ascii="仿宋_GB2312" w:hAnsi="宋体" w:eastAsia="仿宋_GB2312" w:cs="宋体"/>
                <w:color w:val="auto"/>
                <w:kern w:val="0"/>
                <w:sz w:val="22"/>
                <w:highlight w:val="none"/>
              </w:rPr>
              <w:t>　</w:t>
            </w:r>
          </w:p>
        </w:tc>
      </w:tr>
      <w:tr w14:paraId="6883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431" w:type="dxa"/>
            <w:noWrap w:val="0"/>
            <w:vAlign w:val="center"/>
          </w:tcPr>
          <w:p w14:paraId="1B6A90E0">
            <w:pPr>
              <w:widowControl/>
              <w:spacing w:line="300" w:lineRule="exact"/>
              <w:jc w:val="center"/>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三</w:t>
            </w:r>
          </w:p>
        </w:tc>
        <w:tc>
          <w:tcPr>
            <w:tcW w:w="638" w:type="dxa"/>
            <w:noWrap w:val="0"/>
            <w:vAlign w:val="center"/>
          </w:tcPr>
          <w:p w14:paraId="5DA7D098">
            <w:pPr>
              <w:widowControl/>
              <w:spacing w:line="300" w:lineRule="exact"/>
              <w:jc w:val="center"/>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报告制度落实</w:t>
            </w:r>
          </w:p>
        </w:tc>
        <w:tc>
          <w:tcPr>
            <w:tcW w:w="430" w:type="dxa"/>
            <w:noWrap w:val="0"/>
            <w:vAlign w:val="center"/>
          </w:tcPr>
          <w:p w14:paraId="4AD9AFA0">
            <w:pPr>
              <w:widowControl/>
              <w:spacing w:line="300" w:lineRule="exact"/>
              <w:jc w:val="left"/>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10</w:t>
            </w:r>
          </w:p>
        </w:tc>
        <w:tc>
          <w:tcPr>
            <w:tcW w:w="6564" w:type="dxa"/>
            <w:noWrap w:val="0"/>
            <w:vAlign w:val="center"/>
          </w:tcPr>
          <w:p w14:paraId="53FE2BF4">
            <w:pPr>
              <w:widowControl/>
              <w:spacing w:line="300" w:lineRule="exact"/>
              <w:jc w:val="left"/>
              <w:rPr>
                <w:rFonts w:hint="eastAsia"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严格落实各项报告制度，按规定要求及时上报。运营方应在每月第五个工作日之前提交上月餐厨垃圾进场量、出渣量、收油量、产气量、污水排放量、污水处理量等各类报表，并在每月第十个工作日之前提交上月废渣、脱水后沼渣处置单位及出油接收单位的接收凭证。</w:t>
            </w:r>
          </w:p>
        </w:tc>
        <w:tc>
          <w:tcPr>
            <w:tcW w:w="4060" w:type="dxa"/>
            <w:noWrap w:val="0"/>
            <w:vAlign w:val="center"/>
          </w:tcPr>
          <w:p w14:paraId="262442B0">
            <w:pPr>
              <w:widowControl/>
              <w:spacing w:line="300" w:lineRule="exact"/>
              <w:jc w:val="left"/>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各项报表未报的，每次每项扣1分，迟报每项扣0.5分。</w:t>
            </w:r>
          </w:p>
          <w:p w14:paraId="4F85CEBA">
            <w:pPr>
              <w:widowControl/>
              <w:spacing w:line="300" w:lineRule="exact"/>
              <w:jc w:val="left"/>
              <w:rPr>
                <w:rFonts w:hint="eastAsia" w:ascii="仿宋_GB2312" w:hAnsi="宋体" w:eastAsia="仿宋_GB2312" w:cs="宋体"/>
                <w:color w:val="auto"/>
                <w:kern w:val="0"/>
                <w:sz w:val="20"/>
                <w:highlight w:val="none"/>
              </w:rPr>
            </w:pPr>
          </w:p>
        </w:tc>
        <w:tc>
          <w:tcPr>
            <w:tcW w:w="504" w:type="dxa"/>
            <w:noWrap w:val="0"/>
            <w:vAlign w:val="center"/>
          </w:tcPr>
          <w:p w14:paraId="57A13CB9">
            <w:pPr>
              <w:widowControl/>
              <w:spacing w:line="300" w:lineRule="exact"/>
              <w:jc w:val="left"/>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　</w:t>
            </w:r>
          </w:p>
        </w:tc>
        <w:tc>
          <w:tcPr>
            <w:tcW w:w="430" w:type="dxa"/>
            <w:noWrap w:val="0"/>
            <w:vAlign w:val="center"/>
          </w:tcPr>
          <w:p w14:paraId="7CF9C6EF">
            <w:pPr>
              <w:widowControl/>
              <w:spacing w:line="300" w:lineRule="exact"/>
              <w:jc w:val="left"/>
              <w:rPr>
                <w:rFonts w:hint="eastAsia" w:ascii="仿宋_GB2312" w:hAnsi="宋体" w:eastAsia="仿宋_GB2312" w:cs="宋体"/>
                <w:color w:val="auto"/>
                <w:kern w:val="0"/>
                <w:sz w:val="22"/>
                <w:highlight w:val="none"/>
              </w:rPr>
            </w:pPr>
            <w:r>
              <w:rPr>
                <w:rFonts w:hint="eastAsia" w:ascii="仿宋_GB2312" w:hAnsi="宋体" w:eastAsia="仿宋_GB2312" w:cs="宋体"/>
                <w:color w:val="auto"/>
                <w:kern w:val="0"/>
                <w:sz w:val="22"/>
                <w:highlight w:val="none"/>
              </w:rPr>
              <w:t>　</w:t>
            </w:r>
          </w:p>
        </w:tc>
      </w:tr>
      <w:tr w14:paraId="4CA4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499" w:type="dxa"/>
            <w:gridSpan w:val="3"/>
            <w:noWrap w:val="0"/>
            <w:vAlign w:val="center"/>
          </w:tcPr>
          <w:p w14:paraId="2E635AC4">
            <w:pPr>
              <w:widowControl/>
              <w:spacing w:line="300" w:lineRule="exact"/>
              <w:jc w:val="center"/>
              <w:rPr>
                <w:rFonts w:hint="eastAsia" w:ascii="仿宋_GB2312" w:hAnsi="宋体" w:eastAsia="仿宋_GB2312" w:cs="宋体"/>
                <w:color w:val="auto"/>
                <w:kern w:val="0"/>
                <w:sz w:val="20"/>
                <w:highlight w:val="none"/>
              </w:rPr>
            </w:pPr>
            <w:r>
              <w:rPr>
                <w:rFonts w:hint="eastAsia" w:ascii="仿宋_GB2312" w:hAnsi="宋体" w:eastAsia="仿宋_GB2312" w:cs="宋体"/>
                <w:color w:val="auto"/>
                <w:kern w:val="0"/>
                <w:sz w:val="20"/>
                <w:highlight w:val="none"/>
              </w:rPr>
              <w:t>合计</w:t>
            </w:r>
          </w:p>
        </w:tc>
        <w:tc>
          <w:tcPr>
            <w:tcW w:w="11558" w:type="dxa"/>
            <w:gridSpan w:val="4"/>
            <w:noWrap w:val="0"/>
            <w:vAlign w:val="center"/>
          </w:tcPr>
          <w:p w14:paraId="52A2A390">
            <w:pPr>
              <w:widowControl/>
              <w:spacing w:line="240" w:lineRule="atLeast"/>
              <w:ind w:firstLine="4427" w:firstLineChars="2100"/>
              <w:jc w:val="left"/>
              <w:rPr>
                <w:rFonts w:hint="eastAsia" w:ascii="仿宋_GB2312" w:hAnsi="宋体" w:eastAsia="仿宋_GB2312" w:cs="宋体"/>
                <w:color w:val="auto"/>
                <w:kern w:val="0"/>
                <w:szCs w:val="21"/>
                <w:highlight w:val="none"/>
              </w:rPr>
            </w:pPr>
            <w:r>
              <w:rPr>
                <w:rFonts w:hint="eastAsia" w:ascii="仿宋_GB2312" w:hAnsi="宋体" w:eastAsia="仿宋_GB2312" w:cs="宋体"/>
                <w:b/>
                <w:color w:val="auto"/>
                <w:kern w:val="0"/>
                <w:szCs w:val="21"/>
                <w:highlight w:val="none"/>
              </w:rPr>
              <w:t xml:space="preserve">本月考核扣分______分，综合得分为______分。      </w:t>
            </w:r>
          </w:p>
          <w:p w14:paraId="6B693EF3">
            <w:pPr>
              <w:widowControl/>
              <w:spacing w:line="240" w:lineRule="atLeast"/>
              <w:ind w:firstLine="5775" w:firstLineChars="2750"/>
              <w:jc w:val="left"/>
              <w:rPr>
                <w:rFonts w:hint="eastAsia" w:ascii="仿宋_GB2312" w:hAnsi="宋体" w:eastAsia="仿宋_GB2312" w:cs="宋体"/>
                <w:color w:val="auto"/>
                <w:kern w:val="0"/>
                <w:szCs w:val="21"/>
                <w:highlight w:val="none"/>
              </w:rPr>
            </w:pPr>
          </w:p>
          <w:p w14:paraId="7A6351AA">
            <w:pPr>
              <w:widowControl/>
              <w:spacing w:line="240" w:lineRule="atLeast"/>
              <w:jc w:val="left"/>
              <w:rPr>
                <w:rFonts w:hint="eastAsia"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监管方考核人员签字：                                    运营方签字确认：</w:t>
            </w:r>
          </w:p>
        </w:tc>
      </w:tr>
    </w:tbl>
    <w:p w14:paraId="0D33454D">
      <w:pPr>
        <w:pStyle w:val="32"/>
        <w:spacing w:line="400" w:lineRule="exact"/>
        <w:ind w:firstLine="542" w:firstLineChars="150"/>
        <w:jc w:val="center"/>
        <w:rPr>
          <w:rFonts w:hint="eastAsia" w:ascii="仿宋" w:hAnsi="仿宋" w:eastAsia="仿宋" w:cs="仿宋_GB2312"/>
          <w:b/>
          <w:color w:val="auto"/>
          <w:sz w:val="36"/>
          <w:szCs w:val="20"/>
          <w:highlight w:val="none"/>
        </w:rPr>
        <w:sectPr>
          <w:pgSz w:w="16840" w:h="11907" w:orient="landscape"/>
          <w:pgMar w:top="1814" w:right="1474" w:bottom="1814" w:left="1474" w:header="851" w:footer="851" w:gutter="0"/>
          <w:cols w:space="720" w:num="1"/>
        </w:sectPr>
      </w:pPr>
    </w:p>
    <w:p w14:paraId="5F742812">
      <w:pPr>
        <w:pStyle w:val="32"/>
        <w:spacing w:line="400" w:lineRule="exact"/>
        <w:ind w:firstLine="542" w:firstLineChars="150"/>
        <w:jc w:val="center"/>
        <w:rPr>
          <w:rFonts w:hint="eastAsia" w:ascii="仿宋" w:hAnsi="仿宋" w:eastAsia="仿宋" w:cs="仿宋_GB2312"/>
          <w:b/>
          <w:color w:val="auto"/>
          <w:sz w:val="36"/>
          <w:szCs w:val="20"/>
          <w:highlight w:val="none"/>
        </w:rPr>
      </w:pPr>
    </w:p>
    <w:p w14:paraId="6FD167EE">
      <w:pPr>
        <w:pStyle w:val="32"/>
        <w:spacing w:line="400" w:lineRule="exact"/>
        <w:ind w:firstLine="542" w:firstLineChars="150"/>
        <w:jc w:val="center"/>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第五部分  应提交的有关格式范例</w:t>
      </w:r>
    </w:p>
    <w:p w14:paraId="2069AF32">
      <w:pPr>
        <w:rPr>
          <w:rFonts w:ascii="仿宋_GB2312" w:hAnsi="仿宋" w:eastAsia="仿宋_GB2312" w:cs="仿宋_GB2312"/>
          <w:b/>
          <w:color w:val="auto"/>
          <w:kern w:val="0"/>
          <w:sz w:val="36"/>
          <w:szCs w:val="36"/>
          <w:highlight w:val="none"/>
        </w:rPr>
      </w:pPr>
    </w:p>
    <w:p w14:paraId="17F554AA">
      <w:pPr>
        <w:jc w:val="center"/>
        <w:outlineLvl w:val="1"/>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资格文件部分</w:t>
      </w:r>
    </w:p>
    <w:p w14:paraId="393C2EE8">
      <w:pPr>
        <w:jc w:val="center"/>
        <w:rPr>
          <w:rFonts w:ascii="仿宋" w:hAnsi="仿宋" w:eastAsia="仿宋" w:cs="仿宋_GB2312"/>
          <w:b/>
          <w:color w:val="auto"/>
          <w:kern w:val="0"/>
          <w:sz w:val="36"/>
          <w:szCs w:val="36"/>
          <w:highlight w:val="none"/>
        </w:rPr>
      </w:pPr>
    </w:p>
    <w:p w14:paraId="1220E2C1">
      <w:pPr>
        <w:jc w:val="center"/>
        <w:rPr>
          <w:rFonts w:ascii="仿宋" w:hAnsi="仿宋" w:eastAsia="仿宋" w:cs="仿宋_GB2312"/>
          <w:b/>
          <w:color w:val="auto"/>
          <w:kern w:val="0"/>
          <w:sz w:val="36"/>
          <w:szCs w:val="36"/>
          <w:highlight w:val="none"/>
        </w:rPr>
      </w:pPr>
    </w:p>
    <w:p w14:paraId="6C22145D">
      <w:pPr>
        <w:jc w:val="center"/>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14:paraId="47E545E4">
      <w:pPr>
        <w:rPr>
          <w:rFonts w:ascii="仿宋" w:hAnsi="仿宋" w:eastAsia="仿宋" w:cs="仿宋_GB2312"/>
          <w:b/>
          <w:color w:val="auto"/>
          <w:kern w:val="0"/>
          <w:sz w:val="36"/>
          <w:szCs w:val="36"/>
          <w:highlight w:val="none"/>
        </w:rPr>
      </w:pPr>
    </w:p>
    <w:p w14:paraId="31C4DC5E">
      <w:pPr>
        <w:numPr>
          <w:ilvl w:val="0"/>
          <w:numId w:val="15"/>
        </w:numPr>
        <w:snapToGrid w:val="0"/>
        <w:spacing w:line="360" w:lineRule="auto"/>
        <w:rPr>
          <w:rFonts w:hint="eastAsia" w:ascii="仿宋" w:hAnsi="仿宋" w:eastAsia="仿宋" w:cs="仿宋_GB2312"/>
          <w:color w:val="auto"/>
          <w:sz w:val="24"/>
          <w:highlight w:val="none"/>
        </w:rPr>
      </w:pPr>
      <w:r>
        <w:rPr>
          <w:rFonts w:ascii="仿宋" w:hAnsi="仿宋" w:eastAsia="仿宋" w:cs="仿宋_GB2312"/>
          <w:color w:val="auto"/>
          <w:sz w:val="24"/>
          <w:highlight w:val="none"/>
        </w:rPr>
        <w:t>符合参加政府采购活动应当具备的一般条件的承诺函……</w:t>
      </w:r>
      <w:r>
        <w:rPr>
          <w:rFonts w:hint="eastAsia" w:ascii="仿宋" w:hAnsi="仿宋" w:eastAsia="仿宋" w:cs="仿宋_GB2312"/>
          <w:color w:val="auto"/>
          <w:sz w:val="24"/>
          <w:highlight w:val="none"/>
        </w:rPr>
        <w:t>………（</w:t>
      </w:r>
      <w:r>
        <w:rPr>
          <w:rFonts w:hint="eastAsia" w:ascii="仿宋" w:hAnsi="仿宋" w:eastAsia="仿宋" w:cs="仿宋_GB2312"/>
          <w:color w:val="auto"/>
          <w:highlight w:val="none"/>
        </w:rPr>
        <w:t>页码</w:t>
      </w:r>
      <w:r>
        <w:rPr>
          <w:rFonts w:hint="eastAsia" w:ascii="仿宋" w:hAnsi="仿宋" w:eastAsia="仿宋" w:cs="仿宋_GB2312"/>
          <w:color w:val="auto"/>
          <w:sz w:val="24"/>
          <w:highlight w:val="none"/>
        </w:rPr>
        <w:t>）</w:t>
      </w:r>
    </w:p>
    <w:p w14:paraId="4E2B224C">
      <w:pPr>
        <w:numPr>
          <w:ilvl w:val="-1"/>
          <w:numId w:val="0"/>
        </w:numPr>
        <w:snapToGrid w:val="0"/>
        <w:spacing w:line="360" w:lineRule="auto"/>
        <w:rPr>
          <w:rFonts w:hint="default" w:ascii="仿宋" w:hAnsi="仿宋" w:eastAsia="仿宋" w:cs="仿宋_GB2312"/>
          <w:b w:val="0"/>
          <w:bCs w:val="0"/>
          <w:color w:val="auto"/>
          <w:sz w:val="24"/>
          <w:szCs w:val="24"/>
          <w:highlight w:val="none"/>
        </w:rPr>
      </w:pPr>
      <w:r>
        <w:rPr>
          <w:rFonts w:hint="default" w:ascii="仿宋" w:hAnsi="仿宋" w:eastAsia="仿宋" w:cs="仿宋_GB2312"/>
          <w:b w:val="0"/>
          <w:bCs w:val="0"/>
          <w:color w:val="auto"/>
          <w:sz w:val="24"/>
          <w:szCs w:val="24"/>
          <w:highlight w:val="none"/>
        </w:rPr>
        <w:t>附：</w:t>
      </w:r>
      <w:r>
        <w:rPr>
          <w:rFonts w:hint="eastAsia" w:ascii="仿宋" w:hAnsi="仿宋" w:eastAsia="仿宋" w:cs="仿宋_GB2312"/>
          <w:b w:val="0"/>
          <w:bCs w:val="0"/>
          <w:color w:val="auto"/>
          <w:sz w:val="24"/>
          <w:szCs w:val="24"/>
          <w:highlight w:val="none"/>
          <w:lang w:val="en-US" w:eastAsia="zh-CN"/>
        </w:rPr>
        <w:t>1.1</w:t>
      </w:r>
      <w:r>
        <w:rPr>
          <w:rFonts w:hint="default" w:ascii="仿宋" w:hAnsi="仿宋" w:eastAsia="仿宋" w:cs="仿宋_GB2312"/>
          <w:b w:val="0"/>
          <w:bCs w:val="0"/>
          <w:color w:val="auto"/>
          <w:sz w:val="24"/>
          <w:szCs w:val="24"/>
          <w:highlight w:val="none"/>
        </w:rPr>
        <w:t>企业营业执照</w:t>
      </w:r>
    </w:p>
    <w:p w14:paraId="1A850420">
      <w:pPr>
        <w:numPr>
          <w:ilvl w:val="-1"/>
          <w:numId w:val="0"/>
        </w:numPr>
        <w:snapToGrid w:val="0"/>
        <w:spacing w:line="360" w:lineRule="auto"/>
        <w:ind w:firstLine="480" w:firstLineChars="200"/>
        <w:rPr>
          <w:color w:val="auto"/>
          <w:highlight w:val="none"/>
        </w:rPr>
      </w:pPr>
      <w:r>
        <w:rPr>
          <w:rFonts w:hint="eastAsia" w:ascii="仿宋" w:hAnsi="仿宋" w:eastAsia="仿宋" w:cs="仿宋_GB2312"/>
          <w:b w:val="0"/>
          <w:bCs w:val="0"/>
          <w:color w:val="auto"/>
          <w:sz w:val="24"/>
          <w:szCs w:val="24"/>
          <w:highlight w:val="none"/>
          <w:lang w:val="en-US" w:eastAsia="zh-CN"/>
        </w:rPr>
        <w:t>1.2</w:t>
      </w:r>
      <w:r>
        <w:rPr>
          <w:rFonts w:hint="eastAsia" w:ascii="仿宋" w:hAnsi="仿宋" w:eastAsia="仿宋" w:cs="仿宋_GB2312"/>
          <w:b w:val="0"/>
          <w:bCs w:val="0"/>
          <w:color w:val="auto"/>
          <w:sz w:val="24"/>
          <w:szCs w:val="24"/>
          <w:highlight w:val="none"/>
          <w:lang w:eastAsia="zh-CN"/>
        </w:rPr>
        <w:t>公告发布之日至本项目投标截止时间内</w:t>
      </w:r>
      <w:r>
        <w:rPr>
          <w:rFonts w:hint="default" w:ascii="仿宋" w:hAnsi="仿宋" w:eastAsia="仿宋" w:cs="仿宋_GB2312"/>
          <w:b w:val="0"/>
          <w:bCs w:val="0"/>
          <w:color w:val="auto"/>
          <w:sz w:val="24"/>
          <w:szCs w:val="24"/>
          <w:highlight w:val="none"/>
        </w:rPr>
        <w:t>任意时间的“信用中国（https://www.creditchina.gov.cn/）”、“中国政府采购网（http://www.ccgp.gov.cn/）”投标人信用查询网页截图</w:t>
      </w:r>
    </w:p>
    <w:p w14:paraId="52C8042B">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2）落实政府采购政策需满足的资格要求</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如有</w:t>
      </w:r>
      <w:r>
        <w:rPr>
          <w:rFonts w:hint="eastAsia" w:ascii="仿宋" w:hAnsi="仿宋" w:eastAsia="仿宋" w:cs="仿宋_GB2312"/>
          <w:color w:val="auto"/>
          <w:sz w:val="24"/>
          <w:highlight w:val="none"/>
          <w:lang w:eastAsia="zh-CN"/>
        </w:rPr>
        <w:t>）</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w:t>
      </w:r>
      <w:r>
        <w:rPr>
          <w:rFonts w:hint="eastAsia" w:ascii="仿宋" w:hAnsi="仿宋" w:eastAsia="仿宋" w:cs="仿宋_GB2312"/>
          <w:color w:val="auto"/>
          <w:highlight w:val="none"/>
        </w:rPr>
        <w:t>页码</w:t>
      </w:r>
      <w:r>
        <w:rPr>
          <w:rFonts w:hint="eastAsia" w:ascii="仿宋" w:hAnsi="仿宋" w:eastAsia="仿宋" w:cs="仿宋_GB2312"/>
          <w:color w:val="auto"/>
          <w:sz w:val="24"/>
          <w:highlight w:val="none"/>
        </w:rPr>
        <w:t>）</w:t>
      </w:r>
    </w:p>
    <w:p w14:paraId="484A92B7">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hint="default" w:ascii="仿宋" w:hAnsi="仿宋" w:eastAsia="仿宋" w:cs="仿宋_GB2312"/>
          <w:color w:val="auto"/>
          <w:sz w:val="24"/>
          <w:highlight w:val="none"/>
          <w:lang w:val="en-US" w:eastAsia="zh-CN"/>
        </w:rPr>
        <w:t>3</w:t>
      </w:r>
      <w:r>
        <w:rPr>
          <w:rFonts w:ascii="仿宋" w:hAnsi="仿宋" w:eastAsia="仿宋" w:cs="仿宋_GB2312"/>
          <w:color w:val="auto"/>
          <w:sz w:val="24"/>
          <w:highlight w:val="none"/>
        </w:rPr>
        <w:t>）</w:t>
      </w:r>
      <w:r>
        <w:rPr>
          <w:rFonts w:hint="default" w:ascii="仿宋" w:hAnsi="仿宋" w:eastAsia="仿宋" w:cs="仿宋_GB2312"/>
          <w:b w:val="0"/>
          <w:color w:val="auto"/>
          <w:kern w:val="2"/>
          <w:sz w:val="24"/>
          <w:highlight w:val="none"/>
        </w:rPr>
        <w:t>联合体协议书（如为联合体投标）</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w:t>
      </w:r>
      <w:r>
        <w:rPr>
          <w:rFonts w:hint="eastAsia" w:ascii="仿宋" w:hAnsi="仿宋" w:eastAsia="仿宋" w:cs="仿宋_GB2312"/>
          <w:color w:val="auto"/>
          <w:highlight w:val="none"/>
        </w:rPr>
        <w:t>页码</w:t>
      </w:r>
      <w:r>
        <w:rPr>
          <w:rFonts w:hint="eastAsia" w:ascii="仿宋" w:hAnsi="仿宋" w:eastAsia="仿宋" w:cs="仿宋_GB2312"/>
          <w:color w:val="auto"/>
          <w:sz w:val="24"/>
          <w:highlight w:val="none"/>
        </w:rPr>
        <w:t>）</w:t>
      </w:r>
    </w:p>
    <w:p w14:paraId="2B0C5EE9">
      <w:pPr>
        <w:snapToGrid w:val="0"/>
        <w:spacing w:line="360" w:lineRule="auto"/>
        <w:ind w:firstLine="480" w:firstLineChars="200"/>
        <w:rPr>
          <w:rFonts w:ascii="仿宋_GB2312" w:hAnsi="仿宋" w:eastAsia="仿宋_GB2312" w:cs="仿宋_GB2312"/>
          <w:color w:val="auto"/>
          <w:sz w:val="24"/>
          <w:highlight w:val="none"/>
        </w:rPr>
      </w:pPr>
    </w:p>
    <w:p w14:paraId="09C95377">
      <w:pPr>
        <w:spacing w:line="360" w:lineRule="auto"/>
        <w:ind w:firstLine="480" w:firstLineChars="200"/>
        <w:rPr>
          <w:rFonts w:ascii="仿宋_GB2312" w:hAnsi="仿宋" w:eastAsia="仿宋_GB2312" w:cs="仿宋_GB2312"/>
          <w:color w:val="auto"/>
          <w:sz w:val="24"/>
          <w:highlight w:val="none"/>
        </w:rPr>
      </w:pPr>
    </w:p>
    <w:p w14:paraId="4D880142">
      <w:pPr>
        <w:numPr>
          <w:ilvl w:val="0"/>
          <w:numId w:val="16"/>
        </w:numPr>
        <w:snapToGrid w:val="0"/>
        <w:spacing w:line="240" w:lineRule="auto"/>
        <w:ind w:right="0"/>
        <w:jc w:val="left"/>
        <w:rPr>
          <w:rFonts w:ascii="仿宋" w:hAnsi="仿宋" w:eastAsia="仿宋"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ascii="仿宋" w:hAnsi="仿宋" w:eastAsia="仿宋" w:cs="仿宋_GB2312"/>
          <w:b/>
          <w:color w:val="auto"/>
          <w:kern w:val="0"/>
          <w:sz w:val="32"/>
          <w:szCs w:val="32"/>
          <w:highlight w:val="none"/>
        </w:rPr>
        <w:t>符合参加政府采购活动应当具备的一般条件的承诺函</w:t>
      </w:r>
    </w:p>
    <w:p w14:paraId="6D9B37AA">
      <w:pPr>
        <w:pStyle w:val="23"/>
        <w:numPr>
          <w:ilvl w:val="0"/>
          <w:numId w:val="0"/>
        </w:numPr>
        <w:rPr>
          <w:color w:val="auto"/>
          <w:highlight w:val="none"/>
        </w:rPr>
      </w:pPr>
    </w:p>
    <w:p w14:paraId="7FFE3D52">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u w:val="single"/>
        </w:rPr>
        <w:t>（采购人）、（采购代理机构）</w:t>
      </w:r>
      <w:r>
        <w:rPr>
          <w:rFonts w:hint="eastAsia" w:ascii="仿宋" w:hAnsi="仿宋" w:eastAsia="仿宋" w:cs="仿宋_GB2312"/>
          <w:color w:val="auto"/>
          <w:sz w:val="24"/>
          <w:highlight w:val="none"/>
        </w:rPr>
        <w:t>：</w:t>
      </w:r>
    </w:p>
    <w:p w14:paraId="4C3A035B">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我方参与</w:t>
      </w:r>
      <w:r>
        <w:rPr>
          <w:rFonts w:hint="eastAsia" w:ascii="仿宋" w:hAnsi="仿宋" w:eastAsia="仿宋" w:cs="仿宋_GB2312"/>
          <w:color w:val="auto"/>
          <w:sz w:val="24"/>
          <w:highlight w:val="none"/>
          <w:u w:val="single"/>
        </w:rPr>
        <w:t>（项目名称）【招标编号：</w:t>
      </w:r>
      <w:r>
        <w:rPr>
          <w:rFonts w:hint="eastAsia" w:ascii="仿宋" w:hAnsi="仿宋" w:eastAsia="仿宋"/>
          <w:color w:val="auto"/>
          <w:sz w:val="24"/>
          <w:highlight w:val="none"/>
          <w:u w:val="single"/>
        </w:rPr>
        <w:t>（采购编号）</w:t>
      </w:r>
      <w:r>
        <w:rPr>
          <w:rFonts w:hint="eastAsia" w:ascii="仿宋" w:hAnsi="仿宋" w:eastAsia="仿宋" w:cs="仿宋_GB2312"/>
          <w:color w:val="auto"/>
          <w:sz w:val="24"/>
          <w:highlight w:val="none"/>
          <w:u w:val="single"/>
        </w:rPr>
        <w:t>】</w:t>
      </w:r>
      <w:r>
        <w:rPr>
          <w:rFonts w:hint="eastAsia" w:ascii="仿宋" w:hAnsi="仿宋" w:eastAsia="仿宋" w:cs="仿宋_GB2312"/>
          <w:color w:val="auto"/>
          <w:sz w:val="24"/>
          <w:highlight w:val="none"/>
        </w:rPr>
        <w:t>政府采购活动，郑重承诺：</w:t>
      </w:r>
    </w:p>
    <w:p w14:paraId="16D94022">
      <w:pPr>
        <w:snapToGrid w:val="0"/>
        <w:spacing w:line="360" w:lineRule="auto"/>
        <w:ind w:firstLine="360" w:firstLineChars="150"/>
        <w:rPr>
          <w:rFonts w:ascii="仿宋" w:hAnsi="仿宋" w:eastAsia="仿宋" w:cs="仿宋_GB2312"/>
          <w:color w:val="auto"/>
          <w:sz w:val="24"/>
          <w:highlight w:val="none"/>
        </w:rPr>
      </w:pPr>
      <w:r>
        <w:rPr>
          <w:rFonts w:hint="eastAsia" w:ascii="仿宋" w:hAnsi="仿宋" w:eastAsia="仿宋" w:cs="仿宋_GB2312"/>
          <w:color w:val="auto"/>
          <w:sz w:val="24"/>
          <w:highlight w:val="none"/>
        </w:rPr>
        <w:t>（一）具备《中华人民共和国政府采购法》第二十二条第一款规定的条件：</w:t>
      </w:r>
    </w:p>
    <w:p w14:paraId="3F07E275">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具有独立承担民事责任的能力；</w:t>
      </w:r>
    </w:p>
    <w:p w14:paraId="2C320535">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 xml:space="preserve">具有良好的商业信誉和健全的财务会计制度； </w:t>
      </w:r>
    </w:p>
    <w:p w14:paraId="21D09A31">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具有履行合同所必需的设备和专业技术能力；</w:t>
      </w:r>
    </w:p>
    <w:p w14:paraId="6D7D5634">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w:t>
      </w:r>
      <w:r>
        <w:rPr>
          <w:rFonts w:ascii="仿宋" w:hAnsi="仿宋" w:eastAsia="仿宋"/>
          <w:color w:val="auto"/>
          <w:sz w:val="24"/>
          <w:highlight w:val="none"/>
        </w:rPr>
        <w:t>有依法缴纳税收和社会保障资金的良好记录；</w:t>
      </w:r>
    </w:p>
    <w:p w14:paraId="0C3F1F94">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w:t>
      </w:r>
      <w:r>
        <w:rPr>
          <w:rFonts w:ascii="仿宋" w:hAnsi="仿宋" w:eastAsia="仿宋"/>
          <w:color w:val="auto"/>
          <w:sz w:val="24"/>
          <w:highlight w:val="none"/>
        </w:rPr>
        <w:t>参加政府采购活动前三年内，在经营活动中没有重大违法记录；</w:t>
      </w:r>
    </w:p>
    <w:p w14:paraId="08FB4662">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w:t>
      </w:r>
      <w:r>
        <w:rPr>
          <w:rFonts w:ascii="仿宋" w:hAnsi="仿宋" w:eastAsia="仿宋"/>
          <w:color w:val="auto"/>
          <w:sz w:val="24"/>
          <w:highlight w:val="none"/>
        </w:rPr>
        <w:t>具有法律、行政法规规定的其他条件。</w:t>
      </w:r>
    </w:p>
    <w:p w14:paraId="76F008BE">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（二）未被信用中国（</w:t>
      </w:r>
      <w:r>
        <w:rPr>
          <w:rFonts w:ascii="仿宋" w:hAnsi="仿宋" w:eastAsia="仿宋"/>
          <w:color w:val="auto"/>
          <w:sz w:val="24"/>
          <w:highlight w:val="none"/>
        </w:rPr>
        <w:t>www.creditchina.gov.cn)、中国政府采购网（www.ccgp.gov.cn）列入失信被执行人、重大税收违法案件当事人名单、政府采购严重违法失信行为记录名单。</w:t>
      </w:r>
    </w:p>
    <w:p w14:paraId="283E7C85">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（三）不存在以下情况：</w:t>
      </w:r>
    </w:p>
    <w:p w14:paraId="149D0EDF">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单位负责人为同一人或者存在直接控股、管理关系的不同供应商参加同一合同项下的政府采购活动的；</w:t>
      </w:r>
    </w:p>
    <w:p w14:paraId="2D29675D">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r>
        <w:rPr>
          <w:rFonts w:ascii="仿宋" w:hAnsi="仿宋" w:eastAsia="仿宋" w:cs="仿宋_GB2312"/>
          <w:color w:val="auto"/>
          <w:sz w:val="24"/>
          <w:highlight w:val="none"/>
        </w:rPr>
        <w:t>为采购项目提供整体设计、规范编制或者项目管理、监理、检测等服务后再参加该采购项目的其他采购活动的。</w:t>
      </w:r>
    </w:p>
    <w:p w14:paraId="2E5E6AD6">
      <w:pPr>
        <w:snapToGrid w:val="0"/>
        <w:spacing w:line="360" w:lineRule="auto"/>
        <w:ind w:firstLine="4819" w:firstLineChars="2008"/>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投标人名称</w:t>
      </w:r>
      <w:r>
        <w:rPr>
          <w:rFonts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lang w:val="en-US" w:eastAsia="zh-CN"/>
        </w:rPr>
        <w:t>盖章</w:t>
      </w:r>
      <w:r>
        <w:rPr>
          <w:rFonts w:ascii="仿宋" w:hAnsi="仿宋" w:eastAsia="仿宋" w:cs="仿宋_GB2312"/>
          <w:color w:val="auto"/>
          <w:kern w:val="0"/>
          <w:sz w:val="24"/>
          <w:highlight w:val="none"/>
          <w:lang w:val="zh-CN"/>
        </w:rPr>
        <w:t>)：</w:t>
      </w:r>
    </w:p>
    <w:p w14:paraId="2EB1ED3A">
      <w:pPr>
        <w:snapToGrid w:val="0"/>
        <w:spacing w:line="360" w:lineRule="auto"/>
        <w:ind w:firstLine="4819" w:firstLineChars="2008"/>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  日</w:t>
      </w:r>
    </w:p>
    <w:p w14:paraId="31D5F16C">
      <w:pPr>
        <w:snapToGrid w:val="0"/>
        <w:spacing w:line="360" w:lineRule="auto"/>
        <w:ind w:right="480"/>
        <w:jc w:val="center"/>
        <w:rPr>
          <w:rFonts w:ascii="仿宋_GB2312" w:hAnsi="仿宋" w:eastAsia="仿宋_GB2312" w:cs="仿宋_GB2312"/>
          <w:b/>
          <w:color w:val="auto"/>
          <w:kern w:val="0"/>
          <w:sz w:val="32"/>
          <w:szCs w:val="32"/>
          <w:highlight w:val="none"/>
        </w:rPr>
      </w:pPr>
    </w:p>
    <w:p w14:paraId="79AA7AE7">
      <w:pPr>
        <w:widowControl/>
        <w:adjustRightInd/>
        <w:jc w:val="left"/>
        <w:rPr>
          <w:rFonts w:ascii="仿宋" w:hAnsi="仿宋" w:eastAsia="仿宋" w:cs="Arial"/>
          <w:b/>
          <w:bCs/>
          <w:color w:val="auto"/>
          <w:szCs w:val="21"/>
          <w:highlight w:val="none"/>
        </w:rPr>
      </w:pPr>
      <w:r>
        <w:rPr>
          <w:rFonts w:ascii="仿宋" w:hAnsi="仿宋" w:eastAsia="仿宋" w:cs="Arial"/>
          <w:b/>
          <w:bCs/>
          <w:color w:val="auto"/>
          <w:szCs w:val="21"/>
          <w:highlight w:val="none"/>
        </w:rPr>
        <w:br w:type="page"/>
      </w:r>
    </w:p>
    <w:p w14:paraId="54F5F13C">
      <w:pPr>
        <w:snapToGrid w:val="0"/>
        <w:spacing w:line="360" w:lineRule="auto"/>
        <w:jc w:val="left"/>
        <w:rPr>
          <w:rFonts w:ascii="仿宋" w:hAnsi="仿宋" w:eastAsia="仿宋" w:cs="Arial"/>
          <w:b/>
          <w:bCs/>
          <w:color w:val="auto"/>
          <w:sz w:val="28"/>
          <w:szCs w:val="28"/>
          <w:highlight w:val="none"/>
        </w:rPr>
      </w:pPr>
      <w:r>
        <w:rPr>
          <w:rFonts w:hint="eastAsia" w:ascii="仿宋" w:hAnsi="仿宋" w:eastAsia="仿宋" w:cs="Arial"/>
          <w:b/>
          <w:bCs/>
          <w:color w:val="auto"/>
          <w:sz w:val="28"/>
          <w:szCs w:val="28"/>
          <w:highlight w:val="none"/>
        </w:rPr>
        <w:t>附：</w:t>
      </w:r>
    </w:p>
    <w:p w14:paraId="3BD45359">
      <w:pPr>
        <w:snapToGrid w:val="0"/>
        <w:spacing w:line="360" w:lineRule="auto"/>
        <w:jc w:val="left"/>
        <w:rPr>
          <w:rFonts w:ascii="仿宋" w:hAnsi="仿宋" w:eastAsia="仿宋" w:cs="Arial"/>
          <w:b/>
          <w:bCs/>
          <w:color w:val="auto"/>
          <w:sz w:val="28"/>
          <w:szCs w:val="28"/>
          <w:highlight w:val="none"/>
        </w:rPr>
      </w:pPr>
      <w:r>
        <w:rPr>
          <w:rFonts w:hint="eastAsia" w:ascii="仿宋" w:hAnsi="仿宋" w:eastAsia="仿宋" w:cs="Arial"/>
          <w:b/>
          <w:bCs/>
          <w:color w:val="auto"/>
          <w:sz w:val="28"/>
          <w:szCs w:val="28"/>
          <w:highlight w:val="none"/>
          <w:lang w:val="en-US" w:eastAsia="zh-CN"/>
        </w:rPr>
        <w:t>1.1</w:t>
      </w:r>
      <w:r>
        <w:rPr>
          <w:rFonts w:hint="eastAsia" w:ascii="仿宋" w:hAnsi="仿宋" w:eastAsia="仿宋" w:cs="Arial"/>
          <w:b/>
          <w:bCs/>
          <w:color w:val="auto"/>
          <w:sz w:val="28"/>
          <w:szCs w:val="28"/>
          <w:highlight w:val="none"/>
        </w:rPr>
        <w:t>企业营业执照（或事业法人登记证书或其它工商等登记证明材料，自然人提供身份证)复制件（如为联合体，则联合体各方均应提供）；</w:t>
      </w:r>
    </w:p>
    <w:p w14:paraId="699E16B6">
      <w:pPr>
        <w:snapToGrid w:val="0"/>
        <w:spacing w:line="360" w:lineRule="auto"/>
        <w:jc w:val="left"/>
        <w:rPr>
          <w:rFonts w:ascii="仿宋" w:hAnsi="仿宋" w:eastAsia="仿宋" w:cs="Arial"/>
          <w:color w:val="auto"/>
          <w:szCs w:val="21"/>
          <w:highlight w:val="none"/>
        </w:rPr>
      </w:pPr>
    </w:p>
    <w:p w14:paraId="352CA861">
      <w:pPr>
        <w:snapToGrid w:val="0"/>
        <w:spacing w:line="360" w:lineRule="auto"/>
        <w:jc w:val="left"/>
        <w:rPr>
          <w:rFonts w:ascii="仿宋" w:hAnsi="仿宋" w:eastAsia="仿宋" w:cs="Arial"/>
          <w:color w:val="auto"/>
          <w:sz w:val="24"/>
          <w:highlight w:val="none"/>
        </w:rPr>
      </w:pPr>
      <w:r>
        <w:rPr>
          <w:rFonts w:hint="eastAsia" w:ascii="仿宋" w:hAnsi="仿宋" w:eastAsia="仿宋" w:cs="Arial"/>
          <w:color w:val="auto"/>
          <w:sz w:val="24"/>
          <w:highlight w:val="none"/>
        </w:rPr>
        <w:t>说明：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14:paraId="7F65EE6F">
      <w:pPr>
        <w:numPr>
          <w:ilvl w:val="-1"/>
          <w:numId w:val="0"/>
        </w:numPr>
        <w:snapToGrid w:val="0"/>
        <w:spacing w:before="0" w:beforeLines="-2147483648" w:after="0" w:afterLines="-2147483648" w:line="360" w:lineRule="auto"/>
        <w:ind w:firstLine="0"/>
        <w:jc w:val="left"/>
        <w:rPr>
          <w:rFonts w:hint="eastAsia" w:ascii="仿宋" w:hAnsi="仿宋" w:eastAsia="仿宋" w:cs="Arial"/>
          <w:b/>
          <w:bCs/>
          <w:color w:val="auto"/>
          <w:sz w:val="28"/>
          <w:szCs w:val="28"/>
          <w:highlight w:val="none"/>
          <w:lang w:val="en-US" w:eastAsia="zh-CN"/>
        </w:rPr>
      </w:pPr>
    </w:p>
    <w:p w14:paraId="64C0AA57">
      <w:pPr>
        <w:snapToGrid w:val="0"/>
        <w:spacing w:line="360" w:lineRule="auto"/>
        <w:jc w:val="left"/>
        <w:rPr>
          <w:rFonts w:hint="eastAsia" w:ascii="仿宋" w:hAnsi="仿宋" w:eastAsia="仿宋" w:cs="Arial"/>
          <w:b/>
          <w:bCs/>
          <w:color w:val="auto"/>
          <w:sz w:val="28"/>
          <w:szCs w:val="28"/>
          <w:highlight w:val="none"/>
        </w:rPr>
      </w:pPr>
      <w:r>
        <w:rPr>
          <w:rFonts w:hint="eastAsia" w:ascii="仿宋" w:hAnsi="仿宋" w:eastAsia="仿宋" w:cs="Arial"/>
          <w:b/>
          <w:bCs/>
          <w:color w:val="auto"/>
          <w:sz w:val="28"/>
          <w:szCs w:val="28"/>
          <w:highlight w:val="none"/>
          <w:lang w:val="en-US" w:eastAsia="zh-CN"/>
        </w:rPr>
        <w:t>1.2</w:t>
      </w:r>
      <w:r>
        <w:rPr>
          <w:rFonts w:hint="eastAsia" w:ascii="仿宋" w:hAnsi="仿宋" w:eastAsia="仿宋" w:cs="Arial"/>
          <w:b/>
          <w:bCs/>
          <w:color w:val="auto"/>
          <w:sz w:val="28"/>
          <w:szCs w:val="28"/>
          <w:highlight w:val="none"/>
          <w:lang w:eastAsia="zh-CN"/>
        </w:rPr>
        <w:t>公告发布之日至本项目投标截止时间内</w:t>
      </w:r>
      <w:r>
        <w:rPr>
          <w:rFonts w:hint="eastAsia" w:ascii="仿宋" w:hAnsi="仿宋" w:eastAsia="仿宋" w:cs="Arial"/>
          <w:b/>
          <w:bCs/>
          <w:color w:val="auto"/>
          <w:sz w:val="28"/>
          <w:szCs w:val="28"/>
          <w:highlight w:val="none"/>
        </w:rPr>
        <w:t>任意时间的“信用中国（https://www.creditchina.gov.cn/）”、“中国政府采购网（http://www.ccgp.gov.cn/）”投标人信用查询网页截图（</w:t>
      </w:r>
      <w:r>
        <w:rPr>
          <w:rFonts w:hint="eastAsia" w:ascii="仿宋" w:hAnsi="仿宋" w:eastAsia="仿宋" w:cs="Arial"/>
          <w:b/>
          <w:bCs/>
          <w:color w:val="auto"/>
          <w:sz w:val="28"/>
          <w:szCs w:val="28"/>
          <w:highlight w:val="none"/>
          <w:lang w:val="en-US" w:eastAsia="zh-CN"/>
        </w:rPr>
        <w:t>如有疑议</w:t>
      </w:r>
      <w:r>
        <w:rPr>
          <w:rFonts w:hint="eastAsia" w:ascii="仿宋" w:hAnsi="仿宋" w:eastAsia="仿宋" w:cs="Arial"/>
          <w:b/>
          <w:bCs/>
          <w:color w:val="auto"/>
          <w:sz w:val="28"/>
          <w:szCs w:val="28"/>
          <w:highlight w:val="none"/>
        </w:rPr>
        <w:t>以开标当日采购人或采购代理机构网页查询结果为准）。</w:t>
      </w:r>
    </w:p>
    <w:p w14:paraId="0ECACFC2">
      <w:pPr>
        <w:rPr>
          <w:rFonts w:ascii="仿宋_GB2312" w:hAnsi="仿宋" w:eastAsia="仿宋_GB2312" w:cs="仿宋_GB2312"/>
          <w:color w:val="auto"/>
          <w:kern w:val="0"/>
          <w:sz w:val="28"/>
          <w:szCs w:val="28"/>
          <w:highlight w:val="none"/>
        </w:rPr>
      </w:pPr>
      <w:r>
        <w:rPr>
          <w:rFonts w:ascii="仿宋_GB2312" w:hAnsi="仿宋" w:eastAsia="仿宋_GB2312" w:cs="仿宋_GB2312"/>
          <w:color w:val="auto"/>
          <w:kern w:val="0"/>
          <w:sz w:val="28"/>
          <w:szCs w:val="28"/>
          <w:highlight w:val="none"/>
        </w:rPr>
        <w:br w:type="page"/>
      </w:r>
    </w:p>
    <w:p w14:paraId="3A10CE2F">
      <w:pPr>
        <w:pStyle w:val="23"/>
        <w:rPr>
          <w:color w:val="auto"/>
          <w:highlight w:val="none"/>
        </w:rPr>
      </w:pPr>
    </w:p>
    <w:p w14:paraId="258291E2">
      <w:pPr>
        <w:widowControl/>
        <w:adjustRightInd/>
        <w:jc w:val="left"/>
        <w:rPr>
          <w:rFonts w:ascii="仿宋" w:hAnsi="仿宋" w:eastAsia="仿宋" w:cs="仿宋_GB2312"/>
          <w:b/>
          <w:color w:val="auto"/>
          <w:kern w:val="0"/>
          <w:sz w:val="32"/>
          <w:szCs w:val="32"/>
          <w:highlight w:val="none"/>
        </w:rPr>
      </w:pPr>
    </w:p>
    <w:p w14:paraId="06B7227E">
      <w:pPr>
        <w:snapToGrid w:val="0"/>
        <w:spacing w:line="360" w:lineRule="auto"/>
        <w:ind w:right="480"/>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二、落实政府采购政策需满足的资格要求</w:t>
      </w:r>
    </w:p>
    <w:p w14:paraId="27079476">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rPr>
        <w:t>（根据招标公告</w:t>
      </w:r>
      <w:r>
        <w:rPr>
          <w:rFonts w:hint="eastAsia" w:ascii="仿宋" w:hAnsi="仿宋" w:eastAsia="仿宋"/>
          <w:color w:val="auto"/>
          <w:sz w:val="24"/>
          <w:highlight w:val="none"/>
        </w:rPr>
        <w:t>落实政府采购政策需满足的资格要求选择提供相应的材料；未要求的，无需提供</w:t>
      </w:r>
      <w:r>
        <w:rPr>
          <w:rFonts w:hint="eastAsia" w:ascii="仿宋" w:hAnsi="仿宋" w:eastAsia="仿宋" w:cs="仿宋_GB2312"/>
          <w:color w:val="auto"/>
          <w:sz w:val="24"/>
          <w:highlight w:val="none"/>
        </w:rPr>
        <w:t>）</w:t>
      </w:r>
    </w:p>
    <w:p w14:paraId="3B4A7B37">
      <w:pPr>
        <w:numPr>
          <w:ilvl w:val="0"/>
          <w:numId w:val="17"/>
        </w:numPr>
        <w:snapToGrid w:val="0"/>
        <w:spacing w:before="50" w:after="50" w:line="360" w:lineRule="auto"/>
        <w:ind w:firstLine="470" w:firstLineChars="196"/>
        <w:jc w:val="lef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专门面向中小企业，货物全部由符合政策要求的中小企业（或小微企业）制造或者服务全部由符合政策要求的中小企业（或小微企业）承接的，提供相应的中小企业声明函（附件1）。</w:t>
      </w:r>
    </w:p>
    <w:p w14:paraId="6FE79680">
      <w:pPr>
        <w:widowControl/>
        <w:spacing w:line="360" w:lineRule="auto"/>
        <w:ind w:firstLine="470" w:firstLineChars="196"/>
        <w:jc w:val="left"/>
        <w:rPr>
          <w:rFonts w:ascii="仿宋" w:hAnsi="仿宋" w:eastAsia="仿宋" w:cs="仿宋_GB2312"/>
          <w:color w:val="auto"/>
          <w:sz w:val="24"/>
          <w:highlight w:val="none"/>
        </w:rPr>
      </w:pPr>
    </w:p>
    <w:p w14:paraId="062C5548">
      <w:pPr>
        <w:widowControl/>
        <w:adjustRightInd/>
        <w:jc w:val="left"/>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br w:type="page"/>
      </w:r>
    </w:p>
    <w:p w14:paraId="6DD5C11C">
      <w:pPr>
        <w:pStyle w:val="842"/>
        <w:keepNext w:val="0"/>
        <w:pageBreakBefore w:val="0"/>
        <w:tabs>
          <w:tab w:val="clear" w:pos="720"/>
        </w:tabs>
        <w:snapToGrid w:val="0"/>
        <w:spacing w:before="120" w:after="120"/>
        <w:jc w:val="both"/>
        <w:outlineLvl w:val="9"/>
        <w:rPr>
          <w:rFonts w:ascii="仿宋" w:hAnsi="仿宋" w:eastAsia="仿宋" w:cs="仿宋_GB2312"/>
          <w:b/>
          <w:color w:val="auto"/>
          <w:sz w:val="32"/>
          <w:szCs w:val="32"/>
          <w:highlight w:val="none"/>
        </w:rPr>
      </w:pPr>
      <w:r>
        <w:rPr>
          <w:rFonts w:hint="eastAsia" w:ascii="仿宋" w:hAnsi="仿宋" w:eastAsia="仿宋"/>
          <w:color w:val="auto"/>
          <w:sz w:val="28"/>
          <w:szCs w:val="28"/>
          <w:highlight w:val="none"/>
        </w:rPr>
        <w:t>附件1</w:t>
      </w:r>
    </w:p>
    <w:p w14:paraId="09FD87A1">
      <w:pPr>
        <w:spacing w:line="360" w:lineRule="auto"/>
        <w:jc w:val="center"/>
        <w:rPr>
          <w:rFonts w:ascii="仿宋" w:hAnsi="仿宋" w:eastAsia="仿宋"/>
          <w:b/>
          <w:color w:val="auto"/>
          <w:sz w:val="32"/>
          <w:szCs w:val="32"/>
          <w:highlight w:val="none"/>
        </w:rPr>
      </w:pPr>
      <w:r>
        <w:rPr>
          <w:rFonts w:hint="eastAsia" w:ascii="仿宋" w:hAnsi="仿宋" w:eastAsia="仿宋" w:cs="仿宋_GB2312"/>
          <w:b/>
          <w:color w:val="auto"/>
          <w:sz w:val="32"/>
          <w:szCs w:val="32"/>
          <w:highlight w:val="none"/>
        </w:rPr>
        <w:t>（1）中小企业声明函</w:t>
      </w:r>
      <w:r>
        <w:rPr>
          <w:rFonts w:hint="eastAsia" w:ascii="仿宋" w:hAnsi="仿宋" w:eastAsia="仿宋"/>
          <w:b/>
          <w:color w:val="auto"/>
          <w:sz w:val="32"/>
          <w:szCs w:val="32"/>
          <w:highlight w:val="none"/>
        </w:rPr>
        <w:t>（工程、服务）</w:t>
      </w:r>
    </w:p>
    <w:p w14:paraId="5E3C1684">
      <w:pPr>
        <w:spacing w:line="360" w:lineRule="auto"/>
        <w:rPr>
          <w:rFonts w:ascii="仿宋" w:hAnsi="仿宋" w:eastAsia="仿宋"/>
          <w:color w:val="auto"/>
          <w:highlight w:val="none"/>
        </w:rPr>
      </w:pPr>
    </w:p>
    <w:p w14:paraId="1388CF38">
      <w:pPr>
        <w:spacing w:line="360" w:lineRule="auto"/>
        <w:ind w:firstLine="360" w:firstLineChars="150"/>
        <w:jc w:val="left"/>
        <w:rPr>
          <w:rFonts w:ascii="仿宋" w:hAnsi="仿宋" w:eastAsia="仿宋"/>
          <w:color w:val="auto"/>
          <w:sz w:val="24"/>
          <w:highlight w:val="none"/>
        </w:rPr>
      </w:pPr>
      <w:r>
        <w:rPr>
          <w:rFonts w:hint="eastAsia" w:ascii="仿宋" w:hAnsi="仿宋" w:eastAsia="仿宋"/>
          <w:color w:val="auto"/>
          <w:sz w:val="24"/>
          <w:highlight w:val="none"/>
        </w:rPr>
        <w:t>本公司（联合体）郑重声明，根据《政府采购促进中小企业发展管理办法》（财库﹝</w:t>
      </w:r>
      <w:r>
        <w:rPr>
          <w:rFonts w:ascii="仿宋" w:hAnsi="仿宋" w:eastAsia="仿宋"/>
          <w:color w:val="auto"/>
          <w:sz w:val="24"/>
          <w:highlight w:val="none"/>
        </w:rPr>
        <w:t xml:space="preserve">2020﹞46 </w:t>
      </w:r>
      <w:r>
        <w:rPr>
          <w:rFonts w:hint="eastAsia" w:ascii="仿宋" w:hAnsi="仿宋" w:eastAsia="仿宋"/>
          <w:color w:val="auto"/>
          <w:sz w:val="24"/>
          <w:highlight w:val="none"/>
        </w:rPr>
        <w:t>号）的规定，本公司（联合体）参加</w:t>
      </w:r>
      <w:r>
        <w:rPr>
          <w:rFonts w:hint="eastAsia" w:ascii="仿宋" w:hAnsi="仿宋" w:eastAsia="仿宋"/>
          <w:color w:val="auto"/>
          <w:sz w:val="24"/>
          <w:highlight w:val="none"/>
          <w:u w:val="single"/>
        </w:rPr>
        <w:t>（单位名称）</w:t>
      </w:r>
      <w:r>
        <w:rPr>
          <w:rFonts w:hint="eastAsia" w:ascii="仿宋" w:hAnsi="仿宋" w:eastAsia="仿宋"/>
          <w:color w:val="auto"/>
          <w:sz w:val="24"/>
          <w:highlight w:val="none"/>
        </w:rPr>
        <w:t>的</w:t>
      </w:r>
      <w:r>
        <w:rPr>
          <w:rFonts w:hint="eastAsia" w:ascii="仿宋" w:hAnsi="仿宋" w:eastAsia="仿宋"/>
          <w:color w:val="auto"/>
          <w:sz w:val="24"/>
          <w:highlight w:val="none"/>
          <w:u w:val="single"/>
        </w:rPr>
        <w:t>（项目名称）</w:t>
      </w:r>
      <w:r>
        <w:rPr>
          <w:rFonts w:hint="eastAsia" w:ascii="仿宋" w:hAnsi="仿宋" w:eastAsia="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852E7AF">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，属于</w:t>
      </w:r>
      <w:r>
        <w:rPr>
          <w:rFonts w:hint="eastAsia" w:ascii="仿宋" w:hAnsi="仿宋" w:eastAsia="仿宋"/>
          <w:color w:val="auto"/>
          <w:sz w:val="24"/>
          <w:highlight w:val="none"/>
          <w:u w:val="single"/>
        </w:rPr>
        <w:t>（招标文件中明确的所属行业）</w:t>
      </w:r>
      <w:r>
        <w:rPr>
          <w:rFonts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ascii="仿宋" w:hAnsi="仿宋" w:eastAsia="仿宋"/>
          <w:color w:val="auto"/>
          <w:sz w:val="24"/>
          <w:highlight w:val="none"/>
        </w:rPr>
        <w:t xml:space="preserve"> ，从业人员</w:t>
      </w:r>
      <w:r>
        <w:rPr>
          <w:rFonts w:hint="eastAsia" w:ascii="仿宋" w:hAnsi="仿宋" w:eastAsia="仿宋"/>
          <w:color w:val="auto"/>
          <w:sz w:val="24"/>
          <w:highlight w:val="none"/>
        </w:rPr>
        <w:t>人，营业收入为万元，资产总额为万元属于</w:t>
      </w:r>
      <w:r>
        <w:rPr>
          <w:rFonts w:ascii="仿宋" w:hAnsi="仿宋" w:eastAsia="仿宋"/>
          <w:color w:val="auto"/>
          <w:sz w:val="24"/>
          <w:highlight w:val="none"/>
          <w:u w:val="single"/>
        </w:rPr>
        <w:t xml:space="preserve"> （中型企业、小型企业、微型企业） </w:t>
      </w:r>
      <w:r>
        <w:rPr>
          <w:rFonts w:hint="eastAsia" w:ascii="仿宋" w:hAnsi="仿宋" w:eastAsia="仿宋"/>
          <w:color w:val="auto"/>
          <w:sz w:val="24"/>
          <w:highlight w:val="none"/>
        </w:rPr>
        <w:t>；</w:t>
      </w:r>
    </w:p>
    <w:p w14:paraId="49669DCA">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p>
    <w:p w14:paraId="04FA894F">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14:paraId="7AF20BE9">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14:paraId="062D9AB9">
      <w:pPr>
        <w:spacing w:line="360" w:lineRule="auto"/>
        <w:ind w:right="1760"/>
        <w:jc w:val="center"/>
        <w:rPr>
          <w:rFonts w:ascii="仿宋" w:hAnsi="仿宋" w:eastAsia="仿宋"/>
          <w:color w:val="auto"/>
          <w:sz w:val="24"/>
          <w:highlight w:val="none"/>
        </w:rPr>
      </w:pPr>
      <w:r>
        <w:rPr>
          <w:rFonts w:hint="eastAsia" w:ascii="仿宋" w:hAnsi="仿宋" w:eastAsia="仿宋" w:cs="仿宋_GB2312"/>
          <w:color w:val="auto"/>
          <w:sz w:val="24"/>
          <w:highlight w:val="none"/>
          <w:lang w:val="en-US" w:eastAsia="zh-CN"/>
        </w:rPr>
        <w:t xml:space="preserve">                             </w:t>
      </w:r>
      <w:r>
        <w:rPr>
          <w:rFonts w:hint="eastAsia" w:ascii="仿宋" w:hAnsi="仿宋" w:eastAsia="仿宋" w:cs="仿宋_GB2312"/>
          <w:color w:val="auto"/>
          <w:sz w:val="24"/>
          <w:highlight w:val="none"/>
        </w:rPr>
        <w:t>投标人</w:t>
      </w:r>
      <w:r>
        <w:rPr>
          <w:rFonts w:hint="eastAsia" w:ascii="仿宋" w:hAnsi="仿宋" w:eastAsia="仿宋"/>
          <w:color w:val="auto"/>
          <w:sz w:val="24"/>
          <w:highlight w:val="none"/>
        </w:rPr>
        <w:t>名称（</w:t>
      </w:r>
      <w:r>
        <w:rPr>
          <w:rFonts w:hint="eastAsia" w:ascii="仿宋" w:hAnsi="仿宋" w:eastAsia="仿宋" w:cs="仿宋_GB2312"/>
          <w:color w:val="auto"/>
          <w:kern w:val="0"/>
          <w:sz w:val="24"/>
          <w:highlight w:val="none"/>
          <w:lang w:val="en-US" w:eastAsia="zh-CN"/>
        </w:rPr>
        <w:t>盖章</w:t>
      </w:r>
      <w:r>
        <w:rPr>
          <w:rFonts w:hint="eastAsia" w:ascii="仿宋" w:hAnsi="仿宋" w:eastAsia="仿宋"/>
          <w:color w:val="auto"/>
          <w:sz w:val="24"/>
          <w:highlight w:val="none"/>
        </w:rPr>
        <w:t>）：</w:t>
      </w:r>
    </w:p>
    <w:p w14:paraId="4094C7DF">
      <w:pPr>
        <w:adjustRightInd w:val="0"/>
        <w:snapToGrid w:val="0"/>
        <w:spacing w:line="300" w:lineRule="auto"/>
        <w:ind w:firstLine="480" w:firstLineChars="200"/>
        <w:jc w:val="center"/>
        <w:rPr>
          <w:rFonts w:ascii="宋体" w:cs="Arial"/>
          <w:color w:val="auto"/>
          <w:kern w:val="0"/>
          <w:sz w:val="22"/>
          <w:szCs w:val="22"/>
          <w:highlight w:val="none"/>
        </w:rPr>
      </w:pP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日期：    年   月  日</w:t>
      </w:r>
    </w:p>
    <w:p w14:paraId="5DBB344E">
      <w:pPr>
        <w:spacing w:line="360" w:lineRule="auto"/>
        <w:ind w:right="1120" w:firstLine="4680" w:firstLineChars="1950"/>
        <w:rPr>
          <w:rFonts w:ascii="仿宋" w:hAnsi="仿宋" w:eastAsia="仿宋"/>
          <w:color w:val="auto"/>
          <w:sz w:val="24"/>
          <w:highlight w:val="none"/>
        </w:rPr>
      </w:pPr>
    </w:p>
    <w:p w14:paraId="78751C6F">
      <w:pPr>
        <w:spacing w:line="360" w:lineRule="auto"/>
        <w:jc w:val="left"/>
        <w:rPr>
          <w:rFonts w:ascii="仿宋" w:hAnsi="仿宋" w:eastAsia="仿宋"/>
          <w:b/>
          <w:color w:val="auto"/>
          <w:szCs w:val="21"/>
          <w:highlight w:val="none"/>
        </w:rPr>
      </w:pPr>
    </w:p>
    <w:p w14:paraId="7D3FA5D6">
      <w:pPr>
        <w:pStyle w:val="23"/>
        <w:rPr>
          <w:rFonts w:ascii="仿宋" w:hAnsi="仿宋" w:eastAsia="仿宋"/>
          <w:b/>
          <w:color w:val="auto"/>
          <w:szCs w:val="21"/>
          <w:highlight w:val="none"/>
        </w:rPr>
      </w:pPr>
    </w:p>
    <w:p w14:paraId="338AD5D4">
      <w:pPr>
        <w:rPr>
          <w:rFonts w:ascii="仿宋" w:hAnsi="仿宋" w:eastAsia="仿宋"/>
          <w:b/>
          <w:color w:val="auto"/>
          <w:szCs w:val="21"/>
          <w:highlight w:val="none"/>
        </w:rPr>
      </w:pPr>
    </w:p>
    <w:p w14:paraId="6BA14163">
      <w:pPr>
        <w:pStyle w:val="23"/>
        <w:rPr>
          <w:rFonts w:ascii="仿宋" w:hAnsi="仿宋" w:eastAsia="仿宋"/>
          <w:b/>
          <w:color w:val="auto"/>
          <w:szCs w:val="21"/>
          <w:highlight w:val="none"/>
        </w:rPr>
      </w:pPr>
    </w:p>
    <w:p w14:paraId="1AFB1027">
      <w:pPr>
        <w:rPr>
          <w:color w:val="auto"/>
          <w:highlight w:val="none"/>
        </w:rPr>
      </w:pPr>
    </w:p>
    <w:p w14:paraId="4D6048AD">
      <w:pPr>
        <w:spacing w:line="360" w:lineRule="auto"/>
        <w:jc w:val="left"/>
        <w:rPr>
          <w:rFonts w:ascii="仿宋" w:hAnsi="仿宋" w:eastAsia="仿宋"/>
          <w:color w:val="auto"/>
          <w:sz w:val="18"/>
          <w:szCs w:val="18"/>
          <w:highlight w:val="none"/>
        </w:rPr>
      </w:pPr>
      <w:r>
        <w:rPr>
          <w:rFonts w:hint="eastAsia" w:ascii="仿宋" w:hAnsi="仿宋" w:eastAsia="仿宋"/>
          <w:color w:val="auto"/>
          <w:sz w:val="18"/>
          <w:szCs w:val="18"/>
          <w:highlight w:val="none"/>
        </w:rPr>
        <w:t>注：1、从业人员、营业收入、资产总额填报上一年度数据，无上一年度数据的新成立企业可不填报。</w:t>
      </w:r>
    </w:p>
    <w:p w14:paraId="10D99808">
      <w:pPr>
        <w:spacing w:line="360" w:lineRule="auto"/>
        <w:ind w:firstLine="360" w:firstLineChars="200"/>
        <w:jc w:val="left"/>
        <w:rPr>
          <w:rFonts w:ascii="仿宋" w:hAnsi="仿宋" w:eastAsia="仿宋"/>
          <w:color w:val="auto"/>
          <w:sz w:val="18"/>
          <w:szCs w:val="18"/>
          <w:highlight w:val="none"/>
        </w:rPr>
      </w:pPr>
      <w:r>
        <w:rPr>
          <w:rFonts w:hint="eastAsia" w:ascii="仿宋" w:hAnsi="仿宋" w:eastAsia="仿宋"/>
          <w:color w:val="auto"/>
          <w:sz w:val="18"/>
          <w:szCs w:val="18"/>
          <w:highlight w:val="none"/>
        </w:rPr>
        <w:t>2、</w:t>
      </w:r>
      <w:r>
        <w:rPr>
          <w:rFonts w:ascii="仿宋" w:hAnsi="仿宋" w:eastAsia="仿宋"/>
          <w:color w:val="auto"/>
          <w:sz w:val="18"/>
          <w:szCs w:val="18"/>
          <w:highlight w:val="none"/>
        </w:rPr>
        <w:t>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36195BB">
      <w:pPr>
        <w:spacing w:line="360" w:lineRule="auto"/>
        <w:jc w:val="center"/>
        <w:rPr>
          <w:rFonts w:ascii="宋体" w:hAnsi="宋体" w:cs="宋体"/>
          <w:b/>
          <w:bCs/>
          <w:color w:val="auto"/>
          <w:sz w:val="24"/>
          <w:szCs w:val="22"/>
          <w:highlight w:val="none"/>
        </w:rPr>
      </w:pPr>
      <w:r>
        <w:rPr>
          <w:rFonts w:ascii="宋体" w:hAnsi="宋体" w:cs="宋体"/>
          <w:b/>
          <w:bCs/>
          <w:color w:val="auto"/>
          <w:sz w:val="24"/>
          <w:szCs w:val="22"/>
          <w:highlight w:val="none"/>
        </w:rPr>
        <w:br w:type="page"/>
      </w:r>
    </w:p>
    <w:p w14:paraId="30D58D4C">
      <w:pPr>
        <w:spacing w:line="360" w:lineRule="auto"/>
        <w:jc w:val="center"/>
        <w:rPr>
          <w:rFonts w:ascii="宋体" w:hAnsi="宋体" w:cs="新宋体"/>
          <w:b/>
          <w:bCs/>
          <w:color w:val="auto"/>
          <w:sz w:val="22"/>
          <w:szCs w:val="22"/>
          <w:highlight w:val="none"/>
        </w:rPr>
      </w:pPr>
    </w:p>
    <w:p w14:paraId="68D8EC48">
      <w:pPr>
        <w:spacing w:line="360" w:lineRule="auto"/>
        <w:jc w:val="center"/>
        <w:rPr>
          <w:rFonts w:hint="eastAsia" w:ascii="仿宋" w:hAnsi="仿宋" w:eastAsia="仿宋" w:cs="仿宋_GB2312"/>
          <w:b/>
          <w:color w:val="auto"/>
          <w:spacing w:val="0"/>
          <w:sz w:val="32"/>
          <w:szCs w:val="32"/>
          <w:highlight w:val="none"/>
        </w:rPr>
      </w:pPr>
      <w:r>
        <w:rPr>
          <w:rFonts w:hint="eastAsia" w:ascii="仿宋" w:hAnsi="仿宋" w:eastAsia="仿宋" w:cs="仿宋_GB2312"/>
          <w:b/>
          <w:color w:val="auto"/>
          <w:sz w:val="32"/>
          <w:szCs w:val="32"/>
          <w:highlight w:val="none"/>
        </w:rPr>
        <w:t>（2）</w:t>
      </w:r>
      <w:r>
        <w:rPr>
          <w:rFonts w:hint="eastAsia" w:ascii="仿宋" w:hAnsi="仿宋" w:eastAsia="仿宋" w:cs="仿宋_GB2312"/>
          <w:b/>
          <w:color w:val="auto"/>
          <w:spacing w:val="0"/>
          <w:sz w:val="32"/>
          <w:szCs w:val="32"/>
          <w:highlight w:val="none"/>
        </w:rPr>
        <w:t>残疾人福利性单位声明函</w:t>
      </w:r>
    </w:p>
    <w:p w14:paraId="350E065D">
      <w:pPr>
        <w:widowControl/>
        <w:adjustRightInd w:val="0"/>
        <w:snapToGrid w:val="0"/>
        <w:spacing w:line="324" w:lineRule="auto"/>
        <w:ind w:firstLine="480" w:firstLineChars="20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【不属于残疾人福利性单位的无需填写、递交】</w:t>
      </w:r>
    </w:p>
    <w:p w14:paraId="0363FF86">
      <w:pPr>
        <w:snapToGrid w:val="0"/>
        <w:spacing w:line="300" w:lineRule="auto"/>
        <w:jc w:val="center"/>
        <w:rPr>
          <w:rFonts w:hint="eastAsia" w:ascii="仿宋" w:hAnsi="仿宋" w:eastAsia="仿宋" w:cs="仿宋"/>
          <w:b/>
          <w:bCs/>
          <w:color w:val="auto"/>
          <w:sz w:val="24"/>
          <w:szCs w:val="24"/>
          <w:highlight w:val="none"/>
        </w:rPr>
      </w:pPr>
    </w:p>
    <w:p w14:paraId="7E709D8A">
      <w:pPr>
        <w:snapToGrid w:val="0"/>
        <w:spacing w:line="30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本单位郑重声明，根据《财政部民政部中国残疾人联合会关于促进残疾人就业政府采购政策的通知》（财库</w:t>
      </w:r>
      <w:r>
        <w:rPr>
          <w:rFonts w:hint="eastAsia" w:ascii="仿宋" w:hAnsi="仿宋" w:eastAsia="仿宋" w:cs="仿宋"/>
          <w:color w:val="auto"/>
          <w:sz w:val="24"/>
          <w:szCs w:val="24"/>
          <w:highlight w:val="none"/>
        </w:rPr>
        <w:t>〔2017〕141</w:t>
      </w:r>
      <w:r>
        <w:rPr>
          <w:rFonts w:hint="eastAsia" w:ascii="仿宋" w:hAnsi="仿宋" w:eastAsia="仿宋" w:cs="仿宋"/>
          <w:color w:val="auto"/>
          <w:spacing w:val="6"/>
          <w:sz w:val="24"/>
          <w:szCs w:val="24"/>
          <w:highlight w:val="none"/>
        </w:rPr>
        <w:t>号）的规定，本单位为符合条件的残疾人福利性单位，且本单位参加</w:t>
      </w:r>
      <w:r>
        <w:rPr>
          <w:rFonts w:hint="eastAsia" w:ascii="仿宋" w:hAnsi="仿宋" w:eastAsia="仿宋" w:cs="仿宋"/>
          <w:color w:val="auto"/>
          <w:spacing w:val="6"/>
          <w:sz w:val="24"/>
          <w:szCs w:val="24"/>
          <w:highlight w:val="none"/>
          <w:u w:val="single"/>
        </w:rPr>
        <w:t>（采购人名称）</w:t>
      </w:r>
      <w:r>
        <w:rPr>
          <w:rFonts w:hint="eastAsia" w:ascii="仿宋" w:hAnsi="仿宋" w:eastAsia="仿宋" w:cs="仿宋"/>
          <w:color w:val="auto"/>
          <w:spacing w:val="6"/>
          <w:sz w:val="24"/>
          <w:szCs w:val="24"/>
          <w:highlight w:val="none"/>
        </w:rPr>
        <w:t>单位的</w:t>
      </w:r>
      <w:r>
        <w:rPr>
          <w:rFonts w:hint="eastAsia" w:ascii="仿宋" w:hAnsi="仿宋" w:eastAsia="仿宋" w:cs="仿宋"/>
          <w:color w:val="auto"/>
          <w:spacing w:val="6"/>
          <w:sz w:val="24"/>
          <w:szCs w:val="24"/>
          <w:highlight w:val="none"/>
          <w:u w:val="single"/>
        </w:rPr>
        <w:t>（项目名称）</w:t>
      </w:r>
      <w:r>
        <w:rPr>
          <w:rFonts w:hint="eastAsia" w:ascii="仿宋" w:hAnsi="仿宋" w:eastAsia="仿宋" w:cs="仿宋"/>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1688A3AC">
      <w:pPr>
        <w:snapToGrid w:val="0"/>
        <w:spacing w:line="30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08C58BDC">
      <w:pPr>
        <w:snapToGrid w:val="0"/>
        <w:spacing w:line="300" w:lineRule="auto"/>
        <w:ind w:firstLine="504" w:firstLineChars="200"/>
        <w:rPr>
          <w:rFonts w:hint="eastAsia" w:ascii="仿宋" w:hAnsi="仿宋" w:eastAsia="仿宋" w:cs="仿宋"/>
          <w:color w:val="auto"/>
          <w:spacing w:val="6"/>
          <w:sz w:val="24"/>
          <w:szCs w:val="24"/>
          <w:highlight w:val="none"/>
        </w:rPr>
      </w:pPr>
    </w:p>
    <w:p w14:paraId="4A44607F">
      <w:pPr>
        <w:snapToGrid w:val="0"/>
        <w:spacing w:line="300" w:lineRule="auto"/>
        <w:ind w:firstLine="504" w:firstLineChars="200"/>
        <w:rPr>
          <w:rFonts w:hint="eastAsia" w:ascii="仿宋" w:hAnsi="仿宋" w:eastAsia="仿宋" w:cs="仿宋"/>
          <w:color w:val="auto"/>
          <w:spacing w:val="6"/>
          <w:sz w:val="24"/>
          <w:szCs w:val="24"/>
          <w:highlight w:val="none"/>
        </w:rPr>
      </w:pPr>
    </w:p>
    <w:p w14:paraId="7F917DDB">
      <w:pPr>
        <w:snapToGrid w:val="0"/>
        <w:spacing w:line="300" w:lineRule="auto"/>
        <w:ind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val="en-US" w:eastAsia="zh-CN"/>
        </w:rPr>
        <w:t xml:space="preserve">   </w:t>
      </w:r>
      <w:r>
        <w:rPr>
          <w:rFonts w:hint="eastAsia" w:ascii="仿宋" w:hAnsi="仿宋" w:eastAsia="仿宋" w:cs="仿宋"/>
          <w:color w:val="auto"/>
          <w:spacing w:val="6"/>
          <w:sz w:val="24"/>
          <w:szCs w:val="24"/>
          <w:highlight w:val="none"/>
        </w:rPr>
        <w:t>投标人名称（</w:t>
      </w:r>
      <w:r>
        <w:rPr>
          <w:rFonts w:hint="eastAsia" w:ascii="仿宋" w:hAnsi="仿宋" w:eastAsia="仿宋" w:cs="仿宋"/>
          <w:color w:val="auto"/>
          <w:spacing w:val="6"/>
          <w:sz w:val="24"/>
          <w:szCs w:val="24"/>
          <w:highlight w:val="none"/>
          <w:lang w:val="en-US" w:eastAsia="zh-CN"/>
        </w:rPr>
        <w:t>盖章</w:t>
      </w:r>
      <w:r>
        <w:rPr>
          <w:rFonts w:hint="eastAsia" w:ascii="仿宋" w:hAnsi="仿宋" w:eastAsia="仿宋" w:cs="仿宋"/>
          <w:color w:val="auto"/>
          <w:spacing w:val="6"/>
          <w:sz w:val="24"/>
          <w:szCs w:val="24"/>
          <w:highlight w:val="none"/>
        </w:rPr>
        <w:t>）：</w:t>
      </w:r>
    </w:p>
    <w:p w14:paraId="586464B6">
      <w:pPr>
        <w:snapToGrid w:val="0"/>
        <w:spacing w:line="300" w:lineRule="auto"/>
        <w:ind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val="en-US" w:eastAsia="zh-CN"/>
        </w:rPr>
        <w:t xml:space="preserve">  </w:t>
      </w:r>
      <w:r>
        <w:rPr>
          <w:rFonts w:hint="eastAsia" w:ascii="仿宋" w:hAnsi="仿宋" w:eastAsia="仿宋" w:cs="仿宋"/>
          <w:color w:val="auto"/>
          <w:spacing w:val="6"/>
          <w:sz w:val="24"/>
          <w:szCs w:val="24"/>
          <w:highlight w:val="none"/>
        </w:rPr>
        <w:t>日期：    年   月  日</w:t>
      </w:r>
    </w:p>
    <w:p w14:paraId="6996A87A">
      <w:pPr>
        <w:adjustRightInd w:val="0"/>
        <w:snapToGrid w:val="0"/>
        <w:spacing w:line="300" w:lineRule="auto"/>
        <w:ind w:firstLine="480" w:firstLineChars="200"/>
        <w:rPr>
          <w:rFonts w:hint="eastAsia" w:ascii="仿宋" w:hAnsi="仿宋" w:eastAsia="仿宋" w:cs="仿宋"/>
          <w:color w:val="auto"/>
          <w:kern w:val="0"/>
          <w:sz w:val="24"/>
          <w:szCs w:val="24"/>
          <w:highlight w:val="none"/>
        </w:rPr>
      </w:pPr>
    </w:p>
    <w:p w14:paraId="32BA67FA">
      <w:pPr>
        <w:pStyle w:val="38"/>
        <w:rPr>
          <w:rFonts w:hint="eastAsia" w:ascii="仿宋" w:hAnsi="仿宋" w:eastAsia="仿宋" w:cs="仿宋"/>
          <w:color w:val="auto"/>
          <w:sz w:val="24"/>
          <w:szCs w:val="24"/>
          <w:highlight w:val="none"/>
        </w:rPr>
      </w:pPr>
    </w:p>
    <w:p w14:paraId="1B2A3985">
      <w:pPr>
        <w:adjustRightInd w:val="0"/>
        <w:snapToGrid w:val="0"/>
        <w:spacing w:line="300" w:lineRule="auto"/>
        <w:ind w:firstLine="480" w:firstLineChars="200"/>
        <w:rPr>
          <w:rFonts w:hint="eastAsia" w:ascii="仿宋" w:hAnsi="仿宋" w:eastAsia="仿宋" w:cs="仿宋"/>
          <w:color w:val="auto"/>
          <w:kern w:val="0"/>
          <w:sz w:val="24"/>
          <w:szCs w:val="24"/>
          <w:highlight w:val="none"/>
        </w:rPr>
      </w:pPr>
    </w:p>
    <w:p w14:paraId="2F21BDF6">
      <w:pPr>
        <w:spacing w:line="440" w:lineRule="atLeast"/>
        <w:rPr>
          <w:rFonts w:hint="eastAsia" w:ascii="仿宋" w:hAnsi="仿宋" w:eastAsia="仿宋" w:cs="仿宋"/>
          <w:color w:val="auto"/>
          <w:sz w:val="24"/>
          <w:szCs w:val="24"/>
          <w:highlight w:val="none"/>
        </w:rPr>
      </w:pPr>
    </w:p>
    <w:p w14:paraId="51B66CF3">
      <w:pPr>
        <w:adjustRightInd/>
        <w:snapToGrid/>
        <w:spacing w:line="360" w:lineRule="auto"/>
        <w:jc w:val="center"/>
        <w:rPr>
          <w:rFonts w:hint="eastAsia" w:ascii="仿宋" w:hAnsi="仿宋" w:eastAsia="仿宋" w:cs="仿宋_GB2312"/>
          <w:b/>
          <w:color w:val="auto"/>
          <w:kern w:val="2"/>
          <w:sz w:val="32"/>
          <w:szCs w:val="32"/>
          <w:highlight w:val="none"/>
        </w:rPr>
      </w:pPr>
      <w:r>
        <w:rPr>
          <w:rFonts w:hint="eastAsia" w:ascii="仿宋" w:hAnsi="仿宋" w:eastAsia="仿宋" w:cs="仿宋_GB2312"/>
          <w:b/>
          <w:color w:val="auto"/>
          <w:sz w:val="32"/>
          <w:szCs w:val="32"/>
          <w:highlight w:val="none"/>
        </w:rPr>
        <w:t>（3）</w:t>
      </w:r>
      <w:r>
        <w:rPr>
          <w:rFonts w:hint="eastAsia" w:ascii="仿宋" w:hAnsi="仿宋" w:eastAsia="仿宋" w:cs="仿宋_GB2312"/>
          <w:b/>
          <w:color w:val="auto"/>
          <w:spacing w:val="0"/>
          <w:sz w:val="32"/>
          <w:szCs w:val="32"/>
          <w:highlight w:val="none"/>
        </w:rPr>
        <w:t>监狱企业声明函</w:t>
      </w:r>
    </w:p>
    <w:p w14:paraId="6C446D38">
      <w:pPr>
        <w:snapToGrid w:val="0"/>
        <w:spacing w:line="300" w:lineRule="auto"/>
        <w:ind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【非监狱企业不用提供】</w:t>
      </w:r>
    </w:p>
    <w:p w14:paraId="1B127165">
      <w:pPr>
        <w:snapToGrid w:val="0"/>
        <w:spacing w:line="30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本企业郑重声明，根据《关于政府采购支持监狱企业发展有关问题的通知》（财库[2014]68号）的规定，本企业为监狱企业。 </w:t>
      </w:r>
    </w:p>
    <w:p w14:paraId="0E918B58">
      <w:pPr>
        <w:snapToGrid w:val="0"/>
        <w:spacing w:line="30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根据上述标准，我企业属于监狱企业的理由为：。 </w:t>
      </w:r>
    </w:p>
    <w:p w14:paraId="193BA6E3">
      <w:pPr>
        <w:snapToGrid w:val="0"/>
        <w:spacing w:line="30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本企业为参加（项目名称</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）（项目编号</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 xml:space="preserve">）采购活动并承担本工程。 </w:t>
      </w:r>
    </w:p>
    <w:p w14:paraId="26DB366C">
      <w:pPr>
        <w:snapToGrid w:val="0"/>
        <w:spacing w:line="30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本企业对上述声明的真实性负责。如有虚假，将依法承担相应责任。 </w:t>
      </w:r>
    </w:p>
    <w:p w14:paraId="3B0AFE0F">
      <w:pPr>
        <w:tabs>
          <w:tab w:val="left" w:pos="4860"/>
        </w:tabs>
        <w:spacing w:line="588" w:lineRule="exact"/>
        <w:ind w:right="1560" w:firstLine="504" w:firstLineChars="200"/>
        <w:jc w:val="center"/>
        <w:rPr>
          <w:rFonts w:hint="eastAsia" w:ascii="仿宋" w:hAnsi="仿宋" w:eastAsia="仿宋" w:cs="仿宋"/>
          <w:color w:val="auto"/>
          <w:spacing w:val="6"/>
          <w:sz w:val="24"/>
          <w:szCs w:val="24"/>
          <w:highlight w:val="none"/>
        </w:rPr>
      </w:pPr>
    </w:p>
    <w:p w14:paraId="2D1E72BC">
      <w:pPr>
        <w:snapToGrid w:val="0"/>
        <w:spacing w:line="300" w:lineRule="auto"/>
        <w:ind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val="en-US" w:eastAsia="zh-CN"/>
        </w:rPr>
        <w:t xml:space="preserve">  </w:t>
      </w:r>
      <w:r>
        <w:rPr>
          <w:rFonts w:hint="eastAsia" w:ascii="仿宋" w:hAnsi="仿宋" w:eastAsia="仿宋" w:cs="仿宋"/>
          <w:color w:val="auto"/>
          <w:spacing w:val="6"/>
          <w:sz w:val="24"/>
          <w:szCs w:val="24"/>
          <w:highlight w:val="none"/>
        </w:rPr>
        <w:t>投标人名称（</w:t>
      </w:r>
      <w:r>
        <w:rPr>
          <w:rFonts w:hint="eastAsia" w:ascii="仿宋" w:hAnsi="仿宋" w:eastAsia="仿宋" w:cs="仿宋"/>
          <w:color w:val="auto"/>
          <w:spacing w:val="6"/>
          <w:sz w:val="24"/>
          <w:szCs w:val="24"/>
          <w:highlight w:val="none"/>
          <w:lang w:val="en-US" w:eastAsia="zh-CN"/>
        </w:rPr>
        <w:t>盖章</w:t>
      </w:r>
      <w:r>
        <w:rPr>
          <w:rFonts w:hint="eastAsia" w:ascii="仿宋" w:hAnsi="仿宋" w:eastAsia="仿宋" w:cs="仿宋"/>
          <w:color w:val="auto"/>
          <w:spacing w:val="6"/>
          <w:sz w:val="24"/>
          <w:szCs w:val="24"/>
          <w:highlight w:val="none"/>
        </w:rPr>
        <w:t>）：</w:t>
      </w:r>
    </w:p>
    <w:p w14:paraId="5A5C6C2F">
      <w:pPr>
        <w:snapToGrid w:val="0"/>
        <w:spacing w:line="300" w:lineRule="auto"/>
        <w:ind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val="en-US" w:eastAsia="zh-CN"/>
        </w:rPr>
        <w:t xml:space="preserve">  </w:t>
      </w:r>
      <w:r>
        <w:rPr>
          <w:rFonts w:hint="eastAsia" w:ascii="仿宋" w:hAnsi="仿宋" w:eastAsia="仿宋" w:cs="仿宋"/>
          <w:color w:val="auto"/>
          <w:spacing w:val="6"/>
          <w:sz w:val="24"/>
          <w:szCs w:val="24"/>
          <w:highlight w:val="none"/>
        </w:rPr>
        <w:t>日期：    年   月  日</w:t>
      </w:r>
    </w:p>
    <w:p w14:paraId="28BCAA30">
      <w:pPr>
        <w:widowControl/>
        <w:adjustRightInd/>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br w:type="page"/>
      </w:r>
    </w:p>
    <w:p w14:paraId="308ADCE2">
      <w:pPr>
        <w:keepNext w:val="0"/>
        <w:keepLines w:val="0"/>
        <w:pageBreakBefore w:val="0"/>
        <w:widowControl/>
        <w:numPr>
          <w:ilvl w:val="-1"/>
          <w:numId w:val="0"/>
        </w:numPr>
        <w:kinsoku/>
        <w:wordWrap/>
        <w:overflowPunct/>
        <w:topLinePunct w:val="0"/>
        <w:autoSpaceDE/>
        <w:autoSpaceDN/>
        <w:bidi w:val="0"/>
        <w:adjustRightInd/>
        <w:spacing w:line="360" w:lineRule="auto"/>
        <w:jc w:val="center"/>
        <w:textAlignment w:val="auto"/>
        <w:rPr>
          <w:rFonts w:hint="eastAsia" w:ascii="仿宋" w:hAnsi="仿宋" w:eastAsia="仿宋" w:cs="仿宋_GB2312"/>
          <w:b/>
          <w:color w:val="auto"/>
          <w:kern w:val="2"/>
          <w:sz w:val="32"/>
          <w:szCs w:val="32"/>
          <w:highlight w:val="none"/>
        </w:rPr>
      </w:pPr>
      <w:r>
        <w:rPr>
          <w:rFonts w:hint="eastAsia" w:ascii="仿宋" w:hAnsi="仿宋" w:eastAsia="仿宋" w:cs="仿宋_GB2312"/>
          <w:b/>
          <w:color w:val="auto"/>
          <w:kern w:val="2"/>
          <w:sz w:val="32"/>
          <w:szCs w:val="32"/>
          <w:highlight w:val="none"/>
          <w:lang w:val="en-US" w:eastAsia="zh-CN"/>
        </w:rPr>
        <w:t>三、</w:t>
      </w:r>
      <w:r>
        <w:rPr>
          <w:rFonts w:hint="eastAsia" w:ascii="仿宋" w:hAnsi="仿宋" w:eastAsia="仿宋" w:cs="仿宋_GB2312"/>
          <w:b/>
          <w:color w:val="auto"/>
          <w:kern w:val="2"/>
          <w:sz w:val="32"/>
          <w:szCs w:val="32"/>
          <w:highlight w:val="none"/>
        </w:rPr>
        <w:t>联合体协议书（如为联合体投标）</w:t>
      </w:r>
    </w:p>
    <w:p w14:paraId="371E1372">
      <w:pPr>
        <w:keepNext w:val="0"/>
        <w:keepLines w:val="0"/>
        <w:pageBreakBefore w:val="0"/>
        <w:widowControl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（以联合体形式投标的，提供联合协议；本项目不接受联合体投标或者投标人不以联合体形式投标的，则不需要提供）</w:t>
      </w:r>
    </w:p>
    <w:p w14:paraId="43F1905B">
      <w:pPr>
        <w:keepNext w:val="0"/>
        <w:keepLines w:val="0"/>
        <w:pageBreakBefore w:val="0"/>
        <w:widowControl w:val="0"/>
        <w:kinsoku/>
        <w:wordWrap/>
        <w:overflowPunct/>
        <w:topLinePunct w:val="0"/>
        <w:autoSpaceDE/>
        <w:autoSpaceDN/>
        <w:bidi w:val="0"/>
        <w:adjustRightInd w:val="0"/>
        <w:snapToGrid w:val="0"/>
        <w:spacing w:line="420" w:lineRule="exact"/>
        <w:ind w:firstLine="576" w:firstLineChars="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组成一个联合体，以一个供应商的身份</w:t>
      </w:r>
      <w:r>
        <w:rPr>
          <w:rFonts w:hint="eastAsia" w:ascii="仿宋" w:hAnsi="仿宋" w:eastAsia="仿宋" w:cs="仿宋"/>
          <w:color w:val="auto"/>
          <w:kern w:val="0"/>
          <w:sz w:val="24"/>
          <w:highlight w:val="none"/>
        </w:rPr>
        <w:t>参加</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lang w:val="zh-CN"/>
        </w:rPr>
        <w:t xml:space="preserve">。 </w:t>
      </w:r>
    </w:p>
    <w:p w14:paraId="61901751">
      <w:pPr>
        <w:keepNext w:val="0"/>
        <w:keepLines w:val="0"/>
        <w:pageBreakBefore w:val="0"/>
        <w:widowControl w:val="0"/>
        <w:kinsoku/>
        <w:wordWrap/>
        <w:overflowPunct/>
        <w:topLinePunct w:val="0"/>
        <w:autoSpaceDE/>
        <w:autoSpaceDN/>
        <w:bidi w:val="0"/>
        <w:adjustRightInd w:val="0"/>
        <w:snapToGrid w:val="0"/>
        <w:spacing w:line="420" w:lineRule="exact"/>
        <w:ind w:firstLine="576" w:firstLineChars="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1A4835C8">
      <w:pPr>
        <w:keepNext w:val="0"/>
        <w:keepLines w:val="0"/>
        <w:pageBreakBefore w:val="0"/>
        <w:widowControl w:val="0"/>
        <w:kinsoku/>
        <w:wordWrap/>
        <w:overflowPunct/>
        <w:topLinePunct w:val="0"/>
        <w:autoSpaceDE/>
        <w:autoSpaceDN/>
        <w:bidi w:val="0"/>
        <w:adjustRightInd w:val="0"/>
        <w:snapToGrid w:val="0"/>
        <w:spacing w:line="420" w:lineRule="exact"/>
        <w:ind w:firstLine="576" w:firstLineChars="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授权代表根据采购文件规定及</w:t>
      </w:r>
      <w:r>
        <w:rPr>
          <w:rFonts w:hint="eastAsia" w:ascii="仿宋" w:hAnsi="仿宋" w:eastAsia="仿宋" w:cs="仿宋"/>
          <w:color w:val="auto"/>
          <w:kern w:val="0"/>
          <w:sz w:val="24"/>
          <w:highlight w:val="none"/>
          <w:lang w:val="en-US" w:eastAsia="zh-CN"/>
        </w:rPr>
        <w:t>响应内容</w:t>
      </w:r>
      <w:r>
        <w:rPr>
          <w:rFonts w:hint="eastAsia" w:ascii="仿宋" w:hAnsi="仿宋" w:eastAsia="仿宋" w:cs="仿宋"/>
          <w:color w:val="auto"/>
          <w:kern w:val="0"/>
          <w:sz w:val="24"/>
          <w:highlight w:val="none"/>
          <w:lang w:val="zh-CN"/>
        </w:rPr>
        <w:t>而对采购人、采购机构所作的任何合法承诺，包括书面澄清及相应等均对联合投标各方产生约束力。</w:t>
      </w:r>
    </w:p>
    <w:p w14:paraId="5F97A700">
      <w:pPr>
        <w:keepNext w:val="0"/>
        <w:keepLines w:val="0"/>
        <w:pageBreakBefore w:val="0"/>
        <w:widowControl w:val="0"/>
        <w:kinsoku/>
        <w:wordWrap/>
        <w:overflowPunct/>
        <w:topLinePunct w:val="0"/>
        <w:autoSpaceDE/>
        <w:autoSpaceDN/>
        <w:bidi w:val="0"/>
        <w:adjustRightInd w:val="0"/>
        <w:snapToGrid w:val="0"/>
        <w:spacing w:line="420" w:lineRule="exact"/>
        <w:ind w:firstLine="576" w:firstLineChars="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lang w:val="zh-CN"/>
        </w:rPr>
        <w:t>中，分工如下：</w:t>
      </w:r>
    </w:p>
    <w:p w14:paraId="5BDF1E2E">
      <w:pPr>
        <w:keepNext w:val="0"/>
        <w:keepLines w:val="0"/>
        <w:pageBreakBefore w:val="0"/>
        <w:widowControl w:val="0"/>
        <w:kinsoku/>
        <w:wordWrap/>
        <w:overflowPunct/>
        <w:topLinePunct w:val="0"/>
        <w:autoSpaceDE/>
        <w:autoSpaceDN/>
        <w:bidi w:val="0"/>
        <w:adjustRightInd w:val="0"/>
        <w:snapToGrid w:val="0"/>
        <w:spacing w:line="420" w:lineRule="exact"/>
        <w:ind w:firstLine="576" w:firstLineChars="0"/>
        <w:jc w:val="left"/>
        <w:textAlignment w:val="auto"/>
        <w:rPr>
          <w:rFonts w:hint="eastAsia" w:ascii="仿宋" w:hAnsi="仿宋" w:eastAsia="仿宋" w:cs="仿宋"/>
          <w:color w:val="auto"/>
          <w:kern w:val="0"/>
          <w:sz w:val="24"/>
          <w:highlight w:val="none"/>
          <w:lang w:val="zh-CN"/>
        </w:rPr>
      </w:pPr>
      <w:bookmarkStart w:id="62"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lang w:val="zh-CN"/>
        </w:rPr>
        <w:t>；</w:t>
      </w:r>
    </w:p>
    <w:p w14:paraId="5A5083DC">
      <w:pPr>
        <w:keepNext w:val="0"/>
        <w:keepLines w:val="0"/>
        <w:pageBreakBefore w:val="0"/>
        <w:widowControl w:val="0"/>
        <w:kinsoku/>
        <w:wordWrap/>
        <w:overflowPunct/>
        <w:topLinePunct w:val="0"/>
        <w:autoSpaceDE/>
        <w:autoSpaceDN/>
        <w:bidi w:val="0"/>
        <w:adjustRightInd w:val="0"/>
        <w:snapToGrid w:val="0"/>
        <w:spacing w:line="420" w:lineRule="exact"/>
        <w:ind w:firstLine="576" w:firstLineChars="0"/>
        <w:jc w:val="left"/>
        <w:textAlignment w:val="auto"/>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u w:val="single"/>
        </w:rPr>
        <w:t>（联合体成员</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lang w:val="zh-CN"/>
        </w:rPr>
        <w:t>。</w:t>
      </w:r>
    </w:p>
    <w:bookmarkEnd w:id="62"/>
    <w:p w14:paraId="133F57A7">
      <w:pPr>
        <w:keepNext w:val="0"/>
        <w:keepLines w:val="0"/>
        <w:pageBreakBefore w:val="0"/>
        <w:widowControl w:val="0"/>
        <w:kinsoku/>
        <w:wordWrap/>
        <w:overflowPunct/>
        <w:topLinePunct w:val="0"/>
        <w:autoSpaceDE/>
        <w:autoSpaceDN/>
        <w:bidi w:val="0"/>
        <w:adjustRightInd w:val="0"/>
        <w:snapToGrid w:val="0"/>
        <w:spacing w:line="420" w:lineRule="exact"/>
        <w:ind w:firstLine="576" w:firstLineChars="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67E8C1B2">
      <w:pPr>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全部服务由</w:t>
      </w:r>
      <w:r>
        <w:rPr>
          <w:rFonts w:hint="eastAsia" w:ascii="仿宋" w:hAnsi="仿宋" w:eastAsia="仿宋" w:cs="仿宋"/>
          <w:color w:val="auto"/>
          <w:kern w:val="0"/>
          <w:sz w:val="24"/>
          <w:highlight w:val="none"/>
          <w:lang w:val="en-US" w:eastAsia="zh-CN"/>
        </w:rPr>
        <w:t>中小/</w:t>
      </w:r>
      <w:r>
        <w:rPr>
          <w:rFonts w:hint="eastAsia" w:ascii="仿宋" w:hAnsi="仿宋" w:eastAsia="仿宋" w:cs="仿宋"/>
          <w:color w:val="auto"/>
          <w:kern w:val="0"/>
          <w:sz w:val="24"/>
          <w:highlight w:val="none"/>
        </w:rPr>
        <w:t>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p>
    <w:p w14:paraId="5B50A044">
      <w:pPr>
        <w:keepNext w:val="0"/>
        <w:keepLines w:val="0"/>
        <w:pageBreakBefore w:val="0"/>
        <w:widowControl/>
        <w:kinsoku/>
        <w:wordWrap/>
        <w:overflowPunct/>
        <w:topLinePunct w:val="0"/>
        <w:autoSpaceDE/>
        <w:autoSpaceDN/>
        <w:bidi w:val="0"/>
        <w:adjustRightInd/>
        <w:snapToGrid/>
        <w:spacing w:line="240" w:lineRule="auto"/>
        <w:ind w:firstLine="576" w:firstLineChars="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kern w:val="0"/>
          <w:sz w:val="24"/>
          <w:highlight w:val="none"/>
          <w:u w:val="single"/>
        </w:rPr>
        <w:t>（联合体成员</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全部服务由</w:t>
      </w:r>
      <w:r>
        <w:rPr>
          <w:rFonts w:hint="eastAsia" w:ascii="仿宋" w:hAnsi="仿宋" w:eastAsia="仿宋" w:cs="仿宋"/>
          <w:color w:val="auto"/>
          <w:kern w:val="0"/>
          <w:sz w:val="24"/>
          <w:highlight w:val="none"/>
          <w:lang w:val="en-US" w:eastAsia="zh-CN"/>
        </w:rPr>
        <w:t>中小/</w:t>
      </w:r>
      <w:r>
        <w:rPr>
          <w:rFonts w:hint="eastAsia" w:ascii="仿宋" w:hAnsi="仿宋" w:eastAsia="仿宋" w:cs="仿宋"/>
          <w:color w:val="auto"/>
          <w:kern w:val="0"/>
          <w:sz w:val="24"/>
          <w:highlight w:val="none"/>
        </w:rPr>
        <w:t>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p>
    <w:p w14:paraId="3E8E3CB8">
      <w:pPr>
        <w:keepNext w:val="0"/>
        <w:keepLines w:val="0"/>
        <w:pageBreakBefore w:val="0"/>
        <w:widowControl w:val="0"/>
        <w:kinsoku/>
        <w:wordWrap/>
        <w:overflowPunct/>
        <w:topLinePunct w:val="0"/>
        <w:autoSpaceDE/>
        <w:autoSpaceDN/>
        <w:bidi w:val="0"/>
        <w:adjustRightInd w:val="0"/>
        <w:snapToGrid w:val="0"/>
        <w:spacing w:line="420" w:lineRule="exact"/>
        <w:ind w:firstLine="576" w:firstLineChars="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五、如果成交，</w:t>
      </w:r>
      <w:r>
        <w:rPr>
          <w:rFonts w:hint="eastAsia" w:ascii="仿宋" w:hAnsi="仿宋" w:eastAsia="仿宋" w:cs="仿宋"/>
          <w:color w:val="auto"/>
          <w:sz w:val="24"/>
          <w:highlight w:val="none"/>
        </w:rPr>
        <w:t>联合体各成员方共同与采购人签订合同，并就采购合同约定的事项对采购人承担连带责任。</w:t>
      </w:r>
    </w:p>
    <w:p w14:paraId="171F182E">
      <w:pPr>
        <w:keepNext w:val="0"/>
        <w:keepLines w:val="0"/>
        <w:pageBreakBefore w:val="0"/>
        <w:widowControl w:val="0"/>
        <w:kinsoku/>
        <w:wordWrap/>
        <w:overflowPunct/>
        <w:topLinePunct w:val="0"/>
        <w:autoSpaceDE/>
        <w:autoSpaceDN/>
        <w:bidi w:val="0"/>
        <w:adjustRightInd w:val="0"/>
        <w:snapToGrid w:val="0"/>
        <w:spacing w:line="420" w:lineRule="exact"/>
        <w:ind w:firstLine="576" w:firstLineChars="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lang w:val="zh-CN"/>
        </w:rPr>
        <w:t>的其他事宜：</w:t>
      </w:r>
    </w:p>
    <w:p w14:paraId="0B5805D2">
      <w:pPr>
        <w:keepNext w:val="0"/>
        <w:keepLines w:val="0"/>
        <w:pageBreakBefore w:val="0"/>
        <w:widowControl w:val="0"/>
        <w:kinsoku/>
        <w:wordWrap/>
        <w:overflowPunct/>
        <w:topLinePunct w:val="0"/>
        <w:autoSpaceDE/>
        <w:autoSpaceDN/>
        <w:bidi w:val="0"/>
        <w:adjustRightInd w:val="0"/>
        <w:snapToGrid w:val="0"/>
        <w:spacing w:line="420" w:lineRule="exact"/>
        <w:ind w:firstLine="576" w:firstLineChars="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74DFEBD4">
      <w:pPr>
        <w:keepNext w:val="0"/>
        <w:keepLines w:val="0"/>
        <w:pageBreakBefore w:val="0"/>
        <w:widowControl w:val="0"/>
        <w:kinsoku/>
        <w:wordWrap/>
        <w:overflowPunct/>
        <w:topLinePunct w:val="0"/>
        <w:autoSpaceDE/>
        <w:autoSpaceDN/>
        <w:bidi w:val="0"/>
        <w:adjustRightInd w:val="0"/>
        <w:snapToGrid w:val="0"/>
        <w:spacing w:line="420" w:lineRule="exact"/>
        <w:ind w:firstLine="576" w:firstLineChars="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01A76FD6">
      <w:pPr>
        <w:keepNext w:val="0"/>
        <w:keepLines w:val="0"/>
        <w:pageBreakBefore w:val="0"/>
        <w:widowControl w:val="0"/>
        <w:kinsoku/>
        <w:wordWrap/>
        <w:overflowPunct/>
        <w:topLinePunct w:val="0"/>
        <w:autoSpaceDE/>
        <w:autoSpaceDN/>
        <w:bidi w:val="0"/>
        <w:adjustRightInd w:val="0"/>
        <w:snapToGrid w:val="0"/>
        <w:spacing w:line="420" w:lineRule="exact"/>
        <w:ind w:firstLine="576" w:firstLineChars="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14:paraId="0297B90D">
      <w:pPr>
        <w:keepNext w:val="0"/>
        <w:keepLines w:val="0"/>
        <w:pageBreakBefore w:val="0"/>
        <w:widowControl w:val="0"/>
        <w:kinsoku/>
        <w:wordWrap/>
        <w:overflowPunct/>
        <w:topLinePunct w:val="0"/>
        <w:autoSpaceDE/>
        <w:autoSpaceDN/>
        <w:bidi w:val="0"/>
        <w:adjustRightInd w:val="0"/>
        <w:snapToGrid w:val="0"/>
        <w:spacing w:line="420" w:lineRule="exact"/>
        <w:ind w:firstLine="5040" w:firstLineChars="21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w:t>
      </w:r>
      <w:r>
        <w:rPr>
          <w:rFonts w:hint="eastAsia" w:ascii="仿宋" w:hAnsi="仿宋" w:eastAsia="仿宋" w:cs="仿宋"/>
          <w:color w:val="auto"/>
          <w:kern w:val="0"/>
          <w:sz w:val="24"/>
          <w:highlight w:val="none"/>
          <w:lang w:val="en-US" w:eastAsia="zh-CN"/>
        </w:rPr>
        <w:t>或公章</w:t>
      </w:r>
      <w:r>
        <w:rPr>
          <w:rFonts w:hint="eastAsia" w:ascii="仿宋" w:hAnsi="仿宋" w:eastAsia="仿宋" w:cs="仿宋"/>
          <w:color w:val="auto"/>
          <w:kern w:val="0"/>
          <w:sz w:val="24"/>
          <w:highlight w:val="none"/>
          <w:lang w:val="zh-CN"/>
        </w:rPr>
        <w:t>)：</w:t>
      </w:r>
    </w:p>
    <w:p w14:paraId="02ACCC3B">
      <w:pPr>
        <w:pStyle w:val="2"/>
        <w:spacing w:before="0" w:after="0" w:line="240" w:lineRule="auto"/>
        <w:rPr>
          <w:rFonts w:hint="default" w:asciiTheme="majorHAnsi" w:hAnsiTheme="majorHAnsi" w:eastAsiaTheme="majorEastAsia" w:cstheme="majorBidi"/>
          <w:color w:val="auto"/>
          <w:kern w:val="2"/>
          <w:sz w:val="32"/>
          <w:highlight w:val="none"/>
          <w:lang w:val="zh-CN"/>
        </w:rPr>
      </w:pPr>
    </w:p>
    <w:p w14:paraId="0533EE50">
      <w:pPr>
        <w:pStyle w:val="22"/>
        <w:jc w:val="center"/>
        <w:rPr>
          <w:rFonts w:hint="eastAsia" w:ascii="仿宋" w:hAnsi="仿宋" w:eastAsia="仿宋" w:cs="仿宋"/>
          <w:color w:val="auto"/>
          <w:sz w:val="24"/>
          <w:highlight w:val="none"/>
          <w:lang w:val="zh-CN"/>
        </w:rPr>
      </w:pP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联合体成员名称(电子签名</w:t>
      </w:r>
      <w:r>
        <w:rPr>
          <w:rFonts w:hint="eastAsia" w:ascii="仿宋" w:hAnsi="仿宋" w:eastAsia="仿宋" w:cs="仿宋"/>
          <w:color w:val="auto"/>
          <w:kern w:val="0"/>
          <w:sz w:val="24"/>
          <w:highlight w:val="none"/>
          <w:lang w:val="en-US" w:eastAsia="zh-CN"/>
        </w:rPr>
        <w:t>或公章</w:t>
      </w:r>
      <w:r>
        <w:rPr>
          <w:rFonts w:hint="eastAsia" w:ascii="仿宋" w:hAnsi="仿宋" w:eastAsia="仿宋" w:cs="仿宋"/>
          <w:color w:val="auto"/>
          <w:kern w:val="0"/>
          <w:sz w:val="24"/>
          <w:highlight w:val="none"/>
          <w:lang w:val="zh-CN"/>
        </w:rPr>
        <w:t>)：</w:t>
      </w:r>
    </w:p>
    <w:p w14:paraId="52A89D4B">
      <w:pPr>
        <w:keepNext w:val="0"/>
        <w:keepLines w:val="0"/>
        <w:pageBreakBefore w:val="0"/>
        <w:widowControl w:val="0"/>
        <w:kinsoku/>
        <w:wordWrap/>
        <w:overflowPunct/>
        <w:topLinePunct w:val="0"/>
        <w:autoSpaceDE/>
        <w:autoSpaceDN/>
        <w:bidi w:val="0"/>
        <w:adjustRightInd w:val="0"/>
        <w:snapToGrid w:val="0"/>
        <w:spacing w:line="420" w:lineRule="exact"/>
        <w:ind w:firstLine="5040" w:firstLineChars="21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23FC1940">
      <w:pPr>
        <w:pStyle w:val="2"/>
        <w:spacing w:before="0" w:after="0" w:line="240" w:lineRule="auto"/>
        <w:rPr>
          <w:rFonts w:hint="eastAsia" w:asciiTheme="majorHAnsi" w:hAnsiTheme="majorHAnsi" w:eastAsiaTheme="majorEastAsia" w:cstheme="majorBidi"/>
          <w:color w:val="auto"/>
          <w:kern w:val="2"/>
          <w:sz w:val="32"/>
          <w:highlight w:val="none"/>
          <w:lang w:val="zh-CN"/>
        </w:rPr>
      </w:pPr>
    </w:p>
    <w:p w14:paraId="5E2B30AC">
      <w:pPr>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以联合体形式参加政府采购的，本承诺函须加盖联合体成员各方公章。</w:t>
      </w:r>
    </w:p>
    <w:p w14:paraId="6AA307C6">
      <w:pPr>
        <w:pStyle w:val="22"/>
        <w:numPr>
          <w:ilvl w:val="0"/>
          <w:numId w:val="0"/>
        </w:numPr>
        <w:rPr>
          <w:rFonts w:hint="eastAsia" w:ascii="仿宋" w:hAnsi="仿宋" w:eastAsia="仿宋" w:cs="仿宋"/>
          <w:color w:val="auto"/>
          <w:sz w:val="24"/>
          <w:szCs w:val="24"/>
          <w:highlight w:val="none"/>
          <w:lang w:val="en-US" w:eastAsia="zh-CN"/>
        </w:rPr>
        <w:sectPr>
          <w:headerReference r:id="rId6" w:type="first"/>
          <w:footerReference r:id="rId8" w:type="first"/>
          <w:headerReference r:id="rId5" w:type="default"/>
          <w:footerReference r:id="rId7" w:type="default"/>
          <w:pgSz w:w="11906" w:h="16838"/>
          <w:pgMar w:top="1134" w:right="1134" w:bottom="1134" w:left="1134" w:header="851" w:footer="851" w:gutter="0"/>
          <w:cols w:space="720" w:num="1"/>
          <w:titlePg/>
          <w:docGrid w:linePitch="312" w:charSpace="0"/>
        </w:sectPr>
      </w:pPr>
    </w:p>
    <w:p w14:paraId="52B8AF04">
      <w:pPr>
        <w:rPr>
          <w:rFonts w:hint="eastAsia"/>
          <w:color w:val="auto"/>
          <w:highlight w:val="none"/>
          <w:lang w:val="zh-CN"/>
        </w:rPr>
      </w:pPr>
    </w:p>
    <w:p w14:paraId="60934FEA">
      <w:pPr>
        <w:widowControl/>
        <w:adjustRightInd/>
        <w:jc w:val="left"/>
        <w:rPr>
          <w:rFonts w:ascii="仿宋_GB2312" w:hAnsi="仿宋" w:eastAsia="仿宋_GB2312" w:cs="仿宋_GB2312"/>
          <w:b/>
          <w:color w:val="auto"/>
          <w:kern w:val="0"/>
          <w:sz w:val="36"/>
          <w:szCs w:val="36"/>
          <w:highlight w:val="none"/>
        </w:rPr>
      </w:pPr>
    </w:p>
    <w:p w14:paraId="02B1EAFE">
      <w:pPr>
        <w:spacing w:line="360" w:lineRule="auto"/>
        <w:ind w:right="420"/>
        <w:jc w:val="center"/>
        <w:rPr>
          <w:rFonts w:ascii="仿宋" w:hAnsi="仿宋" w:eastAsia="仿宋" w:cs="仿宋_GB2312"/>
          <w:b/>
          <w:color w:val="auto"/>
          <w:kern w:val="0"/>
          <w:sz w:val="36"/>
          <w:szCs w:val="36"/>
          <w:highlight w:val="none"/>
        </w:rPr>
      </w:pPr>
      <w:bookmarkStart w:id="63" w:name="_Hlk93169794"/>
      <w:r>
        <w:rPr>
          <w:rFonts w:hint="eastAsia" w:ascii="仿宋" w:hAnsi="仿宋" w:eastAsia="仿宋" w:cs="仿宋_GB2312"/>
          <w:b/>
          <w:color w:val="auto"/>
          <w:kern w:val="0"/>
          <w:sz w:val="36"/>
          <w:szCs w:val="36"/>
          <w:highlight w:val="none"/>
        </w:rPr>
        <w:t>商务技术文件部分</w:t>
      </w:r>
      <w:bookmarkEnd w:id="63"/>
    </w:p>
    <w:p w14:paraId="6B101F89">
      <w:pPr>
        <w:spacing w:line="360" w:lineRule="auto"/>
        <w:jc w:val="center"/>
        <w:outlineLvl w:val="0"/>
        <w:rPr>
          <w:rFonts w:ascii="仿宋" w:hAnsi="仿宋" w:eastAsia="仿宋" w:cs="仿宋_GB2312"/>
          <w:b/>
          <w:color w:val="auto"/>
          <w:kern w:val="0"/>
          <w:sz w:val="24"/>
          <w:highlight w:val="none"/>
        </w:rPr>
      </w:pPr>
    </w:p>
    <w:p w14:paraId="6FE8D2B6">
      <w:pPr>
        <w:spacing w:line="360" w:lineRule="auto"/>
        <w:jc w:val="center"/>
        <w:outlineLvl w:val="0"/>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目录</w:t>
      </w:r>
    </w:p>
    <w:p w14:paraId="1D4087D3">
      <w:pPr>
        <w:snapToGrid w:val="0"/>
        <w:spacing w:line="360" w:lineRule="auto"/>
        <w:jc w:val="distribute"/>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1）投标函</w:t>
      </w:r>
      <w:r>
        <w:rPr>
          <w:rFonts w:hint="eastAsia" w:ascii="仿宋" w:hAnsi="仿宋" w:eastAsia="仿宋" w:cs="仿宋_GB2312"/>
          <w:color w:val="auto"/>
          <w:highlight w:val="none"/>
        </w:rPr>
        <w:t>……………………………………………………………………………（页码）</w:t>
      </w:r>
    </w:p>
    <w:p w14:paraId="4A63D680">
      <w:pPr>
        <w:snapToGrid w:val="0"/>
        <w:spacing w:line="360" w:lineRule="auto"/>
        <w:jc w:val="distribute"/>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2）授权委托书或法定代表人（单位负责人、自然人本人）身份证明</w:t>
      </w:r>
      <w:r>
        <w:rPr>
          <w:rFonts w:hint="eastAsia" w:ascii="仿宋" w:hAnsi="仿宋" w:eastAsia="仿宋" w:cs="仿宋_GB2312"/>
          <w:color w:val="auto"/>
          <w:highlight w:val="none"/>
        </w:rPr>
        <w:t>……（页码）</w:t>
      </w:r>
    </w:p>
    <w:p w14:paraId="27DEE4C0">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r>
        <w:rPr>
          <w:rFonts w:ascii="仿宋" w:hAnsi="仿宋" w:eastAsia="仿宋" w:cs="仿宋_GB2312"/>
          <w:color w:val="auto"/>
          <w:sz w:val="24"/>
          <w:highlight w:val="none"/>
        </w:rPr>
        <w:t>）评标标准相应的商务技术资料</w:t>
      </w:r>
      <w:r>
        <w:rPr>
          <w:rFonts w:hint="eastAsia" w:ascii="仿宋" w:hAnsi="仿宋" w:eastAsia="仿宋" w:cs="仿宋_GB2312"/>
          <w:color w:val="auto"/>
          <w:highlight w:val="none"/>
        </w:rPr>
        <w:t>………………………………………………（页码）</w:t>
      </w:r>
    </w:p>
    <w:p w14:paraId="089E044B">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（4</w:t>
      </w:r>
      <w:r>
        <w:rPr>
          <w:rFonts w:ascii="仿宋" w:hAnsi="仿宋" w:eastAsia="仿宋" w:cs="仿宋_GB2312"/>
          <w:color w:val="auto"/>
          <w:sz w:val="24"/>
          <w:highlight w:val="none"/>
        </w:rPr>
        <w:t>）商务技术偏离表</w:t>
      </w:r>
      <w:r>
        <w:rPr>
          <w:rFonts w:hint="eastAsia" w:ascii="仿宋" w:hAnsi="仿宋" w:eastAsia="仿宋" w:cs="仿宋_GB2312"/>
          <w:color w:val="auto"/>
          <w:highlight w:val="none"/>
        </w:rPr>
        <w:t>…………………………………………………………………（页码）</w:t>
      </w:r>
    </w:p>
    <w:p w14:paraId="240CE11A">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（5</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投标人认为需要提供的其他相关资料</w:t>
      </w:r>
      <w:r>
        <w:rPr>
          <w:rFonts w:hint="eastAsia" w:ascii="仿宋" w:hAnsi="仿宋" w:eastAsia="仿宋" w:cs="仿宋_GB2312"/>
          <w:color w:val="auto"/>
          <w:highlight w:val="none"/>
        </w:rPr>
        <w:t>………………………………………（页码）</w:t>
      </w:r>
    </w:p>
    <w:p w14:paraId="7583C238">
      <w:pPr>
        <w:snapToGrid w:val="0"/>
        <w:spacing w:line="360" w:lineRule="auto"/>
        <w:jc w:val="center"/>
        <w:outlineLvl w:val="0"/>
        <w:rPr>
          <w:rFonts w:ascii="仿宋" w:hAnsi="仿宋" w:eastAsia="仿宋" w:cs="仿宋_GB2312"/>
          <w:b/>
          <w:color w:val="auto"/>
          <w:kern w:val="0"/>
          <w:sz w:val="32"/>
          <w:szCs w:val="32"/>
          <w:highlight w:val="none"/>
        </w:rPr>
      </w:pPr>
    </w:p>
    <w:p w14:paraId="7B3FED4E">
      <w:pPr>
        <w:widowControl/>
        <w:adjustRightInd/>
        <w:jc w:val="left"/>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14:paraId="0EC3A616">
      <w:pPr>
        <w:snapToGrid w:val="0"/>
        <w:spacing w:line="360" w:lineRule="auto"/>
        <w:jc w:val="left"/>
        <w:outlineLvl w:val="0"/>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附件2</w:t>
      </w:r>
    </w:p>
    <w:p w14:paraId="475DC246">
      <w:pPr>
        <w:snapToGrid w:val="0"/>
        <w:spacing w:line="360" w:lineRule="auto"/>
        <w:jc w:val="center"/>
        <w:outlineLvl w:val="0"/>
        <w:rPr>
          <w:rFonts w:ascii="仿宋" w:hAnsi="仿宋" w:eastAsia="仿宋" w:cs="仿宋_GB2312"/>
          <w:b/>
          <w:color w:val="auto"/>
          <w:sz w:val="32"/>
          <w:szCs w:val="32"/>
          <w:highlight w:val="none"/>
        </w:rPr>
      </w:pPr>
      <w:r>
        <w:rPr>
          <w:rFonts w:hint="eastAsia" w:ascii="仿宋" w:hAnsi="仿宋" w:eastAsia="仿宋" w:cs="仿宋_GB2312"/>
          <w:b/>
          <w:color w:val="auto"/>
          <w:kern w:val="0"/>
          <w:sz w:val="32"/>
          <w:szCs w:val="32"/>
          <w:highlight w:val="none"/>
        </w:rPr>
        <w:t>一、投标</w:t>
      </w:r>
      <w:r>
        <w:rPr>
          <w:rFonts w:hint="eastAsia" w:ascii="仿宋" w:hAnsi="仿宋" w:eastAsia="仿宋" w:cs="仿宋_GB2312"/>
          <w:b/>
          <w:color w:val="auto"/>
          <w:sz w:val="32"/>
          <w:szCs w:val="32"/>
          <w:highlight w:val="none"/>
        </w:rPr>
        <w:t>函</w:t>
      </w:r>
    </w:p>
    <w:p w14:paraId="0FADB89D">
      <w:pPr>
        <w:snapToGrid w:val="0"/>
        <w:spacing w:line="400" w:lineRule="exact"/>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u w:val="single"/>
        </w:rPr>
        <w:t>（采购人）、（采购代理机构）</w:t>
      </w:r>
      <w:r>
        <w:rPr>
          <w:rFonts w:hint="eastAsia" w:ascii="仿宋" w:hAnsi="仿宋" w:eastAsia="仿宋" w:cs="仿宋_GB2312"/>
          <w:color w:val="auto"/>
          <w:sz w:val="24"/>
          <w:szCs w:val="24"/>
          <w:highlight w:val="none"/>
        </w:rPr>
        <w:t>：</w:t>
      </w:r>
    </w:p>
    <w:p w14:paraId="50C3B984">
      <w:pPr>
        <w:snapToGrid w:val="0"/>
        <w:spacing w:line="400" w:lineRule="exact"/>
        <w:ind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我方参加你方组织的</w:t>
      </w:r>
      <w:r>
        <w:rPr>
          <w:rFonts w:hint="eastAsia" w:ascii="仿宋" w:hAnsi="仿宋" w:eastAsia="仿宋" w:cs="仿宋_GB2312"/>
          <w:color w:val="auto"/>
          <w:sz w:val="24"/>
          <w:szCs w:val="24"/>
          <w:highlight w:val="none"/>
          <w:u w:val="single"/>
        </w:rPr>
        <w:t>（项目名称）</w:t>
      </w:r>
      <w:r>
        <w:rPr>
          <w:rFonts w:hint="eastAsia" w:ascii="仿宋" w:hAnsi="仿宋" w:eastAsia="仿宋" w:cs="仿宋_GB2312"/>
          <w:color w:val="auto"/>
          <w:sz w:val="24"/>
          <w:szCs w:val="24"/>
          <w:highlight w:val="none"/>
        </w:rPr>
        <w:t>项目【</w:t>
      </w:r>
      <w:r>
        <w:rPr>
          <w:rFonts w:hint="eastAsia" w:ascii="仿宋" w:hAnsi="仿宋" w:eastAsia="仿宋"/>
          <w:color w:val="auto"/>
          <w:sz w:val="24"/>
          <w:szCs w:val="24"/>
          <w:highlight w:val="none"/>
          <w:u w:val="single"/>
        </w:rPr>
        <w:t>采购编号</w:t>
      </w:r>
      <w:r>
        <w:rPr>
          <w:rFonts w:hint="eastAsia" w:ascii="仿宋" w:hAnsi="仿宋" w:eastAsia="仿宋" w:cs="仿宋_GB2312"/>
          <w:color w:val="auto"/>
          <w:sz w:val="24"/>
          <w:szCs w:val="24"/>
          <w:highlight w:val="none"/>
        </w:rPr>
        <w:t>】采购的有关活动，并对此项目进行投标。为此：</w:t>
      </w:r>
    </w:p>
    <w:p w14:paraId="329694CB">
      <w:pPr>
        <w:snapToGrid w:val="0"/>
        <w:spacing w:line="400" w:lineRule="exact"/>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1、我方承诺投标有效期从提交投标文件的截止之日起</w:t>
      </w:r>
      <w:r>
        <w:rPr>
          <w:rFonts w:hint="eastAsia" w:ascii="仿宋" w:hAnsi="仿宋" w:eastAsia="仿宋" w:cs="仿宋_GB2312"/>
          <w:color w:val="auto"/>
          <w:sz w:val="24"/>
          <w:szCs w:val="24"/>
          <w:highlight w:val="none"/>
        </w:rPr>
        <w:t>天（不少于</w:t>
      </w:r>
      <w:r>
        <w:rPr>
          <w:rFonts w:ascii="仿宋" w:hAnsi="仿宋" w:eastAsia="仿宋" w:cs="仿宋_GB2312"/>
          <w:color w:val="auto"/>
          <w:sz w:val="24"/>
          <w:szCs w:val="24"/>
          <w:highlight w:val="none"/>
          <w:u w:val="single"/>
        </w:rPr>
        <w:t>90</w:t>
      </w:r>
      <w:r>
        <w:rPr>
          <w:rFonts w:ascii="仿宋" w:hAnsi="仿宋" w:eastAsia="仿宋" w:cs="仿宋_GB2312"/>
          <w:color w:val="auto"/>
          <w:sz w:val="24"/>
          <w:szCs w:val="24"/>
          <w:highlight w:val="none"/>
        </w:rPr>
        <w:t>天）</w:t>
      </w:r>
      <w:r>
        <w:rPr>
          <w:rFonts w:hint="eastAsia" w:ascii="仿宋" w:hAnsi="仿宋" w:eastAsia="仿宋"/>
          <w:color w:val="auto"/>
          <w:sz w:val="24"/>
          <w:szCs w:val="24"/>
          <w:highlight w:val="none"/>
        </w:rPr>
        <w:t>，</w:t>
      </w:r>
      <w:r>
        <w:rPr>
          <w:rFonts w:hint="eastAsia" w:ascii="仿宋" w:hAnsi="仿宋" w:eastAsia="仿宋" w:cs="仿宋_GB2312"/>
          <w:color w:val="auto"/>
          <w:sz w:val="24"/>
          <w:szCs w:val="24"/>
          <w:highlight w:val="none"/>
        </w:rPr>
        <w:t>本投标文件在投标有效期满之前均具有约束力。</w:t>
      </w:r>
    </w:p>
    <w:p w14:paraId="11D32F82">
      <w:pPr>
        <w:snapToGrid w:val="0"/>
        <w:spacing w:line="400" w:lineRule="exact"/>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2、我方的投标文件包括以下内容：</w:t>
      </w:r>
    </w:p>
    <w:p w14:paraId="38EC1DB9">
      <w:pPr>
        <w:snapToGrid w:val="0"/>
        <w:spacing w:line="400" w:lineRule="exact"/>
        <w:ind w:left="210" w:leftChars="100" w:firstLine="480"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2.1资格文件：</w:t>
      </w:r>
    </w:p>
    <w:p w14:paraId="26D2A806">
      <w:pPr>
        <w:snapToGrid w:val="0"/>
        <w:spacing w:line="400" w:lineRule="exact"/>
        <w:ind w:left="420" w:leftChars="200" w:firstLine="480"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2.1.1</w:t>
      </w:r>
      <w:r>
        <w:rPr>
          <w:rFonts w:hint="eastAsia" w:ascii="仿宋" w:hAnsi="仿宋" w:eastAsia="仿宋" w:cs="仿宋_GB2312"/>
          <w:color w:val="auto"/>
          <w:sz w:val="24"/>
          <w:szCs w:val="24"/>
          <w:highlight w:val="none"/>
        </w:rPr>
        <w:t>承诺函；</w:t>
      </w:r>
    </w:p>
    <w:p w14:paraId="4877D0B5">
      <w:pPr>
        <w:snapToGrid w:val="0"/>
        <w:spacing w:line="400" w:lineRule="exact"/>
        <w:ind w:left="420" w:leftChars="200" w:firstLine="480"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2.1.2落实政府采购政策需满足的资格要求</w:t>
      </w:r>
      <w:r>
        <w:rPr>
          <w:rFonts w:hint="eastAsia" w:ascii="仿宋" w:hAnsi="仿宋" w:eastAsia="仿宋" w:cs="仿宋_GB2312"/>
          <w:color w:val="auto"/>
          <w:sz w:val="24"/>
          <w:szCs w:val="24"/>
          <w:highlight w:val="none"/>
        </w:rPr>
        <w:t>（如有）；</w:t>
      </w:r>
    </w:p>
    <w:p w14:paraId="3062DD7E">
      <w:pPr>
        <w:snapToGrid w:val="0"/>
        <w:spacing w:line="400" w:lineRule="exact"/>
        <w:ind w:left="420" w:leftChars="200" w:firstLine="480" w:firstLineChars="200"/>
        <w:rPr>
          <w:rFonts w:hint="eastAsia" w:ascii="仿宋" w:hAnsi="仿宋" w:eastAsia="仿宋" w:cs="仿宋_GB2312"/>
          <w:color w:val="auto"/>
          <w:sz w:val="24"/>
          <w:szCs w:val="24"/>
          <w:highlight w:val="none"/>
        </w:rPr>
      </w:pPr>
      <w:r>
        <w:rPr>
          <w:rFonts w:ascii="仿宋" w:hAnsi="仿宋" w:eastAsia="仿宋" w:cs="仿宋_GB2312"/>
          <w:color w:val="auto"/>
          <w:sz w:val="24"/>
          <w:szCs w:val="24"/>
          <w:highlight w:val="none"/>
        </w:rPr>
        <w:t>2.1.3本项目的特定资格要求</w:t>
      </w:r>
      <w:r>
        <w:rPr>
          <w:rFonts w:hint="eastAsia" w:ascii="仿宋" w:hAnsi="仿宋" w:eastAsia="仿宋" w:cs="仿宋_GB2312"/>
          <w:color w:val="auto"/>
          <w:sz w:val="24"/>
          <w:szCs w:val="24"/>
          <w:highlight w:val="none"/>
        </w:rPr>
        <w:t>（如有）</w:t>
      </w:r>
      <w:r>
        <w:rPr>
          <w:rFonts w:hint="eastAsia" w:ascii="仿宋" w:hAnsi="仿宋" w:eastAsia="仿宋" w:cs="仿宋_GB2312"/>
          <w:color w:val="auto"/>
          <w:sz w:val="24"/>
          <w:szCs w:val="24"/>
          <w:highlight w:val="none"/>
          <w:lang w:eastAsia="zh-CN"/>
        </w:rPr>
        <w:t>；</w:t>
      </w:r>
    </w:p>
    <w:p w14:paraId="41F343FA">
      <w:pPr>
        <w:snapToGrid w:val="0"/>
        <w:spacing w:line="400" w:lineRule="exact"/>
        <w:ind w:left="420" w:leftChars="200" w:firstLine="480" w:firstLineChars="200"/>
        <w:rPr>
          <w:rFonts w:hint="eastAsia" w:ascii="仿宋" w:hAnsi="仿宋" w:eastAsia="仿宋" w:cs="仿宋_GB2312"/>
          <w:color w:val="auto"/>
          <w:sz w:val="24"/>
          <w:szCs w:val="24"/>
          <w:highlight w:val="none"/>
        </w:rPr>
      </w:pPr>
      <w:r>
        <w:rPr>
          <w:rFonts w:hint="eastAsia" w:ascii="仿宋" w:hAnsi="仿宋" w:eastAsia="仿宋" w:cs="仿宋_GB2312"/>
          <w:b w:val="0"/>
          <w:color w:val="auto"/>
          <w:kern w:val="2"/>
          <w:sz w:val="24"/>
          <w:highlight w:val="none"/>
          <w:lang w:val="en-US" w:eastAsia="zh-CN"/>
        </w:rPr>
        <w:t>2.1.4</w:t>
      </w:r>
      <w:r>
        <w:rPr>
          <w:rFonts w:hint="default" w:ascii="仿宋" w:hAnsi="仿宋" w:eastAsia="仿宋" w:cs="仿宋_GB2312"/>
          <w:b w:val="0"/>
          <w:color w:val="auto"/>
          <w:kern w:val="2"/>
          <w:sz w:val="24"/>
          <w:highlight w:val="none"/>
        </w:rPr>
        <w:t>联合体协议书（如为联合体投标）</w:t>
      </w:r>
      <w:r>
        <w:rPr>
          <w:rFonts w:hint="eastAsia" w:ascii="仿宋" w:hAnsi="仿宋" w:eastAsia="仿宋" w:cs="仿宋_GB2312"/>
          <w:color w:val="auto"/>
          <w:sz w:val="24"/>
          <w:szCs w:val="24"/>
          <w:highlight w:val="none"/>
        </w:rPr>
        <w:t>。</w:t>
      </w:r>
    </w:p>
    <w:p w14:paraId="031D3276">
      <w:pPr>
        <w:snapToGrid w:val="0"/>
        <w:spacing w:line="400" w:lineRule="exact"/>
        <w:ind w:left="210" w:leftChars="100" w:firstLine="480" w:firstLineChars="200"/>
        <w:rPr>
          <w:rFonts w:ascii="仿宋" w:hAnsi="仿宋" w:eastAsia="仿宋" w:cs="仿宋_GB2312"/>
          <w:color w:val="auto"/>
          <w:sz w:val="24"/>
          <w:szCs w:val="24"/>
          <w:highlight w:val="none"/>
          <w:lang w:val="zh-CN"/>
        </w:rPr>
      </w:pPr>
      <w:r>
        <w:rPr>
          <w:rFonts w:ascii="仿宋" w:hAnsi="仿宋" w:eastAsia="仿宋" w:cs="仿宋_GB2312"/>
          <w:color w:val="auto"/>
          <w:sz w:val="24"/>
          <w:szCs w:val="24"/>
          <w:highlight w:val="none"/>
        </w:rPr>
        <w:t>2</w:t>
      </w:r>
      <w:r>
        <w:rPr>
          <w:rFonts w:ascii="仿宋" w:hAnsi="仿宋" w:eastAsia="仿宋" w:cs="仿宋_GB2312"/>
          <w:color w:val="auto"/>
          <w:sz w:val="24"/>
          <w:szCs w:val="24"/>
          <w:highlight w:val="none"/>
          <w:lang w:val="zh-CN"/>
        </w:rPr>
        <w:t>.</w:t>
      </w:r>
      <w:r>
        <w:rPr>
          <w:rFonts w:ascii="仿宋" w:hAnsi="仿宋" w:eastAsia="仿宋" w:cs="仿宋_GB2312"/>
          <w:color w:val="auto"/>
          <w:sz w:val="24"/>
          <w:szCs w:val="24"/>
          <w:highlight w:val="none"/>
        </w:rPr>
        <w:t>2</w:t>
      </w:r>
      <w:r>
        <w:rPr>
          <w:rFonts w:hint="eastAsia" w:ascii="仿宋" w:hAnsi="仿宋" w:eastAsia="仿宋" w:cs="仿宋_GB2312"/>
          <w:color w:val="auto"/>
          <w:sz w:val="24"/>
          <w:szCs w:val="24"/>
          <w:highlight w:val="none"/>
        </w:rPr>
        <w:t>商务技术</w:t>
      </w:r>
      <w:r>
        <w:rPr>
          <w:rFonts w:hint="eastAsia" w:ascii="仿宋" w:hAnsi="仿宋" w:eastAsia="仿宋" w:cs="仿宋_GB2312"/>
          <w:color w:val="auto"/>
          <w:sz w:val="24"/>
          <w:szCs w:val="24"/>
          <w:highlight w:val="none"/>
          <w:lang w:val="zh-CN"/>
        </w:rPr>
        <w:t>文件：</w:t>
      </w:r>
    </w:p>
    <w:p w14:paraId="140A7EEC">
      <w:pPr>
        <w:snapToGrid w:val="0"/>
        <w:spacing w:line="400" w:lineRule="exact"/>
        <w:ind w:left="420" w:leftChars="200" w:firstLine="480"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2.2.1投标函；</w:t>
      </w:r>
    </w:p>
    <w:p w14:paraId="4551648C">
      <w:pPr>
        <w:snapToGrid w:val="0"/>
        <w:spacing w:line="400" w:lineRule="exact"/>
        <w:ind w:left="420" w:leftChars="200" w:firstLine="480"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2.2.2授权委托书或法定代表人（单位负责人）身份证明；</w:t>
      </w:r>
    </w:p>
    <w:p w14:paraId="427CC807">
      <w:pPr>
        <w:snapToGrid w:val="0"/>
        <w:spacing w:line="400" w:lineRule="exact"/>
        <w:ind w:left="420" w:leftChars="200" w:firstLine="480"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2.2.</w:t>
      </w:r>
      <w:r>
        <w:rPr>
          <w:rFonts w:hint="eastAsia" w:ascii="仿宋" w:hAnsi="仿宋" w:eastAsia="仿宋" w:cs="仿宋_GB2312"/>
          <w:color w:val="auto"/>
          <w:sz w:val="24"/>
          <w:szCs w:val="24"/>
          <w:highlight w:val="none"/>
        </w:rPr>
        <w:t>3</w:t>
      </w:r>
      <w:r>
        <w:rPr>
          <w:rFonts w:ascii="仿宋" w:hAnsi="仿宋" w:eastAsia="仿宋" w:cs="仿宋_GB2312"/>
          <w:color w:val="auto"/>
          <w:sz w:val="24"/>
          <w:szCs w:val="24"/>
          <w:highlight w:val="none"/>
        </w:rPr>
        <w:t>评标标准相应的商务技术资料；</w:t>
      </w:r>
    </w:p>
    <w:p w14:paraId="517E4D87">
      <w:pPr>
        <w:snapToGrid w:val="0"/>
        <w:spacing w:line="400" w:lineRule="exact"/>
        <w:ind w:left="420" w:leftChars="200" w:firstLine="480"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2.2.</w:t>
      </w:r>
      <w:r>
        <w:rPr>
          <w:rFonts w:hint="eastAsia" w:ascii="仿宋" w:hAnsi="仿宋" w:eastAsia="仿宋" w:cs="仿宋_GB2312"/>
          <w:color w:val="auto"/>
          <w:sz w:val="24"/>
          <w:szCs w:val="24"/>
          <w:highlight w:val="none"/>
        </w:rPr>
        <w:t>4</w:t>
      </w:r>
      <w:r>
        <w:rPr>
          <w:rFonts w:ascii="仿宋" w:hAnsi="仿宋" w:eastAsia="仿宋" w:cs="仿宋_GB2312"/>
          <w:color w:val="auto"/>
          <w:sz w:val="24"/>
          <w:szCs w:val="24"/>
          <w:highlight w:val="none"/>
        </w:rPr>
        <w:t>商务技术偏离表；</w:t>
      </w:r>
    </w:p>
    <w:p w14:paraId="1AB39094">
      <w:pPr>
        <w:snapToGrid w:val="0"/>
        <w:spacing w:line="400" w:lineRule="exact"/>
        <w:ind w:left="420" w:leftChars="200" w:firstLine="480"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2.2.</w:t>
      </w:r>
      <w:r>
        <w:rPr>
          <w:rFonts w:hint="eastAsia" w:ascii="仿宋" w:hAnsi="仿宋" w:eastAsia="仿宋" w:cs="仿宋_GB2312"/>
          <w:color w:val="auto"/>
          <w:sz w:val="24"/>
          <w:szCs w:val="24"/>
          <w:highlight w:val="none"/>
        </w:rPr>
        <w:t>5投标人认为需要提供的其他相关资料</w:t>
      </w:r>
      <w:r>
        <w:rPr>
          <w:rFonts w:ascii="仿宋" w:hAnsi="仿宋" w:eastAsia="仿宋" w:cs="仿宋_GB2312"/>
          <w:color w:val="auto"/>
          <w:sz w:val="24"/>
          <w:szCs w:val="24"/>
          <w:highlight w:val="none"/>
        </w:rPr>
        <w:t>；</w:t>
      </w:r>
    </w:p>
    <w:p w14:paraId="4F4E05A3">
      <w:pPr>
        <w:snapToGrid w:val="0"/>
        <w:spacing w:line="400" w:lineRule="exact"/>
        <w:ind w:left="210" w:leftChars="100" w:firstLine="480"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2</w:t>
      </w:r>
      <w:r>
        <w:rPr>
          <w:rFonts w:ascii="仿宋" w:hAnsi="仿宋" w:eastAsia="仿宋" w:cs="仿宋_GB2312"/>
          <w:color w:val="auto"/>
          <w:sz w:val="24"/>
          <w:szCs w:val="24"/>
          <w:highlight w:val="none"/>
          <w:lang w:val="zh-CN"/>
        </w:rPr>
        <w:t>.</w:t>
      </w:r>
      <w:r>
        <w:rPr>
          <w:rFonts w:ascii="仿宋" w:hAnsi="仿宋" w:eastAsia="仿宋" w:cs="仿宋_GB2312"/>
          <w:color w:val="auto"/>
          <w:sz w:val="24"/>
          <w:szCs w:val="24"/>
          <w:highlight w:val="none"/>
        </w:rPr>
        <w:t>3报价文件</w:t>
      </w:r>
    </w:p>
    <w:p w14:paraId="21F32D82">
      <w:pPr>
        <w:snapToGrid w:val="0"/>
        <w:spacing w:line="400" w:lineRule="exact"/>
        <w:ind w:left="420" w:leftChars="200" w:firstLine="480" w:firstLineChars="200"/>
        <w:rPr>
          <w:rFonts w:ascii="仿宋" w:hAnsi="仿宋" w:eastAsia="仿宋" w:cs="仿宋_GB2312"/>
          <w:color w:val="auto"/>
          <w:sz w:val="24"/>
          <w:szCs w:val="24"/>
          <w:highlight w:val="none"/>
        </w:rPr>
      </w:pPr>
      <w:bookmarkStart w:id="64" w:name="_Hlk93170136"/>
      <w:r>
        <w:rPr>
          <w:rFonts w:ascii="仿宋" w:hAnsi="仿宋" w:eastAsia="仿宋" w:cs="仿宋_GB2312"/>
          <w:color w:val="auto"/>
          <w:sz w:val="24"/>
          <w:szCs w:val="24"/>
          <w:highlight w:val="none"/>
        </w:rPr>
        <w:t>2.3.1开标一览表（报价表）；</w:t>
      </w:r>
    </w:p>
    <w:p w14:paraId="59519938">
      <w:pPr>
        <w:snapToGrid w:val="0"/>
        <w:spacing w:line="400" w:lineRule="exact"/>
        <w:ind w:left="420" w:leftChars="20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2</w:t>
      </w:r>
      <w:r>
        <w:rPr>
          <w:rFonts w:ascii="仿宋" w:hAnsi="仿宋" w:eastAsia="仿宋" w:cs="仿宋_GB2312"/>
          <w:color w:val="auto"/>
          <w:sz w:val="24"/>
          <w:szCs w:val="24"/>
          <w:highlight w:val="none"/>
        </w:rPr>
        <w:t>.3.2</w:t>
      </w:r>
      <w:r>
        <w:rPr>
          <w:rFonts w:hint="eastAsia" w:ascii="仿宋" w:hAnsi="仿宋" w:eastAsia="仿宋" w:cs="仿宋_GB2312"/>
          <w:color w:val="auto"/>
          <w:sz w:val="24"/>
          <w:szCs w:val="24"/>
          <w:highlight w:val="none"/>
        </w:rPr>
        <w:t>价格组成表；</w:t>
      </w:r>
    </w:p>
    <w:p w14:paraId="3E00A8D9">
      <w:pPr>
        <w:snapToGrid w:val="0"/>
        <w:spacing w:line="400" w:lineRule="exact"/>
        <w:ind w:left="420" w:leftChars="200" w:firstLine="480"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2.3.3</w:t>
      </w:r>
      <w:r>
        <w:rPr>
          <w:rFonts w:hint="eastAsia" w:ascii="仿宋" w:hAnsi="仿宋" w:eastAsia="仿宋" w:cs="仿宋_GB2312"/>
          <w:color w:val="auto"/>
          <w:sz w:val="24"/>
          <w:szCs w:val="24"/>
          <w:highlight w:val="none"/>
        </w:rPr>
        <w:t>政府采购政策情况表。</w:t>
      </w:r>
      <w:bookmarkEnd w:id="64"/>
    </w:p>
    <w:p w14:paraId="7154903F">
      <w:pPr>
        <w:snapToGrid w:val="0"/>
        <w:spacing w:line="400" w:lineRule="exact"/>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3、我方承诺除商务技术偏离表列出的偏离外，我方响应</w:t>
      </w:r>
      <w:r>
        <w:rPr>
          <w:rFonts w:hint="eastAsia" w:ascii="仿宋" w:hAnsi="仿宋" w:eastAsia="仿宋" w:cs="仿宋_GB2312"/>
          <w:color w:val="auto"/>
          <w:sz w:val="24"/>
          <w:szCs w:val="24"/>
          <w:highlight w:val="none"/>
        </w:rPr>
        <w:t>招标文件</w:t>
      </w:r>
      <w:r>
        <w:rPr>
          <w:rFonts w:ascii="仿宋" w:hAnsi="仿宋" w:eastAsia="仿宋" w:cs="仿宋_GB2312"/>
          <w:color w:val="auto"/>
          <w:sz w:val="24"/>
          <w:szCs w:val="24"/>
          <w:highlight w:val="none"/>
        </w:rPr>
        <w:t>的全部要求。</w:t>
      </w:r>
    </w:p>
    <w:p w14:paraId="1A927C19">
      <w:pPr>
        <w:snapToGrid w:val="0"/>
        <w:spacing w:line="400" w:lineRule="exact"/>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4、如我方中标，我方承诺：</w:t>
      </w:r>
    </w:p>
    <w:p w14:paraId="1E6F1685">
      <w:pPr>
        <w:snapToGrid w:val="0"/>
        <w:spacing w:line="400" w:lineRule="exact"/>
        <w:ind w:firstLine="720" w:firstLineChars="3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 xml:space="preserve">4.1在收到中标通知书后，在中标通知书规定的期限内与你方签订合同； </w:t>
      </w:r>
    </w:p>
    <w:p w14:paraId="0D8B7BD0">
      <w:pPr>
        <w:snapToGrid w:val="0"/>
        <w:spacing w:line="400" w:lineRule="exact"/>
        <w:ind w:firstLine="720" w:firstLineChars="3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 xml:space="preserve">4.2在签订合同时不向你方提出附加条件； </w:t>
      </w:r>
    </w:p>
    <w:p w14:paraId="604D3FB5">
      <w:pPr>
        <w:snapToGrid w:val="0"/>
        <w:spacing w:line="400" w:lineRule="exact"/>
        <w:ind w:firstLine="720" w:firstLineChars="3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4.</w:t>
      </w:r>
      <w:r>
        <w:rPr>
          <w:rFonts w:hint="eastAsia" w:ascii="仿宋" w:hAnsi="仿宋" w:eastAsia="仿宋" w:cs="仿宋_GB2312"/>
          <w:color w:val="auto"/>
          <w:sz w:val="24"/>
          <w:szCs w:val="24"/>
          <w:highlight w:val="none"/>
          <w:lang w:val="en-US" w:eastAsia="zh-CN"/>
        </w:rPr>
        <w:t>3</w:t>
      </w:r>
      <w:r>
        <w:rPr>
          <w:rFonts w:ascii="仿宋" w:hAnsi="仿宋" w:eastAsia="仿宋" w:cs="仿宋_GB2312"/>
          <w:color w:val="auto"/>
          <w:sz w:val="24"/>
          <w:szCs w:val="24"/>
          <w:highlight w:val="none"/>
        </w:rPr>
        <w:t xml:space="preserve">在合同约定的期限内完成合同规定的全部义务。 </w:t>
      </w:r>
    </w:p>
    <w:p w14:paraId="259A7772">
      <w:pPr>
        <w:snapToGrid w:val="0"/>
        <w:spacing w:line="400" w:lineRule="exact"/>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5、其他补充说明:</w:t>
      </w:r>
      <w:r>
        <w:rPr>
          <w:rFonts w:hint="eastAsia" w:ascii="仿宋" w:hAnsi="仿宋" w:eastAsia="仿宋" w:cs="仿宋_GB2312"/>
          <w:color w:val="auto"/>
          <w:sz w:val="24"/>
          <w:szCs w:val="24"/>
          <w:highlight w:val="none"/>
        </w:rPr>
        <w:t>。</w:t>
      </w:r>
    </w:p>
    <w:p w14:paraId="67F7D0BB">
      <w:pPr>
        <w:spacing w:line="400" w:lineRule="exact"/>
        <w:ind w:firstLine="3600" w:firstLineChars="15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投标人名称（</w:t>
      </w:r>
      <w:r>
        <w:rPr>
          <w:rFonts w:hint="eastAsia" w:ascii="仿宋" w:hAnsi="仿宋" w:eastAsia="仿宋" w:cs="仿宋_GB2312"/>
          <w:color w:val="auto"/>
          <w:sz w:val="24"/>
          <w:szCs w:val="24"/>
          <w:highlight w:val="none"/>
          <w:lang w:val="en-US" w:eastAsia="zh-CN"/>
        </w:rPr>
        <w:t>盖章</w:t>
      </w:r>
      <w:r>
        <w:rPr>
          <w:rFonts w:hint="eastAsia" w:ascii="仿宋" w:hAnsi="仿宋" w:eastAsia="仿宋" w:cs="仿宋_GB2312"/>
          <w:color w:val="auto"/>
          <w:sz w:val="24"/>
          <w:szCs w:val="24"/>
          <w:highlight w:val="none"/>
        </w:rPr>
        <w:t>）：</w:t>
      </w:r>
    </w:p>
    <w:p w14:paraId="4D940C62">
      <w:pPr>
        <w:spacing w:line="400" w:lineRule="exact"/>
        <w:jc w:val="center"/>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 xml:space="preserve">     日期：  年   月   日</w:t>
      </w:r>
    </w:p>
    <w:p w14:paraId="22CBBCCD">
      <w:pPr>
        <w:widowControl/>
        <w:adjustRightInd/>
        <w:jc w:val="left"/>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kern w:val="0"/>
          <w:sz w:val="32"/>
          <w:szCs w:val="32"/>
          <w:highlight w:val="none"/>
          <w:lang w:val="zh-CN"/>
        </w:rPr>
        <w:br w:type="page"/>
      </w:r>
    </w:p>
    <w:p w14:paraId="7BF0F3D8">
      <w:pPr>
        <w:jc w:val="left"/>
        <w:rPr>
          <w:rFonts w:ascii="仿宋" w:hAnsi="仿宋" w:eastAsia="仿宋" w:cs="仿宋_GB2312"/>
          <w:b/>
          <w:color w:val="auto"/>
          <w:kern w:val="0"/>
          <w:sz w:val="28"/>
          <w:szCs w:val="28"/>
          <w:highlight w:val="none"/>
          <w:lang w:val="zh-CN"/>
        </w:rPr>
      </w:pPr>
      <w:r>
        <w:rPr>
          <w:rFonts w:hint="eastAsia" w:ascii="仿宋" w:hAnsi="仿宋" w:eastAsia="仿宋" w:cs="仿宋_GB2312"/>
          <w:b/>
          <w:color w:val="auto"/>
          <w:kern w:val="0"/>
          <w:sz w:val="28"/>
          <w:szCs w:val="28"/>
          <w:highlight w:val="none"/>
          <w:lang w:val="zh-CN"/>
        </w:rPr>
        <w:t>附件</w:t>
      </w:r>
      <w:r>
        <w:rPr>
          <w:rFonts w:hint="eastAsia" w:ascii="仿宋" w:hAnsi="仿宋" w:eastAsia="仿宋" w:cs="仿宋_GB2312"/>
          <w:b/>
          <w:color w:val="auto"/>
          <w:kern w:val="0"/>
          <w:sz w:val="28"/>
          <w:szCs w:val="28"/>
          <w:highlight w:val="none"/>
        </w:rPr>
        <w:t>3</w:t>
      </w:r>
    </w:p>
    <w:p w14:paraId="0B57C5E2">
      <w:pPr>
        <w:jc w:val="center"/>
        <w:rPr>
          <w:rFonts w:ascii="仿宋" w:hAnsi="仿宋" w:eastAsia="仿宋" w:cs="仿宋_GB2312"/>
          <w:b/>
          <w:color w:val="auto"/>
          <w:kern w:val="0"/>
          <w:sz w:val="32"/>
          <w:szCs w:val="32"/>
          <w:highlight w:val="none"/>
          <w:lang w:val="zh-CN"/>
        </w:rPr>
      </w:pPr>
    </w:p>
    <w:p w14:paraId="24B7F69F">
      <w:pPr>
        <w:jc w:val="center"/>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t>二、授权委托书或法定代表人（单位负责人、自然人本人）身份证明</w:t>
      </w:r>
    </w:p>
    <w:p w14:paraId="037610EE">
      <w:pPr>
        <w:snapToGrid w:val="0"/>
        <w:spacing w:line="360" w:lineRule="auto"/>
        <w:rPr>
          <w:rFonts w:ascii="仿宋" w:hAnsi="仿宋" w:eastAsia="仿宋" w:cs="仿宋_GB2312"/>
          <w:color w:val="auto"/>
          <w:sz w:val="24"/>
          <w:highlight w:val="none"/>
        </w:rPr>
      </w:pPr>
    </w:p>
    <w:p w14:paraId="443F3EED">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lang w:val="zh-CN"/>
        </w:rPr>
        <w:t>（</w:t>
      </w:r>
      <w:r>
        <w:rPr>
          <w:rFonts w:hint="eastAsia" w:ascii="仿宋" w:hAnsi="仿宋" w:eastAsia="仿宋" w:cs="仿宋"/>
          <w:b/>
          <w:color w:val="auto"/>
          <w:kern w:val="0"/>
          <w:sz w:val="24"/>
          <w:szCs w:val="24"/>
          <w:highlight w:val="none"/>
          <w:lang w:val="en-US" w:eastAsia="zh-CN"/>
        </w:rPr>
        <w:t>1</w:t>
      </w:r>
      <w:r>
        <w:rPr>
          <w:rFonts w:hint="eastAsia" w:ascii="仿宋" w:hAnsi="仿宋" w:eastAsia="仿宋" w:cs="仿宋"/>
          <w:b/>
          <w:color w:val="auto"/>
          <w:kern w:val="0"/>
          <w:sz w:val="24"/>
          <w:szCs w:val="24"/>
          <w:highlight w:val="none"/>
          <w:lang w:val="zh-CN"/>
        </w:rPr>
        <w:t>）授权委托书</w:t>
      </w:r>
    </w:p>
    <w:p w14:paraId="7DA2486D">
      <w:pPr>
        <w:spacing w:line="400" w:lineRule="exact"/>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u w:val="single"/>
          <w:lang w:eastAsia="zh-CN"/>
        </w:rPr>
        <w:t>温州市市容环境卫生管理中心</w:t>
      </w:r>
    </w:p>
    <w:p w14:paraId="5FB60E7F">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浙江省房地产管理咨询有限公司</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A0EA3EB">
      <w:pPr>
        <w:spacing w:line="400" w:lineRule="exact"/>
        <w:ind w:firstLine="420"/>
        <w:rPr>
          <w:rFonts w:hint="eastAsia" w:ascii="仿宋" w:hAnsi="仿宋" w:eastAsia="仿宋" w:cs="仿宋"/>
          <w:color w:val="auto"/>
          <w:sz w:val="24"/>
          <w:szCs w:val="24"/>
          <w:highlight w:val="none"/>
          <w:u w:val="single"/>
        </w:rPr>
      </w:pPr>
    </w:p>
    <w:p w14:paraId="40138581">
      <w:pPr>
        <w:spacing w:line="46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（投标人全称）法定代表人（负责人）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授权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（全权代表姓名）为全权代表，参加贵处组织的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（项目名称、项目编号）的采购活动，全权代表我方处理采购活动中的一切事宜。联系方式如下：</w:t>
      </w:r>
      <w:r>
        <w:rPr>
          <w:rFonts w:hint="eastAsia" w:ascii="仿宋" w:hAnsi="仿宋" w:eastAsia="仿宋" w:cs="仿宋"/>
          <w:color w:val="auto"/>
          <w:sz w:val="24"/>
          <w:szCs w:val="24"/>
          <w:highlight w:val="none"/>
          <w:u w:val="single"/>
        </w:rPr>
        <w:t xml:space="preserve">手机号码：       联系邮厢:         详细通讯地址：             </w:t>
      </w:r>
      <w:r>
        <w:rPr>
          <w:rFonts w:hint="eastAsia" w:ascii="仿宋" w:hAnsi="仿宋" w:eastAsia="仿宋" w:cs="仿宋"/>
          <w:color w:val="auto"/>
          <w:sz w:val="24"/>
          <w:szCs w:val="24"/>
          <w:highlight w:val="none"/>
        </w:rPr>
        <w:t xml:space="preserve"> 。  </w:t>
      </w:r>
    </w:p>
    <w:p w14:paraId="02712E7C">
      <w:pPr>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6E5F6E23">
      <w:pPr>
        <w:spacing w:line="400" w:lineRule="exact"/>
        <w:ind w:firstLine="4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66BCC662">
      <w:pPr>
        <w:spacing w:line="400" w:lineRule="exact"/>
        <w:ind w:firstLine="4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lang w:val="en-US" w:eastAsia="zh-CN"/>
        </w:rPr>
        <w:t>盖章</w:t>
      </w:r>
      <w:r>
        <w:rPr>
          <w:rFonts w:hint="eastAsia" w:ascii="仿宋" w:hAnsi="仿宋" w:eastAsia="仿宋" w:cs="仿宋"/>
          <w:color w:val="auto"/>
          <w:sz w:val="24"/>
          <w:szCs w:val="24"/>
          <w:highlight w:val="none"/>
        </w:rPr>
        <w:t>）：</w:t>
      </w:r>
    </w:p>
    <w:p w14:paraId="7A9CDA0B">
      <w:pPr>
        <w:spacing w:line="400" w:lineRule="exact"/>
        <w:ind w:firstLine="4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法定代表人或授权代表（签字或盖章）：</w:t>
      </w:r>
    </w:p>
    <w:p w14:paraId="794A1E44">
      <w:pPr>
        <w:spacing w:line="400" w:lineRule="exact"/>
        <w:ind w:firstLine="4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p w14:paraId="05AD6A88">
      <w:pPr>
        <w:jc w:val="center"/>
        <w:rPr>
          <w:rFonts w:hint="eastAsia" w:ascii="仿宋" w:hAnsi="仿宋" w:eastAsia="仿宋" w:cs="仿宋"/>
          <w:b/>
          <w:color w:val="auto"/>
          <w:kern w:val="0"/>
          <w:sz w:val="24"/>
          <w:szCs w:val="24"/>
          <w:highlight w:val="none"/>
          <w:lang w:val="zh-CN"/>
        </w:rPr>
      </w:pPr>
    </w:p>
    <w:p w14:paraId="788A0A31">
      <w:pPr>
        <w:spacing w:line="460" w:lineRule="exact"/>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附：法定代表人（负责人）及授权代表的身份证正反面复印件</w:t>
      </w:r>
      <w:r>
        <w:rPr>
          <w:rFonts w:hint="eastAsia" w:ascii="仿宋" w:hAnsi="仿宋" w:eastAsia="仿宋" w:cs="仿宋"/>
          <w:b/>
          <w:color w:val="auto"/>
          <w:sz w:val="24"/>
          <w:szCs w:val="24"/>
          <w:highlight w:val="none"/>
          <w:lang w:eastAsia="zh-CN"/>
        </w:rPr>
        <w:t>。</w:t>
      </w:r>
    </w:p>
    <w:p w14:paraId="5F3B54BC">
      <w:pPr>
        <w:pStyle w:val="23"/>
        <w:rPr>
          <w:rFonts w:hint="eastAsia" w:ascii="仿宋" w:hAnsi="仿宋" w:eastAsia="仿宋" w:cs="仿宋"/>
          <w:color w:val="auto"/>
          <w:sz w:val="24"/>
          <w:highlight w:val="none"/>
          <w:lang w:val="zh-CN"/>
        </w:rPr>
      </w:pPr>
    </w:p>
    <w:p w14:paraId="660EF3A1">
      <w:pPr>
        <w:snapToGrid w:val="0"/>
        <w:spacing w:line="360" w:lineRule="auto"/>
        <w:jc w:val="left"/>
        <w:rPr>
          <w:rFonts w:hint="eastAsia" w:ascii="仿宋" w:hAnsi="仿宋" w:eastAsia="仿宋" w:cs="仿宋"/>
          <w:b/>
          <w:color w:val="auto"/>
          <w:sz w:val="24"/>
          <w:szCs w:val="24"/>
          <w:highlight w:val="none"/>
          <w:lang w:val="en-US" w:eastAsia="zh-CN"/>
        </w:rPr>
      </w:pPr>
    </w:p>
    <w:p w14:paraId="524F1246">
      <w:pPr>
        <w:snapToGrid w:val="0"/>
        <w:spacing w:line="360" w:lineRule="auto"/>
        <w:jc w:val="left"/>
        <w:rPr>
          <w:rFonts w:hint="eastAsia" w:ascii="仿宋" w:hAnsi="仿宋" w:eastAsia="仿宋" w:cs="仿宋"/>
          <w:b/>
          <w:color w:val="auto"/>
          <w:sz w:val="24"/>
          <w:szCs w:val="24"/>
          <w:highlight w:val="none"/>
          <w:lang w:val="en-US" w:eastAsia="zh-CN"/>
        </w:rPr>
      </w:pPr>
    </w:p>
    <w:p w14:paraId="13248435">
      <w:pPr>
        <w:snapToGrid w:val="0"/>
        <w:spacing w:line="360" w:lineRule="auto"/>
        <w:jc w:val="left"/>
        <w:rPr>
          <w:rFonts w:hint="eastAsia" w:ascii="仿宋" w:hAnsi="仿宋" w:eastAsia="仿宋" w:cs="仿宋"/>
          <w:b/>
          <w:color w:val="auto"/>
          <w:sz w:val="24"/>
          <w:szCs w:val="24"/>
          <w:highlight w:val="none"/>
          <w:lang w:val="en-US" w:eastAsia="zh-CN"/>
        </w:rPr>
      </w:pPr>
    </w:p>
    <w:p w14:paraId="585AADF2">
      <w:pPr>
        <w:rPr>
          <w:rFonts w:hint="eastAsia" w:ascii="仿宋" w:hAnsi="仿宋" w:eastAsia="仿宋" w:cs="仿宋"/>
          <w:b/>
          <w:color w:val="auto"/>
          <w:sz w:val="24"/>
          <w:szCs w:val="24"/>
          <w:highlight w:val="none"/>
          <w:lang w:val="en-US" w:eastAsia="zh-CN"/>
        </w:rPr>
      </w:pPr>
    </w:p>
    <w:p w14:paraId="5C62094F">
      <w:pPr>
        <w:pStyle w:val="23"/>
        <w:rPr>
          <w:rFonts w:hint="eastAsia" w:ascii="仿宋" w:hAnsi="仿宋" w:eastAsia="仿宋" w:cs="仿宋"/>
          <w:b/>
          <w:color w:val="auto"/>
          <w:sz w:val="24"/>
          <w:szCs w:val="24"/>
          <w:highlight w:val="none"/>
          <w:lang w:val="en-US" w:eastAsia="zh-CN"/>
        </w:rPr>
      </w:pPr>
    </w:p>
    <w:p w14:paraId="13B172F1">
      <w:pPr>
        <w:rPr>
          <w:rFonts w:hint="eastAsia" w:ascii="仿宋" w:hAnsi="仿宋" w:eastAsia="仿宋" w:cs="仿宋"/>
          <w:b/>
          <w:color w:val="auto"/>
          <w:sz w:val="24"/>
          <w:szCs w:val="24"/>
          <w:highlight w:val="none"/>
          <w:lang w:val="en-US" w:eastAsia="zh-CN"/>
        </w:rPr>
      </w:pPr>
    </w:p>
    <w:p w14:paraId="032A6FC4">
      <w:pPr>
        <w:pStyle w:val="23"/>
        <w:rPr>
          <w:rFonts w:hint="eastAsia" w:ascii="仿宋" w:hAnsi="仿宋" w:eastAsia="仿宋" w:cs="仿宋"/>
          <w:b/>
          <w:color w:val="auto"/>
          <w:sz w:val="24"/>
          <w:szCs w:val="24"/>
          <w:highlight w:val="none"/>
          <w:lang w:val="en-US" w:eastAsia="zh-CN"/>
        </w:rPr>
      </w:pPr>
    </w:p>
    <w:p w14:paraId="289B2C14">
      <w:pPr>
        <w:rPr>
          <w:rFonts w:hint="eastAsia" w:ascii="仿宋" w:hAnsi="仿宋" w:eastAsia="仿宋" w:cs="仿宋"/>
          <w:color w:val="auto"/>
          <w:sz w:val="24"/>
          <w:highlight w:val="none"/>
          <w:lang w:val="en-US" w:eastAsia="zh-CN"/>
        </w:rPr>
      </w:pPr>
    </w:p>
    <w:p w14:paraId="126A3534">
      <w:pPr>
        <w:snapToGrid w:val="0"/>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注：</w:t>
      </w:r>
      <w:r>
        <w:rPr>
          <w:rFonts w:hint="eastAsia" w:ascii="仿宋" w:hAnsi="仿宋" w:eastAsia="仿宋" w:cs="仿宋"/>
          <w:b/>
          <w:color w:val="auto"/>
          <w:sz w:val="24"/>
          <w:szCs w:val="24"/>
          <w:highlight w:val="none"/>
        </w:rPr>
        <w:t>若供应商代表为法定代表人（负责人）授权的委托代理人，应提供</w:t>
      </w:r>
      <w:r>
        <w:rPr>
          <w:rFonts w:hint="eastAsia" w:ascii="仿宋" w:hAnsi="仿宋" w:eastAsia="仿宋" w:cs="仿宋"/>
          <w:b/>
          <w:color w:val="auto"/>
          <w:sz w:val="24"/>
          <w:szCs w:val="24"/>
          <w:highlight w:val="none"/>
          <w:lang w:val="zh-CN"/>
        </w:rPr>
        <w:t>（</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lang w:val="zh-CN"/>
        </w:rPr>
        <w:t>）授权委托书</w:t>
      </w:r>
      <w:r>
        <w:rPr>
          <w:rFonts w:hint="eastAsia" w:ascii="仿宋" w:hAnsi="仿宋" w:eastAsia="仿宋" w:cs="仿宋"/>
          <w:b/>
          <w:color w:val="auto"/>
          <w:sz w:val="24"/>
          <w:szCs w:val="24"/>
          <w:highlight w:val="none"/>
        </w:rPr>
        <w:t>，并附法定代表人（负责人）及授权代表的身份证正反面复印件。</w:t>
      </w:r>
    </w:p>
    <w:p w14:paraId="7A240FB1">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15E86BD4">
      <w:pPr>
        <w:pStyle w:val="23"/>
        <w:rPr>
          <w:rFonts w:hint="eastAsia" w:ascii="仿宋" w:hAnsi="仿宋" w:eastAsia="仿宋" w:cs="仿宋"/>
          <w:color w:val="auto"/>
          <w:sz w:val="24"/>
          <w:highlight w:val="none"/>
        </w:rPr>
      </w:pPr>
    </w:p>
    <w:p w14:paraId="44056E2E">
      <w:pPr>
        <w:jc w:val="center"/>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w:t>
      </w:r>
      <w:r>
        <w:rPr>
          <w:rFonts w:hint="eastAsia" w:ascii="仿宋" w:hAnsi="仿宋" w:eastAsia="仿宋" w:cs="仿宋"/>
          <w:b/>
          <w:color w:val="auto"/>
          <w:kern w:val="0"/>
          <w:sz w:val="24"/>
          <w:szCs w:val="24"/>
          <w:highlight w:val="none"/>
          <w:lang w:val="en-US" w:eastAsia="zh-CN"/>
        </w:rPr>
        <w:t>2</w:t>
      </w:r>
      <w:r>
        <w:rPr>
          <w:rFonts w:hint="eastAsia" w:ascii="仿宋" w:hAnsi="仿宋" w:eastAsia="仿宋" w:cs="仿宋"/>
          <w:b/>
          <w:color w:val="auto"/>
          <w:kern w:val="0"/>
          <w:sz w:val="24"/>
          <w:szCs w:val="24"/>
          <w:highlight w:val="none"/>
          <w:lang w:val="zh-CN"/>
        </w:rPr>
        <w:t>）法定代表人（单位负责人、自然人本人）身份证明</w:t>
      </w:r>
    </w:p>
    <w:p w14:paraId="04540408">
      <w:pPr>
        <w:autoSpaceDE w:val="0"/>
        <w:autoSpaceDN w:val="0"/>
        <w:spacing w:line="360" w:lineRule="auto"/>
        <w:jc w:val="center"/>
        <w:rPr>
          <w:rFonts w:hint="eastAsia" w:ascii="仿宋" w:hAnsi="仿宋" w:eastAsia="仿宋" w:cs="仿宋"/>
          <w:b/>
          <w:color w:val="auto"/>
          <w:sz w:val="24"/>
          <w:szCs w:val="24"/>
          <w:highlight w:val="none"/>
        </w:rPr>
      </w:pPr>
    </w:p>
    <w:p w14:paraId="78BDB84A">
      <w:pPr>
        <w:pStyle w:val="25"/>
        <w:spacing w:line="400" w:lineRule="exact"/>
        <w:ind w:firstLine="0"/>
        <w:rPr>
          <w:rFonts w:hint="eastAsia" w:ascii="仿宋" w:hAnsi="仿宋" w:eastAsia="仿宋" w:cs="仿宋"/>
          <w:snapToGrid w:val="0"/>
          <w:color w:val="auto"/>
          <w:kern w:val="0"/>
          <w:sz w:val="24"/>
          <w:szCs w:val="24"/>
          <w:highlight w:val="none"/>
          <w:u w:val="single"/>
          <w:lang w:eastAsia="zh-CN"/>
        </w:rPr>
      </w:pPr>
      <w:r>
        <w:rPr>
          <w:rFonts w:hint="eastAsia" w:ascii="仿宋" w:hAnsi="仿宋" w:eastAsia="仿宋" w:cs="仿宋"/>
          <w:snapToGrid w:val="0"/>
          <w:color w:val="auto"/>
          <w:kern w:val="0"/>
          <w:sz w:val="24"/>
          <w:szCs w:val="24"/>
          <w:highlight w:val="none"/>
          <w:u w:val="single"/>
          <w:lang w:eastAsia="zh-CN"/>
        </w:rPr>
        <w:t>温州市市容环境卫生管理中心</w:t>
      </w:r>
    </w:p>
    <w:p w14:paraId="1EC66E58">
      <w:pPr>
        <w:pStyle w:val="25"/>
        <w:spacing w:line="400" w:lineRule="exact"/>
        <w:ind w:firstLine="0"/>
        <w:rPr>
          <w:rFonts w:hint="eastAsia" w:ascii="仿宋" w:hAnsi="仿宋" w:eastAsia="仿宋" w:cs="仿宋"/>
          <w:b/>
          <w:bCs/>
          <w:snapToGrid w:val="0"/>
          <w:color w:val="auto"/>
          <w:kern w:val="0"/>
          <w:sz w:val="24"/>
          <w:szCs w:val="24"/>
          <w:highlight w:val="none"/>
        </w:rPr>
      </w:pPr>
      <w:r>
        <w:rPr>
          <w:rFonts w:hint="eastAsia" w:ascii="仿宋" w:hAnsi="仿宋" w:eastAsia="仿宋" w:cs="仿宋"/>
          <w:snapToGrid w:val="0"/>
          <w:color w:val="auto"/>
          <w:kern w:val="0"/>
          <w:sz w:val="24"/>
          <w:szCs w:val="24"/>
          <w:highlight w:val="none"/>
          <w:u w:val="single"/>
          <w:lang w:eastAsia="zh-CN"/>
        </w:rPr>
        <w:t>浙江省房地产管理咨询有限公司</w:t>
      </w:r>
      <w:r>
        <w:rPr>
          <w:rFonts w:hint="eastAsia" w:ascii="仿宋" w:hAnsi="仿宋" w:eastAsia="仿宋" w:cs="仿宋"/>
          <w:snapToGrid w:val="0"/>
          <w:color w:val="auto"/>
          <w:kern w:val="0"/>
          <w:sz w:val="24"/>
          <w:szCs w:val="24"/>
          <w:highlight w:val="none"/>
        </w:rPr>
        <w:t xml:space="preserve"> ：</w:t>
      </w:r>
    </w:p>
    <w:p w14:paraId="50A62E05">
      <w:pPr>
        <w:pStyle w:val="25"/>
        <w:spacing w:line="240" w:lineRule="auto"/>
        <w:ind w:left="0"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 xml:space="preserve">我 </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rPr>
        <w:t>（姓名）系</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rPr>
        <w:t>（投标人名称）的法定代表人（负责人），身份证号：</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u w:val="single"/>
          <w:lang w:val="en-US" w:eastAsia="zh-CN"/>
        </w:rPr>
        <w:t xml:space="preserve">      </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rPr>
        <w:t xml:space="preserve"> ，联系电话： </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rPr>
        <w:t>，电子邮箱</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rPr>
        <w:t xml:space="preserve"> 。</w:t>
      </w:r>
    </w:p>
    <w:p w14:paraId="715B76DF">
      <w:pPr>
        <w:pStyle w:val="25"/>
        <w:spacing w:line="400" w:lineRule="exact"/>
        <w:ind w:firstLine="42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特此证明！</w:t>
      </w:r>
    </w:p>
    <w:p w14:paraId="30A4DDA8">
      <w:pPr>
        <w:pStyle w:val="25"/>
        <w:spacing w:line="400" w:lineRule="exact"/>
        <w:ind w:firstLine="420"/>
        <w:rPr>
          <w:rFonts w:hint="eastAsia" w:ascii="仿宋" w:hAnsi="仿宋" w:eastAsia="仿宋" w:cs="仿宋"/>
          <w:snapToGrid w:val="0"/>
          <w:color w:val="auto"/>
          <w:kern w:val="0"/>
          <w:sz w:val="24"/>
          <w:szCs w:val="24"/>
          <w:highlight w:val="none"/>
        </w:rPr>
      </w:pPr>
    </w:p>
    <w:p w14:paraId="304D3DB7">
      <w:pPr>
        <w:spacing w:line="400" w:lineRule="exact"/>
        <w:ind w:firstLine="4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lang w:val="en-US" w:eastAsia="zh-CN"/>
        </w:rPr>
        <w:t>盖章</w:t>
      </w:r>
      <w:r>
        <w:rPr>
          <w:rFonts w:hint="eastAsia" w:ascii="仿宋" w:hAnsi="仿宋" w:eastAsia="仿宋" w:cs="仿宋"/>
          <w:color w:val="auto"/>
          <w:sz w:val="24"/>
          <w:szCs w:val="24"/>
          <w:highlight w:val="none"/>
        </w:rPr>
        <w:t>）：</w:t>
      </w:r>
    </w:p>
    <w:p w14:paraId="5CF462B6">
      <w:pPr>
        <w:pStyle w:val="25"/>
        <w:spacing w:line="400" w:lineRule="exact"/>
        <w:ind w:firstLine="420"/>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日 期：  年  月  日</w:t>
      </w:r>
    </w:p>
    <w:p w14:paraId="3850AAA1">
      <w:pPr>
        <w:adjustRightInd w:val="0"/>
        <w:spacing w:line="400" w:lineRule="exact"/>
        <w:rPr>
          <w:rFonts w:hint="eastAsia" w:ascii="仿宋" w:hAnsi="仿宋" w:eastAsia="仿宋" w:cs="仿宋"/>
          <w:snapToGrid w:val="0"/>
          <w:color w:val="auto"/>
          <w:kern w:val="0"/>
          <w:sz w:val="24"/>
          <w:szCs w:val="24"/>
          <w:highlight w:val="none"/>
        </w:rPr>
      </w:pPr>
    </w:p>
    <w:p w14:paraId="6B0B45E6">
      <w:pPr>
        <w:adjustRightInd w:val="0"/>
        <w:spacing w:line="400" w:lineRule="exact"/>
        <w:rPr>
          <w:rFonts w:hint="eastAsia" w:ascii="仿宋" w:hAnsi="仿宋" w:eastAsia="仿宋" w:cs="仿宋"/>
          <w:b/>
          <w:color w:val="auto"/>
          <w:sz w:val="24"/>
          <w:szCs w:val="24"/>
          <w:highlight w:val="none"/>
        </w:rPr>
      </w:pPr>
    </w:p>
    <w:p w14:paraId="2FC0E289">
      <w:pPr>
        <w:adjustRightInd w:val="0"/>
        <w:spacing w:line="400" w:lineRule="exact"/>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附：法定代表人（负责人）身份证正反面复印件</w:t>
      </w:r>
      <w:r>
        <w:rPr>
          <w:rFonts w:hint="eastAsia" w:ascii="仿宋" w:hAnsi="仿宋" w:eastAsia="仿宋" w:cs="仿宋"/>
          <w:b/>
          <w:color w:val="auto"/>
          <w:sz w:val="24"/>
          <w:szCs w:val="24"/>
          <w:highlight w:val="none"/>
          <w:lang w:eastAsia="zh-CN"/>
        </w:rPr>
        <w:t>。</w:t>
      </w:r>
    </w:p>
    <w:p w14:paraId="25F5CCFB">
      <w:pPr>
        <w:widowControl/>
        <w:adjustRightInd/>
        <w:jc w:val="left"/>
        <w:rPr>
          <w:rFonts w:hint="eastAsia" w:ascii="仿宋" w:hAnsi="仿宋" w:eastAsia="仿宋" w:cs="仿宋"/>
          <w:b/>
          <w:color w:val="auto"/>
          <w:kern w:val="0"/>
          <w:sz w:val="24"/>
          <w:szCs w:val="24"/>
          <w:highlight w:val="none"/>
        </w:rPr>
      </w:pPr>
    </w:p>
    <w:p w14:paraId="712969A6">
      <w:pPr>
        <w:widowControl/>
        <w:adjustRightInd/>
        <w:jc w:val="left"/>
        <w:rPr>
          <w:rFonts w:hint="eastAsia" w:ascii="仿宋" w:hAnsi="仿宋" w:eastAsia="仿宋" w:cs="仿宋"/>
          <w:b/>
          <w:color w:val="auto"/>
          <w:kern w:val="0"/>
          <w:sz w:val="24"/>
          <w:szCs w:val="24"/>
          <w:highlight w:val="none"/>
        </w:rPr>
      </w:pPr>
    </w:p>
    <w:p w14:paraId="2C5683EB">
      <w:pPr>
        <w:widowControl/>
        <w:adjustRightInd/>
        <w:jc w:val="left"/>
        <w:rPr>
          <w:rFonts w:hint="eastAsia" w:ascii="仿宋" w:hAnsi="仿宋" w:eastAsia="仿宋" w:cs="仿宋"/>
          <w:b/>
          <w:color w:val="auto"/>
          <w:kern w:val="0"/>
          <w:sz w:val="24"/>
          <w:szCs w:val="24"/>
          <w:highlight w:val="none"/>
        </w:rPr>
      </w:pPr>
    </w:p>
    <w:p w14:paraId="6A0BB8B6">
      <w:pPr>
        <w:widowControl/>
        <w:adjustRightInd/>
        <w:jc w:val="left"/>
        <w:rPr>
          <w:rFonts w:hint="eastAsia" w:ascii="仿宋" w:hAnsi="仿宋" w:eastAsia="仿宋" w:cs="仿宋"/>
          <w:b/>
          <w:color w:val="auto"/>
          <w:kern w:val="0"/>
          <w:sz w:val="24"/>
          <w:szCs w:val="24"/>
          <w:highlight w:val="none"/>
        </w:rPr>
      </w:pPr>
    </w:p>
    <w:p w14:paraId="320201B2">
      <w:pPr>
        <w:pStyle w:val="23"/>
        <w:rPr>
          <w:rFonts w:hint="eastAsia" w:ascii="仿宋" w:hAnsi="仿宋" w:eastAsia="仿宋" w:cs="仿宋"/>
          <w:b/>
          <w:color w:val="auto"/>
          <w:kern w:val="0"/>
          <w:sz w:val="24"/>
          <w:szCs w:val="24"/>
          <w:highlight w:val="none"/>
        </w:rPr>
      </w:pPr>
    </w:p>
    <w:p w14:paraId="205296A4">
      <w:pPr>
        <w:rPr>
          <w:rFonts w:hint="eastAsia" w:ascii="仿宋" w:hAnsi="仿宋" w:eastAsia="仿宋" w:cs="仿宋"/>
          <w:b/>
          <w:color w:val="auto"/>
          <w:kern w:val="0"/>
          <w:sz w:val="24"/>
          <w:szCs w:val="24"/>
          <w:highlight w:val="none"/>
        </w:rPr>
      </w:pPr>
    </w:p>
    <w:p w14:paraId="5BAC1FC5">
      <w:pPr>
        <w:pStyle w:val="23"/>
        <w:rPr>
          <w:rFonts w:hint="eastAsia" w:ascii="仿宋" w:hAnsi="仿宋" w:eastAsia="仿宋" w:cs="仿宋"/>
          <w:color w:val="auto"/>
          <w:sz w:val="24"/>
          <w:highlight w:val="none"/>
        </w:rPr>
      </w:pPr>
    </w:p>
    <w:p w14:paraId="37265597">
      <w:pPr>
        <w:spacing w:line="460" w:lineRule="exact"/>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lang w:val="en-US" w:eastAsia="zh-CN"/>
        </w:rPr>
        <w:t>注：</w:t>
      </w:r>
      <w:r>
        <w:rPr>
          <w:rFonts w:hint="eastAsia" w:ascii="仿宋" w:hAnsi="仿宋" w:eastAsia="仿宋" w:cs="仿宋"/>
          <w:b/>
          <w:color w:val="auto"/>
          <w:sz w:val="24"/>
          <w:szCs w:val="24"/>
          <w:highlight w:val="none"/>
        </w:rPr>
        <w:t>若供应商代表为法定代表人（</w:t>
      </w:r>
      <w:r>
        <w:rPr>
          <w:rFonts w:hint="eastAsia" w:ascii="仿宋" w:hAnsi="仿宋" w:eastAsia="仿宋" w:cs="仿宋"/>
          <w:b/>
          <w:color w:val="auto"/>
          <w:sz w:val="24"/>
          <w:szCs w:val="24"/>
          <w:highlight w:val="none"/>
          <w:lang w:val="zh-CN"/>
        </w:rPr>
        <w:t>单位负责人、自然人本人</w:t>
      </w:r>
      <w:r>
        <w:rPr>
          <w:rFonts w:hint="eastAsia" w:ascii="仿宋" w:hAnsi="仿宋" w:eastAsia="仿宋" w:cs="仿宋"/>
          <w:b/>
          <w:color w:val="auto"/>
          <w:sz w:val="24"/>
          <w:szCs w:val="24"/>
          <w:highlight w:val="none"/>
        </w:rPr>
        <w:t>），应提供</w:t>
      </w:r>
      <w:r>
        <w:rPr>
          <w:rFonts w:hint="eastAsia" w:ascii="仿宋" w:hAnsi="仿宋" w:eastAsia="仿宋" w:cs="仿宋"/>
          <w:b/>
          <w:color w:val="auto"/>
          <w:sz w:val="24"/>
          <w:szCs w:val="24"/>
          <w:highlight w:val="none"/>
          <w:lang w:val="zh-CN"/>
        </w:rPr>
        <w:t>（</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lang w:val="zh-CN"/>
        </w:rPr>
        <w:t>）法定代表人（单位负责人、自然人本人）身份证明</w:t>
      </w:r>
      <w:r>
        <w:rPr>
          <w:rFonts w:hint="eastAsia" w:ascii="仿宋" w:hAnsi="仿宋" w:eastAsia="仿宋" w:cs="仿宋"/>
          <w:b/>
          <w:color w:val="auto"/>
          <w:sz w:val="24"/>
          <w:szCs w:val="24"/>
          <w:highlight w:val="none"/>
        </w:rPr>
        <w:t>并提交法定代表人（负责人）身份证正反面复印件</w:t>
      </w:r>
      <w:r>
        <w:rPr>
          <w:rFonts w:hint="eastAsia" w:ascii="仿宋" w:hAnsi="仿宋" w:eastAsia="仿宋" w:cs="仿宋"/>
          <w:b/>
          <w:color w:val="auto"/>
          <w:sz w:val="24"/>
          <w:szCs w:val="24"/>
          <w:highlight w:val="none"/>
          <w:lang w:eastAsia="zh-CN"/>
        </w:rPr>
        <w:t>。</w:t>
      </w:r>
    </w:p>
    <w:p w14:paraId="3AD2AA47">
      <w:pPr>
        <w:widowControl/>
        <w:adjustRightInd/>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br w:type="page"/>
      </w:r>
    </w:p>
    <w:p w14:paraId="35203C4C">
      <w:pPr>
        <w:jc w:val="left"/>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附件4</w:t>
      </w:r>
    </w:p>
    <w:p w14:paraId="13AD73A5">
      <w:pPr>
        <w:jc w:val="center"/>
        <w:rPr>
          <w:rFonts w:ascii="仿宋" w:hAnsi="仿宋" w:eastAsia="仿宋"/>
          <w:color w:val="auto"/>
          <w:highlight w:val="none"/>
        </w:rPr>
      </w:pPr>
      <w:r>
        <w:rPr>
          <w:rFonts w:hint="eastAsia" w:ascii="仿宋" w:hAnsi="仿宋" w:eastAsia="仿宋" w:cs="仿宋_GB2312"/>
          <w:b/>
          <w:color w:val="auto"/>
          <w:kern w:val="0"/>
          <w:sz w:val="32"/>
          <w:szCs w:val="32"/>
          <w:highlight w:val="none"/>
          <w:lang w:val="en-US" w:eastAsia="zh-CN"/>
        </w:rPr>
        <w:t>三</w:t>
      </w:r>
      <w:r>
        <w:rPr>
          <w:rFonts w:hint="eastAsia" w:ascii="仿宋" w:hAnsi="仿宋" w:eastAsia="仿宋" w:cs="仿宋_GB2312"/>
          <w:b/>
          <w:color w:val="auto"/>
          <w:kern w:val="0"/>
          <w:sz w:val="32"/>
          <w:szCs w:val="32"/>
          <w:highlight w:val="none"/>
        </w:rPr>
        <w:t>、评标标准相应的商务技术资料</w:t>
      </w:r>
    </w:p>
    <w:p w14:paraId="6481B370">
      <w:pPr>
        <w:snapToGrid w:val="0"/>
        <w:spacing w:line="360" w:lineRule="auto"/>
        <w:jc w:val="left"/>
        <w:rPr>
          <w:rFonts w:ascii="仿宋" w:hAnsi="仿宋" w:eastAsia="仿宋" w:cs="仿宋_GB2312"/>
          <w:b/>
          <w:color w:val="auto"/>
          <w:sz w:val="24"/>
          <w:highlight w:val="none"/>
        </w:rPr>
      </w:pPr>
    </w:p>
    <w:p w14:paraId="0BFB5067">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（按招标文件第六部分评标办法前附表中相应的商务技术评审因素提供资料）</w:t>
      </w:r>
    </w:p>
    <w:p w14:paraId="0E40DE4C">
      <w:pPr>
        <w:jc w:val="center"/>
        <w:rPr>
          <w:rFonts w:ascii="仿宋" w:hAnsi="仿宋" w:eastAsia="仿宋" w:cs="仿宋_GB2312"/>
          <w:b/>
          <w:color w:val="auto"/>
          <w:kern w:val="0"/>
          <w:sz w:val="32"/>
          <w:szCs w:val="32"/>
          <w:highlight w:val="none"/>
        </w:rPr>
      </w:pPr>
    </w:p>
    <w:p w14:paraId="0BF6166C">
      <w:pPr>
        <w:jc w:val="center"/>
        <w:rPr>
          <w:rFonts w:ascii="仿宋" w:hAnsi="仿宋" w:eastAsia="仿宋" w:cs="仿宋_GB2312"/>
          <w:b/>
          <w:color w:val="auto"/>
          <w:kern w:val="0"/>
          <w:sz w:val="32"/>
          <w:szCs w:val="32"/>
          <w:highlight w:val="none"/>
        </w:rPr>
      </w:pPr>
    </w:p>
    <w:p w14:paraId="03C55586">
      <w:pPr>
        <w:jc w:val="center"/>
        <w:rPr>
          <w:rFonts w:ascii="仿宋" w:hAnsi="仿宋" w:eastAsia="仿宋" w:cs="仿宋_GB2312"/>
          <w:b/>
          <w:color w:val="auto"/>
          <w:kern w:val="0"/>
          <w:sz w:val="32"/>
          <w:szCs w:val="32"/>
          <w:highlight w:val="none"/>
        </w:rPr>
      </w:pPr>
    </w:p>
    <w:p w14:paraId="35668AD7">
      <w:pPr>
        <w:jc w:val="center"/>
        <w:rPr>
          <w:rFonts w:ascii="仿宋" w:hAnsi="仿宋" w:eastAsia="仿宋" w:cs="仿宋_GB2312"/>
          <w:b/>
          <w:color w:val="auto"/>
          <w:kern w:val="0"/>
          <w:sz w:val="32"/>
          <w:szCs w:val="32"/>
          <w:highlight w:val="none"/>
        </w:rPr>
      </w:pPr>
    </w:p>
    <w:p w14:paraId="362D1E95">
      <w:pPr>
        <w:widowControl/>
        <w:adjustRightInd/>
        <w:jc w:val="left"/>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14:paraId="255ABAD9">
      <w:pPr>
        <w:jc w:val="left"/>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附件5</w:t>
      </w:r>
    </w:p>
    <w:p w14:paraId="740D5BC9">
      <w:pPr>
        <w:pStyle w:val="23"/>
        <w:ind w:firstLine="321"/>
        <w:jc w:val="center"/>
        <w:rPr>
          <w:rFonts w:hint="eastAsia"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lang w:val="en-US" w:eastAsia="zh-CN"/>
        </w:rPr>
        <w:t>四</w:t>
      </w:r>
      <w:r>
        <w:rPr>
          <w:rFonts w:hint="eastAsia" w:ascii="仿宋" w:hAnsi="仿宋" w:eastAsia="仿宋" w:cs="仿宋_GB2312"/>
          <w:b/>
          <w:color w:val="auto"/>
          <w:kern w:val="0"/>
          <w:sz w:val="32"/>
          <w:szCs w:val="32"/>
          <w:highlight w:val="none"/>
        </w:rPr>
        <w:t>、</w:t>
      </w:r>
      <w:r>
        <w:rPr>
          <w:rFonts w:hint="eastAsia" w:ascii="仿宋" w:hAnsi="仿宋" w:eastAsia="仿宋" w:cs="仿宋_GB2312"/>
          <w:b/>
          <w:bCs w:val="0"/>
          <w:color w:val="auto"/>
          <w:kern w:val="0"/>
          <w:sz w:val="32"/>
          <w:szCs w:val="32"/>
          <w:highlight w:val="none"/>
        </w:rPr>
        <w:t>商务技术条款、报价条款偏离表</w:t>
      </w:r>
    </w:p>
    <w:p w14:paraId="63ECEA23">
      <w:pPr>
        <w:spacing w:line="380" w:lineRule="exact"/>
        <w:ind w:firstLine="883" w:firstLineChars="4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项目名称：                                          项目编号：</w:t>
      </w:r>
    </w:p>
    <w:tbl>
      <w:tblPr>
        <w:tblStyle w:val="57"/>
        <w:tblW w:w="8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64"/>
        <w:gridCol w:w="2097"/>
        <w:gridCol w:w="1992"/>
        <w:gridCol w:w="1866"/>
      </w:tblGrid>
      <w:tr w14:paraId="1F378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43" w:type="dxa"/>
            <w:noWrap w:val="0"/>
            <w:vAlign w:val="top"/>
          </w:tcPr>
          <w:p w14:paraId="6C26342C">
            <w:pPr>
              <w:spacing w:line="380" w:lineRule="exact"/>
              <w:jc w:val="center"/>
              <w:rPr>
                <w:rFonts w:hint="eastAsia" w:ascii="仿宋" w:hAnsi="仿宋" w:eastAsia="仿宋" w:cs="仿宋"/>
                <w:color w:val="auto"/>
                <w:sz w:val="24"/>
                <w:szCs w:val="24"/>
                <w:highlight w:val="none"/>
              </w:rPr>
            </w:pPr>
          </w:p>
        </w:tc>
        <w:tc>
          <w:tcPr>
            <w:tcW w:w="1364" w:type="dxa"/>
            <w:noWrap w:val="0"/>
            <w:vAlign w:val="center"/>
          </w:tcPr>
          <w:p w14:paraId="3E3DD229">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097" w:type="dxa"/>
            <w:noWrap w:val="0"/>
            <w:vAlign w:val="center"/>
          </w:tcPr>
          <w:p w14:paraId="76AC9A08">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highlight w:val="none"/>
              </w:rPr>
              <w:t>招标文件章节及具体内容</w:t>
            </w:r>
          </w:p>
        </w:tc>
        <w:tc>
          <w:tcPr>
            <w:tcW w:w="1992" w:type="dxa"/>
            <w:noWrap w:val="0"/>
            <w:vAlign w:val="center"/>
          </w:tcPr>
          <w:p w14:paraId="383AF544">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highlight w:val="none"/>
              </w:rPr>
              <w:t>投标文件章节及具体内容</w:t>
            </w:r>
          </w:p>
        </w:tc>
        <w:tc>
          <w:tcPr>
            <w:tcW w:w="1866" w:type="dxa"/>
            <w:noWrap w:val="0"/>
            <w:vAlign w:val="center"/>
          </w:tcPr>
          <w:p w14:paraId="7891732B">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772C8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943" w:type="dxa"/>
            <w:vMerge w:val="restart"/>
            <w:noWrap w:val="0"/>
            <w:vAlign w:val="center"/>
          </w:tcPr>
          <w:p w14:paraId="5D2FCE8E">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w:t>
            </w:r>
          </w:p>
          <w:p w14:paraId="611C9963">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务</w:t>
            </w:r>
          </w:p>
          <w:p w14:paraId="445F8AE5">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w:t>
            </w:r>
          </w:p>
          <w:p w14:paraId="54C08FF8">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术</w:t>
            </w:r>
          </w:p>
          <w:p w14:paraId="111481AB">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w:t>
            </w:r>
          </w:p>
          <w:p w14:paraId="7EA4FEFC">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款</w:t>
            </w:r>
          </w:p>
        </w:tc>
        <w:tc>
          <w:tcPr>
            <w:tcW w:w="1364" w:type="dxa"/>
            <w:noWrap w:val="0"/>
            <w:vAlign w:val="center"/>
          </w:tcPr>
          <w:p w14:paraId="6027B5B8">
            <w:pPr>
              <w:spacing w:line="380" w:lineRule="exact"/>
              <w:jc w:val="center"/>
              <w:rPr>
                <w:rFonts w:hint="eastAsia" w:ascii="仿宋" w:hAnsi="仿宋" w:eastAsia="仿宋" w:cs="仿宋"/>
                <w:color w:val="auto"/>
                <w:sz w:val="24"/>
                <w:szCs w:val="24"/>
                <w:highlight w:val="none"/>
              </w:rPr>
            </w:pPr>
          </w:p>
        </w:tc>
        <w:tc>
          <w:tcPr>
            <w:tcW w:w="2097" w:type="dxa"/>
            <w:noWrap w:val="0"/>
            <w:vAlign w:val="center"/>
          </w:tcPr>
          <w:p w14:paraId="478E6F17">
            <w:pPr>
              <w:spacing w:line="380" w:lineRule="exact"/>
              <w:jc w:val="center"/>
              <w:rPr>
                <w:rFonts w:hint="eastAsia" w:ascii="仿宋" w:hAnsi="仿宋" w:eastAsia="仿宋" w:cs="仿宋"/>
                <w:color w:val="auto"/>
                <w:sz w:val="24"/>
                <w:szCs w:val="24"/>
                <w:highlight w:val="none"/>
              </w:rPr>
            </w:pPr>
          </w:p>
        </w:tc>
        <w:tc>
          <w:tcPr>
            <w:tcW w:w="1992" w:type="dxa"/>
            <w:noWrap w:val="0"/>
            <w:vAlign w:val="center"/>
          </w:tcPr>
          <w:p w14:paraId="4B612A68">
            <w:pPr>
              <w:spacing w:line="380" w:lineRule="exact"/>
              <w:jc w:val="center"/>
              <w:rPr>
                <w:rFonts w:hint="eastAsia" w:ascii="仿宋" w:hAnsi="仿宋" w:eastAsia="仿宋" w:cs="仿宋"/>
                <w:color w:val="auto"/>
                <w:sz w:val="24"/>
                <w:szCs w:val="24"/>
                <w:highlight w:val="none"/>
              </w:rPr>
            </w:pPr>
          </w:p>
        </w:tc>
        <w:tc>
          <w:tcPr>
            <w:tcW w:w="1866" w:type="dxa"/>
            <w:noWrap w:val="0"/>
            <w:vAlign w:val="center"/>
          </w:tcPr>
          <w:p w14:paraId="63DF70DB">
            <w:pPr>
              <w:spacing w:line="380" w:lineRule="exact"/>
              <w:jc w:val="center"/>
              <w:rPr>
                <w:rFonts w:hint="eastAsia" w:ascii="仿宋" w:hAnsi="仿宋" w:eastAsia="仿宋" w:cs="仿宋"/>
                <w:color w:val="auto"/>
                <w:sz w:val="24"/>
                <w:szCs w:val="24"/>
                <w:highlight w:val="none"/>
              </w:rPr>
            </w:pPr>
          </w:p>
        </w:tc>
      </w:tr>
      <w:tr w14:paraId="1D849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4DA6A83F">
            <w:pPr>
              <w:spacing w:line="380" w:lineRule="exact"/>
              <w:ind w:firstLine="240" w:firstLineChars="100"/>
              <w:rPr>
                <w:rFonts w:hint="eastAsia" w:ascii="仿宋" w:hAnsi="仿宋" w:eastAsia="仿宋" w:cs="仿宋"/>
                <w:color w:val="auto"/>
                <w:sz w:val="24"/>
                <w:szCs w:val="24"/>
                <w:highlight w:val="none"/>
              </w:rPr>
            </w:pPr>
          </w:p>
        </w:tc>
        <w:tc>
          <w:tcPr>
            <w:tcW w:w="1364" w:type="dxa"/>
            <w:noWrap w:val="0"/>
            <w:vAlign w:val="center"/>
          </w:tcPr>
          <w:p w14:paraId="638D1EC0">
            <w:pPr>
              <w:spacing w:line="380" w:lineRule="exact"/>
              <w:jc w:val="center"/>
              <w:rPr>
                <w:rFonts w:hint="eastAsia" w:ascii="仿宋" w:hAnsi="仿宋" w:eastAsia="仿宋" w:cs="仿宋"/>
                <w:color w:val="auto"/>
                <w:sz w:val="24"/>
                <w:szCs w:val="24"/>
                <w:highlight w:val="none"/>
              </w:rPr>
            </w:pPr>
          </w:p>
        </w:tc>
        <w:tc>
          <w:tcPr>
            <w:tcW w:w="2097" w:type="dxa"/>
            <w:noWrap w:val="0"/>
            <w:vAlign w:val="center"/>
          </w:tcPr>
          <w:p w14:paraId="763096CD">
            <w:pPr>
              <w:spacing w:line="380" w:lineRule="exact"/>
              <w:jc w:val="center"/>
              <w:rPr>
                <w:rFonts w:hint="eastAsia" w:ascii="仿宋" w:hAnsi="仿宋" w:eastAsia="仿宋" w:cs="仿宋"/>
                <w:color w:val="auto"/>
                <w:sz w:val="24"/>
                <w:szCs w:val="24"/>
                <w:highlight w:val="none"/>
              </w:rPr>
            </w:pPr>
          </w:p>
        </w:tc>
        <w:tc>
          <w:tcPr>
            <w:tcW w:w="1992" w:type="dxa"/>
            <w:noWrap w:val="0"/>
            <w:vAlign w:val="center"/>
          </w:tcPr>
          <w:p w14:paraId="472FE6E2">
            <w:pPr>
              <w:spacing w:line="380" w:lineRule="exact"/>
              <w:jc w:val="center"/>
              <w:rPr>
                <w:rFonts w:hint="eastAsia" w:ascii="仿宋" w:hAnsi="仿宋" w:eastAsia="仿宋" w:cs="仿宋"/>
                <w:color w:val="auto"/>
                <w:sz w:val="24"/>
                <w:szCs w:val="24"/>
                <w:highlight w:val="none"/>
              </w:rPr>
            </w:pPr>
          </w:p>
        </w:tc>
        <w:tc>
          <w:tcPr>
            <w:tcW w:w="1866" w:type="dxa"/>
            <w:noWrap w:val="0"/>
            <w:vAlign w:val="center"/>
          </w:tcPr>
          <w:p w14:paraId="3D2966DD">
            <w:pPr>
              <w:spacing w:line="380" w:lineRule="exact"/>
              <w:jc w:val="center"/>
              <w:rPr>
                <w:rFonts w:hint="eastAsia" w:ascii="仿宋" w:hAnsi="仿宋" w:eastAsia="仿宋" w:cs="仿宋"/>
                <w:color w:val="auto"/>
                <w:sz w:val="24"/>
                <w:szCs w:val="24"/>
                <w:highlight w:val="none"/>
              </w:rPr>
            </w:pPr>
          </w:p>
        </w:tc>
      </w:tr>
      <w:tr w14:paraId="4201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59CAE8E6">
            <w:pPr>
              <w:spacing w:line="380" w:lineRule="exact"/>
              <w:jc w:val="center"/>
              <w:rPr>
                <w:rFonts w:hint="eastAsia" w:ascii="仿宋" w:hAnsi="仿宋" w:eastAsia="仿宋" w:cs="仿宋"/>
                <w:color w:val="auto"/>
                <w:sz w:val="24"/>
                <w:szCs w:val="24"/>
                <w:highlight w:val="none"/>
              </w:rPr>
            </w:pPr>
          </w:p>
        </w:tc>
        <w:tc>
          <w:tcPr>
            <w:tcW w:w="1364" w:type="dxa"/>
            <w:noWrap w:val="0"/>
            <w:vAlign w:val="center"/>
          </w:tcPr>
          <w:p w14:paraId="75BAAB0F">
            <w:pPr>
              <w:spacing w:line="380" w:lineRule="exact"/>
              <w:jc w:val="center"/>
              <w:rPr>
                <w:rFonts w:hint="eastAsia" w:ascii="仿宋" w:hAnsi="仿宋" w:eastAsia="仿宋" w:cs="仿宋"/>
                <w:color w:val="auto"/>
                <w:sz w:val="24"/>
                <w:szCs w:val="24"/>
                <w:highlight w:val="none"/>
              </w:rPr>
            </w:pPr>
          </w:p>
        </w:tc>
        <w:tc>
          <w:tcPr>
            <w:tcW w:w="2097" w:type="dxa"/>
            <w:noWrap w:val="0"/>
            <w:vAlign w:val="center"/>
          </w:tcPr>
          <w:p w14:paraId="41101451">
            <w:pPr>
              <w:spacing w:line="380" w:lineRule="exact"/>
              <w:jc w:val="center"/>
              <w:rPr>
                <w:rFonts w:hint="eastAsia" w:ascii="仿宋" w:hAnsi="仿宋" w:eastAsia="仿宋" w:cs="仿宋"/>
                <w:color w:val="auto"/>
                <w:sz w:val="24"/>
                <w:szCs w:val="24"/>
                <w:highlight w:val="none"/>
              </w:rPr>
            </w:pPr>
          </w:p>
        </w:tc>
        <w:tc>
          <w:tcPr>
            <w:tcW w:w="1992" w:type="dxa"/>
            <w:noWrap w:val="0"/>
            <w:vAlign w:val="center"/>
          </w:tcPr>
          <w:p w14:paraId="2C4DF49D">
            <w:pPr>
              <w:spacing w:line="380" w:lineRule="exact"/>
              <w:jc w:val="center"/>
              <w:rPr>
                <w:rFonts w:hint="eastAsia" w:ascii="仿宋" w:hAnsi="仿宋" w:eastAsia="仿宋" w:cs="仿宋"/>
                <w:color w:val="auto"/>
                <w:sz w:val="24"/>
                <w:szCs w:val="24"/>
                <w:highlight w:val="none"/>
              </w:rPr>
            </w:pPr>
          </w:p>
        </w:tc>
        <w:tc>
          <w:tcPr>
            <w:tcW w:w="1866" w:type="dxa"/>
            <w:noWrap w:val="0"/>
            <w:vAlign w:val="center"/>
          </w:tcPr>
          <w:p w14:paraId="6C31C093">
            <w:pPr>
              <w:spacing w:line="380" w:lineRule="exact"/>
              <w:jc w:val="center"/>
              <w:rPr>
                <w:rFonts w:hint="eastAsia" w:ascii="仿宋" w:hAnsi="仿宋" w:eastAsia="仿宋" w:cs="仿宋"/>
                <w:color w:val="auto"/>
                <w:sz w:val="24"/>
                <w:szCs w:val="24"/>
                <w:highlight w:val="none"/>
              </w:rPr>
            </w:pPr>
          </w:p>
        </w:tc>
      </w:tr>
      <w:tr w14:paraId="60E51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4CF85156">
            <w:pPr>
              <w:spacing w:line="380" w:lineRule="exact"/>
              <w:jc w:val="center"/>
              <w:rPr>
                <w:rFonts w:hint="eastAsia" w:ascii="仿宋" w:hAnsi="仿宋" w:eastAsia="仿宋" w:cs="仿宋"/>
                <w:color w:val="auto"/>
                <w:sz w:val="24"/>
                <w:szCs w:val="24"/>
                <w:highlight w:val="none"/>
              </w:rPr>
            </w:pPr>
          </w:p>
        </w:tc>
        <w:tc>
          <w:tcPr>
            <w:tcW w:w="1364" w:type="dxa"/>
            <w:noWrap w:val="0"/>
            <w:vAlign w:val="center"/>
          </w:tcPr>
          <w:p w14:paraId="3AF41A59">
            <w:pPr>
              <w:spacing w:line="380" w:lineRule="exact"/>
              <w:jc w:val="center"/>
              <w:rPr>
                <w:rFonts w:hint="eastAsia" w:ascii="仿宋" w:hAnsi="仿宋" w:eastAsia="仿宋" w:cs="仿宋"/>
                <w:color w:val="auto"/>
                <w:sz w:val="24"/>
                <w:szCs w:val="24"/>
                <w:highlight w:val="none"/>
              </w:rPr>
            </w:pPr>
          </w:p>
        </w:tc>
        <w:tc>
          <w:tcPr>
            <w:tcW w:w="2097" w:type="dxa"/>
            <w:noWrap w:val="0"/>
            <w:vAlign w:val="center"/>
          </w:tcPr>
          <w:p w14:paraId="5ED06188">
            <w:pPr>
              <w:spacing w:line="380" w:lineRule="exact"/>
              <w:jc w:val="center"/>
              <w:rPr>
                <w:rFonts w:hint="eastAsia" w:ascii="仿宋" w:hAnsi="仿宋" w:eastAsia="仿宋" w:cs="仿宋"/>
                <w:color w:val="auto"/>
                <w:sz w:val="24"/>
                <w:szCs w:val="24"/>
                <w:highlight w:val="none"/>
              </w:rPr>
            </w:pPr>
          </w:p>
        </w:tc>
        <w:tc>
          <w:tcPr>
            <w:tcW w:w="1992" w:type="dxa"/>
            <w:noWrap w:val="0"/>
            <w:vAlign w:val="center"/>
          </w:tcPr>
          <w:p w14:paraId="5F677204">
            <w:pPr>
              <w:spacing w:line="380" w:lineRule="exact"/>
              <w:jc w:val="center"/>
              <w:rPr>
                <w:rFonts w:hint="eastAsia" w:ascii="仿宋" w:hAnsi="仿宋" w:eastAsia="仿宋" w:cs="仿宋"/>
                <w:color w:val="auto"/>
                <w:sz w:val="24"/>
                <w:szCs w:val="24"/>
                <w:highlight w:val="none"/>
              </w:rPr>
            </w:pPr>
          </w:p>
        </w:tc>
        <w:tc>
          <w:tcPr>
            <w:tcW w:w="1866" w:type="dxa"/>
            <w:noWrap w:val="0"/>
            <w:vAlign w:val="center"/>
          </w:tcPr>
          <w:p w14:paraId="501E27AA">
            <w:pPr>
              <w:spacing w:line="380" w:lineRule="exact"/>
              <w:jc w:val="center"/>
              <w:rPr>
                <w:rFonts w:hint="eastAsia" w:ascii="仿宋" w:hAnsi="仿宋" w:eastAsia="仿宋" w:cs="仿宋"/>
                <w:color w:val="auto"/>
                <w:sz w:val="24"/>
                <w:szCs w:val="24"/>
                <w:highlight w:val="none"/>
              </w:rPr>
            </w:pPr>
          </w:p>
        </w:tc>
      </w:tr>
      <w:tr w14:paraId="69F72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6539AAB2">
            <w:pPr>
              <w:spacing w:line="380" w:lineRule="exact"/>
              <w:jc w:val="center"/>
              <w:rPr>
                <w:rFonts w:hint="eastAsia" w:ascii="仿宋" w:hAnsi="仿宋" w:eastAsia="仿宋" w:cs="仿宋"/>
                <w:color w:val="auto"/>
                <w:sz w:val="24"/>
                <w:szCs w:val="24"/>
                <w:highlight w:val="none"/>
              </w:rPr>
            </w:pPr>
          </w:p>
        </w:tc>
        <w:tc>
          <w:tcPr>
            <w:tcW w:w="1364" w:type="dxa"/>
            <w:noWrap w:val="0"/>
            <w:vAlign w:val="center"/>
          </w:tcPr>
          <w:p w14:paraId="679B6D0F">
            <w:pPr>
              <w:spacing w:line="380" w:lineRule="exact"/>
              <w:jc w:val="center"/>
              <w:rPr>
                <w:rFonts w:hint="eastAsia" w:ascii="仿宋" w:hAnsi="仿宋" w:eastAsia="仿宋" w:cs="仿宋"/>
                <w:color w:val="auto"/>
                <w:sz w:val="24"/>
                <w:szCs w:val="24"/>
                <w:highlight w:val="none"/>
              </w:rPr>
            </w:pPr>
          </w:p>
        </w:tc>
        <w:tc>
          <w:tcPr>
            <w:tcW w:w="2097" w:type="dxa"/>
            <w:noWrap w:val="0"/>
            <w:vAlign w:val="center"/>
          </w:tcPr>
          <w:p w14:paraId="55B6795F">
            <w:pPr>
              <w:spacing w:line="380" w:lineRule="exact"/>
              <w:jc w:val="center"/>
              <w:rPr>
                <w:rFonts w:hint="eastAsia" w:ascii="仿宋" w:hAnsi="仿宋" w:eastAsia="仿宋" w:cs="仿宋"/>
                <w:color w:val="auto"/>
                <w:sz w:val="24"/>
                <w:szCs w:val="24"/>
                <w:highlight w:val="none"/>
              </w:rPr>
            </w:pPr>
          </w:p>
        </w:tc>
        <w:tc>
          <w:tcPr>
            <w:tcW w:w="1992" w:type="dxa"/>
            <w:noWrap w:val="0"/>
            <w:vAlign w:val="center"/>
          </w:tcPr>
          <w:p w14:paraId="5EEA99BA">
            <w:pPr>
              <w:spacing w:line="380" w:lineRule="exact"/>
              <w:jc w:val="center"/>
              <w:rPr>
                <w:rFonts w:hint="eastAsia" w:ascii="仿宋" w:hAnsi="仿宋" w:eastAsia="仿宋" w:cs="仿宋"/>
                <w:color w:val="auto"/>
                <w:sz w:val="24"/>
                <w:szCs w:val="24"/>
                <w:highlight w:val="none"/>
              </w:rPr>
            </w:pPr>
          </w:p>
        </w:tc>
        <w:tc>
          <w:tcPr>
            <w:tcW w:w="1866" w:type="dxa"/>
            <w:noWrap w:val="0"/>
            <w:vAlign w:val="center"/>
          </w:tcPr>
          <w:p w14:paraId="1523F520">
            <w:pPr>
              <w:spacing w:line="380" w:lineRule="exact"/>
              <w:jc w:val="center"/>
              <w:rPr>
                <w:rFonts w:hint="eastAsia" w:ascii="仿宋" w:hAnsi="仿宋" w:eastAsia="仿宋" w:cs="仿宋"/>
                <w:color w:val="auto"/>
                <w:sz w:val="24"/>
                <w:szCs w:val="24"/>
                <w:highlight w:val="none"/>
              </w:rPr>
            </w:pPr>
          </w:p>
        </w:tc>
      </w:tr>
      <w:tr w14:paraId="184BB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43" w:type="dxa"/>
            <w:vMerge w:val="restart"/>
            <w:noWrap w:val="0"/>
            <w:vAlign w:val="center"/>
          </w:tcPr>
          <w:p w14:paraId="74A3BCFC">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w:t>
            </w:r>
          </w:p>
          <w:p w14:paraId="05B2FB35">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w:t>
            </w:r>
          </w:p>
          <w:p w14:paraId="6EF7EF44">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w:t>
            </w:r>
          </w:p>
          <w:p w14:paraId="50A225A4">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款</w:t>
            </w:r>
          </w:p>
        </w:tc>
        <w:tc>
          <w:tcPr>
            <w:tcW w:w="1364" w:type="dxa"/>
            <w:noWrap w:val="0"/>
            <w:vAlign w:val="center"/>
          </w:tcPr>
          <w:p w14:paraId="6E56CA29">
            <w:pPr>
              <w:spacing w:line="380" w:lineRule="exact"/>
              <w:jc w:val="center"/>
              <w:rPr>
                <w:rFonts w:hint="eastAsia" w:ascii="仿宋" w:hAnsi="仿宋" w:eastAsia="仿宋" w:cs="仿宋"/>
                <w:color w:val="auto"/>
                <w:sz w:val="24"/>
                <w:szCs w:val="24"/>
                <w:highlight w:val="none"/>
              </w:rPr>
            </w:pPr>
          </w:p>
        </w:tc>
        <w:tc>
          <w:tcPr>
            <w:tcW w:w="2097" w:type="dxa"/>
            <w:noWrap w:val="0"/>
            <w:vAlign w:val="center"/>
          </w:tcPr>
          <w:p w14:paraId="3D6F0969">
            <w:pPr>
              <w:spacing w:line="380" w:lineRule="exact"/>
              <w:jc w:val="center"/>
              <w:rPr>
                <w:rFonts w:hint="eastAsia" w:ascii="仿宋" w:hAnsi="仿宋" w:eastAsia="仿宋" w:cs="仿宋"/>
                <w:color w:val="auto"/>
                <w:sz w:val="24"/>
                <w:szCs w:val="24"/>
                <w:highlight w:val="none"/>
              </w:rPr>
            </w:pPr>
          </w:p>
        </w:tc>
        <w:tc>
          <w:tcPr>
            <w:tcW w:w="1992" w:type="dxa"/>
            <w:noWrap w:val="0"/>
            <w:vAlign w:val="center"/>
          </w:tcPr>
          <w:p w14:paraId="77C74340">
            <w:pPr>
              <w:spacing w:line="380" w:lineRule="exact"/>
              <w:jc w:val="center"/>
              <w:rPr>
                <w:rFonts w:hint="eastAsia" w:ascii="仿宋" w:hAnsi="仿宋" w:eastAsia="仿宋" w:cs="仿宋"/>
                <w:color w:val="auto"/>
                <w:sz w:val="24"/>
                <w:szCs w:val="24"/>
                <w:highlight w:val="none"/>
              </w:rPr>
            </w:pPr>
          </w:p>
        </w:tc>
        <w:tc>
          <w:tcPr>
            <w:tcW w:w="1866" w:type="dxa"/>
            <w:noWrap w:val="0"/>
            <w:vAlign w:val="center"/>
          </w:tcPr>
          <w:p w14:paraId="03C04183">
            <w:pPr>
              <w:spacing w:line="380" w:lineRule="exact"/>
              <w:jc w:val="center"/>
              <w:rPr>
                <w:rFonts w:hint="eastAsia" w:ascii="仿宋" w:hAnsi="仿宋" w:eastAsia="仿宋" w:cs="仿宋"/>
                <w:color w:val="auto"/>
                <w:sz w:val="24"/>
                <w:szCs w:val="24"/>
                <w:highlight w:val="none"/>
              </w:rPr>
            </w:pPr>
          </w:p>
        </w:tc>
      </w:tr>
      <w:tr w14:paraId="31875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44EC9E38">
            <w:pPr>
              <w:spacing w:line="380" w:lineRule="exact"/>
              <w:jc w:val="center"/>
              <w:rPr>
                <w:rFonts w:hint="eastAsia" w:ascii="仿宋" w:hAnsi="仿宋" w:eastAsia="仿宋" w:cs="仿宋"/>
                <w:color w:val="auto"/>
                <w:sz w:val="24"/>
                <w:szCs w:val="24"/>
                <w:highlight w:val="none"/>
              </w:rPr>
            </w:pPr>
          </w:p>
        </w:tc>
        <w:tc>
          <w:tcPr>
            <w:tcW w:w="1364" w:type="dxa"/>
            <w:noWrap w:val="0"/>
            <w:vAlign w:val="center"/>
          </w:tcPr>
          <w:p w14:paraId="00FCF48C">
            <w:pPr>
              <w:spacing w:line="380" w:lineRule="exact"/>
              <w:jc w:val="center"/>
              <w:rPr>
                <w:rFonts w:hint="eastAsia" w:ascii="仿宋" w:hAnsi="仿宋" w:eastAsia="仿宋" w:cs="仿宋"/>
                <w:color w:val="auto"/>
                <w:sz w:val="24"/>
                <w:szCs w:val="24"/>
                <w:highlight w:val="none"/>
              </w:rPr>
            </w:pPr>
          </w:p>
        </w:tc>
        <w:tc>
          <w:tcPr>
            <w:tcW w:w="2097" w:type="dxa"/>
            <w:noWrap w:val="0"/>
            <w:vAlign w:val="center"/>
          </w:tcPr>
          <w:p w14:paraId="4D64F252">
            <w:pPr>
              <w:spacing w:line="380" w:lineRule="exact"/>
              <w:jc w:val="center"/>
              <w:rPr>
                <w:rFonts w:hint="eastAsia" w:ascii="仿宋" w:hAnsi="仿宋" w:eastAsia="仿宋" w:cs="仿宋"/>
                <w:color w:val="auto"/>
                <w:sz w:val="24"/>
                <w:szCs w:val="24"/>
                <w:highlight w:val="none"/>
              </w:rPr>
            </w:pPr>
          </w:p>
        </w:tc>
        <w:tc>
          <w:tcPr>
            <w:tcW w:w="1992" w:type="dxa"/>
            <w:noWrap w:val="0"/>
            <w:vAlign w:val="center"/>
          </w:tcPr>
          <w:p w14:paraId="2274FC8D">
            <w:pPr>
              <w:spacing w:line="380" w:lineRule="exact"/>
              <w:jc w:val="center"/>
              <w:rPr>
                <w:rFonts w:hint="eastAsia" w:ascii="仿宋" w:hAnsi="仿宋" w:eastAsia="仿宋" w:cs="仿宋"/>
                <w:color w:val="auto"/>
                <w:sz w:val="24"/>
                <w:szCs w:val="24"/>
                <w:highlight w:val="none"/>
              </w:rPr>
            </w:pPr>
          </w:p>
        </w:tc>
        <w:tc>
          <w:tcPr>
            <w:tcW w:w="1866" w:type="dxa"/>
            <w:noWrap w:val="0"/>
            <w:vAlign w:val="center"/>
          </w:tcPr>
          <w:p w14:paraId="4F45ABBD">
            <w:pPr>
              <w:spacing w:line="380" w:lineRule="exact"/>
              <w:jc w:val="center"/>
              <w:rPr>
                <w:rFonts w:hint="eastAsia" w:ascii="仿宋" w:hAnsi="仿宋" w:eastAsia="仿宋" w:cs="仿宋"/>
                <w:color w:val="auto"/>
                <w:sz w:val="24"/>
                <w:szCs w:val="24"/>
                <w:highlight w:val="none"/>
              </w:rPr>
            </w:pPr>
          </w:p>
        </w:tc>
      </w:tr>
      <w:tr w14:paraId="2B3B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6E06072A">
            <w:pPr>
              <w:spacing w:line="380" w:lineRule="exact"/>
              <w:jc w:val="center"/>
              <w:rPr>
                <w:rFonts w:hint="eastAsia" w:ascii="仿宋" w:hAnsi="仿宋" w:eastAsia="仿宋" w:cs="仿宋"/>
                <w:color w:val="auto"/>
                <w:sz w:val="24"/>
                <w:szCs w:val="24"/>
                <w:highlight w:val="none"/>
              </w:rPr>
            </w:pPr>
          </w:p>
        </w:tc>
        <w:tc>
          <w:tcPr>
            <w:tcW w:w="1364" w:type="dxa"/>
            <w:noWrap w:val="0"/>
            <w:vAlign w:val="center"/>
          </w:tcPr>
          <w:p w14:paraId="7F343DF0">
            <w:pPr>
              <w:spacing w:line="380" w:lineRule="exact"/>
              <w:jc w:val="center"/>
              <w:rPr>
                <w:rFonts w:hint="eastAsia" w:ascii="仿宋" w:hAnsi="仿宋" w:eastAsia="仿宋" w:cs="仿宋"/>
                <w:color w:val="auto"/>
                <w:sz w:val="24"/>
                <w:szCs w:val="24"/>
                <w:highlight w:val="none"/>
              </w:rPr>
            </w:pPr>
          </w:p>
        </w:tc>
        <w:tc>
          <w:tcPr>
            <w:tcW w:w="2097" w:type="dxa"/>
            <w:noWrap w:val="0"/>
            <w:vAlign w:val="center"/>
          </w:tcPr>
          <w:p w14:paraId="510C90D8">
            <w:pPr>
              <w:spacing w:line="380" w:lineRule="exact"/>
              <w:jc w:val="center"/>
              <w:rPr>
                <w:rFonts w:hint="eastAsia" w:ascii="仿宋" w:hAnsi="仿宋" w:eastAsia="仿宋" w:cs="仿宋"/>
                <w:color w:val="auto"/>
                <w:sz w:val="24"/>
                <w:szCs w:val="24"/>
                <w:highlight w:val="none"/>
              </w:rPr>
            </w:pPr>
          </w:p>
        </w:tc>
        <w:tc>
          <w:tcPr>
            <w:tcW w:w="1992" w:type="dxa"/>
            <w:noWrap w:val="0"/>
            <w:vAlign w:val="center"/>
          </w:tcPr>
          <w:p w14:paraId="22DE502C">
            <w:pPr>
              <w:spacing w:line="380" w:lineRule="exact"/>
              <w:jc w:val="center"/>
              <w:rPr>
                <w:rFonts w:hint="eastAsia" w:ascii="仿宋" w:hAnsi="仿宋" w:eastAsia="仿宋" w:cs="仿宋"/>
                <w:color w:val="auto"/>
                <w:sz w:val="24"/>
                <w:szCs w:val="24"/>
                <w:highlight w:val="none"/>
              </w:rPr>
            </w:pPr>
          </w:p>
        </w:tc>
        <w:tc>
          <w:tcPr>
            <w:tcW w:w="1866" w:type="dxa"/>
            <w:noWrap w:val="0"/>
            <w:vAlign w:val="center"/>
          </w:tcPr>
          <w:p w14:paraId="695F9BD7">
            <w:pPr>
              <w:spacing w:line="380" w:lineRule="exact"/>
              <w:jc w:val="center"/>
              <w:rPr>
                <w:rFonts w:hint="eastAsia" w:ascii="仿宋" w:hAnsi="仿宋" w:eastAsia="仿宋" w:cs="仿宋"/>
                <w:color w:val="auto"/>
                <w:sz w:val="24"/>
                <w:szCs w:val="24"/>
                <w:highlight w:val="none"/>
              </w:rPr>
            </w:pPr>
          </w:p>
        </w:tc>
      </w:tr>
      <w:tr w14:paraId="27F7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5DBAC1AB">
            <w:pPr>
              <w:spacing w:line="380" w:lineRule="exact"/>
              <w:jc w:val="center"/>
              <w:rPr>
                <w:rFonts w:hint="eastAsia" w:ascii="仿宋" w:hAnsi="仿宋" w:eastAsia="仿宋" w:cs="仿宋"/>
                <w:color w:val="auto"/>
                <w:sz w:val="24"/>
                <w:szCs w:val="24"/>
                <w:highlight w:val="none"/>
              </w:rPr>
            </w:pPr>
          </w:p>
        </w:tc>
        <w:tc>
          <w:tcPr>
            <w:tcW w:w="1364" w:type="dxa"/>
            <w:noWrap w:val="0"/>
            <w:vAlign w:val="center"/>
          </w:tcPr>
          <w:p w14:paraId="6F4DC98E">
            <w:pPr>
              <w:spacing w:line="380" w:lineRule="exact"/>
              <w:jc w:val="center"/>
              <w:rPr>
                <w:rFonts w:hint="eastAsia" w:ascii="仿宋" w:hAnsi="仿宋" w:eastAsia="仿宋" w:cs="仿宋"/>
                <w:color w:val="auto"/>
                <w:sz w:val="24"/>
                <w:szCs w:val="24"/>
                <w:highlight w:val="none"/>
              </w:rPr>
            </w:pPr>
          </w:p>
        </w:tc>
        <w:tc>
          <w:tcPr>
            <w:tcW w:w="2097" w:type="dxa"/>
            <w:noWrap w:val="0"/>
            <w:vAlign w:val="center"/>
          </w:tcPr>
          <w:p w14:paraId="1C4B7706">
            <w:pPr>
              <w:spacing w:line="380" w:lineRule="exact"/>
              <w:jc w:val="center"/>
              <w:rPr>
                <w:rFonts w:hint="eastAsia" w:ascii="仿宋" w:hAnsi="仿宋" w:eastAsia="仿宋" w:cs="仿宋"/>
                <w:color w:val="auto"/>
                <w:sz w:val="24"/>
                <w:szCs w:val="24"/>
                <w:highlight w:val="none"/>
              </w:rPr>
            </w:pPr>
          </w:p>
        </w:tc>
        <w:tc>
          <w:tcPr>
            <w:tcW w:w="1992" w:type="dxa"/>
            <w:noWrap w:val="0"/>
            <w:vAlign w:val="center"/>
          </w:tcPr>
          <w:p w14:paraId="55C42336">
            <w:pPr>
              <w:spacing w:line="380" w:lineRule="exact"/>
              <w:jc w:val="center"/>
              <w:rPr>
                <w:rFonts w:hint="eastAsia" w:ascii="仿宋" w:hAnsi="仿宋" w:eastAsia="仿宋" w:cs="仿宋"/>
                <w:color w:val="auto"/>
                <w:sz w:val="24"/>
                <w:szCs w:val="24"/>
                <w:highlight w:val="none"/>
              </w:rPr>
            </w:pPr>
          </w:p>
        </w:tc>
        <w:tc>
          <w:tcPr>
            <w:tcW w:w="1866" w:type="dxa"/>
            <w:noWrap w:val="0"/>
            <w:vAlign w:val="center"/>
          </w:tcPr>
          <w:p w14:paraId="0A3B11F7">
            <w:pPr>
              <w:spacing w:line="380" w:lineRule="exact"/>
              <w:jc w:val="center"/>
              <w:rPr>
                <w:rFonts w:hint="eastAsia" w:ascii="仿宋" w:hAnsi="仿宋" w:eastAsia="仿宋" w:cs="仿宋"/>
                <w:color w:val="auto"/>
                <w:sz w:val="24"/>
                <w:szCs w:val="24"/>
                <w:highlight w:val="none"/>
              </w:rPr>
            </w:pPr>
          </w:p>
        </w:tc>
      </w:tr>
      <w:tr w14:paraId="27CBD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689FECD5">
            <w:pPr>
              <w:spacing w:line="380" w:lineRule="exact"/>
              <w:jc w:val="center"/>
              <w:rPr>
                <w:rFonts w:hint="eastAsia" w:ascii="仿宋" w:hAnsi="仿宋" w:eastAsia="仿宋" w:cs="仿宋"/>
                <w:color w:val="auto"/>
                <w:sz w:val="24"/>
                <w:szCs w:val="24"/>
                <w:highlight w:val="none"/>
              </w:rPr>
            </w:pPr>
          </w:p>
        </w:tc>
        <w:tc>
          <w:tcPr>
            <w:tcW w:w="1364" w:type="dxa"/>
            <w:noWrap w:val="0"/>
            <w:vAlign w:val="center"/>
          </w:tcPr>
          <w:p w14:paraId="08F1FE48">
            <w:pPr>
              <w:spacing w:line="380" w:lineRule="exact"/>
              <w:jc w:val="center"/>
              <w:rPr>
                <w:rFonts w:hint="eastAsia" w:ascii="仿宋" w:hAnsi="仿宋" w:eastAsia="仿宋" w:cs="仿宋"/>
                <w:color w:val="auto"/>
                <w:sz w:val="24"/>
                <w:szCs w:val="24"/>
                <w:highlight w:val="none"/>
              </w:rPr>
            </w:pPr>
          </w:p>
        </w:tc>
        <w:tc>
          <w:tcPr>
            <w:tcW w:w="2097" w:type="dxa"/>
            <w:noWrap w:val="0"/>
            <w:vAlign w:val="center"/>
          </w:tcPr>
          <w:p w14:paraId="0E9405E3">
            <w:pPr>
              <w:spacing w:line="380" w:lineRule="exact"/>
              <w:jc w:val="center"/>
              <w:rPr>
                <w:rFonts w:hint="eastAsia" w:ascii="仿宋" w:hAnsi="仿宋" w:eastAsia="仿宋" w:cs="仿宋"/>
                <w:color w:val="auto"/>
                <w:sz w:val="24"/>
                <w:szCs w:val="24"/>
                <w:highlight w:val="none"/>
              </w:rPr>
            </w:pPr>
          </w:p>
        </w:tc>
        <w:tc>
          <w:tcPr>
            <w:tcW w:w="1992" w:type="dxa"/>
            <w:noWrap w:val="0"/>
            <w:vAlign w:val="center"/>
          </w:tcPr>
          <w:p w14:paraId="36767724">
            <w:pPr>
              <w:spacing w:line="380" w:lineRule="exact"/>
              <w:jc w:val="center"/>
              <w:rPr>
                <w:rFonts w:hint="eastAsia" w:ascii="仿宋" w:hAnsi="仿宋" w:eastAsia="仿宋" w:cs="仿宋"/>
                <w:color w:val="auto"/>
                <w:sz w:val="24"/>
                <w:szCs w:val="24"/>
                <w:highlight w:val="none"/>
              </w:rPr>
            </w:pPr>
          </w:p>
        </w:tc>
        <w:tc>
          <w:tcPr>
            <w:tcW w:w="1866" w:type="dxa"/>
            <w:noWrap w:val="0"/>
            <w:vAlign w:val="center"/>
          </w:tcPr>
          <w:p w14:paraId="59A46865">
            <w:pPr>
              <w:spacing w:line="380" w:lineRule="exact"/>
              <w:jc w:val="center"/>
              <w:rPr>
                <w:rFonts w:hint="eastAsia" w:ascii="仿宋" w:hAnsi="仿宋" w:eastAsia="仿宋" w:cs="仿宋"/>
                <w:color w:val="auto"/>
                <w:sz w:val="24"/>
                <w:szCs w:val="24"/>
                <w:highlight w:val="none"/>
              </w:rPr>
            </w:pPr>
          </w:p>
        </w:tc>
      </w:tr>
    </w:tbl>
    <w:p w14:paraId="7AD039B6">
      <w:pPr>
        <w:spacing w:line="38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注：不填写此表视为完全响应招标文件内容。</w:t>
      </w:r>
    </w:p>
    <w:p w14:paraId="388B5BD9">
      <w:pPr>
        <w:spacing w:line="380" w:lineRule="exact"/>
        <w:ind w:firstLine="4819" w:firstLineChars="2000"/>
        <w:rPr>
          <w:rFonts w:hint="eastAsia" w:ascii="仿宋" w:hAnsi="仿宋" w:eastAsia="仿宋" w:cs="仿宋"/>
          <w:b/>
          <w:color w:val="auto"/>
          <w:sz w:val="24"/>
          <w:szCs w:val="24"/>
          <w:highlight w:val="none"/>
        </w:rPr>
      </w:pPr>
    </w:p>
    <w:p w14:paraId="4B66BE88">
      <w:pPr>
        <w:spacing w:line="400" w:lineRule="exact"/>
        <w:ind w:firstLine="4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lang w:val="en-US" w:eastAsia="zh-CN"/>
        </w:rPr>
        <w:t>盖章</w:t>
      </w:r>
      <w:r>
        <w:rPr>
          <w:rFonts w:hint="eastAsia" w:ascii="仿宋" w:hAnsi="仿宋" w:eastAsia="仿宋" w:cs="仿宋"/>
          <w:color w:val="auto"/>
          <w:sz w:val="24"/>
          <w:szCs w:val="24"/>
          <w:highlight w:val="none"/>
        </w:rPr>
        <w:t>）：</w:t>
      </w:r>
    </w:p>
    <w:p w14:paraId="3BE96C91">
      <w:pPr>
        <w:spacing w:line="400" w:lineRule="exact"/>
        <w:ind w:firstLine="4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法定代表人或授权代表（签字或盖章）：</w:t>
      </w:r>
    </w:p>
    <w:p w14:paraId="4EB8A605">
      <w:pPr>
        <w:spacing w:line="400" w:lineRule="exact"/>
        <w:ind w:firstLine="4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p w14:paraId="48AF42A3">
      <w:pPr>
        <w:widowControl/>
        <w:adjustRightInd/>
        <w:jc w:val="left"/>
        <w:rPr>
          <w:rFonts w:ascii="仿宋_GB2312" w:hAnsi="仿宋" w:eastAsia="仿宋_GB2312" w:cs="仿宋_GB2312"/>
          <w:b/>
          <w:color w:val="auto"/>
          <w:kern w:val="0"/>
          <w:sz w:val="36"/>
          <w:szCs w:val="36"/>
          <w:highlight w:val="none"/>
        </w:rPr>
        <w:sectPr>
          <w:pgSz w:w="11907" w:h="16840"/>
          <w:pgMar w:top="1474" w:right="1814" w:bottom="1474" w:left="1814" w:header="851" w:footer="851" w:gutter="0"/>
          <w:cols w:space="720" w:num="1"/>
        </w:sectPr>
      </w:pPr>
    </w:p>
    <w:p w14:paraId="5B3D5160">
      <w:pPr>
        <w:pStyle w:val="32"/>
        <w:snapToGrid w:val="0"/>
        <w:spacing w:line="440" w:lineRule="atLeast"/>
        <w:jc w:val="left"/>
        <w:rPr>
          <w:rFonts w:ascii="Times New Roman" w:hAnsi="Times New Roman"/>
          <w:b/>
          <w:color w:val="auto"/>
          <w:sz w:val="22"/>
          <w:szCs w:val="22"/>
          <w:highlight w:val="none"/>
        </w:rPr>
      </w:pPr>
      <w:bookmarkStart w:id="65" w:name="_Toc515307949"/>
      <w:bookmarkStart w:id="66" w:name="_Toc487734341"/>
      <w:r>
        <w:rPr>
          <w:rFonts w:hint="eastAsia" w:ascii="仿宋" w:hAnsi="仿宋" w:eastAsia="仿宋" w:cs="仿宋_GB2312"/>
          <w:b/>
          <w:color w:val="auto"/>
          <w:kern w:val="0"/>
          <w:sz w:val="28"/>
          <w:szCs w:val="28"/>
          <w:highlight w:val="none"/>
          <w:lang w:val="en-US" w:eastAsia="zh-CN" w:bidi="ar-SA"/>
        </w:rPr>
        <w:t xml:space="preserve">附件6 </w:t>
      </w:r>
      <w:r>
        <w:rPr>
          <w:rFonts w:ascii="Times New Roman" w:hAnsi="Times New Roman"/>
          <w:b/>
          <w:color w:val="auto"/>
          <w:sz w:val="22"/>
          <w:szCs w:val="22"/>
          <w:highlight w:val="none"/>
        </w:rPr>
        <w:t xml:space="preserve"> </w:t>
      </w:r>
      <w:bookmarkEnd w:id="65"/>
      <w:bookmarkEnd w:id="66"/>
    </w:p>
    <w:p w14:paraId="10CC7840">
      <w:pPr>
        <w:pStyle w:val="32"/>
        <w:spacing w:line="400" w:lineRule="atLeast"/>
        <w:jc w:val="center"/>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服务人员配备表</w:t>
      </w:r>
    </w:p>
    <w:p w14:paraId="540278F4">
      <w:pPr>
        <w:pStyle w:val="32"/>
        <w:spacing w:line="40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（1）项目主要负责人简历表</w:t>
      </w:r>
    </w:p>
    <w:tbl>
      <w:tblPr>
        <w:tblStyle w:val="57"/>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587"/>
        <w:gridCol w:w="1584"/>
        <w:gridCol w:w="1692"/>
        <w:gridCol w:w="1514"/>
        <w:gridCol w:w="1903"/>
      </w:tblGrid>
      <w:tr w14:paraId="5C8AC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1260" w:type="dxa"/>
            <w:tcBorders>
              <w:top w:val="single" w:color="auto" w:sz="12" w:space="0"/>
              <w:left w:val="single" w:color="auto" w:sz="12" w:space="0"/>
              <w:bottom w:val="single" w:color="auto" w:sz="6" w:space="0"/>
              <w:right w:val="single" w:color="auto" w:sz="6" w:space="0"/>
            </w:tcBorders>
            <w:noWrap w:val="0"/>
            <w:vAlign w:val="center"/>
          </w:tcPr>
          <w:p w14:paraId="38FAA217">
            <w:pPr>
              <w:pStyle w:val="32"/>
              <w:spacing w:line="400" w:lineRule="atLeast"/>
              <w:ind w:left="663" w:hanging="723" w:hangingChars="30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姓 名</w:t>
            </w:r>
          </w:p>
        </w:tc>
        <w:tc>
          <w:tcPr>
            <w:tcW w:w="1587" w:type="dxa"/>
            <w:tcBorders>
              <w:top w:val="single" w:color="auto" w:sz="12" w:space="0"/>
              <w:left w:val="single" w:color="auto" w:sz="6" w:space="0"/>
              <w:bottom w:val="single" w:color="auto" w:sz="6" w:space="0"/>
              <w:right w:val="single" w:color="auto" w:sz="6" w:space="0"/>
            </w:tcBorders>
            <w:noWrap w:val="0"/>
            <w:vAlign w:val="center"/>
          </w:tcPr>
          <w:p w14:paraId="2AB339F7">
            <w:pPr>
              <w:pStyle w:val="32"/>
              <w:spacing w:line="400" w:lineRule="atLeast"/>
              <w:ind w:left="663" w:hanging="723" w:hangingChars="300"/>
              <w:jc w:val="center"/>
              <w:rPr>
                <w:rFonts w:hint="eastAsia" w:ascii="仿宋" w:hAnsi="仿宋" w:eastAsia="仿宋" w:cs="仿宋"/>
                <w:b/>
                <w:color w:val="auto"/>
                <w:sz w:val="24"/>
                <w:szCs w:val="24"/>
                <w:highlight w:val="none"/>
              </w:rPr>
            </w:pPr>
          </w:p>
        </w:tc>
        <w:tc>
          <w:tcPr>
            <w:tcW w:w="1584" w:type="dxa"/>
            <w:tcBorders>
              <w:top w:val="single" w:color="auto" w:sz="12" w:space="0"/>
              <w:left w:val="single" w:color="auto" w:sz="6" w:space="0"/>
              <w:bottom w:val="single" w:color="auto" w:sz="6" w:space="0"/>
              <w:right w:val="single" w:color="auto" w:sz="6" w:space="0"/>
            </w:tcBorders>
            <w:noWrap w:val="0"/>
            <w:vAlign w:val="center"/>
          </w:tcPr>
          <w:p w14:paraId="0AFB1DCC">
            <w:pPr>
              <w:pStyle w:val="32"/>
              <w:spacing w:line="400" w:lineRule="atLeast"/>
              <w:ind w:left="663" w:hanging="723" w:hangingChars="30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性 别</w:t>
            </w:r>
          </w:p>
        </w:tc>
        <w:tc>
          <w:tcPr>
            <w:tcW w:w="1692" w:type="dxa"/>
            <w:tcBorders>
              <w:top w:val="single" w:color="auto" w:sz="12" w:space="0"/>
              <w:left w:val="single" w:color="auto" w:sz="6" w:space="0"/>
              <w:bottom w:val="single" w:color="auto" w:sz="6" w:space="0"/>
              <w:right w:val="single" w:color="auto" w:sz="6" w:space="0"/>
            </w:tcBorders>
            <w:noWrap w:val="0"/>
            <w:vAlign w:val="center"/>
          </w:tcPr>
          <w:p w14:paraId="394F936B">
            <w:pPr>
              <w:pStyle w:val="32"/>
              <w:spacing w:line="400" w:lineRule="atLeast"/>
              <w:ind w:left="663" w:hanging="723" w:hangingChars="300"/>
              <w:jc w:val="center"/>
              <w:rPr>
                <w:rFonts w:hint="eastAsia" w:ascii="仿宋" w:hAnsi="仿宋" w:eastAsia="仿宋" w:cs="仿宋"/>
                <w:b/>
                <w:color w:val="auto"/>
                <w:sz w:val="24"/>
                <w:szCs w:val="24"/>
                <w:highlight w:val="none"/>
              </w:rPr>
            </w:pPr>
          </w:p>
        </w:tc>
        <w:tc>
          <w:tcPr>
            <w:tcW w:w="1514" w:type="dxa"/>
            <w:tcBorders>
              <w:top w:val="single" w:color="auto" w:sz="12" w:space="0"/>
              <w:left w:val="single" w:color="auto" w:sz="6" w:space="0"/>
              <w:bottom w:val="single" w:color="auto" w:sz="6" w:space="0"/>
              <w:right w:val="single" w:color="auto" w:sz="6" w:space="0"/>
            </w:tcBorders>
            <w:noWrap w:val="0"/>
            <w:vAlign w:val="center"/>
          </w:tcPr>
          <w:p w14:paraId="187708E1">
            <w:pPr>
              <w:pStyle w:val="32"/>
              <w:spacing w:line="400" w:lineRule="atLeast"/>
              <w:ind w:left="663" w:hanging="723" w:hangingChars="30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年 龄</w:t>
            </w:r>
          </w:p>
        </w:tc>
        <w:tc>
          <w:tcPr>
            <w:tcW w:w="1903" w:type="dxa"/>
            <w:tcBorders>
              <w:top w:val="single" w:color="auto" w:sz="12" w:space="0"/>
              <w:left w:val="single" w:color="auto" w:sz="6" w:space="0"/>
              <w:bottom w:val="single" w:color="auto" w:sz="6" w:space="0"/>
              <w:right w:val="single" w:color="auto" w:sz="12" w:space="0"/>
            </w:tcBorders>
            <w:noWrap w:val="0"/>
            <w:vAlign w:val="center"/>
          </w:tcPr>
          <w:p w14:paraId="00B6B1F2">
            <w:pPr>
              <w:pStyle w:val="32"/>
              <w:spacing w:line="400" w:lineRule="atLeast"/>
              <w:ind w:left="663" w:hanging="723" w:hangingChars="300"/>
              <w:jc w:val="center"/>
              <w:rPr>
                <w:rFonts w:hint="eastAsia" w:ascii="仿宋" w:hAnsi="仿宋" w:eastAsia="仿宋" w:cs="仿宋"/>
                <w:b/>
                <w:color w:val="auto"/>
                <w:sz w:val="24"/>
                <w:szCs w:val="24"/>
                <w:highlight w:val="none"/>
              </w:rPr>
            </w:pPr>
          </w:p>
        </w:tc>
      </w:tr>
      <w:tr w14:paraId="2CF7C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trPr>
        <w:tc>
          <w:tcPr>
            <w:tcW w:w="1260" w:type="dxa"/>
            <w:tcBorders>
              <w:top w:val="single" w:color="auto" w:sz="6" w:space="0"/>
              <w:left w:val="single" w:color="auto" w:sz="12" w:space="0"/>
              <w:bottom w:val="single" w:color="auto" w:sz="6" w:space="0"/>
              <w:right w:val="single" w:color="auto" w:sz="6" w:space="0"/>
            </w:tcBorders>
            <w:noWrap w:val="0"/>
            <w:vAlign w:val="center"/>
          </w:tcPr>
          <w:p w14:paraId="01AB8F57">
            <w:pPr>
              <w:pStyle w:val="32"/>
              <w:spacing w:line="400" w:lineRule="atLeast"/>
              <w:ind w:left="663" w:hanging="723" w:hangingChars="30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学 历</w:t>
            </w:r>
          </w:p>
        </w:tc>
        <w:tc>
          <w:tcPr>
            <w:tcW w:w="1587" w:type="dxa"/>
            <w:tcBorders>
              <w:top w:val="single" w:color="auto" w:sz="6" w:space="0"/>
              <w:left w:val="single" w:color="auto" w:sz="6" w:space="0"/>
              <w:bottom w:val="single" w:color="auto" w:sz="6" w:space="0"/>
              <w:right w:val="single" w:color="auto" w:sz="6" w:space="0"/>
            </w:tcBorders>
            <w:noWrap w:val="0"/>
            <w:vAlign w:val="center"/>
          </w:tcPr>
          <w:p w14:paraId="67A5A10B">
            <w:pPr>
              <w:pStyle w:val="32"/>
              <w:spacing w:line="400" w:lineRule="atLeast"/>
              <w:ind w:left="663" w:hanging="723" w:hangingChars="300"/>
              <w:jc w:val="center"/>
              <w:rPr>
                <w:rFonts w:hint="eastAsia" w:ascii="仿宋" w:hAnsi="仿宋" w:eastAsia="仿宋" w:cs="仿宋"/>
                <w:b/>
                <w:color w:val="auto"/>
                <w:sz w:val="24"/>
                <w:szCs w:val="24"/>
                <w:highlight w:val="none"/>
              </w:rPr>
            </w:pPr>
          </w:p>
        </w:tc>
        <w:tc>
          <w:tcPr>
            <w:tcW w:w="1584" w:type="dxa"/>
            <w:tcBorders>
              <w:top w:val="single" w:color="auto" w:sz="6" w:space="0"/>
              <w:left w:val="single" w:color="auto" w:sz="6" w:space="0"/>
              <w:bottom w:val="single" w:color="auto" w:sz="6" w:space="0"/>
              <w:right w:val="single" w:color="auto" w:sz="6" w:space="0"/>
            </w:tcBorders>
            <w:noWrap w:val="0"/>
            <w:vAlign w:val="center"/>
          </w:tcPr>
          <w:p w14:paraId="0E032108">
            <w:pPr>
              <w:pStyle w:val="32"/>
              <w:spacing w:line="400" w:lineRule="atLeast"/>
              <w:ind w:left="663" w:hanging="723" w:hangingChars="30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职 称</w:t>
            </w:r>
          </w:p>
        </w:tc>
        <w:tc>
          <w:tcPr>
            <w:tcW w:w="1692" w:type="dxa"/>
            <w:tcBorders>
              <w:top w:val="single" w:color="auto" w:sz="6" w:space="0"/>
              <w:left w:val="single" w:color="auto" w:sz="6" w:space="0"/>
              <w:bottom w:val="single" w:color="auto" w:sz="6" w:space="0"/>
              <w:right w:val="single" w:color="auto" w:sz="6" w:space="0"/>
            </w:tcBorders>
            <w:noWrap w:val="0"/>
            <w:vAlign w:val="center"/>
          </w:tcPr>
          <w:p w14:paraId="2AAA0720">
            <w:pPr>
              <w:pStyle w:val="32"/>
              <w:spacing w:line="400" w:lineRule="atLeast"/>
              <w:ind w:left="663" w:hanging="723" w:hangingChars="300"/>
              <w:jc w:val="center"/>
              <w:rPr>
                <w:rFonts w:hint="eastAsia" w:ascii="仿宋" w:hAnsi="仿宋" w:eastAsia="仿宋" w:cs="仿宋"/>
                <w:b/>
                <w:color w:val="auto"/>
                <w:sz w:val="24"/>
                <w:szCs w:val="24"/>
                <w:highlight w:val="none"/>
              </w:rPr>
            </w:pPr>
          </w:p>
        </w:tc>
        <w:tc>
          <w:tcPr>
            <w:tcW w:w="1514" w:type="dxa"/>
            <w:tcBorders>
              <w:top w:val="single" w:color="auto" w:sz="6" w:space="0"/>
              <w:left w:val="single" w:color="auto" w:sz="6" w:space="0"/>
              <w:bottom w:val="single" w:color="auto" w:sz="6" w:space="0"/>
              <w:right w:val="single" w:color="auto" w:sz="6" w:space="0"/>
            </w:tcBorders>
            <w:noWrap w:val="0"/>
            <w:vAlign w:val="center"/>
          </w:tcPr>
          <w:p w14:paraId="3E48FC89">
            <w:pPr>
              <w:pStyle w:val="32"/>
              <w:spacing w:line="400" w:lineRule="atLeast"/>
              <w:ind w:left="663" w:hanging="723" w:hangingChars="30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职 务</w:t>
            </w:r>
          </w:p>
        </w:tc>
        <w:tc>
          <w:tcPr>
            <w:tcW w:w="1903" w:type="dxa"/>
            <w:tcBorders>
              <w:top w:val="single" w:color="auto" w:sz="6" w:space="0"/>
              <w:left w:val="single" w:color="auto" w:sz="6" w:space="0"/>
              <w:bottom w:val="single" w:color="auto" w:sz="6" w:space="0"/>
              <w:right w:val="single" w:color="auto" w:sz="12" w:space="0"/>
            </w:tcBorders>
            <w:noWrap w:val="0"/>
            <w:vAlign w:val="center"/>
          </w:tcPr>
          <w:p w14:paraId="0F184DBC">
            <w:pPr>
              <w:pStyle w:val="32"/>
              <w:spacing w:line="400" w:lineRule="atLeast"/>
              <w:ind w:left="663" w:hanging="723" w:hangingChars="300"/>
              <w:jc w:val="center"/>
              <w:rPr>
                <w:rFonts w:hint="eastAsia" w:ascii="仿宋" w:hAnsi="仿宋" w:eastAsia="仿宋" w:cs="仿宋"/>
                <w:b/>
                <w:color w:val="auto"/>
                <w:sz w:val="24"/>
                <w:szCs w:val="24"/>
                <w:highlight w:val="none"/>
              </w:rPr>
            </w:pPr>
          </w:p>
        </w:tc>
      </w:tr>
      <w:tr w14:paraId="0E01D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1260" w:type="dxa"/>
            <w:tcBorders>
              <w:top w:val="single" w:color="auto" w:sz="6" w:space="0"/>
              <w:left w:val="single" w:color="auto" w:sz="12" w:space="0"/>
              <w:bottom w:val="single" w:color="auto" w:sz="6" w:space="0"/>
              <w:right w:val="single" w:color="auto" w:sz="6" w:space="0"/>
            </w:tcBorders>
            <w:noWrap w:val="0"/>
            <w:vAlign w:val="center"/>
          </w:tcPr>
          <w:p w14:paraId="4E77CF95">
            <w:pPr>
              <w:pStyle w:val="32"/>
              <w:spacing w:line="400" w:lineRule="atLeast"/>
              <w:ind w:left="663" w:hanging="723" w:hangingChars="30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联系电话</w:t>
            </w:r>
          </w:p>
        </w:tc>
        <w:tc>
          <w:tcPr>
            <w:tcW w:w="3171" w:type="dxa"/>
            <w:gridSpan w:val="2"/>
            <w:tcBorders>
              <w:top w:val="single" w:color="auto" w:sz="6" w:space="0"/>
              <w:left w:val="single" w:color="auto" w:sz="6" w:space="0"/>
              <w:bottom w:val="single" w:color="auto" w:sz="6" w:space="0"/>
              <w:right w:val="single" w:color="auto" w:sz="6" w:space="0"/>
            </w:tcBorders>
            <w:noWrap w:val="0"/>
            <w:vAlign w:val="center"/>
          </w:tcPr>
          <w:p w14:paraId="052CE33B">
            <w:pPr>
              <w:pStyle w:val="32"/>
              <w:spacing w:line="400" w:lineRule="atLeast"/>
              <w:ind w:left="663" w:hanging="723" w:hangingChars="300"/>
              <w:jc w:val="center"/>
              <w:rPr>
                <w:rFonts w:hint="eastAsia" w:ascii="仿宋" w:hAnsi="仿宋" w:eastAsia="仿宋" w:cs="仿宋"/>
                <w:b/>
                <w:color w:val="auto"/>
                <w:sz w:val="24"/>
                <w:szCs w:val="24"/>
                <w:highlight w:val="none"/>
              </w:rPr>
            </w:pPr>
          </w:p>
        </w:tc>
        <w:tc>
          <w:tcPr>
            <w:tcW w:w="1692" w:type="dxa"/>
            <w:tcBorders>
              <w:top w:val="single" w:color="auto" w:sz="6" w:space="0"/>
              <w:left w:val="single" w:color="auto" w:sz="6" w:space="0"/>
              <w:bottom w:val="single" w:color="auto" w:sz="6" w:space="0"/>
              <w:right w:val="single" w:color="auto" w:sz="6" w:space="0"/>
            </w:tcBorders>
            <w:noWrap w:val="0"/>
            <w:vAlign w:val="center"/>
          </w:tcPr>
          <w:p w14:paraId="7B1D3A4D">
            <w:pPr>
              <w:pStyle w:val="32"/>
              <w:spacing w:line="400" w:lineRule="atLeast"/>
              <w:ind w:left="663" w:hanging="723" w:hangingChars="30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手 机</w:t>
            </w:r>
          </w:p>
        </w:tc>
        <w:tc>
          <w:tcPr>
            <w:tcW w:w="3417" w:type="dxa"/>
            <w:gridSpan w:val="2"/>
            <w:tcBorders>
              <w:top w:val="single" w:color="auto" w:sz="6" w:space="0"/>
              <w:left w:val="single" w:color="auto" w:sz="6" w:space="0"/>
              <w:bottom w:val="single" w:color="auto" w:sz="6" w:space="0"/>
              <w:right w:val="single" w:color="auto" w:sz="12" w:space="0"/>
            </w:tcBorders>
            <w:noWrap w:val="0"/>
            <w:vAlign w:val="center"/>
          </w:tcPr>
          <w:p w14:paraId="0265752A">
            <w:pPr>
              <w:pStyle w:val="32"/>
              <w:spacing w:line="400" w:lineRule="atLeast"/>
              <w:ind w:left="663" w:hanging="723" w:hangingChars="300"/>
              <w:jc w:val="center"/>
              <w:rPr>
                <w:rFonts w:hint="eastAsia" w:ascii="仿宋" w:hAnsi="仿宋" w:eastAsia="仿宋" w:cs="仿宋"/>
                <w:b/>
                <w:color w:val="auto"/>
                <w:sz w:val="24"/>
                <w:szCs w:val="24"/>
                <w:highlight w:val="none"/>
              </w:rPr>
            </w:pPr>
          </w:p>
        </w:tc>
      </w:tr>
      <w:tr w14:paraId="692D7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8" w:hRule="atLeast"/>
        </w:trPr>
        <w:tc>
          <w:tcPr>
            <w:tcW w:w="9540" w:type="dxa"/>
            <w:gridSpan w:val="6"/>
            <w:tcBorders>
              <w:top w:val="single" w:color="auto" w:sz="6" w:space="0"/>
              <w:left w:val="single" w:color="auto" w:sz="12" w:space="0"/>
              <w:bottom w:val="single" w:color="auto" w:sz="12" w:space="0"/>
              <w:right w:val="single" w:color="auto" w:sz="12" w:space="0"/>
            </w:tcBorders>
            <w:noWrap w:val="0"/>
            <w:vAlign w:val="top"/>
          </w:tcPr>
          <w:p w14:paraId="1C3948A7">
            <w:pPr>
              <w:pStyle w:val="32"/>
              <w:spacing w:line="400" w:lineRule="atLeast"/>
              <w:ind w:left="660" w:hanging="720" w:hanging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近五年从事相关工作经历及业绩：</w:t>
            </w:r>
          </w:p>
        </w:tc>
      </w:tr>
    </w:tbl>
    <w:p w14:paraId="51E94D39">
      <w:pPr>
        <w:spacing w:line="380" w:lineRule="exact"/>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注：1、本表须附学历、职称、身份证等证书及业绩证明材料（复印件加盖公章）。</w:t>
      </w:r>
    </w:p>
    <w:p w14:paraId="5C5250B5">
      <w:pPr>
        <w:spacing w:line="380" w:lineRule="exact"/>
        <w:jc w:val="left"/>
        <w:rPr>
          <w:rFonts w:hint="eastAsia" w:ascii="仿宋" w:hAnsi="仿宋" w:eastAsia="仿宋" w:cs="仿宋"/>
          <w:color w:val="auto"/>
          <w:sz w:val="24"/>
          <w:szCs w:val="24"/>
          <w:highlight w:val="none"/>
        </w:rPr>
      </w:pPr>
    </w:p>
    <w:p w14:paraId="4DB6C7F7">
      <w:pPr>
        <w:autoSpaceDE w:val="0"/>
        <w:autoSpaceDN w:val="0"/>
        <w:adjustRightInd w:val="0"/>
        <w:spacing w:line="460" w:lineRule="atLeast"/>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投标人名称（</w:t>
      </w:r>
      <w:r>
        <w:rPr>
          <w:rFonts w:hint="eastAsia" w:ascii="仿宋" w:hAnsi="仿宋" w:eastAsia="仿宋" w:cs="仿宋"/>
          <w:bCs/>
          <w:color w:val="auto"/>
          <w:sz w:val="24"/>
          <w:szCs w:val="24"/>
          <w:highlight w:val="none"/>
          <w:lang w:val="en-US" w:eastAsia="zh-CN"/>
        </w:rPr>
        <w:t>盖章</w:t>
      </w:r>
      <w:r>
        <w:rPr>
          <w:rFonts w:hint="eastAsia" w:ascii="仿宋" w:hAnsi="仿宋" w:eastAsia="仿宋" w:cs="仿宋"/>
          <w:bCs/>
          <w:color w:val="auto"/>
          <w:sz w:val="24"/>
          <w:szCs w:val="24"/>
          <w:highlight w:val="none"/>
          <w:lang w:val="zh-CN"/>
        </w:rPr>
        <w:t>）：</w:t>
      </w:r>
    </w:p>
    <w:p w14:paraId="58C0B696">
      <w:pPr>
        <w:autoSpaceDE w:val="0"/>
        <w:autoSpaceDN w:val="0"/>
        <w:adjustRightInd w:val="0"/>
        <w:spacing w:line="460" w:lineRule="atLeast"/>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日期：</w:t>
      </w:r>
    </w:p>
    <w:p w14:paraId="1BA2B2C3">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r>
        <w:rPr>
          <w:rFonts w:hint="eastAsia" w:ascii="仿宋" w:hAnsi="仿宋" w:eastAsia="仿宋" w:cs="仿宋"/>
          <w:b/>
          <w:color w:val="auto"/>
          <w:sz w:val="24"/>
          <w:szCs w:val="24"/>
          <w:highlight w:val="none"/>
        </w:rPr>
        <w:t>（2）人员情况表</w:t>
      </w:r>
    </w:p>
    <w:tbl>
      <w:tblPr>
        <w:tblStyle w:val="57"/>
        <w:tblW w:w="9255" w:type="dxa"/>
        <w:tblInd w:w="6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0"/>
        <w:gridCol w:w="1420"/>
        <w:gridCol w:w="720"/>
        <w:gridCol w:w="720"/>
        <w:gridCol w:w="1260"/>
        <w:gridCol w:w="1800"/>
        <w:gridCol w:w="1620"/>
        <w:gridCol w:w="935"/>
      </w:tblGrid>
      <w:tr w14:paraId="1DA9AA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trPr>
        <w:tc>
          <w:tcPr>
            <w:tcW w:w="780" w:type="dxa"/>
            <w:noWrap w:val="0"/>
            <w:vAlign w:val="center"/>
          </w:tcPr>
          <w:p w14:paraId="53A4DDE1">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420" w:type="dxa"/>
            <w:noWrap w:val="0"/>
            <w:vAlign w:val="center"/>
          </w:tcPr>
          <w:p w14:paraId="07AA2251">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姓名</w:t>
            </w:r>
          </w:p>
        </w:tc>
        <w:tc>
          <w:tcPr>
            <w:tcW w:w="720" w:type="dxa"/>
            <w:noWrap w:val="0"/>
            <w:vAlign w:val="center"/>
          </w:tcPr>
          <w:p w14:paraId="6D490885">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性别</w:t>
            </w:r>
          </w:p>
        </w:tc>
        <w:tc>
          <w:tcPr>
            <w:tcW w:w="720" w:type="dxa"/>
            <w:noWrap w:val="0"/>
            <w:vAlign w:val="center"/>
          </w:tcPr>
          <w:p w14:paraId="54A9D5C3">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年龄</w:t>
            </w:r>
          </w:p>
        </w:tc>
        <w:tc>
          <w:tcPr>
            <w:tcW w:w="1260" w:type="dxa"/>
            <w:noWrap w:val="0"/>
            <w:vAlign w:val="center"/>
          </w:tcPr>
          <w:p w14:paraId="07B66E24">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文化程度</w:t>
            </w:r>
          </w:p>
        </w:tc>
        <w:tc>
          <w:tcPr>
            <w:tcW w:w="1800" w:type="dxa"/>
            <w:noWrap w:val="0"/>
            <w:vAlign w:val="center"/>
          </w:tcPr>
          <w:p w14:paraId="237EB3AC">
            <w:pPr>
              <w:spacing w:line="28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在本项目中岗位</w:t>
            </w:r>
          </w:p>
        </w:tc>
        <w:tc>
          <w:tcPr>
            <w:tcW w:w="1620" w:type="dxa"/>
            <w:noWrap w:val="0"/>
            <w:vAlign w:val="center"/>
          </w:tcPr>
          <w:p w14:paraId="2BA75257">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类似服务年限</w:t>
            </w:r>
          </w:p>
        </w:tc>
        <w:tc>
          <w:tcPr>
            <w:tcW w:w="935" w:type="dxa"/>
            <w:noWrap w:val="0"/>
            <w:vAlign w:val="center"/>
          </w:tcPr>
          <w:p w14:paraId="1DA40F6B">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6F51F3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80" w:type="dxa"/>
            <w:noWrap w:val="0"/>
            <w:vAlign w:val="center"/>
          </w:tcPr>
          <w:p w14:paraId="11947BEC">
            <w:pPr>
              <w:spacing w:line="360" w:lineRule="auto"/>
              <w:jc w:val="center"/>
              <w:rPr>
                <w:rFonts w:hint="eastAsia" w:ascii="仿宋" w:hAnsi="仿宋" w:eastAsia="仿宋" w:cs="仿宋"/>
                <w:color w:val="auto"/>
                <w:sz w:val="24"/>
                <w:szCs w:val="24"/>
                <w:highlight w:val="none"/>
              </w:rPr>
            </w:pPr>
          </w:p>
        </w:tc>
        <w:tc>
          <w:tcPr>
            <w:tcW w:w="1420" w:type="dxa"/>
            <w:noWrap w:val="0"/>
            <w:vAlign w:val="center"/>
          </w:tcPr>
          <w:p w14:paraId="2CCA51A4">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5BE91767">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075C0FE7">
            <w:pPr>
              <w:spacing w:line="360" w:lineRule="auto"/>
              <w:jc w:val="center"/>
              <w:rPr>
                <w:rFonts w:hint="eastAsia" w:ascii="仿宋" w:hAnsi="仿宋" w:eastAsia="仿宋" w:cs="仿宋"/>
                <w:color w:val="auto"/>
                <w:sz w:val="24"/>
                <w:szCs w:val="24"/>
                <w:highlight w:val="none"/>
              </w:rPr>
            </w:pPr>
          </w:p>
        </w:tc>
        <w:tc>
          <w:tcPr>
            <w:tcW w:w="1260" w:type="dxa"/>
            <w:noWrap w:val="0"/>
            <w:vAlign w:val="center"/>
          </w:tcPr>
          <w:p w14:paraId="6242C9D6">
            <w:pPr>
              <w:spacing w:line="360" w:lineRule="auto"/>
              <w:jc w:val="center"/>
              <w:rPr>
                <w:rFonts w:hint="eastAsia" w:ascii="仿宋" w:hAnsi="仿宋" w:eastAsia="仿宋" w:cs="仿宋"/>
                <w:color w:val="auto"/>
                <w:sz w:val="24"/>
                <w:szCs w:val="24"/>
                <w:highlight w:val="none"/>
              </w:rPr>
            </w:pPr>
          </w:p>
        </w:tc>
        <w:tc>
          <w:tcPr>
            <w:tcW w:w="1800" w:type="dxa"/>
            <w:noWrap w:val="0"/>
            <w:vAlign w:val="center"/>
          </w:tcPr>
          <w:p w14:paraId="01DDE7B5">
            <w:pPr>
              <w:spacing w:line="360" w:lineRule="auto"/>
              <w:jc w:val="center"/>
              <w:rPr>
                <w:rFonts w:hint="eastAsia" w:ascii="仿宋" w:hAnsi="仿宋" w:eastAsia="仿宋" w:cs="仿宋"/>
                <w:color w:val="auto"/>
                <w:sz w:val="24"/>
                <w:szCs w:val="24"/>
                <w:highlight w:val="none"/>
              </w:rPr>
            </w:pPr>
          </w:p>
        </w:tc>
        <w:tc>
          <w:tcPr>
            <w:tcW w:w="1620" w:type="dxa"/>
            <w:noWrap w:val="0"/>
            <w:vAlign w:val="top"/>
          </w:tcPr>
          <w:p w14:paraId="52F7EE53">
            <w:pPr>
              <w:spacing w:line="360" w:lineRule="auto"/>
              <w:jc w:val="center"/>
              <w:rPr>
                <w:rFonts w:hint="eastAsia" w:ascii="仿宋" w:hAnsi="仿宋" w:eastAsia="仿宋" w:cs="仿宋"/>
                <w:color w:val="auto"/>
                <w:sz w:val="24"/>
                <w:szCs w:val="24"/>
                <w:highlight w:val="none"/>
              </w:rPr>
            </w:pPr>
          </w:p>
        </w:tc>
        <w:tc>
          <w:tcPr>
            <w:tcW w:w="935" w:type="dxa"/>
            <w:noWrap w:val="0"/>
            <w:vAlign w:val="center"/>
          </w:tcPr>
          <w:p w14:paraId="71FD1EA9">
            <w:pPr>
              <w:spacing w:line="360" w:lineRule="auto"/>
              <w:jc w:val="center"/>
              <w:rPr>
                <w:rFonts w:hint="eastAsia" w:ascii="仿宋" w:hAnsi="仿宋" w:eastAsia="仿宋" w:cs="仿宋"/>
                <w:color w:val="auto"/>
                <w:sz w:val="24"/>
                <w:szCs w:val="24"/>
                <w:highlight w:val="none"/>
              </w:rPr>
            </w:pPr>
          </w:p>
        </w:tc>
      </w:tr>
      <w:tr w14:paraId="795B5A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80" w:type="dxa"/>
            <w:noWrap w:val="0"/>
            <w:vAlign w:val="center"/>
          </w:tcPr>
          <w:p w14:paraId="02D17A5E">
            <w:pPr>
              <w:spacing w:line="360" w:lineRule="auto"/>
              <w:jc w:val="center"/>
              <w:rPr>
                <w:rFonts w:hint="eastAsia" w:ascii="仿宋" w:hAnsi="仿宋" w:eastAsia="仿宋" w:cs="仿宋"/>
                <w:color w:val="auto"/>
                <w:sz w:val="24"/>
                <w:szCs w:val="24"/>
                <w:highlight w:val="none"/>
              </w:rPr>
            </w:pPr>
          </w:p>
        </w:tc>
        <w:tc>
          <w:tcPr>
            <w:tcW w:w="1420" w:type="dxa"/>
            <w:noWrap w:val="0"/>
            <w:vAlign w:val="center"/>
          </w:tcPr>
          <w:p w14:paraId="54790E2B">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58773209">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4FD84BD7">
            <w:pPr>
              <w:spacing w:line="360" w:lineRule="auto"/>
              <w:jc w:val="center"/>
              <w:rPr>
                <w:rFonts w:hint="eastAsia" w:ascii="仿宋" w:hAnsi="仿宋" w:eastAsia="仿宋" w:cs="仿宋"/>
                <w:color w:val="auto"/>
                <w:sz w:val="24"/>
                <w:szCs w:val="24"/>
                <w:highlight w:val="none"/>
              </w:rPr>
            </w:pPr>
          </w:p>
        </w:tc>
        <w:tc>
          <w:tcPr>
            <w:tcW w:w="1260" w:type="dxa"/>
            <w:noWrap w:val="0"/>
            <w:vAlign w:val="center"/>
          </w:tcPr>
          <w:p w14:paraId="5C391A06">
            <w:pPr>
              <w:spacing w:line="360" w:lineRule="auto"/>
              <w:jc w:val="center"/>
              <w:rPr>
                <w:rFonts w:hint="eastAsia" w:ascii="仿宋" w:hAnsi="仿宋" w:eastAsia="仿宋" w:cs="仿宋"/>
                <w:color w:val="auto"/>
                <w:sz w:val="24"/>
                <w:szCs w:val="24"/>
                <w:highlight w:val="none"/>
              </w:rPr>
            </w:pPr>
          </w:p>
        </w:tc>
        <w:tc>
          <w:tcPr>
            <w:tcW w:w="1800" w:type="dxa"/>
            <w:noWrap w:val="0"/>
            <w:vAlign w:val="center"/>
          </w:tcPr>
          <w:p w14:paraId="47139E44">
            <w:pPr>
              <w:spacing w:line="360" w:lineRule="auto"/>
              <w:jc w:val="center"/>
              <w:rPr>
                <w:rFonts w:hint="eastAsia" w:ascii="仿宋" w:hAnsi="仿宋" w:eastAsia="仿宋" w:cs="仿宋"/>
                <w:color w:val="auto"/>
                <w:sz w:val="24"/>
                <w:szCs w:val="24"/>
                <w:highlight w:val="none"/>
              </w:rPr>
            </w:pPr>
          </w:p>
        </w:tc>
        <w:tc>
          <w:tcPr>
            <w:tcW w:w="1620" w:type="dxa"/>
            <w:noWrap w:val="0"/>
            <w:vAlign w:val="top"/>
          </w:tcPr>
          <w:p w14:paraId="3E43513F">
            <w:pPr>
              <w:spacing w:line="360" w:lineRule="auto"/>
              <w:jc w:val="center"/>
              <w:rPr>
                <w:rFonts w:hint="eastAsia" w:ascii="仿宋" w:hAnsi="仿宋" w:eastAsia="仿宋" w:cs="仿宋"/>
                <w:color w:val="auto"/>
                <w:sz w:val="24"/>
                <w:szCs w:val="24"/>
                <w:highlight w:val="none"/>
              </w:rPr>
            </w:pPr>
          </w:p>
        </w:tc>
        <w:tc>
          <w:tcPr>
            <w:tcW w:w="935" w:type="dxa"/>
            <w:noWrap w:val="0"/>
            <w:vAlign w:val="center"/>
          </w:tcPr>
          <w:p w14:paraId="60F74797">
            <w:pPr>
              <w:spacing w:line="360" w:lineRule="auto"/>
              <w:jc w:val="center"/>
              <w:rPr>
                <w:rFonts w:hint="eastAsia" w:ascii="仿宋" w:hAnsi="仿宋" w:eastAsia="仿宋" w:cs="仿宋"/>
                <w:color w:val="auto"/>
                <w:sz w:val="24"/>
                <w:szCs w:val="24"/>
                <w:highlight w:val="none"/>
              </w:rPr>
            </w:pPr>
          </w:p>
        </w:tc>
      </w:tr>
      <w:tr w14:paraId="0A3241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80" w:type="dxa"/>
            <w:noWrap w:val="0"/>
            <w:vAlign w:val="center"/>
          </w:tcPr>
          <w:p w14:paraId="681A2978">
            <w:pPr>
              <w:spacing w:line="360" w:lineRule="auto"/>
              <w:jc w:val="center"/>
              <w:rPr>
                <w:rFonts w:hint="eastAsia" w:ascii="仿宋" w:hAnsi="仿宋" w:eastAsia="仿宋" w:cs="仿宋"/>
                <w:color w:val="auto"/>
                <w:sz w:val="24"/>
                <w:szCs w:val="24"/>
                <w:highlight w:val="none"/>
              </w:rPr>
            </w:pPr>
          </w:p>
        </w:tc>
        <w:tc>
          <w:tcPr>
            <w:tcW w:w="1420" w:type="dxa"/>
            <w:noWrap w:val="0"/>
            <w:vAlign w:val="center"/>
          </w:tcPr>
          <w:p w14:paraId="041081AD">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2EE7A353">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68B7A13C">
            <w:pPr>
              <w:spacing w:line="360" w:lineRule="auto"/>
              <w:jc w:val="center"/>
              <w:rPr>
                <w:rFonts w:hint="eastAsia" w:ascii="仿宋" w:hAnsi="仿宋" w:eastAsia="仿宋" w:cs="仿宋"/>
                <w:color w:val="auto"/>
                <w:sz w:val="24"/>
                <w:szCs w:val="24"/>
                <w:highlight w:val="none"/>
              </w:rPr>
            </w:pPr>
          </w:p>
        </w:tc>
        <w:tc>
          <w:tcPr>
            <w:tcW w:w="1260" w:type="dxa"/>
            <w:noWrap w:val="0"/>
            <w:vAlign w:val="center"/>
          </w:tcPr>
          <w:p w14:paraId="7D24CC83">
            <w:pPr>
              <w:spacing w:line="360" w:lineRule="auto"/>
              <w:ind w:left="-128" w:leftChars="-61" w:firstLine="141" w:firstLineChars="59"/>
              <w:jc w:val="center"/>
              <w:rPr>
                <w:rFonts w:hint="eastAsia" w:ascii="仿宋" w:hAnsi="仿宋" w:eastAsia="仿宋" w:cs="仿宋"/>
                <w:color w:val="auto"/>
                <w:sz w:val="24"/>
                <w:szCs w:val="24"/>
                <w:highlight w:val="none"/>
              </w:rPr>
            </w:pPr>
          </w:p>
        </w:tc>
        <w:tc>
          <w:tcPr>
            <w:tcW w:w="1800" w:type="dxa"/>
            <w:noWrap w:val="0"/>
            <w:vAlign w:val="center"/>
          </w:tcPr>
          <w:p w14:paraId="4DDD24CA">
            <w:pPr>
              <w:spacing w:line="360" w:lineRule="auto"/>
              <w:jc w:val="center"/>
              <w:rPr>
                <w:rFonts w:hint="eastAsia" w:ascii="仿宋" w:hAnsi="仿宋" w:eastAsia="仿宋" w:cs="仿宋"/>
                <w:color w:val="auto"/>
                <w:sz w:val="24"/>
                <w:szCs w:val="24"/>
                <w:highlight w:val="none"/>
              </w:rPr>
            </w:pPr>
          </w:p>
        </w:tc>
        <w:tc>
          <w:tcPr>
            <w:tcW w:w="1620" w:type="dxa"/>
            <w:noWrap w:val="0"/>
            <w:vAlign w:val="top"/>
          </w:tcPr>
          <w:p w14:paraId="0DA69B01">
            <w:pPr>
              <w:spacing w:line="360" w:lineRule="auto"/>
              <w:jc w:val="center"/>
              <w:rPr>
                <w:rFonts w:hint="eastAsia" w:ascii="仿宋" w:hAnsi="仿宋" w:eastAsia="仿宋" w:cs="仿宋"/>
                <w:color w:val="auto"/>
                <w:sz w:val="24"/>
                <w:szCs w:val="24"/>
                <w:highlight w:val="none"/>
              </w:rPr>
            </w:pPr>
          </w:p>
        </w:tc>
        <w:tc>
          <w:tcPr>
            <w:tcW w:w="935" w:type="dxa"/>
            <w:noWrap w:val="0"/>
            <w:vAlign w:val="center"/>
          </w:tcPr>
          <w:p w14:paraId="577C8C7B">
            <w:pPr>
              <w:spacing w:line="360" w:lineRule="auto"/>
              <w:jc w:val="center"/>
              <w:rPr>
                <w:rFonts w:hint="eastAsia" w:ascii="仿宋" w:hAnsi="仿宋" w:eastAsia="仿宋" w:cs="仿宋"/>
                <w:color w:val="auto"/>
                <w:sz w:val="24"/>
                <w:szCs w:val="24"/>
                <w:highlight w:val="none"/>
              </w:rPr>
            </w:pPr>
          </w:p>
        </w:tc>
      </w:tr>
      <w:tr w14:paraId="607609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80" w:type="dxa"/>
            <w:noWrap w:val="0"/>
            <w:vAlign w:val="center"/>
          </w:tcPr>
          <w:p w14:paraId="2EFAA611">
            <w:pPr>
              <w:spacing w:line="360" w:lineRule="auto"/>
              <w:jc w:val="center"/>
              <w:rPr>
                <w:rFonts w:hint="eastAsia" w:ascii="仿宋" w:hAnsi="仿宋" w:eastAsia="仿宋" w:cs="仿宋"/>
                <w:color w:val="auto"/>
                <w:sz w:val="24"/>
                <w:szCs w:val="24"/>
                <w:highlight w:val="none"/>
              </w:rPr>
            </w:pPr>
          </w:p>
        </w:tc>
        <w:tc>
          <w:tcPr>
            <w:tcW w:w="1420" w:type="dxa"/>
            <w:noWrap w:val="0"/>
            <w:vAlign w:val="center"/>
          </w:tcPr>
          <w:p w14:paraId="0B8760EC">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54BEAE19">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3C310821">
            <w:pPr>
              <w:spacing w:line="360" w:lineRule="auto"/>
              <w:jc w:val="center"/>
              <w:rPr>
                <w:rFonts w:hint="eastAsia" w:ascii="仿宋" w:hAnsi="仿宋" w:eastAsia="仿宋" w:cs="仿宋"/>
                <w:color w:val="auto"/>
                <w:sz w:val="24"/>
                <w:szCs w:val="24"/>
                <w:highlight w:val="none"/>
              </w:rPr>
            </w:pPr>
          </w:p>
        </w:tc>
        <w:tc>
          <w:tcPr>
            <w:tcW w:w="1260" w:type="dxa"/>
            <w:noWrap w:val="0"/>
            <w:vAlign w:val="center"/>
          </w:tcPr>
          <w:p w14:paraId="5666ED0E">
            <w:pPr>
              <w:spacing w:line="360" w:lineRule="auto"/>
              <w:jc w:val="center"/>
              <w:rPr>
                <w:rFonts w:hint="eastAsia" w:ascii="仿宋" w:hAnsi="仿宋" w:eastAsia="仿宋" w:cs="仿宋"/>
                <w:color w:val="auto"/>
                <w:sz w:val="24"/>
                <w:szCs w:val="24"/>
                <w:highlight w:val="none"/>
              </w:rPr>
            </w:pPr>
          </w:p>
        </w:tc>
        <w:tc>
          <w:tcPr>
            <w:tcW w:w="1800" w:type="dxa"/>
            <w:noWrap w:val="0"/>
            <w:vAlign w:val="center"/>
          </w:tcPr>
          <w:p w14:paraId="3BEBD242">
            <w:pPr>
              <w:spacing w:line="360" w:lineRule="auto"/>
              <w:jc w:val="center"/>
              <w:rPr>
                <w:rFonts w:hint="eastAsia" w:ascii="仿宋" w:hAnsi="仿宋" w:eastAsia="仿宋" w:cs="仿宋"/>
                <w:color w:val="auto"/>
                <w:sz w:val="24"/>
                <w:szCs w:val="24"/>
                <w:highlight w:val="none"/>
              </w:rPr>
            </w:pPr>
          </w:p>
        </w:tc>
        <w:tc>
          <w:tcPr>
            <w:tcW w:w="1620" w:type="dxa"/>
            <w:noWrap w:val="0"/>
            <w:vAlign w:val="top"/>
          </w:tcPr>
          <w:p w14:paraId="23236941">
            <w:pPr>
              <w:spacing w:line="360" w:lineRule="auto"/>
              <w:jc w:val="center"/>
              <w:rPr>
                <w:rFonts w:hint="eastAsia" w:ascii="仿宋" w:hAnsi="仿宋" w:eastAsia="仿宋" w:cs="仿宋"/>
                <w:color w:val="auto"/>
                <w:sz w:val="24"/>
                <w:szCs w:val="24"/>
                <w:highlight w:val="none"/>
              </w:rPr>
            </w:pPr>
          </w:p>
        </w:tc>
        <w:tc>
          <w:tcPr>
            <w:tcW w:w="935" w:type="dxa"/>
            <w:noWrap w:val="0"/>
            <w:vAlign w:val="center"/>
          </w:tcPr>
          <w:p w14:paraId="0D37D704">
            <w:pPr>
              <w:spacing w:line="360" w:lineRule="auto"/>
              <w:jc w:val="center"/>
              <w:rPr>
                <w:rFonts w:hint="eastAsia" w:ascii="仿宋" w:hAnsi="仿宋" w:eastAsia="仿宋" w:cs="仿宋"/>
                <w:color w:val="auto"/>
                <w:sz w:val="24"/>
                <w:szCs w:val="24"/>
                <w:highlight w:val="none"/>
              </w:rPr>
            </w:pPr>
          </w:p>
        </w:tc>
      </w:tr>
      <w:tr w14:paraId="481D78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80" w:type="dxa"/>
            <w:noWrap w:val="0"/>
            <w:vAlign w:val="center"/>
          </w:tcPr>
          <w:p w14:paraId="2084A051">
            <w:pPr>
              <w:spacing w:line="360" w:lineRule="auto"/>
              <w:jc w:val="center"/>
              <w:rPr>
                <w:rFonts w:hint="eastAsia" w:ascii="仿宋" w:hAnsi="仿宋" w:eastAsia="仿宋" w:cs="仿宋"/>
                <w:color w:val="auto"/>
                <w:sz w:val="24"/>
                <w:szCs w:val="24"/>
                <w:highlight w:val="none"/>
              </w:rPr>
            </w:pPr>
          </w:p>
        </w:tc>
        <w:tc>
          <w:tcPr>
            <w:tcW w:w="1420" w:type="dxa"/>
            <w:noWrap w:val="0"/>
            <w:vAlign w:val="center"/>
          </w:tcPr>
          <w:p w14:paraId="0F3249E3">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258DEDA7">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62BB4DA5">
            <w:pPr>
              <w:spacing w:line="360" w:lineRule="auto"/>
              <w:jc w:val="center"/>
              <w:rPr>
                <w:rFonts w:hint="eastAsia" w:ascii="仿宋" w:hAnsi="仿宋" w:eastAsia="仿宋" w:cs="仿宋"/>
                <w:color w:val="auto"/>
                <w:sz w:val="24"/>
                <w:szCs w:val="24"/>
                <w:highlight w:val="none"/>
              </w:rPr>
            </w:pPr>
          </w:p>
        </w:tc>
        <w:tc>
          <w:tcPr>
            <w:tcW w:w="1260" w:type="dxa"/>
            <w:noWrap w:val="0"/>
            <w:vAlign w:val="center"/>
          </w:tcPr>
          <w:p w14:paraId="0C107E92">
            <w:pPr>
              <w:spacing w:line="360" w:lineRule="auto"/>
              <w:jc w:val="center"/>
              <w:rPr>
                <w:rFonts w:hint="eastAsia" w:ascii="仿宋" w:hAnsi="仿宋" w:eastAsia="仿宋" w:cs="仿宋"/>
                <w:color w:val="auto"/>
                <w:sz w:val="24"/>
                <w:szCs w:val="24"/>
                <w:highlight w:val="none"/>
              </w:rPr>
            </w:pPr>
          </w:p>
        </w:tc>
        <w:tc>
          <w:tcPr>
            <w:tcW w:w="1800" w:type="dxa"/>
            <w:noWrap w:val="0"/>
            <w:vAlign w:val="center"/>
          </w:tcPr>
          <w:p w14:paraId="2F3D7C2E">
            <w:pPr>
              <w:spacing w:line="360" w:lineRule="auto"/>
              <w:jc w:val="center"/>
              <w:rPr>
                <w:rFonts w:hint="eastAsia" w:ascii="仿宋" w:hAnsi="仿宋" w:eastAsia="仿宋" w:cs="仿宋"/>
                <w:color w:val="auto"/>
                <w:sz w:val="24"/>
                <w:szCs w:val="24"/>
                <w:highlight w:val="none"/>
              </w:rPr>
            </w:pPr>
          </w:p>
        </w:tc>
        <w:tc>
          <w:tcPr>
            <w:tcW w:w="1620" w:type="dxa"/>
            <w:noWrap w:val="0"/>
            <w:vAlign w:val="top"/>
          </w:tcPr>
          <w:p w14:paraId="0176E9D3">
            <w:pPr>
              <w:spacing w:line="360" w:lineRule="auto"/>
              <w:jc w:val="center"/>
              <w:rPr>
                <w:rFonts w:hint="eastAsia" w:ascii="仿宋" w:hAnsi="仿宋" w:eastAsia="仿宋" w:cs="仿宋"/>
                <w:color w:val="auto"/>
                <w:sz w:val="24"/>
                <w:szCs w:val="24"/>
                <w:highlight w:val="none"/>
              </w:rPr>
            </w:pPr>
          </w:p>
        </w:tc>
        <w:tc>
          <w:tcPr>
            <w:tcW w:w="935" w:type="dxa"/>
            <w:noWrap w:val="0"/>
            <w:vAlign w:val="center"/>
          </w:tcPr>
          <w:p w14:paraId="63BA74F9">
            <w:pPr>
              <w:spacing w:line="360" w:lineRule="auto"/>
              <w:jc w:val="center"/>
              <w:rPr>
                <w:rFonts w:hint="eastAsia" w:ascii="仿宋" w:hAnsi="仿宋" w:eastAsia="仿宋" w:cs="仿宋"/>
                <w:color w:val="auto"/>
                <w:sz w:val="24"/>
                <w:szCs w:val="24"/>
                <w:highlight w:val="none"/>
              </w:rPr>
            </w:pPr>
          </w:p>
        </w:tc>
      </w:tr>
      <w:tr w14:paraId="77D3B0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80" w:type="dxa"/>
            <w:noWrap w:val="0"/>
            <w:vAlign w:val="center"/>
          </w:tcPr>
          <w:p w14:paraId="5FD9500C">
            <w:pPr>
              <w:spacing w:line="360" w:lineRule="auto"/>
              <w:jc w:val="center"/>
              <w:rPr>
                <w:rFonts w:hint="eastAsia" w:ascii="仿宋" w:hAnsi="仿宋" w:eastAsia="仿宋" w:cs="仿宋"/>
                <w:color w:val="auto"/>
                <w:sz w:val="24"/>
                <w:szCs w:val="24"/>
                <w:highlight w:val="none"/>
              </w:rPr>
            </w:pPr>
          </w:p>
        </w:tc>
        <w:tc>
          <w:tcPr>
            <w:tcW w:w="1420" w:type="dxa"/>
            <w:noWrap w:val="0"/>
            <w:vAlign w:val="center"/>
          </w:tcPr>
          <w:p w14:paraId="4D937EC3">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3D263829">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39F2600E">
            <w:pPr>
              <w:spacing w:line="360" w:lineRule="auto"/>
              <w:jc w:val="center"/>
              <w:rPr>
                <w:rFonts w:hint="eastAsia" w:ascii="仿宋" w:hAnsi="仿宋" w:eastAsia="仿宋" w:cs="仿宋"/>
                <w:color w:val="auto"/>
                <w:sz w:val="24"/>
                <w:szCs w:val="24"/>
                <w:highlight w:val="none"/>
              </w:rPr>
            </w:pPr>
          </w:p>
        </w:tc>
        <w:tc>
          <w:tcPr>
            <w:tcW w:w="1260" w:type="dxa"/>
            <w:noWrap w:val="0"/>
            <w:vAlign w:val="center"/>
          </w:tcPr>
          <w:p w14:paraId="66332E54">
            <w:pPr>
              <w:spacing w:line="360" w:lineRule="auto"/>
              <w:jc w:val="center"/>
              <w:rPr>
                <w:rFonts w:hint="eastAsia" w:ascii="仿宋" w:hAnsi="仿宋" w:eastAsia="仿宋" w:cs="仿宋"/>
                <w:color w:val="auto"/>
                <w:sz w:val="24"/>
                <w:szCs w:val="24"/>
                <w:highlight w:val="none"/>
              </w:rPr>
            </w:pPr>
          </w:p>
        </w:tc>
        <w:tc>
          <w:tcPr>
            <w:tcW w:w="1800" w:type="dxa"/>
            <w:noWrap w:val="0"/>
            <w:vAlign w:val="center"/>
          </w:tcPr>
          <w:p w14:paraId="064EBB47">
            <w:pPr>
              <w:spacing w:line="360" w:lineRule="auto"/>
              <w:jc w:val="center"/>
              <w:rPr>
                <w:rFonts w:hint="eastAsia" w:ascii="仿宋" w:hAnsi="仿宋" w:eastAsia="仿宋" w:cs="仿宋"/>
                <w:color w:val="auto"/>
                <w:sz w:val="24"/>
                <w:szCs w:val="24"/>
                <w:highlight w:val="none"/>
              </w:rPr>
            </w:pPr>
          </w:p>
        </w:tc>
        <w:tc>
          <w:tcPr>
            <w:tcW w:w="1620" w:type="dxa"/>
            <w:noWrap w:val="0"/>
            <w:vAlign w:val="top"/>
          </w:tcPr>
          <w:p w14:paraId="2A35A95D">
            <w:pPr>
              <w:spacing w:line="360" w:lineRule="auto"/>
              <w:jc w:val="center"/>
              <w:rPr>
                <w:rFonts w:hint="eastAsia" w:ascii="仿宋" w:hAnsi="仿宋" w:eastAsia="仿宋" w:cs="仿宋"/>
                <w:color w:val="auto"/>
                <w:sz w:val="24"/>
                <w:szCs w:val="24"/>
                <w:highlight w:val="none"/>
              </w:rPr>
            </w:pPr>
          </w:p>
        </w:tc>
        <w:tc>
          <w:tcPr>
            <w:tcW w:w="935" w:type="dxa"/>
            <w:noWrap w:val="0"/>
            <w:vAlign w:val="center"/>
          </w:tcPr>
          <w:p w14:paraId="17DC15A8">
            <w:pPr>
              <w:spacing w:line="360" w:lineRule="auto"/>
              <w:jc w:val="center"/>
              <w:rPr>
                <w:rFonts w:hint="eastAsia" w:ascii="仿宋" w:hAnsi="仿宋" w:eastAsia="仿宋" w:cs="仿宋"/>
                <w:color w:val="auto"/>
                <w:sz w:val="24"/>
                <w:szCs w:val="24"/>
                <w:highlight w:val="none"/>
              </w:rPr>
            </w:pPr>
          </w:p>
        </w:tc>
      </w:tr>
      <w:tr w14:paraId="6CCF2D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80" w:type="dxa"/>
            <w:noWrap w:val="0"/>
            <w:vAlign w:val="center"/>
          </w:tcPr>
          <w:p w14:paraId="64244574">
            <w:pPr>
              <w:spacing w:line="360" w:lineRule="auto"/>
              <w:jc w:val="center"/>
              <w:rPr>
                <w:rFonts w:hint="eastAsia" w:ascii="仿宋" w:hAnsi="仿宋" w:eastAsia="仿宋" w:cs="仿宋"/>
                <w:color w:val="auto"/>
                <w:sz w:val="24"/>
                <w:szCs w:val="24"/>
                <w:highlight w:val="none"/>
              </w:rPr>
            </w:pPr>
          </w:p>
        </w:tc>
        <w:tc>
          <w:tcPr>
            <w:tcW w:w="1420" w:type="dxa"/>
            <w:noWrap w:val="0"/>
            <w:vAlign w:val="center"/>
          </w:tcPr>
          <w:p w14:paraId="6A4F609E">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14D8FE8B">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0694FCD4">
            <w:pPr>
              <w:spacing w:line="360" w:lineRule="auto"/>
              <w:jc w:val="center"/>
              <w:rPr>
                <w:rFonts w:hint="eastAsia" w:ascii="仿宋" w:hAnsi="仿宋" w:eastAsia="仿宋" w:cs="仿宋"/>
                <w:color w:val="auto"/>
                <w:sz w:val="24"/>
                <w:szCs w:val="24"/>
                <w:highlight w:val="none"/>
              </w:rPr>
            </w:pPr>
          </w:p>
        </w:tc>
        <w:tc>
          <w:tcPr>
            <w:tcW w:w="1260" w:type="dxa"/>
            <w:noWrap w:val="0"/>
            <w:vAlign w:val="center"/>
          </w:tcPr>
          <w:p w14:paraId="390604F6">
            <w:pPr>
              <w:spacing w:line="360" w:lineRule="auto"/>
              <w:jc w:val="center"/>
              <w:rPr>
                <w:rFonts w:hint="eastAsia" w:ascii="仿宋" w:hAnsi="仿宋" w:eastAsia="仿宋" w:cs="仿宋"/>
                <w:color w:val="auto"/>
                <w:sz w:val="24"/>
                <w:szCs w:val="24"/>
                <w:highlight w:val="none"/>
              </w:rPr>
            </w:pPr>
          </w:p>
        </w:tc>
        <w:tc>
          <w:tcPr>
            <w:tcW w:w="1800" w:type="dxa"/>
            <w:noWrap w:val="0"/>
            <w:vAlign w:val="center"/>
          </w:tcPr>
          <w:p w14:paraId="6E1FC5D6">
            <w:pPr>
              <w:spacing w:line="360" w:lineRule="auto"/>
              <w:jc w:val="center"/>
              <w:rPr>
                <w:rFonts w:hint="eastAsia" w:ascii="仿宋" w:hAnsi="仿宋" w:eastAsia="仿宋" w:cs="仿宋"/>
                <w:color w:val="auto"/>
                <w:sz w:val="24"/>
                <w:szCs w:val="24"/>
                <w:highlight w:val="none"/>
              </w:rPr>
            </w:pPr>
          </w:p>
        </w:tc>
        <w:tc>
          <w:tcPr>
            <w:tcW w:w="1620" w:type="dxa"/>
            <w:noWrap w:val="0"/>
            <w:vAlign w:val="top"/>
          </w:tcPr>
          <w:p w14:paraId="6EBDFC2D">
            <w:pPr>
              <w:spacing w:line="360" w:lineRule="auto"/>
              <w:jc w:val="center"/>
              <w:rPr>
                <w:rFonts w:hint="eastAsia" w:ascii="仿宋" w:hAnsi="仿宋" w:eastAsia="仿宋" w:cs="仿宋"/>
                <w:color w:val="auto"/>
                <w:sz w:val="24"/>
                <w:szCs w:val="24"/>
                <w:highlight w:val="none"/>
              </w:rPr>
            </w:pPr>
          </w:p>
        </w:tc>
        <w:tc>
          <w:tcPr>
            <w:tcW w:w="935" w:type="dxa"/>
            <w:noWrap w:val="0"/>
            <w:vAlign w:val="center"/>
          </w:tcPr>
          <w:p w14:paraId="76BB0F54">
            <w:pPr>
              <w:spacing w:line="360" w:lineRule="auto"/>
              <w:jc w:val="center"/>
              <w:rPr>
                <w:rFonts w:hint="eastAsia" w:ascii="仿宋" w:hAnsi="仿宋" w:eastAsia="仿宋" w:cs="仿宋"/>
                <w:color w:val="auto"/>
                <w:sz w:val="24"/>
                <w:szCs w:val="24"/>
                <w:highlight w:val="none"/>
              </w:rPr>
            </w:pPr>
          </w:p>
        </w:tc>
      </w:tr>
      <w:tr w14:paraId="2B5AB3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80" w:type="dxa"/>
            <w:noWrap w:val="0"/>
            <w:vAlign w:val="center"/>
          </w:tcPr>
          <w:p w14:paraId="0472E4D1">
            <w:pPr>
              <w:spacing w:line="360" w:lineRule="auto"/>
              <w:jc w:val="center"/>
              <w:rPr>
                <w:rFonts w:hint="eastAsia" w:ascii="仿宋" w:hAnsi="仿宋" w:eastAsia="仿宋" w:cs="仿宋"/>
                <w:color w:val="auto"/>
                <w:sz w:val="24"/>
                <w:szCs w:val="24"/>
                <w:highlight w:val="none"/>
              </w:rPr>
            </w:pPr>
          </w:p>
        </w:tc>
        <w:tc>
          <w:tcPr>
            <w:tcW w:w="1420" w:type="dxa"/>
            <w:noWrap w:val="0"/>
            <w:vAlign w:val="center"/>
          </w:tcPr>
          <w:p w14:paraId="1C1746D6">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4A13868B">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5E78EE1D">
            <w:pPr>
              <w:spacing w:line="360" w:lineRule="auto"/>
              <w:jc w:val="center"/>
              <w:rPr>
                <w:rFonts w:hint="eastAsia" w:ascii="仿宋" w:hAnsi="仿宋" w:eastAsia="仿宋" w:cs="仿宋"/>
                <w:color w:val="auto"/>
                <w:sz w:val="24"/>
                <w:szCs w:val="24"/>
                <w:highlight w:val="none"/>
              </w:rPr>
            </w:pPr>
          </w:p>
        </w:tc>
        <w:tc>
          <w:tcPr>
            <w:tcW w:w="1260" w:type="dxa"/>
            <w:noWrap w:val="0"/>
            <w:vAlign w:val="center"/>
          </w:tcPr>
          <w:p w14:paraId="01C98824">
            <w:pPr>
              <w:spacing w:line="360" w:lineRule="auto"/>
              <w:jc w:val="center"/>
              <w:rPr>
                <w:rFonts w:hint="eastAsia" w:ascii="仿宋" w:hAnsi="仿宋" w:eastAsia="仿宋" w:cs="仿宋"/>
                <w:color w:val="auto"/>
                <w:sz w:val="24"/>
                <w:szCs w:val="24"/>
                <w:highlight w:val="none"/>
              </w:rPr>
            </w:pPr>
          </w:p>
        </w:tc>
        <w:tc>
          <w:tcPr>
            <w:tcW w:w="1800" w:type="dxa"/>
            <w:noWrap w:val="0"/>
            <w:vAlign w:val="center"/>
          </w:tcPr>
          <w:p w14:paraId="04A4EFCD">
            <w:pPr>
              <w:spacing w:line="360" w:lineRule="auto"/>
              <w:jc w:val="center"/>
              <w:rPr>
                <w:rFonts w:hint="eastAsia" w:ascii="仿宋" w:hAnsi="仿宋" w:eastAsia="仿宋" w:cs="仿宋"/>
                <w:color w:val="auto"/>
                <w:sz w:val="24"/>
                <w:szCs w:val="24"/>
                <w:highlight w:val="none"/>
              </w:rPr>
            </w:pPr>
          </w:p>
        </w:tc>
        <w:tc>
          <w:tcPr>
            <w:tcW w:w="1620" w:type="dxa"/>
            <w:noWrap w:val="0"/>
            <w:vAlign w:val="top"/>
          </w:tcPr>
          <w:p w14:paraId="1DCB1C5A">
            <w:pPr>
              <w:spacing w:line="360" w:lineRule="auto"/>
              <w:jc w:val="center"/>
              <w:rPr>
                <w:rFonts w:hint="eastAsia" w:ascii="仿宋" w:hAnsi="仿宋" w:eastAsia="仿宋" w:cs="仿宋"/>
                <w:color w:val="auto"/>
                <w:sz w:val="24"/>
                <w:szCs w:val="24"/>
                <w:highlight w:val="none"/>
              </w:rPr>
            </w:pPr>
          </w:p>
        </w:tc>
        <w:tc>
          <w:tcPr>
            <w:tcW w:w="935" w:type="dxa"/>
            <w:noWrap w:val="0"/>
            <w:vAlign w:val="center"/>
          </w:tcPr>
          <w:p w14:paraId="65F276B1">
            <w:pPr>
              <w:spacing w:line="360" w:lineRule="auto"/>
              <w:jc w:val="center"/>
              <w:rPr>
                <w:rFonts w:hint="eastAsia" w:ascii="仿宋" w:hAnsi="仿宋" w:eastAsia="仿宋" w:cs="仿宋"/>
                <w:color w:val="auto"/>
                <w:sz w:val="24"/>
                <w:szCs w:val="24"/>
                <w:highlight w:val="none"/>
              </w:rPr>
            </w:pPr>
          </w:p>
        </w:tc>
      </w:tr>
      <w:tr w14:paraId="79E7F0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80" w:type="dxa"/>
            <w:noWrap w:val="0"/>
            <w:vAlign w:val="center"/>
          </w:tcPr>
          <w:p w14:paraId="2A46E46D">
            <w:pPr>
              <w:spacing w:line="360" w:lineRule="auto"/>
              <w:jc w:val="center"/>
              <w:rPr>
                <w:rFonts w:hint="eastAsia" w:ascii="仿宋" w:hAnsi="仿宋" w:eastAsia="仿宋" w:cs="仿宋"/>
                <w:color w:val="auto"/>
                <w:sz w:val="24"/>
                <w:szCs w:val="24"/>
                <w:highlight w:val="none"/>
              </w:rPr>
            </w:pPr>
          </w:p>
        </w:tc>
        <w:tc>
          <w:tcPr>
            <w:tcW w:w="1420" w:type="dxa"/>
            <w:noWrap w:val="0"/>
            <w:vAlign w:val="center"/>
          </w:tcPr>
          <w:p w14:paraId="482745F9">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0C5F09D4">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4B725C80">
            <w:pPr>
              <w:spacing w:line="360" w:lineRule="auto"/>
              <w:jc w:val="center"/>
              <w:rPr>
                <w:rFonts w:hint="eastAsia" w:ascii="仿宋" w:hAnsi="仿宋" w:eastAsia="仿宋" w:cs="仿宋"/>
                <w:color w:val="auto"/>
                <w:sz w:val="24"/>
                <w:szCs w:val="24"/>
                <w:highlight w:val="none"/>
              </w:rPr>
            </w:pPr>
          </w:p>
        </w:tc>
        <w:tc>
          <w:tcPr>
            <w:tcW w:w="1260" w:type="dxa"/>
            <w:noWrap w:val="0"/>
            <w:vAlign w:val="center"/>
          </w:tcPr>
          <w:p w14:paraId="4721C09D">
            <w:pPr>
              <w:spacing w:line="360" w:lineRule="auto"/>
              <w:jc w:val="center"/>
              <w:rPr>
                <w:rFonts w:hint="eastAsia" w:ascii="仿宋" w:hAnsi="仿宋" w:eastAsia="仿宋" w:cs="仿宋"/>
                <w:color w:val="auto"/>
                <w:sz w:val="24"/>
                <w:szCs w:val="24"/>
                <w:highlight w:val="none"/>
              </w:rPr>
            </w:pPr>
          </w:p>
        </w:tc>
        <w:tc>
          <w:tcPr>
            <w:tcW w:w="1800" w:type="dxa"/>
            <w:noWrap w:val="0"/>
            <w:vAlign w:val="center"/>
          </w:tcPr>
          <w:p w14:paraId="10B90610">
            <w:pPr>
              <w:spacing w:line="360" w:lineRule="auto"/>
              <w:jc w:val="center"/>
              <w:rPr>
                <w:rFonts w:hint="eastAsia" w:ascii="仿宋" w:hAnsi="仿宋" w:eastAsia="仿宋" w:cs="仿宋"/>
                <w:color w:val="auto"/>
                <w:sz w:val="24"/>
                <w:szCs w:val="24"/>
                <w:highlight w:val="none"/>
              </w:rPr>
            </w:pPr>
          </w:p>
        </w:tc>
        <w:tc>
          <w:tcPr>
            <w:tcW w:w="1620" w:type="dxa"/>
            <w:noWrap w:val="0"/>
            <w:vAlign w:val="top"/>
          </w:tcPr>
          <w:p w14:paraId="262C081D">
            <w:pPr>
              <w:spacing w:line="360" w:lineRule="auto"/>
              <w:jc w:val="center"/>
              <w:rPr>
                <w:rFonts w:hint="eastAsia" w:ascii="仿宋" w:hAnsi="仿宋" w:eastAsia="仿宋" w:cs="仿宋"/>
                <w:color w:val="auto"/>
                <w:sz w:val="24"/>
                <w:szCs w:val="24"/>
                <w:highlight w:val="none"/>
              </w:rPr>
            </w:pPr>
          </w:p>
        </w:tc>
        <w:tc>
          <w:tcPr>
            <w:tcW w:w="935" w:type="dxa"/>
            <w:noWrap w:val="0"/>
            <w:vAlign w:val="center"/>
          </w:tcPr>
          <w:p w14:paraId="3D7E7980">
            <w:pPr>
              <w:spacing w:line="360" w:lineRule="auto"/>
              <w:jc w:val="center"/>
              <w:rPr>
                <w:rFonts w:hint="eastAsia" w:ascii="仿宋" w:hAnsi="仿宋" w:eastAsia="仿宋" w:cs="仿宋"/>
                <w:color w:val="auto"/>
                <w:sz w:val="24"/>
                <w:szCs w:val="24"/>
                <w:highlight w:val="none"/>
              </w:rPr>
            </w:pPr>
          </w:p>
        </w:tc>
      </w:tr>
      <w:tr w14:paraId="54787F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80" w:type="dxa"/>
            <w:noWrap w:val="0"/>
            <w:vAlign w:val="center"/>
          </w:tcPr>
          <w:p w14:paraId="32933B9B">
            <w:pPr>
              <w:spacing w:line="360" w:lineRule="auto"/>
              <w:jc w:val="center"/>
              <w:rPr>
                <w:rFonts w:hint="eastAsia" w:ascii="仿宋" w:hAnsi="仿宋" w:eastAsia="仿宋" w:cs="仿宋"/>
                <w:color w:val="auto"/>
                <w:sz w:val="24"/>
                <w:szCs w:val="24"/>
                <w:highlight w:val="none"/>
              </w:rPr>
            </w:pPr>
          </w:p>
        </w:tc>
        <w:tc>
          <w:tcPr>
            <w:tcW w:w="1420" w:type="dxa"/>
            <w:noWrap w:val="0"/>
            <w:vAlign w:val="center"/>
          </w:tcPr>
          <w:p w14:paraId="020F157C">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3D0A6775">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42EC3C1C">
            <w:pPr>
              <w:spacing w:line="360" w:lineRule="auto"/>
              <w:jc w:val="center"/>
              <w:rPr>
                <w:rFonts w:hint="eastAsia" w:ascii="仿宋" w:hAnsi="仿宋" w:eastAsia="仿宋" w:cs="仿宋"/>
                <w:color w:val="auto"/>
                <w:sz w:val="24"/>
                <w:szCs w:val="24"/>
                <w:highlight w:val="none"/>
              </w:rPr>
            </w:pPr>
          </w:p>
        </w:tc>
        <w:tc>
          <w:tcPr>
            <w:tcW w:w="1260" w:type="dxa"/>
            <w:noWrap w:val="0"/>
            <w:vAlign w:val="center"/>
          </w:tcPr>
          <w:p w14:paraId="6A795821">
            <w:pPr>
              <w:spacing w:line="360" w:lineRule="auto"/>
              <w:jc w:val="center"/>
              <w:rPr>
                <w:rFonts w:hint="eastAsia" w:ascii="仿宋" w:hAnsi="仿宋" w:eastAsia="仿宋" w:cs="仿宋"/>
                <w:color w:val="auto"/>
                <w:sz w:val="24"/>
                <w:szCs w:val="24"/>
                <w:highlight w:val="none"/>
              </w:rPr>
            </w:pPr>
          </w:p>
        </w:tc>
        <w:tc>
          <w:tcPr>
            <w:tcW w:w="1800" w:type="dxa"/>
            <w:noWrap w:val="0"/>
            <w:vAlign w:val="center"/>
          </w:tcPr>
          <w:p w14:paraId="1DA46F63">
            <w:pPr>
              <w:spacing w:line="360" w:lineRule="auto"/>
              <w:jc w:val="center"/>
              <w:rPr>
                <w:rFonts w:hint="eastAsia" w:ascii="仿宋" w:hAnsi="仿宋" w:eastAsia="仿宋" w:cs="仿宋"/>
                <w:color w:val="auto"/>
                <w:sz w:val="24"/>
                <w:szCs w:val="24"/>
                <w:highlight w:val="none"/>
              </w:rPr>
            </w:pPr>
          </w:p>
        </w:tc>
        <w:tc>
          <w:tcPr>
            <w:tcW w:w="1620" w:type="dxa"/>
            <w:noWrap w:val="0"/>
            <w:vAlign w:val="top"/>
          </w:tcPr>
          <w:p w14:paraId="490F1021">
            <w:pPr>
              <w:spacing w:line="360" w:lineRule="auto"/>
              <w:jc w:val="center"/>
              <w:rPr>
                <w:rFonts w:hint="eastAsia" w:ascii="仿宋" w:hAnsi="仿宋" w:eastAsia="仿宋" w:cs="仿宋"/>
                <w:color w:val="auto"/>
                <w:sz w:val="24"/>
                <w:szCs w:val="24"/>
                <w:highlight w:val="none"/>
              </w:rPr>
            </w:pPr>
          </w:p>
        </w:tc>
        <w:tc>
          <w:tcPr>
            <w:tcW w:w="935" w:type="dxa"/>
            <w:noWrap w:val="0"/>
            <w:vAlign w:val="center"/>
          </w:tcPr>
          <w:p w14:paraId="12CF3B6D">
            <w:pPr>
              <w:spacing w:line="360" w:lineRule="auto"/>
              <w:jc w:val="center"/>
              <w:rPr>
                <w:rFonts w:hint="eastAsia" w:ascii="仿宋" w:hAnsi="仿宋" w:eastAsia="仿宋" w:cs="仿宋"/>
                <w:color w:val="auto"/>
                <w:sz w:val="24"/>
                <w:szCs w:val="24"/>
                <w:highlight w:val="none"/>
              </w:rPr>
            </w:pPr>
          </w:p>
        </w:tc>
      </w:tr>
      <w:tr w14:paraId="03D6DE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80" w:type="dxa"/>
            <w:noWrap w:val="0"/>
            <w:vAlign w:val="center"/>
          </w:tcPr>
          <w:p w14:paraId="36DD0BD4">
            <w:pPr>
              <w:spacing w:line="360" w:lineRule="auto"/>
              <w:jc w:val="center"/>
              <w:rPr>
                <w:rFonts w:hint="eastAsia" w:ascii="仿宋" w:hAnsi="仿宋" w:eastAsia="仿宋" w:cs="仿宋"/>
                <w:color w:val="auto"/>
                <w:sz w:val="24"/>
                <w:szCs w:val="24"/>
                <w:highlight w:val="none"/>
              </w:rPr>
            </w:pPr>
          </w:p>
        </w:tc>
        <w:tc>
          <w:tcPr>
            <w:tcW w:w="1420" w:type="dxa"/>
            <w:noWrap w:val="0"/>
            <w:vAlign w:val="center"/>
          </w:tcPr>
          <w:p w14:paraId="116915D8">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273BC1A9">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43A01B5B">
            <w:pPr>
              <w:spacing w:line="360" w:lineRule="auto"/>
              <w:jc w:val="center"/>
              <w:rPr>
                <w:rFonts w:hint="eastAsia" w:ascii="仿宋" w:hAnsi="仿宋" w:eastAsia="仿宋" w:cs="仿宋"/>
                <w:color w:val="auto"/>
                <w:sz w:val="24"/>
                <w:szCs w:val="24"/>
                <w:highlight w:val="none"/>
              </w:rPr>
            </w:pPr>
          </w:p>
        </w:tc>
        <w:tc>
          <w:tcPr>
            <w:tcW w:w="1260" w:type="dxa"/>
            <w:noWrap w:val="0"/>
            <w:vAlign w:val="center"/>
          </w:tcPr>
          <w:p w14:paraId="5794B9A8">
            <w:pPr>
              <w:spacing w:line="360" w:lineRule="auto"/>
              <w:jc w:val="center"/>
              <w:rPr>
                <w:rFonts w:hint="eastAsia" w:ascii="仿宋" w:hAnsi="仿宋" w:eastAsia="仿宋" w:cs="仿宋"/>
                <w:color w:val="auto"/>
                <w:sz w:val="24"/>
                <w:szCs w:val="24"/>
                <w:highlight w:val="none"/>
              </w:rPr>
            </w:pPr>
          </w:p>
        </w:tc>
        <w:tc>
          <w:tcPr>
            <w:tcW w:w="1800" w:type="dxa"/>
            <w:noWrap w:val="0"/>
            <w:vAlign w:val="center"/>
          </w:tcPr>
          <w:p w14:paraId="19191E66">
            <w:pPr>
              <w:spacing w:line="360" w:lineRule="auto"/>
              <w:jc w:val="center"/>
              <w:rPr>
                <w:rFonts w:hint="eastAsia" w:ascii="仿宋" w:hAnsi="仿宋" w:eastAsia="仿宋" w:cs="仿宋"/>
                <w:color w:val="auto"/>
                <w:sz w:val="24"/>
                <w:szCs w:val="24"/>
                <w:highlight w:val="none"/>
              </w:rPr>
            </w:pPr>
          </w:p>
        </w:tc>
        <w:tc>
          <w:tcPr>
            <w:tcW w:w="1620" w:type="dxa"/>
            <w:noWrap w:val="0"/>
            <w:vAlign w:val="top"/>
          </w:tcPr>
          <w:p w14:paraId="674C8169">
            <w:pPr>
              <w:spacing w:line="360" w:lineRule="auto"/>
              <w:jc w:val="center"/>
              <w:rPr>
                <w:rFonts w:hint="eastAsia" w:ascii="仿宋" w:hAnsi="仿宋" w:eastAsia="仿宋" w:cs="仿宋"/>
                <w:color w:val="auto"/>
                <w:sz w:val="24"/>
                <w:szCs w:val="24"/>
                <w:highlight w:val="none"/>
              </w:rPr>
            </w:pPr>
          </w:p>
        </w:tc>
        <w:tc>
          <w:tcPr>
            <w:tcW w:w="935" w:type="dxa"/>
            <w:noWrap w:val="0"/>
            <w:vAlign w:val="center"/>
          </w:tcPr>
          <w:p w14:paraId="78517937">
            <w:pPr>
              <w:spacing w:line="360" w:lineRule="auto"/>
              <w:jc w:val="center"/>
              <w:rPr>
                <w:rFonts w:hint="eastAsia" w:ascii="仿宋" w:hAnsi="仿宋" w:eastAsia="仿宋" w:cs="仿宋"/>
                <w:color w:val="auto"/>
                <w:sz w:val="24"/>
                <w:szCs w:val="24"/>
                <w:highlight w:val="none"/>
              </w:rPr>
            </w:pPr>
          </w:p>
        </w:tc>
      </w:tr>
      <w:tr w14:paraId="3F500F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80" w:type="dxa"/>
            <w:noWrap w:val="0"/>
            <w:vAlign w:val="center"/>
          </w:tcPr>
          <w:p w14:paraId="17489081">
            <w:pPr>
              <w:spacing w:line="360" w:lineRule="auto"/>
              <w:jc w:val="center"/>
              <w:rPr>
                <w:rFonts w:hint="eastAsia" w:ascii="仿宋" w:hAnsi="仿宋" w:eastAsia="仿宋" w:cs="仿宋"/>
                <w:color w:val="auto"/>
                <w:sz w:val="24"/>
                <w:szCs w:val="24"/>
                <w:highlight w:val="none"/>
              </w:rPr>
            </w:pPr>
          </w:p>
        </w:tc>
        <w:tc>
          <w:tcPr>
            <w:tcW w:w="1420" w:type="dxa"/>
            <w:noWrap w:val="0"/>
            <w:vAlign w:val="center"/>
          </w:tcPr>
          <w:p w14:paraId="78592333">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1A2D6FE6">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45F85933">
            <w:pPr>
              <w:spacing w:line="360" w:lineRule="auto"/>
              <w:jc w:val="center"/>
              <w:rPr>
                <w:rFonts w:hint="eastAsia" w:ascii="仿宋" w:hAnsi="仿宋" w:eastAsia="仿宋" w:cs="仿宋"/>
                <w:color w:val="auto"/>
                <w:sz w:val="24"/>
                <w:szCs w:val="24"/>
                <w:highlight w:val="none"/>
              </w:rPr>
            </w:pPr>
          </w:p>
        </w:tc>
        <w:tc>
          <w:tcPr>
            <w:tcW w:w="1260" w:type="dxa"/>
            <w:noWrap w:val="0"/>
            <w:vAlign w:val="center"/>
          </w:tcPr>
          <w:p w14:paraId="25682E07">
            <w:pPr>
              <w:spacing w:line="360" w:lineRule="auto"/>
              <w:jc w:val="center"/>
              <w:rPr>
                <w:rFonts w:hint="eastAsia" w:ascii="仿宋" w:hAnsi="仿宋" w:eastAsia="仿宋" w:cs="仿宋"/>
                <w:color w:val="auto"/>
                <w:sz w:val="24"/>
                <w:szCs w:val="24"/>
                <w:highlight w:val="none"/>
              </w:rPr>
            </w:pPr>
          </w:p>
        </w:tc>
        <w:tc>
          <w:tcPr>
            <w:tcW w:w="1800" w:type="dxa"/>
            <w:noWrap w:val="0"/>
            <w:vAlign w:val="center"/>
          </w:tcPr>
          <w:p w14:paraId="61BABDC2">
            <w:pPr>
              <w:spacing w:line="360" w:lineRule="auto"/>
              <w:jc w:val="center"/>
              <w:rPr>
                <w:rFonts w:hint="eastAsia" w:ascii="仿宋" w:hAnsi="仿宋" w:eastAsia="仿宋" w:cs="仿宋"/>
                <w:color w:val="auto"/>
                <w:sz w:val="24"/>
                <w:szCs w:val="24"/>
                <w:highlight w:val="none"/>
              </w:rPr>
            </w:pPr>
          </w:p>
        </w:tc>
        <w:tc>
          <w:tcPr>
            <w:tcW w:w="1620" w:type="dxa"/>
            <w:noWrap w:val="0"/>
            <w:vAlign w:val="top"/>
          </w:tcPr>
          <w:p w14:paraId="4C96372D">
            <w:pPr>
              <w:spacing w:line="360" w:lineRule="auto"/>
              <w:jc w:val="center"/>
              <w:rPr>
                <w:rFonts w:hint="eastAsia" w:ascii="仿宋" w:hAnsi="仿宋" w:eastAsia="仿宋" w:cs="仿宋"/>
                <w:color w:val="auto"/>
                <w:sz w:val="24"/>
                <w:szCs w:val="24"/>
                <w:highlight w:val="none"/>
              </w:rPr>
            </w:pPr>
          </w:p>
        </w:tc>
        <w:tc>
          <w:tcPr>
            <w:tcW w:w="935" w:type="dxa"/>
            <w:noWrap w:val="0"/>
            <w:vAlign w:val="center"/>
          </w:tcPr>
          <w:p w14:paraId="531D58B7">
            <w:pPr>
              <w:spacing w:line="360" w:lineRule="auto"/>
              <w:jc w:val="center"/>
              <w:rPr>
                <w:rFonts w:hint="eastAsia" w:ascii="仿宋" w:hAnsi="仿宋" w:eastAsia="仿宋" w:cs="仿宋"/>
                <w:color w:val="auto"/>
                <w:sz w:val="24"/>
                <w:szCs w:val="24"/>
                <w:highlight w:val="none"/>
              </w:rPr>
            </w:pPr>
          </w:p>
        </w:tc>
      </w:tr>
      <w:tr w14:paraId="61F2A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80" w:type="dxa"/>
            <w:noWrap w:val="0"/>
            <w:vAlign w:val="center"/>
          </w:tcPr>
          <w:p w14:paraId="475A4ECC">
            <w:pPr>
              <w:spacing w:line="360" w:lineRule="auto"/>
              <w:jc w:val="center"/>
              <w:rPr>
                <w:rFonts w:hint="eastAsia" w:ascii="仿宋" w:hAnsi="仿宋" w:eastAsia="仿宋" w:cs="仿宋"/>
                <w:color w:val="auto"/>
                <w:sz w:val="24"/>
                <w:szCs w:val="24"/>
                <w:highlight w:val="none"/>
              </w:rPr>
            </w:pPr>
          </w:p>
        </w:tc>
        <w:tc>
          <w:tcPr>
            <w:tcW w:w="1420" w:type="dxa"/>
            <w:noWrap w:val="0"/>
            <w:vAlign w:val="center"/>
          </w:tcPr>
          <w:p w14:paraId="35C2DB6E">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01421116">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0FBF2BD4">
            <w:pPr>
              <w:spacing w:line="360" w:lineRule="auto"/>
              <w:jc w:val="center"/>
              <w:rPr>
                <w:rFonts w:hint="eastAsia" w:ascii="仿宋" w:hAnsi="仿宋" w:eastAsia="仿宋" w:cs="仿宋"/>
                <w:color w:val="auto"/>
                <w:sz w:val="24"/>
                <w:szCs w:val="24"/>
                <w:highlight w:val="none"/>
              </w:rPr>
            </w:pPr>
          </w:p>
        </w:tc>
        <w:tc>
          <w:tcPr>
            <w:tcW w:w="1260" w:type="dxa"/>
            <w:noWrap w:val="0"/>
            <w:vAlign w:val="center"/>
          </w:tcPr>
          <w:p w14:paraId="654FA156">
            <w:pPr>
              <w:spacing w:line="360" w:lineRule="auto"/>
              <w:jc w:val="center"/>
              <w:rPr>
                <w:rFonts w:hint="eastAsia" w:ascii="仿宋" w:hAnsi="仿宋" w:eastAsia="仿宋" w:cs="仿宋"/>
                <w:color w:val="auto"/>
                <w:sz w:val="24"/>
                <w:szCs w:val="24"/>
                <w:highlight w:val="none"/>
              </w:rPr>
            </w:pPr>
          </w:p>
        </w:tc>
        <w:tc>
          <w:tcPr>
            <w:tcW w:w="1800" w:type="dxa"/>
            <w:noWrap w:val="0"/>
            <w:vAlign w:val="center"/>
          </w:tcPr>
          <w:p w14:paraId="5A7E6733">
            <w:pPr>
              <w:spacing w:line="360" w:lineRule="auto"/>
              <w:jc w:val="center"/>
              <w:rPr>
                <w:rFonts w:hint="eastAsia" w:ascii="仿宋" w:hAnsi="仿宋" w:eastAsia="仿宋" w:cs="仿宋"/>
                <w:color w:val="auto"/>
                <w:sz w:val="24"/>
                <w:szCs w:val="24"/>
                <w:highlight w:val="none"/>
              </w:rPr>
            </w:pPr>
          </w:p>
        </w:tc>
        <w:tc>
          <w:tcPr>
            <w:tcW w:w="1620" w:type="dxa"/>
            <w:noWrap w:val="0"/>
            <w:vAlign w:val="top"/>
          </w:tcPr>
          <w:p w14:paraId="4E3C7B31">
            <w:pPr>
              <w:spacing w:line="360" w:lineRule="auto"/>
              <w:jc w:val="center"/>
              <w:rPr>
                <w:rFonts w:hint="eastAsia" w:ascii="仿宋" w:hAnsi="仿宋" w:eastAsia="仿宋" w:cs="仿宋"/>
                <w:color w:val="auto"/>
                <w:sz w:val="24"/>
                <w:szCs w:val="24"/>
                <w:highlight w:val="none"/>
              </w:rPr>
            </w:pPr>
          </w:p>
        </w:tc>
        <w:tc>
          <w:tcPr>
            <w:tcW w:w="935" w:type="dxa"/>
            <w:noWrap w:val="0"/>
            <w:vAlign w:val="center"/>
          </w:tcPr>
          <w:p w14:paraId="26A8B467">
            <w:pPr>
              <w:spacing w:line="360" w:lineRule="auto"/>
              <w:jc w:val="center"/>
              <w:rPr>
                <w:rFonts w:hint="eastAsia" w:ascii="仿宋" w:hAnsi="仿宋" w:eastAsia="仿宋" w:cs="仿宋"/>
                <w:color w:val="auto"/>
                <w:sz w:val="24"/>
                <w:szCs w:val="24"/>
                <w:highlight w:val="none"/>
              </w:rPr>
            </w:pPr>
          </w:p>
        </w:tc>
      </w:tr>
      <w:tr w14:paraId="26A5E5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80" w:type="dxa"/>
            <w:noWrap w:val="0"/>
            <w:vAlign w:val="center"/>
          </w:tcPr>
          <w:p w14:paraId="56B455A0">
            <w:pPr>
              <w:spacing w:line="360" w:lineRule="auto"/>
              <w:jc w:val="center"/>
              <w:rPr>
                <w:rFonts w:hint="eastAsia" w:ascii="仿宋" w:hAnsi="仿宋" w:eastAsia="仿宋" w:cs="仿宋"/>
                <w:color w:val="auto"/>
                <w:sz w:val="24"/>
                <w:szCs w:val="24"/>
                <w:highlight w:val="none"/>
              </w:rPr>
            </w:pPr>
          </w:p>
        </w:tc>
        <w:tc>
          <w:tcPr>
            <w:tcW w:w="1420" w:type="dxa"/>
            <w:noWrap w:val="0"/>
            <w:vAlign w:val="center"/>
          </w:tcPr>
          <w:p w14:paraId="60D1B0B2">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5E56BF78">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24DC5E2A">
            <w:pPr>
              <w:spacing w:line="360" w:lineRule="auto"/>
              <w:jc w:val="center"/>
              <w:rPr>
                <w:rFonts w:hint="eastAsia" w:ascii="仿宋" w:hAnsi="仿宋" w:eastAsia="仿宋" w:cs="仿宋"/>
                <w:color w:val="auto"/>
                <w:sz w:val="24"/>
                <w:szCs w:val="24"/>
                <w:highlight w:val="none"/>
              </w:rPr>
            </w:pPr>
          </w:p>
        </w:tc>
        <w:tc>
          <w:tcPr>
            <w:tcW w:w="1260" w:type="dxa"/>
            <w:noWrap w:val="0"/>
            <w:vAlign w:val="center"/>
          </w:tcPr>
          <w:p w14:paraId="1E27ED29">
            <w:pPr>
              <w:spacing w:line="360" w:lineRule="auto"/>
              <w:jc w:val="center"/>
              <w:rPr>
                <w:rFonts w:hint="eastAsia" w:ascii="仿宋" w:hAnsi="仿宋" w:eastAsia="仿宋" w:cs="仿宋"/>
                <w:color w:val="auto"/>
                <w:sz w:val="24"/>
                <w:szCs w:val="24"/>
                <w:highlight w:val="none"/>
              </w:rPr>
            </w:pPr>
          </w:p>
        </w:tc>
        <w:tc>
          <w:tcPr>
            <w:tcW w:w="1800" w:type="dxa"/>
            <w:noWrap w:val="0"/>
            <w:vAlign w:val="center"/>
          </w:tcPr>
          <w:p w14:paraId="3BD17BB2">
            <w:pPr>
              <w:spacing w:line="360" w:lineRule="auto"/>
              <w:jc w:val="center"/>
              <w:rPr>
                <w:rFonts w:hint="eastAsia" w:ascii="仿宋" w:hAnsi="仿宋" w:eastAsia="仿宋" w:cs="仿宋"/>
                <w:color w:val="auto"/>
                <w:sz w:val="24"/>
                <w:szCs w:val="24"/>
                <w:highlight w:val="none"/>
              </w:rPr>
            </w:pPr>
          </w:p>
        </w:tc>
        <w:tc>
          <w:tcPr>
            <w:tcW w:w="1620" w:type="dxa"/>
            <w:noWrap w:val="0"/>
            <w:vAlign w:val="top"/>
          </w:tcPr>
          <w:p w14:paraId="0D5429DA">
            <w:pPr>
              <w:spacing w:line="360" w:lineRule="auto"/>
              <w:jc w:val="center"/>
              <w:rPr>
                <w:rFonts w:hint="eastAsia" w:ascii="仿宋" w:hAnsi="仿宋" w:eastAsia="仿宋" w:cs="仿宋"/>
                <w:color w:val="auto"/>
                <w:sz w:val="24"/>
                <w:szCs w:val="24"/>
                <w:highlight w:val="none"/>
              </w:rPr>
            </w:pPr>
          </w:p>
        </w:tc>
        <w:tc>
          <w:tcPr>
            <w:tcW w:w="935" w:type="dxa"/>
            <w:noWrap w:val="0"/>
            <w:vAlign w:val="center"/>
          </w:tcPr>
          <w:p w14:paraId="4C3F9C79">
            <w:pPr>
              <w:spacing w:line="360" w:lineRule="auto"/>
              <w:jc w:val="center"/>
              <w:rPr>
                <w:rFonts w:hint="eastAsia" w:ascii="仿宋" w:hAnsi="仿宋" w:eastAsia="仿宋" w:cs="仿宋"/>
                <w:color w:val="auto"/>
                <w:sz w:val="24"/>
                <w:szCs w:val="24"/>
                <w:highlight w:val="none"/>
              </w:rPr>
            </w:pPr>
          </w:p>
        </w:tc>
      </w:tr>
      <w:tr w14:paraId="3CC109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80" w:type="dxa"/>
            <w:noWrap w:val="0"/>
            <w:vAlign w:val="center"/>
          </w:tcPr>
          <w:p w14:paraId="181A0494">
            <w:pPr>
              <w:spacing w:line="360" w:lineRule="auto"/>
              <w:jc w:val="center"/>
              <w:rPr>
                <w:rFonts w:hint="eastAsia" w:ascii="仿宋" w:hAnsi="仿宋" w:eastAsia="仿宋" w:cs="仿宋"/>
                <w:color w:val="auto"/>
                <w:sz w:val="24"/>
                <w:szCs w:val="24"/>
                <w:highlight w:val="none"/>
              </w:rPr>
            </w:pPr>
          </w:p>
        </w:tc>
        <w:tc>
          <w:tcPr>
            <w:tcW w:w="1420" w:type="dxa"/>
            <w:noWrap w:val="0"/>
            <w:vAlign w:val="center"/>
          </w:tcPr>
          <w:p w14:paraId="30A5FD26">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594FA724">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2A675C7F">
            <w:pPr>
              <w:spacing w:line="360" w:lineRule="auto"/>
              <w:jc w:val="center"/>
              <w:rPr>
                <w:rFonts w:hint="eastAsia" w:ascii="仿宋" w:hAnsi="仿宋" w:eastAsia="仿宋" w:cs="仿宋"/>
                <w:color w:val="auto"/>
                <w:sz w:val="24"/>
                <w:szCs w:val="24"/>
                <w:highlight w:val="none"/>
              </w:rPr>
            </w:pPr>
          </w:p>
        </w:tc>
        <w:tc>
          <w:tcPr>
            <w:tcW w:w="1260" w:type="dxa"/>
            <w:noWrap w:val="0"/>
            <w:vAlign w:val="center"/>
          </w:tcPr>
          <w:p w14:paraId="5715BE84">
            <w:pPr>
              <w:spacing w:line="360" w:lineRule="auto"/>
              <w:jc w:val="center"/>
              <w:rPr>
                <w:rFonts w:hint="eastAsia" w:ascii="仿宋" w:hAnsi="仿宋" w:eastAsia="仿宋" w:cs="仿宋"/>
                <w:color w:val="auto"/>
                <w:sz w:val="24"/>
                <w:szCs w:val="24"/>
                <w:highlight w:val="none"/>
              </w:rPr>
            </w:pPr>
          </w:p>
        </w:tc>
        <w:tc>
          <w:tcPr>
            <w:tcW w:w="1800" w:type="dxa"/>
            <w:noWrap w:val="0"/>
            <w:vAlign w:val="center"/>
          </w:tcPr>
          <w:p w14:paraId="02022365">
            <w:pPr>
              <w:spacing w:line="360" w:lineRule="auto"/>
              <w:jc w:val="center"/>
              <w:rPr>
                <w:rFonts w:hint="eastAsia" w:ascii="仿宋" w:hAnsi="仿宋" w:eastAsia="仿宋" w:cs="仿宋"/>
                <w:color w:val="auto"/>
                <w:sz w:val="24"/>
                <w:szCs w:val="24"/>
                <w:highlight w:val="none"/>
              </w:rPr>
            </w:pPr>
          </w:p>
        </w:tc>
        <w:tc>
          <w:tcPr>
            <w:tcW w:w="1620" w:type="dxa"/>
            <w:noWrap w:val="0"/>
            <w:vAlign w:val="top"/>
          </w:tcPr>
          <w:p w14:paraId="50A8A6A8">
            <w:pPr>
              <w:spacing w:line="360" w:lineRule="auto"/>
              <w:jc w:val="center"/>
              <w:rPr>
                <w:rFonts w:hint="eastAsia" w:ascii="仿宋" w:hAnsi="仿宋" w:eastAsia="仿宋" w:cs="仿宋"/>
                <w:color w:val="auto"/>
                <w:sz w:val="24"/>
                <w:szCs w:val="24"/>
                <w:highlight w:val="none"/>
              </w:rPr>
            </w:pPr>
          </w:p>
        </w:tc>
        <w:tc>
          <w:tcPr>
            <w:tcW w:w="935" w:type="dxa"/>
            <w:noWrap w:val="0"/>
            <w:vAlign w:val="center"/>
          </w:tcPr>
          <w:p w14:paraId="12AC4209">
            <w:pPr>
              <w:spacing w:line="360" w:lineRule="auto"/>
              <w:jc w:val="center"/>
              <w:rPr>
                <w:rFonts w:hint="eastAsia" w:ascii="仿宋" w:hAnsi="仿宋" w:eastAsia="仿宋" w:cs="仿宋"/>
                <w:color w:val="auto"/>
                <w:sz w:val="24"/>
                <w:szCs w:val="24"/>
                <w:highlight w:val="none"/>
              </w:rPr>
            </w:pPr>
          </w:p>
        </w:tc>
      </w:tr>
      <w:tr w14:paraId="2A3143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80" w:type="dxa"/>
            <w:noWrap w:val="0"/>
            <w:vAlign w:val="center"/>
          </w:tcPr>
          <w:p w14:paraId="7174486B">
            <w:pPr>
              <w:spacing w:line="360" w:lineRule="auto"/>
              <w:jc w:val="center"/>
              <w:rPr>
                <w:rFonts w:hint="eastAsia" w:ascii="仿宋" w:hAnsi="仿宋" w:eastAsia="仿宋" w:cs="仿宋"/>
                <w:color w:val="auto"/>
                <w:sz w:val="24"/>
                <w:szCs w:val="24"/>
                <w:highlight w:val="none"/>
              </w:rPr>
            </w:pPr>
          </w:p>
        </w:tc>
        <w:tc>
          <w:tcPr>
            <w:tcW w:w="1420" w:type="dxa"/>
            <w:noWrap w:val="0"/>
            <w:vAlign w:val="center"/>
          </w:tcPr>
          <w:p w14:paraId="58AE6533">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2564D49C">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7F6E8B8C">
            <w:pPr>
              <w:spacing w:line="360" w:lineRule="auto"/>
              <w:jc w:val="center"/>
              <w:rPr>
                <w:rFonts w:hint="eastAsia" w:ascii="仿宋" w:hAnsi="仿宋" w:eastAsia="仿宋" w:cs="仿宋"/>
                <w:color w:val="auto"/>
                <w:sz w:val="24"/>
                <w:szCs w:val="24"/>
                <w:highlight w:val="none"/>
              </w:rPr>
            </w:pPr>
          </w:p>
        </w:tc>
        <w:tc>
          <w:tcPr>
            <w:tcW w:w="1260" w:type="dxa"/>
            <w:noWrap w:val="0"/>
            <w:vAlign w:val="center"/>
          </w:tcPr>
          <w:p w14:paraId="67FD3717">
            <w:pPr>
              <w:spacing w:line="360" w:lineRule="auto"/>
              <w:jc w:val="center"/>
              <w:rPr>
                <w:rFonts w:hint="eastAsia" w:ascii="仿宋" w:hAnsi="仿宋" w:eastAsia="仿宋" w:cs="仿宋"/>
                <w:color w:val="auto"/>
                <w:sz w:val="24"/>
                <w:szCs w:val="24"/>
                <w:highlight w:val="none"/>
              </w:rPr>
            </w:pPr>
          </w:p>
        </w:tc>
        <w:tc>
          <w:tcPr>
            <w:tcW w:w="1800" w:type="dxa"/>
            <w:noWrap w:val="0"/>
            <w:vAlign w:val="center"/>
          </w:tcPr>
          <w:p w14:paraId="08945312">
            <w:pPr>
              <w:spacing w:line="360" w:lineRule="auto"/>
              <w:jc w:val="center"/>
              <w:rPr>
                <w:rFonts w:hint="eastAsia" w:ascii="仿宋" w:hAnsi="仿宋" w:eastAsia="仿宋" w:cs="仿宋"/>
                <w:color w:val="auto"/>
                <w:sz w:val="24"/>
                <w:szCs w:val="24"/>
                <w:highlight w:val="none"/>
              </w:rPr>
            </w:pPr>
          </w:p>
        </w:tc>
        <w:tc>
          <w:tcPr>
            <w:tcW w:w="1620" w:type="dxa"/>
            <w:noWrap w:val="0"/>
            <w:vAlign w:val="top"/>
          </w:tcPr>
          <w:p w14:paraId="223ECB1F">
            <w:pPr>
              <w:spacing w:line="360" w:lineRule="auto"/>
              <w:jc w:val="center"/>
              <w:rPr>
                <w:rFonts w:hint="eastAsia" w:ascii="仿宋" w:hAnsi="仿宋" w:eastAsia="仿宋" w:cs="仿宋"/>
                <w:color w:val="auto"/>
                <w:sz w:val="24"/>
                <w:szCs w:val="24"/>
                <w:highlight w:val="none"/>
              </w:rPr>
            </w:pPr>
          </w:p>
        </w:tc>
        <w:tc>
          <w:tcPr>
            <w:tcW w:w="935" w:type="dxa"/>
            <w:noWrap w:val="0"/>
            <w:vAlign w:val="center"/>
          </w:tcPr>
          <w:p w14:paraId="31885BB1">
            <w:pPr>
              <w:spacing w:line="360" w:lineRule="auto"/>
              <w:jc w:val="center"/>
              <w:rPr>
                <w:rFonts w:hint="eastAsia" w:ascii="仿宋" w:hAnsi="仿宋" w:eastAsia="仿宋" w:cs="仿宋"/>
                <w:color w:val="auto"/>
                <w:sz w:val="24"/>
                <w:szCs w:val="24"/>
                <w:highlight w:val="none"/>
              </w:rPr>
            </w:pPr>
          </w:p>
        </w:tc>
      </w:tr>
    </w:tbl>
    <w:p w14:paraId="035205DD">
      <w:pPr>
        <w:ind w:firstLine="616" w:firstLineChars="257"/>
        <w:rPr>
          <w:rFonts w:hint="eastAsia" w:ascii="仿宋" w:hAnsi="仿宋" w:eastAsia="仿宋" w:cs="仿宋"/>
          <w:color w:val="auto"/>
          <w:sz w:val="24"/>
          <w:szCs w:val="24"/>
          <w:highlight w:val="none"/>
        </w:rPr>
      </w:pPr>
    </w:p>
    <w:p w14:paraId="7B7DADC1">
      <w:pPr>
        <w:ind w:left="1519" w:leftChars="266"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注：1、本表须附特殊车辆操作证、驾驶证、身份证、违章等证明材料（复印件加盖公章）；</w:t>
      </w:r>
    </w:p>
    <w:p w14:paraId="3D628ACB">
      <w:pPr>
        <w:numPr>
          <w:ilvl w:val="0"/>
          <w:numId w:val="18"/>
        </w:num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具体人数根据外运量配备。</w:t>
      </w:r>
    </w:p>
    <w:p w14:paraId="30555337">
      <w:pPr>
        <w:rPr>
          <w:rFonts w:hint="eastAsia" w:ascii="仿宋" w:hAnsi="仿宋" w:eastAsia="仿宋" w:cs="仿宋"/>
          <w:color w:val="auto"/>
          <w:sz w:val="24"/>
          <w:szCs w:val="24"/>
          <w:highlight w:val="none"/>
        </w:rPr>
      </w:pPr>
    </w:p>
    <w:p w14:paraId="34D2EF61">
      <w:pPr>
        <w:rPr>
          <w:rFonts w:hint="eastAsia" w:ascii="仿宋" w:hAnsi="仿宋" w:eastAsia="仿宋" w:cs="仿宋"/>
          <w:color w:val="auto"/>
          <w:sz w:val="24"/>
          <w:szCs w:val="24"/>
          <w:highlight w:val="none"/>
        </w:rPr>
      </w:pPr>
    </w:p>
    <w:p w14:paraId="6D658237">
      <w:pPr>
        <w:rPr>
          <w:rFonts w:hint="eastAsia" w:ascii="仿宋" w:hAnsi="仿宋" w:eastAsia="仿宋" w:cs="仿宋"/>
          <w:color w:val="auto"/>
          <w:sz w:val="24"/>
          <w:szCs w:val="24"/>
          <w:highlight w:val="none"/>
        </w:rPr>
      </w:pPr>
    </w:p>
    <w:p w14:paraId="09E9BFBD">
      <w:pPr>
        <w:autoSpaceDE w:val="0"/>
        <w:autoSpaceDN w:val="0"/>
        <w:adjustRightInd w:val="0"/>
        <w:spacing w:line="460" w:lineRule="atLeast"/>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投标人名称（</w:t>
      </w:r>
      <w:r>
        <w:rPr>
          <w:rFonts w:hint="eastAsia" w:ascii="仿宋" w:hAnsi="仿宋" w:eastAsia="仿宋" w:cs="仿宋"/>
          <w:bCs/>
          <w:color w:val="auto"/>
          <w:sz w:val="24"/>
          <w:szCs w:val="24"/>
          <w:highlight w:val="none"/>
          <w:lang w:val="en-US" w:eastAsia="zh-CN"/>
        </w:rPr>
        <w:t>盖章</w:t>
      </w:r>
      <w:r>
        <w:rPr>
          <w:rFonts w:hint="eastAsia" w:ascii="仿宋" w:hAnsi="仿宋" w:eastAsia="仿宋" w:cs="仿宋"/>
          <w:bCs/>
          <w:color w:val="auto"/>
          <w:sz w:val="24"/>
          <w:szCs w:val="24"/>
          <w:highlight w:val="none"/>
          <w:lang w:val="zh-CN"/>
        </w:rPr>
        <w:t>）：</w:t>
      </w:r>
    </w:p>
    <w:p w14:paraId="3D21DDEB">
      <w:pPr>
        <w:autoSpaceDE w:val="0"/>
        <w:autoSpaceDN w:val="0"/>
        <w:adjustRightInd w:val="0"/>
        <w:spacing w:line="460" w:lineRule="atLeast"/>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日期：</w:t>
      </w:r>
    </w:p>
    <w:p w14:paraId="2AA24FC8">
      <w:pPr>
        <w:rPr>
          <w:rFonts w:hint="eastAsia" w:ascii="仿宋" w:hAnsi="仿宋" w:eastAsia="仿宋" w:cs="仿宋"/>
          <w:color w:val="auto"/>
          <w:sz w:val="22"/>
          <w:szCs w:val="22"/>
          <w:highlight w:val="none"/>
        </w:rPr>
      </w:pPr>
      <w:r>
        <w:rPr>
          <w:rFonts w:hint="eastAsia" w:ascii="仿宋" w:hAnsi="仿宋" w:eastAsia="仿宋" w:cs="仿宋"/>
          <w:color w:val="auto"/>
          <w:sz w:val="24"/>
          <w:szCs w:val="24"/>
          <w:highlight w:val="none"/>
        </w:rPr>
        <w:br w:type="page"/>
      </w:r>
      <w:r>
        <w:rPr>
          <w:rFonts w:hint="eastAsia" w:ascii="仿宋" w:hAnsi="仿宋" w:eastAsia="仿宋" w:cs="仿宋_GB2312"/>
          <w:b/>
          <w:color w:val="auto"/>
          <w:kern w:val="0"/>
          <w:sz w:val="28"/>
          <w:szCs w:val="28"/>
          <w:highlight w:val="none"/>
          <w:lang w:val="en-US" w:eastAsia="zh-CN" w:bidi="ar-SA"/>
        </w:rPr>
        <w:t>附件7</w:t>
      </w:r>
    </w:p>
    <w:p w14:paraId="435D744E">
      <w:pPr>
        <w:spacing w:line="40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车辆、机械设备及工具清单 </w:t>
      </w:r>
    </w:p>
    <w:tbl>
      <w:tblPr>
        <w:tblStyle w:val="57"/>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1894"/>
        <w:gridCol w:w="1706"/>
        <w:gridCol w:w="1440"/>
        <w:gridCol w:w="1356"/>
        <w:gridCol w:w="1004"/>
        <w:gridCol w:w="567"/>
        <w:gridCol w:w="827"/>
      </w:tblGrid>
      <w:tr w14:paraId="3D0C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jc w:val="center"/>
        </w:trPr>
        <w:tc>
          <w:tcPr>
            <w:tcW w:w="507" w:type="dxa"/>
            <w:shd w:val="clear" w:color="auto" w:fill="FFFFFF"/>
            <w:noWrap w:val="0"/>
            <w:vAlign w:val="center"/>
          </w:tcPr>
          <w:p w14:paraId="561A197C">
            <w:pPr>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894" w:type="dxa"/>
            <w:shd w:val="clear" w:color="auto" w:fill="FFFFFF"/>
            <w:noWrap w:val="0"/>
            <w:vAlign w:val="center"/>
          </w:tcPr>
          <w:p w14:paraId="0C92E7E8">
            <w:pPr>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名   称</w:t>
            </w:r>
          </w:p>
        </w:tc>
        <w:tc>
          <w:tcPr>
            <w:tcW w:w="1706" w:type="dxa"/>
            <w:shd w:val="clear" w:color="auto" w:fill="FFFFFF"/>
            <w:noWrap w:val="0"/>
            <w:vAlign w:val="center"/>
          </w:tcPr>
          <w:p w14:paraId="7A706E84">
            <w:pPr>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规 格 型 号</w:t>
            </w:r>
          </w:p>
        </w:tc>
        <w:tc>
          <w:tcPr>
            <w:tcW w:w="1440" w:type="dxa"/>
            <w:shd w:val="clear" w:color="auto" w:fill="FFFFFF"/>
            <w:noWrap w:val="0"/>
            <w:vAlign w:val="center"/>
          </w:tcPr>
          <w:p w14:paraId="24C0FF1F">
            <w:pPr>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品牌产地</w:t>
            </w:r>
          </w:p>
        </w:tc>
        <w:tc>
          <w:tcPr>
            <w:tcW w:w="1356" w:type="dxa"/>
            <w:shd w:val="clear" w:color="auto" w:fill="FFFFFF"/>
            <w:noWrap w:val="0"/>
            <w:vAlign w:val="center"/>
          </w:tcPr>
          <w:p w14:paraId="3B5332C0">
            <w:pPr>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出厂日期</w:t>
            </w:r>
          </w:p>
        </w:tc>
        <w:tc>
          <w:tcPr>
            <w:tcW w:w="1004" w:type="dxa"/>
            <w:shd w:val="clear" w:color="auto" w:fill="FFFFFF"/>
            <w:noWrap w:val="0"/>
            <w:vAlign w:val="center"/>
          </w:tcPr>
          <w:p w14:paraId="4F703DA5">
            <w:pPr>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已使用年限</w:t>
            </w:r>
          </w:p>
        </w:tc>
        <w:tc>
          <w:tcPr>
            <w:tcW w:w="567" w:type="dxa"/>
            <w:shd w:val="clear" w:color="auto" w:fill="FFFFFF"/>
            <w:noWrap w:val="0"/>
            <w:vAlign w:val="top"/>
          </w:tcPr>
          <w:p w14:paraId="6D58346A">
            <w:pPr>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数量</w:t>
            </w:r>
          </w:p>
        </w:tc>
        <w:tc>
          <w:tcPr>
            <w:tcW w:w="827" w:type="dxa"/>
            <w:shd w:val="clear" w:color="auto" w:fill="FFFFFF"/>
            <w:noWrap w:val="0"/>
            <w:vAlign w:val="center"/>
          </w:tcPr>
          <w:p w14:paraId="5C4B4888">
            <w:pPr>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 注</w:t>
            </w:r>
          </w:p>
        </w:tc>
      </w:tr>
      <w:tr w14:paraId="5C16E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7" w:type="dxa"/>
            <w:noWrap w:val="0"/>
            <w:vAlign w:val="center"/>
          </w:tcPr>
          <w:p w14:paraId="3C3D4299">
            <w:pPr>
              <w:spacing w:line="400" w:lineRule="exact"/>
              <w:jc w:val="center"/>
              <w:rPr>
                <w:rFonts w:hint="eastAsia" w:ascii="仿宋" w:hAnsi="仿宋" w:eastAsia="仿宋" w:cs="仿宋"/>
                <w:color w:val="auto"/>
                <w:sz w:val="24"/>
                <w:szCs w:val="24"/>
                <w:highlight w:val="none"/>
              </w:rPr>
            </w:pPr>
          </w:p>
        </w:tc>
        <w:tc>
          <w:tcPr>
            <w:tcW w:w="1894" w:type="dxa"/>
            <w:noWrap w:val="0"/>
            <w:vAlign w:val="top"/>
          </w:tcPr>
          <w:p w14:paraId="1760B363">
            <w:pPr>
              <w:spacing w:line="400" w:lineRule="exact"/>
              <w:rPr>
                <w:rFonts w:hint="eastAsia" w:ascii="仿宋" w:hAnsi="仿宋" w:eastAsia="仿宋" w:cs="仿宋"/>
                <w:color w:val="auto"/>
                <w:sz w:val="24"/>
                <w:szCs w:val="24"/>
                <w:highlight w:val="none"/>
              </w:rPr>
            </w:pPr>
          </w:p>
        </w:tc>
        <w:tc>
          <w:tcPr>
            <w:tcW w:w="1706" w:type="dxa"/>
            <w:noWrap w:val="0"/>
            <w:vAlign w:val="top"/>
          </w:tcPr>
          <w:p w14:paraId="5A31F12B">
            <w:pPr>
              <w:spacing w:line="400" w:lineRule="exact"/>
              <w:rPr>
                <w:rFonts w:hint="eastAsia" w:ascii="仿宋" w:hAnsi="仿宋" w:eastAsia="仿宋" w:cs="仿宋"/>
                <w:color w:val="auto"/>
                <w:sz w:val="24"/>
                <w:szCs w:val="24"/>
                <w:highlight w:val="none"/>
              </w:rPr>
            </w:pPr>
          </w:p>
        </w:tc>
        <w:tc>
          <w:tcPr>
            <w:tcW w:w="1440" w:type="dxa"/>
            <w:noWrap w:val="0"/>
            <w:vAlign w:val="top"/>
          </w:tcPr>
          <w:p w14:paraId="5342AF31">
            <w:pPr>
              <w:spacing w:line="400" w:lineRule="exact"/>
              <w:rPr>
                <w:rFonts w:hint="eastAsia" w:ascii="仿宋" w:hAnsi="仿宋" w:eastAsia="仿宋" w:cs="仿宋"/>
                <w:color w:val="auto"/>
                <w:sz w:val="24"/>
                <w:szCs w:val="24"/>
                <w:highlight w:val="none"/>
              </w:rPr>
            </w:pPr>
          </w:p>
        </w:tc>
        <w:tc>
          <w:tcPr>
            <w:tcW w:w="1356" w:type="dxa"/>
            <w:noWrap w:val="0"/>
            <w:vAlign w:val="top"/>
          </w:tcPr>
          <w:p w14:paraId="54121B4B">
            <w:pPr>
              <w:spacing w:line="400" w:lineRule="exact"/>
              <w:rPr>
                <w:rFonts w:hint="eastAsia" w:ascii="仿宋" w:hAnsi="仿宋" w:eastAsia="仿宋" w:cs="仿宋"/>
                <w:color w:val="auto"/>
                <w:sz w:val="24"/>
                <w:szCs w:val="24"/>
                <w:highlight w:val="none"/>
              </w:rPr>
            </w:pPr>
          </w:p>
        </w:tc>
        <w:tc>
          <w:tcPr>
            <w:tcW w:w="1004" w:type="dxa"/>
            <w:noWrap w:val="0"/>
            <w:vAlign w:val="top"/>
          </w:tcPr>
          <w:p w14:paraId="097320E9">
            <w:pPr>
              <w:spacing w:line="400" w:lineRule="exact"/>
              <w:rPr>
                <w:rFonts w:hint="eastAsia" w:ascii="仿宋" w:hAnsi="仿宋" w:eastAsia="仿宋" w:cs="仿宋"/>
                <w:color w:val="auto"/>
                <w:sz w:val="24"/>
                <w:szCs w:val="24"/>
                <w:highlight w:val="none"/>
              </w:rPr>
            </w:pPr>
          </w:p>
        </w:tc>
        <w:tc>
          <w:tcPr>
            <w:tcW w:w="567" w:type="dxa"/>
            <w:noWrap w:val="0"/>
            <w:vAlign w:val="top"/>
          </w:tcPr>
          <w:p w14:paraId="060AC606">
            <w:pPr>
              <w:spacing w:line="400" w:lineRule="exact"/>
              <w:rPr>
                <w:rFonts w:hint="eastAsia" w:ascii="仿宋" w:hAnsi="仿宋" w:eastAsia="仿宋" w:cs="仿宋"/>
                <w:color w:val="auto"/>
                <w:sz w:val="24"/>
                <w:szCs w:val="24"/>
                <w:highlight w:val="none"/>
              </w:rPr>
            </w:pPr>
          </w:p>
        </w:tc>
        <w:tc>
          <w:tcPr>
            <w:tcW w:w="827" w:type="dxa"/>
            <w:noWrap w:val="0"/>
            <w:vAlign w:val="top"/>
          </w:tcPr>
          <w:p w14:paraId="45F6D6A2">
            <w:pPr>
              <w:spacing w:line="400" w:lineRule="exact"/>
              <w:rPr>
                <w:rFonts w:hint="eastAsia" w:ascii="仿宋" w:hAnsi="仿宋" w:eastAsia="仿宋" w:cs="仿宋"/>
                <w:color w:val="auto"/>
                <w:sz w:val="24"/>
                <w:szCs w:val="24"/>
                <w:highlight w:val="none"/>
              </w:rPr>
            </w:pPr>
          </w:p>
        </w:tc>
      </w:tr>
      <w:tr w14:paraId="4D749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7" w:type="dxa"/>
            <w:noWrap w:val="0"/>
            <w:vAlign w:val="center"/>
          </w:tcPr>
          <w:p w14:paraId="62D91D4C">
            <w:pPr>
              <w:spacing w:line="400" w:lineRule="exact"/>
              <w:jc w:val="center"/>
              <w:rPr>
                <w:rFonts w:hint="eastAsia" w:ascii="仿宋" w:hAnsi="仿宋" w:eastAsia="仿宋" w:cs="仿宋"/>
                <w:color w:val="auto"/>
                <w:sz w:val="24"/>
                <w:szCs w:val="24"/>
                <w:highlight w:val="none"/>
              </w:rPr>
            </w:pPr>
          </w:p>
        </w:tc>
        <w:tc>
          <w:tcPr>
            <w:tcW w:w="1894" w:type="dxa"/>
            <w:noWrap w:val="0"/>
            <w:vAlign w:val="top"/>
          </w:tcPr>
          <w:p w14:paraId="697AEB3E">
            <w:pPr>
              <w:spacing w:line="400" w:lineRule="exact"/>
              <w:rPr>
                <w:rFonts w:hint="eastAsia" w:ascii="仿宋" w:hAnsi="仿宋" w:eastAsia="仿宋" w:cs="仿宋"/>
                <w:color w:val="auto"/>
                <w:sz w:val="24"/>
                <w:szCs w:val="24"/>
                <w:highlight w:val="none"/>
              </w:rPr>
            </w:pPr>
          </w:p>
        </w:tc>
        <w:tc>
          <w:tcPr>
            <w:tcW w:w="1706" w:type="dxa"/>
            <w:noWrap w:val="0"/>
            <w:vAlign w:val="top"/>
          </w:tcPr>
          <w:p w14:paraId="10ED27B7">
            <w:pPr>
              <w:spacing w:line="400" w:lineRule="exact"/>
              <w:rPr>
                <w:rFonts w:hint="eastAsia" w:ascii="仿宋" w:hAnsi="仿宋" w:eastAsia="仿宋" w:cs="仿宋"/>
                <w:color w:val="auto"/>
                <w:sz w:val="24"/>
                <w:szCs w:val="24"/>
                <w:highlight w:val="none"/>
              </w:rPr>
            </w:pPr>
          </w:p>
        </w:tc>
        <w:tc>
          <w:tcPr>
            <w:tcW w:w="1440" w:type="dxa"/>
            <w:noWrap w:val="0"/>
            <w:vAlign w:val="top"/>
          </w:tcPr>
          <w:p w14:paraId="396B3B03">
            <w:pPr>
              <w:spacing w:line="400" w:lineRule="exact"/>
              <w:rPr>
                <w:rFonts w:hint="eastAsia" w:ascii="仿宋" w:hAnsi="仿宋" w:eastAsia="仿宋" w:cs="仿宋"/>
                <w:color w:val="auto"/>
                <w:sz w:val="24"/>
                <w:szCs w:val="24"/>
                <w:highlight w:val="none"/>
              </w:rPr>
            </w:pPr>
          </w:p>
        </w:tc>
        <w:tc>
          <w:tcPr>
            <w:tcW w:w="1356" w:type="dxa"/>
            <w:noWrap w:val="0"/>
            <w:vAlign w:val="top"/>
          </w:tcPr>
          <w:p w14:paraId="53D39415">
            <w:pPr>
              <w:spacing w:line="400" w:lineRule="exact"/>
              <w:rPr>
                <w:rFonts w:hint="eastAsia" w:ascii="仿宋" w:hAnsi="仿宋" w:eastAsia="仿宋" w:cs="仿宋"/>
                <w:color w:val="auto"/>
                <w:sz w:val="24"/>
                <w:szCs w:val="24"/>
                <w:highlight w:val="none"/>
              </w:rPr>
            </w:pPr>
          </w:p>
        </w:tc>
        <w:tc>
          <w:tcPr>
            <w:tcW w:w="1004" w:type="dxa"/>
            <w:noWrap w:val="0"/>
            <w:vAlign w:val="top"/>
          </w:tcPr>
          <w:p w14:paraId="6A8BE9E5">
            <w:pPr>
              <w:spacing w:line="400" w:lineRule="exact"/>
              <w:rPr>
                <w:rFonts w:hint="eastAsia" w:ascii="仿宋" w:hAnsi="仿宋" w:eastAsia="仿宋" w:cs="仿宋"/>
                <w:color w:val="auto"/>
                <w:sz w:val="24"/>
                <w:szCs w:val="24"/>
                <w:highlight w:val="none"/>
              </w:rPr>
            </w:pPr>
          </w:p>
        </w:tc>
        <w:tc>
          <w:tcPr>
            <w:tcW w:w="567" w:type="dxa"/>
            <w:noWrap w:val="0"/>
            <w:vAlign w:val="top"/>
          </w:tcPr>
          <w:p w14:paraId="4254EC68">
            <w:pPr>
              <w:spacing w:line="400" w:lineRule="exact"/>
              <w:rPr>
                <w:rFonts w:hint="eastAsia" w:ascii="仿宋" w:hAnsi="仿宋" w:eastAsia="仿宋" w:cs="仿宋"/>
                <w:color w:val="auto"/>
                <w:sz w:val="24"/>
                <w:szCs w:val="24"/>
                <w:highlight w:val="none"/>
              </w:rPr>
            </w:pPr>
          </w:p>
        </w:tc>
        <w:tc>
          <w:tcPr>
            <w:tcW w:w="827" w:type="dxa"/>
            <w:noWrap w:val="0"/>
            <w:vAlign w:val="top"/>
          </w:tcPr>
          <w:p w14:paraId="6EFB0949">
            <w:pPr>
              <w:spacing w:line="400" w:lineRule="exact"/>
              <w:rPr>
                <w:rFonts w:hint="eastAsia" w:ascii="仿宋" w:hAnsi="仿宋" w:eastAsia="仿宋" w:cs="仿宋"/>
                <w:color w:val="auto"/>
                <w:sz w:val="24"/>
                <w:szCs w:val="24"/>
                <w:highlight w:val="none"/>
              </w:rPr>
            </w:pPr>
          </w:p>
        </w:tc>
      </w:tr>
      <w:tr w14:paraId="272C8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7" w:type="dxa"/>
            <w:noWrap w:val="0"/>
            <w:vAlign w:val="center"/>
          </w:tcPr>
          <w:p w14:paraId="266AC2A7">
            <w:pPr>
              <w:spacing w:line="400" w:lineRule="exact"/>
              <w:jc w:val="center"/>
              <w:rPr>
                <w:rFonts w:hint="eastAsia" w:ascii="仿宋" w:hAnsi="仿宋" w:eastAsia="仿宋" w:cs="仿宋"/>
                <w:color w:val="auto"/>
                <w:sz w:val="24"/>
                <w:szCs w:val="24"/>
                <w:highlight w:val="none"/>
              </w:rPr>
            </w:pPr>
          </w:p>
        </w:tc>
        <w:tc>
          <w:tcPr>
            <w:tcW w:w="1894" w:type="dxa"/>
            <w:noWrap w:val="0"/>
            <w:vAlign w:val="top"/>
          </w:tcPr>
          <w:p w14:paraId="0B2CFB26">
            <w:pPr>
              <w:spacing w:line="400" w:lineRule="exact"/>
              <w:rPr>
                <w:rFonts w:hint="eastAsia" w:ascii="仿宋" w:hAnsi="仿宋" w:eastAsia="仿宋" w:cs="仿宋"/>
                <w:color w:val="auto"/>
                <w:sz w:val="24"/>
                <w:szCs w:val="24"/>
                <w:highlight w:val="none"/>
              </w:rPr>
            </w:pPr>
          </w:p>
        </w:tc>
        <w:tc>
          <w:tcPr>
            <w:tcW w:w="1706" w:type="dxa"/>
            <w:noWrap w:val="0"/>
            <w:vAlign w:val="top"/>
          </w:tcPr>
          <w:p w14:paraId="7247AEBD">
            <w:pPr>
              <w:spacing w:line="400" w:lineRule="exact"/>
              <w:rPr>
                <w:rFonts w:hint="eastAsia" w:ascii="仿宋" w:hAnsi="仿宋" w:eastAsia="仿宋" w:cs="仿宋"/>
                <w:color w:val="auto"/>
                <w:sz w:val="24"/>
                <w:szCs w:val="24"/>
                <w:highlight w:val="none"/>
              </w:rPr>
            </w:pPr>
          </w:p>
        </w:tc>
        <w:tc>
          <w:tcPr>
            <w:tcW w:w="1440" w:type="dxa"/>
            <w:noWrap w:val="0"/>
            <w:vAlign w:val="top"/>
          </w:tcPr>
          <w:p w14:paraId="227E013C">
            <w:pPr>
              <w:spacing w:line="400" w:lineRule="exact"/>
              <w:rPr>
                <w:rFonts w:hint="eastAsia" w:ascii="仿宋" w:hAnsi="仿宋" w:eastAsia="仿宋" w:cs="仿宋"/>
                <w:color w:val="auto"/>
                <w:sz w:val="24"/>
                <w:szCs w:val="24"/>
                <w:highlight w:val="none"/>
              </w:rPr>
            </w:pPr>
          </w:p>
        </w:tc>
        <w:tc>
          <w:tcPr>
            <w:tcW w:w="1356" w:type="dxa"/>
            <w:noWrap w:val="0"/>
            <w:vAlign w:val="top"/>
          </w:tcPr>
          <w:p w14:paraId="63747EDB">
            <w:pPr>
              <w:spacing w:line="400" w:lineRule="exact"/>
              <w:rPr>
                <w:rFonts w:hint="eastAsia" w:ascii="仿宋" w:hAnsi="仿宋" w:eastAsia="仿宋" w:cs="仿宋"/>
                <w:color w:val="auto"/>
                <w:sz w:val="24"/>
                <w:szCs w:val="24"/>
                <w:highlight w:val="none"/>
              </w:rPr>
            </w:pPr>
          </w:p>
        </w:tc>
        <w:tc>
          <w:tcPr>
            <w:tcW w:w="1004" w:type="dxa"/>
            <w:noWrap w:val="0"/>
            <w:vAlign w:val="top"/>
          </w:tcPr>
          <w:p w14:paraId="57C2FF42">
            <w:pPr>
              <w:spacing w:line="400" w:lineRule="exact"/>
              <w:rPr>
                <w:rFonts w:hint="eastAsia" w:ascii="仿宋" w:hAnsi="仿宋" w:eastAsia="仿宋" w:cs="仿宋"/>
                <w:color w:val="auto"/>
                <w:sz w:val="24"/>
                <w:szCs w:val="24"/>
                <w:highlight w:val="none"/>
              </w:rPr>
            </w:pPr>
          </w:p>
        </w:tc>
        <w:tc>
          <w:tcPr>
            <w:tcW w:w="567" w:type="dxa"/>
            <w:noWrap w:val="0"/>
            <w:vAlign w:val="top"/>
          </w:tcPr>
          <w:p w14:paraId="29A1C8C4">
            <w:pPr>
              <w:spacing w:line="400" w:lineRule="exact"/>
              <w:rPr>
                <w:rFonts w:hint="eastAsia" w:ascii="仿宋" w:hAnsi="仿宋" w:eastAsia="仿宋" w:cs="仿宋"/>
                <w:color w:val="auto"/>
                <w:sz w:val="24"/>
                <w:szCs w:val="24"/>
                <w:highlight w:val="none"/>
              </w:rPr>
            </w:pPr>
          </w:p>
        </w:tc>
        <w:tc>
          <w:tcPr>
            <w:tcW w:w="827" w:type="dxa"/>
            <w:noWrap w:val="0"/>
            <w:vAlign w:val="top"/>
          </w:tcPr>
          <w:p w14:paraId="580353F8">
            <w:pPr>
              <w:spacing w:line="400" w:lineRule="exact"/>
              <w:rPr>
                <w:rFonts w:hint="eastAsia" w:ascii="仿宋" w:hAnsi="仿宋" w:eastAsia="仿宋" w:cs="仿宋"/>
                <w:color w:val="auto"/>
                <w:sz w:val="24"/>
                <w:szCs w:val="24"/>
                <w:highlight w:val="none"/>
              </w:rPr>
            </w:pPr>
          </w:p>
        </w:tc>
      </w:tr>
      <w:tr w14:paraId="3FC36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7" w:type="dxa"/>
            <w:noWrap w:val="0"/>
            <w:vAlign w:val="center"/>
          </w:tcPr>
          <w:p w14:paraId="1B31177E">
            <w:pPr>
              <w:spacing w:line="400" w:lineRule="exact"/>
              <w:jc w:val="center"/>
              <w:rPr>
                <w:rFonts w:hint="eastAsia" w:ascii="仿宋" w:hAnsi="仿宋" w:eastAsia="仿宋" w:cs="仿宋"/>
                <w:color w:val="auto"/>
                <w:sz w:val="24"/>
                <w:szCs w:val="24"/>
                <w:highlight w:val="none"/>
              </w:rPr>
            </w:pPr>
          </w:p>
        </w:tc>
        <w:tc>
          <w:tcPr>
            <w:tcW w:w="1894" w:type="dxa"/>
            <w:noWrap w:val="0"/>
            <w:vAlign w:val="top"/>
          </w:tcPr>
          <w:p w14:paraId="4B95ED1F">
            <w:pPr>
              <w:spacing w:line="400" w:lineRule="exact"/>
              <w:rPr>
                <w:rFonts w:hint="eastAsia" w:ascii="仿宋" w:hAnsi="仿宋" w:eastAsia="仿宋" w:cs="仿宋"/>
                <w:color w:val="auto"/>
                <w:sz w:val="24"/>
                <w:szCs w:val="24"/>
                <w:highlight w:val="none"/>
              </w:rPr>
            </w:pPr>
          </w:p>
        </w:tc>
        <w:tc>
          <w:tcPr>
            <w:tcW w:w="1706" w:type="dxa"/>
            <w:noWrap w:val="0"/>
            <w:vAlign w:val="top"/>
          </w:tcPr>
          <w:p w14:paraId="54700B2F">
            <w:pPr>
              <w:spacing w:line="400" w:lineRule="exact"/>
              <w:rPr>
                <w:rFonts w:hint="eastAsia" w:ascii="仿宋" w:hAnsi="仿宋" w:eastAsia="仿宋" w:cs="仿宋"/>
                <w:color w:val="auto"/>
                <w:sz w:val="24"/>
                <w:szCs w:val="24"/>
                <w:highlight w:val="none"/>
              </w:rPr>
            </w:pPr>
          </w:p>
        </w:tc>
        <w:tc>
          <w:tcPr>
            <w:tcW w:w="1440" w:type="dxa"/>
            <w:noWrap w:val="0"/>
            <w:vAlign w:val="top"/>
          </w:tcPr>
          <w:p w14:paraId="2FDF68B2">
            <w:pPr>
              <w:spacing w:line="400" w:lineRule="exact"/>
              <w:rPr>
                <w:rFonts w:hint="eastAsia" w:ascii="仿宋" w:hAnsi="仿宋" w:eastAsia="仿宋" w:cs="仿宋"/>
                <w:color w:val="auto"/>
                <w:sz w:val="24"/>
                <w:szCs w:val="24"/>
                <w:highlight w:val="none"/>
              </w:rPr>
            </w:pPr>
          </w:p>
        </w:tc>
        <w:tc>
          <w:tcPr>
            <w:tcW w:w="1356" w:type="dxa"/>
            <w:noWrap w:val="0"/>
            <w:vAlign w:val="top"/>
          </w:tcPr>
          <w:p w14:paraId="23A47AFD">
            <w:pPr>
              <w:spacing w:line="400" w:lineRule="exact"/>
              <w:rPr>
                <w:rFonts w:hint="eastAsia" w:ascii="仿宋" w:hAnsi="仿宋" w:eastAsia="仿宋" w:cs="仿宋"/>
                <w:color w:val="auto"/>
                <w:sz w:val="24"/>
                <w:szCs w:val="24"/>
                <w:highlight w:val="none"/>
              </w:rPr>
            </w:pPr>
          </w:p>
        </w:tc>
        <w:tc>
          <w:tcPr>
            <w:tcW w:w="1004" w:type="dxa"/>
            <w:noWrap w:val="0"/>
            <w:vAlign w:val="top"/>
          </w:tcPr>
          <w:p w14:paraId="5EE7FF01">
            <w:pPr>
              <w:spacing w:line="400" w:lineRule="exact"/>
              <w:rPr>
                <w:rFonts w:hint="eastAsia" w:ascii="仿宋" w:hAnsi="仿宋" w:eastAsia="仿宋" w:cs="仿宋"/>
                <w:color w:val="auto"/>
                <w:sz w:val="24"/>
                <w:szCs w:val="24"/>
                <w:highlight w:val="none"/>
              </w:rPr>
            </w:pPr>
          </w:p>
        </w:tc>
        <w:tc>
          <w:tcPr>
            <w:tcW w:w="567" w:type="dxa"/>
            <w:noWrap w:val="0"/>
            <w:vAlign w:val="top"/>
          </w:tcPr>
          <w:p w14:paraId="6BEF59D1">
            <w:pPr>
              <w:spacing w:line="400" w:lineRule="exact"/>
              <w:rPr>
                <w:rFonts w:hint="eastAsia" w:ascii="仿宋" w:hAnsi="仿宋" w:eastAsia="仿宋" w:cs="仿宋"/>
                <w:color w:val="auto"/>
                <w:sz w:val="24"/>
                <w:szCs w:val="24"/>
                <w:highlight w:val="none"/>
              </w:rPr>
            </w:pPr>
          </w:p>
        </w:tc>
        <w:tc>
          <w:tcPr>
            <w:tcW w:w="827" w:type="dxa"/>
            <w:noWrap w:val="0"/>
            <w:vAlign w:val="top"/>
          </w:tcPr>
          <w:p w14:paraId="6CEBFCC8">
            <w:pPr>
              <w:spacing w:line="400" w:lineRule="exact"/>
              <w:rPr>
                <w:rFonts w:hint="eastAsia" w:ascii="仿宋" w:hAnsi="仿宋" w:eastAsia="仿宋" w:cs="仿宋"/>
                <w:color w:val="auto"/>
                <w:sz w:val="24"/>
                <w:szCs w:val="24"/>
                <w:highlight w:val="none"/>
              </w:rPr>
            </w:pPr>
          </w:p>
        </w:tc>
      </w:tr>
      <w:tr w14:paraId="636D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7" w:type="dxa"/>
            <w:noWrap w:val="0"/>
            <w:vAlign w:val="center"/>
          </w:tcPr>
          <w:p w14:paraId="3597EEAA">
            <w:pPr>
              <w:spacing w:line="400" w:lineRule="exact"/>
              <w:jc w:val="center"/>
              <w:rPr>
                <w:rFonts w:hint="eastAsia" w:ascii="仿宋" w:hAnsi="仿宋" w:eastAsia="仿宋" w:cs="仿宋"/>
                <w:color w:val="auto"/>
                <w:sz w:val="24"/>
                <w:szCs w:val="24"/>
                <w:highlight w:val="none"/>
              </w:rPr>
            </w:pPr>
          </w:p>
        </w:tc>
        <w:tc>
          <w:tcPr>
            <w:tcW w:w="1894" w:type="dxa"/>
            <w:noWrap w:val="0"/>
            <w:vAlign w:val="top"/>
          </w:tcPr>
          <w:p w14:paraId="48EFFF06">
            <w:pPr>
              <w:spacing w:line="400" w:lineRule="exact"/>
              <w:rPr>
                <w:rFonts w:hint="eastAsia" w:ascii="仿宋" w:hAnsi="仿宋" w:eastAsia="仿宋" w:cs="仿宋"/>
                <w:color w:val="auto"/>
                <w:sz w:val="24"/>
                <w:szCs w:val="24"/>
                <w:highlight w:val="none"/>
              </w:rPr>
            </w:pPr>
          </w:p>
        </w:tc>
        <w:tc>
          <w:tcPr>
            <w:tcW w:w="1706" w:type="dxa"/>
            <w:noWrap w:val="0"/>
            <w:vAlign w:val="top"/>
          </w:tcPr>
          <w:p w14:paraId="762A7CAD">
            <w:pPr>
              <w:spacing w:line="400" w:lineRule="exact"/>
              <w:rPr>
                <w:rFonts w:hint="eastAsia" w:ascii="仿宋" w:hAnsi="仿宋" w:eastAsia="仿宋" w:cs="仿宋"/>
                <w:color w:val="auto"/>
                <w:sz w:val="24"/>
                <w:szCs w:val="24"/>
                <w:highlight w:val="none"/>
              </w:rPr>
            </w:pPr>
          </w:p>
        </w:tc>
        <w:tc>
          <w:tcPr>
            <w:tcW w:w="1440" w:type="dxa"/>
            <w:noWrap w:val="0"/>
            <w:vAlign w:val="top"/>
          </w:tcPr>
          <w:p w14:paraId="7F235240">
            <w:pPr>
              <w:spacing w:line="400" w:lineRule="exact"/>
              <w:rPr>
                <w:rFonts w:hint="eastAsia" w:ascii="仿宋" w:hAnsi="仿宋" w:eastAsia="仿宋" w:cs="仿宋"/>
                <w:color w:val="auto"/>
                <w:sz w:val="24"/>
                <w:szCs w:val="24"/>
                <w:highlight w:val="none"/>
              </w:rPr>
            </w:pPr>
          </w:p>
        </w:tc>
        <w:tc>
          <w:tcPr>
            <w:tcW w:w="1356" w:type="dxa"/>
            <w:noWrap w:val="0"/>
            <w:vAlign w:val="top"/>
          </w:tcPr>
          <w:p w14:paraId="4648C1E6">
            <w:pPr>
              <w:spacing w:line="400" w:lineRule="exact"/>
              <w:rPr>
                <w:rFonts w:hint="eastAsia" w:ascii="仿宋" w:hAnsi="仿宋" w:eastAsia="仿宋" w:cs="仿宋"/>
                <w:color w:val="auto"/>
                <w:sz w:val="24"/>
                <w:szCs w:val="24"/>
                <w:highlight w:val="none"/>
              </w:rPr>
            </w:pPr>
          </w:p>
        </w:tc>
        <w:tc>
          <w:tcPr>
            <w:tcW w:w="1004" w:type="dxa"/>
            <w:noWrap w:val="0"/>
            <w:vAlign w:val="top"/>
          </w:tcPr>
          <w:p w14:paraId="62907722">
            <w:pPr>
              <w:spacing w:line="400" w:lineRule="exact"/>
              <w:rPr>
                <w:rFonts w:hint="eastAsia" w:ascii="仿宋" w:hAnsi="仿宋" w:eastAsia="仿宋" w:cs="仿宋"/>
                <w:color w:val="auto"/>
                <w:sz w:val="24"/>
                <w:szCs w:val="24"/>
                <w:highlight w:val="none"/>
              </w:rPr>
            </w:pPr>
          </w:p>
        </w:tc>
        <w:tc>
          <w:tcPr>
            <w:tcW w:w="567" w:type="dxa"/>
            <w:noWrap w:val="0"/>
            <w:vAlign w:val="top"/>
          </w:tcPr>
          <w:p w14:paraId="3D3A6A59">
            <w:pPr>
              <w:spacing w:line="400" w:lineRule="exact"/>
              <w:rPr>
                <w:rFonts w:hint="eastAsia" w:ascii="仿宋" w:hAnsi="仿宋" w:eastAsia="仿宋" w:cs="仿宋"/>
                <w:color w:val="auto"/>
                <w:sz w:val="24"/>
                <w:szCs w:val="24"/>
                <w:highlight w:val="none"/>
              </w:rPr>
            </w:pPr>
          </w:p>
        </w:tc>
        <w:tc>
          <w:tcPr>
            <w:tcW w:w="827" w:type="dxa"/>
            <w:noWrap w:val="0"/>
            <w:vAlign w:val="top"/>
          </w:tcPr>
          <w:p w14:paraId="6529F571">
            <w:pPr>
              <w:spacing w:line="400" w:lineRule="exact"/>
              <w:rPr>
                <w:rFonts w:hint="eastAsia" w:ascii="仿宋" w:hAnsi="仿宋" w:eastAsia="仿宋" w:cs="仿宋"/>
                <w:color w:val="auto"/>
                <w:sz w:val="24"/>
                <w:szCs w:val="24"/>
                <w:highlight w:val="none"/>
              </w:rPr>
            </w:pPr>
          </w:p>
        </w:tc>
      </w:tr>
      <w:tr w14:paraId="7C1E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7" w:type="dxa"/>
            <w:noWrap w:val="0"/>
            <w:vAlign w:val="center"/>
          </w:tcPr>
          <w:p w14:paraId="2883327B">
            <w:pPr>
              <w:spacing w:line="400" w:lineRule="exact"/>
              <w:jc w:val="center"/>
              <w:rPr>
                <w:rFonts w:hint="eastAsia" w:ascii="仿宋" w:hAnsi="仿宋" w:eastAsia="仿宋" w:cs="仿宋"/>
                <w:color w:val="auto"/>
                <w:sz w:val="24"/>
                <w:szCs w:val="24"/>
                <w:highlight w:val="none"/>
              </w:rPr>
            </w:pPr>
          </w:p>
        </w:tc>
        <w:tc>
          <w:tcPr>
            <w:tcW w:w="1894" w:type="dxa"/>
            <w:noWrap w:val="0"/>
            <w:vAlign w:val="top"/>
          </w:tcPr>
          <w:p w14:paraId="64A789D1">
            <w:pPr>
              <w:spacing w:line="400" w:lineRule="exact"/>
              <w:rPr>
                <w:rFonts w:hint="eastAsia" w:ascii="仿宋" w:hAnsi="仿宋" w:eastAsia="仿宋" w:cs="仿宋"/>
                <w:color w:val="auto"/>
                <w:sz w:val="24"/>
                <w:szCs w:val="24"/>
                <w:highlight w:val="none"/>
              </w:rPr>
            </w:pPr>
          </w:p>
        </w:tc>
        <w:tc>
          <w:tcPr>
            <w:tcW w:w="1706" w:type="dxa"/>
            <w:noWrap w:val="0"/>
            <w:vAlign w:val="top"/>
          </w:tcPr>
          <w:p w14:paraId="69C51644">
            <w:pPr>
              <w:spacing w:line="400" w:lineRule="exact"/>
              <w:rPr>
                <w:rFonts w:hint="eastAsia" w:ascii="仿宋" w:hAnsi="仿宋" w:eastAsia="仿宋" w:cs="仿宋"/>
                <w:color w:val="auto"/>
                <w:sz w:val="24"/>
                <w:szCs w:val="24"/>
                <w:highlight w:val="none"/>
              </w:rPr>
            </w:pPr>
          </w:p>
        </w:tc>
        <w:tc>
          <w:tcPr>
            <w:tcW w:w="1440" w:type="dxa"/>
            <w:noWrap w:val="0"/>
            <w:vAlign w:val="top"/>
          </w:tcPr>
          <w:p w14:paraId="5D3421EC">
            <w:pPr>
              <w:spacing w:line="400" w:lineRule="exact"/>
              <w:rPr>
                <w:rFonts w:hint="eastAsia" w:ascii="仿宋" w:hAnsi="仿宋" w:eastAsia="仿宋" w:cs="仿宋"/>
                <w:color w:val="auto"/>
                <w:sz w:val="24"/>
                <w:szCs w:val="24"/>
                <w:highlight w:val="none"/>
              </w:rPr>
            </w:pPr>
          </w:p>
        </w:tc>
        <w:tc>
          <w:tcPr>
            <w:tcW w:w="1356" w:type="dxa"/>
            <w:noWrap w:val="0"/>
            <w:vAlign w:val="top"/>
          </w:tcPr>
          <w:p w14:paraId="5AE63AB6">
            <w:pPr>
              <w:spacing w:line="400" w:lineRule="exact"/>
              <w:rPr>
                <w:rFonts w:hint="eastAsia" w:ascii="仿宋" w:hAnsi="仿宋" w:eastAsia="仿宋" w:cs="仿宋"/>
                <w:color w:val="auto"/>
                <w:sz w:val="24"/>
                <w:szCs w:val="24"/>
                <w:highlight w:val="none"/>
              </w:rPr>
            </w:pPr>
          </w:p>
        </w:tc>
        <w:tc>
          <w:tcPr>
            <w:tcW w:w="1004" w:type="dxa"/>
            <w:noWrap w:val="0"/>
            <w:vAlign w:val="top"/>
          </w:tcPr>
          <w:p w14:paraId="0D1FD032">
            <w:pPr>
              <w:spacing w:line="400" w:lineRule="exact"/>
              <w:rPr>
                <w:rFonts w:hint="eastAsia" w:ascii="仿宋" w:hAnsi="仿宋" w:eastAsia="仿宋" w:cs="仿宋"/>
                <w:color w:val="auto"/>
                <w:sz w:val="24"/>
                <w:szCs w:val="24"/>
                <w:highlight w:val="none"/>
              </w:rPr>
            </w:pPr>
          </w:p>
        </w:tc>
        <w:tc>
          <w:tcPr>
            <w:tcW w:w="567" w:type="dxa"/>
            <w:noWrap w:val="0"/>
            <w:vAlign w:val="top"/>
          </w:tcPr>
          <w:p w14:paraId="6B897D40">
            <w:pPr>
              <w:spacing w:line="400" w:lineRule="exact"/>
              <w:rPr>
                <w:rFonts w:hint="eastAsia" w:ascii="仿宋" w:hAnsi="仿宋" w:eastAsia="仿宋" w:cs="仿宋"/>
                <w:color w:val="auto"/>
                <w:sz w:val="24"/>
                <w:szCs w:val="24"/>
                <w:highlight w:val="none"/>
              </w:rPr>
            </w:pPr>
          </w:p>
        </w:tc>
        <w:tc>
          <w:tcPr>
            <w:tcW w:w="827" w:type="dxa"/>
            <w:noWrap w:val="0"/>
            <w:vAlign w:val="top"/>
          </w:tcPr>
          <w:p w14:paraId="42CC8ACB">
            <w:pPr>
              <w:spacing w:line="400" w:lineRule="exact"/>
              <w:rPr>
                <w:rFonts w:hint="eastAsia" w:ascii="仿宋" w:hAnsi="仿宋" w:eastAsia="仿宋" w:cs="仿宋"/>
                <w:color w:val="auto"/>
                <w:sz w:val="24"/>
                <w:szCs w:val="24"/>
                <w:highlight w:val="none"/>
              </w:rPr>
            </w:pPr>
          </w:p>
        </w:tc>
      </w:tr>
      <w:tr w14:paraId="61745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7" w:type="dxa"/>
            <w:noWrap w:val="0"/>
            <w:vAlign w:val="center"/>
          </w:tcPr>
          <w:p w14:paraId="1669F6D9">
            <w:pPr>
              <w:spacing w:line="400" w:lineRule="exact"/>
              <w:jc w:val="center"/>
              <w:rPr>
                <w:rFonts w:hint="eastAsia" w:ascii="仿宋" w:hAnsi="仿宋" w:eastAsia="仿宋" w:cs="仿宋"/>
                <w:color w:val="auto"/>
                <w:sz w:val="24"/>
                <w:szCs w:val="24"/>
                <w:highlight w:val="none"/>
              </w:rPr>
            </w:pPr>
          </w:p>
        </w:tc>
        <w:tc>
          <w:tcPr>
            <w:tcW w:w="1894" w:type="dxa"/>
            <w:noWrap w:val="0"/>
            <w:vAlign w:val="top"/>
          </w:tcPr>
          <w:p w14:paraId="2DBE066A">
            <w:pPr>
              <w:spacing w:line="400" w:lineRule="exact"/>
              <w:rPr>
                <w:rFonts w:hint="eastAsia" w:ascii="仿宋" w:hAnsi="仿宋" w:eastAsia="仿宋" w:cs="仿宋"/>
                <w:color w:val="auto"/>
                <w:sz w:val="24"/>
                <w:szCs w:val="24"/>
                <w:highlight w:val="none"/>
              </w:rPr>
            </w:pPr>
          </w:p>
        </w:tc>
        <w:tc>
          <w:tcPr>
            <w:tcW w:w="1706" w:type="dxa"/>
            <w:noWrap w:val="0"/>
            <w:vAlign w:val="top"/>
          </w:tcPr>
          <w:p w14:paraId="6DB9249B">
            <w:pPr>
              <w:spacing w:line="400" w:lineRule="exact"/>
              <w:rPr>
                <w:rFonts w:hint="eastAsia" w:ascii="仿宋" w:hAnsi="仿宋" w:eastAsia="仿宋" w:cs="仿宋"/>
                <w:color w:val="auto"/>
                <w:sz w:val="24"/>
                <w:szCs w:val="24"/>
                <w:highlight w:val="none"/>
              </w:rPr>
            </w:pPr>
          </w:p>
        </w:tc>
        <w:tc>
          <w:tcPr>
            <w:tcW w:w="1440" w:type="dxa"/>
            <w:noWrap w:val="0"/>
            <w:vAlign w:val="top"/>
          </w:tcPr>
          <w:p w14:paraId="2A205AAF">
            <w:pPr>
              <w:spacing w:line="400" w:lineRule="exact"/>
              <w:rPr>
                <w:rFonts w:hint="eastAsia" w:ascii="仿宋" w:hAnsi="仿宋" w:eastAsia="仿宋" w:cs="仿宋"/>
                <w:color w:val="auto"/>
                <w:sz w:val="24"/>
                <w:szCs w:val="24"/>
                <w:highlight w:val="none"/>
              </w:rPr>
            </w:pPr>
          </w:p>
        </w:tc>
        <w:tc>
          <w:tcPr>
            <w:tcW w:w="1356" w:type="dxa"/>
            <w:noWrap w:val="0"/>
            <w:vAlign w:val="top"/>
          </w:tcPr>
          <w:p w14:paraId="3825558B">
            <w:pPr>
              <w:spacing w:line="400" w:lineRule="exact"/>
              <w:rPr>
                <w:rFonts w:hint="eastAsia" w:ascii="仿宋" w:hAnsi="仿宋" w:eastAsia="仿宋" w:cs="仿宋"/>
                <w:color w:val="auto"/>
                <w:sz w:val="24"/>
                <w:szCs w:val="24"/>
                <w:highlight w:val="none"/>
              </w:rPr>
            </w:pPr>
          </w:p>
        </w:tc>
        <w:tc>
          <w:tcPr>
            <w:tcW w:w="1004" w:type="dxa"/>
            <w:noWrap w:val="0"/>
            <w:vAlign w:val="top"/>
          </w:tcPr>
          <w:p w14:paraId="0ECDF71A">
            <w:pPr>
              <w:spacing w:line="400" w:lineRule="exact"/>
              <w:rPr>
                <w:rFonts w:hint="eastAsia" w:ascii="仿宋" w:hAnsi="仿宋" w:eastAsia="仿宋" w:cs="仿宋"/>
                <w:color w:val="auto"/>
                <w:sz w:val="24"/>
                <w:szCs w:val="24"/>
                <w:highlight w:val="none"/>
              </w:rPr>
            </w:pPr>
          </w:p>
        </w:tc>
        <w:tc>
          <w:tcPr>
            <w:tcW w:w="567" w:type="dxa"/>
            <w:noWrap w:val="0"/>
            <w:vAlign w:val="top"/>
          </w:tcPr>
          <w:p w14:paraId="4DDD5435">
            <w:pPr>
              <w:spacing w:line="400" w:lineRule="exact"/>
              <w:rPr>
                <w:rFonts w:hint="eastAsia" w:ascii="仿宋" w:hAnsi="仿宋" w:eastAsia="仿宋" w:cs="仿宋"/>
                <w:color w:val="auto"/>
                <w:sz w:val="24"/>
                <w:szCs w:val="24"/>
                <w:highlight w:val="none"/>
              </w:rPr>
            </w:pPr>
          </w:p>
        </w:tc>
        <w:tc>
          <w:tcPr>
            <w:tcW w:w="827" w:type="dxa"/>
            <w:noWrap w:val="0"/>
            <w:vAlign w:val="top"/>
          </w:tcPr>
          <w:p w14:paraId="103BC50E">
            <w:pPr>
              <w:spacing w:line="400" w:lineRule="exact"/>
              <w:rPr>
                <w:rFonts w:hint="eastAsia" w:ascii="仿宋" w:hAnsi="仿宋" w:eastAsia="仿宋" w:cs="仿宋"/>
                <w:color w:val="auto"/>
                <w:sz w:val="24"/>
                <w:szCs w:val="24"/>
                <w:highlight w:val="none"/>
              </w:rPr>
            </w:pPr>
          </w:p>
        </w:tc>
      </w:tr>
      <w:tr w14:paraId="1B817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7" w:type="dxa"/>
            <w:noWrap w:val="0"/>
            <w:vAlign w:val="center"/>
          </w:tcPr>
          <w:p w14:paraId="5A2AD85B">
            <w:pPr>
              <w:spacing w:line="400" w:lineRule="exact"/>
              <w:jc w:val="center"/>
              <w:rPr>
                <w:rFonts w:hint="eastAsia" w:ascii="仿宋" w:hAnsi="仿宋" w:eastAsia="仿宋" w:cs="仿宋"/>
                <w:color w:val="auto"/>
                <w:sz w:val="24"/>
                <w:szCs w:val="24"/>
                <w:highlight w:val="none"/>
              </w:rPr>
            </w:pPr>
          </w:p>
        </w:tc>
        <w:tc>
          <w:tcPr>
            <w:tcW w:w="1894" w:type="dxa"/>
            <w:noWrap w:val="0"/>
            <w:vAlign w:val="top"/>
          </w:tcPr>
          <w:p w14:paraId="0BF4E202">
            <w:pPr>
              <w:spacing w:line="400" w:lineRule="exact"/>
              <w:rPr>
                <w:rFonts w:hint="eastAsia" w:ascii="仿宋" w:hAnsi="仿宋" w:eastAsia="仿宋" w:cs="仿宋"/>
                <w:color w:val="auto"/>
                <w:sz w:val="24"/>
                <w:szCs w:val="24"/>
                <w:highlight w:val="none"/>
              </w:rPr>
            </w:pPr>
          </w:p>
        </w:tc>
        <w:tc>
          <w:tcPr>
            <w:tcW w:w="1706" w:type="dxa"/>
            <w:noWrap w:val="0"/>
            <w:vAlign w:val="top"/>
          </w:tcPr>
          <w:p w14:paraId="2DF1877C">
            <w:pPr>
              <w:spacing w:line="400" w:lineRule="exact"/>
              <w:rPr>
                <w:rFonts w:hint="eastAsia" w:ascii="仿宋" w:hAnsi="仿宋" w:eastAsia="仿宋" w:cs="仿宋"/>
                <w:color w:val="auto"/>
                <w:sz w:val="24"/>
                <w:szCs w:val="24"/>
                <w:highlight w:val="none"/>
              </w:rPr>
            </w:pPr>
          </w:p>
        </w:tc>
        <w:tc>
          <w:tcPr>
            <w:tcW w:w="1440" w:type="dxa"/>
            <w:noWrap w:val="0"/>
            <w:vAlign w:val="top"/>
          </w:tcPr>
          <w:p w14:paraId="7923C85A">
            <w:pPr>
              <w:spacing w:line="400" w:lineRule="exact"/>
              <w:rPr>
                <w:rFonts w:hint="eastAsia" w:ascii="仿宋" w:hAnsi="仿宋" w:eastAsia="仿宋" w:cs="仿宋"/>
                <w:color w:val="auto"/>
                <w:sz w:val="24"/>
                <w:szCs w:val="24"/>
                <w:highlight w:val="none"/>
              </w:rPr>
            </w:pPr>
          </w:p>
        </w:tc>
        <w:tc>
          <w:tcPr>
            <w:tcW w:w="1356" w:type="dxa"/>
            <w:noWrap w:val="0"/>
            <w:vAlign w:val="top"/>
          </w:tcPr>
          <w:p w14:paraId="0B0F99B6">
            <w:pPr>
              <w:spacing w:line="400" w:lineRule="exact"/>
              <w:rPr>
                <w:rFonts w:hint="eastAsia" w:ascii="仿宋" w:hAnsi="仿宋" w:eastAsia="仿宋" w:cs="仿宋"/>
                <w:color w:val="auto"/>
                <w:sz w:val="24"/>
                <w:szCs w:val="24"/>
                <w:highlight w:val="none"/>
              </w:rPr>
            </w:pPr>
          </w:p>
        </w:tc>
        <w:tc>
          <w:tcPr>
            <w:tcW w:w="1004" w:type="dxa"/>
            <w:noWrap w:val="0"/>
            <w:vAlign w:val="top"/>
          </w:tcPr>
          <w:p w14:paraId="0734E886">
            <w:pPr>
              <w:spacing w:line="400" w:lineRule="exact"/>
              <w:rPr>
                <w:rFonts w:hint="eastAsia" w:ascii="仿宋" w:hAnsi="仿宋" w:eastAsia="仿宋" w:cs="仿宋"/>
                <w:color w:val="auto"/>
                <w:sz w:val="24"/>
                <w:szCs w:val="24"/>
                <w:highlight w:val="none"/>
              </w:rPr>
            </w:pPr>
          </w:p>
        </w:tc>
        <w:tc>
          <w:tcPr>
            <w:tcW w:w="567" w:type="dxa"/>
            <w:noWrap w:val="0"/>
            <w:vAlign w:val="top"/>
          </w:tcPr>
          <w:p w14:paraId="3A8676E2">
            <w:pPr>
              <w:spacing w:line="400" w:lineRule="exact"/>
              <w:rPr>
                <w:rFonts w:hint="eastAsia" w:ascii="仿宋" w:hAnsi="仿宋" w:eastAsia="仿宋" w:cs="仿宋"/>
                <w:color w:val="auto"/>
                <w:sz w:val="24"/>
                <w:szCs w:val="24"/>
                <w:highlight w:val="none"/>
              </w:rPr>
            </w:pPr>
          </w:p>
        </w:tc>
        <w:tc>
          <w:tcPr>
            <w:tcW w:w="827" w:type="dxa"/>
            <w:noWrap w:val="0"/>
            <w:vAlign w:val="top"/>
          </w:tcPr>
          <w:p w14:paraId="167170D8">
            <w:pPr>
              <w:spacing w:line="400" w:lineRule="exact"/>
              <w:rPr>
                <w:rFonts w:hint="eastAsia" w:ascii="仿宋" w:hAnsi="仿宋" w:eastAsia="仿宋" w:cs="仿宋"/>
                <w:color w:val="auto"/>
                <w:sz w:val="24"/>
                <w:szCs w:val="24"/>
                <w:highlight w:val="none"/>
              </w:rPr>
            </w:pPr>
          </w:p>
        </w:tc>
      </w:tr>
      <w:tr w14:paraId="6A8C9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7" w:type="dxa"/>
            <w:noWrap w:val="0"/>
            <w:vAlign w:val="center"/>
          </w:tcPr>
          <w:p w14:paraId="07E4762A">
            <w:pPr>
              <w:spacing w:line="400" w:lineRule="exact"/>
              <w:jc w:val="center"/>
              <w:rPr>
                <w:rFonts w:hint="eastAsia" w:ascii="仿宋" w:hAnsi="仿宋" w:eastAsia="仿宋" w:cs="仿宋"/>
                <w:color w:val="auto"/>
                <w:sz w:val="24"/>
                <w:szCs w:val="24"/>
                <w:highlight w:val="none"/>
              </w:rPr>
            </w:pPr>
          </w:p>
        </w:tc>
        <w:tc>
          <w:tcPr>
            <w:tcW w:w="1894" w:type="dxa"/>
            <w:noWrap w:val="0"/>
            <w:vAlign w:val="top"/>
          </w:tcPr>
          <w:p w14:paraId="2DDBAC39">
            <w:pPr>
              <w:spacing w:line="400" w:lineRule="exact"/>
              <w:rPr>
                <w:rFonts w:hint="eastAsia" w:ascii="仿宋" w:hAnsi="仿宋" w:eastAsia="仿宋" w:cs="仿宋"/>
                <w:color w:val="auto"/>
                <w:sz w:val="24"/>
                <w:szCs w:val="24"/>
                <w:highlight w:val="none"/>
              </w:rPr>
            </w:pPr>
          </w:p>
        </w:tc>
        <w:tc>
          <w:tcPr>
            <w:tcW w:w="1706" w:type="dxa"/>
            <w:noWrap w:val="0"/>
            <w:vAlign w:val="top"/>
          </w:tcPr>
          <w:p w14:paraId="1A5A8DD5">
            <w:pPr>
              <w:spacing w:line="400" w:lineRule="exact"/>
              <w:rPr>
                <w:rFonts w:hint="eastAsia" w:ascii="仿宋" w:hAnsi="仿宋" w:eastAsia="仿宋" w:cs="仿宋"/>
                <w:color w:val="auto"/>
                <w:sz w:val="24"/>
                <w:szCs w:val="24"/>
                <w:highlight w:val="none"/>
              </w:rPr>
            </w:pPr>
          </w:p>
        </w:tc>
        <w:tc>
          <w:tcPr>
            <w:tcW w:w="1440" w:type="dxa"/>
            <w:noWrap w:val="0"/>
            <w:vAlign w:val="top"/>
          </w:tcPr>
          <w:p w14:paraId="3261B9B5">
            <w:pPr>
              <w:spacing w:line="400" w:lineRule="exact"/>
              <w:rPr>
                <w:rFonts w:hint="eastAsia" w:ascii="仿宋" w:hAnsi="仿宋" w:eastAsia="仿宋" w:cs="仿宋"/>
                <w:color w:val="auto"/>
                <w:sz w:val="24"/>
                <w:szCs w:val="24"/>
                <w:highlight w:val="none"/>
              </w:rPr>
            </w:pPr>
          </w:p>
        </w:tc>
        <w:tc>
          <w:tcPr>
            <w:tcW w:w="1356" w:type="dxa"/>
            <w:noWrap w:val="0"/>
            <w:vAlign w:val="top"/>
          </w:tcPr>
          <w:p w14:paraId="531F69CC">
            <w:pPr>
              <w:spacing w:line="400" w:lineRule="exact"/>
              <w:rPr>
                <w:rFonts w:hint="eastAsia" w:ascii="仿宋" w:hAnsi="仿宋" w:eastAsia="仿宋" w:cs="仿宋"/>
                <w:color w:val="auto"/>
                <w:sz w:val="24"/>
                <w:szCs w:val="24"/>
                <w:highlight w:val="none"/>
              </w:rPr>
            </w:pPr>
          </w:p>
        </w:tc>
        <w:tc>
          <w:tcPr>
            <w:tcW w:w="1004" w:type="dxa"/>
            <w:noWrap w:val="0"/>
            <w:vAlign w:val="top"/>
          </w:tcPr>
          <w:p w14:paraId="6834FC37">
            <w:pPr>
              <w:spacing w:line="400" w:lineRule="exact"/>
              <w:rPr>
                <w:rFonts w:hint="eastAsia" w:ascii="仿宋" w:hAnsi="仿宋" w:eastAsia="仿宋" w:cs="仿宋"/>
                <w:color w:val="auto"/>
                <w:sz w:val="24"/>
                <w:szCs w:val="24"/>
                <w:highlight w:val="none"/>
              </w:rPr>
            </w:pPr>
          </w:p>
        </w:tc>
        <w:tc>
          <w:tcPr>
            <w:tcW w:w="567" w:type="dxa"/>
            <w:noWrap w:val="0"/>
            <w:vAlign w:val="top"/>
          </w:tcPr>
          <w:p w14:paraId="510EBD45">
            <w:pPr>
              <w:spacing w:line="400" w:lineRule="exact"/>
              <w:rPr>
                <w:rFonts w:hint="eastAsia" w:ascii="仿宋" w:hAnsi="仿宋" w:eastAsia="仿宋" w:cs="仿宋"/>
                <w:color w:val="auto"/>
                <w:sz w:val="24"/>
                <w:szCs w:val="24"/>
                <w:highlight w:val="none"/>
              </w:rPr>
            </w:pPr>
          </w:p>
        </w:tc>
        <w:tc>
          <w:tcPr>
            <w:tcW w:w="827" w:type="dxa"/>
            <w:noWrap w:val="0"/>
            <w:vAlign w:val="top"/>
          </w:tcPr>
          <w:p w14:paraId="31FF2B90">
            <w:pPr>
              <w:spacing w:line="400" w:lineRule="exact"/>
              <w:rPr>
                <w:rFonts w:hint="eastAsia" w:ascii="仿宋" w:hAnsi="仿宋" w:eastAsia="仿宋" w:cs="仿宋"/>
                <w:color w:val="auto"/>
                <w:sz w:val="24"/>
                <w:szCs w:val="24"/>
                <w:highlight w:val="none"/>
              </w:rPr>
            </w:pPr>
          </w:p>
        </w:tc>
      </w:tr>
      <w:tr w14:paraId="24183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7" w:type="dxa"/>
            <w:noWrap w:val="0"/>
            <w:vAlign w:val="center"/>
          </w:tcPr>
          <w:p w14:paraId="7FFDC9CE">
            <w:pPr>
              <w:spacing w:line="400" w:lineRule="exact"/>
              <w:jc w:val="center"/>
              <w:rPr>
                <w:rFonts w:hint="eastAsia" w:ascii="仿宋" w:hAnsi="仿宋" w:eastAsia="仿宋" w:cs="仿宋"/>
                <w:color w:val="auto"/>
                <w:sz w:val="24"/>
                <w:szCs w:val="24"/>
                <w:highlight w:val="none"/>
              </w:rPr>
            </w:pPr>
          </w:p>
        </w:tc>
        <w:tc>
          <w:tcPr>
            <w:tcW w:w="1894" w:type="dxa"/>
            <w:noWrap w:val="0"/>
            <w:vAlign w:val="top"/>
          </w:tcPr>
          <w:p w14:paraId="2BFC429C">
            <w:pPr>
              <w:spacing w:line="400" w:lineRule="exact"/>
              <w:rPr>
                <w:rFonts w:hint="eastAsia" w:ascii="仿宋" w:hAnsi="仿宋" w:eastAsia="仿宋" w:cs="仿宋"/>
                <w:color w:val="auto"/>
                <w:sz w:val="24"/>
                <w:szCs w:val="24"/>
                <w:highlight w:val="none"/>
              </w:rPr>
            </w:pPr>
          </w:p>
        </w:tc>
        <w:tc>
          <w:tcPr>
            <w:tcW w:w="1706" w:type="dxa"/>
            <w:noWrap w:val="0"/>
            <w:vAlign w:val="top"/>
          </w:tcPr>
          <w:p w14:paraId="12128D04">
            <w:pPr>
              <w:spacing w:line="400" w:lineRule="exact"/>
              <w:rPr>
                <w:rFonts w:hint="eastAsia" w:ascii="仿宋" w:hAnsi="仿宋" w:eastAsia="仿宋" w:cs="仿宋"/>
                <w:color w:val="auto"/>
                <w:sz w:val="24"/>
                <w:szCs w:val="24"/>
                <w:highlight w:val="none"/>
              </w:rPr>
            </w:pPr>
          </w:p>
        </w:tc>
        <w:tc>
          <w:tcPr>
            <w:tcW w:w="1440" w:type="dxa"/>
            <w:noWrap w:val="0"/>
            <w:vAlign w:val="top"/>
          </w:tcPr>
          <w:p w14:paraId="49AA3DFD">
            <w:pPr>
              <w:spacing w:line="400" w:lineRule="exact"/>
              <w:rPr>
                <w:rFonts w:hint="eastAsia" w:ascii="仿宋" w:hAnsi="仿宋" w:eastAsia="仿宋" w:cs="仿宋"/>
                <w:color w:val="auto"/>
                <w:sz w:val="24"/>
                <w:szCs w:val="24"/>
                <w:highlight w:val="none"/>
              </w:rPr>
            </w:pPr>
          </w:p>
        </w:tc>
        <w:tc>
          <w:tcPr>
            <w:tcW w:w="1356" w:type="dxa"/>
            <w:noWrap w:val="0"/>
            <w:vAlign w:val="top"/>
          </w:tcPr>
          <w:p w14:paraId="16028D3A">
            <w:pPr>
              <w:spacing w:line="400" w:lineRule="exact"/>
              <w:rPr>
                <w:rFonts w:hint="eastAsia" w:ascii="仿宋" w:hAnsi="仿宋" w:eastAsia="仿宋" w:cs="仿宋"/>
                <w:color w:val="auto"/>
                <w:sz w:val="24"/>
                <w:szCs w:val="24"/>
                <w:highlight w:val="none"/>
              </w:rPr>
            </w:pPr>
          </w:p>
        </w:tc>
        <w:tc>
          <w:tcPr>
            <w:tcW w:w="1004" w:type="dxa"/>
            <w:noWrap w:val="0"/>
            <w:vAlign w:val="top"/>
          </w:tcPr>
          <w:p w14:paraId="4E14DA0A">
            <w:pPr>
              <w:spacing w:line="400" w:lineRule="exact"/>
              <w:rPr>
                <w:rFonts w:hint="eastAsia" w:ascii="仿宋" w:hAnsi="仿宋" w:eastAsia="仿宋" w:cs="仿宋"/>
                <w:color w:val="auto"/>
                <w:sz w:val="24"/>
                <w:szCs w:val="24"/>
                <w:highlight w:val="none"/>
              </w:rPr>
            </w:pPr>
          </w:p>
        </w:tc>
        <w:tc>
          <w:tcPr>
            <w:tcW w:w="567" w:type="dxa"/>
            <w:noWrap w:val="0"/>
            <w:vAlign w:val="top"/>
          </w:tcPr>
          <w:p w14:paraId="2E03F9B8">
            <w:pPr>
              <w:spacing w:line="400" w:lineRule="exact"/>
              <w:rPr>
                <w:rFonts w:hint="eastAsia" w:ascii="仿宋" w:hAnsi="仿宋" w:eastAsia="仿宋" w:cs="仿宋"/>
                <w:color w:val="auto"/>
                <w:sz w:val="24"/>
                <w:szCs w:val="24"/>
                <w:highlight w:val="none"/>
              </w:rPr>
            </w:pPr>
          </w:p>
        </w:tc>
        <w:tc>
          <w:tcPr>
            <w:tcW w:w="827" w:type="dxa"/>
            <w:noWrap w:val="0"/>
            <w:vAlign w:val="top"/>
          </w:tcPr>
          <w:p w14:paraId="65E4DBD9">
            <w:pPr>
              <w:spacing w:line="400" w:lineRule="exact"/>
              <w:rPr>
                <w:rFonts w:hint="eastAsia" w:ascii="仿宋" w:hAnsi="仿宋" w:eastAsia="仿宋" w:cs="仿宋"/>
                <w:color w:val="auto"/>
                <w:sz w:val="24"/>
                <w:szCs w:val="24"/>
                <w:highlight w:val="none"/>
              </w:rPr>
            </w:pPr>
          </w:p>
        </w:tc>
      </w:tr>
      <w:tr w14:paraId="1DF1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7" w:type="dxa"/>
            <w:noWrap w:val="0"/>
            <w:vAlign w:val="center"/>
          </w:tcPr>
          <w:p w14:paraId="5519BFA0">
            <w:pPr>
              <w:spacing w:line="400" w:lineRule="exact"/>
              <w:jc w:val="center"/>
              <w:rPr>
                <w:rFonts w:hint="eastAsia" w:ascii="仿宋" w:hAnsi="仿宋" w:eastAsia="仿宋" w:cs="仿宋"/>
                <w:color w:val="auto"/>
                <w:sz w:val="24"/>
                <w:szCs w:val="24"/>
                <w:highlight w:val="none"/>
              </w:rPr>
            </w:pPr>
          </w:p>
        </w:tc>
        <w:tc>
          <w:tcPr>
            <w:tcW w:w="1894" w:type="dxa"/>
            <w:noWrap w:val="0"/>
            <w:vAlign w:val="top"/>
          </w:tcPr>
          <w:p w14:paraId="6DEB3548">
            <w:pPr>
              <w:spacing w:line="400" w:lineRule="exact"/>
              <w:rPr>
                <w:rFonts w:hint="eastAsia" w:ascii="仿宋" w:hAnsi="仿宋" w:eastAsia="仿宋" w:cs="仿宋"/>
                <w:color w:val="auto"/>
                <w:sz w:val="24"/>
                <w:szCs w:val="24"/>
                <w:highlight w:val="none"/>
              </w:rPr>
            </w:pPr>
          </w:p>
        </w:tc>
        <w:tc>
          <w:tcPr>
            <w:tcW w:w="1706" w:type="dxa"/>
            <w:noWrap w:val="0"/>
            <w:vAlign w:val="top"/>
          </w:tcPr>
          <w:p w14:paraId="3DAD175A">
            <w:pPr>
              <w:spacing w:line="400" w:lineRule="exact"/>
              <w:rPr>
                <w:rFonts w:hint="eastAsia" w:ascii="仿宋" w:hAnsi="仿宋" w:eastAsia="仿宋" w:cs="仿宋"/>
                <w:color w:val="auto"/>
                <w:sz w:val="24"/>
                <w:szCs w:val="24"/>
                <w:highlight w:val="none"/>
              </w:rPr>
            </w:pPr>
          </w:p>
        </w:tc>
        <w:tc>
          <w:tcPr>
            <w:tcW w:w="1440" w:type="dxa"/>
            <w:noWrap w:val="0"/>
            <w:vAlign w:val="top"/>
          </w:tcPr>
          <w:p w14:paraId="5FE156D8">
            <w:pPr>
              <w:spacing w:line="400" w:lineRule="exact"/>
              <w:rPr>
                <w:rFonts w:hint="eastAsia" w:ascii="仿宋" w:hAnsi="仿宋" w:eastAsia="仿宋" w:cs="仿宋"/>
                <w:color w:val="auto"/>
                <w:sz w:val="24"/>
                <w:szCs w:val="24"/>
                <w:highlight w:val="none"/>
              </w:rPr>
            </w:pPr>
          </w:p>
        </w:tc>
        <w:tc>
          <w:tcPr>
            <w:tcW w:w="1356" w:type="dxa"/>
            <w:noWrap w:val="0"/>
            <w:vAlign w:val="top"/>
          </w:tcPr>
          <w:p w14:paraId="19404ECC">
            <w:pPr>
              <w:spacing w:line="400" w:lineRule="exact"/>
              <w:rPr>
                <w:rFonts w:hint="eastAsia" w:ascii="仿宋" w:hAnsi="仿宋" w:eastAsia="仿宋" w:cs="仿宋"/>
                <w:color w:val="auto"/>
                <w:sz w:val="24"/>
                <w:szCs w:val="24"/>
                <w:highlight w:val="none"/>
              </w:rPr>
            </w:pPr>
          </w:p>
        </w:tc>
        <w:tc>
          <w:tcPr>
            <w:tcW w:w="1004" w:type="dxa"/>
            <w:noWrap w:val="0"/>
            <w:vAlign w:val="top"/>
          </w:tcPr>
          <w:p w14:paraId="21537E32">
            <w:pPr>
              <w:spacing w:line="400" w:lineRule="exact"/>
              <w:rPr>
                <w:rFonts w:hint="eastAsia" w:ascii="仿宋" w:hAnsi="仿宋" w:eastAsia="仿宋" w:cs="仿宋"/>
                <w:color w:val="auto"/>
                <w:sz w:val="24"/>
                <w:szCs w:val="24"/>
                <w:highlight w:val="none"/>
              </w:rPr>
            </w:pPr>
          </w:p>
        </w:tc>
        <w:tc>
          <w:tcPr>
            <w:tcW w:w="567" w:type="dxa"/>
            <w:noWrap w:val="0"/>
            <w:vAlign w:val="top"/>
          </w:tcPr>
          <w:p w14:paraId="17719544">
            <w:pPr>
              <w:spacing w:line="400" w:lineRule="exact"/>
              <w:rPr>
                <w:rFonts w:hint="eastAsia" w:ascii="仿宋" w:hAnsi="仿宋" w:eastAsia="仿宋" w:cs="仿宋"/>
                <w:color w:val="auto"/>
                <w:sz w:val="24"/>
                <w:szCs w:val="24"/>
                <w:highlight w:val="none"/>
              </w:rPr>
            </w:pPr>
          </w:p>
        </w:tc>
        <w:tc>
          <w:tcPr>
            <w:tcW w:w="827" w:type="dxa"/>
            <w:noWrap w:val="0"/>
            <w:vAlign w:val="top"/>
          </w:tcPr>
          <w:p w14:paraId="7D654473">
            <w:pPr>
              <w:spacing w:line="400" w:lineRule="exact"/>
              <w:rPr>
                <w:rFonts w:hint="eastAsia" w:ascii="仿宋" w:hAnsi="仿宋" w:eastAsia="仿宋" w:cs="仿宋"/>
                <w:color w:val="auto"/>
                <w:sz w:val="24"/>
                <w:szCs w:val="24"/>
                <w:highlight w:val="none"/>
              </w:rPr>
            </w:pPr>
          </w:p>
        </w:tc>
      </w:tr>
      <w:tr w14:paraId="45D89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7" w:type="dxa"/>
            <w:noWrap w:val="0"/>
            <w:vAlign w:val="center"/>
          </w:tcPr>
          <w:p w14:paraId="32332A70">
            <w:pPr>
              <w:spacing w:line="400" w:lineRule="exact"/>
              <w:jc w:val="center"/>
              <w:rPr>
                <w:rFonts w:hint="eastAsia" w:ascii="仿宋" w:hAnsi="仿宋" w:eastAsia="仿宋" w:cs="仿宋"/>
                <w:color w:val="auto"/>
                <w:sz w:val="24"/>
                <w:szCs w:val="24"/>
                <w:highlight w:val="none"/>
              </w:rPr>
            </w:pPr>
          </w:p>
        </w:tc>
        <w:tc>
          <w:tcPr>
            <w:tcW w:w="1894" w:type="dxa"/>
            <w:noWrap w:val="0"/>
            <w:vAlign w:val="top"/>
          </w:tcPr>
          <w:p w14:paraId="0E2B673D">
            <w:pPr>
              <w:spacing w:line="400" w:lineRule="exact"/>
              <w:rPr>
                <w:rFonts w:hint="eastAsia" w:ascii="仿宋" w:hAnsi="仿宋" w:eastAsia="仿宋" w:cs="仿宋"/>
                <w:color w:val="auto"/>
                <w:sz w:val="24"/>
                <w:szCs w:val="24"/>
                <w:highlight w:val="none"/>
              </w:rPr>
            </w:pPr>
          </w:p>
        </w:tc>
        <w:tc>
          <w:tcPr>
            <w:tcW w:w="1706" w:type="dxa"/>
            <w:noWrap w:val="0"/>
            <w:vAlign w:val="top"/>
          </w:tcPr>
          <w:p w14:paraId="0AFEE083">
            <w:pPr>
              <w:spacing w:line="400" w:lineRule="exact"/>
              <w:rPr>
                <w:rFonts w:hint="eastAsia" w:ascii="仿宋" w:hAnsi="仿宋" w:eastAsia="仿宋" w:cs="仿宋"/>
                <w:color w:val="auto"/>
                <w:sz w:val="24"/>
                <w:szCs w:val="24"/>
                <w:highlight w:val="none"/>
              </w:rPr>
            </w:pPr>
          </w:p>
        </w:tc>
        <w:tc>
          <w:tcPr>
            <w:tcW w:w="1440" w:type="dxa"/>
            <w:noWrap w:val="0"/>
            <w:vAlign w:val="top"/>
          </w:tcPr>
          <w:p w14:paraId="368668F9">
            <w:pPr>
              <w:spacing w:line="400" w:lineRule="exact"/>
              <w:rPr>
                <w:rFonts w:hint="eastAsia" w:ascii="仿宋" w:hAnsi="仿宋" w:eastAsia="仿宋" w:cs="仿宋"/>
                <w:color w:val="auto"/>
                <w:sz w:val="24"/>
                <w:szCs w:val="24"/>
                <w:highlight w:val="none"/>
              </w:rPr>
            </w:pPr>
          </w:p>
        </w:tc>
        <w:tc>
          <w:tcPr>
            <w:tcW w:w="1356" w:type="dxa"/>
            <w:noWrap w:val="0"/>
            <w:vAlign w:val="top"/>
          </w:tcPr>
          <w:p w14:paraId="01407F06">
            <w:pPr>
              <w:spacing w:line="400" w:lineRule="exact"/>
              <w:rPr>
                <w:rFonts w:hint="eastAsia" w:ascii="仿宋" w:hAnsi="仿宋" w:eastAsia="仿宋" w:cs="仿宋"/>
                <w:color w:val="auto"/>
                <w:sz w:val="24"/>
                <w:szCs w:val="24"/>
                <w:highlight w:val="none"/>
              </w:rPr>
            </w:pPr>
          </w:p>
        </w:tc>
        <w:tc>
          <w:tcPr>
            <w:tcW w:w="1004" w:type="dxa"/>
            <w:noWrap w:val="0"/>
            <w:vAlign w:val="top"/>
          </w:tcPr>
          <w:p w14:paraId="567BAF4E">
            <w:pPr>
              <w:spacing w:line="400" w:lineRule="exact"/>
              <w:rPr>
                <w:rFonts w:hint="eastAsia" w:ascii="仿宋" w:hAnsi="仿宋" w:eastAsia="仿宋" w:cs="仿宋"/>
                <w:color w:val="auto"/>
                <w:sz w:val="24"/>
                <w:szCs w:val="24"/>
                <w:highlight w:val="none"/>
              </w:rPr>
            </w:pPr>
          </w:p>
        </w:tc>
        <w:tc>
          <w:tcPr>
            <w:tcW w:w="567" w:type="dxa"/>
            <w:noWrap w:val="0"/>
            <w:vAlign w:val="top"/>
          </w:tcPr>
          <w:p w14:paraId="338B05B4">
            <w:pPr>
              <w:spacing w:line="400" w:lineRule="exact"/>
              <w:rPr>
                <w:rFonts w:hint="eastAsia" w:ascii="仿宋" w:hAnsi="仿宋" w:eastAsia="仿宋" w:cs="仿宋"/>
                <w:color w:val="auto"/>
                <w:sz w:val="24"/>
                <w:szCs w:val="24"/>
                <w:highlight w:val="none"/>
              </w:rPr>
            </w:pPr>
          </w:p>
        </w:tc>
        <w:tc>
          <w:tcPr>
            <w:tcW w:w="827" w:type="dxa"/>
            <w:noWrap w:val="0"/>
            <w:vAlign w:val="top"/>
          </w:tcPr>
          <w:p w14:paraId="49E3061E">
            <w:pPr>
              <w:spacing w:line="400" w:lineRule="exact"/>
              <w:rPr>
                <w:rFonts w:hint="eastAsia" w:ascii="仿宋" w:hAnsi="仿宋" w:eastAsia="仿宋" w:cs="仿宋"/>
                <w:color w:val="auto"/>
                <w:sz w:val="24"/>
                <w:szCs w:val="24"/>
                <w:highlight w:val="none"/>
              </w:rPr>
            </w:pPr>
          </w:p>
        </w:tc>
      </w:tr>
      <w:tr w14:paraId="2DFE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7" w:type="dxa"/>
            <w:noWrap w:val="0"/>
            <w:vAlign w:val="center"/>
          </w:tcPr>
          <w:p w14:paraId="0329B92F">
            <w:pPr>
              <w:spacing w:line="400" w:lineRule="exact"/>
              <w:jc w:val="center"/>
              <w:rPr>
                <w:rFonts w:hint="eastAsia" w:ascii="仿宋" w:hAnsi="仿宋" w:eastAsia="仿宋" w:cs="仿宋"/>
                <w:color w:val="auto"/>
                <w:sz w:val="24"/>
                <w:szCs w:val="24"/>
                <w:highlight w:val="none"/>
              </w:rPr>
            </w:pPr>
          </w:p>
        </w:tc>
        <w:tc>
          <w:tcPr>
            <w:tcW w:w="1894" w:type="dxa"/>
            <w:noWrap w:val="0"/>
            <w:vAlign w:val="top"/>
          </w:tcPr>
          <w:p w14:paraId="4FAB97EE">
            <w:pPr>
              <w:spacing w:line="400" w:lineRule="exact"/>
              <w:rPr>
                <w:rFonts w:hint="eastAsia" w:ascii="仿宋" w:hAnsi="仿宋" w:eastAsia="仿宋" w:cs="仿宋"/>
                <w:color w:val="auto"/>
                <w:sz w:val="24"/>
                <w:szCs w:val="24"/>
                <w:highlight w:val="none"/>
              </w:rPr>
            </w:pPr>
          </w:p>
        </w:tc>
        <w:tc>
          <w:tcPr>
            <w:tcW w:w="1706" w:type="dxa"/>
            <w:noWrap w:val="0"/>
            <w:vAlign w:val="top"/>
          </w:tcPr>
          <w:p w14:paraId="756123A5">
            <w:pPr>
              <w:spacing w:line="400" w:lineRule="exact"/>
              <w:rPr>
                <w:rFonts w:hint="eastAsia" w:ascii="仿宋" w:hAnsi="仿宋" w:eastAsia="仿宋" w:cs="仿宋"/>
                <w:color w:val="auto"/>
                <w:sz w:val="24"/>
                <w:szCs w:val="24"/>
                <w:highlight w:val="none"/>
              </w:rPr>
            </w:pPr>
          </w:p>
        </w:tc>
        <w:tc>
          <w:tcPr>
            <w:tcW w:w="1440" w:type="dxa"/>
            <w:noWrap w:val="0"/>
            <w:vAlign w:val="top"/>
          </w:tcPr>
          <w:p w14:paraId="742EC9DB">
            <w:pPr>
              <w:spacing w:line="400" w:lineRule="exact"/>
              <w:rPr>
                <w:rFonts w:hint="eastAsia" w:ascii="仿宋" w:hAnsi="仿宋" w:eastAsia="仿宋" w:cs="仿宋"/>
                <w:color w:val="auto"/>
                <w:sz w:val="24"/>
                <w:szCs w:val="24"/>
                <w:highlight w:val="none"/>
              </w:rPr>
            </w:pPr>
          </w:p>
        </w:tc>
        <w:tc>
          <w:tcPr>
            <w:tcW w:w="1356" w:type="dxa"/>
            <w:noWrap w:val="0"/>
            <w:vAlign w:val="top"/>
          </w:tcPr>
          <w:p w14:paraId="3984704A">
            <w:pPr>
              <w:spacing w:line="400" w:lineRule="exact"/>
              <w:rPr>
                <w:rFonts w:hint="eastAsia" w:ascii="仿宋" w:hAnsi="仿宋" w:eastAsia="仿宋" w:cs="仿宋"/>
                <w:color w:val="auto"/>
                <w:sz w:val="24"/>
                <w:szCs w:val="24"/>
                <w:highlight w:val="none"/>
              </w:rPr>
            </w:pPr>
          </w:p>
        </w:tc>
        <w:tc>
          <w:tcPr>
            <w:tcW w:w="1004" w:type="dxa"/>
            <w:noWrap w:val="0"/>
            <w:vAlign w:val="top"/>
          </w:tcPr>
          <w:p w14:paraId="3EBFBDAB">
            <w:pPr>
              <w:spacing w:line="400" w:lineRule="exact"/>
              <w:rPr>
                <w:rFonts w:hint="eastAsia" w:ascii="仿宋" w:hAnsi="仿宋" w:eastAsia="仿宋" w:cs="仿宋"/>
                <w:color w:val="auto"/>
                <w:sz w:val="24"/>
                <w:szCs w:val="24"/>
                <w:highlight w:val="none"/>
              </w:rPr>
            </w:pPr>
          </w:p>
        </w:tc>
        <w:tc>
          <w:tcPr>
            <w:tcW w:w="567" w:type="dxa"/>
            <w:noWrap w:val="0"/>
            <w:vAlign w:val="top"/>
          </w:tcPr>
          <w:p w14:paraId="25DD12B9">
            <w:pPr>
              <w:spacing w:line="400" w:lineRule="exact"/>
              <w:rPr>
                <w:rFonts w:hint="eastAsia" w:ascii="仿宋" w:hAnsi="仿宋" w:eastAsia="仿宋" w:cs="仿宋"/>
                <w:color w:val="auto"/>
                <w:sz w:val="24"/>
                <w:szCs w:val="24"/>
                <w:highlight w:val="none"/>
              </w:rPr>
            </w:pPr>
          </w:p>
        </w:tc>
        <w:tc>
          <w:tcPr>
            <w:tcW w:w="827" w:type="dxa"/>
            <w:noWrap w:val="0"/>
            <w:vAlign w:val="top"/>
          </w:tcPr>
          <w:p w14:paraId="3747494E">
            <w:pPr>
              <w:spacing w:line="400" w:lineRule="exact"/>
              <w:rPr>
                <w:rFonts w:hint="eastAsia" w:ascii="仿宋" w:hAnsi="仿宋" w:eastAsia="仿宋" w:cs="仿宋"/>
                <w:color w:val="auto"/>
                <w:sz w:val="24"/>
                <w:szCs w:val="24"/>
                <w:highlight w:val="none"/>
              </w:rPr>
            </w:pPr>
          </w:p>
        </w:tc>
      </w:tr>
      <w:tr w14:paraId="3B88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7" w:type="dxa"/>
            <w:noWrap w:val="0"/>
            <w:vAlign w:val="center"/>
          </w:tcPr>
          <w:p w14:paraId="7E29335C">
            <w:pPr>
              <w:spacing w:line="400" w:lineRule="exact"/>
              <w:jc w:val="center"/>
              <w:rPr>
                <w:rFonts w:hint="eastAsia" w:ascii="仿宋" w:hAnsi="仿宋" w:eastAsia="仿宋" w:cs="仿宋"/>
                <w:color w:val="auto"/>
                <w:sz w:val="24"/>
                <w:szCs w:val="24"/>
                <w:highlight w:val="none"/>
              </w:rPr>
            </w:pPr>
          </w:p>
        </w:tc>
        <w:tc>
          <w:tcPr>
            <w:tcW w:w="1894" w:type="dxa"/>
            <w:noWrap w:val="0"/>
            <w:vAlign w:val="top"/>
          </w:tcPr>
          <w:p w14:paraId="2A7A91D1">
            <w:pPr>
              <w:spacing w:line="400" w:lineRule="exact"/>
              <w:rPr>
                <w:rFonts w:hint="eastAsia" w:ascii="仿宋" w:hAnsi="仿宋" w:eastAsia="仿宋" w:cs="仿宋"/>
                <w:color w:val="auto"/>
                <w:sz w:val="24"/>
                <w:szCs w:val="24"/>
                <w:highlight w:val="none"/>
              </w:rPr>
            </w:pPr>
          </w:p>
        </w:tc>
        <w:tc>
          <w:tcPr>
            <w:tcW w:w="1706" w:type="dxa"/>
            <w:noWrap w:val="0"/>
            <w:vAlign w:val="top"/>
          </w:tcPr>
          <w:p w14:paraId="45DBE61E">
            <w:pPr>
              <w:spacing w:line="400" w:lineRule="exact"/>
              <w:rPr>
                <w:rFonts w:hint="eastAsia" w:ascii="仿宋" w:hAnsi="仿宋" w:eastAsia="仿宋" w:cs="仿宋"/>
                <w:color w:val="auto"/>
                <w:sz w:val="24"/>
                <w:szCs w:val="24"/>
                <w:highlight w:val="none"/>
              </w:rPr>
            </w:pPr>
          </w:p>
        </w:tc>
        <w:tc>
          <w:tcPr>
            <w:tcW w:w="1440" w:type="dxa"/>
            <w:noWrap w:val="0"/>
            <w:vAlign w:val="top"/>
          </w:tcPr>
          <w:p w14:paraId="20B3D6EE">
            <w:pPr>
              <w:spacing w:line="400" w:lineRule="exact"/>
              <w:rPr>
                <w:rFonts w:hint="eastAsia" w:ascii="仿宋" w:hAnsi="仿宋" w:eastAsia="仿宋" w:cs="仿宋"/>
                <w:color w:val="auto"/>
                <w:sz w:val="24"/>
                <w:szCs w:val="24"/>
                <w:highlight w:val="none"/>
              </w:rPr>
            </w:pPr>
          </w:p>
        </w:tc>
        <w:tc>
          <w:tcPr>
            <w:tcW w:w="1356" w:type="dxa"/>
            <w:noWrap w:val="0"/>
            <w:vAlign w:val="top"/>
          </w:tcPr>
          <w:p w14:paraId="7EDA7B6E">
            <w:pPr>
              <w:spacing w:line="400" w:lineRule="exact"/>
              <w:rPr>
                <w:rFonts w:hint="eastAsia" w:ascii="仿宋" w:hAnsi="仿宋" w:eastAsia="仿宋" w:cs="仿宋"/>
                <w:color w:val="auto"/>
                <w:sz w:val="24"/>
                <w:szCs w:val="24"/>
                <w:highlight w:val="none"/>
              </w:rPr>
            </w:pPr>
          </w:p>
        </w:tc>
        <w:tc>
          <w:tcPr>
            <w:tcW w:w="1004" w:type="dxa"/>
            <w:noWrap w:val="0"/>
            <w:vAlign w:val="top"/>
          </w:tcPr>
          <w:p w14:paraId="3FCE7511">
            <w:pPr>
              <w:spacing w:line="400" w:lineRule="exact"/>
              <w:rPr>
                <w:rFonts w:hint="eastAsia" w:ascii="仿宋" w:hAnsi="仿宋" w:eastAsia="仿宋" w:cs="仿宋"/>
                <w:color w:val="auto"/>
                <w:sz w:val="24"/>
                <w:szCs w:val="24"/>
                <w:highlight w:val="none"/>
              </w:rPr>
            </w:pPr>
          </w:p>
        </w:tc>
        <w:tc>
          <w:tcPr>
            <w:tcW w:w="567" w:type="dxa"/>
            <w:noWrap w:val="0"/>
            <w:vAlign w:val="top"/>
          </w:tcPr>
          <w:p w14:paraId="24C73E22">
            <w:pPr>
              <w:spacing w:line="400" w:lineRule="exact"/>
              <w:rPr>
                <w:rFonts w:hint="eastAsia" w:ascii="仿宋" w:hAnsi="仿宋" w:eastAsia="仿宋" w:cs="仿宋"/>
                <w:color w:val="auto"/>
                <w:sz w:val="24"/>
                <w:szCs w:val="24"/>
                <w:highlight w:val="none"/>
              </w:rPr>
            </w:pPr>
          </w:p>
        </w:tc>
        <w:tc>
          <w:tcPr>
            <w:tcW w:w="827" w:type="dxa"/>
            <w:noWrap w:val="0"/>
            <w:vAlign w:val="top"/>
          </w:tcPr>
          <w:p w14:paraId="11E4D5D5">
            <w:pPr>
              <w:spacing w:line="400" w:lineRule="exact"/>
              <w:rPr>
                <w:rFonts w:hint="eastAsia" w:ascii="仿宋" w:hAnsi="仿宋" w:eastAsia="仿宋" w:cs="仿宋"/>
                <w:color w:val="auto"/>
                <w:sz w:val="24"/>
                <w:szCs w:val="24"/>
                <w:highlight w:val="none"/>
              </w:rPr>
            </w:pPr>
          </w:p>
        </w:tc>
      </w:tr>
      <w:tr w14:paraId="4CA90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7" w:type="dxa"/>
            <w:noWrap w:val="0"/>
            <w:vAlign w:val="center"/>
          </w:tcPr>
          <w:p w14:paraId="773420BC">
            <w:pPr>
              <w:spacing w:line="400" w:lineRule="exact"/>
              <w:jc w:val="center"/>
              <w:rPr>
                <w:rFonts w:hint="eastAsia" w:ascii="仿宋" w:hAnsi="仿宋" w:eastAsia="仿宋" w:cs="仿宋"/>
                <w:color w:val="auto"/>
                <w:sz w:val="24"/>
                <w:szCs w:val="24"/>
                <w:highlight w:val="none"/>
              </w:rPr>
            </w:pPr>
          </w:p>
        </w:tc>
        <w:tc>
          <w:tcPr>
            <w:tcW w:w="1894" w:type="dxa"/>
            <w:noWrap w:val="0"/>
            <w:vAlign w:val="top"/>
          </w:tcPr>
          <w:p w14:paraId="2D23D2DF">
            <w:pPr>
              <w:spacing w:line="400" w:lineRule="exact"/>
              <w:rPr>
                <w:rFonts w:hint="eastAsia" w:ascii="仿宋" w:hAnsi="仿宋" w:eastAsia="仿宋" w:cs="仿宋"/>
                <w:color w:val="auto"/>
                <w:sz w:val="24"/>
                <w:szCs w:val="24"/>
                <w:highlight w:val="none"/>
              </w:rPr>
            </w:pPr>
          </w:p>
        </w:tc>
        <w:tc>
          <w:tcPr>
            <w:tcW w:w="1706" w:type="dxa"/>
            <w:noWrap w:val="0"/>
            <w:vAlign w:val="top"/>
          </w:tcPr>
          <w:p w14:paraId="03B5FC86">
            <w:pPr>
              <w:spacing w:line="400" w:lineRule="exact"/>
              <w:rPr>
                <w:rFonts w:hint="eastAsia" w:ascii="仿宋" w:hAnsi="仿宋" w:eastAsia="仿宋" w:cs="仿宋"/>
                <w:color w:val="auto"/>
                <w:sz w:val="24"/>
                <w:szCs w:val="24"/>
                <w:highlight w:val="none"/>
              </w:rPr>
            </w:pPr>
          </w:p>
        </w:tc>
        <w:tc>
          <w:tcPr>
            <w:tcW w:w="1440" w:type="dxa"/>
            <w:noWrap w:val="0"/>
            <w:vAlign w:val="top"/>
          </w:tcPr>
          <w:p w14:paraId="72B166B3">
            <w:pPr>
              <w:spacing w:line="400" w:lineRule="exact"/>
              <w:rPr>
                <w:rFonts w:hint="eastAsia" w:ascii="仿宋" w:hAnsi="仿宋" w:eastAsia="仿宋" w:cs="仿宋"/>
                <w:color w:val="auto"/>
                <w:sz w:val="24"/>
                <w:szCs w:val="24"/>
                <w:highlight w:val="none"/>
              </w:rPr>
            </w:pPr>
          </w:p>
        </w:tc>
        <w:tc>
          <w:tcPr>
            <w:tcW w:w="1356" w:type="dxa"/>
            <w:noWrap w:val="0"/>
            <w:vAlign w:val="top"/>
          </w:tcPr>
          <w:p w14:paraId="64AFA32C">
            <w:pPr>
              <w:spacing w:line="400" w:lineRule="exact"/>
              <w:rPr>
                <w:rFonts w:hint="eastAsia" w:ascii="仿宋" w:hAnsi="仿宋" w:eastAsia="仿宋" w:cs="仿宋"/>
                <w:color w:val="auto"/>
                <w:sz w:val="24"/>
                <w:szCs w:val="24"/>
                <w:highlight w:val="none"/>
              </w:rPr>
            </w:pPr>
          </w:p>
        </w:tc>
        <w:tc>
          <w:tcPr>
            <w:tcW w:w="1004" w:type="dxa"/>
            <w:noWrap w:val="0"/>
            <w:vAlign w:val="top"/>
          </w:tcPr>
          <w:p w14:paraId="2D0EED9D">
            <w:pPr>
              <w:spacing w:line="400" w:lineRule="exact"/>
              <w:rPr>
                <w:rFonts w:hint="eastAsia" w:ascii="仿宋" w:hAnsi="仿宋" w:eastAsia="仿宋" w:cs="仿宋"/>
                <w:color w:val="auto"/>
                <w:sz w:val="24"/>
                <w:szCs w:val="24"/>
                <w:highlight w:val="none"/>
              </w:rPr>
            </w:pPr>
          </w:p>
        </w:tc>
        <w:tc>
          <w:tcPr>
            <w:tcW w:w="567" w:type="dxa"/>
            <w:noWrap w:val="0"/>
            <w:vAlign w:val="top"/>
          </w:tcPr>
          <w:p w14:paraId="15AFCB1D">
            <w:pPr>
              <w:spacing w:line="400" w:lineRule="exact"/>
              <w:rPr>
                <w:rFonts w:hint="eastAsia" w:ascii="仿宋" w:hAnsi="仿宋" w:eastAsia="仿宋" w:cs="仿宋"/>
                <w:color w:val="auto"/>
                <w:sz w:val="24"/>
                <w:szCs w:val="24"/>
                <w:highlight w:val="none"/>
              </w:rPr>
            </w:pPr>
          </w:p>
        </w:tc>
        <w:tc>
          <w:tcPr>
            <w:tcW w:w="827" w:type="dxa"/>
            <w:noWrap w:val="0"/>
            <w:vAlign w:val="top"/>
          </w:tcPr>
          <w:p w14:paraId="66DF6043">
            <w:pPr>
              <w:spacing w:line="400" w:lineRule="exact"/>
              <w:rPr>
                <w:rFonts w:hint="eastAsia" w:ascii="仿宋" w:hAnsi="仿宋" w:eastAsia="仿宋" w:cs="仿宋"/>
                <w:color w:val="auto"/>
                <w:sz w:val="24"/>
                <w:szCs w:val="24"/>
                <w:highlight w:val="none"/>
              </w:rPr>
            </w:pPr>
          </w:p>
        </w:tc>
      </w:tr>
      <w:tr w14:paraId="45A9E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7" w:type="dxa"/>
            <w:noWrap w:val="0"/>
            <w:vAlign w:val="center"/>
          </w:tcPr>
          <w:p w14:paraId="4BF4F73F">
            <w:pPr>
              <w:spacing w:line="400" w:lineRule="exact"/>
              <w:jc w:val="center"/>
              <w:rPr>
                <w:rFonts w:hint="eastAsia" w:ascii="仿宋" w:hAnsi="仿宋" w:eastAsia="仿宋" w:cs="仿宋"/>
                <w:color w:val="auto"/>
                <w:sz w:val="24"/>
                <w:szCs w:val="24"/>
                <w:highlight w:val="none"/>
              </w:rPr>
            </w:pPr>
          </w:p>
        </w:tc>
        <w:tc>
          <w:tcPr>
            <w:tcW w:w="1894" w:type="dxa"/>
            <w:noWrap w:val="0"/>
            <w:vAlign w:val="top"/>
          </w:tcPr>
          <w:p w14:paraId="355A2DC2">
            <w:pPr>
              <w:spacing w:line="400" w:lineRule="exact"/>
              <w:rPr>
                <w:rFonts w:hint="eastAsia" w:ascii="仿宋" w:hAnsi="仿宋" w:eastAsia="仿宋" w:cs="仿宋"/>
                <w:color w:val="auto"/>
                <w:sz w:val="24"/>
                <w:szCs w:val="24"/>
                <w:highlight w:val="none"/>
              </w:rPr>
            </w:pPr>
          </w:p>
        </w:tc>
        <w:tc>
          <w:tcPr>
            <w:tcW w:w="1706" w:type="dxa"/>
            <w:noWrap w:val="0"/>
            <w:vAlign w:val="top"/>
          </w:tcPr>
          <w:p w14:paraId="2A5DD991">
            <w:pPr>
              <w:spacing w:line="400" w:lineRule="exact"/>
              <w:rPr>
                <w:rFonts w:hint="eastAsia" w:ascii="仿宋" w:hAnsi="仿宋" w:eastAsia="仿宋" w:cs="仿宋"/>
                <w:color w:val="auto"/>
                <w:sz w:val="24"/>
                <w:szCs w:val="24"/>
                <w:highlight w:val="none"/>
              </w:rPr>
            </w:pPr>
          </w:p>
        </w:tc>
        <w:tc>
          <w:tcPr>
            <w:tcW w:w="1440" w:type="dxa"/>
            <w:noWrap w:val="0"/>
            <w:vAlign w:val="top"/>
          </w:tcPr>
          <w:p w14:paraId="3FD596E0">
            <w:pPr>
              <w:spacing w:line="400" w:lineRule="exact"/>
              <w:rPr>
                <w:rFonts w:hint="eastAsia" w:ascii="仿宋" w:hAnsi="仿宋" w:eastAsia="仿宋" w:cs="仿宋"/>
                <w:color w:val="auto"/>
                <w:sz w:val="24"/>
                <w:szCs w:val="24"/>
                <w:highlight w:val="none"/>
              </w:rPr>
            </w:pPr>
          </w:p>
        </w:tc>
        <w:tc>
          <w:tcPr>
            <w:tcW w:w="1356" w:type="dxa"/>
            <w:noWrap w:val="0"/>
            <w:vAlign w:val="top"/>
          </w:tcPr>
          <w:p w14:paraId="49E8488F">
            <w:pPr>
              <w:spacing w:line="400" w:lineRule="exact"/>
              <w:rPr>
                <w:rFonts w:hint="eastAsia" w:ascii="仿宋" w:hAnsi="仿宋" w:eastAsia="仿宋" w:cs="仿宋"/>
                <w:color w:val="auto"/>
                <w:sz w:val="24"/>
                <w:szCs w:val="24"/>
                <w:highlight w:val="none"/>
              </w:rPr>
            </w:pPr>
          </w:p>
        </w:tc>
        <w:tc>
          <w:tcPr>
            <w:tcW w:w="1004" w:type="dxa"/>
            <w:noWrap w:val="0"/>
            <w:vAlign w:val="top"/>
          </w:tcPr>
          <w:p w14:paraId="02FFD5F4">
            <w:pPr>
              <w:spacing w:line="400" w:lineRule="exact"/>
              <w:rPr>
                <w:rFonts w:hint="eastAsia" w:ascii="仿宋" w:hAnsi="仿宋" w:eastAsia="仿宋" w:cs="仿宋"/>
                <w:color w:val="auto"/>
                <w:sz w:val="24"/>
                <w:szCs w:val="24"/>
                <w:highlight w:val="none"/>
              </w:rPr>
            </w:pPr>
          </w:p>
        </w:tc>
        <w:tc>
          <w:tcPr>
            <w:tcW w:w="567" w:type="dxa"/>
            <w:noWrap w:val="0"/>
            <w:vAlign w:val="top"/>
          </w:tcPr>
          <w:p w14:paraId="32200E7F">
            <w:pPr>
              <w:spacing w:line="400" w:lineRule="exact"/>
              <w:rPr>
                <w:rFonts w:hint="eastAsia" w:ascii="仿宋" w:hAnsi="仿宋" w:eastAsia="仿宋" w:cs="仿宋"/>
                <w:color w:val="auto"/>
                <w:sz w:val="24"/>
                <w:szCs w:val="24"/>
                <w:highlight w:val="none"/>
              </w:rPr>
            </w:pPr>
          </w:p>
        </w:tc>
        <w:tc>
          <w:tcPr>
            <w:tcW w:w="827" w:type="dxa"/>
            <w:noWrap w:val="0"/>
            <w:vAlign w:val="top"/>
          </w:tcPr>
          <w:p w14:paraId="3F930F1C">
            <w:pPr>
              <w:spacing w:line="400" w:lineRule="exact"/>
              <w:rPr>
                <w:rFonts w:hint="eastAsia" w:ascii="仿宋" w:hAnsi="仿宋" w:eastAsia="仿宋" w:cs="仿宋"/>
                <w:color w:val="auto"/>
                <w:sz w:val="24"/>
                <w:szCs w:val="24"/>
                <w:highlight w:val="none"/>
              </w:rPr>
            </w:pPr>
          </w:p>
        </w:tc>
      </w:tr>
    </w:tbl>
    <w:p w14:paraId="1D3FE203">
      <w:pPr>
        <w:spacing w:line="400" w:lineRule="exact"/>
        <w:ind w:left="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说明：1、车辆的规格、性能、数量应符合</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文件的要求，机械设备应满足装载量的需要。</w:t>
      </w:r>
    </w:p>
    <w:p w14:paraId="2A2FA43E">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2、所有车辆、机械设备须附证明材料（复印件加盖公章）。</w:t>
      </w:r>
    </w:p>
    <w:p w14:paraId="76C6AD4F">
      <w:pPr>
        <w:spacing w:line="440" w:lineRule="exact"/>
        <w:ind w:firstLine="840" w:firstLineChars="3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3、车辆、机械设备购置费不计入报价，但使用费应计入报价内。</w:t>
      </w:r>
    </w:p>
    <w:p w14:paraId="30D77503">
      <w:pPr>
        <w:jc w:val="left"/>
        <w:rPr>
          <w:rFonts w:hint="eastAsia" w:ascii="仿宋" w:hAnsi="仿宋" w:eastAsia="仿宋" w:cs="仿宋"/>
          <w:color w:val="auto"/>
          <w:sz w:val="24"/>
          <w:szCs w:val="24"/>
          <w:highlight w:val="none"/>
        </w:rPr>
      </w:pPr>
    </w:p>
    <w:p w14:paraId="10688E86">
      <w:pPr>
        <w:autoSpaceDE w:val="0"/>
        <w:autoSpaceDN w:val="0"/>
        <w:adjustRightInd w:val="0"/>
        <w:spacing w:line="460" w:lineRule="atLeast"/>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投标人名称（</w:t>
      </w:r>
      <w:r>
        <w:rPr>
          <w:rFonts w:hint="eastAsia" w:ascii="仿宋" w:hAnsi="仿宋" w:eastAsia="仿宋" w:cs="仿宋"/>
          <w:bCs/>
          <w:color w:val="auto"/>
          <w:sz w:val="24"/>
          <w:szCs w:val="24"/>
          <w:highlight w:val="none"/>
          <w:lang w:val="en-US" w:eastAsia="zh-CN"/>
        </w:rPr>
        <w:t>盖章</w:t>
      </w:r>
      <w:r>
        <w:rPr>
          <w:rFonts w:hint="eastAsia" w:ascii="仿宋" w:hAnsi="仿宋" w:eastAsia="仿宋" w:cs="仿宋"/>
          <w:bCs/>
          <w:color w:val="auto"/>
          <w:sz w:val="24"/>
          <w:szCs w:val="24"/>
          <w:highlight w:val="none"/>
          <w:lang w:val="zh-CN"/>
        </w:rPr>
        <w:t>）：</w:t>
      </w:r>
    </w:p>
    <w:p w14:paraId="2C3FF014">
      <w:pPr>
        <w:autoSpaceDE w:val="0"/>
        <w:autoSpaceDN w:val="0"/>
        <w:adjustRightInd w:val="0"/>
        <w:spacing w:line="460" w:lineRule="atLeast"/>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日期：</w:t>
      </w:r>
    </w:p>
    <w:p w14:paraId="6665F0D9">
      <w:pPr>
        <w:jc w:val="left"/>
        <w:rPr>
          <w:rFonts w:hint="eastAsia" w:ascii="仿宋" w:hAnsi="仿宋" w:eastAsia="仿宋" w:cs="仿宋"/>
          <w:color w:val="auto"/>
          <w:sz w:val="22"/>
          <w:szCs w:val="22"/>
          <w:highlight w:val="none"/>
        </w:rPr>
      </w:pPr>
    </w:p>
    <w:p w14:paraId="0A1435E5">
      <w:pPr>
        <w:pStyle w:val="5"/>
        <w:jc w:val="left"/>
        <w:rPr>
          <w:rFonts w:hint="eastAsia" w:ascii="仿宋" w:hAnsi="仿宋" w:eastAsia="仿宋" w:cs="仿宋"/>
          <w:color w:val="auto"/>
          <w:sz w:val="22"/>
          <w:szCs w:val="22"/>
          <w:highlight w:val="none"/>
        </w:rPr>
        <w:sectPr>
          <w:headerReference r:id="rId9" w:type="default"/>
          <w:footerReference r:id="rId10" w:type="default"/>
          <w:pgSz w:w="11906" w:h="16838"/>
          <w:pgMar w:top="1440" w:right="1304" w:bottom="1089" w:left="1531" w:header="851" w:footer="992" w:gutter="0"/>
          <w:cols w:space="720" w:num="1"/>
          <w:docGrid w:linePitch="312" w:charSpace="0"/>
        </w:sectPr>
      </w:pPr>
    </w:p>
    <w:p w14:paraId="59FBBD0D">
      <w:pPr>
        <w:pStyle w:val="5"/>
        <w:spacing w:before="0" w:after="0" w:line="240" w:lineRule="auto"/>
        <w:ind w:left="0" w:firstLine="0"/>
        <w:jc w:val="left"/>
        <w:rPr>
          <w:rFonts w:hint="eastAsia" w:ascii="仿宋" w:hAnsi="仿宋" w:eastAsia="仿宋" w:cs="仿宋_GB2312"/>
          <w:b/>
          <w:bCs w:val="0"/>
          <w:color w:val="auto"/>
          <w:kern w:val="0"/>
          <w:sz w:val="28"/>
          <w:szCs w:val="28"/>
          <w:highlight w:val="none"/>
          <w:lang w:val="en-US" w:eastAsia="zh-CN" w:bidi="ar-SA"/>
        </w:rPr>
      </w:pPr>
      <w:r>
        <w:rPr>
          <w:rFonts w:hint="eastAsia" w:ascii="仿宋" w:hAnsi="仿宋" w:eastAsia="仿宋" w:cs="仿宋_GB2312"/>
          <w:b/>
          <w:bCs w:val="0"/>
          <w:color w:val="auto"/>
          <w:kern w:val="0"/>
          <w:sz w:val="28"/>
          <w:szCs w:val="28"/>
          <w:highlight w:val="none"/>
          <w:lang w:val="en-US" w:eastAsia="zh-CN" w:bidi="ar-SA"/>
        </w:rPr>
        <w:t>附件8</w:t>
      </w:r>
    </w:p>
    <w:p w14:paraId="23E2A8DA">
      <w:pPr>
        <w:spacing w:line="46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企业</w:t>
      </w:r>
      <w:r>
        <w:rPr>
          <w:rFonts w:hint="eastAsia" w:ascii="仿宋" w:hAnsi="仿宋" w:eastAsia="仿宋" w:cs="仿宋"/>
          <w:b/>
          <w:color w:val="auto"/>
          <w:sz w:val="32"/>
          <w:szCs w:val="32"/>
          <w:highlight w:val="none"/>
        </w:rPr>
        <w:t>20  年  月  日以来</w:t>
      </w:r>
      <w:r>
        <w:rPr>
          <w:rFonts w:hint="eastAsia" w:ascii="仿宋" w:hAnsi="仿宋" w:eastAsia="仿宋" w:cs="仿宋"/>
          <w:b/>
          <w:bCs/>
          <w:color w:val="auto"/>
          <w:sz w:val="32"/>
          <w:szCs w:val="32"/>
          <w:highlight w:val="none"/>
        </w:rPr>
        <w:t>类似服务项目业绩</w:t>
      </w:r>
    </w:p>
    <w:tbl>
      <w:tblPr>
        <w:tblStyle w:val="57"/>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528"/>
        <w:gridCol w:w="1260"/>
        <w:gridCol w:w="1487"/>
        <w:gridCol w:w="1921"/>
        <w:gridCol w:w="1084"/>
      </w:tblGrid>
      <w:tr w14:paraId="3AA5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1" w:type="dxa"/>
            <w:noWrap w:val="0"/>
            <w:vAlign w:val="center"/>
          </w:tcPr>
          <w:p w14:paraId="04A86D79">
            <w:pPr>
              <w:spacing w:line="38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528" w:type="dxa"/>
            <w:noWrap w:val="0"/>
            <w:vAlign w:val="center"/>
          </w:tcPr>
          <w:p w14:paraId="7AB8A063">
            <w:pPr>
              <w:spacing w:line="38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 目 名 称</w:t>
            </w:r>
          </w:p>
        </w:tc>
        <w:tc>
          <w:tcPr>
            <w:tcW w:w="1260" w:type="dxa"/>
            <w:noWrap w:val="0"/>
            <w:vAlign w:val="center"/>
          </w:tcPr>
          <w:p w14:paraId="3CF72637">
            <w:pPr>
              <w:spacing w:line="38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合同金额（元）</w:t>
            </w:r>
          </w:p>
        </w:tc>
        <w:tc>
          <w:tcPr>
            <w:tcW w:w="1487" w:type="dxa"/>
            <w:noWrap w:val="0"/>
            <w:vAlign w:val="center"/>
          </w:tcPr>
          <w:p w14:paraId="68E6493D">
            <w:pPr>
              <w:spacing w:line="38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合同日期</w:t>
            </w:r>
          </w:p>
        </w:tc>
        <w:tc>
          <w:tcPr>
            <w:tcW w:w="1921" w:type="dxa"/>
            <w:noWrap w:val="0"/>
            <w:vAlign w:val="center"/>
          </w:tcPr>
          <w:p w14:paraId="43FAB5B3">
            <w:pPr>
              <w:spacing w:line="38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联 系 方 式</w:t>
            </w:r>
          </w:p>
        </w:tc>
        <w:tc>
          <w:tcPr>
            <w:tcW w:w="1084" w:type="dxa"/>
            <w:noWrap w:val="0"/>
            <w:vAlign w:val="center"/>
          </w:tcPr>
          <w:p w14:paraId="3BA9079D">
            <w:pPr>
              <w:spacing w:line="38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 注</w:t>
            </w:r>
          </w:p>
        </w:tc>
      </w:tr>
      <w:tr w14:paraId="06101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1" w:type="dxa"/>
            <w:noWrap w:val="0"/>
            <w:vAlign w:val="center"/>
          </w:tcPr>
          <w:p w14:paraId="33C52B07">
            <w:pPr>
              <w:jc w:val="center"/>
              <w:rPr>
                <w:rFonts w:hint="eastAsia" w:ascii="仿宋" w:hAnsi="仿宋" w:eastAsia="仿宋" w:cs="仿宋"/>
                <w:b/>
                <w:color w:val="auto"/>
                <w:sz w:val="24"/>
                <w:szCs w:val="24"/>
                <w:highlight w:val="none"/>
              </w:rPr>
            </w:pPr>
          </w:p>
        </w:tc>
        <w:tc>
          <w:tcPr>
            <w:tcW w:w="2528" w:type="dxa"/>
            <w:noWrap w:val="0"/>
            <w:vAlign w:val="center"/>
          </w:tcPr>
          <w:p w14:paraId="51616AC6">
            <w:pPr>
              <w:jc w:val="center"/>
              <w:rPr>
                <w:rFonts w:hint="eastAsia" w:ascii="仿宋" w:hAnsi="仿宋" w:eastAsia="仿宋" w:cs="仿宋"/>
                <w:b/>
                <w:color w:val="auto"/>
                <w:sz w:val="24"/>
                <w:szCs w:val="24"/>
                <w:highlight w:val="none"/>
              </w:rPr>
            </w:pPr>
          </w:p>
        </w:tc>
        <w:tc>
          <w:tcPr>
            <w:tcW w:w="1260" w:type="dxa"/>
            <w:noWrap w:val="0"/>
            <w:vAlign w:val="center"/>
          </w:tcPr>
          <w:p w14:paraId="6F55FC42">
            <w:pPr>
              <w:jc w:val="center"/>
              <w:rPr>
                <w:rFonts w:hint="eastAsia" w:ascii="仿宋" w:hAnsi="仿宋" w:eastAsia="仿宋" w:cs="仿宋"/>
                <w:b/>
                <w:color w:val="auto"/>
                <w:sz w:val="24"/>
                <w:szCs w:val="24"/>
                <w:highlight w:val="none"/>
              </w:rPr>
            </w:pPr>
          </w:p>
        </w:tc>
        <w:tc>
          <w:tcPr>
            <w:tcW w:w="1487" w:type="dxa"/>
            <w:noWrap w:val="0"/>
            <w:vAlign w:val="center"/>
          </w:tcPr>
          <w:p w14:paraId="5663583C">
            <w:pPr>
              <w:jc w:val="center"/>
              <w:rPr>
                <w:rFonts w:hint="eastAsia" w:ascii="仿宋" w:hAnsi="仿宋" w:eastAsia="仿宋" w:cs="仿宋"/>
                <w:b/>
                <w:color w:val="auto"/>
                <w:sz w:val="24"/>
                <w:szCs w:val="24"/>
                <w:highlight w:val="none"/>
              </w:rPr>
            </w:pPr>
          </w:p>
        </w:tc>
        <w:tc>
          <w:tcPr>
            <w:tcW w:w="1921" w:type="dxa"/>
            <w:noWrap w:val="0"/>
            <w:vAlign w:val="center"/>
          </w:tcPr>
          <w:p w14:paraId="71EA03FE">
            <w:pPr>
              <w:jc w:val="center"/>
              <w:rPr>
                <w:rFonts w:hint="eastAsia" w:ascii="仿宋" w:hAnsi="仿宋" w:eastAsia="仿宋" w:cs="仿宋"/>
                <w:b/>
                <w:color w:val="auto"/>
                <w:sz w:val="24"/>
                <w:szCs w:val="24"/>
                <w:highlight w:val="none"/>
              </w:rPr>
            </w:pPr>
          </w:p>
        </w:tc>
        <w:tc>
          <w:tcPr>
            <w:tcW w:w="1084" w:type="dxa"/>
            <w:noWrap w:val="0"/>
            <w:vAlign w:val="center"/>
          </w:tcPr>
          <w:p w14:paraId="74EAE599">
            <w:pPr>
              <w:jc w:val="center"/>
              <w:rPr>
                <w:rFonts w:hint="eastAsia" w:ascii="仿宋" w:hAnsi="仿宋" w:eastAsia="仿宋" w:cs="仿宋"/>
                <w:b/>
                <w:color w:val="auto"/>
                <w:sz w:val="24"/>
                <w:szCs w:val="24"/>
                <w:highlight w:val="none"/>
              </w:rPr>
            </w:pPr>
          </w:p>
        </w:tc>
      </w:tr>
      <w:tr w14:paraId="0083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1" w:type="dxa"/>
            <w:noWrap w:val="0"/>
            <w:vAlign w:val="center"/>
          </w:tcPr>
          <w:p w14:paraId="48F90B01">
            <w:pPr>
              <w:jc w:val="center"/>
              <w:rPr>
                <w:rFonts w:hint="eastAsia" w:ascii="仿宋" w:hAnsi="仿宋" w:eastAsia="仿宋" w:cs="仿宋"/>
                <w:b/>
                <w:color w:val="auto"/>
                <w:sz w:val="24"/>
                <w:szCs w:val="24"/>
                <w:highlight w:val="none"/>
              </w:rPr>
            </w:pPr>
          </w:p>
        </w:tc>
        <w:tc>
          <w:tcPr>
            <w:tcW w:w="2528" w:type="dxa"/>
            <w:noWrap w:val="0"/>
            <w:vAlign w:val="center"/>
          </w:tcPr>
          <w:p w14:paraId="2252FBE1">
            <w:pPr>
              <w:jc w:val="center"/>
              <w:rPr>
                <w:rFonts w:hint="eastAsia" w:ascii="仿宋" w:hAnsi="仿宋" w:eastAsia="仿宋" w:cs="仿宋"/>
                <w:b/>
                <w:color w:val="auto"/>
                <w:sz w:val="24"/>
                <w:szCs w:val="24"/>
                <w:highlight w:val="none"/>
              </w:rPr>
            </w:pPr>
          </w:p>
        </w:tc>
        <w:tc>
          <w:tcPr>
            <w:tcW w:w="1260" w:type="dxa"/>
            <w:noWrap w:val="0"/>
            <w:vAlign w:val="center"/>
          </w:tcPr>
          <w:p w14:paraId="159A41C5">
            <w:pPr>
              <w:jc w:val="center"/>
              <w:rPr>
                <w:rFonts w:hint="eastAsia" w:ascii="仿宋" w:hAnsi="仿宋" w:eastAsia="仿宋" w:cs="仿宋"/>
                <w:b/>
                <w:color w:val="auto"/>
                <w:sz w:val="24"/>
                <w:szCs w:val="24"/>
                <w:highlight w:val="none"/>
              </w:rPr>
            </w:pPr>
          </w:p>
        </w:tc>
        <w:tc>
          <w:tcPr>
            <w:tcW w:w="1487" w:type="dxa"/>
            <w:noWrap w:val="0"/>
            <w:vAlign w:val="center"/>
          </w:tcPr>
          <w:p w14:paraId="44A849A8">
            <w:pPr>
              <w:jc w:val="center"/>
              <w:rPr>
                <w:rFonts w:hint="eastAsia" w:ascii="仿宋" w:hAnsi="仿宋" w:eastAsia="仿宋" w:cs="仿宋"/>
                <w:b/>
                <w:color w:val="auto"/>
                <w:sz w:val="24"/>
                <w:szCs w:val="24"/>
                <w:highlight w:val="none"/>
              </w:rPr>
            </w:pPr>
          </w:p>
        </w:tc>
        <w:tc>
          <w:tcPr>
            <w:tcW w:w="1921" w:type="dxa"/>
            <w:noWrap w:val="0"/>
            <w:vAlign w:val="center"/>
          </w:tcPr>
          <w:p w14:paraId="58BC2305">
            <w:pPr>
              <w:jc w:val="center"/>
              <w:rPr>
                <w:rFonts w:hint="eastAsia" w:ascii="仿宋" w:hAnsi="仿宋" w:eastAsia="仿宋" w:cs="仿宋"/>
                <w:b/>
                <w:color w:val="auto"/>
                <w:sz w:val="24"/>
                <w:szCs w:val="24"/>
                <w:highlight w:val="none"/>
              </w:rPr>
            </w:pPr>
          </w:p>
        </w:tc>
        <w:tc>
          <w:tcPr>
            <w:tcW w:w="1084" w:type="dxa"/>
            <w:noWrap w:val="0"/>
            <w:vAlign w:val="center"/>
          </w:tcPr>
          <w:p w14:paraId="21AC25BC">
            <w:pPr>
              <w:jc w:val="center"/>
              <w:rPr>
                <w:rFonts w:hint="eastAsia" w:ascii="仿宋" w:hAnsi="仿宋" w:eastAsia="仿宋" w:cs="仿宋"/>
                <w:b/>
                <w:color w:val="auto"/>
                <w:sz w:val="24"/>
                <w:szCs w:val="24"/>
                <w:highlight w:val="none"/>
              </w:rPr>
            </w:pPr>
          </w:p>
        </w:tc>
      </w:tr>
      <w:tr w14:paraId="21B8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1" w:type="dxa"/>
            <w:noWrap w:val="0"/>
            <w:vAlign w:val="center"/>
          </w:tcPr>
          <w:p w14:paraId="1CF82B05">
            <w:pPr>
              <w:jc w:val="center"/>
              <w:rPr>
                <w:rFonts w:hint="eastAsia" w:ascii="仿宋" w:hAnsi="仿宋" w:eastAsia="仿宋" w:cs="仿宋"/>
                <w:b/>
                <w:color w:val="auto"/>
                <w:sz w:val="24"/>
                <w:szCs w:val="24"/>
                <w:highlight w:val="none"/>
              </w:rPr>
            </w:pPr>
          </w:p>
        </w:tc>
        <w:tc>
          <w:tcPr>
            <w:tcW w:w="2528" w:type="dxa"/>
            <w:noWrap w:val="0"/>
            <w:vAlign w:val="center"/>
          </w:tcPr>
          <w:p w14:paraId="3FD85732">
            <w:pPr>
              <w:jc w:val="center"/>
              <w:rPr>
                <w:rFonts w:hint="eastAsia" w:ascii="仿宋" w:hAnsi="仿宋" w:eastAsia="仿宋" w:cs="仿宋"/>
                <w:b/>
                <w:color w:val="auto"/>
                <w:sz w:val="24"/>
                <w:szCs w:val="24"/>
                <w:highlight w:val="none"/>
              </w:rPr>
            </w:pPr>
          </w:p>
        </w:tc>
        <w:tc>
          <w:tcPr>
            <w:tcW w:w="1260" w:type="dxa"/>
            <w:noWrap w:val="0"/>
            <w:vAlign w:val="center"/>
          </w:tcPr>
          <w:p w14:paraId="67033763">
            <w:pPr>
              <w:jc w:val="center"/>
              <w:rPr>
                <w:rFonts w:hint="eastAsia" w:ascii="仿宋" w:hAnsi="仿宋" w:eastAsia="仿宋" w:cs="仿宋"/>
                <w:b/>
                <w:color w:val="auto"/>
                <w:sz w:val="24"/>
                <w:szCs w:val="24"/>
                <w:highlight w:val="none"/>
              </w:rPr>
            </w:pPr>
          </w:p>
        </w:tc>
        <w:tc>
          <w:tcPr>
            <w:tcW w:w="1487" w:type="dxa"/>
            <w:noWrap w:val="0"/>
            <w:vAlign w:val="center"/>
          </w:tcPr>
          <w:p w14:paraId="3771B30B">
            <w:pPr>
              <w:jc w:val="center"/>
              <w:rPr>
                <w:rFonts w:hint="eastAsia" w:ascii="仿宋" w:hAnsi="仿宋" w:eastAsia="仿宋" w:cs="仿宋"/>
                <w:b/>
                <w:color w:val="auto"/>
                <w:sz w:val="24"/>
                <w:szCs w:val="24"/>
                <w:highlight w:val="none"/>
              </w:rPr>
            </w:pPr>
          </w:p>
        </w:tc>
        <w:tc>
          <w:tcPr>
            <w:tcW w:w="1921" w:type="dxa"/>
            <w:noWrap w:val="0"/>
            <w:vAlign w:val="center"/>
          </w:tcPr>
          <w:p w14:paraId="43181BB6">
            <w:pPr>
              <w:jc w:val="center"/>
              <w:rPr>
                <w:rFonts w:hint="eastAsia" w:ascii="仿宋" w:hAnsi="仿宋" w:eastAsia="仿宋" w:cs="仿宋"/>
                <w:b/>
                <w:color w:val="auto"/>
                <w:sz w:val="24"/>
                <w:szCs w:val="24"/>
                <w:highlight w:val="none"/>
              </w:rPr>
            </w:pPr>
          </w:p>
        </w:tc>
        <w:tc>
          <w:tcPr>
            <w:tcW w:w="1084" w:type="dxa"/>
            <w:noWrap w:val="0"/>
            <w:vAlign w:val="center"/>
          </w:tcPr>
          <w:p w14:paraId="01A762E9">
            <w:pPr>
              <w:jc w:val="center"/>
              <w:rPr>
                <w:rFonts w:hint="eastAsia" w:ascii="仿宋" w:hAnsi="仿宋" w:eastAsia="仿宋" w:cs="仿宋"/>
                <w:b/>
                <w:color w:val="auto"/>
                <w:sz w:val="24"/>
                <w:szCs w:val="24"/>
                <w:highlight w:val="none"/>
              </w:rPr>
            </w:pPr>
          </w:p>
        </w:tc>
      </w:tr>
      <w:tr w14:paraId="4BAF8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1" w:type="dxa"/>
            <w:noWrap w:val="0"/>
            <w:vAlign w:val="center"/>
          </w:tcPr>
          <w:p w14:paraId="4196055C">
            <w:pPr>
              <w:jc w:val="center"/>
              <w:rPr>
                <w:rFonts w:hint="eastAsia" w:ascii="仿宋" w:hAnsi="仿宋" w:eastAsia="仿宋" w:cs="仿宋"/>
                <w:b/>
                <w:color w:val="auto"/>
                <w:sz w:val="24"/>
                <w:szCs w:val="24"/>
                <w:highlight w:val="none"/>
              </w:rPr>
            </w:pPr>
          </w:p>
        </w:tc>
        <w:tc>
          <w:tcPr>
            <w:tcW w:w="2528" w:type="dxa"/>
            <w:noWrap w:val="0"/>
            <w:vAlign w:val="center"/>
          </w:tcPr>
          <w:p w14:paraId="4379C62C">
            <w:pPr>
              <w:jc w:val="center"/>
              <w:rPr>
                <w:rFonts w:hint="eastAsia" w:ascii="仿宋" w:hAnsi="仿宋" w:eastAsia="仿宋" w:cs="仿宋"/>
                <w:b/>
                <w:color w:val="auto"/>
                <w:sz w:val="24"/>
                <w:szCs w:val="24"/>
                <w:highlight w:val="none"/>
              </w:rPr>
            </w:pPr>
          </w:p>
        </w:tc>
        <w:tc>
          <w:tcPr>
            <w:tcW w:w="1260" w:type="dxa"/>
            <w:noWrap w:val="0"/>
            <w:vAlign w:val="center"/>
          </w:tcPr>
          <w:p w14:paraId="2E717987">
            <w:pPr>
              <w:jc w:val="center"/>
              <w:rPr>
                <w:rFonts w:hint="eastAsia" w:ascii="仿宋" w:hAnsi="仿宋" w:eastAsia="仿宋" w:cs="仿宋"/>
                <w:b/>
                <w:color w:val="auto"/>
                <w:sz w:val="24"/>
                <w:szCs w:val="24"/>
                <w:highlight w:val="none"/>
              </w:rPr>
            </w:pPr>
          </w:p>
        </w:tc>
        <w:tc>
          <w:tcPr>
            <w:tcW w:w="1487" w:type="dxa"/>
            <w:noWrap w:val="0"/>
            <w:vAlign w:val="center"/>
          </w:tcPr>
          <w:p w14:paraId="6BD228EE">
            <w:pPr>
              <w:jc w:val="center"/>
              <w:rPr>
                <w:rFonts w:hint="eastAsia" w:ascii="仿宋" w:hAnsi="仿宋" w:eastAsia="仿宋" w:cs="仿宋"/>
                <w:b/>
                <w:color w:val="auto"/>
                <w:sz w:val="24"/>
                <w:szCs w:val="24"/>
                <w:highlight w:val="none"/>
              </w:rPr>
            </w:pPr>
          </w:p>
        </w:tc>
        <w:tc>
          <w:tcPr>
            <w:tcW w:w="1921" w:type="dxa"/>
            <w:noWrap w:val="0"/>
            <w:vAlign w:val="center"/>
          </w:tcPr>
          <w:p w14:paraId="60E8FEE8">
            <w:pPr>
              <w:jc w:val="center"/>
              <w:rPr>
                <w:rFonts w:hint="eastAsia" w:ascii="仿宋" w:hAnsi="仿宋" w:eastAsia="仿宋" w:cs="仿宋"/>
                <w:b/>
                <w:color w:val="auto"/>
                <w:sz w:val="24"/>
                <w:szCs w:val="24"/>
                <w:highlight w:val="none"/>
              </w:rPr>
            </w:pPr>
          </w:p>
        </w:tc>
        <w:tc>
          <w:tcPr>
            <w:tcW w:w="1084" w:type="dxa"/>
            <w:noWrap w:val="0"/>
            <w:vAlign w:val="center"/>
          </w:tcPr>
          <w:p w14:paraId="2BEFE2B3">
            <w:pPr>
              <w:jc w:val="center"/>
              <w:rPr>
                <w:rFonts w:hint="eastAsia" w:ascii="仿宋" w:hAnsi="仿宋" w:eastAsia="仿宋" w:cs="仿宋"/>
                <w:b/>
                <w:color w:val="auto"/>
                <w:sz w:val="24"/>
                <w:szCs w:val="24"/>
                <w:highlight w:val="none"/>
              </w:rPr>
            </w:pPr>
          </w:p>
        </w:tc>
      </w:tr>
      <w:tr w14:paraId="58A36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1" w:type="dxa"/>
            <w:noWrap w:val="0"/>
            <w:vAlign w:val="center"/>
          </w:tcPr>
          <w:p w14:paraId="3DA517DD">
            <w:pPr>
              <w:jc w:val="center"/>
              <w:rPr>
                <w:rFonts w:hint="eastAsia" w:ascii="仿宋" w:hAnsi="仿宋" w:eastAsia="仿宋" w:cs="仿宋"/>
                <w:b/>
                <w:color w:val="auto"/>
                <w:sz w:val="24"/>
                <w:szCs w:val="24"/>
                <w:highlight w:val="none"/>
              </w:rPr>
            </w:pPr>
          </w:p>
        </w:tc>
        <w:tc>
          <w:tcPr>
            <w:tcW w:w="2528" w:type="dxa"/>
            <w:noWrap w:val="0"/>
            <w:vAlign w:val="center"/>
          </w:tcPr>
          <w:p w14:paraId="41540097">
            <w:pPr>
              <w:jc w:val="center"/>
              <w:rPr>
                <w:rFonts w:hint="eastAsia" w:ascii="仿宋" w:hAnsi="仿宋" w:eastAsia="仿宋" w:cs="仿宋"/>
                <w:b/>
                <w:color w:val="auto"/>
                <w:sz w:val="24"/>
                <w:szCs w:val="24"/>
                <w:highlight w:val="none"/>
              </w:rPr>
            </w:pPr>
          </w:p>
        </w:tc>
        <w:tc>
          <w:tcPr>
            <w:tcW w:w="1260" w:type="dxa"/>
            <w:noWrap w:val="0"/>
            <w:vAlign w:val="center"/>
          </w:tcPr>
          <w:p w14:paraId="7A1CF8A5">
            <w:pPr>
              <w:jc w:val="center"/>
              <w:rPr>
                <w:rFonts w:hint="eastAsia" w:ascii="仿宋" w:hAnsi="仿宋" w:eastAsia="仿宋" w:cs="仿宋"/>
                <w:b/>
                <w:color w:val="auto"/>
                <w:sz w:val="24"/>
                <w:szCs w:val="24"/>
                <w:highlight w:val="none"/>
              </w:rPr>
            </w:pPr>
          </w:p>
        </w:tc>
        <w:tc>
          <w:tcPr>
            <w:tcW w:w="1487" w:type="dxa"/>
            <w:noWrap w:val="0"/>
            <w:vAlign w:val="center"/>
          </w:tcPr>
          <w:p w14:paraId="7519322D">
            <w:pPr>
              <w:jc w:val="center"/>
              <w:rPr>
                <w:rFonts w:hint="eastAsia" w:ascii="仿宋" w:hAnsi="仿宋" w:eastAsia="仿宋" w:cs="仿宋"/>
                <w:b/>
                <w:color w:val="auto"/>
                <w:sz w:val="24"/>
                <w:szCs w:val="24"/>
                <w:highlight w:val="none"/>
              </w:rPr>
            </w:pPr>
          </w:p>
        </w:tc>
        <w:tc>
          <w:tcPr>
            <w:tcW w:w="1921" w:type="dxa"/>
            <w:noWrap w:val="0"/>
            <w:vAlign w:val="center"/>
          </w:tcPr>
          <w:p w14:paraId="3EFD02C1">
            <w:pPr>
              <w:jc w:val="center"/>
              <w:rPr>
                <w:rFonts w:hint="eastAsia" w:ascii="仿宋" w:hAnsi="仿宋" w:eastAsia="仿宋" w:cs="仿宋"/>
                <w:b/>
                <w:color w:val="auto"/>
                <w:sz w:val="24"/>
                <w:szCs w:val="24"/>
                <w:highlight w:val="none"/>
              </w:rPr>
            </w:pPr>
          </w:p>
        </w:tc>
        <w:tc>
          <w:tcPr>
            <w:tcW w:w="1084" w:type="dxa"/>
            <w:noWrap w:val="0"/>
            <w:vAlign w:val="center"/>
          </w:tcPr>
          <w:p w14:paraId="65FD5C5E">
            <w:pPr>
              <w:jc w:val="center"/>
              <w:rPr>
                <w:rFonts w:hint="eastAsia" w:ascii="仿宋" w:hAnsi="仿宋" w:eastAsia="仿宋" w:cs="仿宋"/>
                <w:b/>
                <w:color w:val="auto"/>
                <w:sz w:val="24"/>
                <w:szCs w:val="24"/>
                <w:highlight w:val="none"/>
              </w:rPr>
            </w:pPr>
          </w:p>
        </w:tc>
      </w:tr>
      <w:tr w14:paraId="0C70F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1" w:type="dxa"/>
            <w:noWrap w:val="0"/>
            <w:vAlign w:val="center"/>
          </w:tcPr>
          <w:p w14:paraId="4A220BCB">
            <w:pPr>
              <w:jc w:val="center"/>
              <w:rPr>
                <w:rFonts w:hint="eastAsia" w:ascii="仿宋" w:hAnsi="仿宋" w:eastAsia="仿宋" w:cs="仿宋"/>
                <w:b/>
                <w:color w:val="auto"/>
                <w:sz w:val="24"/>
                <w:szCs w:val="24"/>
                <w:highlight w:val="none"/>
              </w:rPr>
            </w:pPr>
          </w:p>
        </w:tc>
        <w:tc>
          <w:tcPr>
            <w:tcW w:w="2528" w:type="dxa"/>
            <w:noWrap w:val="0"/>
            <w:vAlign w:val="center"/>
          </w:tcPr>
          <w:p w14:paraId="47325DE5">
            <w:pPr>
              <w:jc w:val="center"/>
              <w:rPr>
                <w:rFonts w:hint="eastAsia" w:ascii="仿宋" w:hAnsi="仿宋" w:eastAsia="仿宋" w:cs="仿宋"/>
                <w:b/>
                <w:color w:val="auto"/>
                <w:sz w:val="24"/>
                <w:szCs w:val="24"/>
                <w:highlight w:val="none"/>
              </w:rPr>
            </w:pPr>
          </w:p>
        </w:tc>
        <w:tc>
          <w:tcPr>
            <w:tcW w:w="1260" w:type="dxa"/>
            <w:noWrap w:val="0"/>
            <w:vAlign w:val="center"/>
          </w:tcPr>
          <w:p w14:paraId="214A97F9">
            <w:pPr>
              <w:jc w:val="center"/>
              <w:rPr>
                <w:rFonts w:hint="eastAsia" w:ascii="仿宋" w:hAnsi="仿宋" w:eastAsia="仿宋" w:cs="仿宋"/>
                <w:b/>
                <w:color w:val="auto"/>
                <w:sz w:val="24"/>
                <w:szCs w:val="24"/>
                <w:highlight w:val="none"/>
              </w:rPr>
            </w:pPr>
          </w:p>
        </w:tc>
        <w:tc>
          <w:tcPr>
            <w:tcW w:w="1487" w:type="dxa"/>
            <w:noWrap w:val="0"/>
            <w:vAlign w:val="center"/>
          </w:tcPr>
          <w:p w14:paraId="6CD93377">
            <w:pPr>
              <w:jc w:val="center"/>
              <w:rPr>
                <w:rFonts w:hint="eastAsia" w:ascii="仿宋" w:hAnsi="仿宋" w:eastAsia="仿宋" w:cs="仿宋"/>
                <w:b/>
                <w:color w:val="auto"/>
                <w:sz w:val="24"/>
                <w:szCs w:val="24"/>
                <w:highlight w:val="none"/>
              </w:rPr>
            </w:pPr>
          </w:p>
        </w:tc>
        <w:tc>
          <w:tcPr>
            <w:tcW w:w="1921" w:type="dxa"/>
            <w:noWrap w:val="0"/>
            <w:vAlign w:val="center"/>
          </w:tcPr>
          <w:p w14:paraId="74338CCC">
            <w:pPr>
              <w:jc w:val="center"/>
              <w:rPr>
                <w:rFonts w:hint="eastAsia" w:ascii="仿宋" w:hAnsi="仿宋" w:eastAsia="仿宋" w:cs="仿宋"/>
                <w:b/>
                <w:color w:val="auto"/>
                <w:sz w:val="24"/>
                <w:szCs w:val="24"/>
                <w:highlight w:val="none"/>
              </w:rPr>
            </w:pPr>
          </w:p>
        </w:tc>
        <w:tc>
          <w:tcPr>
            <w:tcW w:w="1084" w:type="dxa"/>
            <w:noWrap w:val="0"/>
            <w:vAlign w:val="center"/>
          </w:tcPr>
          <w:p w14:paraId="637B336F">
            <w:pPr>
              <w:jc w:val="center"/>
              <w:rPr>
                <w:rFonts w:hint="eastAsia" w:ascii="仿宋" w:hAnsi="仿宋" w:eastAsia="仿宋" w:cs="仿宋"/>
                <w:b/>
                <w:color w:val="auto"/>
                <w:sz w:val="24"/>
                <w:szCs w:val="24"/>
                <w:highlight w:val="none"/>
              </w:rPr>
            </w:pPr>
          </w:p>
        </w:tc>
      </w:tr>
      <w:tr w14:paraId="1BE8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1" w:type="dxa"/>
            <w:noWrap w:val="0"/>
            <w:vAlign w:val="center"/>
          </w:tcPr>
          <w:p w14:paraId="3F8FBFCF">
            <w:pPr>
              <w:jc w:val="center"/>
              <w:rPr>
                <w:rFonts w:hint="eastAsia" w:ascii="仿宋" w:hAnsi="仿宋" w:eastAsia="仿宋" w:cs="仿宋"/>
                <w:b/>
                <w:color w:val="auto"/>
                <w:sz w:val="24"/>
                <w:szCs w:val="24"/>
                <w:highlight w:val="none"/>
              </w:rPr>
            </w:pPr>
          </w:p>
        </w:tc>
        <w:tc>
          <w:tcPr>
            <w:tcW w:w="2528" w:type="dxa"/>
            <w:noWrap w:val="0"/>
            <w:vAlign w:val="center"/>
          </w:tcPr>
          <w:p w14:paraId="2E9BBB5F">
            <w:pPr>
              <w:jc w:val="center"/>
              <w:rPr>
                <w:rFonts w:hint="eastAsia" w:ascii="仿宋" w:hAnsi="仿宋" w:eastAsia="仿宋" w:cs="仿宋"/>
                <w:b/>
                <w:color w:val="auto"/>
                <w:sz w:val="24"/>
                <w:szCs w:val="24"/>
                <w:highlight w:val="none"/>
              </w:rPr>
            </w:pPr>
          </w:p>
        </w:tc>
        <w:tc>
          <w:tcPr>
            <w:tcW w:w="1260" w:type="dxa"/>
            <w:noWrap w:val="0"/>
            <w:vAlign w:val="center"/>
          </w:tcPr>
          <w:p w14:paraId="2FBD90D5">
            <w:pPr>
              <w:jc w:val="center"/>
              <w:rPr>
                <w:rFonts w:hint="eastAsia" w:ascii="仿宋" w:hAnsi="仿宋" w:eastAsia="仿宋" w:cs="仿宋"/>
                <w:b/>
                <w:color w:val="auto"/>
                <w:sz w:val="24"/>
                <w:szCs w:val="24"/>
                <w:highlight w:val="none"/>
              </w:rPr>
            </w:pPr>
          </w:p>
        </w:tc>
        <w:tc>
          <w:tcPr>
            <w:tcW w:w="1487" w:type="dxa"/>
            <w:noWrap w:val="0"/>
            <w:vAlign w:val="center"/>
          </w:tcPr>
          <w:p w14:paraId="2492AAAB">
            <w:pPr>
              <w:jc w:val="center"/>
              <w:rPr>
                <w:rFonts w:hint="eastAsia" w:ascii="仿宋" w:hAnsi="仿宋" w:eastAsia="仿宋" w:cs="仿宋"/>
                <w:b/>
                <w:color w:val="auto"/>
                <w:sz w:val="24"/>
                <w:szCs w:val="24"/>
                <w:highlight w:val="none"/>
              </w:rPr>
            </w:pPr>
          </w:p>
        </w:tc>
        <w:tc>
          <w:tcPr>
            <w:tcW w:w="1921" w:type="dxa"/>
            <w:noWrap w:val="0"/>
            <w:vAlign w:val="center"/>
          </w:tcPr>
          <w:p w14:paraId="1904DF29">
            <w:pPr>
              <w:jc w:val="center"/>
              <w:rPr>
                <w:rFonts w:hint="eastAsia" w:ascii="仿宋" w:hAnsi="仿宋" w:eastAsia="仿宋" w:cs="仿宋"/>
                <w:b/>
                <w:color w:val="auto"/>
                <w:sz w:val="24"/>
                <w:szCs w:val="24"/>
                <w:highlight w:val="none"/>
              </w:rPr>
            </w:pPr>
          </w:p>
        </w:tc>
        <w:tc>
          <w:tcPr>
            <w:tcW w:w="1084" w:type="dxa"/>
            <w:noWrap w:val="0"/>
            <w:vAlign w:val="center"/>
          </w:tcPr>
          <w:p w14:paraId="6420064E">
            <w:pPr>
              <w:jc w:val="center"/>
              <w:rPr>
                <w:rFonts w:hint="eastAsia" w:ascii="仿宋" w:hAnsi="仿宋" w:eastAsia="仿宋" w:cs="仿宋"/>
                <w:b/>
                <w:color w:val="auto"/>
                <w:sz w:val="24"/>
                <w:szCs w:val="24"/>
                <w:highlight w:val="none"/>
              </w:rPr>
            </w:pPr>
          </w:p>
        </w:tc>
      </w:tr>
      <w:tr w14:paraId="49A3B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1" w:type="dxa"/>
            <w:noWrap w:val="0"/>
            <w:vAlign w:val="center"/>
          </w:tcPr>
          <w:p w14:paraId="106DA32F">
            <w:pPr>
              <w:jc w:val="center"/>
              <w:rPr>
                <w:rFonts w:hint="eastAsia" w:ascii="仿宋" w:hAnsi="仿宋" w:eastAsia="仿宋" w:cs="仿宋"/>
                <w:b/>
                <w:color w:val="auto"/>
                <w:sz w:val="24"/>
                <w:szCs w:val="24"/>
                <w:highlight w:val="none"/>
              </w:rPr>
            </w:pPr>
          </w:p>
        </w:tc>
        <w:tc>
          <w:tcPr>
            <w:tcW w:w="2528" w:type="dxa"/>
            <w:noWrap w:val="0"/>
            <w:vAlign w:val="center"/>
          </w:tcPr>
          <w:p w14:paraId="142A82A1">
            <w:pPr>
              <w:jc w:val="center"/>
              <w:rPr>
                <w:rFonts w:hint="eastAsia" w:ascii="仿宋" w:hAnsi="仿宋" w:eastAsia="仿宋" w:cs="仿宋"/>
                <w:b/>
                <w:color w:val="auto"/>
                <w:sz w:val="24"/>
                <w:szCs w:val="24"/>
                <w:highlight w:val="none"/>
              </w:rPr>
            </w:pPr>
          </w:p>
        </w:tc>
        <w:tc>
          <w:tcPr>
            <w:tcW w:w="1260" w:type="dxa"/>
            <w:noWrap w:val="0"/>
            <w:vAlign w:val="center"/>
          </w:tcPr>
          <w:p w14:paraId="62A84671">
            <w:pPr>
              <w:jc w:val="center"/>
              <w:rPr>
                <w:rFonts w:hint="eastAsia" w:ascii="仿宋" w:hAnsi="仿宋" w:eastAsia="仿宋" w:cs="仿宋"/>
                <w:b/>
                <w:color w:val="auto"/>
                <w:sz w:val="24"/>
                <w:szCs w:val="24"/>
                <w:highlight w:val="none"/>
              </w:rPr>
            </w:pPr>
          </w:p>
        </w:tc>
        <w:tc>
          <w:tcPr>
            <w:tcW w:w="1487" w:type="dxa"/>
            <w:noWrap w:val="0"/>
            <w:vAlign w:val="center"/>
          </w:tcPr>
          <w:p w14:paraId="3C6561B4">
            <w:pPr>
              <w:jc w:val="center"/>
              <w:rPr>
                <w:rFonts w:hint="eastAsia" w:ascii="仿宋" w:hAnsi="仿宋" w:eastAsia="仿宋" w:cs="仿宋"/>
                <w:b/>
                <w:color w:val="auto"/>
                <w:sz w:val="24"/>
                <w:szCs w:val="24"/>
                <w:highlight w:val="none"/>
              </w:rPr>
            </w:pPr>
          </w:p>
        </w:tc>
        <w:tc>
          <w:tcPr>
            <w:tcW w:w="1921" w:type="dxa"/>
            <w:noWrap w:val="0"/>
            <w:vAlign w:val="center"/>
          </w:tcPr>
          <w:p w14:paraId="6E91492F">
            <w:pPr>
              <w:jc w:val="center"/>
              <w:rPr>
                <w:rFonts w:hint="eastAsia" w:ascii="仿宋" w:hAnsi="仿宋" w:eastAsia="仿宋" w:cs="仿宋"/>
                <w:b/>
                <w:color w:val="auto"/>
                <w:sz w:val="24"/>
                <w:szCs w:val="24"/>
                <w:highlight w:val="none"/>
              </w:rPr>
            </w:pPr>
          </w:p>
        </w:tc>
        <w:tc>
          <w:tcPr>
            <w:tcW w:w="1084" w:type="dxa"/>
            <w:noWrap w:val="0"/>
            <w:vAlign w:val="center"/>
          </w:tcPr>
          <w:p w14:paraId="110E9C01">
            <w:pPr>
              <w:jc w:val="center"/>
              <w:rPr>
                <w:rFonts w:hint="eastAsia" w:ascii="仿宋" w:hAnsi="仿宋" w:eastAsia="仿宋" w:cs="仿宋"/>
                <w:b/>
                <w:color w:val="auto"/>
                <w:sz w:val="24"/>
                <w:szCs w:val="24"/>
                <w:highlight w:val="none"/>
              </w:rPr>
            </w:pPr>
          </w:p>
        </w:tc>
      </w:tr>
      <w:tr w14:paraId="35E63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1" w:type="dxa"/>
            <w:noWrap w:val="0"/>
            <w:vAlign w:val="center"/>
          </w:tcPr>
          <w:p w14:paraId="6F37134D">
            <w:pPr>
              <w:jc w:val="center"/>
              <w:rPr>
                <w:rFonts w:hint="eastAsia" w:ascii="仿宋" w:hAnsi="仿宋" w:eastAsia="仿宋" w:cs="仿宋"/>
                <w:b/>
                <w:color w:val="auto"/>
                <w:sz w:val="24"/>
                <w:szCs w:val="24"/>
                <w:highlight w:val="none"/>
              </w:rPr>
            </w:pPr>
          </w:p>
        </w:tc>
        <w:tc>
          <w:tcPr>
            <w:tcW w:w="2528" w:type="dxa"/>
            <w:noWrap w:val="0"/>
            <w:vAlign w:val="center"/>
          </w:tcPr>
          <w:p w14:paraId="7297DE46">
            <w:pPr>
              <w:jc w:val="center"/>
              <w:rPr>
                <w:rFonts w:hint="eastAsia" w:ascii="仿宋" w:hAnsi="仿宋" w:eastAsia="仿宋" w:cs="仿宋"/>
                <w:b/>
                <w:color w:val="auto"/>
                <w:sz w:val="24"/>
                <w:szCs w:val="24"/>
                <w:highlight w:val="none"/>
              </w:rPr>
            </w:pPr>
          </w:p>
        </w:tc>
        <w:tc>
          <w:tcPr>
            <w:tcW w:w="1260" w:type="dxa"/>
            <w:noWrap w:val="0"/>
            <w:vAlign w:val="center"/>
          </w:tcPr>
          <w:p w14:paraId="440FA478">
            <w:pPr>
              <w:jc w:val="center"/>
              <w:rPr>
                <w:rFonts w:hint="eastAsia" w:ascii="仿宋" w:hAnsi="仿宋" w:eastAsia="仿宋" w:cs="仿宋"/>
                <w:b/>
                <w:color w:val="auto"/>
                <w:sz w:val="24"/>
                <w:szCs w:val="24"/>
                <w:highlight w:val="none"/>
              </w:rPr>
            </w:pPr>
          </w:p>
        </w:tc>
        <w:tc>
          <w:tcPr>
            <w:tcW w:w="1487" w:type="dxa"/>
            <w:noWrap w:val="0"/>
            <w:vAlign w:val="center"/>
          </w:tcPr>
          <w:p w14:paraId="3A48AD69">
            <w:pPr>
              <w:jc w:val="center"/>
              <w:rPr>
                <w:rFonts w:hint="eastAsia" w:ascii="仿宋" w:hAnsi="仿宋" w:eastAsia="仿宋" w:cs="仿宋"/>
                <w:b/>
                <w:color w:val="auto"/>
                <w:sz w:val="24"/>
                <w:szCs w:val="24"/>
                <w:highlight w:val="none"/>
              </w:rPr>
            </w:pPr>
          </w:p>
        </w:tc>
        <w:tc>
          <w:tcPr>
            <w:tcW w:w="1921" w:type="dxa"/>
            <w:noWrap w:val="0"/>
            <w:vAlign w:val="center"/>
          </w:tcPr>
          <w:p w14:paraId="0BF0572C">
            <w:pPr>
              <w:jc w:val="center"/>
              <w:rPr>
                <w:rFonts w:hint="eastAsia" w:ascii="仿宋" w:hAnsi="仿宋" w:eastAsia="仿宋" w:cs="仿宋"/>
                <w:b/>
                <w:color w:val="auto"/>
                <w:sz w:val="24"/>
                <w:szCs w:val="24"/>
                <w:highlight w:val="none"/>
              </w:rPr>
            </w:pPr>
          </w:p>
        </w:tc>
        <w:tc>
          <w:tcPr>
            <w:tcW w:w="1084" w:type="dxa"/>
            <w:noWrap w:val="0"/>
            <w:vAlign w:val="center"/>
          </w:tcPr>
          <w:p w14:paraId="630BD8B1">
            <w:pPr>
              <w:jc w:val="center"/>
              <w:rPr>
                <w:rFonts w:hint="eastAsia" w:ascii="仿宋" w:hAnsi="仿宋" w:eastAsia="仿宋" w:cs="仿宋"/>
                <w:b/>
                <w:color w:val="auto"/>
                <w:sz w:val="24"/>
                <w:szCs w:val="24"/>
                <w:highlight w:val="none"/>
              </w:rPr>
            </w:pPr>
          </w:p>
        </w:tc>
      </w:tr>
      <w:tr w14:paraId="47B46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1" w:type="dxa"/>
            <w:noWrap w:val="0"/>
            <w:vAlign w:val="center"/>
          </w:tcPr>
          <w:p w14:paraId="35C96A77">
            <w:pPr>
              <w:jc w:val="center"/>
              <w:rPr>
                <w:rFonts w:hint="eastAsia" w:ascii="仿宋" w:hAnsi="仿宋" w:eastAsia="仿宋" w:cs="仿宋"/>
                <w:b/>
                <w:color w:val="auto"/>
                <w:sz w:val="24"/>
                <w:szCs w:val="24"/>
                <w:highlight w:val="none"/>
              </w:rPr>
            </w:pPr>
          </w:p>
        </w:tc>
        <w:tc>
          <w:tcPr>
            <w:tcW w:w="2528" w:type="dxa"/>
            <w:noWrap w:val="0"/>
            <w:vAlign w:val="center"/>
          </w:tcPr>
          <w:p w14:paraId="243A5E84">
            <w:pPr>
              <w:jc w:val="center"/>
              <w:rPr>
                <w:rFonts w:hint="eastAsia" w:ascii="仿宋" w:hAnsi="仿宋" w:eastAsia="仿宋" w:cs="仿宋"/>
                <w:b/>
                <w:color w:val="auto"/>
                <w:sz w:val="24"/>
                <w:szCs w:val="24"/>
                <w:highlight w:val="none"/>
              </w:rPr>
            </w:pPr>
          </w:p>
        </w:tc>
        <w:tc>
          <w:tcPr>
            <w:tcW w:w="1260" w:type="dxa"/>
            <w:noWrap w:val="0"/>
            <w:vAlign w:val="center"/>
          </w:tcPr>
          <w:p w14:paraId="7C07BCE2">
            <w:pPr>
              <w:jc w:val="center"/>
              <w:rPr>
                <w:rFonts w:hint="eastAsia" w:ascii="仿宋" w:hAnsi="仿宋" w:eastAsia="仿宋" w:cs="仿宋"/>
                <w:b/>
                <w:color w:val="auto"/>
                <w:sz w:val="24"/>
                <w:szCs w:val="24"/>
                <w:highlight w:val="none"/>
              </w:rPr>
            </w:pPr>
          </w:p>
        </w:tc>
        <w:tc>
          <w:tcPr>
            <w:tcW w:w="1487" w:type="dxa"/>
            <w:noWrap w:val="0"/>
            <w:vAlign w:val="center"/>
          </w:tcPr>
          <w:p w14:paraId="68864F2F">
            <w:pPr>
              <w:jc w:val="center"/>
              <w:rPr>
                <w:rFonts w:hint="eastAsia" w:ascii="仿宋" w:hAnsi="仿宋" w:eastAsia="仿宋" w:cs="仿宋"/>
                <w:b/>
                <w:color w:val="auto"/>
                <w:sz w:val="24"/>
                <w:szCs w:val="24"/>
                <w:highlight w:val="none"/>
              </w:rPr>
            </w:pPr>
          </w:p>
        </w:tc>
        <w:tc>
          <w:tcPr>
            <w:tcW w:w="1921" w:type="dxa"/>
            <w:noWrap w:val="0"/>
            <w:vAlign w:val="center"/>
          </w:tcPr>
          <w:p w14:paraId="13712BED">
            <w:pPr>
              <w:jc w:val="center"/>
              <w:rPr>
                <w:rFonts w:hint="eastAsia" w:ascii="仿宋" w:hAnsi="仿宋" w:eastAsia="仿宋" w:cs="仿宋"/>
                <w:b/>
                <w:color w:val="auto"/>
                <w:sz w:val="24"/>
                <w:szCs w:val="24"/>
                <w:highlight w:val="none"/>
              </w:rPr>
            </w:pPr>
          </w:p>
        </w:tc>
        <w:tc>
          <w:tcPr>
            <w:tcW w:w="1084" w:type="dxa"/>
            <w:noWrap w:val="0"/>
            <w:vAlign w:val="center"/>
          </w:tcPr>
          <w:p w14:paraId="1734AF17">
            <w:pPr>
              <w:jc w:val="center"/>
              <w:rPr>
                <w:rFonts w:hint="eastAsia" w:ascii="仿宋" w:hAnsi="仿宋" w:eastAsia="仿宋" w:cs="仿宋"/>
                <w:b/>
                <w:color w:val="auto"/>
                <w:sz w:val="24"/>
                <w:szCs w:val="24"/>
                <w:highlight w:val="none"/>
              </w:rPr>
            </w:pPr>
          </w:p>
        </w:tc>
      </w:tr>
      <w:tr w14:paraId="7F83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1" w:type="dxa"/>
            <w:noWrap w:val="0"/>
            <w:vAlign w:val="center"/>
          </w:tcPr>
          <w:p w14:paraId="11B7B496">
            <w:pPr>
              <w:jc w:val="center"/>
              <w:rPr>
                <w:rFonts w:hint="eastAsia" w:ascii="仿宋" w:hAnsi="仿宋" w:eastAsia="仿宋" w:cs="仿宋"/>
                <w:b/>
                <w:color w:val="auto"/>
                <w:sz w:val="24"/>
                <w:szCs w:val="24"/>
                <w:highlight w:val="none"/>
              </w:rPr>
            </w:pPr>
          </w:p>
        </w:tc>
        <w:tc>
          <w:tcPr>
            <w:tcW w:w="2528" w:type="dxa"/>
            <w:noWrap w:val="0"/>
            <w:vAlign w:val="center"/>
          </w:tcPr>
          <w:p w14:paraId="2F0D6288">
            <w:pPr>
              <w:jc w:val="center"/>
              <w:rPr>
                <w:rFonts w:hint="eastAsia" w:ascii="仿宋" w:hAnsi="仿宋" w:eastAsia="仿宋" w:cs="仿宋"/>
                <w:b/>
                <w:color w:val="auto"/>
                <w:sz w:val="24"/>
                <w:szCs w:val="24"/>
                <w:highlight w:val="none"/>
              </w:rPr>
            </w:pPr>
          </w:p>
        </w:tc>
        <w:tc>
          <w:tcPr>
            <w:tcW w:w="1260" w:type="dxa"/>
            <w:noWrap w:val="0"/>
            <w:vAlign w:val="center"/>
          </w:tcPr>
          <w:p w14:paraId="4B7357B5">
            <w:pPr>
              <w:jc w:val="center"/>
              <w:rPr>
                <w:rFonts w:hint="eastAsia" w:ascii="仿宋" w:hAnsi="仿宋" w:eastAsia="仿宋" w:cs="仿宋"/>
                <w:b/>
                <w:color w:val="auto"/>
                <w:sz w:val="24"/>
                <w:szCs w:val="24"/>
                <w:highlight w:val="none"/>
              </w:rPr>
            </w:pPr>
          </w:p>
        </w:tc>
        <w:tc>
          <w:tcPr>
            <w:tcW w:w="1487" w:type="dxa"/>
            <w:noWrap w:val="0"/>
            <w:vAlign w:val="center"/>
          </w:tcPr>
          <w:p w14:paraId="538FD456">
            <w:pPr>
              <w:jc w:val="center"/>
              <w:rPr>
                <w:rFonts w:hint="eastAsia" w:ascii="仿宋" w:hAnsi="仿宋" w:eastAsia="仿宋" w:cs="仿宋"/>
                <w:b/>
                <w:color w:val="auto"/>
                <w:sz w:val="24"/>
                <w:szCs w:val="24"/>
                <w:highlight w:val="none"/>
              </w:rPr>
            </w:pPr>
          </w:p>
        </w:tc>
        <w:tc>
          <w:tcPr>
            <w:tcW w:w="1921" w:type="dxa"/>
            <w:noWrap w:val="0"/>
            <w:vAlign w:val="center"/>
          </w:tcPr>
          <w:p w14:paraId="67779473">
            <w:pPr>
              <w:jc w:val="center"/>
              <w:rPr>
                <w:rFonts w:hint="eastAsia" w:ascii="仿宋" w:hAnsi="仿宋" w:eastAsia="仿宋" w:cs="仿宋"/>
                <w:b/>
                <w:color w:val="auto"/>
                <w:sz w:val="24"/>
                <w:szCs w:val="24"/>
                <w:highlight w:val="none"/>
              </w:rPr>
            </w:pPr>
          </w:p>
        </w:tc>
        <w:tc>
          <w:tcPr>
            <w:tcW w:w="1084" w:type="dxa"/>
            <w:noWrap w:val="0"/>
            <w:vAlign w:val="center"/>
          </w:tcPr>
          <w:p w14:paraId="07A58A71">
            <w:pPr>
              <w:jc w:val="center"/>
              <w:rPr>
                <w:rFonts w:hint="eastAsia" w:ascii="仿宋" w:hAnsi="仿宋" w:eastAsia="仿宋" w:cs="仿宋"/>
                <w:b/>
                <w:color w:val="auto"/>
                <w:sz w:val="24"/>
                <w:szCs w:val="24"/>
                <w:highlight w:val="none"/>
              </w:rPr>
            </w:pPr>
          </w:p>
        </w:tc>
      </w:tr>
    </w:tbl>
    <w:p w14:paraId="6CF1824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注：1、本表须附证明材料，提供中标通知书或承包合同证明材料（复印件加盖公章）。</w:t>
      </w:r>
    </w:p>
    <w:p w14:paraId="22BB920C">
      <w:pPr>
        <w:spacing w:line="440" w:lineRule="exac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2、表内（联系方式）指类似项目采购人的联系方法。</w:t>
      </w:r>
    </w:p>
    <w:p w14:paraId="0336CC0A">
      <w:pPr>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                          </w:t>
      </w:r>
    </w:p>
    <w:p w14:paraId="3EBA593C">
      <w:pPr>
        <w:jc w:val="left"/>
        <w:rPr>
          <w:rFonts w:hint="eastAsia" w:ascii="仿宋" w:hAnsi="仿宋" w:eastAsia="仿宋" w:cs="仿宋"/>
          <w:color w:val="auto"/>
          <w:sz w:val="24"/>
          <w:szCs w:val="24"/>
          <w:highlight w:val="none"/>
        </w:rPr>
      </w:pPr>
    </w:p>
    <w:p w14:paraId="39E1F4D6">
      <w:pPr>
        <w:autoSpaceDE w:val="0"/>
        <w:autoSpaceDN w:val="0"/>
        <w:adjustRightInd w:val="0"/>
        <w:spacing w:line="460" w:lineRule="atLeast"/>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投标人名称（</w:t>
      </w:r>
      <w:r>
        <w:rPr>
          <w:rFonts w:hint="eastAsia" w:ascii="仿宋" w:hAnsi="仿宋" w:eastAsia="仿宋" w:cs="仿宋"/>
          <w:bCs/>
          <w:color w:val="auto"/>
          <w:sz w:val="24"/>
          <w:szCs w:val="24"/>
          <w:highlight w:val="none"/>
          <w:lang w:val="en-US" w:eastAsia="zh-CN"/>
        </w:rPr>
        <w:t>盖章</w:t>
      </w:r>
      <w:r>
        <w:rPr>
          <w:rFonts w:hint="eastAsia" w:ascii="仿宋" w:hAnsi="仿宋" w:eastAsia="仿宋" w:cs="仿宋"/>
          <w:bCs/>
          <w:color w:val="auto"/>
          <w:sz w:val="24"/>
          <w:szCs w:val="24"/>
          <w:highlight w:val="none"/>
          <w:lang w:val="zh-CN"/>
        </w:rPr>
        <w:t>）：</w:t>
      </w:r>
    </w:p>
    <w:p w14:paraId="16377E8B">
      <w:pPr>
        <w:autoSpaceDE w:val="0"/>
        <w:autoSpaceDN w:val="0"/>
        <w:adjustRightInd w:val="0"/>
        <w:spacing w:line="460" w:lineRule="atLeast"/>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日期：</w:t>
      </w:r>
    </w:p>
    <w:p w14:paraId="7351CD97">
      <w:pPr>
        <w:widowControl/>
        <w:adjustRightInd/>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br w:type="page"/>
      </w:r>
    </w:p>
    <w:p w14:paraId="35ECA2DF">
      <w:pPr>
        <w:spacing w:line="360" w:lineRule="auto"/>
        <w:jc w:val="center"/>
        <w:outlineLvl w:val="0"/>
        <w:rPr>
          <w:rFonts w:ascii="仿宋" w:hAnsi="仿宋" w:eastAsia="仿宋" w:cs="仿宋_GB2312"/>
          <w:b/>
          <w:color w:val="auto"/>
          <w:kern w:val="0"/>
          <w:sz w:val="36"/>
          <w:szCs w:val="36"/>
          <w:highlight w:val="none"/>
        </w:rPr>
      </w:pPr>
    </w:p>
    <w:p w14:paraId="0C3AA2AE">
      <w:pPr>
        <w:spacing w:line="360" w:lineRule="auto"/>
        <w:jc w:val="center"/>
        <w:outlineLvl w:val="0"/>
        <w:rPr>
          <w:rFonts w:ascii="仿宋" w:hAnsi="仿宋" w:eastAsia="仿宋" w:cs="仿宋_GB2312"/>
          <w:b/>
          <w:color w:val="auto"/>
          <w:kern w:val="0"/>
          <w:sz w:val="36"/>
          <w:szCs w:val="36"/>
          <w:highlight w:val="none"/>
        </w:rPr>
      </w:pPr>
    </w:p>
    <w:p w14:paraId="38F58422">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报价文件部分</w:t>
      </w:r>
    </w:p>
    <w:p w14:paraId="6A22E86A">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14:paraId="227F8CB7">
      <w:pPr>
        <w:spacing w:line="360" w:lineRule="auto"/>
        <w:jc w:val="center"/>
        <w:outlineLvl w:val="0"/>
        <w:rPr>
          <w:rFonts w:ascii="仿宋" w:hAnsi="仿宋" w:eastAsia="仿宋" w:cs="仿宋_GB2312"/>
          <w:b/>
          <w:color w:val="auto"/>
          <w:kern w:val="0"/>
          <w:sz w:val="36"/>
          <w:szCs w:val="36"/>
          <w:highlight w:val="none"/>
        </w:rPr>
      </w:pPr>
    </w:p>
    <w:p w14:paraId="33C28847">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1）开标一览表（报价表）……</w:t>
      </w:r>
      <w:r>
        <w:rPr>
          <w:rFonts w:hint="eastAsia" w:ascii="仿宋" w:hAnsi="仿宋" w:eastAsia="仿宋" w:cs="仿宋_GB2312"/>
          <w:color w:val="auto"/>
          <w:sz w:val="24"/>
          <w:highlight w:val="none"/>
        </w:rPr>
        <w:t>…………………………………………（</w:t>
      </w:r>
      <w:r>
        <w:rPr>
          <w:rFonts w:hint="eastAsia" w:ascii="仿宋" w:hAnsi="仿宋" w:eastAsia="仿宋" w:cs="仿宋_GB2312"/>
          <w:color w:val="auto"/>
          <w:highlight w:val="none"/>
        </w:rPr>
        <w:t>页码</w:t>
      </w:r>
      <w:r>
        <w:rPr>
          <w:rFonts w:hint="eastAsia" w:ascii="仿宋" w:hAnsi="仿宋" w:eastAsia="仿宋" w:cs="仿宋_GB2312"/>
          <w:color w:val="auto"/>
          <w:sz w:val="24"/>
          <w:highlight w:val="none"/>
        </w:rPr>
        <w:t>）</w:t>
      </w:r>
    </w:p>
    <w:p w14:paraId="6833AE53">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）价格组成表</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w:t>
      </w:r>
      <w:r>
        <w:rPr>
          <w:rFonts w:hint="eastAsia" w:ascii="仿宋" w:hAnsi="仿宋" w:eastAsia="仿宋" w:cs="仿宋_GB2312"/>
          <w:color w:val="auto"/>
          <w:highlight w:val="none"/>
        </w:rPr>
        <w:t>页码</w:t>
      </w:r>
      <w:r>
        <w:rPr>
          <w:rFonts w:hint="eastAsia" w:ascii="仿宋" w:hAnsi="仿宋" w:eastAsia="仿宋" w:cs="仿宋_GB2312"/>
          <w:color w:val="auto"/>
          <w:sz w:val="24"/>
          <w:highlight w:val="none"/>
        </w:rPr>
        <w:t>）</w:t>
      </w:r>
    </w:p>
    <w:p w14:paraId="02A9B377">
      <w:pPr>
        <w:snapToGrid w:val="0"/>
        <w:spacing w:line="360" w:lineRule="auto"/>
        <w:ind w:right="480"/>
        <w:jc w:val="center"/>
        <w:rPr>
          <w:rFonts w:ascii="仿宋" w:hAnsi="仿宋" w:eastAsia="仿宋" w:cs="仿宋_GB2312"/>
          <w:b/>
          <w:color w:val="auto"/>
          <w:kern w:val="0"/>
          <w:sz w:val="32"/>
          <w:szCs w:val="32"/>
          <w:highlight w:val="none"/>
        </w:rPr>
      </w:pPr>
    </w:p>
    <w:p w14:paraId="60A41644">
      <w:pPr>
        <w:snapToGrid w:val="0"/>
        <w:spacing w:line="360" w:lineRule="auto"/>
        <w:ind w:right="480"/>
        <w:jc w:val="center"/>
        <w:rPr>
          <w:rFonts w:ascii="仿宋" w:hAnsi="仿宋" w:eastAsia="仿宋" w:cs="仿宋_GB2312"/>
          <w:b/>
          <w:color w:val="auto"/>
          <w:kern w:val="0"/>
          <w:sz w:val="32"/>
          <w:szCs w:val="32"/>
          <w:highlight w:val="none"/>
        </w:rPr>
      </w:pPr>
    </w:p>
    <w:p w14:paraId="7E455FBD">
      <w:pPr>
        <w:snapToGrid w:val="0"/>
        <w:spacing w:line="360" w:lineRule="auto"/>
        <w:ind w:right="480"/>
        <w:jc w:val="center"/>
        <w:rPr>
          <w:rFonts w:ascii="仿宋_GB2312" w:hAnsi="仿宋" w:eastAsia="仿宋_GB2312" w:cs="仿宋_GB2312"/>
          <w:b/>
          <w:color w:val="auto"/>
          <w:kern w:val="0"/>
          <w:sz w:val="32"/>
          <w:szCs w:val="32"/>
          <w:highlight w:val="none"/>
        </w:rPr>
      </w:pPr>
    </w:p>
    <w:p w14:paraId="61E47E3B">
      <w:pPr>
        <w:snapToGrid w:val="0"/>
        <w:spacing w:line="360" w:lineRule="auto"/>
        <w:ind w:right="480"/>
        <w:jc w:val="center"/>
        <w:rPr>
          <w:rFonts w:ascii="仿宋_GB2312" w:hAnsi="仿宋" w:eastAsia="仿宋_GB2312" w:cs="仿宋_GB2312"/>
          <w:b/>
          <w:color w:val="auto"/>
          <w:kern w:val="0"/>
          <w:sz w:val="32"/>
          <w:szCs w:val="32"/>
          <w:highlight w:val="none"/>
        </w:rPr>
      </w:pPr>
    </w:p>
    <w:p w14:paraId="6B64FDD2">
      <w:pPr>
        <w:snapToGrid w:val="0"/>
        <w:spacing w:line="360" w:lineRule="auto"/>
        <w:ind w:right="480"/>
        <w:jc w:val="center"/>
        <w:rPr>
          <w:rFonts w:ascii="仿宋_GB2312" w:hAnsi="仿宋" w:eastAsia="仿宋_GB2312" w:cs="仿宋_GB2312"/>
          <w:b/>
          <w:color w:val="auto"/>
          <w:kern w:val="0"/>
          <w:sz w:val="32"/>
          <w:szCs w:val="32"/>
          <w:highlight w:val="none"/>
        </w:rPr>
      </w:pPr>
    </w:p>
    <w:p w14:paraId="1916A670">
      <w:pPr>
        <w:snapToGrid w:val="0"/>
        <w:spacing w:line="360" w:lineRule="auto"/>
        <w:ind w:right="480"/>
        <w:jc w:val="center"/>
        <w:rPr>
          <w:rFonts w:ascii="仿宋_GB2312" w:hAnsi="仿宋" w:eastAsia="仿宋_GB2312" w:cs="仿宋_GB2312"/>
          <w:b/>
          <w:color w:val="auto"/>
          <w:kern w:val="0"/>
          <w:sz w:val="32"/>
          <w:szCs w:val="32"/>
          <w:highlight w:val="none"/>
        </w:rPr>
      </w:pPr>
    </w:p>
    <w:p w14:paraId="6F6580F0">
      <w:pPr>
        <w:snapToGrid w:val="0"/>
        <w:spacing w:line="360" w:lineRule="auto"/>
        <w:ind w:right="480"/>
        <w:jc w:val="center"/>
        <w:rPr>
          <w:rFonts w:ascii="仿宋_GB2312" w:hAnsi="仿宋" w:eastAsia="仿宋_GB2312" w:cs="仿宋_GB2312"/>
          <w:b/>
          <w:color w:val="auto"/>
          <w:kern w:val="0"/>
          <w:sz w:val="32"/>
          <w:szCs w:val="32"/>
          <w:highlight w:val="none"/>
        </w:rPr>
      </w:pPr>
    </w:p>
    <w:p w14:paraId="6294A1F8">
      <w:pPr>
        <w:snapToGrid w:val="0"/>
        <w:spacing w:line="360" w:lineRule="auto"/>
        <w:ind w:right="480"/>
        <w:jc w:val="center"/>
        <w:rPr>
          <w:rFonts w:ascii="仿宋_GB2312" w:hAnsi="仿宋" w:eastAsia="仿宋_GB2312" w:cs="仿宋_GB2312"/>
          <w:b/>
          <w:color w:val="auto"/>
          <w:kern w:val="0"/>
          <w:sz w:val="32"/>
          <w:szCs w:val="32"/>
          <w:highlight w:val="none"/>
        </w:rPr>
      </w:pPr>
    </w:p>
    <w:p w14:paraId="29FFAA73">
      <w:pPr>
        <w:widowControl/>
        <w:adjustRightInd/>
        <w:jc w:val="left"/>
        <w:rPr>
          <w:rFonts w:ascii="新宋体" w:hAnsi="新宋体" w:eastAsia="新宋体" w:cs="新宋体"/>
          <w:b/>
          <w:bCs/>
          <w:color w:val="auto"/>
          <w:kern w:val="0"/>
          <w:sz w:val="22"/>
          <w:szCs w:val="22"/>
          <w:highlight w:val="none"/>
          <w:lang w:val="zh-CN"/>
        </w:rPr>
      </w:pPr>
      <w:bookmarkStart w:id="67" w:name="_Toc25942242"/>
      <w:bookmarkStart w:id="68" w:name="_Toc14812100"/>
      <w:r>
        <w:rPr>
          <w:rFonts w:ascii="新宋体" w:hAnsi="新宋体" w:eastAsia="新宋体" w:cs="新宋体"/>
          <w:b/>
          <w:bCs/>
          <w:color w:val="auto"/>
          <w:kern w:val="0"/>
          <w:sz w:val="22"/>
          <w:szCs w:val="22"/>
          <w:highlight w:val="none"/>
          <w:lang w:val="zh-CN"/>
        </w:rPr>
        <w:br w:type="page"/>
      </w:r>
    </w:p>
    <w:p w14:paraId="1D6F0832">
      <w:pPr>
        <w:autoSpaceDE w:val="0"/>
        <w:autoSpaceDN w:val="0"/>
        <w:spacing w:line="460" w:lineRule="atLeast"/>
        <w:jc w:val="left"/>
        <w:rPr>
          <w:rFonts w:hint="default" w:ascii="仿宋" w:hAnsi="仿宋" w:eastAsia="仿宋" w:cs="仿宋_GB2312"/>
          <w:b/>
          <w:color w:val="auto"/>
          <w:kern w:val="0"/>
          <w:sz w:val="28"/>
          <w:szCs w:val="28"/>
          <w:highlight w:val="none"/>
          <w:lang w:val="en-US" w:eastAsia="zh-CN"/>
        </w:rPr>
      </w:pPr>
      <w:bookmarkStart w:id="69" w:name="_Hlk93170250"/>
      <w:r>
        <w:rPr>
          <w:rFonts w:hint="eastAsia" w:ascii="仿宋" w:hAnsi="仿宋" w:eastAsia="仿宋" w:cs="仿宋_GB2312"/>
          <w:b/>
          <w:color w:val="auto"/>
          <w:kern w:val="0"/>
          <w:sz w:val="28"/>
          <w:szCs w:val="28"/>
          <w:highlight w:val="none"/>
        </w:rPr>
        <w:t>附件</w:t>
      </w:r>
      <w:r>
        <w:rPr>
          <w:rFonts w:hint="eastAsia" w:ascii="仿宋" w:hAnsi="仿宋" w:eastAsia="仿宋" w:cs="仿宋_GB2312"/>
          <w:b/>
          <w:color w:val="auto"/>
          <w:kern w:val="0"/>
          <w:sz w:val="28"/>
          <w:szCs w:val="28"/>
          <w:highlight w:val="none"/>
          <w:lang w:val="en-US" w:eastAsia="zh-CN"/>
        </w:rPr>
        <w:t>9</w:t>
      </w:r>
    </w:p>
    <w:p w14:paraId="7382A6F4">
      <w:pPr>
        <w:autoSpaceDE w:val="0"/>
        <w:autoSpaceDN w:val="0"/>
        <w:spacing w:line="460" w:lineRule="atLeast"/>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一、开标一览表</w:t>
      </w:r>
    </w:p>
    <w:p w14:paraId="58FA2B60">
      <w:pPr>
        <w:pStyle w:val="25"/>
        <w:ind w:left="-420" w:leftChars="-200" w:firstLine="0" w:firstLineChars="0"/>
        <w:rPr>
          <w:rFonts w:ascii="仿宋" w:hAnsi="仿宋" w:eastAsia="仿宋" w:cs="新宋体"/>
          <w:color w:val="auto"/>
          <w:highlight w:val="none"/>
          <w:lang w:val="zh-CN"/>
        </w:rPr>
      </w:pPr>
    </w:p>
    <w:p w14:paraId="2A055975">
      <w:pPr>
        <w:spacing w:line="380" w:lineRule="exact"/>
        <w:rPr>
          <w:rFonts w:ascii="仿宋" w:hAnsi="仿宋" w:eastAsia="仿宋" w:cs="新宋体"/>
          <w:bCs/>
          <w:color w:val="auto"/>
          <w:sz w:val="24"/>
          <w:szCs w:val="24"/>
          <w:highlight w:val="none"/>
        </w:rPr>
      </w:pPr>
      <w:r>
        <w:rPr>
          <w:rFonts w:hint="eastAsia" w:ascii="仿宋" w:hAnsi="仿宋" w:eastAsia="仿宋" w:cs="新宋体"/>
          <w:bCs/>
          <w:color w:val="auto"/>
          <w:sz w:val="24"/>
          <w:szCs w:val="24"/>
          <w:highlight w:val="none"/>
        </w:rPr>
        <w:t>项目名称：                                       项目编号：</w:t>
      </w:r>
    </w:p>
    <w:p w14:paraId="7E461665">
      <w:pPr>
        <w:spacing w:line="380" w:lineRule="exact"/>
        <w:rPr>
          <w:rFonts w:ascii="仿宋" w:hAnsi="仿宋" w:eastAsia="仿宋" w:cs="新宋体"/>
          <w:bCs/>
          <w:color w:val="auto"/>
          <w:sz w:val="24"/>
          <w:szCs w:val="24"/>
          <w:highlight w:val="none"/>
        </w:rPr>
      </w:pPr>
      <w:r>
        <w:rPr>
          <w:rFonts w:hint="eastAsia" w:ascii="仿宋" w:hAnsi="仿宋" w:eastAsia="仿宋" w:cs="新宋体"/>
          <w:bCs/>
          <w:color w:val="auto"/>
          <w:sz w:val="24"/>
          <w:szCs w:val="24"/>
          <w:highlight w:val="none"/>
        </w:rPr>
        <w:t>投标报价单位：</w:t>
      </w:r>
      <w:r>
        <w:rPr>
          <w:rFonts w:hint="eastAsia" w:ascii="仿宋" w:hAnsi="仿宋" w:eastAsia="仿宋" w:cs="新宋体"/>
          <w:color w:val="auto"/>
          <w:sz w:val="24"/>
          <w:szCs w:val="24"/>
          <w:highlight w:val="none"/>
        </w:rPr>
        <w:t>（元/人民币）</w:t>
      </w:r>
    </w:p>
    <w:tbl>
      <w:tblPr>
        <w:tblStyle w:val="57"/>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4"/>
        <w:gridCol w:w="2447"/>
        <w:gridCol w:w="1628"/>
        <w:gridCol w:w="2018"/>
      </w:tblGrid>
      <w:tr w14:paraId="12E1D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6" w:hRule="atLeast"/>
          <w:jc w:val="center"/>
        </w:trPr>
        <w:tc>
          <w:tcPr>
            <w:tcW w:w="3644" w:type="dxa"/>
            <w:vAlign w:val="center"/>
          </w:tcPr>
          <w:p w14:paraId="10489E68">
            <w:pPr>
              <w:pStyle w:val="32"/>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项目名称</w:t>
            </w:r>
          </w:p>
        </w:tc>
        <w:tc>
          <w:tcPr>
            <w:tcW w:w="2447" w:type="dxa"/>
            <w:vAlign w:val="center"/>
          </w:tcPr>
          <w:p w14:paraId="25846BCE">
            <w:pPr>
              <w:pStyle w:val="32"/>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投标报价</w:t>
            </w:r>
          </w:p>
        </w:tc>
        <w:tc>
          <w:tcPr>
            <w:tcW w:w="1628" w:type="dxa"/>
            <w:vAlign w:val="center"/>
          </w:tcPr>
          <w:p w14:paraId="73A0E770">
            <w:pPr>
              <w:pStyle w:val="32"/>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服务期限</w:t>
            </w:r>
          </w:p>
        </w:tc>
        <w:tc>
          <w:tcPr>
            <w:tcW w:w="2018" w:type="dxa"/>
            <w:vAlign w:val="center"/>
          </w:tcPr>
          <w:p w14:paraId="43D7C11E">
            <w:pPr>
              <w:pStyle w:val="32"/>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备注</w:t>
            </w:r>
          </w:p>
        </w:tc>
      </w:tr>
      <w:tr w14:paraId="2C1F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3" w:hRule="atLeast"/>
          <w:jc w:val="center"/>
        </w:trPr>
        <w:tc>
          <w:tcPr>
            <w:tcW w:w="3644" w:type="dxa"/>
            <w:vAlign w:val="center"/>
          </w:tcPr>
          <w:p w14:paraId="25C4C599">
            <w:pPr>
              <w:pStyle w:val="32"/>
              <w:jc w:val="center"/>
              <w:rPr>
                <w:rFonts w:hint="eastAsia" w:ascii="仿宋" w:hAnsi="仿宋" w:eastAsia="仿宋" w:cs="新宋体"/>
                <w:color w:val="auto"/>
                <w:sz w:val="24"/>
                <w:szCs w:val="24"/>
                <w:highlight w:val="none"/>
                <w:lang w:eastAsia="zh-CN"/>
              </w:rPr>
            </w:pPr>
            <w:r>
              <w:rPr>
                <w:rFonts w:hint="eastAsia" w:ascii="仿宋" w:hAnsi="仿宋" w:eastAsia="仿宋" w:cs="新宋体"/>
                <w:color w:val="auto"/>
                <w:sz w:val="24"/>
                <w:szCs w:val="24"/>
                <w:highlight w:val="none"/>
                <w:lang w:eastAsia="zh-CN"/>
              </w:rPr>
              <w:t>2025年温州市区餐厨垃圾收运处置第三方监管服务项目</w:t>
            </w:r>
          </w:p>
        </w:tc>
        <w:tc>
          <w:tcPr>
            <w:tcW w:w="2447" w:type="dxa"/>
            <w:vAlign w:val="center"/>
          </w:tcPr>
          <w:p w14:paraId="57162E68">
            <w:pPr>
              <w:pStyle w:val="32"/>
              <w:jc w:val="center"/>
              <w:rPr>
                <w:rFonts w:ascii="仿宋" w:hAnsi="仿宋" w:eastAsia="仿宋" w:cs="新宋体"/>
                <w:color w:val="auto"/>
                <w:sz w:val="24"/>
                <w:szCs w:val="24"/>
                <w:highlight w:val="none"/>
              </w:rPr>
            </w:pPr>
          </w:p>
        </w:tc>
        <w:tc>
          <w:tcPr>
            <w:tcW w:w="1628" w:type="dxa"/>
            <w:vAlign w:val="center"/>
          </w:tcPr>
          <w:p w14:paraId="35756BEF">
            <w:pPr>
              <w:pStyle w:val="32"/>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自合同签订之日起一年</w:t>
            </w:r>
          </w:p>
        </w:tc>
        <w:tc>
          <w:tcPr>
            <w:tcW w:w="2018" w:type="dxa"/>
            <w:vAlign w:val="center"/>
          </w:tcPr>
          <w:p w14:paraId="2DBE0CD0">
            <w:pPr>
              <w:pStyle w:val="32"/>
              <w:jc w:val="center"/>
              <w:rPr>
                <w:rFonts w:ascii="仿宋" w:hAnsi="仿宋" w:eastAsia="仿宋" w:cs="新宋体"/>
                <w:color w:val="auto"/>
                <w:sz w:val="24"/>
                <w:szCs w:val="24"/>
                <w:highlight w:val="none"/>
              </w:rPr>
            </w:pPr>
          </w:p>
        </w:tc>
      </w:tr>
    </w:tbl>
    <w:p w14:paraId="15A4BB77">
      <w:pPr>
        <w:spacing w:line="380" w:lineRule="exact"/>
        <w:ind w:left="590" w:leftChars="-66" w:hanging="729" w:hangingChars="304"/>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说明：</w:t>
      </w:r>
    </w:p>
    <w:p w14:paraId="30EC5E08">
      <w:pPr>
        <w:spacing w:line="380" w:lineRule="exact"/>
        <w:ind w:firstLine="480" w:firstLineChars="200"/>
        <w:rPr>
          <w:rFonts w:hint="eastAsia" w:ascii="仿宋" w:hAnsi="仿宋" w:eastAsia="仿宋" w:cs="新宋体"/>
          <w:b/>
          <w:bCs/>
          <w:color w:val="auto"/>
          <w:sz w:val="24"/>
          <w:szCs w:val="24"/>
          <w:highlight w:val="none"/>
          <w:u w:val="single"/>
          <w:lang w:eastAsia="zh-CN"/>
        </w:rPr>
      </w:pPr>
      <w:r>
        <w:rPr>
          <w:rFonts w:hint="eastAsia" w:ascii="仿宋" w:hAnsi="仿宋" w:eastAsia="仿宋" w:cs="新宋体"/>
          <w:color w:val="auto"/>
          <w:sz w:val="24"/>
          <w:szCs w:val="24"/>
          <w:highlight w:val="none"/>
          <w:u w:val="none"/>
        </w:rPr>
        <w:t>▲</w:t>
      </w:r>
      <w:r>
        <w:rPr>
          <w:rFonts w:hint="eastAsia" w:ascii="仿宋" w:hAnsi="仿宋" w:eastAsia="仿宋" w:cs="新宋体"/>
          <w:color w:val="auto"/>
          <w:sz w:val="24"/>
          <w:szCs w:val="24"/>
          <w:highlight w:val="none"/>
          <w:u w:val="none"/>
          <w:lang w:val="en-US" w:eastAsia="zh-CN"/>
        </w:rPr>
        <w:t>1</w:t>
      </w:r>
      <w:r>
        <w:rPr>
          <w:rFonts w:hint="eastAsia" w:ascii="仿宋" w:hAnsi="仿宋" w:eastAsia="仿宋" w:cs="新宋体"/>
          <w:b/>
          <w:bCs/>
          <w:color w:val="auto"/>
          <w:sz w:val="24"/>
          <w:szCs w:val="24"/>
          <w:highlight w:val="none"/>
          <w:u w:val="single"/>
          <w:lang w:val="en-US" w:eastAsia="zh-CN"/>
        </w:rPr>
        <w:t>、</w:t>
      </w:r>
      <w:r>
        <w:rPr>
          <w:rFonts w:hint="eastAsia" w:ascii="仿宋" w:hAnsi="仿宋" w:eastAsia="仿宋" w:cs="新宋体"/>
          <w:b/>
          <w:bCs/>
          <w:color w:val="auto"/>
          <w:sz w:val="24"/>
          <w:szCs w:val="24"/>
          <w:highlight w:val="none"/>
          <w:u w:val="single"/>
          <w:lang w:eastAsia="zh-CN"/>
        </w:rPr>
        <w:t>开标</w:t>
      </w:r>
      <w:r>
        <w:rPr>
          <w:rFonts w:hint="eastAsia" w:ascii="仿宋" w:hAnsi="仿宋" w:eastAsia="仿宋" w:cs="新宋体"/>
          <w:b/>
          <w:bCs/>
          <w:color w:val="auto"/>
          <w:sz w:val="24"/>
          <w:szCs w:val="24"/>
          <w:highlight w:val="none"/>
          <w:u w:val="single"/>
        </w:rPr>
        <w:t>一览表中投标价包括设备费、人员服务费、交通费、办公设备用品费、食宿费、设备使用维护费、</w:t>
      </w:r>
      <w:r>
        <w:rPr>
          <w:rFonts w:hint="eastAsia" w:ascii="仿宋" w:hAnsi="仿宋" w:eastAsia="仿宋" w:cs="新宋体"/>
          <w:b/>
          <w:bCs/>
          <w:color w:val="auto"/>
          <w:sz w:val="24"/>
          <w:szCs w:val="24"/>
          <w:highlight w:val="none"/>
          <w:u w:val="single"/>
          <w:lang w:eastAsia="zh-CN"/>
        </w:rPr>
        <w:t>实施工作所需的措施费、人员人身意外伤害</w:t>
      </w:r>
      <w:r>
        <w:rPr>
          <w:rFonts w:hint="eastAsia" w:ascii="仿宋" w:hAnsi="仿宋" w:eastAsia="仿宋" w:cs="新宋体"/>
          <w:b/>
          <w:bCs/>
          <w:color w:val="auto"/>
          <w:sz w:val="24"/>
          <w:szCs w:val="24"/>
          <w:highlight w:val="none"/>
          <w:u w:val="single"/>
        </w:rPr>
        <w:t>等保险费、税金、利润</w:t>
      </w:r>
      <w:r>
        <w:rPr>
          <w:rFonts w:hint="eastAsia" w:ascii="仿宋" w:hAnsi="仿宋" w:eastAsia="仿宋" w:cs="新宋体"/>
          <w:b/>
          <w:bCs/>
          <w:color w:val="auto"/>
          <w:sz w:val="24"/>
          <w:szCs w:val="24"/>
          <w:highlight w:val="none"/>
          <w:u w:val="single"/>
          <w:lang w:eastAsia="zh-CN"/>
        </w:rPr>
        <w:t>、代理服务费</w:t>
      </w:r>
      <w:r>
        <w:rPr>
          <w:rFonts w:hint="eastAsia" w:ascii="仿宋" w:hAnsi="仿宋" w:eastAsia="仿宋" w:cs="新宋体"/>
          <w:b/>
          <w:bCs/>
          <w:color w:val="auto"/>
          <w:sz w:val="24"/>
          <w:szCs w:val="24"/>
          <w:highlight w:val="none"/>
          <w:u w:val="single"/>
        </w:rPr>
        <w:t>等全部费用和中标人要求获得的利润以及应由中标人承担的义务、责任和风险所发生的一切费用；合同价格不因物价变动及规范性、指导性、政策性文件等发生变化等因素而调整</w:t>
      </w:r>
      <w:r>
        <w:rPr>
          <w:rFonts w:hint="eastAsia" w:ascii="仿宋" w:hAnsi="仿宋" w:eastAsia="仿宋" w:cs="新宋体"/>
          <w:b/>
          <w:bCs/>
          <w:color w:val="auto"/>
          <w:sz w:val="24"/>
          <w:szCs w:val="24"/>
          <w:highlight w:val="none"/>
          <w:u w:val="single"/>
          <w:lang w:eastAsia="zh-CN"/>
        </w:rPr>
        <w:t>；</w:t>
      </w:r>
    </w:p>
    <w:p w14:paraId="686CE085">
      <w:pPr>
        <w:spacing w:line="380" w:lineRule="exact"/>
        <w:ind w:firstLine="482" w:firstLineChars="200"/>
        <w:rPr>
          <w:rFonts w:hint="eastAsia" w:ascii="仿宋" w:hAnsi="仿宋" w:eastAsia="仿宋" w:cs="新宋体"/>
          <w:b/>
          <w:bCs/>
          <w:color w:val="auto"/>
          <w:sz w:val="24"/>
          <w:szCs w:val="24"/>
          <w:highlight w:val="none"/>
          <w:u w:val="single"/>
          <w:lang w:eastAsia="zh-CN"/>
        </w:rPr>
      </w:pPr>
      <w:r>
        <w:rPr>
          <w:rFonts w:hint="eastAsia" w:ascii="仿宋" w:hAnsi="仿宋" w:eastAsia="仿宋" w:cs="新宋体"/>
          <w:b/>
          <w:bCs/>
          <w:color w:val="auto"/>
          <w:sz w:val="24"/>
          <w:szCs w:val="24"/>
          <w:highlight w:val="none"/>
          <w:u w:val="single"/>
        </w:rPr>
        <w:t>▲</w:t>
      </w:r>
      <w:r>
        <w:rPr>
          <w:rFonts w:hint="eastAsia" w:ascii="仿宋" w:hAnsi="仿宋" w:eastAsia="仿宋" w:cs="新宋体"/>
          <w:b/>
          <w:bCs/>
          <w:color w:val="auto"/>
          <w:sz w:val="24"/>
          <w:szCs w:val="24"/>
          <w:highlight w:val="none"/>
          <w:u w:val="single"/>
          <w:lang w:val="en-US" w:eastAsia="zh-CN"/>
        </w:rPr>
        <w:t>2、</w:t>
      </w:r>
      <w:r>
        <w:rPr>
          <w:rFonts w:hint="eastAsia" w:ascii="仿宋" w:hAnsi="仿宋" w:eastAsia="仿宋" w:cs="新宋体"/>
          <w:b/>
          <w:bCs/>
          <w:color w:val="auto"/>
          <w:sz w:val="24"/>
          <w:szCs w:val="24"/>
          <w:highlight w:val="none"/>
          <w:u w:val="single"/>
        </w:rPr>
        <w:t>本表中的投标报价须与附件</w:t>
      </w:r>
      <w:r>
        <w:rPr>
          <w:rFonts w:hint="eastAsia" w:ascii="仿宋" w:hAnsi="仿宋" w:eastAsia="仿宋" w:cs="新宋体"/>
          <w:b/>
          <w:bCs/>
          <w:color w:val="auto"/>
          <w:sz w:val="24"/>
          <w:szCs w:val="24"/>
          <w:highlight w:val="none"/>
          <w:u w:val="single"/>
          <w:lang w:val="en-US" w:eastAsia="zh-CN"/>
        </w:rPr>
        <w:t>10</w:t>
      </w:r>
      <w:r>
        <w:rPr>
          <w:rFonts w:hint="eastAsia" w:ascii="仿宋" w:hAnsi="仿宋" w:eastAsia="仿宋" w:cs="新宋体"/>
          <w:b/>
          <w:bCs/>
          <w:color w:val="auto"/>
          <w:sz w:val="24"/>
          <w:szCs w:val="24"/>
          <w:highlight w:val="none"/>
          <w:u w:val="single"/>
        </w:rPr>
        <w:t>《价格组成表》中总价一致</w:t>
      </w:r>
      <w:r>
        <w:rPr>
          <w:rFonts w:hint="eastAsia" w:ascii="仿宋" w:hAnsi="仿宋" w:eastAsia="仿宋" w:cs="新宋体"/>
          <w:b/>
          <w:bCs/>
          <w:color w:val="auto"/>
          <w:sz w:val="24"/>
          <w:szCs w:val="24"/>
          <w:highlight w:val="none"/>
          <w:u w:val="single"/>
          <w:lang w:eastAsia="zh-CN"/>
        </w:rPr>
        <w:t>；</w:t>
      </w:r>
    </w:p>
    <w:p w14:paraId="770C5DA9">
      <w:pPr>
        <w:spacing w:line="380" w:lineRule="exact"/>
        <w:ind w:firstLine="482" w:firstLineChars="200"/>
        <w:rPr>
          <w:rFonts w:ascii="仿宋" w:hAnsi="仿宋" w:eastAsia="仿宋" w:cs="新宋体"/>
          <w:b/>
          <w:bCs/>
          <w:color w:val="auto"/>
          <w:sz w:val="24"/>
          <w:szCs w:val="24"/>
          <w:highlight w:val="none"/>
          <w:u w:val="single"/>
        </w:rPr>
      </w:pPr>
      <w:r>
        <w:rPr>
          <w:rFonts w:hint="eastAsia" w:ascii="仿宋" w:hAnsi="仿宋" w:eastAsia="仿宋" w:cs="新宋体"/>
          <w:b/>
          <w:bCs/>
          <w:color w:val="auto"/>
          <w:sz w:val="24"/>
          <w:szCs w:val="24"/>
          <w:highlight w:val="none"/>
          <w:u w:val="single"/>
        </w:rPr>
        <w:t>▲</w:t>
      </w:r>
      <w:r>
        <w:rPr>
          <w:rFonts w:hint="eastAsia" w:ascii="仿宋" w:hAnsi="仿宋" w:eastAsia="仿宋" w:cs="新宋体"/>
          <w:b/>
          <w:bCs/>
          <w:color w:val="auto"/>
          <w:sz w:val="24"/>
          <w:szCs w:val="24"/>
          <w:highlight w:val="none"/>
          <w:u w:val="single"/>
          <w:lang w:val="en-US" w:eastAsia="zh-CN"/>
        </w:rPr>
        <w:t>3、不提供此表格的将视为没有实质性响应招标文件。</w:t>
      </w:r>
    </w:p>
    <w:p w14:paraId="365B7804">
      <w:pPr>
        <w:autoSpaceDE w:val="0"/>
        <w:autoSpaceDN w:val="0"/>
        <w:spacing w:line="380" w:lineRule="atLeast"/>
        <w:ind w:left="36"/>
        <w:rPr>
          <w:rFonts w:ascii="仿宋" w:hAnsi="仿宋" w:eastAsia="仿宋" w:cs="新宋体"/>
          <w:color w:val="auto"/>
          <w:kern w:val="0"/>
          <w:sz w:val="24"/>
          <w:szCs w:val="24"/>
          <w:highlight w:val="none"/>
          <w:lang w:val="zh-CN"/>
        </w:rPr>
      </w:pPr>
    </w:p>
    <w:p w14:paraId="71528175">
      <w:pPr>
        <w:autoSpaceDE w:val="0"/>
        <w:autoSpaceDN w:val="0"/>
        <w:spacing w:line="380" w:lineRule="atLeast"/>
        <w:ind w:firstLine="660"/>
        <w:rPr>
          <w:rFonts w:ascii="仿宋" w:hAnsi="仿宋" w:eastAsia="仿宋" w:cs="新宋体"/>
          <w:color w:val="auto"/>
          <w:kern w:val="0"/>
          <w:sz w:val="24"/>
          <w:szCs w:val="24"/>
          <w:highlight w:val="none"/>
          <w:lang w:val="zh-CN"/>
        </w:rPr>
      </w:pPr>
    </w:p>
    <w:p w14:paraId="507C1D15">
      <w:pPr>
        <w:autoSpaceDE w:val="0"/>
        <w:autoSpaceDN w:val="0"/>
        <w:spacing w:line="380" w:lineRule="atLeast"/>
        <w:ind w:firstLine="660"/>
        <w:rPr>
          <w:rFonts w:ascii="仿宋" w:hAnsi="仿宋" w:eastAsia="仿宋" w:cs="新宋体"/>
          <w:color w:val="auto"/>
          <w:kern w:val="0"/>
          <w:sz w:val="24"/>
          <w:szCs w:val="24"/>
          <w:highlight w:val="none"/>
          <w:lang w:val="zh-CN"/>
        </w:rPr>
      </w:pPr>
    </w:p>
    <w:p w14:paraId="5B827FAC">
      <w:pPr>
        <w:autoSpaceDE w:val="0"/>
        <w:autoSpaceDN w:val="0"/>
        <w:spacing w:line="380" w:lineRule="atLeast"/>
        <w:ind w:firstLine="660"/>
        <w:rPr>
          <w:rFonts w:ascii="仿宋" w:hAnsi="仿宋" w:eastAsia="仿宋" w:cs="新宋体"/>
          <w:color w:val="auto"/>
          <w:kern w:val="0"/>
          <w:sz w:val="24"/>
          <w:szCs w:val="24"/>
          <w:highlight w:val="none"/>
          <w:lang w:val="zh-CN"/>
        </w:rPr>
      </w:pPr>
    </w:p>
    <w:p w14:paraId="3304045A">
      <w:pPr>
        <w:autoSpaceDE w:val="0"/>
        <w:autoSpaceDN w:val="0"/>
        <w:adjustRightInd w:val="0"/>
        <w:spacing w:line="460" w:lineRule="atLeast"/>
        <w:jc w:val="center"/>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en-US" w:eastAsia="zh-CN"/>
        </w:rPr>
        <w:t xml:space="preserve">            </w:t>
      </w:r>
      <w:r>
        <w:rPr>
          <w:rFonts w:hint="eastAsia" w:ascii="仿宋" w:hAnsi="仿宋" w:eastAsia="仿宋" w:cs="仿宋_GB2312"/>
          <w:color w:val="auto"/>
          <w:kern w:val="0"/>
          <w:sz w:val="24"/>
          <w:highlight w:val="none"/>
          <w:lang w:val="zh-CN"/>
        </w:rPr>
        <w:t>投标人名称（</w:t>
      </w:r>
      <w:r>
        <w:rPr>
          <w:rFonts w:hint="eastAsia" w:ascii="仿宋" w:hAnsi="仿宋" w:eastAsia="仿宋" w:cs="仿宋_GB2312"/>
          <w:color w:val="auto"/>
          <w:kern w:val="0"/>
          <w:sz w:val="24"/>
          <w:highlight w:val="none"/>
          <w:lang w:val="en-US" w:eastAsia="zh-CN"/>
        </w:rPr>
        <w:t>盖章</w:t>
      </w:r>
      <w:r>
        <w:rPr>
          <w:rFonts w:hint="eastAsia" w:ascii="仿宋" w:hAnsi="仿宋" w:eastAsia="仿宋" w:cs="仿宋_GB2312"/>
          <w:color w:val="auto"/>
          <w:kern w:val="0"/>
          <w:sz w:val="24"/>
          <w:highlight w:val="none"/>
          <w:lang w:val="zh-CN"/>
        </w:rPr>
        <w:t>）：</w:t>
      </w:r>
      <w:r>
        <w:rPr>
          <w:rFonts w:ascii="仿宋" w:hAnsi="仿宋" w:eastAsia="仿宋" w:cs="仿宋_GB2312"/>
          <w:color w:val="auto"/>
          <w:kern w:val="0"/>
          <w:sz w:val="24"/>
          <w:highlight w:val="none"/>
          <w:lang w:val="zh-CN"/>
        </w:rPr>
        <w:t xml:space="preserve">                             </w:t>
      </w:r>
    </w:p>
    <w:p w14:paraId="57300B31">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bookmarkEnd w:id="69"/>
    </w:p>
    <w:p w14:paraId="3D9900CC">
      <w:pPr>
        <w:widowControl/>
        <w:adjustRightInd/>
        <w:jc w:val="left"/>
        <w:rPr>
          <w:rFonts w:ascii="仿宋" w:hAnsi="仿宋" w:eastAsia="仿宋"/>
          <w:color w:val="auto"/>
          <w:sz w:val="28"/>
          <w:szCs w:val="36"/>
          <w:highlight w:val="none"/>
        </w:rPr>
        <w:sectPr>
          <w:pgSz w:w="11907" w:h="16840"/>
          <w:pgMar w:top="1474" w:right="1814" w:bottom="1474" w:left="1814" w:header="851" w:footer="851" w:gutter="0"/>
          <w:cols w:space="720" w:num="1"/>
        </w:sectPr>
      </w:pPr>
      <w:r>
        <w:rPr>
          <w:rFonts w:ascii="仿宋" w:hAnsi="仿宋" w:eastAsia="仿宋"/>
          <w:color w:val="auto"/>
          <w:sz w:val="28"/>
          <w:szCs w:val="36"/>
          <w:highlight w:val="none"/>
        </w:rPr>
        <w:br w:type="page"/>
      </w:r>
    </w:p>
    <w:p w14:paraId="27C4F28D">
      <w:pPr>
        <w:widowControl/>
        <w:adjustRightInd/>
        <w:jc w:val="left"/>
        <w:rPr>
          <w:rFonts w:hint="default" w:ascii="仿宋" w:hAnsi="仿宋" w:eastAsia="仿宋" w:cs="仿宋_GB2312"/>
          <w:b/>
          <w:bCs/>
          <w:color w:val="auto"/>
          <w:sz w:val="28"/>
          <w:szCs w:val="28"/>
          <w:highlight w:val="none"/>
          <w:lang w:val="en-US" w:eastAsia="zh-CN"/>
        </w:rPr>
      </w:pPr>
      <w:r>
        <w:rPr>
          <w:rFonts w:hint="eastAsia" w:ascii="仿宋" w:hAnsi="仿宋" w:eastAsia="仿宋" w:cs="仿宋_GB2312"/>
          <w:b/>
          <w:bCs/>
          <w:color w:val="auto"/>
          <w:sz w:val="28"/>
          <w:szCs w:val="28"/>
          <w:highlight w:val="none"/>
        </w:rPr>
        <w:t>附件</w:t>
      </w:r>
      <w:r>
        <w:rPr>
          <w:rFonts w:hint="eastAsia" w:ascii="仿宋" w:hAnsi="仿宋" w:eastAsia="仿宋" w:cs="仿宋_GB2312"/>
          <w:b/>
          <w:bCs/>
          <w:color w:val="auto"/>
          <w:sz w:val="28"/>
          <w:szCs w:val="28"/>
          <w:highlight w:val="none"/>
          <w:lang w:val="en-US" w:eastAsia="zh-CN"/>
        </w:rPr>
        <w:t>10</w:t>
      </w:r>
    </w:p>
    <w:p w14:paraId="01FD6766">
      <w:pPr>
        <w:widowControl/>
        <w:adjustRightInd/>
        <w:jc w:val="center"/>
        <w:rPr>
          <w:rFonts w:ascii="仿宋" w:hAnsi="仿宋" w:eastAsia="仿宋" w:cs="宋体"/>
          <w:b/>
          <w:bCs/>
          <w:color w:val="auto"/>
          <w:kern w:val="36"/>
          <w:sz w:val="28"/>
          <w:szCs w:val="36"/>
          <w:highlight w:val="none"/>
        </w:rPr>
      </w:pPr>
      <w:r>
        <w:rPr>
          <w:rFonts w:hint="eastAsia" w:ascii="仿宋" w:hAnsi="仿宋" w:eastAsia="仿宋" w:cs="宋体"/>
          <w:b/>
          <w:bCs/>
          <w:color w:val="auto"/>
          <w:kern w:val="36"/>
          <w:sz w:val="28"/>
          <w:szCs w:val="36"/>
          <w:highlight w:val="none"/>
        </w:rPr>
        <w:t>二、价格组成表</w:t>
      </w:r>
    </w:p>
    <w:p w14:paraId="40F8F384">
      <w:pPr>
        <w:pStyle w:val="25"/>
        <w:rPr>
          <w:rFonts w:hint="eastAsia" w:ascii="仿宋" w:hAnsi="仿宋" w:eastAsia="仿宋" w:cs="仿宋"/>
          <w:color w:val="auto"/>
          <w:highlight w:val="none"/>
        </w:rPr>
      </w:pPr>
    </w:p>
    <w:bookmarkEnd w:id="67"/>
    <w:bookmarkEnd w:id="68"/>
    <w:p w14:paraId="23234721">
      <w:pP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表1：消耗品明细表</w:t>
      </w:r>
    </w:p>
    <w:tbl>
      <w:tblPr>
        <w:tblStyle w:val="57"/>
        <w:tblW w:w="940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20"/>
        <w:gridCol w:w="1365"/>
        <w:gridCol w:w="1215"/>
        <w:gridCol w:w="1065"/>
        <w:gridCol w:w="1260"/>
        <w:gridCol w:w="1245"/>
        <w:gridCol w:w="810"/>
      </w:tblGrid>
      <w:tr w14:paraId="6712DC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720" w:type="dxa"/>
            <w:noWrap w:val="0"/>
            <w:vAlign w:val="center"/>
          </w:tcPr>
          <w:p w14:paraId="150F2529">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720" w:type="dxa"/>
            <w:noWrap w:val="0"/>
            <w:vAlign w:val="center"/>
          </w:tcPr>
          <w:p w14:paraId="561CDB30">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消耗品名称</w:t>
            </w:r>
          </w:p>
        </w:tc>
        <w:tc>
          <w:tcPr>
            <w:tcW w:w="1365" w:type="dxa"/>
            <w:noWrap w:val="0"/>
            <w:vAlign w:val="center"/>
          </w:tcPr>
          <w:p w14:paraId="00F25481">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品牌/产地</w:t>
            </w:r>
          </w:p>
        </w:tc>
        <w:tc>
          <w:tcPr>
            <w:tcW w:w="1215" w:type="dxa"/>
            <w:noWrap w:val="0"/>
            <w:vAlign w:val="center"/>
          </w:tcPr>
          <w:p w14:paraId="5057D38D">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规格</w:t>
            </w:r>
          </w:p>
        </w:tc>
        <w:tc>
          <w:tcPr>
            <w:tcW w:w="1065" w:type="dxa"/>
            <w:noWrap w:val="0"/>
            <w:vAlign w:val="center"/>
          </w:tcPr>
          <w:p w14:paraId="07AB88FE">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数量</w:t>
            </w:r>
          </w:p>
        </w:tc>
        <w:tc>
          <w:tcPr>
            <w:tcW w:w="1260" w:type="dxa"/>
            <w:noWrap w:val="0"/>
            <w:vAlign w:val="center"/>
          </w:tcPr>
          <w:p w14:paraId="513C4130">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单价（元）</w:t>
            </w:r>
          </w:p>
        </w:tc>
        <w:tc>
          <w:tcPr>
            <w:tcW w:w="1245" w:type="dxa"/>
            <w:noWrap w:val="0"/>
            <w:vAlign w:val="center"/>
          </w:tcPr>
          <w:p w14:paraId="497EBC27">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合价（元）</w:t>
            </w:r>
          </w:p>
        </w:tc>
        <w:tc>
          <w:tcPr>
            <w:tcW w:w="810" w:type="dxa"/>
            <w:noWrap w:val="0"/>
            <w:vAlign w:val="center"/>
          </w:tcPr>
          <w:p w14:paraId="3B6CE913">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14:paraId="046975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720" w:type="dxa"/>
            <w:noWrap w:val="0"/>
            <w:vAlign w:val="center"/>
          </w:tcPr>
          <w:p w14:paraId="4DD7825B">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p>
        </w:tc>
        <w:tc>
          <w:tcPr>
            <w:tcW w:w="1720" w:type="dxa"/>
            <w:noWrap w:val="0"/>
            <w:vAlign w:val="center"/>
          </w:tcPr>
          <w:p w14:paraId="0F9A984F">
            <w:pPr>
              <w:jc w:val="center"/>
              <w:rPr>
                <w:rFonts w:hint="eastAsia" w:ascii="仿宋" w:hAnsi="仿宋" w:eastAsia="仿宋" w:cs="仿宋"/>
                <w:b/>
                <w:bCs/>
                <w:color w:val="auto"/>
                <w:sz w:val="24"/>
                <w:szCs w:val="24"/>
                <w:highlight w:val="none"/>
              </w:rPr>
            </w:pPr>
          </w:p>
        </w:tc>
        <w:tc>
          <w:tcPr>
            <w:tcW w:w="1365" w:type="dxa"/>
            <w:noWrap w:val="0"/>
            <w:vAlign w:val="center"/>
          </w:tcPr>
          <w:p w14:paraId="51D2B5AD">
            <w:pPr>
              <w:jc w:val="center"/>
              <w:rPr>
                <w:rFonts w:hint="eastAsia" w:ascii="仿宋" w:hAnsi="仿宋" w:eastAsia="仿宋" w:cs="仿宋"/>
                <w:b/>
                <w:bCs/>
                <w:color w:val="auto"/>
                <w:sz w:val="24"/>
                <w:szCs w:val="24"/>
                <w:highlight w:val="none"/>
              </w:rPr>
            </w:pPr>
          </w:p>
        </w:tc>
        <w:tc>
          <w:tcPr>
            <w:tcW w:w="1215" w:type="dxa"/>
            <w:noWrap w:val="0"/>
            <w:vAlign w:val="center"/>
          </w:tcPr>
          <w:p w14:paraId="1F782723">
            <w:pPr>
              <w:jc w:val="center"/>
              <w:rPr>
                <w:rFonts w:hint="eastAsia" w:ascii="仿宋" w:hAnsi="仿宋" w:eastAsia="仿宋" w:cs="仿宋"/>
                <w:b/>
                <w:bCs/>
                <w:color w:val="auto"/>
                <w:sz w:val="24"/>
                <w:szCs w:val="24"/>
                <w:highlight w:val="none"/>
              </w:rPr>
            </w:pPr>
          </w:p>
        </w:tc>
        <w:tc>
          <w:tcPr>
            <w:tcW w:w="1065" w:type="dxa"/>
            <w:noWrap w:val="0"/>
            <w:vAlign w:val="center"/>
          </w:tcPr>
          <w:p w14:paraId="1CFDE56D">
            <w:pPr>
              <w:jc w:val="center"/>
              <w:rPr>
                <w:rFonts w:hint="eastAsia" w:ascii="仿宋" w:hAnsi="仿宋" w:eastAsia="仿宋" w:cs="仿宋"/>
                <w:b/>
                <w:bCs/>
                <w:color w:val="auto"/>
                <w:sz w:val="24"/>
                <w:szCs w:val="24"/>
                <w:highlight w:val="none"/>
              </w:rPr>
            </w:pPr>
          </w:p>
        </w:tc>
        <w:tc>
          <w:tcPr>
            <w:tcW w:w="1260" w:type="dxa"/>
            <w:noWrap w:val="0"/>
            <w:vAlign w:val="center"/>
          </w:tcPr>
          <w:p w14:paraId="798FFCA5">
            <w:pPr>
              <w:rPr>
                <w:rFonts w:hint="eastAsia" w:ascii="仿宋" w:hAnsi="仿宋" w:eastAsia="仿宋" w:cs="仿宋"/>
                <w:b/>
                <w:bCs/>
                <w:color w:val="auto"/>
                <w:sz w:val="24"/>
                <w:szCs w:val="24"/>
                <w:highlight w:val="none"/>
              </w:rPr>
            </w:pPr>
          </w:p>
        </w:tc>
        <w:tc>
          <w:tcPr>
            <w:tcW w:w="1245" w:type="dxa"/>
            <w:noWrap w:val="0"/>
            <w:vAlign w:val="center"/>
          </w:tcPr>
          <w:p w14:paraId="03AAC534">
            <w:pPr>
              <w:rPr>
                <w:rFonts w:hint="eastAsia" w:ascii="仿宋" w:hAnsi="仿宋" w:eastAsia="仿宋" w:cs="仿宋"/>
                <w:b/>
                <w:bCs/>
                <w:color w:val="auto"/>
                <w:sz w:val="24"/>
                <w:szCs w:val="24"/>
                <w:highlight w:val="none"/>
              </w:rPr>
            </w:pPr>
          </w:p>
        </w:tc>
        <w:tc>
          <w:tcPr>
            <w:tcW w:w="810" w:type="dxa"/>
            <w:noWrap w:val="0"/>
            <w:vAlign w:val="center"/>
          </w:tcPr>
          <w:p w14:paraId="40D33CD4">
            <w:pPr>
              <w:jc w:val="center"/>
              <w:rPr>
                <w:rFonts w:hint="eastAsia" w:ascii="仿宋" w:hAnsi="仿宋" w:eastAsia="仿宋" w:cs="仿宋"/>
                <w:b/>
                <w:bCs/>
                <w:color w:val="auto"/>
                <w:sz w:val="24"/>
                <w:szCs w:val="24"/>
                <w:highlight w:val="none"/>
              </w:rPr>
            </w:pPr>
          </w:p>
        </w:tc>
      </w:tr>
      <w:tr w14:paraId="1F3336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720" w:type="dxa"/>
            <w:noWrap w:val="0"/>
            <w:vAlign w:val="center"/>
          </w:tcPr>
          <w:p w14:paraId="570AF243">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p>
        </w:tc>
        <w:tc>
          <w:tcPr>
            <w:tcW w:w="1720" w:type="dxa"/>
            <w:noWrap w:val="0"/>
            <w:vAlign w:val="center"/>
          </w:tcPr>
          <w:p w14:paraId="79641F97">
            <w:pPr>
              <w:jc w:val="center"/>
              <w:rPr>
                <w:rFonts w:hint="eastAsia" w:ascii="仿宋" w:hAnsi="仿宋" w:eastAsia="仿宋" w:cs="仿宋"/>
                <w:b/>
                <w:bCs/>
                <w:color w:val="auto"/>
                <w:sz w:val="24"/>
                <w:szCs w:val="24"/>
                <w:highlight w:val="none"/>
              </w:rPr>
            </w:pPr>
          </w:p>
        </w:tc>
        <w:tc>
          <w:tcPr>
            <w:tcW w:w="1365" w:type="dxa"/>
            <w:noWrap w:val="0"/>
            <w:vAlign w:val="center"/>
          </w:tcPr>
          <w:p w14:paraId="0C7C5842">
            <w:pPr>
              <w:jc w:val="center"/>
              <w:rPr>
                <w:rFonts w:hint="eastAsia" w:ascii="仿宋" w:hAnsi="仿宋" w:eastAsia="仿宋" w:cs="仿宋"/>
                <w:b/>
                <w:bCs/>
                <w:color w:val="auto"/>
                <w:sz w:val="24"/>
                <w:szCs w:val="24"/>
                <w:highlight w:val="none"/>
              </w:rPr>
            </w:pPr>
          </w:p>
        </w:tc>
        <w:tc>
          <w:tcPr>
            <w:tcW w:w="1215" w:type="dxa"/>
            <w:noWrap w:val="0"/>
            <w:vAlign w:val="center"/>
          </w:tcPr>
          <w:p w14:paraId="3620CAA3">
            <w:pPr>
              <w:jc w:val="center"/>
              <w:rPr>
                <w:rFonts w:hint="eastAsia" w:ascii="仿宋" w:hAnsi="仿宋" w:eastAsia="仿宋" w:cs="仿宋"/>
                <w:b/>
                <w:bCs/>
                <w:color w:val="auto"/>
                <w:sz w:val="24"/>
                <w:szCs w:val="24"/>
                <w:highlight w:val="none"/>
              </w:rPr>
            </w:pPr>
          </w:p>
        </w:tc>
        <w:tc>
          <w:tcPr>
            <w:tcW w:w="1065" w:type="dxa"/>
            <w:noWrap w:val="0"/>
            <w:vAlign w:val="center"/>
          </w:tcPr>
          <w:p w14:paraId="4C725401">
            <w:pPr>
              <w:jc w:val="center"/>
              <w:rPr>
                <w:rFonts w:hint="eastAsia" w:ascii="仿宋" w:hAnsi="仿宋" w:eastAsia="仿宋" w:cs="仿宋"/>
                <w:b/>
                <w:bCs/>
                <w:color w:val="auto"/>
                <w:sz w:val="24"/>
                <w:szCs w:val="24"/>
                <w:highlight w:val="none"/>
              </w:rPr>
            </w:pPr>
          </w:p>
        </w:tc>
        <w:tc>
          <w:tcPr>
            <w:tcW w:w="1260" w:type="dxa"/>
            <w:noWrap w:val="0"/>
            <w:vAlign w:val="center"/>
          </w:tcPr>
          <w:p w14:paraId="11883019">
            <w:pPr>
              <w:rPr>
                <w:rFonts w:hint="eastAsia" w:ascii="仿宋" w:hAnsi="仿宋" w:eastAsia="仿宋" w:cs="仿宋"/>
                <w:b/>
                <w:bCs/>
                <w:color w:val="auto"/>
                <w:sz w:val="24"/>
                <w:szCs w:val="24"/>
                <w:highlight w:val="none"/>
              </w:rPr>
            </w:pPr>
          </w:p>
        </w:tc>
        <w:tc>
          <w:tcPr>
            <w:tcW w:w="1245" w:type="dxa"/>
            <w:noWrap w:val="0"/>
            <w:vAlign w:val="center"/>
          </w:tcPr>
          <w:p w14:paraId="742543F2">
            <w:pPr>
              <w:rPr>
                <w:rFonts w:hint="eastAsia" w:ascii="仿宋" w:hAnsi="仿宋" w:eastAsia="仿宋" w:cs="仿宋"/>
                <w:b/>
                <w:bCs/>
                <w:color w:val="auto"/>
                <w:sz w:val="24"/>
                <w:szCs w:val="24"/>
                <w:highlight w:val="none"/>
              </w:rPr>
            </w:pPr>
          </w:p>
        </w:tc>
        <w:tc>
          <w:tcPr>
            <w:tcW w:w="810" w:type="dxa"/>
            <w:noWrap w:val="0"/>
            <w:vAlign w:val="center"/>
          </w:tcPr>
          <w:p w14:paraId="330C330B">
            <w:pPr>
              <w:jc w:val="center"/>
              <w:rPr>
                <w:rFonts w:hint="eastAsia" w:ascii="仿宋" w:hAnsi="仿宋" w:eastAsia="仿宋" w:cs="仿宋"/>
                <w:b/>
                <w:bCs/>
                <w:color w:val="auto"/>
                <w:sz w:val="24"/>
                <w:szCs w:val="24"/>
                <w:highlight w:val="none"/>
              </w:rPr>
            </w:pPr>
          </w:p>
        </w:tc>
      </w:tr>
      <w:tr w14:paraId="6C083A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720" w:type="dxa"/>
            <w:noWrap w:val="0"/>
            <w:vAlign w:val="center"/>
          </w:tcPr>
          <w:p w14:paraId="4C22D433">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p>
        </w:tc>
        <w:tc>
          <w:tcPr>
            <w:tcW w:w="1720" w:type="dxa"/>
            <w:noWrap w:val="0"/>
            <w:vAlign w:val="center"/>
          </w:tcPr>
          <w:p w14:paraId="5FC1D0CC">
            <w:pPr>
              <w:jc w:val="center"/>
              <w:rPr>
                <w:rFonts w:hint="eastAsia" w:ascii="仿宋" w:hAnsi="仿宋" w:eastAsia="仿宋" w:cs="仿宋"/>
                <w:b/>
                <w:bCs/>
                <w:color w:val="auto"/>
                <w:sz w:val="24"/>
                <w:szCs w:val="24"/>
                <w:highlight w:val="none"/>
              </w:rPr>
            </w:pPr>
          </w:p>
        </w:tc>
        <w:tc>
          <w:tcPr>
            <w:tcW w:w="1365" w:type="dxa"/>
            <w:noWrap w:val="0"/>
            <w:vAlign w:val="center"/>
          </w:tcPr>
          <w:p w14:paraId="04837C78">
            <w:pPr>
              <w:jc w:val="center"/>
              <w:rPr>
                <w:rFonts w:hint="eastAsia" w:ascii="仿宋" w:hAnsi="仿宋" w:eastAsia="仿宋" w:cs="仿宋"/>
                <w:b/>
                <w:bCs/>
                <w:color w:val="auto"/>
                <w:sz w:val="24"/>
                <w:szCs w:val="24"/>
                <w:highlight w:val="none"/>
              </w:rPr>
            </w:pPr>
          </w:p>
        </w:tc>
        <w:tc>
          <w:tcPr>
            <w:tcW w:w="1215" w:type="dxa"/>
            <w:noWrap w:val="0"/>
            <w:vAlign w:val="center"/>
          </w:tcPr>
          <w:p w14:paraId="282CE9A6">
            <w:pPr>
              <w:jc w:val="center"/>
              <w:rPr>
                <w:rFonts w:hint="eastAsia" w:ascii="仿宋" w:hAnsi="仿宋" w:eastAsia="仿宋" w:cs="仿宋"/>
                <w:b/>
                <w:bCs/>
                <w:color w:val="auto"/>
                <w:sz w:val="24"/>
                <w:szCs w:val="24"/>
                <w:highlight w:val="none"/>
              </w:rPr>
            </w:pPr>
          </w:p>
        </w:tc>
        <w:tc>
          <w:tcPr>
            <w:tcW w:w="1065" w:type="dxa"/>
            <w:noWrap w:val="0"/>
            <w:vAlign w:val="center"/>
          </w:tcPr>
          <w:p w14:paraId="1E9C30C7">
            <w:pPr>
              <w:jc w:val="center"/>
              <w:rPr>
                <w:rFonts w:hint="eastAsia" w:ascii="仿宋" w:hAnsi="仿宋" w:eastAsia="仿宋" w:cs="仿宋"/>
                <w:b/>
                <w:bCs/>
                <w:color w:val="auto"/>
                <w:sz w:val="24"/>
                <w:szCs w:val="24"/>
                <w:highlight w:val="none"/>
              </w:rPr>
            </w:pPr>
          </w:p>
        </w:tc>
        <w:tc>
          <w:tcPr>
            <w:tcW w:w="1260" w:type="dxa"/>
            <w:noWrap w:val="0"/>
            <w:vAlign w:val="center"/>
          </w:tcPr>
          <w:p w14:paraId="357E3CD5">
            <w:pPr>
              <w:rPr>
                <w:rFonts w:hint="eastAsia" w:ascii="仿宋" w:hAnsi="仿宋" w:eastAsia="仿宋" w:cs="仿宋"/>
                <w:b/>
                <w:bCs/>
                <w:color w:val="auto"/>
                <w:sz w:val="24"/>
                <w:szCs w:val="24"/>
                <w:highlight w:val="none"/>
              </w:rPr>
            </w:pPr>
          </w:p>
        </w:tc>
        <w:tc>
          <w:tcPr>
            <w:tcW w:w="1245" w:type="dxa"/>
            <w:noWrap w:val="0"/>
            <w:vAlign w:val="center"/>
          </w:tcPr>
          <w:p w14:paraId="5C1606DD">
            <w:pPr>
              <w:rPr>
                <w:rFonts w:hint="eastAsia" w:ascii="仿宋" w:hAnsi="仿宋" w:eastAsia="仿宋" w:cs="仿宋"/>
                <w:b/>
                <w:bCs/>
                <w:color w:val="auto"/>
                <w:sz w:val="24"/>
                <w:szCs w:val="24"/>
                <w:highlight w:val="none"/>
              </w:rPr>
            </w:pPr>
          </w:p>
        </w:tc>
        <w:tc>
          <w:tcPr>
            <w:tcW w:w="810" w:type="dxa"/>
            <w:noWrap w:val="0"/>
            <w:vAlign w:val="center"/>
          </w:tcPr>
          <w:p w14:paraId="7108E6FC">
            <w:pPr>
              <w:jc w:val="center"/>
              <w:rPr>
                <w:rFonts w:hint="eastAsia" w:ascii="仿宋" w:hAnsi="仿宋" w:eastAsia="仿宋" w:cs="仿宋"/>
                <w:b/>
                <w:bCs/>
                <w:color w:val="auto"/>
                <w:sz w:val="24"/>
                <w:szCs w:val="24"/>
                <w:highlight w:val="none"/>
              </w:rPr>
            </w:pPr>
          </w:p>
        </w:tc>
      </w:tr>
      <w:tr w14:paraId="2D485B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720" w:type="dxa"/>
            <w:noWrap w:val="0"/>
            <w:vAlign w:val="center"/>
          </w:tcPr>
          <w:p w14:paraId="7B688E38">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p>
        </w:tc>
        <w:tc>
          <w:tcPr>
            <w:tcW w:w="1720" w:type="dxa"/>
            <w:noWrap w:val="0"/>
            <w:vAlign w:val="center"/>
          </w:tcPr>
          <w:p w14:paraId="54E75F09">
            <w:pPr>
              <w:jc w:val="center"/>
              <w:rPr>
                <w:rFonts w:hint="eastAsia" w:ascii="仿宋" w:hAnsi="仿宋" w:eastAsia="仿宋" w:cs="仿宋"/>
                <w:b/>
                <w:bCs/>
                <w:color w:val="auto"/>
                <w:sz w:val="24"/>
                <w:szCs w:val="24"/>
                <w:highlight w:val="none"/>
              </w:rPr>
            </w:pPr>
          </w:p>
        </w:tc>
        <w:tc>
          <w:tcPr>
            <w:tcW w:w="1365" w:type="dxa"/>
            <w:noWrap w:val="0"/>
            <w:vAlign w:val="center"/>
          </w:tcPr>
          <w:p w14:paraId="492FAF1E">
            <w:pPr>
              <w:jc w:val="center"/>
              <w:rPr>
                <w:rFonts w:hint="eastAsia" w:ascii="仿宋" w:hAnsi="仿宋" w:eastAsia="仿宋" w:cs="仿宋"/>
                <w:b/>
                <w:bCs/>
                <w:color w:val="auto"/>
                <w:sz w:val="24"/>
                <w:szCs w:val="24"/>
                <w:highlight w:val="none"/>
              </w:rPr>
            </w:pPr>
          </w:p>
        </w:tc>
        <w:tc>
          <w:tcPr>
            <w:tcW w:w="1215" w:type="dxa"/>
            <w:noWrap w:val="0"/>
            <w:vAlign w:val="center"/>
          </w:tcPr>
          <w:p w14:paraId="179AA640">
            <w:pPr>
              <w:jc w:val="center"/>
              <w:rPr>
                <w:rFonts w:hint="eastAsia" w:ascii="仿宋" w:hAnsi="仿宋" w:eastAsia="仿宋" w:cs="仿宋"/>
                <w:b/>
                <w:bCs/>
                <w:color w:val="auto"/>
                <w:sz w:val="24"/>
                <w:szCs w:val="24"/>
                <w:highlight w:val="none"/>
              </w:rPr>
            </w:pPr>
          </w:p>
        </w:tc>
        <w:tc>
          <w:tcPr>
            <w:tcW w:w="1065" w:type="dxa"/>
            <w:noWrap w:val="0"/>
            <w:vAlign w:val="center"/>
          </w:tcPr>
          <w:p w14:paraId="0952E257">
            <w:pPr>
              <w:jc w:val="center"/>
              <w:rPr>
                <w:rFonts w:hint="eastAsia" w:ascii="仿宋" w:hAnsi="仿宋" w:eastAsia="仿宋" w:cs="仿宋"/>
                <w:b/>
                <w:bCs/>
                <w:color w:val="auto"/>
                <w:sz w:val="24"/>
                <w:szCs w:val="24"/>
                <w:highlight w:val="none"/>
              </w:rPr>
            </w:pPr>
          </w:p>
        </w:tc>
        <w:tc>
          <w:tcPr>
            <w:tcW w:w="1260" w:type="dxa"/>
            <w:noWrap w:val="0"/>
            <w:vAlign w:val="center"/>
          </w:tcPr>
          <w:p w14:paraId="32DE4D60">
            <w:pPr>
              <w:rPr>
                <w:rFonts w:hint="eastAsia" w:ascii="仿宋" w:hAnsi="仿宋" w:eastAsia="仿宋" w:cs="仿宋"/>
                <w:b/>
                <w:bCs/>
                <w:color w:val="auto"/>
                <w:sz w:val="24"/>
                <w:szCs w:val="24"/>
                <w:highlight w:val="none"/>
              </w:rPr>
            </w:pPr>
          </w:p>
        </w:tc>
        <w:tc>
          <w:tcPr>
            <w:tcW w:w="1245" w:type="dxa"/>
            <w:noWrap w:val="0"/>
            <w:vAlign w:val="center"/>
          </w:tcPr>
          <w:p w14:paraId="0C0026B2">
            <w:pPr>
              <w:rPr>
                <w:rFonts w:hint="eastAsia" w:ascii="仿宋" w:hAnsi="仿宋" w:eastAsia="仿宋" w:cs="仿宋"/>
                <w:b/>
                <w:bCs/>
                <w:color w:val="auto"/>
                <w:sz w:val="24"/>
                <w:szCs w:val="24"/>
                <w:highlight w:val="none"/>
              </w:rPr>
            </w:pPr>
          </w:p>
        </w:tc>
        <w:tc>
          <w:tcPr>
            <w:tcW w:w="810" w:type="dxa"/>
            <w:noWrap w:val="0"/>
            <w:vAlign w:val="center"/>
          </w:tcPr>
          <w:p w14:paraId="46AD11D2">
            <w:pPr>
              <w:jc w:val="center"/>
              <w:rPr>
                <w:rFonts w:hint="eastAsia" w:ascii="仿宋" w:hAnsi="仿宋" w:eastAsia="仿宋" w:cs="仿宋"/>
                <w:b/>
                <w:bCs/>
                <w:color w:val="auto"/>
                <w:sz w:val="24"/>
                <w:szCs w:val="24"/>
                <w:highlight w:val="none"/>
              </w:rPr>
            </w:pPr>
          </w:p>
        </w:tc>
      </w:tr>
      <w:tr w14:paraId="4EED56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720" w:type="dxa"/>
            <w:noWrap w:val="0"/>
            <w:vAlign w:val="center"/>
          </w:tcPr>
          <w:p w14:paraId="4371BEEF">
            <w:pPr>
              <w:jc w:val="center"/>
              <w:rPr>
                <w:rFonts w:hint="eastAsia" w:ascii="仿宋" w:hAnsi="仿宋" w:eastAsia="仿宋" w:cs="仿宋"/>
                <w:b/>
                <w:bCs/>
                <w:color w:val="auto"/>
                <w:sz w:val="24"/>
                <w:szCs w:val="24"/>
                <w:highlight w:val="none"/>
              </w:rPr>
            </w:pPr>
          </w:p>
        </w:tc>
        <w:tc>
          <w:tcPr>
            <w:tcW w:w="1720" w:type="dxa"/>
            <w:noWrap w:val="0"/>
            <w:vAlign w:val="center"/>
          </w:tcPr>
          <w:p w14:paraId="1746CBBA">
            <w:pPr>
              <w:jc w:val="center"/>
              <w:rPr>
                <w:rFonts w:hint="eastAsia" w:ascii="仿宋" w:hAnsi="仿宋" w:eastAsia="仿宋" w:cs="仿宋"/>
                <w:b/>
                <w:bCs/>
                <w:color w:val="auto"/>
                <w:sz w:val="24"/>
                <w:szCs w:val="24"/>
                <w:highlight w:val="none"/>
              </w:rPr>
            </w:pPr>
          </w:p>
        </w:tc>
        <w:tc>
          <w:tcPr>
            <w:tcW w:w="1365" w:type="dxa"/>
            <w:noWrap w:val="0"/>
            <w:vAlign w:val="center"/>
          </w:tcPr>
          <w:p w14:paraId="7505DADA">
            <w:pPr>
              <w:jc w:val="center"/>
              <w:rPr>
                <w:rFonts w:hint="eastAsia" w:ascii="仿宋" w:hAnsi="仿宋" w:eastAsia="仿宋" w:cs="仿宋"/>
                <w:b/>
                <w:bCs/>
                <w:color w:val="auto"/>
                <w:sz w:val="24"/>
                <w:szCs w:val="24"/>
                <w:highlight w:val="none"/>
              </w:rPr>
            </w:pPr>
          </w:p>
        </w:tc>
        <w:tc>
          <w:tcPr>
            <w:tcW w:w="1215" w:type="dxa"/>
            <w:noWrap w:val="0"/>
            <w:vAlign w:val="center"/>
          </w:tcPr>
          <w:p w14:paraId="0A902AA9">
            <w:pPr>
              <w:jc w:val="center"/>
              <w:rPr>
                <w:rFonts w:hint="eastAsia" w:ascii="仿宋" w:hAnsi="仿宋" w:eastAsia="仿宋" w:cs="仿宋"/>
                <w:b/>
                <w:bCs/>
                <w:color w:val="auto"/>
                <w:sz w:val="24"/>
                <w:szCs w:val="24"/>
                <w:highlight w:val="none"/>
              </w:rPr>
            </w:pPr>
          </w:p>
        </w:tc>
        <w:tc>
          <w:tcPr>
            <w:tcW w:w="1065" w:type="dxa"/>
            <w:noWrap w:val="0"/>
            <w:vAlign w:val="center"/>
          </w:tcPr>
          <w:p w14:paraId="0386DE12">
            <w:pPr>
              <w:jc w:val="center"/>
              <w:rPr>
                <w:rFonts w:hint="eastAsia" w:ascii="仿宋" w:hAnsi="仿宋" w:eastAsia="仿宋" w:cs="仿宋"/>
                <w:b/>
                <w:bCs/>
                <w:color w:val="auto"/>
                <w:sz w:val="24"/>
                <w:szCs w:val="24"/>
                <w:highlight w:val="none"/>
              </w:rPr>
            </w:pPr>
          </w:p>
        </w:tc>
        <w:tc>
          <w:tcPr>
            <w:tcW w:w="1260" w:type="dxa"/>
            <w:noWrap w:val="0"/>
            <w:vAlign w:val="center"/>
          </w:tcPr>
          <w:p w14:paraId="4B7B7D35">
            <w:pPr>
              <w:rPr>
                <w:rFonts w:hint="eastAsia" w:ascii="仿宋" w:hAnsi="仿宋" w:eastAsia="仿宋" w:cs="仿宋"/>
                <w:b/>
                <w:bCs/>
                <w:color w:val="auto"/>
                <w:sz w:val="24"/>
                <w:szCs w:val="24"/>
                <w:highlight w:val="none"/>
              </w:rPr>
            </w:pPr>
          </w:p>
        </w:tc>
        <w:tc>
          <w:tcPr>
            <w:tcW w:w="1245" w:type="dxa"/>
            <w:noWrap w:val="0"/>
            <w:vAlign w:val="center"/>
          </w:tcPr>
          <w:p w14:paraId="00C72867">
            <w:pPr>
              <w:rPr>
                <w:rFonts w:hint="eastAsia" w:ascii="仿宋" w:hAnsi="仿宋" w:eastAsia="仿宋" w:cs="仿宋"/>
                <w:b/>
                <w:bCs/>
                <w:color w:val="auto"/>
                <w:sz w:val="24"/>
                <w:szCs w:val="24"/>
                <w:highlight w:val="none"/>
              </w:rPr>
            </w:pPr>
          </w:p>
        </w:tc>
        <w:tc>
          <w:tcPr>
            <w:tcW w:w="810" w:type="dxa"/>
            <w:noWrap w:val="0"/>
            <w:vAlign w:val="center"/>
          </w:tcPr>
          <w:p w14:paraId="5D66F44E">
            <w:pPr>
              <w:jc w:val="center"/>
              <w:rPr>
                <w:rFonts w:hint="eastAsia" w:ascii="仿宋" w:hAnsi="仿宋" w:eastAsia="仿宋" w:cs="仿宋"/>
                <w:b/>
                <w:bCs/>
                <w:color w:val="auto"/>
                <w:sz w:val="24"/>
                <w:szCs w:val="24"/>
                <w:highlight w:val="none"/>
              </w:rPr>
            </w:pPr>
          </w:p>
        </w:tc>
      </w:tr>
      <w:tr w14:paraId="1E615F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720" w:type="dxa"/>
            <w:noWrap w:val="0"/>
            <w:vAlign w:val="center"/>
          </w:tcPr>
          <w:p w14:paraId="3E0DD3E9">
            <w:pPr>
              <w:jc w:val="center"/>
              <w:rPr>
                <w:rFonts w:hint="eastAsia" w:ascii="仿宋" w:hAnsi="仿宋" w:eastAsia="仿宋" w:cs="仿宋"/>
                <w:b/>
                <w:bCs/>
                <w:color w:val="auto"/>
                <w:sz w:val="24"/>
                <w:szCs w:val="24"/>
                <w:highlight w:val="none"/>
              </w:rPr>
            </w:pPr>
          </w:p>
        </w:tc>
        <w:tc>
          <w:tcPr>
            <w:tcW w:w="1720" w:type="dxa"/>
            <w:noWrap w:val="0"/>
            <w:vAlign w:val="center"/>
          </w:tcPr>
          <w:p w14:paraId="6D532520">
            <w:pPr>
              <w:jc w:val="center"/>
              <w:rPr>
                <w:rFonts w:hint="eastAsia" w:ascii="仿宋" w:hAnsi="仿宋" w:eastAsia="仿宋" w:cs="仿宋"/>
                <w:b/>
                <w:bCs/>
                <w:color w:val="auto"/>
                <w:sz w:val="24"/>
                <w:szCs w:val="24"/>
                <w:highlight w:val="none"/>
              </w:rPr>
            </w:pPr>
          </w:p>
        </w:tc>
        <w:tc>
          <w:tcPr>
            <w:tcW w:w="1365" w:type="dxa"/>
            <w:noWrap w:val="0"/>
            <w:vAlign w:val="center"/>
          </w:tcPr>
          <w:p w14:paraId="67B1C012">
            <w:pPr>
              <w:jc w:val="center"/>
              <w:rPr>
                <w:rFonts w:hint="eastAsia" w:ascii="仿宋" w:hAnsi="仿宋" w:eastAsia="仿宋" w:cs="仿宋"/>
                <w:b/>
                <w:bCs/>
                <w:color w:val="auto"/>
                <w:sz w:val="24"/>
                <w:szCs w:val="24"/>
                <w:highlight w:val="none"/>
              </w:rPr>
            </w:pPr>
          </w:p>
        </w:tc>
        <w:tc>
          <w:tcPr>
            <w:tcW w:w="1215" w:type="dxa"/>
            <w:noWrap w:val="0"/>
            <w:vAlign w:val="center"/>
          </w:tcPr>
          <w:p w14:paraId="2CED60B8">
            <w:pPr>
              <w:jc w:val="center"/>
              <w:rPr>
                <w:rFonts w:hint="eastAsia" w:ascii="仿宋" w:hAnsi="仿宋" w:eastAsia="仿宋" w:cs="仿宋"/>
                <w:b/>
                <w:bCs/>
                <w:color w:val="auto"/>
                <w:sz w:val="24"/>
                <w:szCs w:val="24"/>
                <w:highlight w:val="none"/>
              </w:rPr>
            </w:pPr>
          </w:p>
        </w:tc>
        <w:tc>
          <w:tcPr>
            <w:tcW w:w="1065" w:type="dxa"/>
            <w:noWrap w:val="0"/>
            <w:vAlign w:val="center"/>
          </w:tcPr>
          <w:p w14:paraId="7C1E9631">
            <w:pPr>
              <w:jc w:val="center"/>
              <w:rPr>
                <w:rFonts w:hint="eastAsia" w:ascii="仿宋" w:hAnsi="仿宋" w:eastAsia="仿宋" w:cs="仿宋"/>
                <w:b/>
                <w:bCs/>
                <w:color w:val="auto"/>
                <w:sz w:val="24"/>
                <w:szCs w:val="24"/>
                <w:highlight w:val="none"/>
              </w:rPr>
            </w:pPr>
          </w:p>
        </w:tc>
        <w:tc>
          <w:tcPr>
            <w:tcW w:w="1260" w:type="dxa"/>
            <w:noWrap w:val="0"/>
            <w:vAlign w:val="center"/>
          </w:tcPr>
          <w:p w14:paraId="741F7993">
            <w:pPr>
              <w:rPr>
                <w:rFonts w:hint="eastAsia" w:ascii="仿宋" w:hAnsi="仿宋" w:eastAsia="仿宋" w:cs="仿宋"/>
                <w:b/>
                <w:bCs/>
                <w:color w:val="auto"/>
                <w:sz w:val="24"/>
                <w:szCs w:val="24"/>
                <w:highlight w:val="none"/>
              </w:rPr>
            </w:pPr>
          </w:p>
        </w:tc>
        <w:tc>
          <w:tcPr>
            <w:tcW w:w="1245" w:type="dxa"/>
            <w:noWrap w:val="0"/>
            <w:vAlign w:val="center"/>
          </w:tcPr>
          <w:p w14:paraId="235ABFE6">
            <w:pPr>
              <w:rPr>
                <w:rFonts w:hint="eastAsia" w:ascii="仿宋" w:hAnsi="仿宋" w:eastAsia="仿宋" w:cs="仿宋"/>
                <w:b/>
                <w:bCs/>
                <w:color w:val="auto"/>
                <w:sz w:val="24"/>
                <w:szCs w:val="24"/>
                <w:highlight w:val="none"/>
              </w:rPr>
            </w:pPr>
          </w:p>
        </w:tc>
        <w:tc>
          <w:tcPr>
            <w:tcW w:w="810" w:type="dxa"/>
            <w:noWrap w:val="0"/>
            <w:vAlign w:val="center"/>
          </w:tcPr>
          <w:p w14:paraId="68D132E4">
            <w:pPr>
              <w:jc w:val="center"/>
              <w:rPr>
                <w:rFonts w:hint="eastAsia" w:ascii="仿宋" w:hAnsi="仿宋" w:eastAsia="仿宋" w:cs="仿宋"/>
                <w:b/>
                <w:bCs/>
                <w:color w:val="auto"/>
                <w:sz w:val="24"/>
                <w:szCs w:val="24"/>
                <w:highlight w:val="none"/>
              </w:rPr>
            </w:pPr>
          </w:p>
        </w:tc>
      </w:tr>
      <w:tr w14:paraId="43B5E6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6085" w:type="dxa"/>
            <w:gridSpan w:val="5"/>
            <w:noWrap w:val="0"/>
            <w:vAlign w:val="center"/>
          </w:tcPr>
          <w:p w14:paraId="35AE23EF">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1年消耗品合计</w:t>
            </w:r>
          </w:p>
        </w:tc>
        <w:tc>
          <w:tcPr>
            <w:tcW w:w="3315" w:type="dxa"/>
            <w:gridSpan w:val="3"/>
            <w:noWrap w:val="0"/>
            <w:vAlign w:val="center"/>
          </w:tcPr>
          <w:p w14:paraId="02970ACD">
            <w:pPr>
              <w:jc w:val="center"/>
              <w:rPr>
                <w:rFonts w:hint="eastAsia" w:ascii="仿宋" w:hAnsi="仿宋" w:eastAsia="仿宋" w:cs="仿宋"/>
                <w:b/>
                <w:bCs/>
                <w:color w:val="auto"/>
                <w:sz w:val="24"/>
                <w:szCs w:val="24"/>
                <w:highlight w:val="none"/>
              </w:rPr>
            </w:pP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rPr>
              <w:t>元</w:t>
            </w:r>
          </w:p>
        </w:tc>
      </w:tr>
    </w:tbl>
    <w:p w14:paraId="0CE6F9DD">
      <w:pP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注：1、</w:t>
      </w:r>
      <w:r>
        <w:rPr>
          <w:rFonts w:hint="eastAsia" w:ascii="仿宋" w:hAnsi="仿宋" w:eastAsia="仿宋" w:cs="仿宋"/>
          <w:color w:val="auto"/>
          <w:sz w:val="24"/>
          <w:szCs w:val="24"/>
          <w:highlight w:val="none"/>
        </w:rPr>
        <w:t>本表中“</w:t>
      </w:r>
      <w:r>
        <w:rPr>
          <w:rFonts w:hint="eastAsia" w:ascii="仿宋" w:hAnsi="仿宋" w:eastAsia="仿宋" w:cs="仿宋"/>
          <w:bCs/>
          <w:color w:val="auto"/>
          <w:sz w:val="24"/>
          <w:szCs w:val="24"/>
          <w:highlight w:val="none"/>
        </w:rPr>
        <w:t>1年消耗品合计</w:t>
      </w:r>
      <w:r>
        <w:rPr>
          <w:rFonts w:hint="eastAsia" w:ascii="仿宋" w:hAnsi="仿宋" w:eastAsia="仿宋" w:cs="仿宋"/>
          <w:color w:val="auto"/>
          <w:sz w:val="24"/>
          <w:szCs w:val="24"/>
          <w:highlight w:val="none"/>
        </w:rPr>
        <w:t>”为投标人拟投入的消耗品价格，为一次性包干价；</w:t>
      </w:r>
    </w:p>
    <w:p w14:paraId="25AD737B">
      <w:pPr>
        <w:ind w:firstLine="480" w:firstLineChars="200"/>
        <w:rPr>
          <w:rFonts w:hint="eastAsia" w:ascii="仿宋" w:hAnsi="仿宋" w:eastAsia="仿宋" w:cs="仿宋"/>
          <w:color w:val="auto"/>
          <w:sz w:val="24"/>
          <w:szCs w:val="24"/>
          <w:highlight w:val="none"/>
        </w:rPr>
      </w:pPr>
    </w:p>
    <w:p w14:paraId="08C95F29">
      <w:pPr>
        <w:rPr>
          <w:rFonts w:hint="eastAsia" w:ascii="仿宋" w:hAnsi="仿宋" w:eastAsia="仿宋" w:cs="仿宋"/>
          <w:color w:val="auto"/>
          <w:sz w:val="24"/>
          <w:szCs w:val="24"/>
          <w:highlight w:val="none"/>
        </w:rPr>
      </w:pPr>
    </w:p>
    <w:p w14:paraId="2F8603E5">
      <w:pPr>
        <w:rPr>
          <w:rFonts w:hint="eastAsia" w:ascii="仿宋" w:hAnsi="仿宋" w:eastAsia="仿宋" w:cs="仿宋"/>
          <w:b/>
          <w:snapToGrid w:val="0"/>
          <w:color w:val="auto"/>
          <w:kern w:val="0"/>
          <w:sz w:val="24"/>
          <w:szCs w:val="24"/>
          <w:highlight w:val="none"/>
        </w:rPr>
      </w:pPr>
    </w:p>
    <w:p w14:paraId="3506D19B">
      <w:pP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表2： 拟投入设备工具明细表</w:t>
      </w:r>
    </w:p>
    <w:tbl>
      <w:tblPr>
        <w:tblStyle w:val="57"/>
        <w:tblW w:w="944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813"/>
        <w:gridCol w:w="2793"/>
        <w:gridCol w:w="1291"/>
        <w:gridCol w:w="1585"/>
        <w:gridCol w:w="1174"/>
      </w:tblGrid>
      <w:tr w14:paraId="40F77B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89" w:type="dxa"/>
            <w:noWrap w:val="0"/>
            <w:vAlign w:val="center"/>
          </w:tcPr>
          <w:p w14:paraId="5800844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1813" w:type="dxa"/>
            <w:noWrap w:val="0"/>
            <w:vAlign w:val="center"/>
          </w:tcPr>
          <w:p w14:paraId="182BDF7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设备工具名称</w:t>
            </w:r>
          </w:p>
        </w:tc>
        <w:tc>
          <w:tcPr>
            <w:tcW w:w="2793" w:type="dxa"/>
            <w:noWrap w:val="0"/>
            <w:vAlign w:val="center"/>
          </w:tcPr>
          <w:p w14:paraId="4EA8454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用途/规格/型号/性能参数</w:t>
            </w:r>
          </w:p>
        </w:tc>
        <w:tc>
          <w:tcPr>
            <w:tcW w:w="1291" w:type="dxa"/>
            <w:noWrap w:val="0"/>
            <w:vAlign w:val="center"/>
          </w:tcPr>
          <w:p w14:paraId="4CC6048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数量</w:t>
            </w:r>
          </w:p>
        </w:tc>
        <w:tc>
          <w:tcPr>
            <w:tcW w:w="1585" w:type="dxa"/>
            <w:noWrap w:val="0"/>
            <w:vAlign w:val="center"/>
          </w:tcPr>
          <w:p w14:paraId="7D44BD0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金额(元)</w:t>
            </w:r>
          </w:p>
        </w:tc>
        <w:tc>
          <w:tcPr>
            <w:tcW w:w="1174" w:type="dxa"/>
            <w:noWrap w:val="0"/>
            <w:vAlign w:val="center"/>
          </w:tcPr>
          <w:p w14:paraId="5FE033F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r>
      <w:tr w14:paraId="7343C6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89" w:type="dxa"/>
            <w:noWrap w:val="0"/>
            <w:vAlign w:val="center"/>
          </w:tcPr>
          <w:p w14:paraId="6B74077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813" w:type="dxa"/>
            <w:noWrap w:val="0"/>
            <w:vAlign w:val="center"/>
          </w:tcPr>
          <w:p w14:paraId="26239F48">
            <w:pPr>
              <w:widowControl/>
              <w:jc w:val="left"/>
              <w:rPr>
                <w:rFonts w:hint="eastAsia" w:ascii="仿宋" w:hAnsi="仿宋" w:eastAsia="仿宋" w:cs="仿宋"/>
                <w:color w:val="auto"/>
                <w:kern w:val="0"/>
                <w:sz w:val="24"/>
                <w:szCs w:val="24"/>
                <w:highlight w:val="none"/>
              </w:rPr>
            </w:pPr>
          </w:p>
        </w:tc>
        <w:tc>
          <w:tcPr>
            <w:tcW w:w="2793" w:type="dxa"/>
            <w:noWrap w:val="0"/>
            <w:vAlign w:val="center"/>
          </w:tcPr>
          <w:p w14:paraId="06281E05">
            <w:pPr>
              <w:widowControl/>
              <w:jc w:val="center"/>
              <w:rPr>
                <w:rFonts w:hint="eastAsia" w:ascii="仿宋" w:hAnsi="仿宋" w:eastAsia="仿宋" w:cs="仿宋"/>
                <w:color w:val="auto"/>
                <w:kern w:val="0"/>
                <w:sz w:val="24"/>
                <w:szCs w:val="24"/>
                <w:highlight w:val="none"/>
              </w:rPr>
            </w:pPr>
          </w:p>
        </w:tc>
        <w:tc>
          <w:tcPr>
            <w:tcW w:w="1291" w:type="dxa"/>
            <w:noWrap w:val="0"/>
            <w:vAlign w:val="center"/>
          </w:tcPr>
          <w:p w14:paraId="759468DC">
            <w:pPr>
              <w:widowControl/>
              <w:jc w:val="center"/>
              <w:rPr>
                <w:rFonts w:hint="eastAsia" w:ascii="仿宋" w:hAnsi="仿宋" w:eastAsia="仿宋" w:cs="仿宋"/>
                <w:color w:val="auto"/>
                <w:kern w:val="0"/>
                <w:sz w:val="24"/>
                <w:szCs w:val="24"/>
                <w:highlight w:val="none"/>
              </w:rPr>
            </w:pPr>
          </w:p>
        </w:tc>
        <w:tc>
          <w:tcPr>
            <w:tcW w:w="1585" w:type="dxa"/>
            <w:noWrap w:val="0"/>
            <w:vAlign w:val="center"/>
          </w:tcPr>
          <w:p w14:paraId="37D16084">
            <w:pPr>
              <w:widowControl/>
              <w:jc w:val="center"/>
              <w:rPr>
                <w:rFonts w:hint="eastAsia" w:ascii="仿宋" w:hAnsi="仿宋" w:eastAsia="仿宋" w:cs="仿宋"/>
                <w:color w:val="auto"/>
                <w:kern w:val="0"/>
                <w:sz w:val="24"/>
                <w:szCs w:val="24"/>
                <w:highlight w:val="none"/>
              </w:rPr>
            </w:pPr>
          </w:p>
        </w:tc>
        <w:tc>
          <w:tcPr>
            <w:tcW w:w="1174" w:type="dxa"/>
            <w:noWrap w:val="0"/>
            <w:vAlign w:val="center"/>
          </w:tcPr>
          <w:p w14:paraId="79CFA845">
            <w:pPr>
              <w:widowControl/>
              <w:jc w:val="left"/>
              <w:rPr>
                <w:rFonts w:hint="eastAsia" w:ascii="仿宋" w:hAnsi="仿宋" w:eastAsia="仿宋" w:cs="仿宋"/>
                <w:color w:val="auto"/>
                <w:kern w:val="0"/>
                <w:sz w:val="24"/>
                <w:szCs w:val="24"/>
                <w:highlight w:val="none"/>
              </w:rPr>
            </w:pPr>
          </w:p>
        </w:tc>
      </w:tr>
      <w:tr w14:paraId="4C1D01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89" w:type="dxa"/>
            <w:noWrap w:val="0"/>
            <w:vAlign w:val="center"/>
          </w:tcPr>
          <w:p w14:paraId="56DBEC8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813" w:type="dxa"/>
            <w:noWrap w:val="0"/>
            <w:vAlign w:val="center"/>
          </w:tcPr>
          <w:p w14:paraId="68BBAA48">
            <w:pPr>
              <w:widowControl/>
              <w:jc w:val="left"/>
              <w:rPr>
                <w:rFonts w:hint="eastAsia" w:ascii="仿宋" w:hAnsi="仿宋" w:eastAsia="仿宋" w:cs="仿宋"/>
                <w:color w:val="auto"/>
                <w:kern w:val="0"/>
                <w:sz w:val="24"/>
                <w:szCs w:val="24"/>
                <w:highlight w:val="none"/>
              </w:rPr>
            </w:pPr>
          </w:p>
        </w:tc>
        <w:tc>
          <w:tcPr>
            <w:tcW w:w="2793" w:type="dxa"/>
            <w:noWrap w:val="0"/>
            <w:vAlign w:val="center"/>
          </w:tcPr>
          <w:p w14:paraId="75028B6E">
            <w:pPr>
              <w:widowControl/>
              <w:jc w:val="center"/>
              <w:rPr>
                <w:rFonts w:hint="eastAsia" w:ascii="仿宋" w:hAnsi="仿宋" w:eastAsia="仿宋" w:cs="仿宋"/>
                <w:color w:val="auto"/>
                <w:kern w:val="0"/>
                <w:sz w:val="24"/>
                <w:szCs w:val="24"/>
                <w:highlight w:val="none"/>
              </w:rPr>
            </w:pPr>
          </w:p>
        </w:tc>
        <w:tc>
          <w:tcPr>
            <w:tcW w:w="1291" w:type="dxa"/>
            <w:noWrap w:val="0"/>
            <w:vAlign w:val="center"/>
          </w:tcPr>
          <w:p w14:paraId="70072F95">
            <w:pPr>
              <w:widowControl/>
              <w:jc w:val="center"/>
              <w:rPr>
                <w:rFonts w:hint="eastAsia" w:ascii="仿宋" w:hAnsi="仿宋" w:eastAsia="仿宋" w:cs="仿宋"/>
                <w:color w:val="auto"/>
                <w:kern w:val="0"/>
                <w:sz w:val="24"/>
                <w:szCs w:val="24"/>
                <w:highlight w:val="none"/>
              </w:rPr>
            </w:pPr>
          </w:p>
        </w:tc>
        <w:tc>
          <w:tcPr>
            <w:tcW w:w="1585" w:type="dxa"/>
            <w:noWrap w:val="0"/>
            <w:vAlign w:val="center"/>
          </w:tcPr>
          <w:p w14:paraId="06BC5C51">
            <w:pPr>
              <w:widowControl/>
              <w:jc w:val="center"/>
              <w:rPr>
                <w:rFonts w:hint="eastAsia" w:ascii="仿宋" w:hAnsi="仿宋" w:eastAsia="仿宋" w:cs="仿宋"/>
                <w:color w:val="auto"/>
                <w:kern w:val="0"/>
                <w:sz w:val="24"/>
                <w:szCs w:val="24"/>
                <w:highlight w:val="none"/>
              </w:rPr>
            </w:pPr>
          </w:p>
        </w:tc>
        <w:tc>
          <w:tcPr>
            <w:tcW w:w="1174" w:type="dxa"/>
            <w:noWrap w:val="0"/>
            <w:vAlign w:val="center"/>
          </w:tcPr>
          <w:p w14:paraId="532FD8A9">
            <w:pPr>
              <w:widowControl/>
              <w:jc w:val="left"/>
              <w:rPr>
                <w:rFonts w:hint="eastAsia" w:ascii="仿宋" w:hAnsi="仿宋" w:eastAsia="仿宋" w:cs="仿宋"/>
                <w:color w:val="auto"/>
                <w:kern w:val="0"/>
                <w:sz w:val="24"/>
                <w:szCs w:val="24"/>
                <w:highlight w:val="none"/>
              </w:rPr>
            </w:pPr>
          </w:p>
        </w:tc>
      </w:tr>
      <w:tr w14:paraId="5D0EFF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89" w:type="dxa"/>
            <w:noWrap w:val="0"/>
            <w:vAlign w:val="center"/>
          </w:tcPr>
          <w:p w14:paraId="5ADCFF4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813" w:type="dxa"/>
            <w:noWrap w:val="0"/>
            <w:vAlign w:val="center"/>
          </w:tcPr>
          <w:p w14:paraId="65D191E1">
            <w:pPr>
              <w:widowControl/>
              <w:jc w:val="left"/>
              <w:rPr>
                <w:rFonts w:hint="eastAsia" w:ascii="仿宋" w:hAnsi="仿宋" w:eastAsia="仿宋" w:cs="仿宋"/>
                <w:color w:val="auto"/>
                <w:kern w:val="0"/>
                <w:sz w:val="24"/>
                <w:szCs w:val="24"/>
                <w:highlight w:val="none"/>
              </w:rPr>
            </w:pPr>
          </w:p>
        </w:tc>
        <w:tc>
          <w:tcPr>
            <w:tcW w:w="2793" w:type="dxa"/>
            <w:noWrap w:val="0"/>
            <w:vAlign w:val="center"/>
          </w:tcPr>
          <w:p w14:paraId="6547E6C3">
            <w:pPr>
              <w:widowControl/>
              <w:jc w:val="center"/>
              <w:rPr>
                <w:rFonts w:hint="eastAsia" w:ascii="仿宋" w:hAnsi="仿宋" w:eastAsia="仿宋" w:cs="仿宋"/>
                <w:color w:val="auto"/>
                <w:kern w:val="0"/>
                <w:sz w:val="24"/>
                <w:szCs w:val="24"/>
                <w:highlight w:val="none"/>
              </w:rPr>
            </w:pPr>
          </w:p>
        </w:tc>
        <w:tc>
          <w:tcPr>
            <w:tcW w:w="1291" w:type="dxa"/>
            <w:noWrap w:val="0"/>
            <w:vAlign w:val="center"/>
          </w:tcPr>
          <w:p w14:paraId="45DC3F85">
            <w:pPr>
              <w:widowControl/>
              <w:jc w:val="center"/>
              <w:rPr>
                <w:rFonts w:hint="eastAsia" w:ascii="仿宋" w:hAnsi="仿宋" w:eastAsia="仿宋" w:cs="仿宋"/>
                <w:color w:val="auto"/>
                <w:kern w:val="0"/>
                <w:sz w:val="24"/>
                <w:szCs w:val="24"/>
                <w:highlight w:val="none"/>
              </w:rPr>
            </w:pPr>
          </w:p>
        </w:tc>
        <w:tc>
          <w:tcPr>
            <w:tcW w:w="1585" w:type="dxa"/>
            <w:noWrap w:val="0"/>
            <w:vAlign w:val="center"/>
          </w:tcPr>
          <w:p w14:paraId="6085D0AE">
            <w:pPr>
              <w:widowControl/>
              <w:jc w:val="center"/>
              <w:rPr>
                <w:rFonts w:hint="eastAsia" w:ascii="仿宋" w:hAnsi="仿宋" w:eastAsia="仿宋" w:cs="仿宋"/>
                <w:color w:val="auto"/>
                <w:kern w:val="0"/>
                <w:sz w:val="24"/>
                <w:szCs w:val="24"/>
                <w:highlight w:val="none"/>
              </w:rPr>
            </w:pPr>
          </w:p>
        </w:tc>
        <w:tc>
          <w:tcPr>
            <w:tcW w:w="1174" w:type="dxa"/>
            <w:noWrap w:val="0"/>
            <w:vAlign w:val="center"/>
          </w:tcPr>
          <w:p w14:paraId="01C10B00">
            <w:pPr>
              <w:widowControl/>
              <w:jc w:val="left"/>
              <w:rPr>
                <w:rFonts w:hint="eastAsia" w:ascii="仿宋" w:hAnsi="仿宋" w:eastAsia="仿宋" w:cs="仿宋"/>
                <w:color w:val="auto"/>
                <w:kern w:val="0"/>
                <w:sz w:val="24"/>
                <w:szCs w:val="24"/>
                <w:highlight w:val="none"/>
              </w:rPr>
            </w:pPr>
          </w:p>
        </w:tc>
      </w:tr>
      <w:tr w14:paraId="2EFFA7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89" w:type="dxa"/>
            <w:noWrap w:val="0"/>
            <w:vAlign w:val="center"/>
          </w:tcPr>
          <w:p w14:paraId="2086F56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813" w:type="dxa"/>
            <w:noWrap w:val="0"/>
            <w:vAlign w:val="center"/>
          </w:tcPr>
          <w:p w14:paraId="2E51C282">
            <w:pPr>
              <w:widowControl/>
              <w:jc w:val="left"/>
              <w:rPr>
                <w:rFonts w:hint="eastAsia" w:ascii="仿宋" w:hAnsi="仿宋" w:eastAsia="仿宋" w:cs="仿宋"/>
                <w:color w:val="auto"/>
                <w:kern w:val="0"/>
                <w:sz w:val="24"/>
                <w:szCs w:val="24"/>
                <w:highlight w:val="none"/>
              </w:rPr>
            </w:pPr>
          </w:p>
        </w:tc>
        <w:tc>
          <w:tcPr>
            <w:tcW w:w="2793" w:type="dxa"/>
            <w:noWrap w:val="0"/>
            <w:vAlign w:val="center"/>
          </w:tcPr>
          <w:p w14:paraId="60A60BBD">
            <w:pPr>
              <w:widowControl/>
              <w:jc w:val="center"/>
              <w:rPr>
                <w:rFonts w:hint="eastAsia" w:ascii="仿宋" w:hAnsi="仿宋" w:eastAsia="仿宋" w:cs="仿宋"/>
                <w:color w:val="auto"/>
                <w:kern w:val="0"/>
                <w:sz w:val="24"/>
                <w:szCs w:val="24"/>
                <w:highlight w:val="none"/>
              </w:rPr>
            </w:pPr>
          </w:p>
        </w:tc>
        <w:tc>
          <w:tcPr>
            <w:tcW w:w="1291" w:type="dxa"/>
            <w:noWrap w:val="0"/>
            <w:vAlign w:val="center"/>
          </w:tcPr>
          <w:p w14:paraId="3986A90A">
            <w:pPr>
              <w:widowControl/>
              <w:jc w:val="center"/>
              <w:rPr>
                <w:rFonts w:hint="eastAsia" w:ascii="仿宋" w:hAnsi="仿宋" w:eastAsia="仿宋" w:cs="仿宋"/>
                <w:color w:val="auto"/>
                <w:kern w:val="0"/>
                <w:sz w:val="24"/>
                <w:szCs w:val="24"/>
                <w:highlight w:val="none"/>
              </w:rPr>
            </w:pPr>
          </w:p>
        </w:tc>
        <w:tc>
          <w:tcPr>
            <w:tcW w:w="1585" w:type="dxa"/>
            <w:noWrap w:val="0"/>
            <w:vAlign w:val="center"/>
          </w:tcPr>
          <w:p w14:paraId="2741646C">
            <w:pPr>
              <w:widowControl/>
              <w:jc w:val="center"/>
              <w:rPr>
                <w:rFonts w:hint="eastAsia" w:ascii="仿宋" w:hAnsi="仿宋" w:eastAsia="仿宋" w:cs="仿宋"/>
                <w:color w:val="auto"/>
                <w:kern w:val="0"/>
                <w:sz w:val="24"/>
                <w:szCs w:val="24"/>
                <w:highlight w:val="none"/>
              </w:rPr>
            </w:pPr>
          </w:p>
        </w:tc>
        <w:tc>
          <w:tcPr>
            <w:tcW w:w="1174" w:type="dxa"/>
            <w:noWrap w:val="0"/>
            <w:vAlign w:val="center"/>
          </w:tcPr>
          <w:p w14:paraId="308D8E90">
            <w:pPr>
              <w:widowControl/>
              <w:jc w:val="left"/>
              <w:rPr>
                <w:rFonts w:hint="eastAsia" w:ascii="仿宋" w:hAnsi="仿宋" w:eastAsia="仿宋" w:cs="仿宋"/>
                <w:color w:val="auto"/>
                <w:kern w:val="0"/>
                <w:sz w:val="24"/>
                <w:szCs w:val="24"/>
                <w:highlight w:val="none"/>
              </w:rPr>
            </w:pPr>
          </w:p>
        </w:tc>
      </w:tr>
      <w:tr w14:paraId="2C703A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89" w:type="dxa"/>
            <w:noWrap w:val="0"/>
            <w:vAlign w:val="center"/>
          </w:tcPr>
          <w:p w14:paraId="279EFF56">
            <w:pPr>
              <w:widowControl/>
              <w:jc w:val="center"/>
              <w:rPr>
                <w:rFonts w:hint="eastAsia" w:ascii="仿宋" w:hAnsi="仿宋" w:eastAsia="仿宋" w:cs="仿宋"/>
                <w:color w:val="auto"/>
                <w:kern w:val="0"/>
                <w:sz w:val="24"/>
                <w:szCs w:val="24"/>
                <w:highlight w:val="none"/>
              </w:rPr>
            </w:pPr>
          </w:p>
        </w:tc>
        <w:tc>
          <w:tcPr>
            <w:tcW w:w="1813" w:type="dxa"/>
            <w:noWrap w:val="0"/>
            <w:vAlign w:val="center"/>
          </w:tcPr>
          <w:p w14:paraId="1BEBF1E5">
            <w:pPr>
              <w:widowControl/>
              <w:jc w:val="left"/>
              <w:rPr>
                <w:rFonts w:hint="eastAsia" w:ascii="仿宋" w:hAnsi="仿宋" w:eastAsia="仿宋" w:cs="仿宋"/>
                <w:color w:val="auto"/>
                <w:kern w:val="0"/>
                <w:sz w:val="24"/>
                <w:szCs w:val="24"/>
                <w:highlight w:val="none"/>
              </w:rPr>
            </w:pPr>
          </w:p>
        </w:tc>
        <w:tc>
          <w:tcPr>
            <w:tcW w:w="2793" w:type="dxa"/>
            <w:noWrap w:val="0"/>
            <w:vAlign w:val="center"/>
          </w:tcPr>
          <w:p w14:paraId="7D6F68A1">
            <w:pPr>
              <w:widowControl/>
              <w:jc w:val="center"/>
              <w:rPr>
                <w:rFonts w:hint="eastAsia" w:ascii="仿宋" w:hAnsi="仿宋" w:eastAsia="仿宋" w:cs="仿宋"/>
                <w:color w:val="auto"/>
                <w:kern w:val="0"/>
                <w:sz w:val="24"/>
                <w:szCs w:val="24"/>
                <w:highlight w:val="none"/>
              </w:rPr>
            </w:pPr>
          </w:p>
        </w:tc>
        <w:tc>
          <w:tcPr>
            <w:tcW w:w="1291" w:type="dxa"/>
            <w:noWrap w:val="0"/>
            <w:vAlign w:val="center"/>
          </w:tcPr>
          <w:p w14:paraId="4612512C">
            <w:pPr>
              <w:widowControl/>
              <w:jc w:val="center"/>
              <w:rPr>
                <w:rFonts w:hint="eastAsia" w:ascii="仿宋" w:hAnsi="仿宋" w:eastAsia="仿宋" w:cs="仿宋"/>
                <w:color w:val="auto"/>
                <w:kern w:val="0"/>
                <w:sz w:val="24"/>
                <w:szCs w:val="24"/>
                <w:highlight w:val="none"/>
              </w:rPr>
            </w:pPr>
          </w:p>
        </w:tc>
        <w:tc>
          <w:tcPr>
            <w:tcW w:w="1585" w:type="dxa"/>
            <w:noWrap w:val="0"/>
            <w:vAlign w:val="center"/>
          </w:tcPr>
          <w:p w14:paraId="1A5C298C">
            <w:pPr>
              <w:widowControl/>
              <w:jc w:val="center"/>
              <w:rPr>
                <w:rFonts w:hint="eastAsia" w:ascii="仿宋" w:hAnsi="仿宋" w:eastAsia="仿宋" w:cs="仿宋"/>
                <w:color w:val="auto"/>
                <w:kern w:val="0"/>
                <w:sz w:val="24"/>
                <w:szCs w:val="24"/>
                <w:highlight w:val="none"/>
              </w:rPr>
            </w:pPr>
          </w:p>
        </w:tc>
        <w:tc>
          <w:tcPr>
            <w:tcW w:w="1174" w:type="dxa"/>
            <w:noWrap w:val="0"/>
            <w:vAlign w:val="center"/>
          </w:tcPr>
          <w:p w14:paraId="24DCAFED">
            <w:pPr>
              <w:widowControl/>
              <w:jc w:val="left"/>
              <w:rPr>
                <w:rFonts w:hint="eastAsia" w:ascii="仿宋" w:hAnsi="仿宋" w:eastAsia="仿宋" w:cs="仿宋"/>
                <w:color w:val="auto"/>
                <w:kern w:val="0"/>
                <w:sz w:val="24"/>
                <w:szCs w:val="24"/>
                <w:highlight w:val="none"/>
              </w:rPr>
            </w:pPr>
          </w:p>
        </w:tc>
      </w:tr>
      <w:tr w14:paraId="76C161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89" w:type="dxa"/>
            <w:noWrap w:val="0"/>
            <w:vAlign w:val="center"/>
          </w:tcPr>
          <w:p w14:paraId="5A8F740F">
            <w:pPr>
              <w:widowControl/>
              <w:jc w:val="center"/>
              <w:rPr>
                <w:rFonts w:hint="eastAsia" w:ascii="仿宋" w:hAnsi="仿宋" w:eastAsia="仿宋" w:cs="仿宋"/>
                <w:color w:val="auto"/>
                <w:kern w:val="0"/>
                <w:sz w:val="24"/>
                <w:szCs w:val="24"/>
                <w:highlight w:val="none"/>
              </w:rPr>
            </w:pPr>
          </w:p>
        </w:tc>
        <w:tc>
          <w:tcPr>
            <w:tcW w:w="1813" w:type="dxa"/>
            <w:noWrap w:val="0"/>
            <w:vAlign w:val="center"/>
          </w:tcPr>
          <w:p w14:paraId="599B5BF3">
            <w:pPr>
              <w:widowControl/>
              <w:jc w:val="left"/>
              <w:rPr>
                <w:rFonts w:hint="eastAsia" w:ascii="仿宋" w:hAnsi="仿宋" w:eastAsia="仿宋" w:cs="仿宋"/>
                <w:color w:val="auto"/>
                <w:kern w:val="0"/>
                <w:sz w:val="24"/>
                <w:szCs w:val="24"/>
                <w:highlight w:val="none"/>
              </w:rPr>
            </w:pPr>
          </w:p>
        </w:tc>
        <w:tc>
          <w:tcPr>
            <w:tcW w:w="2793" w:type="dxa"/>
            <w:noWrap w:val="0"/>
            <w:vAlign w:val="center"/>
          </w:tcPr>
          <w:p w14:paraId="7A00394A">
            <w:pPr>
              <w:widowControl/>
              <w:jc w:val="center"/>
              <w:rPr>
                <w:rFonts w:hint="eastAsia" w:ascii="仿宋" w:hAnsi="仿宋" w:eastAsia="仿宋" w:cs="仿宋"/>
                <w:color w:val="auto"/>
                <w:kern w:val="0"/>
                <w:sz w:val="24"/>
                <w:szCs w:val="24"/>
                <w:highlight w:val="none"/>
              </w:rPr>
            </w:pPr>
          </w:p>
        </w:tc>
        <w:tc>
          <w:tcPr>
            <w:tcW w:w="1291" w:type="dxa"/>
            <w:noWrap w:val="0"/>
            <w:vAlign w:val="center"/>
          </w:tcPr>
          <w:p w14:paraId="215263E7">
            <w:pPr>
              <w:widowControl/>
              <w:jc w:val="center"/>
              <w:rPr>
                <w:rFonts w:hint="eastAsia" w:ascii="仿宋" w:hAnsi="仿宋" w:eastAsia="仿宋" w:cs="仿宋"/>
                <w:color w:val="auto"/>
                <w:kern w:val="0"/>
                <w:sz w:val="24"/>
                <w:szCs w:val="24"/>
                <w:highlight w:val="none"/>
              </w:rPr>
            </w:pPr>
          </w:p>
        </w:tc>
        <w:tc>
          <w:tcPr>
            <w:tcW w:w="1585" w:type="dxa"/>
            <w:noWrap w:val="0"/>
            <w:vAlign w:val="center"/>
          </w:tcPr>
          <w:p w14:paraId="2E55E5BB">
            <w:pPr>
              <w:widowControl/>
              <w:jc w:val="center"/>
              <w:rPr>
                <w:rFonts w:hint="eastAsia" w:ascii="仿宋" w:hAnsi="仿宋" w:eastAsia="仿宋" w:cs="仿宋"/>
                <w:color w:val="auto"/>
                <w:kern w:val="0"/>
                <w:sz w:val="24"/>
                <w:szCs w:val="24"/>
                <w:highlight w:val="none"/>
              </w:rPr>
            </w:pPr>
          </w:p>
        </w:tc>
        <w:tc>
          <w:tcPr>
            <w:tcW w:w="1174" w:type="dxa"/>
            <w:noWrap w:val="0"/>
            <w:vAlign w:val="center"/>
          </w:tcPr>
          <w:p w14:paraId="51B98F49">
            <w:pPr>
              <w:widowControl/>
              <w:jc w:val="left"/>
              <w:rPr>
                <w:rFonts w:hint="eastAsia" w:ascii="仿宋" w:hAnsi="仿宋" w:eastAsia="仿宋" w:cs="仿宋"/>
                <w:color w:val="auto"/>
                <w:kern w:val="0"/>
                <w:sz w:val="24"/>
                <w:szCs w:val="24"/>
                <w:highlight w:val="none"/>
              </w:rPr>
            </w:pPr>
          </w:p>
        </w:tc>
      </w:tr>
      <w:tr w14:paraId="125F40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89" w:type="dxa"/>
            <w:noWrap w:val="0"/>
            <w:vAlign w:val="center"/>
          </w:tcPr>
          <w:p w14:paraId="576689DF">
            <w:pPr>
              <w:widowControl/>
              <w:jc w:val="center"/>
              <w:rPr>
                <w:rFonts w:hint="eastAsia" w:ascii="仿宋" w:hAnsi="仿宋" w:eastAsia="仿宋" w:cs="仿宋"/>
                <w:color w:val="auto"/>
                <w:kern w:val="0"/>
                <w:sz w:val="24"/>
                <w:szCs w:val="24"/>
                <w:highlight w:val="none"/>
              </w:rPr>
            </w:pPr>
          </w:p>
        </w:tc>
        <w:tc>
          <w:tcPr>
            <w:tcW w:w="1813" w:type="dxa"/>
            <w:noWrap w:val="0"/>
            <w:vAlign w:val="center"/>
          </w:tcPr>
          <w:p w14:paraId="22E90FD5">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合计</w:t>
            </w:r>
          </w:p>
        </w:tc>
        <w:tc>
          <w:tcPr>
            <w:tcW w:w="2793" w:type="dxa"/>
            <w:noWrap w:val="0"/>
            <w:vAlign w:val="center"/>
          </w:tcPr>
          <w:p w14:paraId="13F23C76">
            <w:pPr>
              <w:widowControl/>
              <w:jc w:val="center"/>
              <w:rPr>
                <w:rFonts w:hint="eastAsia" w:ascii="仿宋" w:hAnsi="仿宋" w:eastAsia="仿宋" w:cs="仿宋"/>
                <w:color w:val="auto"/>
                <w:kern w:val="0"/>
                <w:sz w:val="24"/>
                <w:szCs w:val="24"/>
                <w:highlight w:val="none"/>
              </w:rPr>
            </w:pPr>
          </w:p>
        </w:tc>
        <w:tc>
          <w:tcPr>
            <w:tcW w:w="1291" w:type="dxa"/>
            <w:noWrap w:val="0"/>
            <w:vAlign w:val="center"/>
          </w:tcPr>
          <w:p w14:paraId="066A8B22">
            <w:pPr>
              <w:widowControl/>
              <w:jc w:val="center"/>
              <w:rPr>
                <w:rFonts w:hint="eastAsia" w:ascii="仿宋" w:hAnsi="仿宋" w:eastAsia="仿宋" w:cs="仿宋"/>
                <w:color w:val="auto"/>
                <w:kern w:val="0"/>
                <w:sz w:val="24"/>
                <w:szCs w:val="24"/>
                <w:highlight w:val="none"/>
              </w:rPr>
            </w:pPr>
          </w:p>
        </w:tc>
        <w:tc>
          <w:tcPr>
            <w:tcW w:w="1585" w:type="dxa"/>
            <w:noWrap w:val="0"/>
            <w:vAlign w:val="center"/>
          </w:tcPr>
          <w:p w14:paraId="6DCA054E">
            <w:pPr>
              <w:widowControl/>
              <w:jc w:val="center"/>
              <w:rPr>
                <w:rFonts w:hint="eastAsia" w:ascii="仿宋" w:hAnsi="仿宋" w:eastAsia="仿宋" w:cs="仿宋"/>
                <w:b/>
                <w:bCs/>
                <w:color w:val="auto"/>
                <w:kern w:val="0"/>
                <w:sz w:val="24"/>
                <w:szCs w:val="24"/>
                <w:highlight w:val="none"/>
              </w:rPr>
            </w:pPr>
          </w:p>
        </w:tc>
        <w:tc>
          <w:tcPr>
            <w:tcW w:w="1174" w:type="dxa"/>
            <w:noWrap w:val="0"/>
            <w:vAlign w:val="center"/>
          </w:tcPr>
          <w:p w14:paraId="7F5106F9">
            <w:pPr>
              <w:widowControl/>
              <w:jc w:val="left"/>
              <w:rPr>
                <w:rFonts w:hint="eastAsia" w:ascii="仿宋" w:hAnsi="仿宋" w:eastAsia="仿宋" w:cs="仿宋"/>
                <w:color w:val="auto"/>
                <w:kern w:val="0"/>
                <w:sz w:val="24"/>
                <w:szCs w:val="24"/>
                <w:highlight w:val="none"/>
              </w:rPr>
            </w:pPr>
          </w:p>
        </w:tc>
      </w:tr>
    </w:tbl>
    <w:p w14:paraId="25210C17">
      <w:pP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注：1、</w:t>
      </w:r>
      <w:r>
        <w:rPr>
          <w:rFonts w:hint="eastAsia" w:ascii="仿宋" w:hAnsi="仿宋" w:eastAsia="仿宋" w:cs="仿宋"/>
          <w:color w:val="auto"/>
          <w:sz w:val="24"/>
          <w:szCs w:val="24"/>
          <w:highlight w:val="none"/>
        </w:rPr>
        <w:t>本表所列为投标人拟投入的设备及工具在服务期内的损耗/修理/保养等内容的估算价格，为一次性包干价；</w:t>
      </w:r>
    </w:p>
    <w:p w14:paraId="05D0AB68">
      <w:pPr>
        <w:ind w:firstLine="420"/>
        <w:rPr>
          <w:rFonts w:hint="eastAsia" w:ascii="仿宋" w:hAnsi="仿宋" w:eastAsia="仿宋" w:cs="仿宋"/>
          <w:color w:val="auto"/>
          <w:sz w:val="24"/>
          <w:szCs w:val="24"/>
          <w:highlight w:val="none"/>
        </w:rPr>
      </w:pPr>
    </w:p>
    <w:p w14:paraId="7048F0BF">
      <w:pPr>
        <w:rPr>
          <w:rFonts w:hint="eastAsia" w:ascii="仿宋" w:hAnsi="仿宋" w:eastAsia="仿宋" w:cs="仿宋"/>
          <w:b/>
          <w:snapToGrid w:val="0"/>
          <w:color w:val="auto"/>
          <w:kern w:val="0"/>
          <w:sz w:val="24"/>
          <w:szCs w:val="24"/>
          <w:highlight w:val="none"/>
        </w:rPr>
      </w:pPr>
    </w:p>
    <w:p w14:paraId="29483DF4">
      <w:pP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br w:type="page"/>
      </w:r>
      <w:r>
        <w:rPr>
          <w:rFonts w:hint="eastAsia" w:ascii="仿宋" w:hAnsi="仿宋" w:eastAsia="仿宋" w:cs="仿宋"/>
          <w:b/>
          <w:snapToGrid w:val="0"/>
          <w:color w:val="auto"/>
          <w:kern w:val="0"/>
          <w:sz w:val="24"/>
          <w:szCs w:val="24"/>
          <w:highlight w:val="none"/>
        </w:rPr>
        <w:t>表3：人员工资、社保及加班费等费用明细表</w:t>
      </w:r>
    </w:p>
    <w:tbl>
      <w:tblPr>
        <w:tblStyle w:val="57"/>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885"/>
        <w:gridCol w:w="1530"/>
        <w:gridCol w:w="1410"/>
        <w:gridCol w:w="1670"/>
        <w:gridCol w:w="1500"/>
        <w:gridCol w:w="475"/>
      </w:tblGrid>
      <w:tr w14:paraId="771F8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35" w:type="dxa"/>
            <w:tcBorders>
              <w:top w:val="double" w:color="auto" w:sz="4" w:space="0"/>
              <w:left w:val="double" w:color="auto" w:sz="4" w:space="0"/>
            </w:tcBorders>
            <w:noWrap w:val="0"/>
            <w:vAlign w:val="center"/>
          </w:tcPr>
          <w:p w14:paraId="284049C5">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岗位名称</w:t>
            </w:r>
          </w:p>
        </w:tc>
        <w:tc>
          <w:tcPr>
            <w:tcW w:w="885" w:type="dxa"/>
            <w:tcBorders>
              <w:top w:val="double" w:color="auto" w:sz="4" w:space="0"/>
            </w:tcBorders>
            <w:noWrap w:val="0"/>
            <w:vAlign w:val="center"/>
          </w:tcPr>
          <w:p w14:paraId="553EC598">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人数</w:t>
            </w:r>
          </w:p>
        </w:tc>
        <w:tc>
          <w:tcPr>
            <w:tcW w:w="1530" w:type="dxa"/>
            <w:tcBorders>
              <w:top w:val="double" w:color="auto" w:sz="4" w:space="0"/>
            </w:tcBorders>
            <w:noWrap w:val="0"/>
            <w:vAlign w:val="center"/>
          </w:tcPr>
          <w:p w14:paraId="2E613D00">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基本工资</w:t>
            </w:r>
          </w:p>
          <w:p w14:paraId="2CF8BB41">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1"/>
                <w:szCs w:val="21"/>
                <w:highlight w:val="none"/>
              </w:rPr>
              <w:t>（元/年</w:t>
            </w:r>
            <w:r>
              <w:rPr>
                <w:rFonts w:hint="eastAsia" w:ascii="仿宋" w:hAnsi="仿宋" w:eastAsia="仿宋" w:cs="仿宋"/>
                <w:snapToGrid w:val="0"/>
                <w:color w:val="auto"/>
                <w:kern w:val="0"/>
                <w:sz w:val="21"/>
                <w:szCs w:val="21"/>
                <w:highlight w:val="none"/>
                <w:lang w:val="en-US" w:eastAsia="zh-CN"/>
              </w:rPr>
              <w:t>*人</w:t>
            </w:r>
            <w:r>
              <w:rPr>
                <w:rFonts w:hint="eastAsia" w:ascii="仿宋" w:hAnsi="仿宋" w:eastAsia="仿宋" w:cs="仿宋"/>
                <w:snapToGrid w:val="0"/>
                <w:color w:val="auto"/>
                <w:kern w:val="0"/>
                <w:sz w:val="21"/>
                <w:szCs w:val="21"/>
                <w:highlight w:val="none"/>
              </w:rPr>
              <w:t>）</w:t>
            </w:r>
          </w:p>
        </w:tc>
        <w:tc>
          <w:tcPr>
            <w:tcW w:w="1410" w:type="dxa"/>
            <w:tcBorders>
              <w:top w:val="double" w:color="auto" w:sz="4" w:space="0"/>
            </w:tcBorders>
            <w:noWrap w:val="0"/>
            <w:vAlign w:val="center"/>
          </w:tcPr>
          <w:p w14:paraId="375617A5">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社保金</w:t>
            </w:r>
          </w:p>
          <w:p w14:paraId="09DACA3F">
            <w:pPr>
              <w:jc w:val="both"/>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1"/>
                <w:szCs w:val="21"/>
                <w:highlight w:val="none"/>
              </w:rPr>
              <w:t>（元/年</w:t>
            </w:r>
            <w:r>
              <w:rPr>
                <w:rFonts w:hint="eastAsia" w:ascii="仿宋" w:hAnsi="仿宋" w:eastAsia="仿宋" w:cs="仿宋"/>
                <w:snapToGrid w:val="0"/>
                <w:color w:val="auto"/>
                <w:kern w:val="0"/>
                <w:sz w:val="21"/>
                <w:szCs w:val="21"/>
                <w:highlight w:val="none"/>
                <w:lang w:val="en-US" w:eastAsia="zh-CN"/>
              </w:rPr>
              <w:t>*人</w:t>
            </w:r>
            <w:r>
              <w:rPr>
                <w:rFonts w:hint="eastAsia" w:ascii="仿宋" w:hAnsi="仿宋" w:eastAsia="仿宋" w:cs="仿宋"/>
                <w:snapToGrid w:val="0"/>
                <w:color w:val="auto"/>
                <w:kern w:val="0"/>
                <w:sz w:val="21"/>
                <w:szCs w:val="21"/>
                <w:highlight w:val="none"/>
              </w:rPr>
              <w:t>）</w:t>
            </w:r>
          </w:p>
        </w:tc>
        <w:tc>
          <w:tcPr>
            <w:tcW w:w="1670" w:type="dxa"/>
            <w:tcBorders>
              <w:top w:val="double" w:color="auto" w:sz="4" w:space="0"/>
            </w:tcBorders>
            <w:noWrap w:val="0"/>
            <w:vAlign w:val="center"/>
          </w:tcPr>
          <w:p w14:paraId="74EA36A4">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节假日加班费</w:t>
            </w:r>
          </w:p>
          <w:p w14:paraId="0E86B838">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1"/>
                <w:szCs w:val="21"/>
                <w:highlight w:val="none"/>
              </w:rPr>
              <w:t>（元/年</w:t>
            </w:r>
            <w:r>
              <w:rPr>
                <w:rFonts w:hint="eastAsia" w:ascii="仿宋" w:hAnsi="仿宋" w:eastAsia="仿宋" w:cs="仿宋"/>
                <w:snapToGrid w:val="0"/>
                <w:color w:val="auto"/>
                <w:kern w:val="0"/>
                <w:sz w:val="21"/>
                <w:szCs w:val="21"/>
                <w:highlight w:val="none"/>
                <w:lang w:val="en-US" w:eastAsia="zh-CN"/>
              </w:rPr>
              <w:t>*人</w:t>
            </w:r>
            <w:r>
              <w:rPr>
                <w:rFonts w:hint="eastAsia" w:ascii="仿宋" w:hAnsi="仿宋" w:eastAsia="仿宋" w:cs="仿宋"/>
                <w:snapToGrid w:val="0"/>
                <w:color w:val="auto"/>
                <w:kern w:val="0"/>
                <w:sz w:val="21"/>
                <w:szCs w:val="21"/>
                <w:highlight w:val="none"/>
              </w:rPr>
              <w:t>）</w:t>
            </w:r>
          </w:p>
        </w:tc>
        <w:tc>
          <w:tcPr>
            <w:tcW w:w="1500" w:type="dxa"/>
            <w:tcBorders>
              <w:top w:val="double" w:color="auto" w:sz="4" w:space="0"/>
              <w:right w:val="single" w:color="auto" w:sz="4" w:space="0"/>
            </w:tcBorders>
            <w:noWrap w:val="0"/>
            <w:vAlign w:val="center"/>
          </w:tcPr>
          <w:p w14:paraId="6D1ADBB3">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高温补贴</w:t>
            </w:r>
          </w:p>
          <w:p w14:paraId="44D2FFF8">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1"/>
                <w:szCs w:val="21"/>
                <w:highlight w:val="none"/>
              </w:rPr>
              <w:t>（元/年</w:t>
            </w:r>
            <w:r>
              <w:rPr>
                <w:rFonts w:hint="eastAsia" w:ascii="仿宋" w:hAnsi="仿宋" w:eastAsia="仿宋" w:cs="仿宋"/>
                <w:snapToGrid w:val="0"/>
                <w:color w:val="auto"/>
                <w:kern w:val="0"/>
                <w:sz w:val="21"/>
                <w:szCs w:val="21"/>
                <w:highlight w:val="none"/>
                <w:lang w:val="en-US" w:eastAsia="zh-CN"/>
              </w:rPr>
              <w:t>*人</w:t>
            </w:r>
            <w:r>
              <w:rPr>
                <w:rFonts w:hint="eastAsia" w:ascii="仿宋" w:hAnsi="仿宋" w:eastAsia="仿宋" w:cs="仿宋"/>
                <w:snapToGrid w:val="0"/>
                <w:color w:val="auto"/>
                <w:kern w:val="0"/>
                <w:sz w:val="21"/>
                <w:szCs w:val="21"/>
                <w:highlight w:val="none"/>
              </w:rPr>
              <w:t>）</w:t>
            </w:r>
          </w:p>
        </w:tc>
        <w:tc>
          <w:tcPr>
            <w:tcW w:w="475" w:type="dxa"/>
            <w:tcBorders>
              <w:top w:val="double" w:color="auto" w:sz="4" w:space="0"/>
              <w:left w:val="single" w:color="auto" w:sz="4" w:space="0"/>
              <w:right w:val="double" w:color="auto" w:sz="4" w:space="0"/>
            </w:tcBorders>
            <w:noWrap w:val="0"/>
            <w:vAlign w:val="center"/>
          </w:tcPr>
          <w:p w14:paraId="5F314666">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备注</w:t>
            </w:r>
          </w:p>
        </w:tc>
      </w:tr>
      <w:tr w14:paraId="69514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35" w:type="dxa"/>
            <w:tcBorders>
              <w:left w:val="double" w:color="auto" w:sz="4" w:space="0"/>
            </w:tcBorders>
            <w:noWrap w:val="0"/>
            <w:vAlign w:val="center"/>
          </w:tcPr>
          <w:p w14:paraId="1623C91A">
            <w:pPr>
              <w:jc w:val="center"/>
              <w:rPr>
                <w:rFonts w:hint="eastAsia" w:ascii="仿宋" w:hAnsi="仿宋" w:eastAsia="仿宋" w:cs="仿宋"/>
                <w:snapToGrid w:val="0"/>
                <w:color w:val="auto"/>
                <w:kern w:val="0"/>
                <w:sz w:val="24"/>
                <w:szCs w:val="24"/>
                <w:highlight w:val="none"/>
              </w:rPr>
            </w:pPr>
          </w:p>
        </w:tc>
        <w:tc>
          <w:tcPr>
            <w:tcW w:w="885" w:type="dxa"/>
            <w:noWrap w:val="0"/>
            <w:vAlign w:val="center"/>
          </w:tcPr>
          <w:p w14:paraId="122FD753">
            <w:pPr>
              <w:jc w:val="center"/>
              <w:rPr>
                <w:rFonts w:hint="eastAsia" w:ascii="仿宋" w:hAnsi="仿宋" w:eastAsia="仿宋" w:cs="仿宋"/>
                <w:snapToGrid w:val="0"/>
                <w:color w:val="auto"/>
                <w:kern w:val="0"/>
                <w:sz w:val="24"/>
                <w:szCs w:val="24"/>
                <w:highlight w:val="none"/>
              </w:rPr>
            </w:pPr>
          </w:p>
        </w:tc>
        <w:tc>
          <w:tcPr>
            <w:tcW w:w="1530" w:type="dxa"/>
            <w:noWrap w:val="0"/>
            <w:vAlign w:val="center"/>
          </w:tcPr>
          <w:p w14:paraId="0B95CA11">
            <w:pPr>
              <w:jc w:val="center"/>
              <w:rPr>
                <w:rFonts w:hint="eastAsia" w:ascii="仿宋" w:hAnsi="仿宋" w:eastAsia="仿宋" w:cs="仿宋"/>
                <w:snapToGrid w:val="0"/>
                <w:color w:val="auto"/>
                <w:kern w:val="0"/>
                <w:sz w:val="24"/>
                <w:szCs w:val="24"/>
                <w:highlight w:val="none"/>
              </w:rPr>
            </w:pPr>
          </w:p>
        </w:tc>
        <w:tc>
          <w:tcPr>
            <w:tcW w:w="1410" w:type="dxa"/>
            <w:noWrap w:val="0"/>
            <w:vAlign w:val="center"/>
          </w:tcPr>
          <w:p w14:paraId="452098A0">
            <w:pPr>
              <w:jc w:val="center"/>
              <w:rPr>
                <w:rFonts w:hint="eastAsia" w:ascii="仿宋" w:hAnsi="仿宋" w:eastAsia="仿宋" w:cs="仿宋"/>
                <w:snapToGrid w:val="0"/>
                <w:color w:val="auto"/>
                <w:kern w:val="0"/>
                <w:sz w:val="24"/>
                <w:szCs w:val="24"/>
                <w:highlight w:val="none"/>
              </w:rPr>
            </w:pPr>
          </w:p>
        </w:tc>
        <w:tc>
          <w:tcPr>
            <w:tcW w:w="1670" w:type="dxa"/>
            <w:noWrap w:val="0"/>
            <w:vAlign w:val="center"/>
          </w:tcPr>
          <w:p w14:paraId="4396B92C">
            <w:pPr>
              <w:jc w:val="center"/>
              <w:rPr>
                <w:rFonts w:hint="eastAsia" w:ascii="仿宋" w:hAnsi="仿宋" w:eastAsia="仿宋" w:cs="仿宋"/>
                <w:snapToGrid w:val="0"/>
                <w:color w:val="auto"/>
                <w:kern w:val="0"/>
                <w:sz w:val="24"/>
                <w:szCs w:val="24"/>
                <w:highlight w:val="none"/>
              </w:rPr>
            </w:pPr>
          </w:p>
        </w:tc>
        <w:tc>
          <w:tcPr>
            <w:tcW w:w="1500" w:type="dxa"/>
            <w:tcBorders>
              <w:right w:val="single" w:color="auto" w:sz="4" w:space="0"/>
            </w:tcBorders>
            <w:noWrap w:val="0"/>
            <w:vAlign w:val="center"/>
          </w:tcPr>
          <w:p w14:paraId="701C3AFE">
            <w:pPr>
              <w:jc w:val="center"/>
              <w:rPr>
                <w:rFonts w:hint="eastAsia" w:ascii="仿宋" w:hAnsi="仿宋" w:eastAsia="仿宋" w:cs="仿宋"/>
                <w:snapToGrid w:val="0"/>
                <w:color w:val="auto"/>
                <w:kern w:val="0"/>
                <w:sz w:val="24"/>
                <w:szCs w:val="24"/>
                <w:highlight w:val="none"/>
              </w:rPr>
            </w:pPr>
          </w:p>
        </w:tc>
        <w:tc>
          <w:tcPr>
            <w:tcW w:w="475" w:type="dxa"/>
            <w:tcBorders>
              <w:left w:val="single" w:color="auto" w:sz="4" w:space="0"/>
              <w:right w:val="double" w:color="auto" w:sz="4" w:space="0"/>
            </w:tcBorders>
            <w:noWrap w:val="0"/>
            <w:vAlign w:val="center"/>
          </w:tcPr>
          <w:p w14:paraId="618129E2">
            <w:pPr>
              <w:jc w:val="center"/>
              <w:rPr>
                <w:rFonts w:hint="eastAsia" w:ascii="仿宋" w:hAnsi="仿宋" w:eastAsia="仿宋" w:cs="仿宋"/>
                <w:snapToGrid w:val="0"/>
                <w:color w:val="auto"/>
                <w:kern w:val="0"/>
                <w:sz w:val="24"/>
                <w:szCs w:val="24"/>
                <w:highlight w:val="none"/>
              </w:rPr>
            </w:pPr>
          </w:p>
        </w:tc>
      </w:tr>
      <w:tr w14:paraId="7DB3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35" w:type="dxa"/>
            <w:tcBorders>
              <w:left w:val="double" w:color="auto" w:sz="4" w:space="0"/>
            </w:tcBorders>
            <w:noWrap w:val="0"/>
            <w:vAlign w:val="center"/>
          </w:tcPr>
          <w:p w14:paraId="37370753">
            <w:pPr>
              <w:jc w:val="center"/>
              <w:rPr>
                <w:rFonts w:hint="eastAsia" w:ascii="仿宋" w:hAnsi="仿宋" w:eastAsia="仿宋" w:cs="仿宋"/>
                <w:snapToGrid w:val="0"/>
                <w:color w:val="auto"/>
                <w:kern w:val="0"/>
                <w:sz w:val="24"/>
                <w:szCs w:val="24"/>
                <w:highlight w:val="none"/>
              </w:rPr>
            </w:pPr>
          </w:p>
        </w:tc>
        <w:tc>
          <w:tcPr>
            <w:tcW w:w="885" w:type="dxa"/>
            <w:noWrap w:val="0"/>
            <w:vAlign w:val="center"/>
          </w:tcPr>
          <w:p w14:paraId="173D6668">
            <w:pPr>
              <w:jc w:val="center"/>
              <w:rPr>
                <w:rFonts w:hint="eastAsia" w:ascii="仿宋" w:hAnsi="仿宋" w:eastAsia="仿宋" w:cs="仿宋"/>
                <w:snapToGrid w:val="0"/>
                <w:color w:val="auto"/>
                <w:kern w:val="0"/>
                <w:sz w:val="24"/>
                <w:szCs w:val="24"/>
                <w:highlight w:val="none"/>
              </w:rPr>
            </w:pPr>
          </w:p>
        </w:tc>
        <w:tc>
          <w:tcPr>
            <w:tcW w:w="1530" w:type="dxa"/>
            <w:noWrap w:val="0"/>
            <w:vAlign w:val="center"/>
          </w:tcPr>
          <w:p w14:paraId="49A2F06B">
            <w:pPr>
              <w:jc w:val="center"/>
              <w:rPr>
                <w:rFonts w:hint="eastAsia" w:ascii="仿宋" w:hAnsi="仿宋" w:eastAsia="仿宋" w:cs="仿宋"/>
                <w:snapToGrid w:val="0"/>
                <w:color w:val="auto"/>
                <w:kern w:val="0"/>
                <w:sz w:val="24"/>
                <w:szCs w:val="24"/>
                <w:highlight w:val="none"/>
              </w:rPr>
            </w:pPr>
          </w:p>
        </w:tc>
        <w:tc>
          <w:tcPr>
            <w:tcW w:w="1410" w:type="dxa"/>
            <w:noWrap w:val="0"/>
            <w:vAlign w:val="center"/>
          </w:tcPr>
          <w:p w14:paraId="1F157F87">
            <w:pPr>
              <w:jc w:val="center"/>
              <w:rPr>
                <w:rFonts w:hint="eastAsia" w:ascii="仿宋" w:hAnsi="仿宋" w:eastAsia="仿宋" w:cs="仿宋"/>
                <w:snapToGrid w:val="0"/>
                <w:color w:val="auto"/>
                <w:kern w:val="0"/>
                <w:sz w:val="24"/>
                <w:szCs w:val="24"/>
                <w:highlight w:val="none"/>
              </w:rPr>
            </w:pPr>
          </w:p>
        </w:tc>
        <w:tc>
          <w:tcPr>
            <w:tcW w:w="1670" w:type="dxa"/>
            <w:noWrap w:val="0"/>
            <w:vAlign w:val="center"/>
          </w:tcPr>
          <w:p w14:paraId="29BB5E9C">
            <w:pPr>
              <w:jc w:val="center"/>
              <w:rPr>
                <w:rFonts w:hint="eastAsia" w:ascii="仿宋" w:hAnsi="仿宋" w:eastAsia="仿宋" w:cs="仿宋"/>
                <w:snapToGrid w:val="0"/>
                <w:color w:val="auto"/>
                <w:kern w:val="0"/>
                <w:sz w:val="24"/>
                <w:szCs w:val="24"/>
                <w:highlight w:val="none"/>
              </w:rPr>
            </w:pPr>
          </w:p>
        </w:tc>
        <w:tc>
          <w:tcPr>
            <w:tcW w:w="1500" w:type="dxa"/>
            <w:tcBorders>
              <w:right w:val="single" w:color="auto" w:sz="4" w:space="0"/>
            </w:tcBorders>
            <w:noWrap w:val="0"/>
            <w:vAlign w:val="center"/>
          </w:tcPr>
          <w:p w14:paraId="4F163F35">
            <w:pPr>
              <w:jc w:val="center"/>
              <w:rPr>
                <w:rFonts w:hint="eastAsia" w:ascii="仿宋" w:hAnsi="仿宋" w:eastAsia="仿宋" w:cs="仿宋"/>
                <w:snapToGrid w:val="0"/>
                <w:color w:val="auto"/>
                <w:kern w:val="0"/>
                <w:sz w:val="24"/>
                <w:szCs w:val="24"/>
                <w:highlight w:val="none"/>
              </w:rPr>
            </w:pPr>
          </w:p>
        </w:tc>
        <w:tc>
          <w:tcPr>
            <w:tcW w:w="475" w:type="dxa"/>
            <w:tcBorders>
              <w:left w:val="single" w:color="auto" w:sz="4" w:space="0"/>
              <w:right w:val="double" w:color="auto" w:sz="4" w:space="0"/>
            </w:tcBorders>
            <w:noWrap w:val="0"/>
            <w:vAlign w:val="center"/>
          </w:tcPr>
          <w:p w14:paraId="2BD57048">
            <w:pPr>
              <w:jc w:val="center"/>
              <w:rPr>
                <w:rFonts w:hint="eastAsia" w:ascii="仿宋" w:hAnsi="仿宋" w:eastAsia="仿宋" w:cs="仿宋"/>
                <w:snapToGrid w:val="0"/>
                <w:color w:val="auto"/>
                <w:kern w:val="0"/>
                <w:sz w:val="24"/>
                <w:szCs w:val="24"/>
                <w:highlight w:val="none"/>
              </w:rPr>
            </w:pPr>
          </w:p>
        </w:tc>
      </w:tr>
      <w:tr w14:paraId="46DB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35" w:type="dxa"/>
            <w:tcBorders>
              <w:left w:val="double" w:color="auto" w:sz="4" w:space="0"/>
            </w:tcBorders>
            <w:noWrap w:val="0"/>
            <w:vAlign w:val="center"/>
          </w:tcPr>
          <w:p w14:paraId="429A8F89">
            <w:pPr>
              <w:jc w:val="center"/>
              <w:rPr>
                <w:rFonts w:hint="eastAsia" w:ascii="仿宋" w:hAnsi="仿宋" w:eastAsia="仿宋" w:cs="仿宋"/>
                <w:snapToGrid w:val="0"/>
                <w:color w:val="auto"/>
                <w:kern w:val="0"/>
                <w:sz w:val="24"/>
                <w:szCs w:val="24"/>
                <w:highlight w:val="none"/>
              </w:rPr>
            </w:pPr>
          </w:p>
        </w:tc>
        <w:tc>
          <w:tcPr>
            <w:tcW w:w="885" w:type="dxa"/>
            <w:noWrap w:val="0"/>
            <w:vAlign w:val="center"/>
          </w:tcPr>
          <w:p w14:paraId="5CC23795">
            <w:pPr>
              <w:jc w:val="center"/>
              <w:rPr>
                <w:rFonts w:hint="eastAsia" w:ascii="仿宋" w:hAnsi="仿宋" w:eastAsia="仿宋" w:cs="仿宋"/>
                <w:snapToGrid w:val="0"/>
                <w:color w:val="auto"/>
                <w:kern w:val="0"/>
                <w:sz w:val="24"/>
                <w:szCs w:val="24"/>
                <w:highlight w:val="none"/>
              </w:rPr>
            </w:pPr>
          </w:p>
        </w:tc>
        <w:tc>
          <w:tcPr>
            <w:tcW w:w="1530" w:type="dxa"/>
            <w:noWrap w:val="0"/>
            <w:vAlign w:val="center"/>
          </w:tcPr>
          <w:p w14:paraId="4C583C31">
            <w:pPr>
              <w:jc w:val="center"/>
              <w:rPr>
                <w:rFonts w:hint="eastAsia" w:ascii="仿宋" w:hAnsi="仿宋" w:eastAsia="仿宋" w:cs="仿宋"/>
                <w:snapToGrid w:val="0"/>
                <w:color w:val="auto"/>
                <w:kern w:val="0"/>
                <w:sz w:val="24"/>
                <w:szCs w:val="24"/>
                <w:highlight w:val="none"/>
              </w:rPr>
            </w:pPr>
          </w:p>
        </w:tc>
        <w:tc>
          <w:tcPr>
            <w:tcW w:w="1410" w:type="dxa"/>
            <w:noWrap w:val="0"/>
            <w:vAlign w:val="center"/>
          </w:tcPr>
          <w:p w14:paraId="5133B982">
            <w:pPr>
              <w:jc w:val="center"/>
              <w:rPr>
                <w:rFonts w:hint="eastAsia" w:ascii="仿宋" w:hAnsi="仿宋" w:eastAsia="仿宋" w:cs="仿宋"/>
                <w:snapToGrid w:val="0"/>
                <w:color w:val="auto"/>
                <w:kern w:val="0"/>
                <w:sz w:val="24"/>
                <w:szCs w:val="24"/>
                <w:highlight w:val="none"/>
              </w:rPr>
            </w:pPr>
          </w:p>
        </w:tc>
        <w:tc>
          <w:tcPr>
            <w:tcW w:w="1670" w:type="dxa"/>
            <w:noWrap w:val="0"/>
            <w:vAlign w:val="center"/>
          </w:tcPr>
          <w:p w14:paraId="61D5F5F0">
            <w:pPr>
              <w:jc w:val="center"/>
              <w:rPr>
                <w:rFonts w:hint="eastAsia" w:ascii="仿宋" w:hAnsi="仿宋" w:eastAsia="仿宋" w:cs="仿宋"/>
                <w:snapToGrid w:val="0"/>
                <w:color w:val="auto"/>
                <w:kern w:val="0"/>
                <w:sz w:val="24"/>
                <w:szCs w:val="24"/>
                <w:highlight w:val="none"/>
              </w:rPr>
            </w:pPr>
          </w:p>
        </w:tc>
        <w:tc>
          <w:tcPr>
            <w:tcW w:w="1500" w:type="dxa"/>
            <w:tcBorders>
              <w:right w:val="single" w:color="auto" w:sz="4" w:space="0"/>
            </w:tcBorders>
            <w:noWrap w:val="0"/>
            <w:vAlign w:val="center"/>
          </w:tcPr>
          <w:p w14:paraId="553772EC">
            <w:pPr>
              <w:jc w:val="center"/>
              <w:rPr>
                <w:rFonts w:hint="eastAsia" w:ascii="仿宋" w:hAnsi="仿宋" w:eastAsia="仿宋" w:cs="仿宋"/>
                <w:snapToGrid w:val="0"/>
                <w:color w:val="auto"/>
                <w:kern w:val="0"/>
                <w:sz w:val="24"/>
                <w:szCs w:val="24"/>
                <w:highlight w:val="none"/>
              </w:rPr>
            </w:pPr>
          </w:p>
        </w:tc>
        <w:tc>
          <w:tcPr>
            <w:tcW w:w="475" w:type="dxa"/>
            <w:tcBorders>
              <w:left w:val="single" w:color="auto" w:sz="4" w:space="0"/>
              <w:right w:val="double" w:color="auto" w:sz="4" w:space="0"/>
            </w:tcBorders>
            <w:noWrap w:val="0"/>
            <w:vAlign w:val="center"/>
          </w:tcPr>
          <w:p w14:paraId="5F6B2B72">
            <w:pPr>
              <w:jc w:val="center"/>
              <w:rPr>
                <w:rFonts w:hint="eastAsia" w:ascii="仿宋" w:hAnsi="仿宋" w:eastAsia="仿宋" w:cs="仿宋"/>
                <w:snapToGrid w:val="0"/>
                <w:color w:val="auto"/>
                <w:kern w:val="0"/>
                <w:sz w:val="24"/>
                <w:szCs w:val="24"/>
                <w:highlight w:val="none"/>
              </w:rPr>
            </w:pPr>
          </w:p>
        </w:tc>
      </w:tr>
      <w:tr w14:paraId="2261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35" w:type="dxa"/>
            <w:tcBorders>
              <w:left w:val="double" w:color="auto" w:sz="4" w:space="0"/>
            </w:tcBorders>
            <w:noWrap w:val="0"/>
            <w:vAlign w:val="center"/>
          </w:tcPr>
          <w:p w14:paraId="17A8BEAE">
            <w:pPr>
              <w:jc w:val="center"/>
              <w:rPr>
                <w:rFonts w:hint="eastAsia" w:ascii="仿宋" w:hAnsi="仿宋" w:eastAsia="仿宋" w:cs="仿宋"/>
                <w:snapToGrid w:val="0"/>
                <w:color w:val="auto"/>
                <w:kern w:val="0"/>
                <w:sz w:val="24"/>
                <w:szCs w:val="24"/>
                <w:highlight w:val="none"/>
              </w:rPr>
            </w:pPr>
          </w:p>
        </w:tc>
        <w:tc>
          <w:tcPr>
            <w:tcW w:w="885" w:type="dxa"/>
            <w:noWrap w:val="0"/>
            <w:vAlign w:val="center"/>
          </w:tcPr>
          <w:p w14:paraId="6F3CCF8C">
            <w:pPr>
              <w:jc w:val="center"/>
              <w:rPr>
                <w:rFonts w:hint="eastAsia" w:ascii="仿宋" w:hAnsi="仿宋" w:eastAsia="仿宋" w:cs="仿宋"/>
                <w:snapToGrid w:val="0"/>
                <w:color w:val="auto"/>
                <w:kern w:val="0"/>
                <w:sz w:val="24"/>
                <w:szCs w:val="24"/>
                <w:highlight w:val="none"/>
              </w:rPr>
            </w:pPr>
          </w:p>
        </w:tc>
        <w:tc>
          <w:tcPr>
            <w:tcW w:w="1530" w:type="dxa"/>
            <w:noWrap w:val="0"/>
            <w:vAlign w:val="center"/>
          </w:tcPr>
          <w:p w14:paraId="396A2A4E">
            <w:pPr>
              <w:jc w:val="center"/>
              <w:rPr>
                <w:rFonts w:hint="eastAsia" w:ascii="仿宋" w:hAnsi="仿宋" w:eastAsia="仿宋" w:cs="仿宋"/>
                <w:snapToGrid w:val="0"/>
                <w:color w:val="auto"/>
                <w:kern w:val="0"/>
                <w:sz w:val="24"/>
                <w:szCs w:val="24"/>
                <w:highlight w:val="none"/>
              </w:rPr>
            </w:pPr>
          </w:p>
        </w:tc>
        <w:tc>
          <w:tcPr>
            <w:tcW w:w="1410" w:type="dxa"/>
            <w:noWrap w:val="0"/>
            <w:vAlign w:val="center"/>
          </w:tcPr>
          <w:p w14:paraId="22468780">
            <w:pPr>
              <w:jc w:val="center"/>
              <w:rPr>
                <w:rFonts w:hint="eastAsia" w:ascii="仿宋" w:hAnsi="仿宋" w:eastAsia="仿宋" w:cs="仿宋"/>
                <w:snapToGrid w:val="0"/>
                <w:color w:val="auto"/>
                <w:kern w:val="0"/>
                <w:sz w:val="24"/>
                <w:szCs w:val="24"/>
                <w:highlight w:val="none"/>
              </w:rPr>
            </w:pPr>
          </w:p>
        </w:tc>
        <w:tc>
          <w:tcPr>
            <w:tcW w:w="1670" w:type="dxa"/>
            <w:noWrap w:val="0"/>
            <w:vAlign w:val="center"/>
          </w:tcPr>
          <w:p w14:paraId="11143147">
            <w:pPr>
              <w:jc w:val="center"/>
              <w:rPr>
                <w:rFonts w:hint="eastAsia" w:ascii="仿宋" w:hAnsi="仿宋" w:eastAsia="仿宋" w:cs="仿宋"/>
                <w:snapToGrid w:val="0"/>
                <w:color w:val="auto"/>
                <w:kern w:val="0"/>
                <w:sz w:val="24"/>
                <w:szCs w:val="24"/>
                <w:highlight w:val="none"/>
              </w:rPr>
            </w:pPr>
          </w:p>
        </w:tc>
        <w:tc>
          <w:tcPr>
            <w:tcW w:w="1500" w:type="dxa"/>
            <w:tcBorders>
              <w:right w:val="single" w:color="auto" w:sz="4" w:space="0"/>
            </w:tcBorders>
            <w:noWrap w:val="0"/>
            <w:vAlign w:val="center"/>
          </w:tcPr>
          <w:p w14:paraId="6DE2C043">
            <w:pPr>
              <w:jc w:val="center"/>
              <w:rPr>
                <w:rFonts w:hint="eastAsia" w:ascii="仿宋" w:hAnsi="仿宋" w:eastAsia="仿宋" w:cs="仿宋"/>
                <w:snapToGrid w:val="0"/>
                <w:color w:val="auto"/>
                <w:kern w:val="0"/>
                <w:sz w:val="24"/>
                <w:szCs w:val="24"/>
                <w:highlight w:val="none"/>
              </w:rPr>
            </w:pPr>
          </w:p>
        </w:tc>
        <w:tc>
          <w:tcPr>
            <w:tcW w:w="475" w:type="dxa"/>
            <w:tcBorders>
              <w:left w:val="single" w:color="auto" w:sz="4" w:space="0"/>
              <w:right w:val="double" w:color="auto" w:sz="4" w:space="0"/>
            </w:tcBorders>
            <w:noWrap w:val="0"/>
            <w:vAlign w:val="center"/>
          </w:tcPr>
          <w:p w14:paraId="36113CBD">
            <w:pPr>
              <w:jc w:val="center"/>
              <w:rPr>
                <w:rFonts w:hint="eastAsia" w:ascii="仿宋" w:hAnsi="仿宋" w:eastAsia="仿宋" w:cs="仿宋"/>
                <w:snapToGrid w:val="0"/>
                <w:color w:val="auto"/>
                <w:kern w:val="0"/>
                <w:sz w:val="24"/>
                <w:szCs w:val="24"/>
                <w:highlight w:val="none"/>
              </w:rPr>
            </w:pPr>
          </w:p>
        </w:tc>
      </w:tr>
      <w:tr w14:paraId="6EDE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20" w:type="dxa"/>
            <w:gridSpan w:val="2"/>
            <w:tcBorders>
              <w:left w:val="double" w:color="auto" w:sz="4" w:space="0"/>
              <w:bottom w:val="double" w:color="auto" w:sz="4" w:space="0"/>
            </w:tcBorders>
            <w:noWrap w:val="0"/>
            <w:vAlign w:val="center"/>
          </w:tcPr>
          <w:p w14:paraId="59080E57">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1年人员工资、社保及加班费等费用合计</w:t>
            </w:r>
          </w:p>
        </w:tc>
        <w:tc>
          <w:tcPr>
            <w:tcW w:w="6110" w:type="dxa"/>
            <w:gridSpan w:val="4"/>
            <w:tcBorders>
              <w:bottom w:val="double" w:color="auto" w:sz="4" w:space="0"/>
              <w:right w:val="single" w:color="auto" w:sz="4" w:space="0"/>
            </w:tcBorders>
            <w:noWrap w:val="0"/>
            <w:vAlign w:val="center"/>
          </w:tcPr>
          <w:p w14:paraId="25FD30D7">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rPr>
              <w:t>元</w:t>
            </w:r>
          </w:p>
        </w:tc>
        <w:tc>
          <w:tcPr>
            <w:tcW w:w="475" w:type="dxa"/>
            <w:tcBorders>
              <w:left w:val="single" w:color="auto" w:sz="4" w:space="0"/>
              <w:bottom w:val="double" w:color="auto" w:sz="4" w:space="0"/>
              <w:right w:val="double" w:color="auto" w:sz="4" w:space="0"/>
            </w:tcBorders>
            <w:noWrap w:val="0"/>
            <w:vAlign w:val="center"/>
          </w:tcPr>
          <w:p w14:paraId="71B3A579">
            <w:pPr>
              <w:jc w:val="center"/>
              <w:rPr>
                <w:rFonts w:hint="eastAsia" w:ascii="仿宋" w:hAnsi="仿宋" w:eastAsia="仿宋" w:cs="仿宋"/>
                <w:snapToGrid w:val="0"/>
                <w:color w:val="auto"/>
                <w:kern w:val="0"/>
                <w:sz w:val="24"/>
                <w:szCs w:val="24"/>
                <w:highlight w:val="none"/>
              </w:rPr>
            </w:pPr>
          </w:p>
        </w:tc>
      </w:tr>
    </w:tbl>
    <w:p w14:paraId="7A622B09">
      <w:pPr>
        <w:tabs>
          <w:tab w:val="left" w:pos="840"/>
        </w:tabs>
        <w:adjustRightInd w:val="0"/>
        <w:snapToGrid w:val="0"/>
        <w:spacing w:line="360" w:lineRule="auto"/>
        <w:ind w:firstLine="480" w:firstLineChars="200"/>
        <w:rPr>
          <w:rFonts w:hint="eastAsia" w:ascii="仿宋" w:hAnsi="仿宋" w:eastAsia="仿宋" w:cs="仿宋"/>
          <w:color w:val="auto"/>
          <w:sz w:val="24"/>
          <w:szCs w:val="24"/>
          <w:highlight w:val="none"/>
        </w:rPr>
      </w:pPr>
      <w:bookmarkStart w:id="70" w:name="_Toc196474541"/>
      <w:r>
        <w:rPr>
          <w:rFonts w:hint="eastAsia" w:ascii="仿宋" w:hAnsi="仿宋" w:eastAsia="仿宋" w:cs="仿宋"/>
          <w:color w:val="auto"/>
          <w:sz w:val="24"/>
          <w:szCs w:val="24"/>
          <w:highlight w:val="none"/>
        </w:rPr>
        <w:t>注：1、</w:t>
      </w:r>
      <w:bookmarkEnd w:id="70"/>
      <w:bookmarkStart w:id="71" w:name="_Toc196474542"/>
      <w:r>
        <w:rPr>
          <w:rFonts w:hint="eastAsia" w:ascii="仿宋" w:hAnsi="仿宋" w:eastAsia="仿宋" w:cs="仿宋"/>
          <w:color w:val="auto"/>
          <w:sz w:val="24"/>
          <w:szCs w:val="24"/>
          <w:highlight w:val="none"/>
        </w:rPr>
        <w:t>上表中“基本工资”均包含社保金个人缴纳部分；</w:t>
      </w:r>
      <w:bookmarkEnd w:id="71"/>
    </w:p>
    <w:p w14:paraId="1AAB7602">
      <w:pPr>
        <w:tabs>
          <w:tab w:val="left" w:pos="840"/>
        </w:tabs>
        <w:adjustRightInd w:val="0"/>
        <w:snapToGrid w:val="0"/>
        <w:spacing w:line="360" w:lineRule="auto"/>
        <w:ind w:left="359" w:leftChars="171" w:firstLine="547" w:firstLineChars="228"/>
        <w:rPr>
          <w:rFonts w:hint="eastAsia" w:ascii="仿宋" w:hAnsi="仿宋" w:eastAsia="仿宋" w:cs="仿宋"/>
          <w:color w:val="auto"/>
          <w:sz w:val="24"/>
          <w:szCs w:val="24"/>
          <w:highlight w:val="none"/>
        </w:rPr>
      </w:pPr>
      <w:bookmarkStart w:id="72" w:name="_Toc196474543"/>
      <w:r>
        <w:rPr>
          <w:rFonts w:hint="eastAsia" w:ascii="仿宋" w:hAnsi="仿宋" w:eastAsia="仿宋" w:cs="仿宋"/>
          <w:color w:val="auto"/>
          <w:sz w:val="24"/>
          <w:szCs w:val="24"/>
          <w:highlight w:val="none"/>
        </w:rPr>
        <w:t>2、社保金包括基本养老保险、基本医疗保险、失业保险、工伤保险、生育保险，所填写金额为企业承担部分。</w:t>
      </w:r>
      <w:bookmarkEnd w:id="72"/>
    </w:p>
    <w:p w14:paraId="6FA30A83">
      <w:pPr>
        <w:tabs>
          <w:tab w:val="left" w:pos="840"/>
        </w:tabs>
        <w:adjustRightInd w:val="0"/>
        <w:snapToGrid w:val="0"/>
        <w:spacing w:line="360" w:lineRule="auto"/>
        <w:ind w:left="359" w:leftChars="171" w:firstLine="547" w:firstLineChars="228"/>
        <w:rPr>
          <w:rFonts w:hint="eastAsia" w:ascii="仿宋" w:hAnsi="仿宋" w:eastAsia="仿宋" w:cs="仿宋"/>
          <w:color w:val="auto"/>
          <w:sz w:val="24"/>
          <w:szCs w:val="24"/>
          <w:highlight w:val="none"/>
        </w:rPr>
      </w:pPr>
    </w:p>
    <w:p w14:paraId="4B19E0D3">
      <w:pPr>
        <w:rPr>
          <w:rFonts w:hint="eastAsia" w:ascii="仿宋" w:hAnsi="仿宋" w:eastAsia="仿宋" w:cs="仿宋"/>
          <w:b/>
          <w:snapToGrid w:val="0"/>
          <w:color w:val="auto"/>
          <w:kern w:val="0"/>
          <w:sz w:val="24"/>
          <w:szCs w:val="24"/>
          <w:highlight w:val="none"/>
        </w:rPr>
      </w:pPr>
    </w:p>
    <w:p w14:paraId="4DA6DE92">
      <w:pP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表4：其他报价明细表</w:t>
      </w:r>
    </w:p>
    <w:tbl>
      <w:tblPr>
        <w:tblStyle w:val="57"/>
        <w:tblW w:w="9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2"/>
        <w:gridCol w:w="3419"/>
        <w:gridCol w:w="3619"/>
      </w:tblGrid>
      <w:tr w14:paraId="3803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12" w:type="dxa"/>
            <w:tcBorders>
              <w:top w:val="double" w:color="auto" w:sz="4" w:space="0"/>
              <w:left w:val="double" w:color="auto" w:sz="4" w:space="0"/>
            </w:tcBorders>
            <w:noWrap w:val="0"/>
            <w:vAlign w:val="center"/>
          </w:tcPr>
          <w:p w14:paraId="266BC311">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费用内容</w:t>
            </w:r>
          </w:p>
        </w:tc>
        <w:tc>
          <w:tcPr>
            <w:tcW w:w="3419" w:type="dxa"/>
            <w:tcBorders>
              <w:top w:val="double" w:color="auto" w:sz="4" w:space="0"/>
            </w:tcBorders>
            <w:noWrap w:val="0"/>
            <w:vAlign w:val="center"/>
          </w:tcPr>
          <w:p w14:paraId="73B087CC">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元/年</w:t>
            </w:r>
          </w:p>
        </w:tc>
        <w:tc>
          <w:tcPr>
            <w:tcW w:w="3619" w:type="dxa"/>
            <w:tcBorders>
              <w:top w:val="double" w:color="auto" w:sz="4" w:space="0"/>
              <w:right w:val="double" w:color="auto" w:sz="4" w:space="0"/>
            </w:tcBorders>
            <w:noWrap w:val="0"/>
            <w:vAlign w:val="center"/>
          </w:tcPr>
          <w:p w14:paraId="3B4D1E67">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备  注</w:t>
            </w:r>
          </w:p>
        </w:tc>
      </w:tr>
      <w:tr w14:paraId="0FC5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12" w:type="dxa"/>
            <w:tcBorders>
              <w:left w:val="double" w:color="auto" w:sz="4" w:space="0"/>
            </w:tcBorders>
            <w:noWrap w:val="0"/>
            <w:vAlign w:val="center"/>
          </w:tcPr>
          <w:p w14:paraId="3F1301AA">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利润</w:t>
            </w:r>
          </w:p>
        </w:tc>
        <w:tc>
          <w:tcPr>
            <w:tcW w:w="3419" w:type="dxa"/>
            <w:noWrap w:val="0"/>
            <w:vAlign w:val="center"/>
          </w:tcPr>
          <w:p w14:paraId="1D4F98F9">
            <w:pPr>
              <w:jc w:val="center"/>
              <w:rPr>
                <w:rFonts w:hint="eastAsia" w:ascii="仿宋" w:hAnsi="仿宋" w:eastAsia="仿宋" w:cs="仿宋"/>
                <w:snapToGrid w:val="0"/>
                <w:color w:val="auto"/>
                <w:kern w:val="0"/>
                <w:sz w:val="24"/>
                <w:szCs w:val="24"/>
                <w:highlight w:val="none"/>
              </w:rPr>
            </w:pPr>
          </w:p>
        </w:tc>
        <w:tc>
          <w:tcPr>
            <w:tcW w:w="3619" w:type="dxa"/>
            <w:tcBorders>
              <w:right w:val="double" w:color="auto" w:sz="4" w:space="0"/>
            </w:tcBorders>
            <w:noWrap w:val="0"/>
            <w:vAlign w:val="center"/>
          </w:tcPr>
          <w:p w14:paraId="00291D3A">
            <w:pPr>
              <w:jc w:val="center"/>
              <w:rPr>
                <w:rFonts w:hint="eastAsia" w:ascii="仿宋" w:hAnsi="仿宋" w:eastAsia="仿宋" w:cs="仿宋"/>
                <w:snapToGrid w:val="0"/>
                <w:color w:val="auto"/>
                <w:kern w:val="0"/>
                <w:sz w:val="24"/>
                <w:szCs w:val="24"/>
                <w:highlight w:val="none"/>
              </w:rPr>
            </w:pPr>
          </w:p>
        </w:tc>
      </w:tr>
      <w:tr w14:paraId="1A2DE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12" w:type="dxa"/>
            <w:tcBorders>
              <w:left w:val="double" w:color="auto" w:sz="4" w:space="0"/>
            </w:tcBorders>
            <w:noWrap w:val="0"/>
            <w:vAlign w:val="center"/>
          </w:tcPr>
          <w:p w14:paraId="2C350D52">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税金</w:t>
            </w:r>
          </w:p>
        </w:tc>
        <w:tc>
          <w:tcPr>
            <w:tcW w:w="3419" w:type="dxa"/>
            <w:noWrap w:val="0"/>
            <w:vAlign w:val="center"/>
          </w:tcPr>
          <w:p w14:paraId="07C6D942">
            <w:pPr>
              <w:jc w:val="center"/>
              <w:rPr>
                <w:rFonts w:hint="eastAsia" w:ascii="仿宋" w:hAnsi="仿宋" w:eastAsia="仿宋" w:cs="仿宋"/>
                <w:snapToGrid w:val="0"/>
                <w:color w:val="auto"/>
                <w:kern w:val="0"/>
                <w:sz w:val="24"/>
                <w:szCs w:val="24"/>
                <w:highlight w:val="none"/>
              </w:rPr>
            </w:pPr>
          </w:p>
        </w:tc>
        <w:tc>
          <w:tcPr>
            <w:tcW w:w="3619" w:type="dxa"/>
            <w:tcBorders>
              <w:right w:val="double" w:color="auto" w:sz="4" w:space="0"/>
            </w:tcBorders>
            <w:noWrap w:val="0"/>
            <w:vAlign w:val="center"/>
          </w:tcPr>
          <w:p w14:paraId="0632B550">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税率</w:t>
            </w:r>
          </w:p>
        </w:tc>
      </w:tr>
      <w:tr w14:paraId="452C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12" w:type="dxa"/>
            <w:tcBorders>
              <w:left w:val="double" w:color="auto" w:sz="4" w:space="0"/>
            </w:tcBorders>
            <w:noWrap w:val="0"/>
            <w:vAlign w:val="center"/>
          </w:tcPr>
          <w:p w14:paraId="2B3646F9">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w:t>
            </w:r>
          </w:p>
        </w:tc>
        <w:tc>
          <w:tcPr>
            <w:tcW w:w="3419" w:type="dxa"/>
            <w:noWrap w:val="0"/>
            <w:vAlign w:val="center"/>
          </w:tcPr>
          <w:p w14:paraId="48AD72A3">
            <w:pPr>
              <w:jc w:val="center"/>
              <w:rPr>
                <w:rFonts w:hint="eastAsia" w:ascii="仿宋" w:hAnsi="仿宋" w:eastAsia="仿宋" w:cs="仿宋"/>
                <w:snapToGrid w:val="0"/>
                <w:color w:val="auto"/>
                <w:kern w:val="0"/>
                <w:sz w:val="24"/>
                <w:szCs w:val="24"/>
                <w:highlight w:val="none"/>
              </w:rPr>
            </w:pPr>
          </w:p>
        </w:tc>
        <w:tc>
          <w:tcPr>
            <w:tcW w:w="3619" w:type="dxa"/>
            <w:tcBorders>
              <w:right w:val="double" w:color="auto" w:sz="4" w:space="0"/>
            </w:tcBorders>
            <w:noWrap w:val="0"/>
            <w:vAlign w:val="center"/>
          </w:tcPr>
          <w:p w14:paraId="1BA61DD9">
            <w:pPr>
              <w:jc w:val="center"/>
              <w:rPr>
                <w:rFonts w:hint="eastAsia" w:ascii="仿宋" w:hAnsi="仿宋" w:eastAsia="仿宋" w:cs="仿宋"/>
                <w:snapToGrid w:val="0"/>
                <w:color w:val="auto"/>
                <w:kern w:val="0"/>
                <w:sz w:val="24"/>
                <w:szCs w:val="24"/>
                <w:highlight w:val="none"/>
              </w:rPr>
            </w:pPr>
          </w:p>
        </w:tc>
      </w:tr>
      <w:tr w14:paraId="5A873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631" w:type="dxa"/>
            <w:gridSpan w:val="2"/>
            <w:tcBorders>
              <w:left w:val="double" w:color="auto" w:sz="4" w:space="0"/>
              <w:bottom w:val="double" w:color="auto" w:sz="4" w:space="0"/>
            </w:tcBorders>
            <w:noWrap w:val="0"/>
            <w:vAlign w:val="center"/>
          </w:tcPr>
          <w:p w14:paraId="28883B97">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1年其他报价合计</w:t>
            </w:r>
          </w:p>
        </w:tc>
        <w:tc>
          <w:tcPr>
            <w:tcW w:w="3619" w:type="dxa"/>
            <w:tcBorders>
              <w:bottom w:val="double" w:color="auto" w:sz="4" w:space="0"/>
              <w:right w:val="double" w:color="auto" w:sz="4" w:space="0"/>
            </w:tcBorders>
            <w:noWrap w:val="0"/>
            <w:vAlign w:val="center"/>
          </w:tcPr>
          <w:p w14:paraId="68632408">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rPr>
              <w:t>元</w:t>
            </w:r>
          </w:p>
        </w:tc>
      </w:tr>
    </w:tbl>
    <w:p w14:paraId="77557CF9">
      <w:pPr>
        <w:spacing w:line="380" w:lineRule="exact"/>
        <w:rPr>
          <w:rFonts w:hint="eastAsia" w:ascii="仿宋" w:hAnsi="仿宋" w:eastAsia="仿宋" w:cs="仿宋"/>
          <w:b/>
          <w:bCs/>
          <w:color w:val="auto"/>
          <w:sz w:val="24"/>
          <w:szCs w:val="24"/>
          <w:highlight w:val="none"/>
        </w:rPr>
      </w:pPr>
    </w:p>
    <w:p w14:paraId="4F75DB64">
      <w:pPr>
        <w:tabs>
          <w:tab w:val="left" w:pos="840"/>
        </w:tabs>
        <w:adjustRightInd w:val="0"/>
        <w:snapToGrid w:val="0"/>
        <w:spacing w:line="360" w:lineRule="auto"/>
        <w:rPr>
          <w:rFonts w:hint="eastAsia" w:ascii="仿宋" w:hAnsi="仿宋" w:eastAsia="仿宋" w:cs="仿宋"/>
          <w:b/>
          <w:color w:val="auto"/>
          <w:sz w:val="24"/>
          <w:szCs w:val="24"/>
          <w:highlight w:val="none"/>
          <w:u w:val="single"/>
        </w:rPr>
      </w:pPr>
      <w:r>
        <w:rPr>
          <w:rFonts w:hint="eastAsia" w:ascii="仿宋" w:hAnsi="仿宋" w:eastAsia="仿宋" w:cs="仿宋"/>
          <w:b/>
          <w:bCs/>
          <w:color w:val="auto"/>
          <w:sz w:val="24"/>
          <w:szCs w:val="24"/>
          <w:highlight w:val="none"/>
        </w:rPr>
        <w:t>说明：</w:t>
      </w:r>
      <w:r>
        <w:rPr>
          <w:rFonts w:hint="eastAsia" w:ascii="仿宋" w:hAnsi="仿宋" w:eastAsia="仿宋" w:cs="仿宋"/>
          <w:color w:val="auto"/>
          <w:sz w:val="24"/>
          <w:szCs w:val="24"/>
          <w:highlight w:val="none"/>
        </w:rPr>
        <w:t>1、▲</w:t>
      </w:r>
      <w:r>
        <w:rPr>
          <w:rFonts w:hint="eastAsia" w:ascii="仿宋" w:hAnsi="仿宋" w:eastAsia="仿宋" w:cs="仿宋"/>
          <w:b/>
          <w:color w:val="auto"/>
          <w:sz w:val="24"/>
          <w:szCs w:val="24"/>
          <w:highlight w:val="none"/>
          <w:u w:val="single"/>
        </w:rPr>
        <w:t>不提供详细《价格组成表》将视为没有实质性响应招标文件，表1、表2、表3、表4缺一不可。</w:t>
      </w:r>
    </w:p>
    <w:p w14:paraId="39248BB2">
      <w:pPr>
        <w:tabs>
          <w:tab w:val="left" w:pos="840"/>
        </w:tabs>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2、以上表格如不够填写可按格式扩展。</w:t>
      </w:r>
    </w:p>
    <w:p w14:paraId="5A3ABF25">
      <w:pPr>
        <w:tabs>
          <w:tab w:val="left" w:pos="840"/>
        </w:tabs>
        <w:adjustRightInd w:val="0"/>
        <w:snapToGrid w:val="0"/>
        <w:spacing w:line="360" w:lineRule="auto"/>
        <w:ind w:left="420" w:leftChars="200" w:firstLine="360" w:firstLineChars="150"/>
        <w:rPr>
          <w:rFonts w:hint="eastAsia" w:ascii="仿宋" w:hAnsi="仿宋" w:eastAsia="仿宋" w:cs="仿宋"/>
          <w:color w:val="auto"/>
          <w:sz w:val="24"/>
          <w:szCs w:val="24"/>
          <w:highlight w:val="none"/>
        </w:rPr>
      </w:pPr>
    </w:p>
    <w:p w14:paraId="75E20C15">
      <w:pPr>
        <w:autoSpaceDE w:val="0"/>
        <w:autoSpaceDN w:val="0"/>
        <w:adjustRightInd w:val="0"/>
        <w:spacing w:line="460" w:lineRule="atLeast"/>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kern w:val="0"/>
          <w:sz w:val="24"/>
          <w:highlight w:val="none"/>
          <w:lang w:val="en-US" w:eastAsia="zh-CN"/>
        </w:rPr>
        <w:t>盖章</w:t>
      </w:r>
      <w:r>
        <w:rPr>
          <w:rFonts w:hint="eastAsia" w:ascii="仿宋" w:hAnsi="仿宋" w:eastAsia="仿宋" w:cs="仿宋"/>
          <w:color w:val="auto"/>
          <w:kern w:val="0"/>
          <w:sz w:val="24"/>
          <w:highlight w:val="none"/>
          <w:lang w:val="zh-CN"/>
        </w:rPr>
        <w:t xml:space="preserve">）：                             </w:t>
      </w:r>
    </w:p>
    <w:p w14:paraId="362108CE">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13D7929B">
      <w:pPr>
        <w:pStyle w:val="22"/>
        <w:overflowPunct w:val="0"/>
        <w:spacing w:after="0" w:line="460" w:lineRule="exact"/>
        <w:jc w:val="center"/>
        <w:rPr>
          <w:rStyle w:val="77"/>
          <w:rFonts w:hint="eastAsia" w:ascii="仿宋" w:hAnsi="仿宋" w:eastAsia="仿宋" w:cs="仿宋"/>
          <w:color w:val="auto"/>
          <w:sz w:val="24"/>
          <w:szCs w:val="24"/>
          <w:highlight w:val="none"/>
        </w:rPr>
        <w:sectPr>
          <w:pgSz w:w="11907" w:h="16840"/>
          <w:pgMar w:top="1474" w:right="1814" w:bottom="1474" w:left="1814" w:header="851" w:footer="851" w:gutter="0"/>
          <w:cols w:space="720" w:num="1"/>
        </w:sectPr>
      </w:pPr>
    </w:p>
    <w:p w14:paraId="6BED76A4">
      <w:pPr>
        <w:pStyle w:val="22"/>
        <w:overflowPunct w:val="0"/>
        <w:spacing w:after="0" w:line="460" w:lineRule="exact"/>
        <w:jc w:val="center"/>
        <w:rPr>
          <w:rFonts w:ascii="仿宋" w:hAnsi="仿宋" w:eastAsia="仿宋" w:cs="新宋体"/>
          <w:b/>
          <w:color w:val="auto"/>
          <w:sz w:val="36"/>
          <w:szCs w:val="36"/>
          <w:highlight w:val="none"/>
        </w:rPr>
      </w:pPr>
      <w:r>
        <w:rPr>
          <w:rStyle w:val="77"/>
          <w:rFonts w:hint="eastAsia" w:ascii="仿宋" w:hAnsi="仿宋" w:eastAsia="仿宋" w:cs="新宋体"/>
          <w:color w:val="auto"/>
          <w:sz w:val="36"/>
          <w:szCs w:val="36"/>
          <w:highlight w:val="none"/>
        </w:rPr>
        <w:t>第六部分  评标办法</w:t>
      </w:r>
    </w:p>
    <w:p w14:paraId="00CEB3B9">
      <w:pPr>
        <w:snapToGrid w:val="0"/>
        <w:spacing w:line="360" w:lineRule="auto"/>
        <w:jc w:val="center"/>
        <w:rPr>
          <w:rFonts w:ascii="仿宋" w:hAnsi="仿宋" w:eastAsia="仿宋" w:cs="仿宋_GB2312"/>
          <w:b/>
          <w:color w:val="auto"/>
          <w:sz w:val="28"/>
          <w:szCs w:val="28"/>
          <w:highlight w:val="none"/>
        </w:rPr>
      </w:pPr>
      <w:bookmarkStart w:id="73" w:name="_Hlk93170489"/>
      <w:r>
        <w:rPr>
          <w:rFonts w:hint="eastAsia" w:ascii="仿宋" w:hAnsi="仿宋" w:eastAsia="仿宋" w:cs="仿宋_GB2312"/>
          <w:b/>
          <w:color w:val="auto"/>
          <w:sz w:val="28"/>
          <w:szCs w:val="28"/>
          <w:highlight w:val="none"/>
        </w:rPr>
        <w:t>评标办法前附表</w:t>
      </w:r>
    </w:p>
    <w:tbl>
      <w:tblPr>
        <w:tblStyle w:val="57"/>
        <w:tblW w:w="90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3"/>
        <w:gridCol w:w="16"/>
        <w:gridCol w:w="1052"/>
        <w:gridCol w:w="2363"/>
        <w:gridCol w:w="4795"/>
      </w:tblGrid>
      <w:tr w14:paraId="11E357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blHeader/>
        </w:trPr>
        <w:tc>
          <w:tcPr>
            <w:tcW w:w="1921" w:type="dxa"/>
            <w:gridSpan w:val="3"/>
            <w:tcBorders>
              <w:top w:val="single" w:color="auto" w:sz="4" w:space="0"/>
              <w:bottom w:val="single" w:color="auto" w:sz="4" w:space="0"/>
              <w:right w:val="single" w:color="auto" w:sz="4" w:space="0"/>
            </w:tcBorders>
            <w:vAlign w:val="center"/>
          </w:tcPr>
          <w:p w14:paraId="623740DE">
            <w:pPr>
              <w:jc w:val="center"/>
              <w:rPr>
                <w:rFonts w:ascii="仿宋" w:hAnsi="仿宋" w:eastAsia="仿宋" w:cs="宋体"/>
                <w:b/>
                <w:bCs/>
                <w:color w:val="auto"/>
                <w:sz w:val="22"/>
                <w:szCs w:val="22"/>
                <w:highlight w:val="none"/>
              </w:rPr>
            </w:pPr>
            <w:r>
              <w:rPr>
                <w:rFonts w:hint="eastAsia" w:ascii="仿宋" w:hAnsi="仿宋" w:eastAsia="仿宋" w:cs="宋体"/>
                <w:b/>
                <w:bCs/>
                <w:color w:val="auto"/>
                <w:sz w:val="22"/>
                <w:szCs w:val="22"/>
                <w:highlight w:val="none"/>
              </w:rPr>
              <w:t>条款号</w:t>
            </w:r>
          </w:p>
        </w:tc>
        <w:tc>
          <w:tcPr>
            <w:tcW w:w="2363" w:type="dxa"/>
            <w:tcBorders>
              <w:top w:val="single" w:color="auto" w:sz="4" w:space="0"/>
              <w:left w:val="single" w:color="auto" w:sz="4" w:space="0"/>
              <w:bottom w:val="single" w:color="auto" w:sz="4" w:space="0"/>
              <w:right w:val="single" w:color="auto" w:sz="4" w:space="0"/>
            </w:tcBorders>
            <w:vAlign w:val="center"/>
          </w:tcPr>
          <w:p w14:paraId="382B8CF1">
            <w:pPr>
              <w:jc w:val="center"/>
              <w:rPr>
                <w:rFonts w:ascii="仿宋" w:hAnsi="仿宋" w:eastAsia="仿宋" w:cs="宋体"/>
                <w:b/>
                <w:bCs/>
                <w:color w:val="auto"/>
                <w:sz w:val="22"/>
                <w:szCs w:val="22"/>
                <w:highlight w:val="none"/>
              </w:rPr>
            </w:pPr>
            <w:r>
              <w:rPr>
                <w:rFonts w:hint="eastAsia" w:ascii="仿宋" w:hAnsi="仿宋" w:eastAsia="仿宋" w:cs="宋体"/>
                <w:b/>
                <w:bCs/>
                <w:color w:val="auto"/>
                <w:sz w:val="22"/>
                <w:szCs w:val="22"/>
                <w:highlight w:val="none"/>
              </w:rPr>
              <w:t>评审因素</w:t>
            </w:r>
          </w:p>
        </w:tc>
        <w:tc>
          <w:tcPr>
            <w:tcW w:w="4795" w:type="dxa"/>
            <w:tcBorders>
              <w:top w:val="single" w:color="auto" w:sz="4" w:space="0"/>
              <w:left w:val="single" w:color="auto" w:sz="4" w:space="0"/>
              <w:bottom w:val="single" w:color="auto" w:sz="4" w:space="0"/>
            </w:tcBorders>
            <w:vAlign w:val="center"/>
          </w:tcPr>
          <w:p w14:paraId="246CDC27">
            <w:pPr>
              <w:jc w:val="center"/>
              <w:rPr>
                <w:rFonts w:ascii="仿宋" w:hAnsi="仿宋" w:eastAsia="仿宋" w:cs="宋体"/>
                <w:b/>
                <w:bCs/>
                <w:color w:val="auto"/>
                <w:sz w:val="22"/>
                <w:szCs w:val="22"/>
                <w:highlight w:val="none"/>
              </w:rPr>
            </w:pPr>
            <w:r>
              <w:rPr>
                <w:rFonts w:hint="eastAsia" w:ascii="仿宋" w:hAnsi="仿宋" w:eastAsia="仿宋" w:cs="宋体"/>
                <w:b/>
                <w:bCs/>
                <w:color w:val="auto"/>
                <w:sz w:val="22"/>
                <w:szCs w:val="22"/>
                <w:highlight w:val="none"/>
              </w:rPr>
              <w:t>评审标准</w:t>
            </w:r>
          </w:p>
        </w:tc>
      </w:tr>
      <w:tr w14:paraId="3F5A2D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853" w:type="dxa"/>
            <w:vMerge w:val="restart"/>
            <w:tcBorders>
              <w:top w:val="single" w:color="auto" w:sz="4" w:space="0"/>
              <w:right w:val="single" w:color="auto" w:sz="4" w:space="0"/>
            </w:tcBorders>
            <w:vAlign w:val="center"/>
          </w:tcPr>
          <w:p w14:paraId="66215994">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1</w:t>
            </w:r>
          </w:p>
        </w:tc>
        <w:tc>
          <w:tcPr>
            <w:tcW w:w="1068" w:type="dxa"/>
            <w:gridSpan w:val="2"/>
            <w:vMerge w:val="restart"/>
            <w:tcBorders>
              <w:top w:val="single" w:color="auto" w:sz="4" w:space="0"/>
              <w:left w:val="single" w:color="auto" w:sz="4" w:space="0"/>
              <w:right w:val="single" w:color="auto" w:sz="4" w:space="0"/>
            </w:tcBorders>
            <w:vAlign w:val="center"/>
          </w:tcPr>
          <w:p w14:paraId="558D7C25">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评标方法</w:t>
            </w:r>
          </w:p>
        </w:tc>
        <w:tc>
          <w:tcPr>
            <w:tcW w:w="2363" w:type="dxa"/>
            <w:tcBorders>
              <w:top w:val="single" w:color="auto" w:sz="4" w:space="0"/>
              <w:left w:val="single" w:color="auto" w:sz="4" w:space="0"/>
              <w:bottom w:val="single" w:color="auto" w:sz="4" w:space="0"/>
              <w:right w:val="single" w:color="auto" w:sz="4" w:space="0"/>
            </w:tcBorders>
            <w:vAlign w:val="center"/>
          </w:tcPr>
          <w:p w14:paraId="4CA9CF75">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评标办法</w:t>
            </w:r>
          </w:p>
        </w:tc>
        <w:tc>
          <w:tcPr>
            <w:tcW w:w="4795" w:type="dxa"/>
            <w:tcBorders>
              <w:top w:val="single" w:color="auto" w:sz="4" w:space="0"/>
              <w:left w:val="single" w:color="auto" w:sz="4" w:space="0"/>
              <w:bottom w:val="single" w:color="auto" w:sz="4" w:space="0"/>
            </w:tcBorders>
            <w:vAlign w:val="center"/>
          </w:tcPr>
          <w:p w14:paraId="678D58DC">
            <w:pPr>
              <w:rPr>
                <w:rFonts w:ascii="仿宋" w:hAnsi="仿宋" w:eastAsia="仿宋"/>
                <w:color w:val="auto"/>
                <w:sz w:val="22"/>
                <w:szCs w:val="22"/>
                <w:highlight w:val="none"/>
              </w:rPr>
            </w:pPr>
            <w:r>
              <w:rPr>
                <w:rFonts w:hint="eastAsia" w:ascii="仿宋" w:hAnsi="仿宋" w:eastAsia="仿宋" w:cs="Arial"/>
                <w:color w:val="auto"/>
                <w:sz w:val="22"/>
                <w:szCs w:val="22"/>
                <w:highlight w:val="none"/>
              </w:rPr>
              <w:t>综合评分法</w:t>
            </w:r>
          </w:p>
        </w:tc>
      </w:tr>
      <w:tr w14:paraId="1EE9A3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853" w:type="dxa"/>
            <w:vMerge w:val="continue"/>
            <w:tcBorders>
              <w:top w:val="single" w:color="auto" w:sz="4" w:space="0"/>
              <w:right w:val="single" w:color="auto" w:sz="4" w:space="0"/>
            </w:tcBorders>
            <w:vAlign w:val="center"/>
          </w:tcPr>
          <w:p w14:paraId="2731ECA9">
            <w:pPr>
              <w:jc w:val="center"/>
              <w:rPr>
                <w:rFonts w:ascii="仿宋" w:hAnsi="仿宋" w:eastAsia="仿宋" w:cs="宋体"/>
                <w:color w:val="auto"/>
                <w:sz w:val="22"/>
                <w:szCs w:val="22"/>
                <w:highlight w:val="none"/>
              </w:rPr>
            </w:pPr>
          </w:p>
        </w:tc>
        <w:tc>
          <w:tcPr>
            <w:tcW w:w="1068" w:type="dxa"/>
            <w:gridSpan w:val="2"/>
            <w:vMerge w:val="continue"/>
            <w:tcBorders>
              <w:top w:val="single" w:color="auto" w:sz="4" w:space="0"/>
              <w:left w:val="single" w:color="auto" w:sz="4" w:space="0"/>
              <w:right w:val="single" w:color="auto" w:sz="4" w:space="0"/>
            </w:tcBorders>
            <w:vAlign w:val="center"/>
          </w:tcPr>
          <w:p w14:paraId="17FA5C73">
            <w:pPr>
              <w:jc w:val="center"/>
              <w:rPr>
                <w:rFonts w:ascii="仿宋" w:hAnsi="仿宋" w:eastAsia="仿宋" w:cs="宋体"/>
                <w:color w:val="auto"/>
                <w:sz w:val="22"/>
                <w:szCs w:val="22"/>
                <w:highlight w:val="none"/>
              </w:rPr>
            </w:pPr>
          </w:p>
        </w:tc>
        <w:tc>
          <w:tcPr>
            <w:tcW w:w="2363" w:type="dxa"/>
            <w:tcBorders>
              <w:top w:val="single" w:color="auto" w:sz="4" w:space="0"/>
              <w:left w:val="single" w:color="auto" w:sz="4" w:space="0"/>
              <w:bottom w:val="single" w:color="auto" w:sz="4" w:space="0"/>
              <w:right w:val="single" w:color="auto" w:sz="4" w:space="0"/>
            </w:tcBorders>
            <w:vAlign w:val="center"/>
          </w:tcPr>
          <w:p w14:paraId="5816AFCC">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推荐中标候选人的数量</w:t>
            </w:r>
          </w:p>
        </w:tc>
        <w:tc>
          <w:tcPr>
            <w:tcW w:w="4795" w:type="dxa"/>
            <w:tcBorders>
              <w:top w:val="single" w:color="auto" w:sz="4" w:space="0"/>
              <w:left w:val="single" w:color="auto" w:sz="4" w:space="0"/>
              <w:bottom w:val="single" w:color="auto" w:sz="4" w:space="0"/>
            </w:tcBorders>
            <w:vAlign w:val="center"/>
          </w:tcPr>
          <w:p w14:paraId="08903A79">
            <w:pPr>
              <w:rPr>
                <w:rFonts w:ascii="仿宋" w:hAnsi="MS Gothic" w:eastAsia="仿宋" w:cs="Arial"/>
                <w:color w:val="auto"/>
                <w:kern w:val="0"/>
                <w:sz w:val="22"/>
                <w:szCs w:val="22"/>
                <w:highlight w:val="none"/>
              </w:rPr>
            </w:pPr>
            <w:r>
              <w:rPr>
                <w:rFonts w:hint="eastAsia" w:ascii="仿宋" w:hAnsi="MS Gothic" w:eastAsia="仿宋" w:cs="Arial"/>
                <w:color w:val="auto"/>
                <w:kern w:val="0"/>
                <w:sz w:val="22"/>
                <w:szCs w:val="22"/>
                <w:highlight w:val="none"/>
                <w:lang w:val="en-US" w:eastAsia="zh-CN"/>
              </w:rPr>
              <w:t>1</w:t>
            </w:r>
            <w:r>
              <w:rPr>
                <w:rFonts w:hint="eastAsia" w:ascii="仿宋" w:hAnsi="MS Gothic" w:eastAsia="仿宋" w:cs="Arial"/>
                <w:color w:val="auto"/>
                <w:kern w:val="0"/>
                <w:sz w:val="22"/>
                <w:szCs w:val="22"/>
                <w:highlight w:val="none"/>
              </w:rPr>
              <w:t>名</w:t>
            </w:r>
          </w:p>
        </w:tc>
      </w:tr>
      <w:tr w14:paraId="36894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853" w:type="dxa"/>
            <w:vMerge w:val="continue"/>
            <w:tcBorders>
              <w:top w:val="single" w:color="auto" w:sz="4" w:space="0"/>
              <w:right w:val="single" w:color="auto" w:sz="4" w:space="0"/>
            </w:tcBorders>
            <w:vAlign w:val="center"/>
          </w:tcPr>
          <w:p w14:paraId="22B1FFA7">
            <w:pPr>
              <w:jc w:val="center"/>
              <w:rPr>
                <w:rFonts w:ascii="仿宋" w:hAnsi="仿宋" w:eastAsia="仿宋" w:cs="宋体"/>
                <w:color w:val="auto"/>
                <w:sz w:val="22"/>
                <w:szCs w:val="22"/>
                <w:highlight w:val="none"/>
              </w:rPr>
            </w:pPr>
          </w:p>
        </w:tc>
        <w:tc>
          <w:tcPr>
            <w:tcW w:w="1068" w:type="dxa"/>
            <w:gridSpan w:val="2"/>
            <w:vMerge w:val="continue"/>
            <w:tcBorders>
              <w:top w:val="single" w:color="auto" w:sz="4" w:space="0"/>
              <w:left w:val="single" w:color="auto" w:sz="4" w:space="0"/>
              <w:right w:val="single" w:color="auto" w:sz="4" w:space="0"/>
            </w:tcBorders>
            <w:vAlign w:val="center"/>
          </w:tcPr>
          <w:p w14:paraId="05F8ADDB">
            <w:pPr>
              <w:jc w:val="center"/>
              <w:rPr>
                <w:rFonts w:ascii="仿宋" w:hAnsi="仿宋" w:eastAsia="仿宋" w:cs="宋体"/>
                <w:color w:val="auto"/>
                <w:sz w:val="22"/>
                <w:szCs w:val="22"/>
                <w:highlight w:val="none"/>
              </w:rPr>
            </w:pPr>
          </w:p>
        </w:tc>
        <w:tc>
          <w:tcPr>
            <w:tcW w:w="2363" w:type="dxa"/>
            <w:tcBorders>
              <w:top w:val="single" w:color="auto" w:sz="4" w:space="0"/>
              <w:left w:val="single" w:color="auto" w:sz="4" w:space="0"/>
              <w:bottom w:val="single" w:color="auto" w:sz="4" w:space="0"/>
              <w:right w:val="single" w:color="auto" w:sz="4" w:space="0"/>
            </w:tcBorders>
            <w:vAlign w:val="center"/>
          </w:tcPr>
          <w:p w14:paraId="5D49878F">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综合评分、投标报价均相等时确定中标候选人排序的方式</w:t>
            </w:r>
          </w:p>
        </w:tc>
        <w:tc>
          <w:tcPr>
            <w:tcW w:w="4795" w:type="dxa"/>
            <w:tcBorders>
              <w:top w:val="single" w:color="auto" w:sz="4" w:space="0"/>
              <w:left w:val="single" w:color="auto" w:sz="4" w:space="0"/>
              <w:bottom w:val="single" w:color="auto" w:sz="4" w:space="0"/>
            </w:tcBorders>
            <w:vAlign w:val="center"/>
          </w:tcPr>
          <w:p w14:paraId="2DA216BA">
            <w:pPr>
              <w:rPr>
                <w:rFonts w:ascii="仿宋" w:hAnsi="MS Gothic" w:eastAsia="仿宋" w:cs="Arial"/>
                <w:color w:val="auto"/>
                <w:kern w:val="0"/>
                <w:sz w:val="22"/>
                <w:szCs w:val="22"/>
                <w:highlight w:val="none"/>
              </w:rPr>
            </w:pPr>
            <w:r>
              <w:rPr>
                <w:rFonts w:hint="eastAsia" w:ascii="仿宋" w:hAnsi="仿宋" w:eastAsia="仿宋" w:cs="Arial"/>
                <w:color w:val="auto"/>
                <w:sz w:val="22"/>
                <w:szCs w:val="22"/>
                <w:highlight w:val="none"/>
              </w:rPr>
              <w:t>抽签</w:t>
            </w:r>
          </w:p>
        </w:tc>
      </w:tr>
      <w:tr w14:paraId="3E4E4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1" w:hRule="atLeast"/>
        </w:trPr>
        <w:tc>
          <w:tcPr>
            <w:tcW w:w="853" w:type="dxa"/>
            <w:tcBorders>
              <w:top w:val="single" w:color="auto" w:sz="4" w:space="0"/>
              <w:bottom w:val="single" w:color="auto" w:sz="4" w:space="0"/>
              <w:right w:val="single" w:color="auto" w:sz="4" w:space="0"/>
            </w:tcBorders>
            <w:vAlign w:val="center"/>
          </w:tcPr>
          <w:p w14:paraId="27732893">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2.1.2</w:t>
            </w:r>
          </w:p>
        </w:tc>
        <w:tc>
          <w:tcPr>
            <w:tcW w:w="1068" w:type="dxa"/>
            <w:gridSpan w:val="2"/>
            <w:vMerge w:val="restart"/>
            <w:tcBorders>
              <w:top w:val="single" w:color="auto" w:sz="4" w:space="0"/>
              <w:left w:val="single" w:color="auto" w:sz="4" w:space="0"/>
              <w:right w:val="single" w:color="auto" w:sz="4" w:space="0"/>
            </w:tcBorders>
            <w:vAlign w:val="center"/>
          </w:tcPr>
          <w:p w14:paraId="652977DB">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资格审查</w:t>
            </w:r>
          </w:p>
        </w:tc>
        <w:tc>
          <w:tcPr>
            <w:tcW w:w="2363" w:type="dxa"/>
            <w:tcBorders>
              <w:top w:val="single" w:color="auto" w:sz="4" w:space="0"/>
              <w:left w:val="single" w:color="auto" w:sz="4" w:space="0"/>
              <w:bottom w:val="single" w:color="auto" w:sz="4" w:space="0"/>
              <w:right w:val="single" w:color="auto" w:sz="4" w:space="0"/>
            </w:tcBorders>
            <w:vAlign w:val="center"/>
          </w:tcPr>
          <w:p w14:paraId="0C89585A">
            <w:pPr>
              <w:jc w:val="center"/>
              <w:rPr>
                <w:rFonts w:ascii="仿宋" w:hAnsi="仿宋" w:eastAsia="仿宋" w:cs="宋体"/>
                <w:color w:val="auto"/>
                <w:sz w:val="22"/>
                <w:szCs w:val="22"/>
                <w:highlight w:val="none"/>
              </w:rPr>
            </w:pPr>
            <w:r>
              <w:rPr>
                <w:rFonts w:hint="eastAsia" w:ascii="仿宋" w:hAnsi="仿宋" w:eastAsia="仿宋" w:cs="Arial"/>
                <w:color w:val="auto"/>
                <w:sz w:val="22"/>
                <w:szCs w:val="22"/>
                <w:highlight w:val="none"/>
              </w:rPr>
              <w:t>落实政府采购政策需满足的资格要求</w:t>
            </w:r>
          </w:p>
        </w:tc>
        <w:tc>
          <w:tcPr>
            <w:tcW w:w="4795" w:type="dxa"/>
            <w:tcBorders>
              <w:top w:val="single" w:color="auto" w:sz="4" w:space="0"/>
              <w:left w:val="single" w:color="auto" w:sz="4" w:space="0"/>
              <w:bottom w:val="single" w:color="auto" w:sz="4" w:space="0"/>
            </w:tcBorders>
            <w:vAlign w:val="center"/>
          </w:tcPr>
          <w:p w14:paraId="75B9B5F8">
            <w:pPr>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eastAsia="zh-CN"/>
              </w:rPr>
              <w:t>本项目为专门面向中小企业采购的项目，供应商应为中小微企业、监狱企业、残疾人福利性单位。</w:t>
            </w:r>
          </w:p>
        </w:tc>
      </w:tr>
      <w:tr w14:paraId="01ECB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4" w:hRule="atLeast"/>
        </w:trPr>
        <w:tc>
          <w:tcPr>
            <w:tcW w:w="853" w:type="dxa"/>
            <w:tcBorders>
              <w:top w:val="single" w:color="auto" w:sz="4" w:space="0"/>
              <w:bottom w:val="single" w:color="auto" w:sz="4" w:space="0"/>
              <w:right w:val="single" w:color="auto" w:sz="4" w:space="0"/>
            </w:tcBorders>
            <w:vAlign w:val="center"/>
          </w:tcPr>
          <w:p w14:paraId="525D5A3E">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2.1.3</w:t>
            </w:r>
          </w:p>
        </w:tc>
        <w:tc>
          <w:tcPr>
            <w:tcW w:w="1068" w:type="dxa"/>
            <w:gridSpan w:val="2"/>
            <w:vMerge w:val="continue"/>
            <w:tcBorders>
              <w:left w:val="single" w:color="auto" w:sz="4" w:space="0"/>
              <w:bottom w:val="single" w:color="auto" w:sz="4" w:space="0"/>
              <w:right w:val="single" w:color="auto" w:sz="4" w:space="0"/>
            </w:tcBorders>
            <w:vAlign w:val="center"/>
          </w:tcPr>
          <w:p w14:paraId="6550F485">
            <w:pPr>
              <w:jc w:val="center"/>
              <w:rPr>
                <w:rFonts w:ascii="仿宋" w:hAnsi="仿宋" w:eastAsia="仿宋" w:cs="宋体"/>
                <w:color w:val="auto"/>
                <w:sz w:val="22"/>
                <w:szCs w:val="22"/>
                <w:highlight w:val="none"/>
              </w:rPr>
            </w:pPr>
          </w:p>
        </w:tc>
        <w:tc>
          <w:tcPr>
            <w:tcW w:w="2363" w:type="dxa"/>
            <w:tcBorders>
              <w:top w:val="single" w:color="auto" w:sz="4" w:space="0"/>
              <w:left w:val="single" w:color="auto" w:sz="4" w:space="0"/>
              <w:bottom w:val="single" w:color="auto" w:sz="4" w:space="0"/>
              <w:right w:val="single" w:color="auto" w:sz="4" w:space="0"/>
            </w:tcBorders>
            <w:vAlign w:val="center"/>
          </w:tcPr>
          <w:p w14:paraId="622757CC">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特定资格条件要求</w:t>
            </w:r>
          </w:p>
        </w:tc>
        <w:tc>
          <w:tcPr>
            <w:tcW w:w="4795" w:type="dxa"/>
            <w:tcBorders>
              <w:top w:val="single" w:color="auto" w:sz="4" w:space="0"/>
              <w:left w:val="single" w:color="auto" w:sz="4" w:space="0"/>
              <w:bottom w:val="single" w:color="auto" w:sz="4" w:space="0"/>
            </w:tcBorders>
            <w:vAlign w:val="center"/>
          </w:tcPr>
          <w:p w14:paraId="346A0227">
            <w:pPr>
              <w:rPr>
                <w:rFonts w:hint="eastAsia" w:ascii="仿宋" w:hAnsi="仿宋" w:eastAsia="仿宋" w:cs="宋体"/>
                <w:color w:val="auto"/>
                <w:sz w:val="22"/>
                <w:szCs w:val="22"/>
                <w:highlight w:val="none"/>
                <w:u w:val="single"/>
                <w:lang w:eastAsia="zh-CN"/>
              </w:rPr>
            </w:pPr>
            <w:r>
              <w:rPr>
                <w:rFonts w:hint="eastAsia" w:ascii="仿宋" w:hAnsi="仿宋" w:eastAsia="仿宋" w:cs="宋体"/>
                <w:color w:val="auto"/>
                <w:sz w:val="22"/>
                <w:szCs w:val="22"/>
                <w:highlight w:val="none"/>
                <w:u w:val="none"/>
                <w:lang w:eastAsia="zh-CN"/>
              </w:rPr>
              <w:t>无</w:t>
            </w:r>
          </w:p>
        </w:tc>
      </w:tr>
      <w:tr w14:paraId="743780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1" w:hRule="atLeast"/>
        </w:trPr>
        <w:tc>
          <w:tcPr>
            <w:tcW w:w="853" w:type="dxa"/>
            <w:tcBorders>
              <w:top w:val="single" w:color="auto" w:sz="4" w:space="0"/>
              <w:bottom w:val="single" w:color="auto" w:sz="4" w:space="0"/>
              <w:right w:val="single" w:color="auto" w:sz="4" w:space="0"/>
            </w:tcBorders>
            <w:vAlign w:val="center"/>
          </w:tcPr>
          <w:p w14:paraId="20C8C191">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2.2</w:t>
            </w:r>
          </w:p>
        </w:tc>
        <w:tc>
          <w:tcPr>
            <w:tcW w:w="1068" w:type="dxa"/>
            <w:gridSpan w:val="2"/>
            <w:tcBorders>
              <w:top w:val="single" w:color="auto" w:sz="4" w:space="0"/>
              <w:left w:val="single" w:color="auto" w:sz="4" w:space="0"/>
              <w:bottom w:val="single" w:color="auto" w:sz="4" w:space="0"/>
              <w:right w:val="single" w:color="auto" w:sz="4" w:space="0"/>
            </w:tcBorders>
            <w:vAlign w:val="center"/>
          </w:tcPr>
          <w:p w14:paraId="22CFCCF2">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符合性审查</w:t>
            </w:r>
          </w:p>
        </w:tc>
        <w:tc>
          <w:tcPr>
            <w:tcW w:w="2363" w:type="dxa"/>
            <w:tcBorders>
              <w:top w:val="single" w:color="auto" w:sz="4" w:space="0"/>
              <w:left w:val="single" w:color="auto" w:sz="4" w:space="0"/>
              <w:bottom w:val="single" w:color="auto" w:sz="4" w:space="0"/>
              <w:right w:val="single" w:color="auto" w:sz="4" w:space="0"/>
            </w:tcBorders>
            <w:vAlign w:val="center"/>
          </w:tcPr>
          <w:p w14:paraId="15DE4EE3">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符合性审查其他要求</w:t>
            </w:r>
          </w:p>
        </w:tc>
        <w:tc>
          <w:tcPr>
            <w:tcW w:w="4795" w:type="dxa"/>
            <w:tcBorders>
              <w:top w:val="single" w:color="auto" w:sz="4" w:space="0"/>
              <w:left w:val="single" w:color="auto" w:sz="4" w:space="0"/>
              <w:bottom w:val="single" w:color="auto" w:sz="4" w:space="0"/>
            </w:tcBorders>
            <w:vAlign w:val="center"/>
          </w:tcPr>
          <w:p w14:paraId="142B1F8B">
            <w:pP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w:t>
            </w:r>
          </w:p>
        </w:tc>
      </w:tr>
      <w:tr w14:paraId="15E3C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21" w:type="dxa"/>
            <w:gridSpan w:val="3"/>
            <w:tcBorders>
              <w:top w:val="single" w:color="auto" w:sz="4" w:space="0"/>
              <w:bottom w:val="single" w:color="auto" w:sz="4" w:space="0"/>
              <w:right w:val="single" w:color="auto" w:sz="4" w:space="0"/>
            </w:tcBorders>
            <w:vAlign w:val="center"/>
          </w:tcPr>
          <w:p w14:paraId="267C3373">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2.3.1</w:t>
            </w:r>
          </w:p>
        </w:tc>
        <w:tc>
          <w:tcPr>
            <w:tcW w:w="2363" w:type="dxa"/>
            <w:tcBorders>
              <w:top w:val="single" w:color="auto" w:sz="4" w:space="0"/>
              <w:left w:val="single" w:color="auto" w:sz="4" w:space="0"/>
              <w:bottom w:val="single" w:color="auto" w:sz="4" w:space="0"/>
              <w:right w:val="single" w:color="auto" w:sz="4" w:space="0"/>
            </w:tcBorders>
            <w:vAlign w:val="center"/>
          </w:tcPr>
          <w:p w14:paraId="130C04D8">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分值权重构成</w:t>
            </w:r>
          </w:p>
        </w:tc>
        <w:tc>
          <w:tcPr>
            <w:tcW w:w="4795" w:type="dxa"/>
            <w:tcBorders>
              <w:top w:val="single" w:color="auto" w:sz="4" w:space="0"/>
              <w:left w:val="single" w:color="auto" w:sz="4" w:space="0"/>
              <w:bottom w:val="single" w:color="auto" w:sz="4" w:space="0"/>
            </w:tcBorders>
            <w:vAlign w:val="center"/>
          </w:tcPr>
          <w:p w14:paraId="6D88AEB6">
            <w:pPr>
              <w:snapToGrid w:val="0"/>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商务技术权重：</w:t>
            </w:r>
            <w:r>
              <w:rPr>
                <w:rFonts w:hint="eastAsia" w:ascii="仿宋" w:hAnsi="仿宋" w:eastAsia="仿宋" w:cs="宋体"/>
                <w:color w:val="auto"/>
                <w:sz w:val="22"/>
                <w:szCs w:val="22"/>
                <w:highlight w:val="none"/>
                <w:u w:val="single"/>
                <w:lang w:val="en-US" w:eastAsia="zh-CN"/>
              </w:rPr>
              <w:t>8</w:t>
            </w:r>
            <w:r>
              <w:rPr>
                <w:rFonts w:hint="eastAsia" w:ascii="仿宋" w:hAnsi="仿宋" w:eastAsia="仿宋" w:cs="宋体"/>
                <w:color w:val="auto"/>
                <w:sz w:val="22"/>
                <w:szCs w:val="22"/>
                <w:highlight w:val="none"/>
                <w:u w:val="single"/>
              </w:rPr>
              <w:t>0</w:t>
            </w:r>
            <w:r>
              <w:rPr>
                <w:rFonts w:hint="eastAsia" w:ascii="仿宋" w:hAnsi="仿宋" w:eastAsia="仿宋" w:cs="宋体"/>
                <w:color w:val="auto"/>
                <w:sz w:val="22"/>
                <w:szCs w:val="22"/>
                <w:highlight w:val="none"/>
              </w:rPr>
              <w:t>%</w:t>
            </w:r>
          </w:p>
          <w:p w14:paraId="77C7B8F9">
            <w:pPr>
              <w:snapToGrid w:val="0"/>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报价权重：</w:t>
            </w:r>
            <w:r>
              <w:rPr>
                <w:rFonts w:hint="eastAsia" w:ascii="仿宋" w:hAnsi="仿宋" w:eastAsia="仿宋" w:cs="宋体"/>
                <w:color w:val="auto"/>
                <w:sz w:val="22"/>
                <w:szCs w:val="22"/>
                <w:highlight w:val="none"/>
                <w:u w:val="single"/>
                <w:lang w:val="en-US" w:eastAsia="zh-CN"/>
              </w:rPr>
              <w:t>2</w:t>
            </w:r>
            <w:r>
              <w:rPr>
                <w:rFonts w:hint="eastAsia" w:ascii="仿宋" w:hAnsi="仿宋" w:eastAsia="仿宋" w:cs="宋体"/>
                <w:color w:val="auto"/>
                <w:sz w:val="22"/>
                <w:szCs w:val="22"/>
                <w:highlight w:val="none"/>
                <w:u w:val="single"/>
              </w:rPr>
              <w:t>0</w:t>
            </w:r>
            <w:r>
              <w:rPr>
                <w:rFonts w:hint="eastAsia" w:ascii="仿宋" w:hAnsi="仿宋" w:eastAsia="仿宋" w:cs="宋体"/>
                <w:color w:val="auto"/>
                <w:sz w:val="22"/>
                <w:szCs w:val="22"/>
                <w:highlight w:val="none"/>
              </w:rPr>
              <w:t>%</w:t>
            </w:r>
          </w:p>
        </w:tc>
      </w:tr>
      <w:tr w14:paraId="3F614F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7" w:hRule="atLeast"/>
        </w:trPr>
        <w:tc>
          <w:tcPr>
            <w:tcW w:w="869" w:type="dxa"/>
            <w:gridSpan w:val="2"/>
            <w:vMerge w:val="restart"/>
            <w:tcBorders>
              <w:top w:val="single" w:color="auto" w:sz="4" w:space="0"/>
              <w:right w:val="single" w:color="auto" w:sz="4" w:space="0"/>
            </w:tcBorders>
            <w:vAlign w:val="center"/>
          </w:tcPr>
          <w:p w14:paraId="4BB5226B">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2.3.2</w:t>
            </w:r>
          </w:p>
        </w:tc>
        <w:tc>
          <w:tcPr>
            <w:tcW w:w="1052" w:type="dxa"/>
            <w:vMerge w:val="restart"/>
            <w:tcBorders>
              <w:top w:val="single" w:color="auto" w:sz="4" w:space="0"/>
              <w:right w:val="single" w:color="auto" w:sz="4" w:space="0"/>
            </w:tcBorders>
            <w:vAlign w:val="center"/>
          </w:tcPr>
          <w:p w14:paraId="7E9BE638">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商务技术评分标准</w:t>
            </w:r>
          </w:p>
        </w:tc>
        <w:tc>
          <w:tcPr>
            <w:tcW w:w="2363" w:type="dxa"/>
            <w:tcBorders>
              <w:top w:val="single" w:color="auto" w:sz="4" w:space="0"/>
              <w:left w:val="single" w:color="auto" w:sz="4" w:space="0"/>
              <w:bottom w:val="single" w:color="auto" w:sz="4" w:space="0"/>
            </w:tcBorders>
            <w:vAlign w:val="center"/>
          </w:tcPr>
          <w:p w14:paraId="7D4905C5">
            <w:pPr>
              <w:tabs>
                <w:tab w:val="left" w:pos="0"/>
              </w:tabs>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评审因素</w:t>
            </w:r>
          </w:p>
        </w:tc>
        <w:tc>
          <w:tcPr>
            <w:tcW w:w="4795" w:type="dxa"/>
            <w:tcBorders>
              <w:top w:val="single" w:color="auto" w:sz="4" w:space="0"/>
              <w:left w:val="single" w:color="auto" w:sz="4" w:space="0"/>
              <w:bottom w:val="single" w:color="auto" w:sz="4" w:space="0"/>
            </w:tcBorders>
            <w:vAlign w:val="center"/>
          </w:tcPr>
          <w:p w14:paraId="5B02B2A6">
            <w:pPr>
              <w:autoSpaceDE w:val="0"/>
              <w:autoSpaceDN w:val="0"/>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评审标准（分值）</w:t>
            </w:r>
          </w:p>
        </w:tc>
      </w:tr>
      <w:tr w14:paraId="1047B5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869" w:type="dxa"/>
            <w:gridSpan w:val="2"/>
            <w:vMerge w:val="continue"/>
            <w:tcBorders>
              <w:top w:val="single" w:color="auto" w:sz="4" w:space="0"/>
              <w:right w:val="single" w:color="auto" w:sz="4" w:space="0"/>
            </w:tcBorders>
            <w:vAlign w:val="center"/>
          </w:tcPr>
          <w:p w14:paraId="4A10EA62">
            <w:pPr>
              <w:jc w:val="center"/>
              <w:rPr>
                <w:rFonts w:ascii="仿宋" w:hAnsi="仿宋" w:eastAsia="仿宋" w:cs="宋体"/>
                <w:color w:val="auto"/>
                <w:sz w:val="22"/>
                <w:szCs w:val="22"/>
                <w:highlight w:val="none"/>
              </w:rPr>
            </w:pPr>
          </w:p>
        </w:tc>
        <w:tc>
          <w:tcPr>
            <w:tcW w:w="1052" w:type="dxa"/>
            <w:vMerge w:val="continue"/>
            <w:tcBorders>
              <w:top w:val="single" w:color="auto" w:sz="4" w:space="0"/>
              <w:right w:val="single" w:color="auto" w:sz="4" w:space="0"/>
            </w:tcBorders>
            <w:vAlign w:val="center"/>
          </w:tcPr>
          <w:p w14:paraId="3BD2FCC7">
            <w:pPr>
              <w:jc w:val="center"/>
              <w:rPr>
                <w:rFonts w:ascii="仿宋" w:hAnsi="仿宋" w:eastAsia="仿宋" w:cs="宋体"/>
                <w:color w:val="auto"/>
                <w:sz w:val="22"/>
                <w:szCs w:val="22"/>
                <w:highlight w:val="none"/>
              </w:rPr>
            </w:pPr>
          </w:p>
        </w:tc>
        <w:tc>
          <w:tcPr>
            <w:tcW w:w="7158" w:type="dxa"/>
            <w:gridSpan w:val="2"/>
            <w:tcBorders>
              <w:top w:val="single" w:color="auto" w:sz="4" w:space="0"/>
              <w:left w:val="single" w:color="auto" w:sz="4" w:space="0"/>
              <w:bottom w:val="single" w:color="auto" w:sz="4" w:space="0"/>
            </w:tcBorders>
            <w:vAlign w:val="center"/>
          </w:tcPr>
          <w:p w14:paraId="453DAEFC">
            <w:pPr>
              <w:autoSpaceDE w:val="0"/>
              <w:autoSpaceDN w:val="0"/>
              <w:jc w:val="left"/>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见附表</w:t>
            </w:r>
          </w:p>
        </w:tc>
      </w:tr>
      <w:tr w14:paraId="068EB4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3" w:hRule="atLeast"/>
        </w:trPr>
        <w:tc>
          <w:tcPr>
            <w:tcW w:w="869" w:type="dxa"/>
            <w:gridSpan w:val="2"/>
            <w:vMerge w:val="continue"/>
            <w:tcBorders>
              <w:right w:val="single" w:color="auto" w:sz="4" w:space="0"/>
            </w:tcBorders>
            <w:vAlign w:val="center"/>
          </w:tcPr>
          <w:p w14:paraId="28798BE4">
            <w:pPr>
              <w:jc w:val="center"/>
              <w:rPr>
                <w:rFonts w:ascii="仿宋" w:hAnsi="仿宋" w:eastAsia="仿宋" w:cs="宋体"/>
                <w:color w:val="auto"/>
                <w:sz w:val="22"/>
                <w:szCs w:val="22"/>
                <w:highlight w:val="none"/>
              </w:rPr>
            </w:pPr>
          </w:p>
        </w:tc>
        <w:tc>
          <w:tcPr>
            <w:tcW w:w="1052" w:type="dxa"/>
            <w:vMerge w:val="continue"/>
            <w:tcBorders>
              <w:right w:val="single" w:color="auto" w:sz="4" w:space="0"/>
            </w:tcBorders>
            <w:vAlign w:val="center"/>
          </w:tcPr>
          <w:p w14:paraId="35FB5A07">
            <w:pPr>
              <w:jc w:val="center"/>
              <w:rPr>
                <w:rFonts w:ascii="仿宋" w:hAnsi="仿宋" w:eastAsia="仿宋" w:cs="宋体"/>
                <w:color w:val="auto"/>
                <w:sz w:val="22"/>
                <w:szCs w:val="22"/>
                <w:highlight w:val="none"/>
              </w:rPr>
            </w:pPr>
          </w:p>
        </w:tc>
        <w:tc>
          <w:tcPr>
            <w:tcW w:w="7158" w:type="dxa"/>
            <w:gridSpan w:val="2"/>
            <w:tcBorders>
              <w:top w:val="single" w:color="auto" w:sz="4" w:space="0"/>
              <w:left w:val="single" w:color="auto" w:sz="4" w:space="0"/>
            </w:tcBorders>
          </w:tcPr>
          <w:p w14:paraId="7DC71CAD">
            <w:pPr>
              <w:tabs>
                <w:tab w:val="left" w:pos="0"/>
              </w:tabs>
              <w:rPr>
                <w:rFonts w:ascii="仿宋" w:hAnsi="仿宋" w:eastAsia="仿宋"/>
                <w:color w:val="auto"/>
                <w:sz w:val="22"/>
                <w:szCs w:val="22"/>
                <w:highlight w:val="none"/>
              </w:rPr>
            </w:pPr>
            <w:r>
              <w:rPr>
                <w:rFonts w:hint="eastAsia" w:ascii="仿宋" w:hAnsi="仿宋" w:eastAsia="仿宋"/>
                <w:color w:val="auto"/>
                <w:sz w:val="22"/>
                <w:szCs w:val="22"/>
                <w:highlight w:val="none"/>
              </w:rPr>
              <w:t>说明：各评委成员按上述评分内容进行评定，每人一张评分计算表，由评标委员会成员各自评定独立打分并记实名。如某张表的一项评分内容分值超过规定的范围，则该张表无效。评标委员会成员对投标供应商的各项评分内容评分的合计分的算术平均值为该投标供应商技术资信的最终得分（四舍五入，保留小数点后二位）。</w:t>
            </w:r>
            <w:r>
              <w:rPr>
                <w:rFonts w:hint="eastAsia" w:ascii="仿宋" w:hAnsi="仿宋" w:eastAsia="仿宋"/>
                <w:b/>
                <w:bCs/>
                <w:color w:val="auto"/>
                <w:sz w:val="22"/>
                <w:szCs w:val="22"/>
                <w:highlight w:val="none"/>
              </w:rPr>
              <w:t>注：</w:t>
            </w:r>
            <w:r>
              <w:rPr>
                <w:rFonts w:ascii="仿宋" w:hAnsi="仿宋" w:eastAsia="仿宋"/>
                <w:b/>
                <w:bCs/>
                <w:color w:val="auto"/>
                <w:sz w:val="22"/>
                <w:szCs w:val="22"/>
                <w:highlight w:val="none"/>
              </w:rPr>
              <w:t>评审小组成员个人主观打分偏离所有评审小组成员主观打分平均值30%以上的，由评审委员会启动评分畸高、畸低行为认定程序，限制专家自由裁量权</w:t>
            </w:r>
            <w:r>
              <w:rPr>
                <w:rFonts w:hint="eastAsia" w:ascii="仿宋" w:hAnsi="仿宋" w:eastAsia="仿宋"/>
                <w:b/>
                <w:bCs/>
                <w:color w:val="auto"/>
                <w:sz w:val="22"/>
                <w:szCs w:val="22"/>
                <w:highlight w:val="none"/>
              </w:rPr>
              <w:t>。如评委对各投标人的技术标分值出现明显偏高或偏低情况的，该评委需阐述理由，并向招标人提交书面说明。</w:t>
            </w:r>
          </w:p>
        </w:tc>
      </w:tr>
      <w:tr w14:paraId="16AC57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1" w:hRule="atLeast"/>
        </w:trPr>
        <w:tc>
          <w:tcPr>
            <w:tcW w:w="1921" w:type="dxa"/>
            <w:gridSpan w:val="3"/>
            <w:tcBorders>
              <w:top w:val="single" w:color="auto" w:sz="4" w:space="0"/>
              <w:bottom w:val="single" w:color="auto" w:sz="4" w:space="0"/>
              <w:right w:val="single" w:color="auto" w:sz="4" w:space="0"/>
            </w:tcBorders>
            <w:vAlign w:val="center"/>
          </w:tcPr>
          <w:p w14:paraId="023DD742">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2.3.3</w:t>
            </w:r>
          </w:p>
        </w:tc>
        <w:tc>
          <w:tcPr>
            <w:tcW w:w="2363" w:type="dxa"/>
            <w:tcBorders>
              <w:top w:val="single" w:color="auto" w:sz="4" w:space="0"/>
              <w:left w:val="single" w:color="auto" w:sz="4" w:space="0"/>
              <w:bottom w:val="single" w:color="auto" w:sz="4" w:space="0"/>
              <w:right w:val="single" w:color="auto" w:sz="4" w:space="0"/>
            </w:tcBorders>
            <w:vAlign w:val="center"/>
          </w:tcPr>
          <w:p w14:paraId="793048EE">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报价评分办法</w:t>
            </w:r>
          </w:p>
        </w:tc>
        <w:tc>
          <w:tcPr>
            <w:tcW w:w="4795" w:type="dxa"/>
            <w:tcBorders>
              <w:top w:val="single" w:color="auto" w:sz="4" w:space="0"/>
              <w:left w:val="single" w:color="auto" w:sz="4" w:space="0"/>
              <w:bottom w:val="single" w:color="auto" w:sz="4" w:space="0"/>
            </w:tcBorders>
            <w:vAlign w:val="center"/>
          </w:tcPr>
          <w:p w14:paraId="19A5F600">
            <w:pPr>
              <w:snapToGrid w:val="0"/>
              <w:rPr>
                <w:rFonts w:cs="Arial" w:asciiTheme="minorEastAsia" w:hAnsiTheme="minorEastAsia" w:eastAsiaTheme="minorEastAsia"/>
                <w:color w:val="auto"/>
                <w:kern w:val="0"/>
                <w:sz w:val="22"/>
                <w:szCs w:val="22"/>
                <w:highlight w:val="none"/>
              </w:rPr>
            </w:pPr>
            <w:r>
              <w:rPr>
                <w:rFonts w:hint="eastAsia" w:ascii="仿宋" w:hAnsi="仿宋" w:eastAsia="仿宋" w:cs="宋体"/>
                <w:color w:val="auto"/>
                <w:sz w:val="22"/>
                <w:szCs w:val="22"/>
                <w:highlight w:val="none"/>
              </w:rPr>
              <w:t>是否采用低价优先法：</w:t>
            </w:r>
          </w:p>
          <w:p w14:paraId="5B7425A8">
            <w:pPr>
              <w:snapToGrid w:val="0"/>
              <w:rPr>
                <w:rFonts w:ascii="仿宋" w:hAnsi="仿宋" w:eastAsia="仿宋" w:cs="宋体"/>
                <w:color w:val="auto"/>
                <w:sz w:val="22"/>
                <w:szCs w:val="22"/>
                <w:highlight w:val="none"/>
              </w:rPr>
            </w:pPr>
            <w:r>
              <w:rPr>
                <w:rFonts w:cs="Arial" w:asciiTheme="minorEastAsia" w:hAnsiTheme="minorEastAsia" w:eastAsiaTheme="minorEastAsia"/>
                <w:color w:val="auto"/>
                <w:kern w:val="0"/>
                <w:sz w:val="22"/>
                <w:szCs w:val="22"/>
                <w:highlight w:val="none"/>
              </w:rPr>
              <w:sym w:font="Wingdings" w:char="F0FE"/>
            </w:r>
            <w:r>
              <w:rPr>
                <w:rFonts w:hint="eastAsia" w:ascii="仿宋" w:hAnsi="仿宋" w:eastAsia="仿宋" w:cs="宋体"/>
                <w:color w:val="auto"/>
                <w:sz w:val="22"/>
                <w:szCs w:val="22"/>
                <w:highlight w:val="none"/>
              </w:rPr>
              <w:t>是</w:t>
            </w:r>
          </w:p>
        </w:tc>
      </w:tr>
      <w:tr w14:paraId="648F8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14" w:hRule="atLeast"/>
        </w:trPr>
        <w:tc>
          <w:tcPr>
            <w:tcW w:w="1921" w:type="dxa"/>
            <w:gridSpan w:val="3"/>
            <w:tcBorders>
              <w:top w:val="single" w:color="auto" w:sz="4" w:space="0"/>
              <w:bottom w:val="single" w:color="auto" w:sz="4" w:space="0"/>
              <w:right w:val="single" w:color="auto" w:sz="4" w:space="0"/>
            </w:tcBorders>
            <w:vAlign w:val="center"/>
          </w:tcPr>
          <w:p w14:paraId="0342E914">
            <w:pPr>
              <w:jc w:val="center"/>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rPr>
              <w:t>2</w:t>
            </w:r>
            <w:r>
              <w:rPr>
                <w:rFonts w:ascii="仿宋" w:hAnsi="仿宋" w:eastAsia="仿宋" w:cs="宋体"/>
                <w:color w:val="auto"/>
                <w:sz w:val="22"/>
                <w:szCs w:val="22"/>
                <w:highlight w:val="none"/>
              </w:rPr>
              <w:t>.3.</w:t>
            </w:r>
            <w:r>
              <w:rPr>
                <w:rFonts w:hint="eastAsia" w:ascii="仿宋" w:hAnsi="仿宋" w:eastAsia="仿宋" w:cs="宋体"/>
                <w:color w:val="auto"/>
                <w:sz w:val="22"/>
                <w:szCs w:val="22"/>
                <w:highlight w:val="none"/>
                <w:lang w:val="en-US" w:eastAsia="zh-CN"/>
              </w:rPr>
              <w:t>4</w:t>
            </w:r>
          </w:p>
        </w:tc>
        <w:tc>
          <w:tcPr>
            <w:tcW w:w="2363" w:type="dxa"/>
            <w:tcBorders>
              <w:top w:val="single" w:color="auto" w:sz="4" w:space="0"/>
              <w:left w:val="single" w:color="auto" w:sz="4" w:space="0"/>
              <w:bottom w:val="single" w:color="auto" w:sz="4" w:space="0"/>
              <w:right w:val="single" w:color="auto" w:sz="4" w:space="0"/>
            </w:tcBorders>
            <w:vAlign w:val="center"/>
          </w:tcPr>
          <w:p w14:paraId="755E4245">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报价评分标准</w:t>
            </w:r>
          </w:p>
        </w:tc>
        <w:tc>
          <w:tcPr>
            <w:tcW w:w="4795" w:type="dxa"/>
            <w:tcBorders>
              <w:top w:val="single" w:color="auto" w:sz="4" w:space="0"/>
              <w:left w:val="single" w:color="auto" w:sz="4" w:space="0"/>
              <w:bottom w:val="single" w:color="auto" w:sz="4" w:space="0"/>
            </w:tcBorders>
            <w:vAlign w:val="center"/>
          </w:tcPr>
          <w:p w14:paraId="26D3EA89">
            <w:pPr>
              <w:snapToGrid w:val="0"/>
              <w:outlineLvl w:val="0"/>
              <w:rPr>
                <w:rFonts w:ascii="仿宋" w:hAnsi="仿宋" w:eastAsia="仿宋" w:cs="仿宋_GB2312"/>
                <w:color w:val="auto"/>
                <w:sz w:val="22"/>
                <w:szCs w:val="22"/>
                <w:highlight w:val="none"/>
              </w:rPr>
            </w:pPr>
            <w:r>
              <w:rPr>
                <w:rFonts w:hint="eastAsia" w:ascii="仿宋" w:hAnsi="仿宋" w:eastAsia="仿宋" w:cs="仿宋_GB2312"/>
                <w:color w:val="auto"/>
                <w:sz w:val="22"/>
                <w:szCs w:val="22"/>
                <w:highlight w:val="none"/>
              </w:rPr>
              <w:t>报价得分</w:t>
            </w:r>
            <w:r>
              <w:rPr>
                <w:rFonts w:ascii="仿宋" w:hAnsi="仿宋" w:eastAsia="仿宋" w:cs="仿宋_GB2312"/>
                <w:color w:val="auto"/>
                <w:sz w:val="22"/>
                <w:szCs w:val="22"/>
                <w:highlight w:val="none"/>
              </w:rPr>
              <w:t>=（评标基准价/</w:t>
            </w:r>
            <w:r>
              <w:rPr>
                <w:rFonts w:hint="eastAsia" w:ascii="仿宋" w:hAnsi="仿宋" w:eastAsia="仿宋" w:cs="仿宋_GB2312"/>
                <w:color w:val="auto"/>
                <w:sz w:val="22"/>
                <w:szCs w:val="22"/>
                <w:highlight w:val="none"/>
              </w:rPr>
              <w:t>评标价</w:t>
            </w:r>
            <w:r>
              <w:rPr>
                <w:rFonts w:ascii="仿宋" w:hAnsi="仿宋" w:eastAsia="仿宋" w:cs="仿宋_GB2312"/>
                <w:color w:val="auto"/>
                <w:sz w:val="22"/>
                <w:szCs w:val="22"/>
                <w:highlight w:val="none"/>
              </w:rPr>
              <w:t>）</w:t>
            </w:r>
            <w:r>
              <w:rPr>
                <w:rFonts w:hint="eastAsia" w:ascii="仿宋" w:hAnsi="仿宋" w:eastAsia="仿宋" w:cs="仿宋_GB2312"/>
                <w:color w:val="auto"/>
                <w:sz w:val="22"/>
                <w:szCs w:val="22"/>
                <w:highlight w:val="none"/>
              </w:rPr>
              <w:t>×报价权重×100</w:t>
            </w:r>
          </w:p>
          <w:p w14:paraId="7DC2D60F">
            <w:pPr>
              <w:pStyle w:val="23"/>
              <w:snapToGrid w:val="0"/>
              <w:spacing w:after="0"/>
              <w:ind w:firstLine="0" w:firstLineChars="0"/>
              <w:rPr>
                <w:rFonts w:ascii="仿宋" w:hAnsi="仿宋" w:eastAsia="仿宋" w:cs="仿宋_GB2312"/>
                <w:color w:val="auto"/>
                <w:sz w:val="22"/>
                <w:szCs w:val="22"/>
                <w:highlight w:val="none"/>
              </w:rPr>
            </w:pPr>
            <w:r>
              <w:rPr>
                <w:rFonts w:hint="eastAsia" w:ascii="仿宋" w:hAnsi="仿宋" w:eastAsia="仿宋"/>
                <w:color w:val="auto"/>
                <w:sz w:val="22"/>
                <w:szCs w:val="22"/>
                <w:highlight w:val="none"/>
              </w:rPr>
              <w:t>满足招标文件要求且最低的评标价为评标基准价。</w:t>
            </w:r>
          </w:p>
        </w:tc>
      </w:tr>
      <w:tr w14:paraId="4D9781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2" w:hRule="atLeast"/>
        </w:trPr>
        <w:tc>
          <w:tcPr>
            <w:tcW w:w="1921" w:type="dxa"/>
            <w:gridSpan w:val="3"/>
            <w:tcBorders>
              <w:top w:val="single" w:color="auto" w:sz="4" w:space="0"/>
              <w:bottom w:val="single" w:color="auto" w:sz="4" w:space="0"/>
              <w:right w:val="single" w:color="auto" w:sz="4" w:space="0"/>
            </w:tcBorders>
            <w:vAlign w:val="center"/>
          </w:tcPr>
          <w:p w14:paraId="145BA777">
            <w:pPr>
              <w:jc w:val="center"/>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rPr>
              <w:t>2.3.</w:t>
            </w:r>
            <w:r>
              <w:rPr>
                <w:rFonts w:hint="eastAsia" w:ascii="仿宋" w:hAnsi="仿宋" w:eastAsia="仿宋" w:cs="宋体"/>
                <w:color w:val="auto"/>
                <w:sz w:val="22"/>
                <w:szCs w:val="22"/>
                <w:highlight w:val="none"/>
                <w:lang w:val="en-US" w:eastAsia="zh-CN"/>
              </w:rPr>
              <w:t>5</w:t>
            </w:r>
          </w:p>
        </w:tc>
        <w:tc>
          <w:tcPr>
            <w:tcW w:w="2363" w:type="dxa"/>
            <w:tcBorders>
              <w:top w:val="single" w:color="auto" w:sz="4" w:space="0"/>
              <w:left w:val="single" w:color="auto" w:sz="4" w:space="0"/>
              <w:bottom w:val="single" w:color="auto" w:sz="4" w:space="0"/>
              <w:right w:val="single" w:color="auto" w:sz="4" w:space="0"/>
            </w:tcBorders>
            <w:vAlign w:val="center"/>
          </w:tcPr>
          <w:p w14:paraId="06C59C94">
            <w:pPr>
              <w:jc w:val="center"/>
              <w:rPr>
                <w:rFonts w:ascii="仿宋" w:hAnsi="仿宋" w:eastAsia="仿宋" w:cs="宋体"/>
                <w:color w:val="auto"/>
                <w:sz w:val="22"/>
                <w:szCs w:val="22"/>
                <w:highlight w:val="none"/>
              </w:rPr>
            </w:pPr>
            <w:r>
              <w:rPr>
                <w:rFonts w:hint="eastAsia" w:ascii="仿宋" w:hAnsi="仿宋" w:eastAsia="仿宋" w:cs="Arial"/>
                <w:color w:val="auto"/>
                <w:sz w:val="22"/>
                <w:szCs w:val="22"/>
                <w:highlight w:val="none"/>
              </w:rPr>
              <w:t>落实政府采购政策需进行的价格扣除</w:t>
            </w:r>
          </w:p>
        </w:tc>
        <w:tc>
          <w:tcPr>
            <w:tcW w:w="4795" w:type="dxa"/>
            <w:tcBorders>
              <w:top w:val="single" w:color="auto" w:sz="4" w:space="0"/>
              <w:left w:val="single" w:color="auto" w:sz="4" w:space="0"/>
              <w:bottom w:val="single" w:color="auto" w:sz="4" w:space="0"/>
            </w:tcBorders>
            <w:vAlign w:val="center"/>
          </w:tcPr>
          <w:p w14:paraId="5E1D1449">
            <w:pPr>
              <w:jc w:val="left"/>
              <w:rPr>
                <w:rFonts w:ascii="仿宋" w:hAnsi="仿宋" w:eastAsia="仿宋"/>
                <w:color w:val="auto"/>
                <w:sz w:val="22"/>
                <w:szCs w:val="22"/>
                <w:highlight w:val="none"/>
              </w:rPr>
            </w:pPr>
            <w:r>
              <w:rPr>
                <w:rFonts w:hint="eastAsia" w:ascii="仿宋" w:hAnsi="仿宋" w:eastAsia="仿宋"/>
                <w:color w:val="auto"/>
                <w:sz w:val="22"/>
                <w:szCs w:val="22"/>
                <w:highlight w:val="none"/>
              </w:rPr>
              <w:t>本项目为专门面向中小企业采购的项目，不再执行价格评审优惠的扶持政策。</w:t>
            </w:r>
          </w:p>
        </w:tc>
      </w:tr>
    </w:tbl>
    <w:p w14:paraId="6E4B4669">
      <w:pPr>
        <w:spacing w:after="156" w:afterLines="50"/>
        <w:rPr>
          <w:rFonts w:hint="eastAsia" w:ascii="仿宋" w:hAnsi="仿宋" w:eastAsia="仿宋" w:cs="宋体"/>
          <w:color w:val="auto"/>
          <w:sz w:val="24"/>
          <w:highlight w:val="none"/>
        </w:rPr>
      </w:pPr>
      <w:r>
        <w:rPr>
          <w:rFonts w:hint="eastAsia" w:ascii="仿宋" w:hAnsi="仿宋" w:eastAsia="仿宋" w:cs="宋体"/>
          <w:color w:val="auto"/>
          <w:sz w:val="24"/>
          <w:highlight w:val="none"/>
        </w:rPr>
        <w:t>商务技术评分标准附表</w:t>
      </w:r>
    </w:p>
    <w:tbl>
      <w:tblPr>
        <w:tblStyle w:val="57"/>
        <w:tblpPr w:leftFromText="180" w:rightFromText="180" w:vertAnchor="text" w:horzAnchor="margin" w:tblpX="-238" w:tblpY="105"/>
        <w:tblW w:w="9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274"/>
        <w:gridCol w:w="458"/>
        <w:gridCol w:w="6654"/>
      </w:tblGrid>
      <w:tr w14:paraId="64E36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14:paraId="724F03C8">
            <w:pPr>
              <w:pStyle w:val="32"/>
              <w:spacing w:line="240" w:lineRule="auto"/>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序号</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30628FA7">
            <w:pPr>
              <w:pStyle w:val="32"/>
              <w:spacing w:line="240" w:lineRule="auto"/>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评分内容</w:t>
            </w:r>
          </w:p>
        </w:tc>
        <w:tc>
          <w:tcPr>
            <w:tcW w:w="458" w:type="dxa"/>
            <w:tcBorders>
              <w:top w:val="single" w:color="auto" w:sz="4" w:space="0"/>
              <w:left w:val="single" w:color="auto" w:sz="4" w:space="0"/>
              <w:bottom w:val="single" w:color="auto" w:sz="4" w:space="0"/>
              <w:right w:val="single" w:color="auto" w:sz="4" w:space="0"/>
            </w:tcBorders>
            <w:noWrap w:val="0"/>
            <w:vAlign w:val="center"/>
          </w:tcPr>
          <w:p w14:paraId="66697599">
            <w:pPr>
              <w:pStyle w:val="32"/>
              <w:spacing w:line="240" w:lineRule="auto"/>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分值</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2D3F476C">
            <w:pPr>
              <w:pStyle w:val="32"/>
              <w:spacing w:line="240" w:lineRule="auto"/>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评分标准</w:t>
            </w:r>
          </w:p>
        </w:tc>
      </w:tr>
      <w:tr w14:paraId="179DF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96" w:type="dxa"/>
            <w:tcBorders>
              <w:top w:val="single" w:color="auto" w:sz="4" w:space="0"/>
              <w:left w:val="single" w:color="auto" w:sz="4" w:space="0"/>
              <w:right w:val="single" w:color="auto" w:sz="4" w:space="0"/>
            </w:tcBorders>
            <w:noWrap w:val="0"/>
            <w:vAlign w:val="center"/>
          </w:tcPr>
          <w:p w14:paraId="30E288B4">
            <w:pPr>
              <w:pStyle w:val="32"/>
              <w:spacing w:line="240" w:lineRule="auto"/>
              <w:jc w:val="center"/>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w:t>
            </w:r>
          </w:p>
        </w:tc>
        <w:tc>
          <w:tcPr>
            <w:tcW w:w="1274" w:type="dxa"/>
            <w:tcBorders>
              <w:top w:val="single" w:color="auto" w:sz="4" w:space="0"/>
              <w:left w:val="single" w:color="auto" w:sz="4" w:space="0"/>
              <w:right w:val="single" w:color="auto" w:sz="4" w:space="0"/>
            </w:tcBorders>
            <w:shd w:val="clear" w:color="auto" w:fill="auto"/>
            <w:noWrap w:val="0"/>
            <w:vAlign w:val="center"/>
          </w:tcPr>
          <w:p w14:paraId="72F28486">
            <w:pPr>
              <w:tabs>
                <w:tab w:val="left" w:pos="630"/>
              </w:tabs>
              <w:spacing w:line="240" w:lineRule="auto"/>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rPr>
              <w:t>企业体系认证</w:t>
            </w:r>
          </w:p>
        </w:tc>
        <w:tc>
          <w:tcPr>
            <w:tcW w:w="458" w:type="dxa"/>
            <w:tcBorders>
              <w:top w:val="single" w:color="auto" w:sz="4" w:space="0"/>
              <w:left w:val="single" w:color="auto" w:sz="4" w:space="0"/>
              <w:right w:val="single" w:color="auto" w:sz="4" w:space="0"/>
            </w:tcBorders>
            <w:shd w:val="clear" w:color="auto" w:fill="auto"/>
            <w:noWrap w:val="0"/>
            <w:vAlign w:val="center"/>
          </w:tcPr>
          <w:p w14:paraId="49F92D85">
            <w:pPr>
              <w:tabs>
                <w:tab w:val="left" w:pos="630"/>
              </w:tabs>
              <w:spacing w:line="240" w:lineRule="auto"/>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9</w:t>
            </w:r>
          </w:p>
        </w:tc>
        <w:tc>
          <w:tcPr>
            <w:tcW w:w="6654" w:type="dxa"/>
            <w:tcBorders>
              <w:top w:val="single" w:color="auto" w:sz="4" w:space="0"/>
              <w:left w:val="single" w:color="auto" w:sz="4" w:space="0"/>
              <w:right w:val="single" w:color="auto" w:sz="4" w:space="0"/>
            </w:tcBorders>
            <w:shd w:val="clear" w:color="auto" w:fill="auto"/>
            <w:noWrap w:val="0"/>
            <w:vAlign w:val="center"/>
          </w:tcPr>
          <w:p w14:paraId="7788C28E">
            <w:pPr>
              <w:spacing w:line="240"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投标人具有有效的质量管理体系认证的、具有有效的环境管理体系认证的、具有有效的职业健康安全管理体系认证的、每提供一个得</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分，最高得</w:t>
            </w:r>
            <w:r>
              <w:rPr>
                <w:rFonts w:hint="eastAsia" w:ascii="仿宋" w:hAnsi="仿宋" w:eastAsia="仿宋" w:cs="仿宋"/>
                <w:color w:val="auto"/>
                <w:sz w:val="22"/>
                <w:szCs w:val="22"/>
                <w:highlight w:val="none"/>
                <w:lang w:val="en-US" w:eastAsia="zh-CN"/>
              </w:rPr>
              <w:t>9</w:t>
            </w:r>
            <w:r>
              <w:rPr>
                <w:rFonts w:hint="eastAsia" w:ascii="仿宋" w:hAnsi="仿宋" w:eastAsia="仿宋" w:cs="仿宋"/>
                <w:color w:val="auto"/>
                <w:sz w:val="22"/>
                <w:szCs w:val="22"/>
                <w:highlight w:val="none"/>
              </w:rPr>
              <w:t>分。</w:t>
            </w:r>
          </w:p>
          <w:p w14:paraId="674BE7FD">
            <w:pPr>
              <w:spacing w:line="240" w:lineRule="auto"/>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rPr>
              <w:t>证书在全国认证认可信息公共服务平台http://cx.cnca.cn上证书状态为“有效”的查询结果截图，否则不得分</w:t>
            </w:r>
            <w:r>
              <w:rPr>
                <w:rFonts w:hint="eastAsia" w:ascii="仿宋" w:hAnsi="仿宋" w:eastAsia="仿宋" w:cs="仿宋"/>
                <w:color w:val="auto"/>
                <w:sz w:val="22"/>
                <w:szCs w:val="22"/>
                <w:highlight w:val="none"/>
                <w:lang w:eastAsia="zh-CN"/>
              </w:rPr>
              <w:t>。</w:t>
            </w:r>
          </w:p>
        </w:tc>
      </w:tr>
      <w:tr w14:paraId="33AA5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96" w:type="dxa"/>
            <w:tcBorders>
              <w:top w:val="single" w:color="auto" w:sz="4" w:space="0"/>
              <w:left w:val="single" w:color="auto" w:sz="4" w:space="0"/>
              <w:right w:val="single" w:color="auto" w:sz="4" w:space="0"/>
            </w:tcBorders>
            <w:noWrap w:val="0"/>
            <w:vAlign w:val="center"/>
          </w:tcPr>
          <w:p w14:paraId="007BA29E">
            <w:pPr>
              <w:spacing w:line="240" w:lineRule="auto"/>
              <w:jc w:val="center"/>
              <w:rPr>
                <w:rFonts w:hint="eastAsia" w:ascii="仿宋" w:hAnsi="仿宋" w:eastAsia="仿宋" w:cs="仿宋"/>
                <w:b w:val="0"/>
                <w:bCs w:val="0"/>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1274" w:type="dxa"/>
            <w:tcBorders>
              <w:top w:val="single" w:color="auto" w:sz="4" w:space="0"/>
              <w:left w:val="single" w:color="auto" w:sz="4" w:space="0"/>
              <w:right w:val="single" w:color="auto" w:sz="4" w:space="0"/>
            </w:tcBorders>
            <w:shd w:val="clear" w:color="auto" w:fill="auto"/>
            <w:noWrap w:val="0"/>
            <w:vAlign w:val="center"/>
          </w:tcPr>
          <w:p w14:paraId="5FD4DA32">
            <w:pPr>
              <w:tabs>
                <w:tab w:val="left" w:pos="630"/>
              </w:tabs>
              <w:spacing w:line="240" w:lineRule="auto"/>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rPr>
              <w:t>企业业绩</w:t>
            </w:r>
          </w:p>
        </w:tc>
        <w:tc>
          <w:tcPr>
            <w:tcW w:w="458" w:type="dxa"/>
            <w:tcBorders>
              <w:top w:val="single" w:color="auto" w:sz="4" w:space="0"/>
              <w:left w:val="single" w:color="auto" w:sz="4" w:space="0"/>
              <w:right w:val="single" w:color="auto" w:sz="4" w:space="0"/>
            </w:tcBorders>
            <w:shd w:val="clear" w:color="auto" w:fill="auto"/>
            <w:noWrap w:val="0"/>
            <w:vAlign w:val="center"/>
          </w:tcPr>
          <w:p w14:paraId="2B0F19C3">
            <w:pPr>
              <w:tabs>
                <w:tab w:val="left" w:pos="630"/>
              </w:tabs>
              <w:spacing w:line="240" w:lineRule="auto"/>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2</w:t>
            </w:r>
          </w:p>
        </w:tc>
        <w:tc>
          <w:tcPr>
            <w:tcW w:w="6654" w:type="dxa"/>
            <w:tcBorders>
              <w:top w:val="single" w:color="auto" w:sz="4" w:space="0"/>
              <w:left w:val="single" w:color="auto" w:sz="4" w:space="0"/>
              <w:right w:val="single" w:color="auto" w:sz="4" w:space="0"/>
            </w:tcBorders>
            <w:shd w:val="clear" w:color="auto" w:fill="auto"/>
            <w:noWrap w:val="0"/>
            <w:vAlign w:val="center"/>
          </w:tcPr>
          <w:p w14:paraId="2274BFB3">
            <w:pPr>
              <w:spacing w:line="240" w:lineRule="auto"/>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rPr>
              <w:t>投标人20</w:t>
            </w:r>
            <w:r>
              <w:rPr>
                <w:rFonts w:hint="eastAsia" w:ascii="仿宋" w:hAnsi="仿宋" w:eastAsia="仿宋" w:cs="仿宋"/>
                <w:color w:val="auto"/>
                <w:sz w:val="22"/>
                <w:szCs w:val="22"/>
                <w:highlight w:val="none"/>
                <w:lang w:val="en-US" w:eastAsia="zh-CN"/>
              </w:rPr>
              <w:t>22</w:t>
            </w:r>
            <w:r>
              <w:rPr>
                <w:rFonts w:hint="eastAsia" w:ascii="仿宋" w:hAnsi="仿宋" w:eastAsia="仿宋" w:cs="仿宋"/>
                <w:color w:val="auto"/>
                <w:sz w:val="22"/>
                <w:szCs w:val="22"/>
                <w:highlight w:val="none"/>
              </w:rPr>
              <w:t>年1月1日至今（以合同签订时间为准）类似业绩（类似业绩指：</w:t>
            </w:r>
            <w:r>
              <w:rPr>
                <w:rFonts w:hint="eastAsia" w:ascii="仿宋" w:hAnsi="仿宋" w:eastAsia="仿宋" w:cs="仿宋"/>
                <w:color w:val="auto"/>
                <w:sz w:val="22"/>
                <w:szCs w:val="22"/>
                <w:highlight w:val="none"/>
                <w:lang w:val="en-US" w:eastAsia="zh-CN"/>
              </w:rPr>
              <w:t>生活</w:t>
            </w:r>
            <w:r>
              <w:rPr>
                <w:rFonts w:hint="eastAsia" w:ascii="仿宋" w:hAnsi="仿宋" w:eastAsia="仿宋" w:cs="仿宋"/>
                <w:color w:val="auto"/>
                <w:sz w:val="22"/>
                <w:szCs w:val="22"/>
                <w:highlight w:val="none"/>
              </w:rPr>
              <w:t>垃圾</w:t>
            </w:r>
            <w:r>
              <w:rPr>
                <w:rFonts w:hint="eastAsia" w:ascii="仿宋" w:hAnsi="仿宋" w:eastAsia="仿宋" w:cs="仿宋"/>
                <w:color w:val="auto"/>
                <w:sz w:val="22"/>
                <w:szCs w:val="22"/>
                <w:highlight w:val="none"/>
                <w:lang w:val="en-US" w:eastAsia="zh-CN"/>
              </w:rPr>
              <w:t>收运处置</w:t>
            </w:r>
            <w:r>
              <w:rPr>
                <w:rFonts w:hint="eastAsia" w:ascii="仿宋" w:hAnsi="仿宋" w:eastAsia="仿宋" w:cs="仿宋"/>
                <w:color w:val="auto"/>
                <w:sz w:val="22"/>
                <w:szCs w:val="22"/>
                <w:highlight w:val="none"/>
              </w:rPr>
              <w:t>第三方监管项目或</w:t>
            </w:r>
            <w:r>
              <w:rPr>
                <w:rFonts w:hint="eastAsia" w:ascii="仿宋" w:hAnsi="仿宋" w:eastAsia="仿宋" w:cs="仿宋"/>
                <w:color w:val="auto"/>
                <w:sz w:val="22"/>
                <w:szCs w:val="22"/>
                <w:highlight w:val="none"/>
                <w:lang w:val="en-US" w:eastAsia="zh-CN"/>
              </w:rPr>
              <w:t>生活</w:t>
            </w:r>
            <w:r>
              <w:rPr>
                <w:rFonts w:hint="eastAsia" w:ascii="仿宋" w:hAnsi="仿宋" w:eastAsia="仿宋" w:cs="仿宋"/>
                <w:color w:val="auto"/>
                <w:sz w:val="22"/>
                <w:szCs w:val="22"/>
                <w:highlight w:val="none"/>
              </w:rPr>
              <w:t>垃圾终端运行维护管理项目</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业绩证明资料：提供</w:t>
            </w:r>
            <w:r>
              <w:rPr>
                <w:rFonts w:hint="eastAsia" w:ascii="仿宋" w:hAnsi="仿宋" w:eastAsia="仿宋" w:cs="仿宋"/>
                <w:color w:val="auto"/>
                <w:sz w:val="22"/>
                <w:szCs w:val="22"/>
                <w:highlight w:val="none"/>
                <w:lang w:val="en-US" w:eastAsia="zh-CN"/>
              </w:rPr>
              <w:t>有效的</w:t>
            </w:r>
            <w:r>
              <w:rPr>
                <w:rFonts w:hint="eastAsia" w:ascii="仿宋" w:hAnsi="仿宋" w:eastAsia="仿宋" w:cs="仿宋"/>
                <w:color w:val="auto"/>
                <w:sz w:val="22"/>
                <w:szCs w:val="22"/>
                <w:highlight w:val="none"/>
              </w:rPr>
              <w:t>合同或中标通知书清晰扫描件，不提供不得分，每提供一个单项合同业绩的得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分，最高得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tc>
      </w:tr>
      <w:tr w14:paraId="033F1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96" w:type="dxa"/>
            <w:tcBorders>
              <w:top w:val="single" w:color="auto" w:sz="4" w:space="0"/>
              <w:left w:val="single" w:color="auto" w:sz="4" w:space="0"/>
              <w:right w:val="single" w:color="auto" w:sz="4" w:space="0"/>
            </w:tcBorders>
            <w:noWrap w:val="0"/>
            <w:vAlign w:val="center"/>
          </w:tcPr>
          <w:p w14:paraId="200451E7">
            <w:pPr>
              <w:spacing w:line="240" w:lineRule="auto"/>
              <w:jc w:val="center"/>
              <w:rPr>
                <w:rFonts w:hint="eastAsia" w:ascii="仿宋" w:hAnsi="仿宋" w:eastAsia="仿宋" w:cs="仿宋"/>
                <w:b w:val="0"/>
                <w:bCs w:val="0"/>
                <w:color w:val="auto"/>
                <w:sz w:val="22"/>
                <w:szCs w:val="22"/>
                <w:highlight w:val="none"/>
                <w:lang w:eastAsia="zh-CN"/>
              </w:rPr>
            </w:pPr>
            <w:r>
              <w:rPr>
                <w:rFonts w:hint="eastAsia" w:ascii="仿宋" w:hAnsi="仿宋" w:eastAsia="仿宋" w:cs="仿宋"/>
                <w:color w:val="auto"/>
                <w:kern w:val="0"/>
                <w:sz w:val="22"/>
                <w:szCs w:val="22"/>
                <w:highlight w:val="none"/>
                <w:lang w:val="en-US" w:eastAsia="zh-CN"/>
              </w:rPr>
              <w:t>3</w:t>
            </w:r>
          </w:p>
        </w:tc>
        <w:tc>
          <w:tcPr>
            <w:tcW w:w="1274" w:type="dxa"/>
            <w:tcBorders>
              <w:top w:val="single" w:color="auto" w:sz="4" w:space="0"/>
              <w:left w:val="single" w:color="auto" w:sz="4" w:space="0"/>
              <w:right w:val="single" w:color="auto" w:sz="4" w:space="0"/>
            </w:tcBorders>
            <w:shd w:val="clear" w:color="auto" w:fill="auto"/>
            <w:noWrap w:val="0"/>
            <w:vAlign w:val="center"/>
          </w:tcPr>
          <w:p w14:paraId="37720333">
            <w:pPr>
              <w:pStyle w:val="22"/>
              <w:spacing w:after="0" w:line="240" w:lineRule="auto"/>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项目负责人综合素质</w:t>
            </w:r>
          </w:p>
          <w:p w14:paraId="3EA95879">
            <w:pPr>
              <w:pStyle w:val="22"/>
              <w:spacing w:after="0" w:line="240" w:lineRule="auto"/>
              <w:jc w:val="left"/>
              <w:rPr>
                <w:rFonts w:hint="eastAsia" w:ascii="仿宋" w:hAnsi="仿宋" w:eastAsia="仿宋" w:cs="仿宋"/>
                <w:color w:val="auto"/>
                <w:kern w:val="2"/>
                <w:sz w:val="22"/>
                <w:szCs w:val="22"/>
                <w:highlight w:val="none"/>
                <w:lang w:val="en-US" w:eastAsia="zh-CN" w:bidi="ar-SA"/>
              </w:rPr>
            </w:pPr>
          </w:p>
        </w:tc>
        <w:tc>
          <w:tcPr>
            <w:tcW w:w="458" w:type="dxa"/>
            <w:tcBorders>
              <w:top w:val="single" w:color="auto" w:sz="4" w:space="0"/>
              <w:left w:val="single" w:color="auto" w:sz="4" w:space="0"/>
              <w:right w:val="single" w:color="auto" w:sz="4" w:space="0"/>
            </w:tcBorders>
            <w:shd w:val="clear" w:color="auto" w:fill="auto"/>
            <w:noWrap w:val="0"/>
            <w:vAlign w:val="center"/>
          </w:tcPr>
          <w:p w14:paraId="15BBD002">
            <w:pPr>
              <w:pStyle w:val="22"/>
              <w:spacing w:after="0" w:line="240" w:lineRule="auto"/>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12</w:t>
            </w:r>
          </w:p>
        </w:tc>
        <w:tc>
          <w:tcPr>
            <w:tcW w:w="6654" w:type="dxa"/>
            <w:tcBorders>
              <w:top w:val="single" w:color="auto" w:sz="4" w:space="0"/>
              <w:left w:val="single" w:color="auto" w:sz="4" w:space="0"/>
              <w:right w:val="single" w:color="auto" w:sz="4" w:space="0"/>
            </w:tcBorders>
            <w:shd w:val="clear" w:color="auto" w:fill="auto"/>
            <w:noWrap w:val="0"/>
            <w:vAlign w:val="center"/>
          </w:tcPr>
          <w:p w14:paraId="0125F507">
            <w:pPr>
              <w:pStyle w:val="22"/>
              <w:numPr>
                <w:ilvl w:val="0"/>
                <w:numId w:val="0"/>
              </w:numPr>
              <w:spacing w:after="0" w:line="240" w:lineRule="auto"/>
              <w:jc w:val="left"/>
              <w:rPr>
                <w:rFonts w:hint="eastAsia" w:ascii="仿宋" w:hAnsi="仿宋" w:eastAsia="仿宋" w:cs="仿宋"/>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1.项目负责人情况：项目负责人具有环境或化学相关专业中级职称的</w:t>
            </w:r>
            <w:r>
              <w:rPr>
                <w:rFonts w:hint="eastAsia" w:ascii="仿宋" w:hAnsi="仿宋" w:eastAsia="仿宋" w:cs="仿宋"/>
                <w:bCs/>
                <w:color w:val="auto"/>
                <w:sz w:val="22"/>
                <w:szCs w:val="22"/>
                <w:highlight w:val="none"/>
                <w:lang w:val="en-GB" w:eastAsia="zh-CN"/>
              </w:rPr>
              <w:t>得</w:t>
            </w:r>
            <w:r>
              <w:rPr>
                <w:rFonts w:hint="eastAsia" w:ascii="仿宋" w:hAnsi="仿宋" w:eastAsia="仿宋" w:cs="仿宋"/>
                <w:bCs/>
                <w:color w:val="auto"/>
                <w:sz w:val="22"/>
                <w:szCs w:val="22"/>
                <w:highlight w:val="none"/>
                <w:lang w:val="en-US" w:eastAsia="zh-CN"/>
              </w:rPr>
              <w:t>3分，未提供不得分。</w:t>
            </w:r>
            <w:r>
              <w:rPr>
                <w:rFonts w:hint="eastAsia" w:ascii="仿宋" w:hAnsi="仿宋" w:eastAsia="仿宋" w:cs="仿宋"/>
                <w:color w:val="auto"/>
                <w:sz w:val="22"/>
                <w:szCs w:val="22"/>
                <w:highlight w:val="none"/>
                <w:lang w:val="en-US" w:eastAsia="zh-CN"/>
              </w:rPr>
              <w:t xml:space="preserve"> </w:t>
            </w:r>
          </w:p>
          <w:p w14:paraId="29121AA3">
            <w:pPr>
              <w:snapToGrid w:val="0"/>
              <w:spacing w:line="240" w:lineRule="auto"/>
              <w:rPr>
                <w:rFonts w:hint="eastAsia" w:ascii="仿宋" w:hAnsi="仿宋" w:eastAsia="仿宋" w:cs="仿宋"/>
                <w:bCs/>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2.根据项目负责人的综合能力情况进行打分：综合能力要素情况需要包含但不限于学历结构、工作经验和能力、本项目内容相关专业资质证书配备等。</w:t>
            </w:r>
          </w:p>
          <w:p w14:paraId="046C3B32">
            <w:pPr>
              <w:snapToGrid w:val="0"/>
              <w:spacing w:line="240" w:lineRule="auto"/>
              <w:rPr>
                <w:rFonts w:hint="eastAsia" w:ascii="仿宋" w:hAnsi="仿宋" w:eastAsia="仿宋" w:cs="仿宋"/>
                <w:bCs/>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①项目负责人综合能力出众，工作能力符合本项目需求的得9分；</w:t>
            </w:r>
          </w:p>
          <w:p w14:paraId="175166DC">
            <w:pPr>
              <w:snapToGrid w:val="0"/>
              <w:spacing w:line="240" w:lineRule="auto"/>
              <w:rPr>
                <w:rFonts w:hint="eastAsia" w:ascii="仿宋" w:hAnsi="仿宋" w:eastAsia="仿宋" w:cs="仿宋"/>
                <w:bCs/>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②项目负责人综合能力尚可，工作能力基本符合本项目需求的得6分；</w:t>
            </w:r>
          </w:p>
          <w:p w14:paraId="5CA512EF">
            <w:pPr>
              <w:snapToGrid w:val="0"/>
              <w:spacing w:line="240" w:lineRule="auto"/>
              <w:rPr>
                <w:rFonts w:hint="eastAsia" w:ascii="仿宋" w:hAnsi="仿宋" w:eastAsia="仿宋" w:cs="仿宋"/>
                <w:bCs/>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③项目负责人综合能力有所欠缺，工作能力薄弱，比较欠缺的得3分；</w:t>
            </w:r>
          </w:p>
          <w:p w14:paraId="7D790C1C">
            <w:pPr>
              <w:snapToGrid w:val="0"/>
              <w:spacing w:line="240" w:lineRule="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bCs/>
                <w:color w:val="auto"/>
                <w:sz w:val="22"/>
                <w:szCs w:val="22"/>
                <w:highlight w:val="none"/>
                <w:lang w:val="en-US" w:eastAsia="zh-CN"/>
              </w:rPr>
              <w:t>④项目负责人综合能力情况不符合方案的不得分。</w:t>
            </w:r>
          </w:p>
        </w:tc>
      </w:tr>
      <w:tr w14:paraId="13957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96" w:type="dxa"/>
            <w:tcBorders>
              <w:left w:val="single" w:color="auto" w:sz="4" w:space="0"/>
              <w:right w:val="single" w:color="auto" w:sz="4" w:space="0"/>
            </w:tcBorders>
            <w:shd w:val="clear" w:color="auto" w:fill="auto"/>
            <w:noWrap w:val="0"/>
            <w:vAlign w:val="center"/>
          </w:tcPr>
          <w:p w14:paraId="0C7EF739">
            <w:pPr>
              <w:pStyle w:val="32"/>
              <w:spacing w:line="240" w:lineRule="auto"/>
              <w:jc w:val="center"/>
              <w:rPr>
                <w:rFonts w:hint="eastAsia" w:ascii="仿宋" w:hAnsi="仿宋" w:eastAsia="仿宋" w:cs="仿宋"/>
                <w:b w:val="0"/>
                <w:bCs w:val="0"/>
                <w:color w:val="auto"/>
                <w:kern w:val="2"/>
                <w:sz w:val="22"/>
                <w:szCs w:val="22"/>
                <w:highlight w:val="none"/>
                <w:lang w:val="en-US" w:eastAsia="zh-CN" w:bidi="ar-SA"/>
              </w:rPr>
            </w:pPr>
            <w:r>
              <w:rPr>
                <w:rFonts w:hint="eastAsia" w:ascii="仿宋" w:hAnsi="仿宋" w:eastAsia="仿宋" w:cs="仿宋"/>
                <w:b w:val="0"/>
                <w:bCs w:val="0"/>
                <w:color w:val="auto"/>
                <w:sz w:val="22"/>
                <w:szCs w:val="22"/>
                <w:highlight w:val="none"/>
                <w:lang w:val="en-US" w:eastAsia="zh-CN"/>
              </w:rPr>
              <w:t>4</w:t>
            </w:r>
          </w:p>
        </w:tc>
        <w:tc>
          <w:tcPr>
            <w:tcW w:w="1274" w:type="dxa"/>
            <w:tcBorders>
              <w:left w:val="single" w:color="auto" w:sz="4" w:space="0"/>
              <w:bottom w:val="single" w:color="auto" w:sz="4" w:space="0"/>
              <w:right w:val="single" w:color="auto" w:sz="4" w:space="0"/>
            </w:tcBorders>
            <w:noWrap w:val="0"/>
            <w:vAlign w:val="center"/>
          </w:tcPr>
          <w:p w14:paraId="5099A98F">
            <w:pPr>
              <w:tabs>
                <w:tab w:val="left" w:pos="630"/>
              </w:tabs>
              <w:spacing w:line="240" w:lineRule="auto"/>
              <w:jc w:val="left"/>
              <w:rPr>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rPr>
              <w:t>项目组成员</w:t>
            </w:r>
            <w:r>
              <w:rPr>
                <w:rFonts w:hint="eastAsia" w:ascii="仿宋" w:hAnsi="仿宋" w:eastAsia="仿宋" w:cs="仿宋"/>
                <w:color w:val="auto"/>
                <w:sz w:val="22"/>
                <w:szCs w:val="22"/>
                <w:highlight w:val="none"/>
              </w:rPr>
              <w:t>综合素质</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不含项目负责人</w:t>
            </w:r>
            <w:r>
              <w:rPr>
                <w:rFonts w:hint="eastAsia" w:ascii="仿宋" w:hAnsi="仿宋" w:eastAsia="仿宋" w:cs="仿宋"/>
                <w:color w:val="auto"/>
                <w:sz w:val="22"/>
                <w:szCs w:val="22"/>
                <w:highlight w:val="none"/>
                <w:lang w:eastAsia="zh-CN"/>
              </w:rPr>
              <w:t>）</w:t>
            </w:r>
          </w:p>
          <w:p w14:paraId="75AA7917">
            <w:pPr>
              <w:tabs>
                <w:tab w:val="left" w:pos="630"/>
              </w:tabs>
              <w:spacing w:line="240" w:lineRule="auto"/>
              <w:jc w:val="left"/>
              <w:rPr>
                <w:rFonts w:hint="eastAsia" w:ascii="仿宋" w:hAnsi="仿宋" w:eastAsia="仿宋" w:cs="仿宋"/>
                <w:color w:val="auto"/>
                <w:sz w:val="22"/>
                <w:szCs w:val="22"/>
                <w:highlight w:val="none"/>
              </w:rPr>
            </w:pPr>
          </w:p>
        </w:tc>
        <w:tc>
          <w:tcPr>
            <w:tcW w:w="458" w:type="dxa"/>
            <w:tcBorders>
              <w:top w:val="single" w:color="auto" w:sz="4" w:space="0"/>
              <w:left w:val="single" w:color="auto" w:sz="4" w:space="0"/>
              <w:right w:val="single" w:color="auto" w:sz="4" w:space="0"/>
            </w:tcBorders>
            <w:noWrap w:val="0"/>
            <w:vAlign w:val="center"/>
          </w:tcPr>
          <w:p w14:paraId="0AE0303F">
            <w:pPr>
              <w:tabs>
                <w:tab w:val="left" w:pos="630"/>
              </w:tabs>
              <w:spacing w:line="240" w:lineRule="auto"/>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w:t>
            </w:r>
          </w:p>
        </w:tc>
        <w:tc>
          <w:tcPr>
            <w:tcW w:w="6654" w:type="dxa"/>
            <w:tcBorders>
              <w:top w:val="single" w:color="auto" w:sz="4" w:space="0"/>
              <w:left w:val="single" w:color="auto" w:sz="4" w:space="0"/>
              <w:right w:val="single" w:color="auto" w:sz="4" w:space="0"/>
            </w:tcBorders>
            <w:noWrap w:val="0"/>
            <w:vAlign w:val="center"/>
          </w:tcPr>
          <w:p w14:paraId="0F987F0E">
            <w:pPr>
              <w:snapToGrid w:val="0"/>
              <w:spacing w:line="240" w:lineRule="auto"/>
              <w:rPr>
                <w:rFonts w:hint="eastAsia" w:ascii="仿宋" w:hAnsi="仿宋" w:eastAsia="仿宋" w:cs="仿宋"/>
                <w:bCs/>
                <w:color w:val="auto"/>
                <w:sz w:val="22"/>
                <w:szCs w:val="22"/>
                <w:highlight w:val="none"/>
                <w:lang w:val="en-US" w:eastAsia="zh-CN"/>
              </w:rPr>
            </w:pPr>
            <w:r>
              <w:rPr>
                <w:rFonts w:hint="eastAsia" w:ascii="仿宋" w:hAnsi="仿宋" w:eastAsia="仿宋" w:cs="仿宋"/>
                <w:bCs/>
                <w:color w:val="auto"/>
                <w:sz w:val="22"/>
                <w:szCs w:val="22"/>
                <w:highlight w:val="none"/>
                <w:lang w:eastAsia="zh-CN"/>
              </w:rPr>
              <w:t>根据</w:t>
            </w:r>
            <w:r>
              <w:rPr>
                <w:rFonts w:hint="eastAsia" w:ascii="仿宋" w:hAnsi="仿宋" w:eastAsia="仿宋" w:cs="仿宋"/>
                <w:bCs/>
                <w:color w:val="auto"/>
                <w:sz w:val="22"/>
                <w:szCs w:val="22"/>
                <w:highlight w:val="none"/>
              </w:rPr>
              <w:t>项目组成员</w:t>
            </w:r>
            <w:r>
              <w:rPr>
                <w:rFonts w:hint="eastAsia" w:ascii="仿宋" w:hAnsi="仿宋" w:eastAsia="仿宋" w:cs="仿宋"/>
                <w:bCs/>
                <w:color w:val="auto"/>
                <w:sz w:val="22"/>
                <w:szCs w:val="22"/>
                <w:highlight w:val="none"/>
                <w:lang w:val="en-US" w:eastAsia="zh-CN"/>
              </w:rPr>
              <w:t>综合能力情况进行打分：综合能力要素情况需要包含但不限于学历结构、工作经验和能力、本项目内容相关专业资质证书配备等。</w:t>
            </w:r>
          </w:p>
          <w:p w14:paraId="513281B8">
            <w:pPr>
              <w:snapToGrid w:val="0"/>
              <w:spacing w:line="240" w:lineRule="auto"/>
              <w:rPr>
                <w:rFonts w:hint="eastAsia" w:ascii="仿宋" w:hAnsi="仿宋" w:eastAsia="仿宋" w:cs="仿宋"/>
                <w:bCs/>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1.</w:t>
            </w:r>
            <w:r>
              <w:rPr>
                <w:rFonts w:hint="eastAsia" w:ascii="仿宋" w:hAnsi="仿宋" w:eastAsia="仿宋" w:cs="仿宋"/>
                <w:bCs/>
                <w:color w:val="auto"/>
                <w:sz w:val="22"/>
                <w:szCs w:val="22"/>
                <w:highlight w:val="none"/>
              </w:rPr>
              <w:t>项目组成员</w:t>
            </w:r>
            <w:r>
              <w:rPr>
                <w:rFonts w:hint="eastAsia" w:ascii="仿宋" w:hAnsi="仿宋" w:eastAsia="仿宋" w:cs="仿宋"/>
                <w:bCs/>
                <w:color w:val="auto"/>
                <w:sz w:val="22"/>
                <w:szCs w:val="22"/>
                <w:highlight w:val="none"/>
                <w:lang w:val="en-US" w:eastAsia="zh-CN"/>
              </w:rPr>
              <w:t>综合能力出众，工作能力符合本项目需求的得10分；</w:t>
            </w:r>
          </w:p>
          <w:p w14:paraId="1709E1F3">
            <w:pPr>
              <w:snapToGrid w:val="0"/>
              <w:spacing w:line="240" w:lineRule="auto"/>
              <w:rPr>
                <w:rFonts w:hint="eastAsia" w:ascii="仿宋" w:hAnsi="仿宋" w:eastAsia="仿宋" w:cs="仿宋"/>
                <w:bCs/>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2.</w:t>
            </w:r>
            <w:r>
              <w:rPr>
                <w:rFonts w:hint="eastAsia" w:ascii="仿宋" w:hAnsi="仿宋" w:eastAsia="仿宋" w:cs="仿宋"/>
                <w:bCs/>
                <w:color w:val="auto"/>
                <w:sz w:val="22"/>
                <w:szCs w:val="22"/>
                <w:highlight w:val="none"/>
              </w:rPr>
              <w:t>项目组成员</w:t>
            </w:r>
            <w:r>
              <w:rPr>
                <w:rFonts w:hint="eastAsia" w:ascii="仿宋" w:hAnsi="仿宋" w:eastAsia="仿宋" w:cs="仿宋"/>
                <w:bCs/>
                <w:color w:val="auto"/>
                <w:sz w:val="22"/>
                <w:szCs w:val="22"/>
                <w:highlight w:val="none"/>
                <w:lang w:val="en-US" w:eastAsia="zh-CN"/>
              </w:rPr>
              <w:t>综合能力尚可，工作能力基本符合本项目需求的得7分；</w:t>
            </w:r>
          </w:p>
          <w:p w14:paraId="1075DBD6">
            <w:pPr>
              <w:snapToGrid w:val="0"/>
              <w:spacing w:line="240" w:lineRule="auto"/>
              <w:rPr>
                <w:rFonts w:hint="eastAsia" w:ascii="仿宋" w:hAnsi="仿宋" w:eastAsia="仿宋" w:cs="仿宋"/>
                <w:bCs/>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3.</w:t>
            </w:r>
            <w:r>
              <w:rPr>
                <w:rFonts w:hint="eastAsia" w:ascii="仿宋" w:hAnsi="仿宋" w:eastAsia="仿宋" w:cs="仿宋"/>
                <w:bCs/>
                <w:color w:val="auto"/>
                <w:sz w:val="22"/>
                <w:szCs w:val="22"/>
                <w:highlight w:val="none"/>
              </w:rPr>
              <w:t>项目组成员</w:t>
            </w:r>
            <w:r>
              <w:rPr>
                <w:rFonts w:hint="eastAsia" w:ascii="仿宋" w:hAnsi="仿宋" w:eastAsia="仿宋" w:cs="仿宋"/>
                <w:bCs/>
                <w:color w:val="auto"/>
                <w:sz w:val="22"/>
                <w:szCs w:val="22"/>
                <w:highlight w:val="none"/>
                <w:lang w:val="en-US" w:eastAsia="zh-CN"/>
              </w:rPr>
              <w:t>综合能力有所欠缺，工作能力薄弱，比较欠缺的得4分；</w:t>
            </w:r>
          </w:p>
          <w:p w14:paraId="4E0AF68D">
            <w:pPr>
              <w:snapToGrid w:val="0"/>
              <w:spacing w:line="240" w:lineRule="auto"/>
              <w:rPr>
                <w:rFonts w:hint="default" w:ascii="仿宋" w:hAnsi="仿宋" w:eastAsia="仿宋" w:cs="仿宋"/>
                <w:bCs/>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4.</w:t>
            </w:r>
            <w:r>
              <w:rPr>
                <w:rFonts w:hint="eastAsia" w:ascii="仿宋" w:hAnsi="仿宋" w:eastAsia="仿宋" w:cs="仿宋"/>
                <w:bCs/>
                <w:color w:val="auto"/>
                <w:sz w:val="22"/>
                <w:szCs w:val="22"/>
                <w:highlight w:val="none"/>
              </w:rPr>
              <w:t>项目组成员</w:t>
            </w:r>
            <w:r>
              <w:rPr>
                <w:rFonts w:hint="eastAsia" w:ascii="仿宋" w:hAnsi="仿宋" w:eastAsia="仿宋" w:cs="仿宋"/>
                <w:bCs/>
                <w:color w:val="auto"/>
                <w:sz w:val="22"/>
                <w:szCs w:val="22"/>
                <w:highlight w:val="none"/>
                <w:lang w:val="en-US" w:eastAsia="zh-CN"/>
              </w:rPr>
              <w:t>综合能力情况不符合方案的不得分。</w:t>
            </w:r>
          </w:p>
          <w:p w14:paraId="7CFC1AE7">
            <w:pPr>
              <w:numPr>
                <w:ilvl w:val="0"/>
                <w:numId w:val="0"/>
              </w:numPr>
              <w:spacing w:line="240" w:lineRule="auto"/>
              <w:jc w:val="left"/>
              <w:rPr>
                <w:rFonts w:hint="eastAsia" w:ascii="仿宋" w:hAnsi="仿宋" w:eastAsia="仿宋" w:cs="仿宋"/>
                <w:color w:val="auto"/>
                <w:sz w:val="22"/>
                <w:szCs w:val="22"/>
                <w:highlight w:val="none"/>
                <w:lang w:val="en-GB"/>
              </w:rPr>
            </w:pPr>
            <w:r>
              <w:rPr>
                <w:rFonts w:hint="eastAsia" w:ascii="仿宋" w:hAnsi="仿宋" w:eastAsia="仿宋" w:cs="仿宋"/>
                <w:color w:val="auto"/>
                <w:sz w:val="22"/>
                <w:szCs w:val="22"/>
                <w:highlight w:val="none"/>
                <w:lang w:val="en-US" w:eastAsia="zh-CN"/>
              </w:rPr>
              <w:t>注：如有提供证明材料需提供人员相关证书等复印件并加盖公章，</w:t>
            </w:r>
            <w:r>
              <w:rPr>
                <w:rFonts w:hint="eastAsia" w:ascii="仿宋" w:hAnsi="仿宋" w:eastAsia="仿宋" w:cs="仿宋"/>
                <w:color w:val="auto"/>
                <w:sz w:val="22"/>
                <w:szCs w:val="22"/>
                <w:highlight w:val="none"/>
                <w:lang w:val="en-GB" w:eastAsia="zh-CN"/>
              </w:rPr>
              <w:t>还需提社保证明。）</w:t>
            </w:r>
          </w:p>
        </w:tc>
      </w:tr>
      <w:tr w14:paraId="2C4E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96" w:type="dxa"/>
            <w:tcBorders>
              <w:left w:val="single" w:color="auto" w:sz="4" w:space="0"/>
              <w:right w:val="single" w:color="auto" w:sz="4" w:space="0"/>
            </w:tcBorders>
            <w:shd w:val="clear" w:color="auto" w:fill="auto"/>
            <w:noWrap w:val="0"/>
            <w:vAlign w:val="center"/>
          </w:tcPr>
          <w:p w14:paraId="4162723D">
            <w:pPr>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5</w:t>
            </w:r>
          </w:p>
        </w:tc>
        <w:tc>
          <w:tcPr>
            <w:tcW w:w="1274" w:type="dxa"/>
            <w:tcBorders>
              <w:left w:val="single" w:color="auto" w:sz="4" w:space="0"/>
              <w:bottom w:val="single" w:color="auto" w:sz="4" w:space="0"/>
              <w:right w:val="single" w:color="auto" w:sz="4" w:space="0"/>
            </w:tcBorders>
            <w:noWrap w:val="0"/>
            <w:vAlign w:val="center"/>
          </w:tcPr>
          <w:p w14:paraId="3C4CF9C9">
            <w:pPr>
              <w:tabs>
                <w:tab w:val="left" w:pos="630"/>
              </w:tabs>
              <w:spacing w:line="240"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自有平台情况</w:t>
            </w:r>
          </w:p>
        </w:tc>
        <w:tc>
          <w:tcPr>
            <w:tcW w:w="458" w:type="dxa"/>
            <w:tcBorders>
              <w:top w:val="single" w:color="auto" w:sz="4" w:space="0"/>
              <w:left w:val="single" w:color="auto" w:sz="4" w:space="0"/>
              <w:bottom w:val="single" w:color="auto" w:sz="4" w:space="0"/>
              <w:right w:val="single" w:color="auto" w:sz="4" w:space="0"/>
            </w:tcBorders>
            <w:noWrap w:val="0"/>
            <w:vAlign w:val="center"/>
          </w:tcPr>
          <w:p w14:paraId="549D2D3E">
            <w:pPr>
              <w:tabs>
                <w:tab w:val="left" w:pos="630"/>
              </w:tabs>
              <w:spacing w:line="240" w:lineRule="auto"/>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6</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70B3F43F">
            <w:pPr>
              <w:tabs>
                <w:tab w:val="left" w:pos="630"/>
              </w:tabs>
              <w:spacing w:line="240"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针对本项目投标人搭建的平台是否具备车辆路线监管、人员定位功能、计量监管、视频监控、信息化监管（数据分析的能力）、预警功能、</w:t>
            </w:r>
            <w:r>
              <w:rPr>
                <w:rFonts w:hint="eastAsia" w:ascii="仿宋" w:hAnsi="仿宋" w:eastAsia="仿宋" w:cs="仿宋"/>
                <w:color w:val="auto"/>
                <w:sz w:val="22"/>
                <w:szCs w:val="22"/>
                <w:highlight w:val="none"/>
                <w:lang w:eastAsia="zh-CN"/>
              </w:rPr>
              <w:t>实时</w:t>
            </w:r>
            <w:r>
              <w:rPr>
                <w:rFonts w:hint="eastAsia" w:ascii="仿宋" w:hAnsi="仿宋" w:eastAsia="仿宋" w:cs="仿宋"/>
                <w:color w:val="auto"/>
                <w:sz w:val="22"/>
                <w:szCs w:val="22"/>
                <w:highlight w:val="none"/>
              </w:rPr>
              <w:t>信息反馈功能等</w:t>
            </w:r>
            <w:r>
              <w:rPr>
                <w:rFonts w:hint="eastAsia" w:ascii="仿宋" w:hAnsi="仿宋" w:eastAsia="仿宋" w:cs="仿宋"/>
                <w:color w:val="auto"/>
                <w:sz w:val="22"/>
                <w:szCs w:val="22"/>
                <w:highlight w:val="none"/>
                <w:lang w:val="en-US" w:eastAsia="zh-CN"/>
              </w:rPr>
              <w:t>进行</w:t>
            </w:r>
            <w:r>
              <w:rPr>
                <w:rFonts w:hint="eastAsia" w:ascii="仿宋" w:hAnsi="仿宋" w:eastAsia="仿宋" w:cs="仿宋"/>
                <w:color w:val="auto"/>
                <w:sz w:val="22"/>
                <w:szCs w:val="22"/>
                <w:highlight w:val="none"/>
              </w:rPr>
              <w:t>打分</w:t>
            </w:r>
            <w:r>
              <w:rPr>
                <w:rFonts w:hint="eastAsia" w:ascii="仿宋" w:hAnsi="仿宋" w:eastAsia="仿宋" w:cs="仿宋"/>
                <w:color w:val="auto"/>
                <w:sz w:val="22"/>
                <w:szCs w:val="22"/>
                <w:highlight w:val="none"/>
                <w:lang w:eastAsia="zh-CN"/>
              </w:rPr>
              <w:t>：</w:t>
            </w:r>
          </w:p>
          <w:p w14:paraId="7B140AE6">
            <w:pPr>
              <w:tabs>
                <w:tab w:val="left" w:pos="630"/>
              </w:tabs>
              <w:spacing w:line="240" w:lineRule="auto"/>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本项目投标人搭建的平台符合项目需求，切实可行</w:t>
            </w:r>
            <w:r>
              <w:rPr>
                <w:rFonts w:hint="eastAsia" w:ascii="仿宋" w:hAnsi="仿宋" w:eastAsia="仿宋" w:cs="仿宋"/>
                <w:color w:val="auto"/>
                <w:sz w:val="22"/>
                <w:szCs w:val="22"/>
                <w:highlight w:val="none"/>
                <w:lang w:val="en-US" w:eastAsia="zh-CN"/>
              </w:rPr>
              <w:t>的6分；</w:t>
            </w:r>
          </w:p>
          <w:p w14:paraId="2DA8DCA2">
            <w:pPr>
              <w:tabs>
                <w:tab w:val="left" w:pos="630"/>
              </w:tabs>
              <w:spacing w:line="240"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本项目投标人搭建的平台基本符合项目需求，基本可行</w:t>
            </w:r>
            <w:r>
              <w:rPr>
                <w:rFonts w:hint="eastAsia" w:ascii="仿宋" w:hAnsi="仿宋" w:eastAsia="仿宋" w:cs="仿宋"/>
                <w:color w:val="auto"/>
                <w:sz w:val="22"/>
                <w:szCs w:val="22"/>
                <w:highlight w:val="none"/>
                <w:lang w:eastAsia="zh-CN"/>
              </w:rPr>
              <w:t>的</w:t>
            </w:r>
            <w:r>
              <w:rPr>
                <w:rFonts w:hint="eastAsia" w:ascii="仿宋" w:hAnsi="仿宋" w:eastAsia="仿宋" w:cs="仿宋"/>
                <w:color w:val="auto"/>
                <w:sz w:val="22"/>
                <w:szCs w:val="22"/>
                <w:highlight w:val="none"/>
                <w:lang w:val="en-US" w:eastAsia="zh-CN"/>
              </w:rPr>
              <w:t>4分；</w:t>
            </w:r>
          </w:p>
          <w:p w14:paraId="0852FE77">
            <w:pPr>
              <w:tabs>
                <w:tab w:val="left" w:pos="630"/>
              </w:tabs>
              <w:spacing w:line="240"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本项目投标人搭建的平台</w:t>
            </w:r>
            <w:r>
              <w:rPr>
                <w:rFonts w:hint="eastAsia" w:ascii="仿宋" w:hAnsi="仿宋" w:eastAsia="仿宋" w:cs="仿宋"/>
                <w:color w:val="auto"/>
                <w:sz w:val="22"/>
                <w:szCs w:val="22"/>
                <w:highlight w:val="none"/>
                <w:lang w:val="en-US" w:eastAsia="zh-CN"/>
              </w:rPr>
              <w:t>较难</w:t>
            </w:r>
            <w:r>
              <w:rPr>
                <w:rFonts w:hint="eastAsia" w:ascii="仿宋" w:hAnsi="仿宋" w:eastAsia="仿宋" w:cs="仿宋"/>
                <w:color w:val="auto"/>
                <w:sz w:val="22"/>
                <w:szCs w:val="22"/>
                <w:highlight w:val="none"/>
              </w:rPr>
              <w:t>合项目需求，存在较大缺陷</w:t>
            </w:r>
            <w:r>
              <w:rPr>
                <w:rFonts w:hint="eastAsia" w:ascii="仿宋" w:hAnsi="仿宋" w:eastAsia="仿宋" w:cs="仿宋"/>
                <w:color w:val="auto"/>
                <w:sz w:val="22"/>
                <w:szCs w:val="22"/>
                <w:highlight w:val="none"/>
                <w:lang w:val="en-US" w:eastAsia="zh-CN"/>
              </w:rPr>
              <w:t>的2</w:t>
            </w:r>
            <w:r>
              <w:rPr>
                <w:rFonts w:hint="eastAsia" w:ascii="仿宋" w:hAnsi="仿宋" w:eastAsia="仿宋" w:cs="仿宋"/>
                <w:color w:val="auto"/>
                <w:sz w:val="22"/>
                <w:szCs w:val="22"/>
                <w:highlight w:val="none"/>
              </w:rPr>
              <w:t>分</w:t>
            </w:r>
            <w:r>
              <w:rPr>
                <w:rFonts w:hint="eastAsia" w:ascii="仿宋" w:hAnsi="仿宋" w:eastAsia="仿宋" w:cs="仿宋"/>
                <w:bCs/>
                <w:color w:val="auto"/>
                <w:sz w:val="22"/>
                <w:szCs w:val="22"/>
                <w:highlight w:val="none"/>
                <w:lang w:val="en-US" w:eastAsia="zh-CN"/>
              </w:rPr>
              <w:t>；</w:t>
            </w:r>
          </w:p>
          <w:p w14:paraId="0149A866">
            <w:pPr>
              <w:tabs>
                <w:tab w:val="left" w:pos="630"/>
              </w:tabs>
              <w:spacing w:line="240" w:lineRule="auto"/>
              <w:jc w:val="left"/>
              <w:rPr>
                <w:rFonts w:hint="eastAsia" w:ascii="仿宋" w:hAnsi="仿宋" w:eastAsia="仿宋" w:cs="仿宋"/>
                <w:bCs/>
                <w:color w:val="auto"/>
                <w:sz w:val="22"/>
                <w:szCs w:val="22"/>
                <w:highlight w:val="none"/>
              </w:rPr>
            </w:pPr>
            <w:r>
              <w:rPr>
                <w:rFonts w:hint="eastAsia" w:ascii="仿宋" w:hAnsi="仿宋" w:eastAsia="仿宋" w:cs="仿宋"/>
                <w:color w:val="auto"/>
                <w:sz w:val="22"/>
                <w:szCs w:val="22"/>
                <w:highlight w:val="none"/>
                <w:lang w:val="en-US" w:eastAsia="zh-CN"/>
              </w:rPr>
              <w:t>4.与实际情况不符的或本项未提供的不得分。</w:t>
            </w:r>
          </w:p>
        </w:tc>
      </w:tr>
      <w:tr w14:paraId="4C9BC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96" w:type="dxa"/>
            <w:tcBorders>
              <w:left w:val="single" w:color="auto" w:sz="4" w:space="0"/>
              <w:right w:val="single" w:color="auto" w:sz="4" w:space="0"/>
            </w:tcBorders>
            <w:shd w:val="clear" w:color="auto" w:fill="auto"/>
            <w:noWrap w:val="0"/>
            <w:vAlign w:val="center"/>
          </w:tcPr>
          <w:p w14:paraId="66470C74">
            <w:pPr>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6</w:t>
            </w:r>
          </w:p>
        </w:tc>
        <w:tc>
          <w:tcPr>
            <w:tcW w:w="1274" w:type="dxa"/>
            <w:tcBorders>
              <w:left w:val="single" w:color="auto" w:sz="4" w:space="0"/>
              <w:bottom w:val="single" w:color="auto" w:sz="4" w:space="0"/>
              <w:right w:val="single" w:color="auto" w:sz="4" w:space="0"/>
            </w:tcBorders>
            <w:noWrap w:val="0"/>
            <w:vAlign w:val="center"/>
          </w:tcPr>
          <w:p w14:paraId="27DE3E7D">
            <w:pPr>
              <w:spacing w:line="24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企业</w:t>
            </w:r>
            <w:r>
              <w:rPr>
                <w:rFonts w:hint="eastAsia" w:ascii="仿宋" w:hAnsi="仿宋" w:eastAsia="仿宋" w:cs="仿宋"/>
                <w:color w:val="auto"/>
                <w:sz w:val="22"/>
                <w:szCs w:val="22"/>
                <w:highlight w:val="none"/>
                <w:lang w:val="en-US" w:eastAsia="zh-CN"/>
              </w:rPr>
              <w:t>相关</w:t>
            </w:r>
            <w:r>
              <w:rPr>
                <w:rFonts w:hint="eastAsia" w:ascii="仿宋" w:hAnsi="仿宋" w:eastAsia="仿宋" w:cs="仿宋"/>
                <w:color w:val="auto"/>
                <w:sz w:val="22"/>
                <w:szCs w:val="22"/>
                <w:highlight w:val="none"/>
              </w:rPr>
              <w:t>设备配备情况</w:t>
            </w:r>
          </w:p>
        </w:tc>
        <w:tc>
          <w:tcPr>
            <w:tcW w:w="458" w:type="dxa"/>
            <w:tcBorders>
              <w:top w:val="single" w:color="auto" w:sz="4" w:space="0"/>
              <w:left w:val="single" w:color="auto" w:sz="4" w:space="0"/>
              <w:bottom w:val="single" w:color="auto" w:sz="4" w:space="0"/>
              <w:right w:val="single" w:color="auto" w:sz="4" w:space="0"/>
            </w:tcBorders>
            <w:noWrap w:val="0"/>
            <w:vAlign w:val="center"/>
          </w:tcPr>
          <w:p w14:paraId="50FB8129">
            <w:pPr>
              <w:spacing w:line="240" w:lineRule="auto"/>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6</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04127DD2">
            <w:pPr>
              <w:tabs>
                <w:tab w:val="left" w:pos="630"/>
              </w:tabs>
              <w:spacing w:line="240" w:lineRule="auto"/>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针对本项目配企业</w:t>
            </w:r>
            <w:r>
              <w:rPr>
                <w:rFonts w:hint="eastAsia" w:ascii="仿宋" w:hAnsi="仿宋" w:eastAsia="仿宋" w:cs="仿宋"/>
                <w:color w:val="auto"/>
                <w:sz w:val="22"/>
                <w:szCs w:val="22"/>
                <w:highlight w:val="none"/>
                <w:lang w:val="en-US" w:eastAsia="zh-CN"/>
              </w:rPr>
              <w:t>相关</w:t>
            </w:r>
            <w:r>
              <w:rPr>
                <w:rFonts w:hint="eastAsia" w:ascii="仿宋" w:hAnsi="仿宋" w:eastAsia="仿宋" w:cs="仿宋"/>
                <w:color w:val="auto"/>
                <w:sz w:val="22"/>
                <w:szCs w:val="22"/>
                <w:highlight w:val="none"/>
              </w:rPr>
              <w:t>设备配备情况</w:t>
            </w:r>
            <w:r>
              <w:rPr>
                <w:rFonts w:hint="eastAsia" w:ascii="仿宋" w:hAnsi="仿宋" w:eastAsia="仿宋" w:cs="仿宋"/>
                <w:color w:val="auto"/>
                <w:sz w:val="22"/>
                <w:szCs w:val="22"/>
                <w:highlight w:val="none"/>
                <w:lang w:val="en-US" w:eastAsia="zh-CN"/>
              </w:rPr>
              <w:t>并提供相关证明材料</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进行打分：</w:t>
            </w:r>
          </w:p>
          <w:p w14:paraId="45C19946">
            <w:pPr>
              <w:tabs>
                <w:tab w:val="left" w:pos="630"/>
              </w:tabs>
              <w:spacing w:line="240" w:lineRule="auto"/>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设备配备情况</w:t>
            </w:r>
            <w:r>
              <w:rPr>
                <w:rFonts w:hint="eastAsia" w:ascii="仿宋" w:hAnsi="仿宋" w:eastAsia="仿宋" w:cs="仿宋"/>
                <w:color w:val="auto"/>
                <w:sz w:val="22"/>
                <w:szCs w:val="22"/>
                <w:highlight w:val="none"/>
                <w:lang w:val="en-US" w:eastAsia="zh-CN"/>
              </w:rPr>
              <w:t>符合</w:t>
            </w:r>
            <w:r>
              <w:rPr>
                <w:rFonts w:hint="eastAsia" w:ascii="仿宋" w:hAnsi="仿宋" w:eastAsia="仿宋" w:cs="仿宋"/>
                <w:color w:val="auto"/>
                <w:sz w:val="22"/>
                <w:szCs w:val="22"/>
                <w:highlight w:val="none"/>
              </w:rPr>
              <w:t>项目需求，切实可行</w:t>
            </w:r>
            <w:r>
              <w:rPr>
                <w:rFonts w:hint="eastAsia" w:ascii="仿宋" w:hAnsi="仿宋" w:eastAsia="仿宋" w:cs="仿宋"/>
                <w:color w:val="auto"/>
                <w:sz w:val="22"/>
                <w:szCs w:val="22"/>
                <w:highlight w:val="none"/>
                <w:lang w:val="en-US" w:eastAsia="zh-CN"/>
              </w:rPr>
              <w:t>的得6分；</w:t>
            </w:r>
          </w:p>
          <w:p w14:paraId="5CA67EF7">
            <w:pPr>
              <w:tabs>
                <w:tab w:val="left" w:pos="630"/>
              </w:tabs>
              <w:spacing w:line="240" w:lineRule="auto"/>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设备配备情况</w:t>
            </w:r>
            <w:r>
              <w:rPr>
                <w:rFonts w:hint="eastAsia" w:ascii="仿宋" w:hAnsi="仿宋" w:eastAsia="仿宋" w:cs="仿宋"/>
                <w:color w:val="auto"/>
                <w:sz w:val="22"/>
                <w:szCs w:val="22"/>
                <w:highlight w:val="none"/>
                <w:lang w:val="en-US" w:eastAsia="zh-CN"/>
              </w:rPr>
              <w:t>基</w:t>
            </w:r>
            <w:r>
              <w:rPr>
                <w:rFonts w:hint="eastAsia" w:ascii="仿宋" w:hAnsi="仿宋" w:eastAsia="仿宋" w:cs="仿宋"/>
                <w:color w:val="auto"/>
                <w:sz w:val="22"/>
                <w:szCs w:val="22"/>
                <w:highlight w:val="none"/>
              </w:rPr>
              <w:t>本符合项目需求，基本可行</w:t>
            </w:r>
            <w:r>
              <w:rPr>
                <w:rFonts w:hint="eastAsia" w:ascii="仿宋" w:hAnsi="仿宋" w:eastAsia="仿宋" w:cs="仿宋"/>
                <w:color w:val="auto"/>
                <w:sz w:val="22"/>
                <w:szCs w:val="22"/>
                <w:highlight w:val="none"/>
                <w:lang w:val="en-US" w:eastAsia="zh-CN"/>
              </w:rPr>
              <w:t>的得4分；</w:t>
            </w:r>
          </w:p>
          <w:p w14:paraId="78F58C8A">
            <w:pPr>
              <w:tabs>
                <w:tab w:val="left" w:pos="630"/>
              </w:tabs>
              <w:spacing w:line="240" w:lineRule="auto"/>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设备配备情况</w:t>
            </w:r>
            <w:r>
              <w:rPr>
                <w:rFonts w:hint="eastAsia" w:ascii="仿宋" w:hAnsi="仿宋" w:eastAsia="仿宋" w:cs="仿宋"/>
                <w:color w:val="auto"/>
                <w:sz w:val="22"/>
                <w:szCs w:val="22"/>
                <w:highlight w:val="none"/>
                <w:lang w:val="en-US" w:eastAsia="zh-CN"/>
              </w:rPr>
              <w:t>较难</w:t>
            </w:r>
            <w:r>
              <w:rPr>
                <w:rFonts w:hint="eastAsia" w:ascii="仿宋" w:hAnsi="仿宋" w:eastAsia="仿宋" w:cs="仿宋"/>
                <w:color w:val="auto"/>
                <w:sz w:val="22"/>
                <w:szCs w:val="22"/>
                <w:highlight w:val="none"/>
              </w:rPr>
              <w:t>符合项目需求，存在较大缺陷</w:t>
            </w:r>
            <w:r>
              <w:rPr>
                <w:rFonts w:hint="eastAsia" w:ascii="仿宋" w:hAnsi="仿宋" w:eastAsia="仿宋" w:cs="仿宋"/>
                <w:color w:val="auto"/>
                <w:sz w:val="22"/>
                <w:szCs w:val="22"/>
                <w:highlight w:val="none"/>
                <w:lang w:val="en-US" w:eastAsia="zh-CN"/>
              </w:rPr>
              <w:t>的得2分；</w:t>
            </w:r>
          </w:p>
          <w:p w14:paraId="26C2DFCD">
            <w:pPr>
              <w:tabs>
                <w:tab w:val="left" w:pos="630"/>
              </w:tabs>
              <w:spacing w:line="240"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4.设备情况与实际要求不符的或未提供的不得分。</w:t>
            </w:r>
          </w:p>
        </w:tc>
      </w:tr>
      <w:tr w14:paraId="6A59D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trPr>
        <w:tc>
          <w:tcPr>
            <w:tcW w:w="696" w:type="dxa"/>
            <w:vMerge w:val="restart"/>
            <w:tcBorders>
              <w:top w:val="single" w:color="auto" w:sz="4" w:space="0"/>
              <w:left w:val="single" w:color="auto" w:sz="4" w:space="0"/>
              <w:right w:val="single" w:color="auto" w:sz="4" w:space="0"/>
            </w:tcBorders>
            <w:shd w:val="clear" w:color="auto" w:fill="auto"/>
            <w:noWrap w:val="0"/>
            <w:vAlign w:val="center"/>
          </w:tcPr>
          <w:p w14:paraId="0A04B80D">
            <w:pPr>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7</w:t>
            </w:r>
          </w:p>
          <w:p w14:paraId="3C176220">
            <w:pPr>
              <w:spacing w:line="240" w:lineRule="auto"/>
              <w:jc w:val="center"/>
              <w:rPr>
                <w:rFonts w:hint="eastAsia" w:ascii="仿宋" w:hAnsi="仿宋" w:eastAsia="仿宋" w:cs="仿宋"/>
                <w:color w:val="auto"/>
                <w:sz w:val="22"/>
                <w:szCs w:val="22"/>
                <w:highlight w:val="none"/>
                <w:lang w:eastAsia="zh-CN"/>
              </w:rPr>
            </w:pPr>
          </w:p>
        </w:tc>
        <w:tc>
          <w:tcPr>
            <w:tcW w:w="1274" w:type="dxa"/>
            <w:vMerge w:val="restart"/>
            <w:tcBorders>
              <w:top w:val="single" w:color="auto" w:sz="4" w:space="0"/>
              <w:left w:val="single" w:color="auto" w:sz="4" w:space="0"/>
              <w:right w:val="single" w:color="auto" w:sz="4" w:space="0"/>
            </w:tcBorders>
            <w:noWrap w:val="0"/>
            <w:vAlign w:val="center"/>
          </w:tcPr>
          <w:p w14:paraId="1DF6D62D">
            <w:pPr>
              <w:tabs>
                <w:tab w:val="left" w:pos="630"/>
              </w:tabs>
              <w:spacing w:line="240" w:lineRule="auto"/>
              <w:jc w:val="left"/>
              <w:rPr>
                <w:rFonts w:hint="eastAsia" w:ascii="仿宋" w:hAnsi="仿宋" w:eastAsia="仿宋" w:cs="仿宋"/>
                <w:color w:val="auto"/>
                <w:sz w:val="22"/>
                <w:szCs w:val="22"/>
                <w:highlight w:val="none"/>
                <w:lang w:val="en-GB"/>
              </w:rPr>
            </w:pPr>
            <w:r>
              <w:rPr>
                <w:rFonts w:hint="eastAsia" w:ascii="仿宋" w:hAnsi="仿宋" w:eastAsia="仿宋" w:cs="仿宋"/>
                <w:color w:val="auto"/>
                <w:sz w:val="22"/>
                <w:szCs w:val="22"/>
                <w:highlight w:val="none"/>
              </w:rPr>
              <w:t>实施方案</w:t>
            </w:r>
          </w:p>
        </w:tc>
        <w:tc>
          <w:tcPr>
            <w:tcW w:w="458" w:type="dxa"/>
            <w:tcBorders>
              <w:top w:val="single" w:color="auto" w:sz="4" w:space="0"/>
              <w:left w:val="single" w:color="auto" w:sz="4" w:space="0"/>
              <w:bottom w:val="single" w:color="auto" w:sz="4" w:space="0"/>
              <w:right w:val="single" w:color="auto" w:sz="4" w:space="0"/>
            </w:tcBorders>
            <w:noWrap w:val="0"/>
            <w:vAlign w:val="center"/>
          </w:tcPr>
          <w:p w14:paraId="671D400E">
            <w:pPr>
              <w:tabs>
                <w:tab w:val="left" w:pos="630"/>
              </w:tabs>
              <w:spacing w:line="240" w:lineRule="auto"/>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5</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1DF7C069">
            <w:pPr>
              <w:tabs>
                <w:tab w:val="left" w:pos="630"/>
              </w:tabs>
              <w:spacing w:line="240" w:lineRule="auto"/>
              <w:jc w:val="left"/>
              <w:rPr>
                <w:rFonts w:hint="eastAsia" w:ascii="仿宋" w:hAnsi="仿宋" w:eastAsia="仿宋" w:cs="仿宋"/>
                <w:color w:val="auto"/>
                <w:sz w:val="22"/>
                <w:szCs w:val="22"/>
                <w:highlight w:val="none"/>
                <w:lang w:val="en-GB" w:eastAsia="zh-CN"/>
              </w:rPr>
            </w:pPr>
            <w:r>
              <w:rPr>
                <w:rFonts w:hint="eastAsia" w:ascii="仿宋" w:hAnsi="仿宋" w:eastAsia="仿宋" w:cs="仿宋"/>
                <w:color w:val="auto"/>
                <w:sz w:val="22"/>
                <w:szCs w:val="22"/>
                <w:highlight w:val="none"/>
                <w:lang w:val="en-GB"/>
              </w:rPr>
              <w:t>投标人根据本项目要求提出具体管理措施，</w:t>
            </w:r>
            <w:r>
              <w:rPr>
                <w:rFonts w:hint="eastAsia" w:ascii="仿宋" w:hAnsi="仿宋" w:eastAsia="仿宋" w:cs="仿宋"/>
                <w:color w:val="auto"/>
                <w:sz w:val="22"/>
                <w:szCs w:val="22"/>
                <w:highlight w:val="none"/>
              </w:rPr>
              <w:t>按照制定措施的完整性、全面性、科学性、可操作性等</w:t>
            </w:r>
            <w:r>
              <w:rPr>
                <w:rFonts w:hint="eastAsia" w:ascii="仿宋" w:hAnsi="仿宋" w:eastAsia="仿宋" w:cs="仿宋"/>
                <w:color w:val="auto"/>
                <w:sz w:val="22"/>
                <w:szCs w:val="22"/>
                <w:highlight w:val="none"/>
                <w:lang w:val="en-US" w:eastAsia="zh-CN"/>
              </w:rPr>
              <w:t>内容进行</w:t>
            </w:r>
            <w:r>
              <w:rPr>
                <w:rFonts w:hint="eastAsia" w:ascii="仿宋" w:hAnsi="仿宋" w:eastAsia="仿宋" w:cs="仿宋"/>
                <w:color w:val="auto"/>
                <w:sz w:val="22"/>
                <w:szCs w:val="22"/>
                <w:highlight w:val="none"/>
              </w:rPr>
              <w:t>打分</w:t>
            </w:r>
            <w:r>
              <w:rPr>
                <w:rFonts w:hint="eastAsia" w:ascii="仿宋" w:hAnsi="仿宋" w:eastAsia="仿宋" w:cs="仿宋"/>
                <w:color w:val="auto"/>
                <w:sz w:val="22"/>
                <w:szCs w:val="22"/>
                <w:highlight w:val="none"/>
                <w:lang w:val="en-US" w:eastAsia="zh-CN"/>
              </w:rPr>
              <w:t>：</w:t>
            </w:r>
          </w:p>
          <w:p w14:paraId="6D58D00F">
            <w:pPr>
              <w:tabs>
                <w:tab w:val="left" w:pos="630"/>
              </w:tabs>
              <w:spacing w:line="240" w:lineRule="auto"/>
              <w:jc w:val="left"/>
              <w:rPr>
                <w:rFonts w:hint="eastAsia" w:ascii="仿宋" w:hAnsi="仿宋" w:eastAsia="仿宋" w:cs="仿宋"/>
                <w:color w:val="auto"/>
                <w:sz w:val="22"/>
                <w:szCs w:val="22"/>
                <w:highlight w:val="none"/>
                <w:lang w:val="en-GB"/>
              </w:rPr>
            </w:pP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lang w:val="en-GB"/>
              </w:rPr>
              <w:t>所制定的措施总体思路清晰、内容完整、组织机构设置合理、可实施性强</w:t>
            </w:r>
            <w:r>
              <w:rPr>
                <w:rFonts w:hint="eastAsia" w:ascii="仿宋" w:hAnsi="仿宋" w:eastAsia="仿宋" w:cs="仿宋"/>
                <w:color w:val="auto"/>
                <w:sz w:val="22"/>
                <w:szCs w:val="22"/>
                <w:highlight w:val="none"/>
                <w:lang w:val="en-US" w:eastAsia="zh-CN"/>
              </w:rPr>
              <w:t>的得5分</w:t>
            </w:r>
            <w:r>
              <w:rPr>
                <w:rFonts w:hint="eastAsia" w:ascii="仿宋" w:hAnsi="仿宋" w:eastAsia="仿宋" w:cs="仿宋"/>
                <w:color w:val="auto"/>
                <w:sz w:val="22"/>
                <w:szCs w:val="22"/>
                <w:highlight w:val="none"/>
                <w:lang w:val="en-GB"/>
              </w:rPr>
              <w:t>；</w:t>
            </w:r>
          </w:p>
          <w:p w14:paraId="347B129C">
            <w:pPr>
              <w:tabs>
                <w:tab w:val="left" w:pos="630"/>
              </w:tabs>
              <w:spacing w:line="240" w:lineRule="auto"/>
              <w:jc w:val="left"/>
              <w:rPr>
                <w:rFonts w:hint="eastAsia" w:ascii="仿宋" w:hAnsi="仿宋" w:eastAsia="仿宋" w:cs="仿宋"/>
                <w:color w:val="auto"/>
                <w:sz w:val="22"/>
                <w:szCs w:val="22"/>
                <w:highlight w:val="none"/>
                <w:lang w:val="en-GB"/>
              </w:rPr>
            </w:pP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lang w:val="en-GB"/>
              </w:rPr>
              <w:t>所制定的措施总体思路较清晰、内容较完整、组织机构设置较合理、可实施性较强</w:t>
            </w:r>
            <w:r>
              <w:rPr>
                <w:rFonts w:hint="eastAsia" w:ascii="仿宋" w:hAnsi="仿宋" w:eastAsia="仿宋" w:cs="仿宋"/>
                <w:color w:val="auto"/>
                <w:sz w:val="22"/>
                <w:szCs w:val="22"/>
                <w:highlight w:val="none"/>
                <w:lang w:val="en-US" w:eastAsia="zh-CN"/>
              </w:rPr>
              <w:t>的得3分</w:t>
            </w:r>
            <w:r>
              <w:rPr>
                <w:rFonts w:hint="eastAsia" w:ascii="仿宋" w:hAnsi="仿宋" w:eastAsia="仿宋" w:cs="仿宋"/>
                <w:color w:val="auto"/>
                <w:sz w:val="22"/>
                <w:szCs w:val="22"/>
                <w:highlight w:val="none"/>
                <w:lang w:val="en-GB"/>
              </w:rPr>
              <w:t>；</w:t>
            </w:r>
          </w:p>
          <w:p w14:paraId="31FAFDC5">
            <w:pPr>
              <w:tabs>
                <w:tab w:val="left" w:pos="630"/>
              </w:tabs>
              <w:spacing w:line="240" w:lineRule="auto"/>
              <w:jc w:val="left"/>
              <w:rPr>
                <w:rFonts w:hint="eastAsia" w:ascii="仿宋" w:hAnsi="仿宋" w:eastAsia="仿宋" w:cs="仿宋"/>
                <w:color w:val="auto"/>
                <w:sz w:val="22"/>
                <w:szCs w:val="22"/>
                <w:highlight w:val="none"/>
                <w:lang w:val="en-GB"/>
              </w:rPr>
            </w:pP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lang w:val="en-GB"/>
              </w:rPr>
              <w:t>所制定的措施总体思路基本清晰、内容基本完整、组织机构设置基本合理、具有一定的可实施性</w:t>
            </w:r>
            <w:r>
              <w:rPr>
                <w:rFonts w:hint="eastAsia" w:ascii="仿宋" w:hAnsi="仿宋" w:eastAsia="仿宋" w:cs="仿宋"/>
                <w:color w:val="auto"/>
                <w:sz w:val="22"/>
                <w:szCs w:val="22"/>
                <w:highlight w:val="none"/>
                <w:lang w:val="en-US" w:eastAsia="zh-CN"/>
              </w:rPr>
              <w:t>的得1分</w:t>
            </w:r>
            <w:r>
              <w:rPr>
                <w:rFonts w:hint="eastAsia" w:ascii="仿宋" w:hAnsi="仿宋" w:eastAsia="仿宋" w:cs="仿宋"/>
                <w:color w:val="auto"/>
                <w:sz w:val="22"/>
                <w:szCs w:val="22"/>
                <w:highlight w:val="none"/>
                <w:lang w:val="en-GB"/>
              </w:rPr>
              <w:t>；</w:t>
            </w:r>
          </w:p>
          <w:p w14:paraId="22846D0A">
            <w:pPr>
              <w:pStyle w:val="23"/>
              <w:spacing w:line="240" w:lineRule="auto"/>
              <w:ind w:left="0" w:leftChars="0" w:firstLine="0" w:firstLineChars="0"/>
              <w:rPr>
                <w:rFonts w:hint="eastAsia"/>
                <w:color w:val="auto"/>
                <w:highlight w:val="none"/>
              </w:rPr>
            </w:pPr>
            <w:r>
              <w:rPr>
                <w:rFonts w:hint="eastAsia" w:ascii="仿宋" w:hAnsi="仿宋" w:eastAsia="仿宋" w:cs="仿宋"/>
                <w:color w:val="auto"/>
                <w:sz w:val="22"/>
                <w:szCs w:val="22"/>
                <w:highlight w:val="none"/>
                <w:lang w:val="en-US" w:eastAsia="zh-CN"/>
              </w:rPr>
              <w:t>4.与实际要求不符的或未提供的不得分。</w:t>
            </w:r>
          </w:p>
        </w:tc>
      </w:tr>
      <w:tr w14:paraId="78F7A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96" w:type="dxa"/>
            <w:vMerge w:val="continue"/>
            <w:tcBorders>
              <w:left w:val="single" w:color="auto" w:sz="4" w:space="0"/>
              <w:right w:val="single" w:color="auto" w:sz="4" w:space="0"/>
            </w:tcBorders>
            <w:shd w:val="clear" w:color="auto" w:fill="auto"/>
            <w:noWrap w:val="0"/>
            <w:vAlign w:val="center"/>
          </w:tcPr>
          <w:p w14:paraId="3604CF98">
            <w:pPr>
              <w:spacing w:line="240" w:lineRule="auto"/>
              <w:jc w:val="center"/>
              <w:rPr>
                <w:rFonts w:hint="eastAsia" w:ascii="仿宋" w:hAnsi="仿宋" w:eastAsia="仿宋" w:cs="仿宋"/>
                <w:color w:val="auto"/>
                <w:sz w:val="22"/>
                <w:szCs w:val="22"/>
                <w:highlight w:val="none"/>
              </w:rPr>
            </w:pPr>
          </w:p>
        </w:tc>
        <w:tc>
          <w:tcPr>
            <w:tcW w:w="1274" w:type="dxa"/>
            <w:vMerge w:val="continue"/>
            <w:tcBorders>
              <w:left w:val="single" w:color="auto" w:sz="4" w:space="0"/>
              <w:right w:val="single" w:color="auto" w:sz="4" w:space="0"/>
            </w:tcBorders>
            <w:noWrap w:val="0"/>
            <w:vAlign w:val="center"/>
          </w:tcPr>
          <w:p w14:paraId="393261B3">
            <w:pPr>
              <w:tabs>
                <w:tab w:val="left" w:pos="630"/>
              </w:tabs>
              <w:spacing w:line="240" w:lineRule="auto"/>
              <w:jc w:val="left"/>
              <w:rPr>
                <w:rFonts w:hint="eastAsia" w:ascii="仿宋" w:hAnsi="仿宋" w:eastAsia="仿宋" w:cs="仿宋"/>
                <w:color w:val="auto"/>
                <w:sz w:val="22"/>
                <w:szCs w:val="22"/>
                <w:highlight w:val="none"/>
                <w:lang w:val="en-GB"/>
              </w:rPr>
            </w:pPr>
          </w:p>
        </w:tc>
        <w:tc>
          <w:tcPr>
            <w:tcW w:w="458" w:type="dxa"/>
            <w:tcBorders>
              <w:top w:val="single" w:color="auto" w:sz="4" w:space="0"/>
              <w:left w:val="single" w:color="auto" w:sz="4" w:space="0"/>
              <w:bottom w:val="single" w:color="auto" w:sz="4" w:space="0"/>
              <w:right w:val="single" w:color="auto" w:sz="4" w:space="0"/>
            </w:tcBorders>
            <w:noWrap w:val="0"/>
            <w:vAlign w:val="center"/>
          </w:tcPr>
          <w:p w14:paraId="646291A8">
            <w:pPr>
              <w:tabs>
                <w:tab w:val="left" w:pos="630"/>
              </w:tabs>
              <w:spacing w:line="240" w:lineRule="auto"/>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5</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6787EF13">
            <w:pPr>
              <w:tabs>
                <w:tab w:val="left" w:pos="630"/>
              </w:tabs>
              <w:spacing w:line="240"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针对本项目的工作质量保障措施、工作中可能遇到的问题及其应急措施</w:t>
            </w:r>
            <w:r>
              <w:rPr>
                <w:rFonts w:hint="eastAsia" w:ascii="仿宋" w:hAnsi="仿宋" w:eastAsia="仿宋" w:cs="仿宋"/>
                <w:color w:val="auto"/>
                <w:sz w:val="22"/>
                <w:szCs w:val="22"/>
                <w:highlight w:val="none"/>
                <w:lang w:val="en-US" w:eastAsia="zh-CN"/>
              </w:rPr>
              <w:t>进行</w:t>
            </w:r>
            <w:r>
              <w:rPr>
                <w:rFonts w:hint="eastAsia" w:ascii="仿宋" w:hAnsi="仿宋" w:eastAsia="仿宋" w:cs="仿宋"/>
                <w:color w:val="auto"/>
                <w:sz w:val="22"/>
                <w:szCs w:val="22"/>
                <w:highlight w:val="none"/>
              </w:rPr>
              <w:t>打分</w:t>
            </w:r>
            <w:r>
              <w:rPr>
                <w:rFonts w:hint="eastAsia" w:ascii="仿宋" w:hAnsi="仿宋" w:eastAsia="仿宋" w:cs="仿宋"/>
                <w:color w:val="auto"/>
                <w:sz w:val="22"/>
                <w:szCs w:val="22"/>
                <w:highlight w:val="none"/>
                <w:lang w:val="en-US" w:eastAsia="zh-CN"/>
              </w:rPr>
              <w:t>：</w:t>
            </w:r>
          </w:p>
          <w:p w14:paraId="34B02AB6">
            <w:pPr>
              <w:tabs>
                <w:tab w:val="left" w:pos="630"/>
              </w:tabs>
              <w:spacing w:line="240" w:lineRule="auto"/>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1.措施符合项目需求，切实可行的得5分；</w:t>
            </w:r>
          </w:p>
          <w:p w14:paraId="4643D406">
            <w:pPr>
              <w:tabs>
                <w:tab w:val="left" w:pos="630"/>
              </w:tabs>
              <w:spacing w:line="240" w:lineRule="auto"/>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2.措施基本符合项目需求，基本可行的得3分；</w:t>
            </w:r>
          </w:p>
          <w:p w14:paraId="0C7EAC62">
            <w:pPr>
              <w:tabs>
                <w:tab w:val="left" w:pos="630"/>
              </w:tabs>
              <w:spacing w:line="240" w:lineRule="auto"/>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3.措施不符合项目需求，不贴合项目实际的得1分；</w:t>
            </w:r>
          </w:p>
          <w:p w14:paraId="5E8C73B4">
            <w:pPr>
              <w:tabs>
                <w:tab w:val="left" w:pos="630"/>
              </w:tabs>
              <w:spacing w:line="240"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4.与实际情况不符的或本项未提供的不得分。</w:t>
            </w:r>
          </w:p>
        </w:tc>
      </w:tr>
      <w:tr w14:paraId="5ED9A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696" w:type="dxa"/>
            <w:vMerge w:val="continue"/>
            <w:tcBorders>
              <w:left w:val="single" w:color="auto" w:sz="4" w:space="0"/>
              <w:right w:val="single" w:color="auto" w:sz="4" w:space="0"/>
            </w:tcBorders>
            <w:noWrap w:val="0"/>
            <w:vAlign w:val="center"/>
          </w:tcPr>
          <w:p w14:paraId="1BD74D2F">
            <w:pPr>
              <w:spacing w:line="240" w:lineRule="auto"/>
              <w:jc w:val="center"/>
              <w:rPr>
                <w:rFonts w:hint="eastAsia" w:ascii="仿宋" w:hAnsi="仿宋" w:eastAsia="仿宋" w:cs="仿宋"/>
                <w:color w:val="auto"/>
                <w:sz w:val="22"/>
                <w:szCs w:val="22"/>
                <w:highlight w:val="none"/>
              </w:rPr>
            </w:pPr>
          </w:p>
        </w:tc>
        <w:tc>
          <w:tcPr>
            <w:tcW w:w="1274" w:type="dxa"/>
            <w:vMerge w:val="continue"/>
            <w:tcBorders>
              <w:left w:val="single" w:color="auto" w:sz="4" w:space="0"/>
              <w:right w:val="single" w:color="auto" w:sz="4" w:space="0"/>
            </w:tcBorders>
            <w:noWrap w:val="0"/>
            <w:vAlign w:val="center"/>
          </w:tcPr>
          <w:p w14:paraId="45953ADF">
            <w:pPr>
              <w:tabs>
                <w:tab w:val="left" w:pos="630"/>
              </w:tabs>
              <w:spacing w:line="240" w:lineRule="auto"/>
              <w:jc w:val="left"/>
              <w:rPr>
                <w:rFonts w:hint="eastAsia" w:ascii="仿宋" w:hAnsi="仿宋" w:eastAsia="仿宋" w:cs="仿宋"/>
                <w:color w:val="auto"/>
                <w:sz w:val="22"/>
                <w:szCs w:val="22"/>
                <w:highlight w:val="none"/>
                <w:lang w:val="en-GB"/>
              </w:rPr>
            </w:pPr>
          </w:p>
        </w:tc>
        <w:tc>
          <w:tcPr>
            <w:tcW w:w="458" w:type="dxa"/>
            <w:tcBorders>
              <w:top w:val="single" w:color="auto" w:sz="4" w:space="0"/>
              <w:left w:val="single" w:color="auto" w:sz="4" w:space="0"/>
              <w:right w:val="single" w:color="auto" w:sz="4" w:space="0"/>
            </w:tcBorders>
            <w:noWrap w:val="0"/>
            <w:vAlign w:val="center"/>
          </w:tcPr>
          <w:p w14:paraId="6666E258">
            <w:pPr>
              <w:tabs>
                <w:tab w:val="left" w:pos="630"/>
              </w:tabs>
              <w:spacing w:line="240" w:lineRule="auto"/>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5</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373838C4">
            <w:pPr>
              <w:tabs>
                <w:tab w:val="left" w:pos="630"/>
              </w:tabs>
              <w:spacing w:line="240"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具体分析班组人员工作排班、拟投入本次人员时间工作安排的合理性、全面，根据巡查路线如何最大范围进行覆盖及人员特殊情况的备选方案及措施</w:t>
            </w:r>
            <w:r>
              <w:rPr>
                <w:rFonts w:hint="eastAsia" w:ascii="仿宋" w:hAnsi="仿宋" w:eastAsia="仿宋" w:cs="仿宋"/>
                <w:color w:val="auto"/>
                <w:sz w:val="22"/>
                <w:szCs w:val="22"/>
                <w:highlight w:val="none"/>
                <w:lang w:val="en-US" w:eastAsia="zh-CN"/>
              </w:rPr>
              <w:t>进行</w:t>
            </w:r>
            <w:r>
              <w:rPr>
                <w:rFonts w:hint="eastAsia" w:ascii="仿宋" w:hAnsi="仿宋" w:eastAsia="仿宋" w:cs="仿宋"/>
                <w:color w:val="auto"/>
                <w:sz w:val="22"/>
                <w:szCs w:val="22"/>
                <w:highlight w:val="none"/>
              </w:rPr>
              <w:t>打分</w:t>
            </w:r>
            <w:r>
              <w:rPr>
                <w:rFonts w:hint="eastAsia" w:ascii="仿宋" w:hAnsi="仿宋" w:eastAsia="仿宋" w:cs="仿宋"/>
                <w:color w:val="auto"/>
                <w:sz w:val="22"/>
                <w:szCs w:val="22"/>
                <w:highlight w:val="none"/>
                <w:lang w:val="en-US" w:eastAsia="zh-CN"/>
              </w:rPr>
              <w:t>：</w:t>
            </w:r>
          </w:p>
          <w:p w14:paraId="185105F3">
            <w:pPr>
              <w:tabs>
                <w:tab w:val="left" w:pos="630"/>
              </w:tabs>
              <w:spacing w:line="240" w:lineRule="auto"/>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人员</w:t>
            </w:r>
            <w:r>
              <w:rPr>
                <w:rFonts w:hint="eastAsia" w:ascii="仿宋" w:hAnsi="仿宋" w:eastAsia="仿宋" w:cs="仿宋"/>
                <w:color w:val="auto"/>
                <w:sz w:val="22"/>
                <w:szCs w:val="22"/>
                <w:highlight w:val="none"/>
                <w:lang w:val="en-US" w:eastAsia="zh-CN"/>
              </w:rPr>
              <w:t>安排</w:t>
            </w:r>
            <w:r>
              <w:rPr>
                <w:rFonts w:hint="eastAsia" w:ascii="仿宋" w:hAnsi="仿宋" w:eastAsia="仿宋" w:cs="仿宋"/>
                <w:color w:val="auto"/>
                <w:sz w:val="22"/>
                <w:szCs w:val="22"/>
                <w:highlight w:val="none"/>
              </w:rPr>
              <w:t>方案及</w:t>
            </w:r>
            <w:r>
              <w:rPr>
                <w:rFonts w:hint="eastAsia" w:ascii="仿宋" w:hAnsi="仿宋" w:eastAsia="仿宋" w:cs="仿宋"/>
                <w:color w:val="auto"/>
                <w:sz w:val="22"/>
                <w:szCs w:val="22"/>
                <w:highlight w:val="none"/>
                <w:lang w:val="en-US" w:eastAsia="zh-CN"/>
              </w:rPr>
              <w:t>措施符合项目需求，切实可行的得5分；</w:t>
            </w:r>
          </w:p>
          <w:p w14:paraId="5A5FC632">
            <w:pPr>
              <w:tabs>
                <w:tab w:val="left" w:pos="630"/>
              </w:tabs>
              <w:spacing w:line="240" w:lineRule="auto"/>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人员</w:t>
            </w:r>
            <w:r>
              <w:rPr>
                <w:rFonts w:hint="eastAsia" w:ascii="仿宋" w:hAnsi="仿宋" w:eastAsia="仿宋" w:cs="仿宋"/>
                <w:color w:val="auto"/>
                <w:sz w:val="22"/>
                <w:szCs w:val="22"/>
                <w:highlight w:val="none"/>
                <w:lang w:val="en-US" w:eastAsia="zh-CN"/>
              </w:rPr>
              <w:t>安排</w:t>
            </w:r>
            <w:r>
              <w:rPr>
                <w:rFonts w:hint="eastAsia" w:ascii="仿宋" w:hAnsi="仿宋" w:eastAsia="仿宋" w:cs="仿宋"/>
                <w:color w:val="auto"/>
                <w:sz w:val="22"/>
                <w:szCs w:val="22"/>
                <w:highlight w:val="none"/>
              </w:rPr>
              <w:t>方案及</w:t>
            </w:r>
            <w:r>
              <w:rPr>
                <w:rFonts w:hint="eastAsia" w:ascii="仿宋" w:hAnsi="仿宋" w:eastAsia="仿宋" w:cs="仿宋"/>
                <w:color w:val="auto"/>
                <w:sz w:val="22"/>
                <w:szCs w:val="22"/>
                <w:highlight w:val="none"/>
                <w:lang w:val="en-US" w:eastAsia="zh-CN"/>
              </w:rPr>
              <w:t>措施基本符合项目需求，基本可行的得3分；</w:t>
            </w:r>
          </w:p>
          <w:p w14:paraId="1D91F384">
            <w:pPr>
              <w:tabs>
                <w:tab w:val="left" w:pos="630"/>
              </w:tabs>
              <w:spacing w:line="240" w:lineRule="auto"/>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人员</w:t>
            </w:r>
            <w:r>
              <w:rPr>
                <w:rFonts w:hint="eastAsia" w:ascii="仿宋" w:hAnsi="仿宋" w:eastAsia="仿宋" w:cs="仿宋"/>
                <w:color w:val="auto"/>
                <w:sz w:val="22"/>
                <w:szCs w:val="22"/>
                <w:highlight w:val="none"/>
                <w:lang w:val="en-US" w:eastAsia="zh-CN"/>
              </w:rPr>
              <w:t>安排</w:t>
            </w:r>
            <w:r>
              <w:rPr>
                <w:rFonts w:hint="eastAsia" w:ascii="仿宋" w:hAnsi="仿宋" w:eastAsia="仿宋" w:cs="仿宋"/>
                <w:color w:val="auto"/>
                <w:sz w:val="22"/>
                <w:szCs w:val="22"/>
                <w:highlight w:val="none"/>
              </w:rPr>
              <w:t>方案及</w:t>
            </w:r>
            <w:r>
              <w:rPr>
                <w:rFonts w:hint="eastAsia" w:ascii="仿宋" w:hAnsi="仿宋" w:eastAsia="仿宋" w:cs="仿宋"/>
                <w:color w:val="auto"/>
                <w:sz w:val="22"/>
                <w:szCs w:val="22"/>
                <w:highlight w:val="none"/>
                <w:lang w:val="en-US" w:eastAsia="zh-CN"/>
              </w:rPr>
              <w:t>措施不符合项目需求，不贴合项目实际的得1分；</w:t>
            </w:r>
          </w:p>
          <w:p w14:paraId="4FFE4C4A">
            <w:pPr>
              <w:tabs>
                <w:tab w:val="left" w:pos="630"/>
              </w:tabs>
              <w:spacing w:line="240"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4.与实际情况不符的或本项未提供的不得分。</w:t>
            </w:r>
          </w:p>
        </w:tc>
      </w:tr>
      <w:tr w14:paraId="743B2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696" w:type="dxa"/>
            <w:vMerge w:val="continue"/>
            <w:tcBorders>
              <w:left w:val="single" w:color="auto" w:sz="4" w:space="0"/>
              <w:right w:val="single" w:color="auto" w:sz="4" w:space="0"/>
            </w:tcBorders>
            <w:noWrap w:val="0"/>
            <w:vAlign w:val="center"/>
          </w:tcPr>
          <w:p w14:paraId="2F85EDE9">
            <w:pPr>
              <w:spacing w:line="240" w:lineRule="auto"/>
              <w:jc w:val="center"/>
              <w:rPr>
                <w:rFonts w:hint="eastAsia" w:ascii="仿宋" w:hAnsi="仿宋" w:eastAsia="仿宋" w:cs="仿宋"/>
                <w:color w:val="auto"/>
                <w:sz w:val="22"/>
                <w:szCs w:val="22"/>
                <w:highlight w:val="none"/>
              </w:rPr>
            </w:pPr>
          </w:p>
        </w:tc>
        <w:tc>
          <w:tcPr>
            <w:tcW w:w="1274" w:type="dxa"/>
            <w:vMerge w:val="continue"/>
            <w:tcBorders>
              <w:left w:val="single" w:color="auto" w:sz="4" w:space="0"/>
              <w:right w:val="single" w:color="auto" w:sz="4" w:space="0"/>
            </w:tcBorders>
            <w:noWrap w:val="0"/>
            <w:vAlign w:val="center"/>
          </w:tcPr>
          <w:p w14:paraId="21DD4A56">
            <w:pPr>
              <w:tabs>
                <w:tab w:val="left" w:pos="630"/>
              </w:tabs>
              <w:spacing w:line="240" w:lineRule="auto"/>
              <w:jc w:val="left"/>
              <w:rPr>
                <w:rFonts w:hint="eastAsia" w:ascii="仿宋" w:hAnsi="仿宋" w:eastAsia="仿宋" w:cs="仿宋"/>
                <w:color w:val="auto"/>
                <w:sz w:val="22"/>
                <w:szCs w:val="22"/>
                <w:highlight w:val="none"/>
                <w:lang w:val="en-GB"/>
              </w:rPr>
            </w:pPr>
          </w:p>
        </w:tc>
        <w:tc>
          <w:tcPr>
            <w:tcW w:w="458" w:type="dxa"/>
            <w:tcBorders>
              <w:top w:val="single" w:color="auto" w:sz="4" w:space="0"/>
              <w:left w:val="single" w:color="auto" w:sz="4" w:space="0"/>
              <w:right w:val="single" w:color="auto" w:sz="4" w:space="0"/>
            </w:tcBorders>
            <w:noWrap w:val="0"/>
            <w:vAlign w:val="center"/>
          </w:tcPr>
          <w:p w14:paraId="500FEB2C">
            <w:pPr>
              <w:tabs>
                <w:tab w:val="left" w:pos="630"/>
              </w:tabs>
              <w:spacing w:line="240" w:lineRule="auto"/>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4EB9502E">
            <w:pPr>
              <w:tabs>
                <w:tab w:val="left" w:pos="630"/>
              </w:tabs>
              <w:spacing w:line="240"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针对本项目各方关系协调内容及要求和廉政风险分析及措施</w:t>
            </w:r>
            <w:r>
              <w:rPr>
                <w:rFonts w:hint="eastAsia" w:ascii="仿宋" w:hAnsi="仿宋" w:eastAsia="仿宋" w:cs="仿宋"/>
                <w:color w:val="auto"/>
                <w:sz w:val="22"/>
                <w:szCs w:val="22"/>
                <w:highlight w:val="none"/>
                <w:lang w:val="en-US" w:eastAsia="zh-CN"/>
              </w:rPr>
              <w:t>方案进行</w:t>
            </w:r>
            <w:r>
              <w:rPr>
                <w:rFonts w:hint="eastAsia" w:ascii="仿宋" w:hAnsi="仿宋" w:eastAsia="仿宋" w:cs="仿宋"/>
                <w:color w:val="auto"/>
                <w:sz w:val="22"/>
                <w:szCs w:val="22"/>
                <w:highlight w:val="none"/>
              </w:rPr>
              <w:t>打分</w:t>
            </w:r>
            <w:r>
              <w:rPr>
                <w:rFonts w:hint="eastAsia" w:ascii="仿宋" w:hAnsi="仿宋" w:eastAsia="仿宋" w:cs="仿宋"/>
                <w:color w:val="auto"/>
                <w:sz w:val="22"/>
                <w:szCs w:val="22"/>
                <w:highlight w:val="none"/>
                <w:lang w:val="en-US" w:eastAsia="zh-CN"/>
              </w:rPr>
              <w:t>：</w:t>
            </w:r>
          </w:p>
          <w:p w14:paraId="23D04785">
            <w:pPr>
              <w:tabs>
                <w:tab w:val="left" w:pos="630"/>
              </w:tabs>
              <w:spacing w:line="240" w:lineRule="auto"/>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1.方案符合项目需求，切实可行的得5分；</w:t>
            </w:r>
          </w:p>
          <w:p w14:paraId="52EB9A93">
            <w:pPr>
              <w:tabs>
                <w:tab w:val="left" w:pos="630"/>
              </w:tabs>
              <w:spacing w:line="240" w:lineRule="auto"/>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2.方案基本符合项目需求，基本可行的得3分；</w:t>
            </w:r>
          </w:p>
          <w:p w14:paraId="465A513C">
            <w:pPr>
              <w:tabs>
                <w:tab w:val="left" w:pos="630"/>
              </w:tabs>
              <w:spacing w:line="240" w:lineRule="auto"/>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3.方案不符合项目需求，不贴合项目实际的得1分；</w:t>
            </w:r>
          </w:p>
          <w:p w14:paraId="462814FB">
            <w:pPr>
              <w:tabs>
                <w:tab w:val="left" w:pos="630"/>
              </w:tabs>
              <w:spacing w:line="240" w:lineRule="auto"/>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4.方案与实际情况不符的或本项未提供的不得分。</w:t>
            </w:r>
          </w:p>
        </w:tc>
      </w:tr>
      <w:tr w14:paraId="6CE4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14:paraId="0E01D565">
            <w:pPr>
              <w:spacing w:line="240" w:lineRule="auto"/>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8</w:t>
            </w:r>
          </w:p>
          <w:p w14:paraId="476820E0">
            <w:pPr>
              <w:spacing w:line="240" w:lineRule="auto"/>
              <w:jc w:val="center"/>
              <w:rPr>
                <w:rFonts w:hint="eastAsia" w:ascii="仿宋" w:hAnsi="仿宋" w:eastAsia="仿宋" w:cs="仿宋"/>
                <w:color w:val="auto"/>
                <w:kern w:val="0"/>
                <w:sz w:val="22"/>
                <w:szCs w:val="22"/>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638D0BBA">
            <w:pPr>
              <w:tabs>
                <w:tab w:val="left" w:pos="630"/>
              </w:tabs>
              <w:spacing w:line="240" w:lineRule="auto"/>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拟投入信息化管理工具情况</w:t>
            </w:r>
            <w:r>
              <w:rPr>
                <w:rFonts w:hint="eastAsia" w:ascii="仿宋" w:hAnsi="仿宋" w:eastAsia="仿宋" w:cs="仿宋"/>
                <w:color w:val="auto"/>
                <w:sz w:val="22"/>
                <w:szCs w:val="22"/>
                <w:highlight w:val="none"/>
                <w:lang w:val="en-US" w:eastAsia="zh-CN"/>
              </w:rPr>
              <w:t>演示</w:t>
            </w:r>
          </w:p>
        </w:tc>
        <w:tc>
          <w:tcPr>
            <w:tcW w:w="458" w:type="dxa"/>
            <w:tcBorders>
              <w:top w:val="single" w:color="auto" w:sz="4" w:space="0"/>
              <w:left w:val="single" w:color="auto" w:sz="4" w:space="0"/>
              <w:bottom w:val="single" w:color="auto" w:sz="4" w:space="0"/>
              <w:right w:val="single" w:color="auto" w:sz="4" w:space="0"/>
            </w:tcBorders>
            <w:noWrap w:val="0"/>
            <w:vAlign w:val="center"/>
          </w:tcPr>
          <w:p w14:paraId="5FB45F9B">
            <w:pPr>
              <w:tabs>
                <w:tab w:val="left" w:pos="630"/>
              </w:tabs>
              <w:spacing w:line="240" w:lineRule="auto"/>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val="en-US" w:eastAsia="zh-CN"/>
              </w:rPr>
              <w:t>2</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76DD7A34">
            <w:pPr>
              <w:spacing w:line="240"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投标人就</w:t>
            </w:r>
            <w:r>
              <w:rPr>
                <w:rFonts w:hint="eastAsia" w:ascii="仿宋" w:hAnsi="仿宋" w:eastAsia="仿宋" w:cs="仿宋"/>
                <w:b w:val="0"/>
                <w:color w:val="auto"/>
                <w:sz w:val="22"/>
                <w:szCs w:val="22"/>
                <w:highlight w:val="none"/>
              </w:rPr>
              <w:t>第三方监管项目行维护管理项目或终端运行维护管理项目，监管</w:t>
            </w:r>
            <w:r>
              <w:rPr>
                <w:rFonts w:hint="eastAsia" w:ascii="仿宋" w:hAnsi="仿宋" w:eastAsia="仿宋" w:cs="仿宋"/>
                <w:color w:val="auto"/>
                <w:sz w:val="22"/>
                <w:szCs w:val="22"/>
                <w:highlight w:val="none"/>
              </w:rPr>
              <w:t>主要核心业务功能进行实际业务系统(真实系统)的功能操作演示的，仅以DEMO、图片、PPT形式讲解或无演示的由专家酌情打分。演示顺序按签到顺序抽签产生，各投标供应商演示时间</w:t>
            </w:r>
            <w:r>
              <w:rPr>
                <w:rFonts w:hint="eastAsia" w:ascii="仿宋" w:hAnsi="仿宋" w:eastAsia="仿宋" w:cs="仿宋"/>
                <w:color w:val="auto"/>
                <w:sz w:val="22"/>
                <w:szCs w:val="22"/>
                <w:highlight w:val="none"/>
                <w:lang w:val="en-US" w:eastAsia="zh-CN"/>
              </w:rPr>
              <w:t>建议</w:t>
            </w:r>
            <w:r>
              <w:rPr>
                <w:rFonts w:hint="eastAsia" w:ascii="仿宋" w:hAnsi="仿宋" w:eastAsia="仿宋" w:cs="仿宋"/>
                <w:color w:val="auto"/>
                <w:sz w:val="22"/>
                <w:szCs w:val="22"/>
                <w:highlight w:val="none"/>
              </w:rPr>
              <w:t>不超过</w:t>
            </w:r>
            <w:r>
              <w:rPr>
                <w:rFonts w:hint="eastAsia" w:ascii="仿宋" w:hAnsi="仿宋" w:eastAsia="仿宋" w:cs="仿宋"/>
                <w:color w:val="auto"/>
                <w:sz w:val="22"/>
                <w:szCs w:val="22"/>
                <w:highlight w:val="none"/>
                <w:lang w:val="en-US" w:eastAsia="zh-CN"/>
              </w:rPr>
              <w:t>10</w:t>
            </w:r>
            <w:r>
              <w:rPr>
                <w:rFonts w:hint="eastAsia" w:ascii="仿宋" w:hAnsi="仿宋" w:eastAsia="仿宋" w:cs="仿宋"/>
                <w:color w:val="auto"/>
                <w:sz w:val="22"/>
                <w:szCs w:val="22"/>
                <w:highlight w:val="none"/>
              </w:rPr>
              <w:t>分钟。（演示所需设备自带,并提前完成演示系统搭建）</w:t>
            </w:r>
          </w:p>
          <w:p w14:paraId="0197DA1E">
            <w:pPr>
              <w:numPr>
                <w:ilvl w:val="0"/>
                <w:numId w:val="0"/>
              </w:numPr>
              <w:tabs>
                <w:tab w:val="left" w:pos="930"/>
              </w:tabs>
              <w:spacing w:line="240"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餐厨垃圾收运监管：精准掌握收集过程的全部数据，体现收集时效、任务完成度、车载称重数据、车辆轨迹、车载视频、收集车辆作业情况、历史收集情况对比等，展示出收集环节全面、精细、科学的监管能力</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对各</w:t>
            </w:r>
            <w:r>
              <w:rPr>
                <w:rFonts w:hint="eastAsia" w:ascii="仿宋" w:hAnsi="仿宋" w:eastAsia="仿宋" w:cs="仿宋"/>
                <w:color w:val="auto"/>
                <w:sz w:val="22"/>
                <w:szCs w:val="22"/>
                <w:highlight w:val="none"/>
              </w:rPr>
              <w:t>投标人功能演示效果，从功能健全性、数据颗粒度、监管便利性等方面</w:t>
            </w:r>
            <w:r>
              <w:rPr>
                <w:rFonts w:hint="eastAsia" w:ascii="仿宋" w:hAnsi="仿宋" w:eastAsia="仿宋" w:cs="仿宋"/>
                <w:color w:val="auto"/>
                <w:sz w:val="22"/>
                <w:szCs w:val="22"/>
                <w:highlight w:val="none"/>
                <w:lang w:val="en-US" w:eastAsia="zh-CN"/>
              </w:rPr>
              <w:t>进行打分：</w:t>
            </w:r>
          </w:p>
          <w:p w14:paraId="27BC35AA">
            <w:pPr>
              <w:tabs>
                <w:tab w:val="left" w:pos="630"/>
              </w:tabs>
              <w:spacing w:line="240" w:lineRule="auto"/>
              <w:jc w:val="left"/>
              <w:rPr>
                <w:rFonts w:hint="eastAsia" w:ascii="仿宋" w:hAnsi="仿宋" w:eastAsia="仿宋" w:cs="仿宋"/>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①</w:t>
            </w:r>
            <w:r>
              <w:rPr>
                <w:rFonts w:hint="eastAsia" w:ascii="仿宋" w:hAnsi="仿宋" w:eastAsia="仿宋" w:cs="仿宋"/>
                <w:color w:val="auto"/>
                <w:sz w:val="22"/>
                <w:szCs w:val="22"/>
                <w:highlight w:val="none"/>
              </w:rPr>
              <w:t>演示效果</w:t>
            </w:r>
            <w:r>
              <w:rPr>
                <w:rFonts w:hint="eastAsia" w:ascii="仿宋" w:hAnsi="仿宋" w:eastAsia="仿宋" w:cs="仿宋"/>
                <w:color w:val="auto"/>
                <w:sz w:val="22"/>
                <w:szCs w:val="22"/>
                <w:highlight w:val="none"/>
                <w:lang w:val="en-US" w:eastAsia="zh-CN"/>
              </w:rPr>
              <w:t>符合项目需求，切实可行的得4分；</w:t>
            </w:r>
          </w:p>
          <w:p w14:paraId="2CE010A9">
            <w:pPr>
              <w:tabs>
                <w:tab w:val="left" w:pos="630"/>
              </w:tabs>
              <w:spacing w:line="240" w:lineRule="auto"/>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②</w:t>
            </w:r>
            <w:r>
              <w:rPr>
                <w:rFonts w:hint="eastAsia" w:ascii="仿宋" w:hAnsi="仿宋" w:eastAsia="仿宋" w:cs="仿宋"/>
                <w:color w:val="auto"/>
                <w:sz w:val="22"/>
                <w:szCs w:val="22"/>
                <w:highlight w:val="none"/>
              </w:rPr>
              <w:t>演示效果</w:t>
            </w:r>
            <w:r>
              <w:rPr>
                <w:rFonts w:hint="eastAsia" w:ascii="仿宋" w:hAnsi="仿宋" w:eastAsia="仿宋" w:cs="仿宋"/>
                <w:color w:val="auto"/>
                <w:sz w:val="22"/>
                <w:szCs w:val="22"/>
                <w:highlight w:val="none"/>
                <w:lang w:val="en-US" w:eastAsia="zh-CN"/>
              </w:rPr>
              <w:t>基本符合项目需求，基本可行的得2分；</w:t>
            </w:r>
          </w:p>
          <w:p w14:paraId="18CA5E4F">
            <w:pPr>
              <w:tabs>
                <w:tab w:val="left" w:pos="630"/>
              </w:tabs>
              <w:spacing w:line="240" w:lineRule="auto"/>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③</w:t>
            </w:r>
            <w:r>
              <w:rPr>
                <w:rFonts w:hint="eastAsia" w:ascii="仿宋" w:hAnsi="仿宋" w:eastAsia="仿宋" w:cs="仿宋"/>
                <w:color w:val="auto"/>
                <w:sz w:val="22"/>
                <w:szCs w:val="22"/>
                <w:highlight w:val="none"/>
              </w:rPr>
              <w:t>演示效果</w:t>
            </w:r>
            <w:r>
              <w:rPr>
                <w:rFonts w:hint="eastAsia" w:ascii="仿宋" w:hAnsi="仿宋" w:eastAsia="仿宋" w:cs="仿宋"/>
                <w:color w:val="auto"/>
                <w:sz w:val="22"/>
                <w:szCs w:val="22"/>
                <w:highlight w:val="none"/>
                <w:lang w:val="en-US" w:eastAsia="zh-CN"/>
              </w:rPr>
              <w:t>不符合项目需求，不贴合项目实际或未涉及的得0分。</w:t>
            </w:r>
          </w:p>
          <w:p w14:paraId="1634A844">
            <w:pPr>
              <w:tabs>
                <w:tab w:val="left" w:pos="630"/>
              </w:tabs>
              <w:spacing w:line="240"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餐厨垃圾处置监管：处置数据能够衔接收运环节，能够对收运过程违规行为提供处罚依据；对生产过程关键数据实时监控（视频数据、进场称重数据、环保排放数据等），形成完整的生产监控体系</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对</w:t>
            </w:r>
            <w:r>
              <w:rPr>
                <w:rFonts w:hint="eastAsia" w:ascii="仿宋" w:hAnsi="仿宋" w:eastAsia="仿宋" w:cs="仿宋"/>
                <w:color w:val="auto"/>
                <w:sz w:val="22"/>
                <w:szCs w:val="22"/>
                <w:highlight w:val="none"/>
              </w:rPr>
              <w:t>各投标人演示效果，从功能健全性、数据颗粒度、监管便利性等方</w:t>
            </w:r>
            <w:bookmarkStart w:id="93" w:name="_GoBack"/>
            <w:bookmarkEnd w:id="93"/>
            <w:r>
              <w:rPr>
                <w:rFonts w:hint="eastAsia" w:ascii="仿宋" w:hAnsi="仿宋" w:eastAsia="仿宋" w:cs="仿宋"/>
                <w:color w:val="auto"/>
                <w:sz w:val="22"/>
                <w:szCs w:val="22"/>
                <w:highlight w:val="none"/>
              </w:rPr>
              <w:t>面</w:t>
            </w:r>
            <w:r>
              <w:rPr>
                <w:rFonts w:hint="eastAsia" w:ascii="仿宋" w:hAnsi="仿宋" w:eastAsia="仿宋" w:cs="仿宋"/>
                <w:color w:val="auto"/>
                <w:sz w:val="22"/>
                <w:szCs w:val="22"/>
                <w:highlight w:val="none"/>
                <w:lang w:val="en-US" w:eastAsia="zh-CN"/>
              </w:rPr>
              <w:t>进行打分：</w:t>
            </w:r>
          </w:p>
          <w:p w14:paraId="488853D9">
            <w:pPr>
              <w:tabs>
                <w:tab w:val="left" w:pos="630"/>
              </w:tabs>
              <w:spacing w:line="240" w:lineRule="auto"/>
              <w:jc w:val="left"/>
              <w:rPr>
                <w:rFonts w:hint="eastAsia" w:ascii="仿宋" w:hAnsi="仿宋" w:eastAsia="仿宋" w:cs="仿宋"/>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①</w:t>
            </w:r>
            <w:r>
              <w:rPr>
                <w:rFonts w:hint="eastAsia" w:ascii="仿宋" w:hAnsi="仿宋" w:eastAsia="仿宋" w:cs="仿宋"/>
                <w:color w:val="auto"/>
                <w:sz w:val="22"/>
                <w:szCs w:val="22"/>
                <w:highlight w:val="none"/>
              </w:rPr>
              <w:t>演示效果</w:t>
            </w:r>
            <w:r>
              <w:rPr>
                <w:rFonts w:hint="eastAsia" w:ascii="仿宋" w:hAnsi="仿宋" w:eastAsia="仿宋" w:cs="仿宋"/>
                <w:color w:val="auto"/>
                <w:sz w:val="22"/>
                <w:szCs w:val="22"/>
                <w:highlight w:val="none"/>
                <w:lang w:val="en-US" w:eastAsia="zh-CN"/>
              </w:rPr>
              <w:t>符合项目需求，切实可行的得4分；</w:t>
            </w:r>
          </w:p>
          <w:p w14:paraId="25A555B1">
            <w:pPr>
              <w:tabs>
                <w:tab w:val="left" w:pos="630"/>
              </w:tabs>
              <w:spacing w:line="240" w:lineRule="auto"/>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②</w:t>
            </w:r>
            <w:r>
              <w:rPr>
                <w:rFonts w:hint="eastAsia" w:ascii="仿宋" w:hAnsi="仿宋" w:eastAsia="仿宋" w:cs="仿宋"/>
                <w:color w:val="auto"/>
                <w:sz w:val="22"/>
                <w:szCs w:val="22"/>
                <w:highlight w:val="none"/>
              </w:rPr>
              <w:t>演示效果</w:t>
            </w:r>
            <w:r>
              <w:rPr>
                <w:rFonts w:hint="eastAsia" w:ascii="仿宋" w:hAnsi="仿宋" w:eastAsia="仿宋" w:cs="仿宋"/>
                <w:color w:val="auto"/>
                <w:sz w:val="22"/>
                <w:szCs w:val="22"/>
                <w:highlight w:val="none"/>
                <w:lang w:val="en-US" w:eastAsia="zh-CN"/>
              </w:rPr>
              <w:t>基本符合项目需求，基本可行的得2分；</w:t>
            </w:r>
          </w:p>
          <w:p w14:paraId="1C46B4D5">
            <w:pPr>
              <w:tabs>
                <w:tab w:val="left" w:pos="630"/>
              </w:tabs>
              <w:spacing w:line="240" w:lineRule="auto"/>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③</w:t>
            </w:r>
            <w:r>
              <w:rPr>
                <w:rFonts w:hint="eastAsia" w:ascii="仿宋" w:hAnsi="仿宋" w:eastAsia="仿宋" w:cs="仿宋"/>
                <w:color w:val="auto"/>
                <w:sz w:val="22"/>
                <w:szCs w:val="22"/>
                <w:highlight w:val="none"/>
              </w:rPr>
              <w:t>演示效果</w:t>
            </w:r>
            <w:r>
              <w:rPr>
                <w:rFonts w:hint="eastAsia" w:ascii="仿宋" w:hAnsi="仿宋" w:eastAsia="仿宋" w:cs="仿宋"/>
                <w:color w:val="auto"/>
                <w:sz w:val="22"/>
                <w:szCs w:val="22"/>
                <w:highlight w:val="none"/>
                <w:lang w:val="en-US" w:eastAsia="zh-CN"/>
              </w:rPr>
              <w:t>不符合项目需求，不贴合项目实际或未涉及的得0分。</w:t>
            </w:r>
          </w:p>
          <w:p w14:paraId="4799E144">
            <w:pPr>
              <w:tabs>
                <w:tab w:val="left" w:pos="630"/>
              </w:tabs>
              <w:spacing w:line="240"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监管一张图：将餐厨</w:t>
            </w:r>
            <w:r>
              <w:rPr>
                <w:rFonts w:hint="eastAsia" w:ascii="仿宋" w:hAnsi="仿宋" w:eastAsia="仿宋" w:cs="仿宋"/>
                <w:color w:val="auto"/>
                <w:sz w:val="22"/>
                <w:szCs w:val="22"/>
                <w:highlight w:val="none"/>
                <w:lang w:val="en-US" w:eastAsia="zh-CN"/>
              </w:rPr>
              <w:t>垃圾</w:t>
            </w:r>
            <w:r>
              <w:rPr>
                <w:rFonts w:hint="eastAsia" w:ascii="仿宋" w:hAnsi="仿宋" w:eastAsia="仿宋" w:cs="仿宋"/>
                <w:color w:val="auto"/>
                <w:sz w:val="22"/>
                <w:szCs w:val="22"/>
                <w:highlight w:val="none"/>
              </w:rPr>
              <w:t>生产环节、收运环节、处置环节基于一张图进行监管，实现全链条数据可视化</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对</w:t>
            </w:r>
            <w:r>
              <w:rPr>
                <w:rFonts w:hint="eastAsia" w:ascii="仿宋" w:hAnsi="仿宋" w:eastAsia="仿宋" w:cs="仿宋"/>
                <w:color w:val="auto"/>
                <w:sz w:val="22"/>
                <w:szCs w:val="22"/>
                <w:highlight w:val="none"/>
              </w:rPr>
              <w:t>各投标人功能演示效果，从功能健全性、数据颗粒度、监管便利性等方面</w:t>
            </w:r>
            <w:r>
              <w:rPr>
                <w:rFonts w:hint="eastAsia" w:ascii="仿宋" w:hAnsi="仿宋" w:eastAsia="仿宋" w:cs="仿宋"/>
                <w:color w:val="auto"/>
                <w:sz w:val="22"/>
                <w:szCs w:val="22"/>
                <w:highlight w:val="none"/>
                <w:lang w:val="en-US" w:eastAsia="zh-CN"/>
              </w:rPr>
              <w:t>进行打分：</w:t>
            </w:r>
          </w:p>
          <w:p w14:paraId="54AFB1F1">
            <w:pPr>
              <w:tabs>
                <w:tab w:val="left" w:pos="630"/>
              </w:tabs>
              <w:spacing w:line="240" w:lineRule="auto"/>
              <w:jc w:val="left"/>
              <w:rPr>
                <w:rFonts w:hint="eastAsia" w:ascii="仿宋" w:hAnsi="仿宋" w:eastAsia="仿宋" w:cs="仿宋"/>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①</w:t>
            </w:r>
            <w:r>
              <w:rPr>
                <w:rFonts w:hint="eastAsia" w:ascii="仿宋" w:hAnsi="仿宋" w:eastAsia="仿宋" w:cs="仿宋"/>
                <w:color w:val="auto"/>
                <w:sz w:val="22"/>
                <w:szCs w:val="22"/>
                <w:highlight w:val="none"/>
              </w:rPr>
              <w:t>演示效果</w:t>
            </w:r>
            <w:r>
              <w:rPr>
                <w:rFonts w:hint="eastAsia" w:ascii="仿宋" w:hAnsi="仿宋" w:eastAsia="仿宋" w:cs="仿宋"/>
                <w:color w:val="auto"/>
                <w:sz w:val="22"/>
                <w:szCs w:val="22"/>
                <w:highlight w:val="none"/>
                <w:lang w:val="en-US" w:eastAsia="zh-CN"/>
              </w:rPr>
              <w:t>符合项目需求，切实可行的得4分；</w:t>
            </w:r>
          </w:p>
          <w:p w14:paraId="7EEF8EFB">
            <w:pPr>
              <w:tabs>
                <w:tab w:val="left" w:pos="630"/>
              </w:tabs>
              <w:spacing w:line="240" w:lineRule="auto"/>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②</w:t>
            </w:r>
            <w:r>
              <w:rPr>
                <w:rFonts w:hint="eastAsia" w:ascii="仿宋" w:hAnsi="仿宋" w:eastAsia="仿宋" w:cs="仿宋"/>
                <w:color w:val="auto"/>
                <w:sz w:val="22"/>
                <w:szCs w:val="22"/>
                <w:highlight w:val="none"/>
              </w:rPr>
              <w:t>演示效果</w:t>
            </w:r>
            <w:r>
              <w:rPr>
                <w:rFonts w:hint="eastAsia" w:ascii="仿宋" w:hAnsi="仿宋" w:eastAsia="仿宋" w:cs="仿宋"/>
                <w:color w:val="auto"/>
                <w:sz w:val="22"/>
                <w:szCs w:val="22"/>
                <w:highlight w:val="none"/>
                <w:lang w:val="en-US" w:eastAsia="zh-CN"/>
              </w:rPr>
              <w:t>基本符合项目需求，基本可行的得2分；</w:t>
            </w:r>
          </w:p>
          <w:p w14:paraId="0485AB94">
            <w:pPr>
              <w:tabs>
                <w:tab w:val="left" w:pos="630"/>
              </w:tabs>
              <w:spacing w:line="240" w:lineRule="auto"/>
              <w:jc w:val="left"/>
              <w:rPr>
                <w:rFonts w:hint="eastAsia"/>
                <w:color w:val="auto"/>
                <w:highlight w:val="none"/>
              </w:rPr>
            </w:pPr>
            <w:r>
              <w:rPr>
                <w:rFonts w:hint="eastAsia" w:ascii="仿宋" w:hAnsi="仿宋" w:eastAsia="仿宋" w:cs="仿宋"/>
                <w:color w:val="auto"/>
                <w:sz w:val="22"/>
                <w:szCs w:val="22"/>
                <w:highlight w:val="none"/>
                <w:lang w:val="en-US" w:eastAsia="zh-CN"/>
              </w:rPr>
              <w:t>③</w:t>
            </w:r>
            <w:r>
              <w:rPr>
                <w:rFonts w:hint="eastAsia" w:ascii="仿宋" w:hAnsi="仿宋" w:eastAsia="仿宋" w:cs="仿宋"/>
                <w:color w:val="auto"/>
                <w:sz w:val="22"/>
                <w:szCs w:val="22"/>
                <w:highlight w:val="none"/>
              </w:rPr>
              <w:t>演示效果</w:t>
            </w:r>
            <w:r>
              <w:rPr>
                <w:rFonts w:hint="eastAsia" w:ascii="仿宋" w:hAnsi="仿宋" w:eastAsia="仿宋" w:cs="仿宋"/>
                <w:color w:val="auto"/>
                <w:sz w:val="22"/>
                <w:szCs w:val="22"/>
                <w:highlight w:val="none"/>
                <w:lang w:val="en-US" w:eastAsia="zh-CN"/>
              </w:rPr>
              <w:t>不符合项目需求，不贴合项目实际或未涉及的得0分。</w:t>
            </w:r>
          </w:p>
        </w:tc>
      </w:tr>
      <w:tr w14:paraId="70D5F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D8AA1E">
            <w:pPr>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9</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624775AF">
            <w:pPr>
              <w:tabs>
                <w:tab w:val="left" w:pos="630"/>
              </w:tabs>
              <w:spacing w:line="240"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其他服务内容的承诺</w:t>
            </w:r>
          </w:p>
        </w:tc>
        <w:tc>
          <w:tcPr>
            <w:tcW w:w="458" w:type="dxa"/>
            <w:tcBorders>
              <w:top w:val="single" w:color="auto" w:sz="4" w:space="0"/>
              <w:left w:val="single" w:color="auto" w:sz="4" w:space="0"/>
              <w:bottom w:val="single" w:color="auto" w:sz="4" w:space="0"/>
              <w:right w:val="single" w:color="auto" w:sz="4" w:space="0"/>
            </w:tcBorders>
            <w:noWrap w:val="0"/>
            <w:vAlign w:val="center"/>
          </w:tcPr>
          <w:p w14:paraId="2187A35B">
            <w:pPr>
              <w:tabs>
                <w:tab w:val="left" w:pos="630"/>
              </w:tabs>
              <w:spacing w:line="240" w:lineRule="auto"/>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3</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7AF9585A">
            <w:pPr>
              <w:tabs>
                <w:tab w:val="left" w:pos="312"/>
              </w:tabs>
              <w:spacing w:line="240"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投标人提供的其他服务承诺的情况及增值服务等因素</w:t>
            </w:r>
            <w:r>
              <w:rPr>
                <w:rFonts w:hint="eastAsia" w:ascii="仿宋" w:hAnsi="仿宋" w:eastAsia="仿宋" w:cs="仿宋"/>
                <w:color w:val="auto"/>
                <w:sz w:val="22"/>
                <w:szCs w:val="22"/>
                <w:highlight w:val="none"/>
                <w:lang w:val="en-US" w:eastAsia="zh-CN"/>
              </w:rPr>
              <w:t>进行</w:t>
            </w:r>
            <w:r>
              <w:rPr>
                <w:rFonts w:hint="eastAsia" w:ascii="仿宋" w:hAnsi="仿宋" w:eastAsia="仿宋" w:cs="仿宋"/>
                <w:color w:val="auto"/>
                <w:sz w:val="22"/>
                <w:szCs w:val="22"/>
                <w:highlight w:val="none"/>
              </w:rPr>
              <w:t>打分</w:t>
            </w:r>
            <w:r>
              <w:rPr>
                <w:rFonts w:hint="eastAsia" w:ascii="仿宋" w:hAnsi="仿宋" w:eastAsia="仿宋" w:cs="仿宋"/>
                <w:color w:val="auto"/>
                <w:sz w:val="22"/>
                <w:szCs w:val="22"/>
                <w:highlight w:val="none"/>
                <w:lang w:eastAsia="zh-CN"/>
              </w:rPr>
              <w:t>：</w:t>
            </w:r>
          </w:p>
          <w:p w14:paraId="3636232E">
            <w:pPr>
              <w:tabs>
                <w:tab w:val="left" w:pos="312"/>
              </w:tabs>
              <w:spacing w:line="240" w:lineRule="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服务承诺及增值服务</w:t>
            </w:r>
            <w:r>
              <w:rPr>
                <w:rFonts w:hint="eastAsia" w:ascii="仿宋" w:hAnsi="仿宋" w:eastAsia="仿宋" w:cs="仿宋"/>
                <w:color w:val="auto"/>
                <w:sz w:val="22"/>
                <w:szCs w:val="22"/>
                <w:highlight w:val="none"/>
                <w:lang w:val="en-US" w:eastAsia="zh-CN"/>
              </w:rPr>
              <w:t>符合项目需求，切实可行的得3分；</w:t>
            </w:r>
          </w:p>
          <w:p w14:paraId="273321E7">
            <w:pPr>
              <w:tabs>
                <w:tab w:val="left" w:pos="312"/>
              </w:tabs>
              <w:spacing w:line="240" w:lineRule="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服务承诺及增值服务</w:t>
            </w:r>
            <w:r>
              <w:rPr>
                <w:rFonts w:hint="eastAsia" w:ascii="仿宋" w:hAnsi="仿宋" w:eastAsia="仿宋" w:cs="仿宋"/>
                <w:color w:val="auto"/>
                <w:sz w:val="22"/>
                <w:szCs w:val="22"/>
                <w:highlight w:val="none"/>
                <w:lang w:val="en-US" w:eastAsia="zh-CN"/>
              </w:rPr>
              <w:t>基本符合项目需求，基本可行的得2分；</w:t>
            </w:r>
          </w:p>
          <w:p w14:paraId="5151652B">
            <w:pPr>
              <w:tabs>
                <w:tab w:val="left" w:pos="312"/>
              </w:tabs>
              <w:spacing w:line="240" w:lineRule="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服务承诺及增值服务</w:t>
            </w:r>
            <w:r>
              <w:rPr>
                <w:rFonts w:hint="eastAsia" w:ascii="仿宋" w:hAnsi="仿宋" w:eastAsia="仿宋" w:cs="仿宋"/>
                <w:color w:val="auto"/>
                <w:sz w:val="22"/>
                <w:szCs w:val="22"/>
                <w:highlight w:val="none"/>
                <w:lang w:val="en-US" w:eastAsia="zh-CN"/>
              </w:rPr>
              <w:t>不符合项目需求，不贴合项目实际的得1分；</w:t>
            </w:r>
          </w:p>
          <w:p w14:paraId="1859AA75">
            <w:pPr>
              <w:tabs>
                <w:tab w:val="left" w:pos="312"/>
              </w:tabs>
              <w:spacing w:line="240"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4.与实际情况不符的或本项未提供的不得分。</w:t>
            </w:r>
          </w:p>
        </w:tc>
      </w:tr>
    </w:tbl>
    <w:p w14:paraId="36DA7029">
      <w:pPr>
        <w:pStyle w:val="2"/>
        <w:snapToGrid w:val="0"/>
        <w:spacing w:before="0" w:after="0" w:line="360" w:lineRule="auto"/>
        <w:rPr>
          <w:rFonts w:ascii="仿宋" w:hAnsi="仿宋" w:eastAsia="仿宋"/>
          <w:color w:val="auto"/>
          <w:sz w:val="24"/>
          <w:szCs w:val="24"/>
          <w:highlight w:val="none"/>
        </w:rPr>
      </w:pPr>
      <w:bookmarkStart w:id="74" w:name="_Toc55302373"/>
      <w:bookmarkStart w:id="75" w:name="_Toc63189375"/>
      <w:r>
        <w:rPr>
          <w:rFonts w:ascii="仿宋" w:hAnsi="仿宋" w:eastAsia="仿宋"/>
          <w:color w:val="auto"/>
          <w:sz w:val="24"/>
          <w:szCs w:val="24"/>
          <w:highlight w:val="none"/>
        </w:rPr>
        <w:t>1.评标方法</w:t>
      </w:r>
      <w:bookmarkEnd w:id="74"/>
      <w:bookmarkEnd w:id="75"/>
    </w:p>
    <w:p w14:paraId="09857059">
      <w:pPr>
        <w:snapToGrid w:val="0"/>
        <w:spacing w:line="360" w:lineRule="auto"/>
        <w:ind w:firstLine="480" w:firstLineChars="200"/>
        <w:rPr>
          <w:rFonts w:ascii="仿宋" w:hAnsi="仿宋" w:eastAsia="仿宋" w:cs="Arial"/>
          <w:color w:val="auto"/>
          <w:sz w:val="24"/>
          <w:highlight w:val="none"/>
        </w:rPr>
      </w:pPr>
      <w:r>
        <w:rPr>
          <w:rFonts w:ascii="仿宋" w:hAnsi="仿宋" w:eastAsia="仿宋" w:cs="Arial"/>
          <w:color w:val="auto"/>
          <w:sz w:val="24"/>
          <w:highlight w:val="none"/>
        </w:rPr>
        <w:t>本次</w:t>
      </w:r>
      <w:r>
        <w:rPr>
          <w:rFonts w:hint="eastAsia" w:ascii="仿宋" w:hAnsi="仿宋" w:eastAsia="仿宋" w:cs="Arial"/>
          <w:color w:val="auto"/>
          <w:sz w:val="24"/>
          <w:highlight w:val="none"/>
        </w:rPr>
        <w:t>采用的</w:t>
      </w:r>
      <w:r>
        <w:rPr>
          <w:rFonts w:ascii="仿宋" w:hAnsi="仿宋" w:eastAsia="仿宋" w:cs="Arial"/>
          <w:color w:val="auto"/>
          <w:sz w:val="24"/>
          <w:highlight w:val="none"/>
        </w:rPr>
        <w:t>评标</w:t>
      </w:r>
      <w:r>
        <w:rPr>
          <w:rFonts w:hint="eastAsia" w:ascii="仿宋" w:hAnsi="仿宋" w:eastAsia="仿宋" w:cs="Arial"/>
          <w:color w:val="auto"/>
          <w:sz w:val="24"/>
          <w:highlight w:val="none"/>
        </w:rPr>
        <w:t>办法及推荐中标候选人的人数见评标办法前附表</w:t>
      </w:r>
      <w:r>
        <w:rPr>
          <w:rFonts w:ascii="仿宋" w:hAnsi="仿宋" w:eastAsia="仿宋" w:cs="Arial"/>
          <w:color w:val="auto"/>
          <w:sz w:val="24"/>
          <w:highlight w:val="none"/>
        </w:rPr>
        <w:t>。</w:t>
      </w:r>
    </w:p>
    <w:p w14:paraId="442FB4B3">
      <w:pPr>
        <w:snapToGrid w:val="0"/>
        <w:spacing w:line="360" w:lineRule="auto"/>
        <w:ind w:firstLine="480" w:firstLineChars="200"/>
        <w:rPr>
          <w:rFonts w:ascii="仿宋" w:hAnsi="仿宋" w:eastAsia="仿宋" w:cs="Arial"/>
          <w:color w:val="auto"/>
          <w:sz w:val="24"/>
          <w:highlight w:val="none"/>
        </w:rPr>
      </w:pPr>
      <w:r>
        <w:rPr>
          <w:rFonts w:hint="eastAsia" w:ascii="仿宋" w:hAnsi="仿宋" w:eastAsia="仿宋" w:cs="Arial"/>
          <w:color w:val="auto"/>
          <w:sz w:val="24"/>
          <w:highlight w:val="none"/>
        </w:rPr>
        <w:t>最低评标价法，是指投标文件满足招标文件全部实质性要求，且投标报价最低的投标人为中标候选人的评标方法。技术、服务等标准统一的货物服务项目，应当采用最低评标价法。采用最低评标价法评标时，除了算术修正和落实政府采购政策需进行的价格扣除外，不能对投标人的投标价格进行任何调整。投标报价相等时，由评标委员会通过评标办法前附表约定的方式确定中标候选人的排序。</w:t>
      </w:r>
    </w:p>
    <w:p w14:paraId="4A9DB5A7">
      <w:pPr>
        <w:snapToGrid w:val="0"/>
        <w:spacing w:line="360" w:lineRule="auto"/>
        <w:ind w:firstLine="480" w:firstLineChars="200"/>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综合评分法，是指投标文件满足招标文件全部实质性要求，且按照评审因素的量化指标评审得分最高的投标人为中标候选人的评标方法。</w:t>
      </w:r>
      <w:r>
        <w:rPr>
          <w:rFonts w:ascii="仿宋" w:hAnsi="仿宋" w:eastAsia="仿宋" w:cs="Arial"/>
          <w:color w:val="auto"/>
          <w:kern w:val="0"/>
          <w:sz w:val="24"/>
          <w:highlight w:val="none"/>
        </w:rPr>
        <w:t>综合评分相等时，</w:t>
      </w:r>
      <w:r>
        <w:rPr>
          <w:rFonts w:hint="eastAsia" w:ascii="仿宋" w:hAnsi="仿宋" w:eastAsia="仿宋" w:cs="Arial"/>
          <w:color w:val="auto"/>
          <w:kern w:val="0"/>
          <w:sz w:val="24"/>
          <w:highlight w:val="none"/>
        </w:rPr>
        <w:t>以投标报价低者优先；投标报价也相等的，由评标委员会通过</w:t>
      </w:r>
      <w:r>
        <w:rPr>
          <w:rFonts w:hint="eastAsia" w:ascii="仿宋" w:hAnsi="仿宋" w:eastAsia="仿宋" w:cs="Arial"/>
          <w:color w:val="auto"/>
          <w:sz w:val="24"/>
          <w:highlight w:val="none"/>
        </w:rPr>
        <w:t>评标办法前附表约定的方式</w:t>
      </w:r>
      <w:r>
        <w:rPr>
          <w:rFonts w:hint="eastAsia" w:ascii="仿宋" w:hAnsi="仿宋" w:eastAsia="仿宋" w:cs="Arial"/>
          <w:color w:val="auto"/>
          <w:kern w:val="0"/>
          <w:sz w:val="24"/>
          <w:highlight w:val="none"/>
        </w:rPr>
        <w:t>确定</w:t>
      </w:r>
      <w:r>
        <w:rPr>
          <w:rFonts w:ascii="仿宋" w:hAnsi="仿宋" w:eastAsia="仿宋" w:cs="Arial"/>
          <w:color w:val="auto"/>
          <w:kern w:val="0"/>
          <w:sz w:val="24"/>
          <w:highlight w:val="none"/>
        </w:rPr>
        <w:t>中标候选人</w:t>
      </w:r>
      <w:r>
        <w:rPr>
          <w:rFonts w:hint="eastAsia" w:ascii="仿宋" w:hAnsi="仿宋" w:eastAsia="仿宋" w:cs="Arial"/>
          <w:color w:val="auto"/>
          <w:kern w:val="0"/>
          <w:sz w:val="24"/>
          <w:highlight w:val="none"/>
        </w:rPr>
        <w:t>的排序</w:t>
      </w:r>
      <w:r>
        <w:rPr>
          <w:rFonts w:ascii="仿宋" w:hAnsi="仿宋" w:eastAsia="仿宋" w:cs="Arial"/>
          <w:color w:val="auto"/>
          <w:kern w:val="0"/>
          <w:sz w:val="24"/>
          <w:highlight w:val="none"/>
        </w:rPr>
        <w:t>。</w:t>
      </w:r>
    </w:p>
    <w:p w14:paraId="73755EF2">
      <w:pPr>
        <w:pStyle w:val="2"/>
        <w:snapToGrid w:val="0"/>
        <w:spacing w:before="0" w:after="0" w:line="360" w:lineRule="auto"/>
        <w:rPr>
          <w:rFonts w:ascii="仿宋" w:hAnsi="仿宋" w:eastAsia="仿宋"/>
          <w:color w:val="auto"/>
          <w:sz w:val="24"/>
          <w:szCs w:val="24"/>
          <w:highlight w:val="none"/>
        </w:rPr>
      </w:pPr>
      <w:bookmarkStart w:id="76" w:name="_Toc63189376"/>
      <w:bookmarkStart w:id="77" w:name="_Toc55302374"/>
      <w:r>
        <w:rPr>
          <w:rFonts w:hint="eastAsia" w:ascii="仿宋" w:hAnsi="仿宋" w:eastAsia="仿宋"/>
          <w:color w:val="auto"/>
          <w:sz w:val="24"/>
          <w:szCs w:val="24"/>
          <w:highlight w:val="none"/>
        </w:rPr>
        <w:t>2</w:t>
      </w:r>
      <w:r>
        <w:rPr>
          <w:rFonts w:ascii="仿宋" w:hAnsi="仿宋" w:eastAsia="仿宋"/>
          <w:color w:val="auto"/>
          <w:sz w:val="24"/>
          <w:szCs w:val="24"/>
          <w:highlight w:val="none"/>
        </w:rPr>
        <w:t>.评标程序</w:t>
      </w:r>
      <w:bookmarkEnd w:id="76"/>
      <w:bookmarkEnd w:id="77"/>
      <w:r>
        <w:rPr>
          <w:rFonts w:hint="eastAsia" w:ascii="仿宋" w:hAnsi="仿宋" w:eastAsia="仿宋"/>
          <w:color w:val="auto"/>
          <w:sz w:val="24"/>
          <w:szCs w:val="24"/>
          <w:highlight w:val="none"/>
        </w:rPr>
        <w:t>及标准</w:t>
      </w:r>
    </w:p>
    <w:p w14:paraId="22E81BF0">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2.1资格审查</w:t>
      </w:r>
    </w:p>
    <w:p w14:paraId="48FAD878">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开标后，采购人或采购代理机构对各投标人进行资格审查，有一项不符合以下评审标准的，投标无效：</w:t>
      </w:r>
    </w:p>
    <w:p w14:paraId="06B0B770">
      <w:pPr>
        <w:snapToGrid w:val="0"/>
        <w:spacing w:line="360" w:lineRule="auto"/>
        <w:ind w:firstLine="480" w:firstLineChars="200"/>
        <w:jc w:val="left"/>
        <w:rPr>
          <w:rFonts w:hint="eastAsia" w:ascii="仿宋" w:hAnsi="仿宋" w:eastAsia="仿宋" w:cs="Arial"/>
          <w:b/>
          <w:color w:val="auto"/>
          <w:sz w:val="24"/>
          <w:highlight w:val="none"/>
          <w:u w:val="single"/>
          <w:lang w:eastAsia="zh-CN"/>
        </w:rPr>
      </w:pPr>
      <w:r>
        <w:rPr>
          <w:rFonts w:hint="eastAsia" w:ascii="仿宋" w:hAnsi="仿宋" w:eastAsia="仿宋" w:cs="Arial"/>
          <w:color w:val="auto"/>
          <w:sz w:val="24"/>
          <w:highlight w:val="none"/>
        </w:rPr>
        <w:t>2.1.1</w:t>
      </w:r>
      <w:r>
        <w:rPr>
          <w:rFonts w:hint="eastAsia" w:ascii="仿宋" w:hAnsi="仿宋" w:eastAsia="仿宋" w:cs="Arial"/>
          <w:b/>
          <w:color w:val="auto"/>
          <w:sz w:val="24"/>
          <w:highlight w:val="none"/>
          <w:u w:val="single"/>
        </w:rPr>
        <w:t>▲提供符合参加政府采购活动应当具备的一般条件的承诺函</w:t>
      </w:r>
      <w:r>
        <w:rPr>
          <w:rFonts w:hint="eastAsia" w:ascii="仿宋" w:hAnsi="仿宋" w:eastAsia="仿宋" w:cs="Arial"/>
          <w:b/>
          <w:color w:val="auto"/>
          <w:sz w:val="24"/>
          <w:highlight w:val="none"/>
          <w:u w:val="single"/>
          <w:lang w:eastAsia="zh-CN"/>
        </w:rPr>
        <w:t>。</w:t>
      </w:r>
    </w:p>
    <w:p w14:paraId="102AC403">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u w:val="single"/>
          <w:lang w:val="en-US" w:eastAsia="zh-CN"/>
        </w:rPr>
        <w:t>附</w:t>
      </w:r>
      <w:r>
        <w:rPr>
          <w:rFonts w:hint="eastAsia" w:ascii="仿宋" w:hAnsi="仿宋" w:eastAsia="仿宋" w:cs="Arial"/>
          <w:b/>
          <w:bCs/>
          <w:color w:val="auto"/>
          <w:sz w:val="24"/>
          <w:highlight w:val="none"/>
          <w:u w:val="single"/>
          <w:lang w:val="en-US" w:eastAsia="zh-CN"/>
        </w:rPr>
        <w:t>①</w:t>
      </w:r>
      <w:r>
        <w:rPr>
          <w:rFonts w:hint="eastAsia" w:ascii="仿宋" w:hAnsi="仿宋" w:eastAsia="仿宋" w:cs="Arial"/>
          <w:b/>
          <w:bCs/>
          <w:color w:val="auto"/>
          <w:sz w:val="24"/>
          <w:highlight w:val="none"/>
          <w:u w:val="single"/>
        </w:rPr>
        <w:t>有效</w:t>
      </w:r>
      <w:r>
        <w:rPr>
          <w:rFonts w:hint="default" w:ascii="仿宋" w:hAnsi="仿宋" w:eastAsia="仿宋" w:cs="Arial"/>
          <w:b/>
          <w:bCs/>
          <w:color w:val="auto"/>
          <w:sz w:val="24"/>
          <w:highlight w:val="none"/>
          <w:u w:val="single"/>
        </w:rPr>
        <w:t>的企业营业执照</w:t>
      </w:r>
      <w:r>
        <w:rPr>
          <w:rFonts w:hint="eastAsia" w:ascii="仿宋" w:hAnsi="仿宋" w:eastAsia="仿宋" w:cs="Arial"/>
          <w:color w:val="auto"/>
          <w:sz w:val="24"/>
          <w:highlight w:val="none"/>
          <w:u w:val="single"/>
        </w:rPr>
        <w:t>（或事业法人登记证书或其它工商等登记证明材料，自然人提供身份证)复制件（如为联合体，则联合体各方均应提供）</w:t>
      </w:r>
      <w:r>
        <w:rPr>
          <w:rFonts w:hint="eastAsia" w:ascii="仿宋" w:hAnsi="仿宋" w:eastAsia="仿宋" w:cs="Arial"/>
          <w:color w:val="auto"/>
          <w:sz w:val="24"/>
          <w:highlight w:val="none"/>
        </w:rPr>
        <w:t>；</w:t>
      </w:r>
    </w:p>
    <w:p w14:paraId="032C044A">
      <w:pPr>
        <w:snapToGrid w:val="0"/>
        <w:spacing w:line="360" w:lineRule="auto"/>
        <w:ind w:firstLine="480" w:firstLineChars="200"/>
        <w:jc w:val="left"/>
        <w:rPr>
          <w:rFonts w:hint="eastAsia" w:ascii="仿宋" w:hAnsi="仿宋" w:eastAsia="仿宋" w:cs="Arial"/>
          <w:color w:val="auto"/>
          <w:sz w:val="24"/>
          <w:highlight w:val="none"/>
        </w:rPr>
      </w:pPr>
      <w:r>
        <w:rPr>
          <w:rFonts w:hint="eastAsia" w:ascii="仿宋" w:hAnsi="仿宋" w:eastAsia="仿宋" w:cs="Arial"/>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14:paraId="4BF5BFC3">
      <w:pPr>
        <w:pStyle w:val="23"/>
        <w:rPr>
          <w:color w:val="auto"/>
          <w:highlight w:val="none"/>
        </w:rPr>
      </w:pPr>
      <w:r>
        <w:rPr>
          <w:rFonts w:hint="default" w:ascii="仿宋" w:hAnsi="仿宋" w:eastAsia="仿宋" w:cs="Arial"/>
          <w:b/>
          <w:bCs/>
          <w:color w:val="auto"/>
          <w:sz w:val="24"/>
          <w:szCs w:val="24"/>
          <w:highlight w:val="none"/>
          <w:u w:val="single"/>
          <w:lang w:val="en-US" w:eastAsia="zh-CN"/>
        </w:rPr>
        <w:t>②</w:t>
      </w:r>
      <w:r>
        <w:rPr>
          <w:rFonts w:hint="eastAsia" w:ascii="仿宋" w:hAnsi="仿宋" w:eastAsia="仿宋" w:cs="Arial"/>
          <w:b/>
          <w:bCs/>
          <w:color w:val="auto"/>
          <w:sz w:val="24"/>
          <w:szCs w:val="24"/>
          <w:highlight w:val="none"/>
          <w:u w:val="single"/>
          <w:lang w:eastAsia="zh-CN"/>
        </w:rPr>
        <w:t>公告发布之日至本项目投标截止时间内</w:t>
      </w:r>
      <w:r>
        <w:rPr>
          <w:rFonts w:hint="default" w:ascii="仿宋" w:hAnsi="仿宋" w:eastAsia="仿宋" w:cs="Arial"/>
          <w:b/>
          <w:bCs/>
          <w:color w:val="auto"/>
          <w:sz w:val="24"/>
          <w:szCs w:val="24"/>
          <w:highlight w:val="none"/>
          <w:u w:val="single"/>
        </w:rPr>
        <w:t>任意时间的“信用中国（https://www.creditchina.gov.cn/）”、“中国政府采购网（http://www.ccgp.gov.cn/）”投标人信用查询网页截图（</w:t>
      </w:r>
      <w:r>
        <w:rPr>
          <w:rFonts w:hint="default" w:ascii="仿宋" w:hAnsi="仿宋" w:eastAsia="仿宋" w:cs="Arial"/>
          <w:b/>
          <w:bCs/>
          <w:color w:val="auto"/>
          <w:sz w:val="24"/>
          <w:szCs w:val="24"/>
          <w:highlight w:val="none"/>
          <w:u w:val="single"/>
          <w:lang w:val="en-US" w:eastAsia="zh-CN"/>
        </w:rPr>
        <w:t>如有疑议</w:t>
      </w:r>
      <w:r>
        <w:rPr>
          <w:rFonts w:hint="default" w:ascii="仿宋" w:hAnsi="仿宋" w:eastAsia="仿宋" w:cs="Arial"/>
          <w:b/>
          <w:bCs/>
          <w:color w:val="auto"/>
          <w:sz w:val="24"/>
          <w:szCs w:val="24"/>
          <w:highlight w:val="none"/>
          <w:u w:val="single"/>
        </w:rPr>
        <w:t>以开标当日采购人或采购代理机构网页查询结果为准）。</w:t>
      </w:r>
    </w:p>
    <w:p w14:paraId="6EE9D4AA">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2.1.2落实政府采购政策需满足的资格要求：</w:t>
      </w:r>
      <w:r>
        <w:rPr>
          <w:rFonts w:hint="eastAsia" w:ascii="仿宋" w:hAnsi="仿宋" w:eastAsia="仿宋" w:cs="Arial"/>
          <w:b/>
          <w:color w:val="auto"/>
          <w:sz w:val="24"/>
          <w:highlight w:val="none"/>
        </w:rPr>
        <w:t>见评标办法前附表</w:t>
      </w:r>
      <w:r>
        <w:rPr>
          <w:rFonts w:hint="eastAsia" w:ascii="仿宋" w:hAnsi="仿宋" w:eastAsia="仿宋" w:cs="Arial"/>
          <w:color w:val="auto"/>
          <w:sz w:val="24"/>
          <w:highlight w:val="none"/>
        </w:rPr>
        <w:t>。</w:t>
      </w:r>
    </w:p>
    <w:p w14:paraId="416882E1">
      <w:pPr>
        <w:snapToGrid w:val="0"/>
        <w:spacing w:line="360" w:lineRule="auto"/>
        <w:ind w:firstLine="480" w:firstLineChars="200"/>
        <w:jc w:val="left"/>
        <w:rPr>
          <w:rFonts w:hint="eastAsia" w:ascii="仿宋" w:hAnsi="仿宋" w:eastAsia="仿宋" w:cs="Arial"/>
          <w:color w:val="auto"/>
          <w:sz w:val="24"/>
          <w:highlight w:val="none"/>
        </w:rPr>
      </w:pPr>
      <w:r>
        <w:rPr>
          <w:rFonts w:hint="eastAsia" w:ascii="仿宋" w:hAnsi="仿宋" w:eastAsia="仿宋" w:cs="Arial"/>
          <w:color w:val="auto"/>
          <w:sz w:val="24"/>
          <w:highlight w:val="none"/>
        </w:rPr>
        <w:t>2.1.3本项目的特定资格要求：</w:t>
      </w:r>
      <w:r>
        <w:rPr>
          <w:rFonts w:hint="eastAsia" w:ascii="仿宋" w:hAnsi="仿宋" w:eastAsia="仿宋" w:cs="Arial"/>
          <w:b/>
          <w:color w:val="auto"/>
          <w:sz w:val="24"/>
          <w:highlight w:val="none"/>
        </w:rPr>
        <w:t>见评标办法前附表</w:t>
      </w:r>
      <w:r>
        <w:rPr>
          <w:rFonts w:hint="eastAsia" w:ascii="仿宋" w:hAnsi="仿宋" w:eastAsia="仿宋" w:cs="Arial"/>
          <w:color w:val="auto"/>
          <w:sz w:val="24"/>
          <w:highlight w:val="none"/>
        </w:rPr>
        <w:t>。</w:t>
      </w:r>
    </w:p>
    <w:p w14:paraId="648C8AC3">
      <w:pPr>
        <w:snapToGrid w:val="0"/>
        <w:spacing w:line="360" w:lineRule="auto"/>
        <w:ind w:firstLine="480" w:firstLineChars="200"/>
        <w:jc w:val="left"/>
        <w:rPr>
          <w:rFonts w:hint="eastAsia" w:ascii="仿宋" w:hAnsi="仿宋" w:eastAsia="仿宋" w:cs="Arial"/>
          <w:color w:val="auto"/>
          <w:sz w:val="24"/>
          <w:highlight w:val="none"/>
          <w:lang w:val="en-US" w:eastAsia="zh-CN"/>
        </w:rPr>
      </w:pPr>
      <w:r>
        <w:rPr>
          <w:rFonts w:hint="eastAsia" w:ascii="仿宋" w:hAnsi="仿宋" w:eastAsia="仿宋" w:cs="Arial"/>
          <w:b w:val="0"/>
          <w:color w:val="auto"/>
          <w:kern w:val="2"/>
          <w:sz w:val="24"/>
          <w:highlight w:val="none"/>
          <w:lang w:val="en-US" w:eastAsia="zh-CN"/>
        </w:rPr>
        <w:t>2.1.4</w:t>
      </w:r>
      <w:r>
        <w:rPr>
          <w:rFonts w:hint="eastAsia" w:ascii="仿宋" w:hAnsi="仿宋" w:eastAsia="仿宋" w:cs="Arial"/>
          <w:b w:val="0"/>
          <w:color w:val="auto"/>
          <w:kern w:val="2"/>
          <w:sz w:val="24"/>
          <w:highlight w:val="none"/>
        </w:rPr>
        <w:t>联合体协议书（如为联合体投标）</w:t>
      </w:r>
      <w:r>
        <w:rPr>
          <w:rFonts w:hint="eastAsia" w:ascii="仿宋" w:hAnsi="仿宋" w:eastAsia="仿宋" w:cs="Arial"/>
          <w:b w:val="0"/>
          <w:bCs w:val="0"/>
          <w:color w:val="auto"/>
          <w:sz w:val="24"/>
          <w:szCs w:val="24"/>
          <w:highlight w:val="none"/>
          <w:u w:val="none"/>
        </w:rPr>
        <w:t>。</w:t>
      </w:r>
    </w:p>
    <w:p w14:paraId="438B4171">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2.2符合性审查</w:t>
      </w:r>
    </w:p>
    <w:p w14:paraId="1A1B4959">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评标委员会对资格审查合格的投标人进行符合性审查：</w:t>
      </w:r>
    </w:p>
    <w:p w14:paraId="2CD49A90">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2.2.1</w:t>
      </w:r>
      <w:r>
        <w:rPr>
          <w:rFonts w:hint="eastAsia" w:ascii="仿宋" w:hAnsi="仿宋" w:eastAsia="仿宋" w:cs="Arial"/>
          <w:b/>
          <w:color w:val="auto"/>
          <w:sz w:val="24"/>
          <w:highlight w:val="none"/>
          <w:u w:val="single"/>
        </w:rPr>
        <w:t>▲投标人存在下列情况之一的，投标无效</w:t>
      </w:r>
      <w:r>
        <w:rPr>
          <w:rFonts w:hint="eastAsia" w:ascii="仿宋" w:hAnsi="仿宋" w:eastAsia="仿宋" w:cs="Arial"/>
          <w:b/>
          <w:color w:val="auto"/>
          <w:sz w:val="24"/>
          <w:highlight w:val="none"/>
        </w:rPr>
        <w:t>:</w:t>
      </w:r>
    </w:p>
    <w:p w14:paraId="1A3884E9">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（1）仅提交“备份投标文件”的；</w:t>
      </w:r>
    </w:p>
    <w:p w14:paraId="0FEE20B6">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（2）不具备招标文件中规定的资格要求的；</w:t>
      </w:r>
    </w:p>
    <w:p w14:paraId="6E6EC11D">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（3）投标文件未按招标文件要求签署、盖章的；</w:t>
      </w:r>
    </w:p>
    <w:p w14:paraId="02545A3C">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w:t>
      </w:r>
      <w:r>
        <w:rPr>
          <w:rFonts w:ascii="仿宋" w:hAnsi="仿宋" w:eastAsia="仿宋" w:cs="Arial"/>
          <w:b/>
          <w:color w:val="auto"/>
          <w:sz w:val="24"/>
          <w:highlight w:val="none"/>
        </w:rPr>
        <w:t>4</w:t>
      </w:r>
      <w:r>
        <w:rPr>
          <w:rFonts w:hint="eastAsia" w:ascii="仿宋" w:hAnsi="仿宋" w:eastAsia="仿宋" w:cs="Arial"/>
          <w:b/>
          <w:color w:val="auto"/>
          <w:sz w:val="24"/>
          <w:highlight w:val="none"/>
        </w:rPr>
        <w:t>）明显不符合招标文件中标注“▲”且加下划线的实质性要求和条件（主要技术规格、商务技术标准或服务要求）的；</w:t>
      </w:r>
    </w:p>
    <w:p w14:paraId="3E4B4067">
      <w:pPr>
        <w:snapToGrid w:val="0"/>
        <w:spacing w:line="360" w:lineRule="auto"/>
        <w:ind w:firstLine="482" w:firstLineChars="20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w:t>
      </w:r>
      <w:r>
        <w:rPr>
          <w:rFonts w:ascii="仿宋" w:hAnsi="仿宋" w:eastAsia="仿宋" w:cs="Arial"/>
          <w:b/>
          <w:color w:val="auto"/>
          <w:kern w:val="0"/>
          <w:sz w:val="24"/>
          <w:highlight w:val="none"/>
        </w:rPr>
        <w:t>5</w:t>
      </w:r>
      <w:r>
        <w:rPr>
          <w:rFonts w:hint="eastAsia" w:ascii="仿宋" w:hAnsi="仿宋" w:eastAsia="仿宋" w:cs="Arial"/>
          <w:b/>
          <w:color w:val="auto"/>
          <w:kern w:val="0"/>
          <w:sz w:val="24"/>
          <w:highlight w:val="none"/>
        </w:rPr>
        <w:t>）</w:t>
      </w:r>
      <w:r>
        <w:rPr>
          <w:rFonts w:ascii="仿宋" w:hAnsi="仿宋" w:eastAsia="仿宋" w:cs="Arial"/>
          <w:b/>
          <w:color w:val="auto"/>
          <w:kern w:val="0"/>
          <w:sz w:val="24"/>
          <w:highlight w:val="none"/>
        </w:rPr>
        <w:t>采购人拟采购的产品属于政府强制采购的节能产品品目清单范围的，</w:t>
      </w:r>
      <w:r>
        <w:rPr>
          <w:rFonts w:hint="eastAsia" w:ascii="仿宋" w:hAnsi="仿宋" w:eastAsia="仿宋" w:cs="Arial"/>
          <w:b/>
          <w:color w:val="auto"/>
          <w:kern w:val="0"/>
          <w:sz w:val="24"/>
          <w:highlight w:val="none"/>
        </w:rPr>
        <w:t>投标人</w:t>
      </w:r>
      <w:r>
        <w:rPr>
          <w:rFonts w:ascii="仿宋" w:hAnsi="仿宋" w:eastAsia="仿宋" w:cs="Arial"/>
          <w:b/>
          <w:color w:val="auto"/>
          <w:kern w:val="0"/>
          <w:sz w:val="24"/>
          <w:highlight w:val="none"/>
        </w:rPr>
        <w:t>未按</w:t>
      </w:r>
      <w:r>
        <w:rPr>
          <w:rFonts w:hint="eastAsia" w:ascii="仿宋" w:hAnsi="仿宋" w:eastAsia="仿宋" w:cs="Arial"/>
          <w:b/>
          <w:color w:val="auto"/>
          <w:kern w:val="0"/>
          <w:sz w:val="24"/>
          <w:highlight w:val="none"/>
        </w:rPr>
        <w:t>招标文件</w:t>
      </w:r>
      <w:r>
        <w:rPr>
          <w:rFonts w:ascii="仿宋" w:hAnsi="仿宋" w:eastAsia="仿宋" w:cs="Arial"/>
          <w:b/>
          <w:color w:val="auto"/>
          <w:kern w:val="0"/>
          <w:sz w:val="24"/>
          <w:highlight w:val="none"/>
        </w:rPr>
        <w:t>要求提供国家确定的认证机构出具的、处于有效期之内的节能产品认证证书</w:t>
      </w:r>
      <w:r>
        <w:rPr>
          <w:rFonts w:hint="eastAsia" w:ascii="仿宋" w:hAnsi="仿宋" w:eastAsia="仿宋" w:cs="Arial"/>
          <w:b/>
          <w:color w:val="auto"/>
          <w:kern w:val="0"/>
          <w:sz w:val="24"/>
          <w:highlight w:val="none"/>
        </w:rPr>
        <w:t>的；</w:t>
      </w:r>
    </w:p>
    <w:p w14:paraId="4C4C179F">
      <w:pPr>
        <w:snapToGrid w:val="0"/>
        <w:spacing w:line="360" w:lineRule="auto"/>
        <w:ind w:firstLine="482" w:firstLineChars="20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w:t>
      </w:r>
      <w:r>
        <w:rPr>
          <w:rFonts w:ascii="仿宋" w:hAnsi="仿宋" w:eastAsia="仿宋" w:cs="Arial"/>
          <w:b/>
          <w:color w:val="auto"/>
          <w:kern w:val="0"/>
          <w:sz w:val="24"/>
          <w:highlight w:val="none"/>
        </w:rPr>
        <w:t>6</w:t>
      </w:r>
      <w:r>
        <w:rPr>
          <w:rFonts w:hint="eastAsia" w:ascii="仿宋" w:hAnsi="仿宋" w:eastAsia="仿宋" w:cs="Arial"/>
          <w:b/>
          <w:color w:val="auto"/>
          <w:kern w:val="0"/>
          <w:sz w:val="24"/>
          <w:highlight w:val="none"/>
        </w:rPr>
        <w:t>）</w:t>
      </w:r>
      <w:r>
        <w:rPr>
          <w:rFonts w:ascii="仿宋" w:hAnsi="仿宋" w:eastAsia="仿宋" w:cs="Arial"/>
          <w:b/>
          <w:color w:val="auto"/>
          <w:kern w:val="0"/>
          <w:sz w:val="24"/>
          <w:highlight w:val="none"/>
        </w:rPr>
        <w:t>投标文件中承诺的投标有效期少于</w:t>
      </w:r>
      <w:r>
        <w:rPr>
          <w:rFonts w:hint="eastAsia" w:ascii="仿宋" w:hAnsi="仿宋" w:eastAsia="仿宋" w:cs="Arial"/>
          <w:b/>
          <w:color w:val="auto"/>
          <w:kern w:val="0"/>
          <w:sz w:val="24"/>
          <w:highlight w:val="none"/>
        </w:rPr>
        <w:t>招标文件</w:t>
      </w:r>
      <w:r>
        <w:rPr>
          <w:rFonts w:ascii="仿宋" w:hAnsi="仿宋" w:eastAsia="仿宋" w:cs="Arial"/>
          <w:b/>
          <w:color w:val="auto"/>
          <w:kern w:val="0"/>
          <w:sz w:val="24"/>
          <w:highlight w:val="none"/>
        </w:rPr>
        <w:t>中载明的投标有效期的；</w:t>
      </w:r>
    </w:p>
    <w:p w14:paraId="26B3BD40">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w:t>
      </w:r>
      <w:r>
        <w:rPr>
          <w:rFonts w:ascii="仿宋" w:hAnsi="仿宋" w:eastAsia="仿宋" w:cs="Arial"/>
          <w:b/>
          <w:color w:val="auto"/>
          <w:sz w:val="24"/>
          <w:highlight w:val="none"/>
        </w:rPr>
        <w:t>7</w:t>
      </w:r>
      <w:r>
        <w:rPr>
          <w:rFonts w:hint="eastAsia" w:ascii="仿宋" w:hAnsi="仿宋" w:eastAsia="仿宋" w:cs="Arial"/>
          <w:b/>
          <w:color w:val="auto"/>
          <w:sz w:val="24"/>
          <w:highlight w:val="none"/>
        </w:rPr>
        <w:t>）投标文件实质性内容不全或关键字迹模糊无法辨认的；</w:t>
      </w:r>
    </w:p>
    <w:p w14:paraId="780FC431">
      <w:pPr>
        <w:snapToGrid w:val="0"/>
        <w:spacing w:line="360" w:lineRule="auto"/>
        <w:ind w:firstLine="482" w:firstLineChars="200"/>
        <w:jc w:val="left"/>
        <w:rPr>
          <w:rFonts w:ascii="仿宋" w:hAnsi="仿宋" w:eastAsia="仿宋" w:cs="仿宋"/>
          <w:b/>
          <w:color w:val="auto"/>
          <w:kern w:val="0"/>
          <w:sz w:val="24"/>
          <w:highlight w:val="none"/>
        </w:rPr>
      </w:pPr>
      <w:r>
        <w:rPr>
          <w:rFonts w:hint="eastAsia" w:ascii="仿宋" w:hAnsi="仿宋" w:eastAsia="仿宋" w:cs="Arial"/>
          <w:b/>
          <w:color w:val="auto"/>
          <w:sz w:val="24"/>
          <w:highlight w:val="none"/>
        </w:rPr>
        <w:t>（</w:t>
      </w:r>
      <w:r>
        <w:rPr>
          <w:rFonts w:ascii="仿宋" w:hAnsi="仿宋" w:eastAsia="仿宋" w:cs="Arial"/>
          <w:b/>
          <w:color w:val="auto"/>
          <w:sz w:val="24"/>
          <w:highlight w:val="none"/>
        </w:rPr>
        <w:t>8</w:t>
      </w:r>
      <w:r>
        <w:rPr>
          <w:rFonts w:hint="eastAsia" w:ascii="仿宋" w:hAnsi="仿宋" w:eastAsia="仿宋" w:cs="Arial"/>
          <w:b/>
          <w:color w:val="auto"/>
          <w:sz w:val="24"/>
          <w:highlight w:val="none"/>
        </w:rPr>
        <w:t>）投标报价超过采购预算或最高限价；</w:t>
      </w:r>
    </w:p>
    <w:p w14:paraId="1FDA44A1">
      <w:pPr>
        <w:snapToGrid w:val="0"/>
        <w:spacing w:line="360" w:lineRule="auto"/>
        <w:ind w:firstLine="482" w:firstLineChars="200"/>
        <w:jc w:val="left"/>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w:t>
      </w:r>
      <w:r>
        <w:rPr>
          <w:rFonts w:ascii="仿宋" w:hAnsi="仿宋" w:eastAsia="仿宋" w:cs="仿宋"/>
          <w:b/>
          <w:color w:val="auto"/>
          <w:kern w:val="0"/>
          <w:sz w:val="24"/>
          <w:highlight w:val="none"/>
        </w:rPr>
        <w:t>9</w:t>
      </w:r>
      <w:r>
        <w:rPr>
          <w:rFonts w:hint="eastAsia" w:ascii="仿宋" w:hAnsi="仿宋" w:eastAsia="仿宋" w:cs="仿宋"/>
          <w:b/>
          <w:color w:val="auto"/>
          <w:kern w:val="0"/>
          <w:sz w:val="24"/>
          <w:highlight w:val="none"/>
        </w:rPr>
        <w:t>）投标文件出现不是唯一的、有选择性投标报价的；</w:t>
      </w:r>
    </w:p>
    <w:p w14:paraId="149336DD">
      <w:pPr>
        <w:snapToGrid w:val="0"/>
        <w:spacing w:line="360" w:lineRule="auto"/>
        <w:ind w:firstLine="482" w:firstLineChars="200"/>
        <w:jc w:val="left"/>
        <w:rPr>
          <w:rFonts w:ascii="仿宋" w:hAnsi="仿宋" w:eastAsia="仿宋" w:cs="仿宋"/>
          <w:b/>
          <w:color w:val="auto"/>
          <w:kern w:val="0"/>
          <w:sz w:val="24"/>
          <w:highlight w:val="none"/>
        </w:rPr>
      </w:pPr>
      <w:r>
        <w:rPr>
          <w:rFonts w:hint="eastAsia" w:ascii="仿宋" w:hAnsi="仿宋" w:eastAsia="仿宋" w:cs="Arial"/>
          <w:b/>
          <w:color w:val="auto"/>
          <w:kern w:val="0"/>
          <w:sz w:val="24"/>
          <w:highlight w:val="none"/>
        </w:rPr>
        <w:t>（1</w:t>
      </w:r>
      <w:r>
        <w:rPr>
          <w:rFonts w:ascii="仿宋" w:hAnsi="仿宋" w:eastAsia="仿宋" w:cs="Arial"/>
          <w:b/>
          <w:color w:val="auto"/>
          <w:kern w:val="0"/>
          <w:sz w:val="24"/>
          <w:highlight w:val="none"/>
        </w:rPr>
        <w:t>0</w:t>
      </w:r>
      <w:r>
        <w:rPr>
          <w:rFonts w:hint="eastAsia" w:ascii="仿宋" w:hAnsi="仿宋" w:eastAsia="仿宋" w:cs="Arial"/>
          <w:b/>
          <w:color w:val="auto"/>
          <w:kern w:val="0"/>
          <w:sz w:val="24"/>
          <w:highlight w:val="none"/>
        </w:rPr>
        <w:t>）投标人</w:t>
      </w:r>
      <w:r>
        <w:rPr>
          <w:rFonts w:ascii="仿宋" w:hAnsi="仿宋" w:eastAsia="仿宋" w:cs="Arial"/>
          <w:b/>
          <w:color w:val="auto"/>
          <w:kern w:val="0"/>
          <w:sz w:val="24"/>
          <w:highlight w:val="none"/>
        </w:rPr>
        <w:t>对根据修正原则修正后的报价不确认的；</w:t>
      </w:r>
    </w:p>
    <w:p w14:paraId="4615B42F">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（1</w:t>
      </w:r>
      <w:r>
        <w:rPr>
          <w:rFonts w:ascii="仿宋" w:hAnsi="仿宋" w:eastAsia="仿宋" w:cs="Arial"/>
          <w:b/>
          <w:color w:val="auto"/>
          <w:sz w:val="24"/>
          <w:highlight w:val="none"/>
        </w:rPr>
        <w:t>1</w:t>
      </w:r>
      <w:r>
        <w:rPr>
          <w:rFonts w:hint="eastAsia" w:ascii="仿宋" w:hAnsi="仿宋" w:eastAsia="仿宋" w:cs="Arial"/>
          <w:b/>
          <w:color w:val="auto"/>
          <w:sz w:val="24"/>
          <w:highlight w:val="none"/>
        </w:rPr>
        <w:t>）投标文件有采购人不能接受的附加条件的；</w:t>
      </w:r>
    </w:p>
    <w:p w14:paraId="53FF8C6E">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（1</w:t>
      </w:r>
      <w:r>
        <w:rPr>
          <w:rFonts w:ascii="仿宋" w:hAnsi="仿宋" w:eastAsia="仿宋" w:cs="Arial"/>
          <w:b/>
          <w:color w:val="auto"/>
          <w:sz w:val="24"/>
          <w:highlight w:val="none"/>
        </w:rPr>
        <w:t>2</w:t>
      </w:r>
      <w:r>
        <w:rPr>
          <w:rFonts w:hint="eastAsia" w:ascii="仿宋" w:hAnsi="仿宋" w:eastAsia="仿宋" w:cs="Arial"/>
          <w:b/>
          <w:color w:val="auto"/>
          <w:sz w:val="24"/>
          <w:highlight w:val="none"/>
        </w:rPr>
        <w:t>）投标人提供虚假材料投标的；</w:t>
      </w:r>
    </w:p>
    <w:p w14:paraId="3F0291CD">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（1</w:t>
      </w:r>
      <w:r>
        <w:rPr>
          <w:rFonts w:ascii="仿宋" w:hAnsi="仿宋" w:eastAsia="仿宋" w:cs="Arial"/>
          <w:b/>
          <w:color w:val="auto"/>
          <w:sz w:val="24"/>
          <w:highlight w:val="none"/>
        </w:rPr>
        <w:t>3</w:t>
      </w:r>
      <w:r>
        <w:rPr>
          <w:rFonts w:hint="eastAsia" w:ascii="仿宋" w:hAnsi="仿宋" w:eastAsia="仿宋" w:cs="Arial"/>
          <w:b/>
          <w:color w:val="auto"/>
          <w:sz w:val="24"/>
          <w:highlight w:val="none"/>
        </w:rPr>
        <w:t>）法律、法规和招标文件规定的其他无效情形。</w:t>
      </w:r>
    </w:p>
    <w:p w14:paraId="68CC88BA">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2.2.2</w:t>
      </w:r>
      <w:r>
        <w:rPr>
          <w:rFonts w:hint="eastAsia" w:ascii="仿宋" w:hAnsi="仿宋" w:eastAsia="仿宋" w:cs="Arial"/>
          <w:b/>
          <w:color w:val="auto"/>
          <w:sz w:val="24"/>
          <w:highlight w:val="none"/>
          <w:u w:val="single"/>
        </w:rPr>
        <w:t>▲有下列情形之一的，属于恶意串通，对投标人依照政府采购法第七十七条第一款的规定追究法律责任，对采购人、采购代理机构及其工作人员依照政府采购法第七十二条的规定追究法律责任</w:t>
      </w:r>
      <w:r>
        <w:rPr>
          <w:rFonts w:hint="eastAsia" w:ascii="仿宋" w:hAnsi="仿宋" w:eastAsia="仿宋" w:cs="Arial"/>
          <w:b/>
          <w:color w:val="auto"/>
          <w:sz w:val="24"/>
          <w:highlight w:val="none"/>
        </w:rPr>
        <w:t>：</w:t>
      </w:r>
    </w:p>
    <w:p w14:paraId="2A5E2415">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（1）投标人直接或者间接从采购人或者采购代理机构处获得其他投标人的相关情况并修改其投标文件的；</w:t>
      </w:r>
    </w:p>
    <w:p w14:paraId="6079EC53">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（2）投标人按照采购人或者采购代理机构的授意撤换、修改投标文件的；</w:t>
      </w:r>
    </w:p>
    <w:p w14:paraId="1CBC3228">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（3）投标人之间协商报价、技术方案等投标文件或者响应文件的实质性内容；</w:t>
      </w:r>
    </w:p>
    <w:p w14:paraId="216E77AE">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（4）属于同一集团、协会、商会等组织成员的投标人按照该组织要求协同参加政府采购活动；</w:t>
      </w:r>
    </w:p>
    <w:p w14:paraId="1870BF13">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（5）投标人之间事先约定由某一特定投标人中标、成交；</w:t>
      </w:r>
    </w:p>
    <w:p w14:paraId="5FFF8A12">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（6）投标人之间商定部分投标人放弃参加政府采购活动或者放弃中标、成交；</w:t>
      </w:r>
    </w:p>
    <w:p w14:paraId="4A043D10">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（7）投标人与采购人或者采购代理机构之间、投标人相互之间，为谋求特定投标人中标、成交或者排斥其他投标人的其他串通行为。</w:t>
      </w:r>
    </w:p>
    <w:p w14:paraId="41EC41E2">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2.2.3</w:t>
      </w:r>
      <w:r>
        <w:rPr>
          <w:rFonts w:hint="eastAsia" w:ascii="仿宋" w:hAnsi="仿宋" w:eastAsia="仿宋" w:cs="Arial"/>
          <w:b/>
          <w:color w:val="auto"/>
          <w:sz w:val="24"/>
          <w:highlight w:val="none"/>
          <w:u w:val="single"/>
        </w:rPr>
        <w:t>▲有下列情形之一的，视为投标人串通投标，其投标无效</w:t>
      </w:r>
      <w:r>
        <w:rPr>
          <w:rFonts w:hint="eastAsia" w:ascii="仿宋" w:hAnsi="仿宋" w:eastAsia="仿宋" w:cs="Arial"/>
          <w:b/>
          <w:color w:val="auto"/>
          <w:sz w:val="24"/>
          <w:highlight w:val="none"/>
        </w:rPr>
        <w:t>：</w:t>
      </w:r>
    </w:p>
    <w:p w14:paraId="3A5D788B">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（1）不同投标人的投标文件由同一单位或者个人编制；</w:t>
      </w:r>
    </w:p>
    <w:p w14:paraId="3759E6B5">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（2）不同投标人委托同一单位或者个人办理投标事宜；</w:t>
      </w:r>
    </w:p>
    <w:p w14:paraId="66F7A240">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（3）不同投标人的投标文件载明的项目管理成员或者联系人员为同一人；</w:t>
      </w:r>
    </w:p>
    <w:p w14:paraId="20E351C0">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（4）不同投标人的投标文件异常一致或者投标报价呈规律性差异；</w:t>
      </w:r>
    </w:p>
    <w:p w14:paraId="1BC21CB5">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（5）不同投标人的投标文件相互混装；</w:t>
      </w:r>
    </w:p>
    <w:p w14:paraId="77648FF2">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2.2.4符合性审查其他要求见评标办法前附表。</w:t>
      </w:r>
    </w:p>
    <w:p w14:paraId="0B170168">
      <w:pPr>
        <w:snapToGrid w:val="0"/>
        <w:spacing w:line="360" w:lineRule="auto"/>
        <w:ind w:firstLine="482" w:firstLineChars="200"/>
        <w:jc w:val="left"/>
        <w:rPr>
          <w:rFonts w:ascii="仿宋" w:hAnsi="仿宋" w:eastAsia="仿宋" w:cs="Arial"/>
          <w:color w:val="auto"/>
          <w:sz w:val="24"/>
          <w:highlight w:val="none"/>
        </w:rPr>
      </w:pPr>
      <w:r>
        <w:rPr>
          <w:rFonts w:hint="eastAsia" w:ascii="仿宋" w:hAnsi="仿宋" w:eastAsia="仿宋" w:cs="Arial"/>
          <w:b/>
          <w:color w:val="auto"/>
          <w:sz w:val="24"/>
          <w:highlight w:val="none"/>
        </w:rPr>
        <w:t>2.2.5实质上没有响应招标文件要求的投标将被否决，投标人不得通过修正或撤消不合要求的偏离或保留从而使其投标成为实质上响应的投标。</w:t>
      </w:r>
    </w:p>
    <w:p w14:paraId="422720FB">
      <w:pPr>
        <w:pStyle w:val="4"/>
        <w:widowControl/>
        <w:snapToGrid w:val="0"/>
        <w:spacing w:before="0" w:after="0" w:line="360" w:lineRule="auto"/>
        <w:ind w:firstLine="482" w:firstLineChars="200"/>
        <w:jc w:val="left"/>
        <w:rPr>
          <w:rFonts w:ascii="仿宋" w:hAnsi="仿宋" w:eastAsia="仿宋" w:cstheme="majorBidi"/>
          <w:color w:val="auto"/>
          <w:sz w:val="24"/>
          <w:szCs w:val="24"/>
          <w:highlight w:val="none"/>
        </w:rPr>
      </w:pPr>
      <w:bookmarkStart w:id="78" w:name="_Toc55375024"/>
      <w:bookmarkStart w:id="79" w:name="_Toc5724"/>
      <w:bookmarkStart w:id="80" w:name="_Toc55302377"/>
      <w:bookmarkStart w:id="81" w:name="_Toc63189379"/>
      <w:r>
        <w:rPr>
          <w:rFonts w:hint="eastAsia" w:ascii="仿宋" w:hAnsi="仿宋" w:eastAsia="仿宋" w:cstheme="majorBidi"/>
          <w:color w:val="auto"/>
          <w:sz w:val="24"/>
          <w:szCs w:val="24"/>
          <w:highlight w:val="none"/>
        </w:rPr>
        <w:t>2</w:t>
      </w:r>
      <w:r>
        <w:rPr>
          <w:rFonts w:ascii="仿宋" w:hAnsi="仿宋" w:eastAsia="仿宋" w:cstheme="majorBidi"/>
          <w:color w:val="auto"/>
          <w:sz w:val="24"/>
          <w:szCs w:val="24"/>
          <w:highlight w:val="none"/>
        </w:rPr>
        <w:t>.</w:t>
      </w:r>
      <w:r>
        <w:rPr>
          <w:rFonts w:hint="eastAsia" w:ascii="仿宋" w:hAnsi="仿宋" w:eastAsia="仿宋" w:cstheme="majorBidi"/>
          <w:color w:val="auto"/>
          <w:sz w:val="24"/>
          <w:szCs w:val="24"/>
          <w:highlight w:val="none"/>
        </w:rPr>
        <w:t>3比较与评价（适用于综合评分法）</w:t>
      </w:r>
    </w:p>
    <w:bookmarkEnd w:id="78"/>
    <w:bookmarkEnd w:id="79"/>
    <w:bookmarkEnd w:id="80"/>
    <w:bookmarkEnd w:id="81"/>
    <w:p w14:paraId="3BF6E484">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w:t>
      </w:r>
      <w:r>
        <w:rPr>
          <w:rFonts w:ascii="仿宋" w:hAnsi="仿宋" w:eastAsia="仿宋" w:cs="Arial"/>
          <w:color w:val="auto"/>
          <w:sz w:val="24"/>
          <w:highlight w:val="none"/>
        </w:rPr>
        <w:t>.3.1</w:t>
      </w:r>
      <w:r>
        <w:rPr>
          <w:rFonts w:hint="eastAsia" w:ascii="仿宋" w:hAnsi="仿宋" w:eastAsia="仿宋" w:cs="Arial"/>
          <w:color w:val="auto"/>
          <w:sz w:val="24"/>
          <w:highlight w:val="none"/>
        </w:rPr>
        <w:t>分值权重构成</w:t>
      </w:r>
      <w:r>
        <w:rPr>
          <w:rFonts w:hint="eastAsia" w:ascii="仿宋" w:hAnsi="仿宋" w:eastAsia="仿宋"/>
          <w:color w:val="auto"/>
          <w:sz w:val="24"/>
          <w:highlight w:val="none"/>
        </w:rPr>
        <w:t>，见评标办法前附表。</w:t>
      </w:r>
    </w:p>
    <w:p w14:paraId="7506033D">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s="Arial"/>
          <w:color w:val="auto"/>
          <w:sz w:val="24"/>
          <w:highlight w:val="none"/>
        </w:rPr>
        <w:t>2.</w:t>
      </w:r>
      <w:r>
        <w:rPr>
          <w:rFonts w:ascii="仿宋" w:hAnsi="仿宋" w:eastAsia="仿宋" w:cs="Arial"/>
          <w:color w:val="auto"/>
          <w:sz w:val="24"/>
          <w:highlight w:val="none"/>
        </w:rPr>
        <w:t>3</w:t>
      </w:r>
      <w:r>
        <w:rPr>
          <w:rFonts w:hint="eastAsia" w:ascii="仿宋" w:hAnsi="仿宋" w:eastAsia="仿宋" w:cs="Arial"/>
          <w:color w:val="auto"/>
          <w:sz w:val="24"/>
          <w:highlight w:val="none"/>
        </w:rPr>
        <w:t>.2商务技术</w:t>
      </w:r>
      <w:r>
        <w:rPr>
          <w:rFonts w:hint="eastAsia" w:ascii="仿宋" w:hAnsi="仿宋" w:eastAsia="仿宋"/>
          <w:color w:val="auto"/>
          <w:sz w:val="24"/>
          <w:highlight w:val="none"/>
        </w:rPr>
        <w:t>评分标准，见评标办法前附表。</w:t>
      </w:r>
    </w:p>
    <w:p w14:paraId="0BDC9FEE">
      <w:pPr>
        <w:pStyle w:val="23"/>
        <w:snapToGrid w:val="0"/>
        <w:spacing w:after="0"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3</w:t>
      </w:r>
      <w:r>
        <w:rPr>
          <w:rFonts w:hint="eastAsia" w:ascii="仿宋" w:hAnsi="仿宋" w:eastAsia="仿宋"/>
          <w:color w:val="auto"/>
          <w:sz w:val="24"/>
          <w:highlight w:val="none"/>
        </w:rPr>
        <w:t>.3报价评分标准，见评标办法前附表。</w:t>
      </w:r>
    </w:p>
    <w:p w14:paraId="20FE4FCE">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w:t>
      </w:r>
      <w:r>
        <w:rPr>
          <w:rFonts w:ascii="仿宋" w:hAnsi="仿宋" w:eastAsia="仿宋" w:cs="Arial"/>
          <w:color w:val="auto"/>
          <w:sz w:val="24"/>
          <w:highlight w:val="none"/>
        </w:rPr>
        <w:t>.3.</w:t>
      </w:r>
      <w:r>
        <w:rPr>
          <w:rFonts w:hint="eastAsia" w:ascii="仿宋" w:hAnsi="仿宋" w:eastAsia="仿宋" w:cs="Arial"/>
          <w:color w:val="auto"/>
          <w:sz w:val="24"/>
          <w:highlight w:val="none"/>
        </w:rPr>
        <w:t>4</w:t>
      </w:r>
      <w:r>
        <w:rPr>
          <w:rFonts w:ascii="仿宋" w:hAnsi="仿宋" w:eastAsia="仿宋" w:cs="Arial"/>
          <w:color w:val="auto"/>
          <w:sz w:val="24"/>
          <w:highlight w:val="none"/>
        </w:rPr>
        <w:t>评分分值计算保留小数点后两位，小数点后第三位“四舍五入”。</w:t>
      </w:r>
    </w:p>
    <w:p w14:paraId="5A58A237">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w:t>
      </w:r>
      <w:r>
        <w:rPr>
          <w:rFonts w:ascii="仿宋" w:hAnsi="仿宋" w:eastAsia="仿宋" w:cs="Arial"/>
          <w:color w:val="auto"/>
          <w:sz w:val="24"/>
          <w:highlight w:val="none"/>
        </w:rPr>
        <w:t>.3.</w:t>
      </w:r>
      <w:r>
        <w:rPr>
          <w:rFonts w:hint="eastAsia" w:ascii="仿宋" w:hAnsi="仿宋" w:eastAsia="仿宋" w:cs="Arial"/>
          <w:color w:val="auto"/>
          <w:sz w:val="24"/>
          <w:highlight w:val="none"/>
        </w:rPr>
        <w:t>5</w:t>
      </w:r>
      <w:r>
        <w:rPr>
          <w:rFonts w:ascii="仿宋" w:hAnsi="仿宋" w:eastAsia="仿宋" w:cs="Arial"/>
          <w:color w:val="auto"/>
          <w:sz w:val="24"/>
          <w:highlight w:val="none"/>
        </w:rPr>
        <w:t>投标人综合得分=</w:t>
      </w:r>
      <w:r>
        <w:rPr>
          <w:rFonts w:hint="eastAsia" w:ascii="仿宋" w:hAnsi="仿宋" w:eastAsia="仿宋" w:cs="Arial"/>
          <w:color w:val="auto"/>
          <w:sz w:val="24"/>
          <w:highlight w:val="none"/>
        </w:rPr>
        <w:t>商务技术得分+报价得分</w:t>
      </w:r>
      <w:r>
        <w:rPr>
          <w:rFonts w:ascii="仿宋" w:hAnsi="仿宋" w:eastAsia="仿宋" w:cs="Arial"/>
          <w:color w:val="auto"/>
          <w:sz w:val="24"/>
          <w:highlight w:val="none"/>
        </w:rPr>
        <w:t>。</w:t>
      </w:r>
    </w:p>
    <w:p w14:paraId="46BE9C29">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w:t>
      </w:r>
      <w:r>
        <w:rPr>
          <w:rFonts w:ascii="仿宋" w:hAnsi="仿宋" w:eastAsia="仿宋" w:cs="Arial"/>
          <w:color w:val="auto"/>
          <w:sz w:val="24"/>
          <w:highlight w:val="none"/>
        </w:rPr>
        <w:t>.3.</w:t>
      </w:r>
      <w:r>
        <w:rPr>
          <w:rFonts w:hint="eastAsia" w:ascii="仿宋" w:hAnsi="仿宋" w:eastAsia="仿宋" w:cs="Arial"/>
          <w:color w:val="auto"/>
          <w:sz w:val="24"/>
          <w:highlight w:val="none"/>
        </w:rPr>
        <w:t>6</w:t>
      </w:r>
      <w:r>
        <w:rPr>
          <w:rFonts w:hint="eastAsia" w:ascii="仿宋" w:hAnsi="仿宋" w:eastAsia="仿宋" w:cs="Arial"/>
          <w:b/>
          <w:color w:val="auto"/>
          <w:sz w:val="24"/>
          <w:highlight w:val="none"/>
          <w:u w:val="single"/>
        </w:rPr>
        <w:t>▲</w:t>
      </w:r>
      <w:r>
        <w:rPr>
          <w:rFonts w:ascii="仿宋" w:hAnsi="仿宋" w:eastAsia="仿宋" w:cs="Arial"/>
          <w:b/>
          <w:color w:val="auto"/>
          <w:sz w:val="24"/>
          <w:highlight w:val="none"/>
          <w:u w:val="single"/>
        </w:rPr>
        <w:t>评标委员会发现投标投标人的报价明显低于其他投标报价，使得其投标报价可能低于其个别成本的，应当要求该投标</w:t>
      </w:r>
      <w:r>
        <w:rPr>
          <w:rFonts w:hint="eastAsia" w:ascii="仿宋" w:hAnsi="仿宋" w:eastAsia="仿宋" w:cs="Arial"/>
          <w:b/>
          <w:color w:val="auto"/>
          <w:sz w:val="24"/>
          <w:highlight w:val="none"/>
          <w:u w:val="single"/>
        </w:rPr>
        <w:t>人</w:t>
      </w:r>
      <w:r>
        <w:rPr>
          <w:rFonts w:ascii="仿宋" w:hAnsi="仿宋" w:eastAsia="仿宋" w:cs="Arial"/>
          <w:b/>
          <w:color w:val="auto"/>
          <w:sz w:val="24"/>
          <w:highlight w:val="none"/>
          <w:u w:val="single"/>
        </w:rPr>
        <w:t>作出书面说明并提供相应的证明材料。投标投标人不能合理说明或者不能提供相应证明材料的，评标委员会应当认定该投标</w:t>
      </w:r>
      <w:r>
        <w:rPr>
          <w:rFonts w:hint="eastAsia" w:ascii="仿宋" w:hAnsi="仿宋" w:eastAsia="仿宋" w:cs="Arial"/>
          <w:b/>
          <w:color w:val="auto"/>
          <w:sz w:val="24"/>
          <w:highlight w:val="none"/>
          <w:u w:val="single"/>
        </w:rPr>
        <w:t>人</w:t>
      </w:r>
      <w:r>
        <w:rPr>
          <w:rFonts w:ascii="仿宋" w:hAnsi="仿宋" w:eastAsia="仿宋" w:cs="Arial"/>
          <w:b/>
          <w:color w:val="auto"/>
          <w:sz w:val="24"/>
          <w:highlight w:val="none"/>
          <w:u w:val="single"/>
        </w:rPr>
        <w:t>以低于成本报价竞标，并否决其投标</w:t>
      </w:r>
      <w:r>
        <w:rPr>
          <w:rFonts w:ascii="仿宋" w:hAnsi="仿宋" w:eastAsia="仿宋" w:cs="Arial"/>
          <w:color w:val="auto"/>
          <w:sz w:val="24"/>
          <w:highlight w:val="none"/>
        </w:rPr>
        <w:t>。</w:t>
      </w:r>
    </w:p>
    <w:p w14:paraId="51F2EECE">
      <w:pPr>
        <w:pStyle w:val="4"/>
        <w:widowControl/>
        <w:snapToGrid w:val="0"/>
        <w:spacing w:before="0" w:after="0" w:line="360" w:lineRule="auto"/>
        <w:ind w:firstLine="480" w:firstLineChars="200"/>
        <w:jc w:val="left"/>
        <w:rPr>
          <w:rFonts w:ascii="仿宋" w:hAnsi="仿宋" w:eastAsia="仿宋" w:cs="Arial"/>
          <w:b w:val="0"/>
          <w:color w:val="auto"/>
          <w:sz w:val="24"/>
          <w:szCs w:val="24"/>
          <w:highlight w:val="none"/>
        </w:rPr>
      </w:pPr>
      <w:bookmarkStart w:id="82" w:name="_Toc11195"/>
      <w:bookmarkStart w:id="83" w:name="_Toc63189380"/>
      <w:bookmarkStart w:id="84" w:name="_Toc55302378"/>
      <w:bookmarkStart w:id="85" w:name="_Toc55375025"/>
      <w:r>
        <w:rPr>
          <w:rFonts w:hint="eastAsia" w:ascii="仿宋" w:hAnsi="仿宋" w:eastAsia="仿宋" w:cs="Arial"/>
          <w:b w:val="0"/>
          <w:color w:val="auto"/>
          <w:sz w:val="24"/>
          <w:szCs w:val="24"/>
          <w:highlight w:val="none"/>
        </w:rPr>
        <w:t>2</w:t>
      </w:r>
      <w:r>
        <w:rPr>
          <w:rFonts w:ascii="仿宋" w:hAnsi="仿宋" w:eastAsia="仿宋" w:cs="Arial"/>
          <w:b w:val="0"/>
          <w:color w:val="auto"/>
          <w:sz w:val="24"/>
          <w:szCs w:val="24"/>
          <w:highlight w:val="none"/>
        </w:rPr>
        <w:t>.</w:t>
      </w:r>
      <w:r>
        <w:rPr>
          <w:rFonts w:hint="eastAsia" w:ascii="仿宋" w:hAnsi="仿宋" w:eastAsia="仿宋" w:cs="Arial"/>
          <w:b w:val="0"/>
          <w:color w:val="auto"/>
          <w:sz w:val="24"/>
          <w:szCs w:val="24"/>
          <w:highlight w:val="none"/>
        </w:rPr>
        <w:t>4</w:t>
      </w:r>
      <w:r>
        <w:rPr>
          <w:rFonts w:ascii="仿宋" w:hAnsi="仿宋" w:eastAsia="仿宋" w:cs="Arial"/>
          <w:b w:val="0"/>
          <w:color w:val="auto"/>
          <w:sz w:val="24"/>
          <w:szCs w:val="24"/>
          <w:highlight w:val="none"/>
        </w:rPr>
        <w:t>投标文件的澄清</w:t>
      </w:r>
      <w:bookmarkEnd w:id="82"/>
      <w:bookmarkEnd w:id="83"/>
      <w:bookmarkEnd w:id="84"/>
      <w:bookmarkEnd w:id="85"/>
    </w:p>
    <w:p w14:paraId="5F1BB769">
      <w:pPr>
        <w:snapToGrid w:val="0"/>
        <w:spacing w:line="360" w:lineRule="auto"/>
        <w:ind w:firstLine="480" w:firstLineChars="200"/>
        <w:jc w:val="left"/>
        <w:rPr>
          <w:rFonts w:ascii="仿宋" w:hAnsi="仿宋" w:eastAsia="仿宋" w:cs="Arial"/>
          <w:bCs/>
          <w:color w:val="auto"/>
          <w:sz w:val="24"/>
          <w:highlight w:val="none"/>
        </w:rPr>
      </w:pPr>
      <w:r>
        <w:rPr>
          <w:rFonts w:hint="eastAsia" w:ascii="仿宋" w:hAnsi="仿宋" w:eastAsia="仿宋" w:cs="Arial"/>
          <w:bCs/>
          <w:color w:val="auto"/>
          <w:sz w:val="24"/>
          <w:highlight w:val="none"/>
        </w:rPr>
        <w:t>2.4</w:t>
      </w:r>
      <w:r>
        <w:rPr>
          <w:rFonts w:ascii="仿宋" w:hAnsi="仿宋" w:eastAsia="仿宋" w:cs="Arial"/>
          <w:bCs/>
          <w:color w:val="auto"/>
          <w:sz w:val="24"/>
          <w:highlight w:val="none"/>
        </w:rPr>
        <w:t>.1</w:t>
      </w:r>
      <w:r>
        <w:rPr>
          <w:rFonts w:hint="eastAsia" w:ascii="仿宋" w:hAnsi="仿宋" w:eastAsia="仿宋" w:cs="Arial"/>
          <w:bCs/>
          <w:color w:val="auto"/>
          <w:sz w:val="24"/>
          <w:highlight w:val="none"/>
        </w:rPr>
        <w:t>为有助于投标文件的审查、评价和比较，评标委员会可以在“政采云平台”在线询标或其他有效形式要求投标人对同一份投标文件含义不明确或同类问题表述不一致的内容（招标文件另有规定处理方法的除外）作必要的澄清或说明，投标人应采用在线回复或其他有效形式在询标规定时间内进行澄清或说明（需盖电子签章或实体公章）。</w:t>
      </w:r>
    </w:p>
    <w:p w14:paraId="2723CA6B">
      <w:pPr>
        <w:pStyle w:val="89"/>
        <w:snapToGrid w:val="0"/>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2.4.2</w:t>
      </w:r>
      <w:r>
        <w:rPr>
          <w:rFonts w:ascii="仿宋" w:hAnsi="仿宋" w:eastAsia="仿宋" w:cs="Arial"/>
          <w:color w:val="auto"/>
          <w:kern w:val="0"/>
          <w:szCs w:val="24"/>
          <w:highlight w:val="none"/>
        </w:rPr>
        <w:t>投标文件报价出现前后不一致的，按照下列规定修正：</w:t>
      </w:r>
    </w:p>
    <w:p w14:paraId="697CF473">
      <w:pPr>
        <w:pStyle w:val="89"/>
        <w:snapToGrid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r>
        <w:rPr>
          <w:rFonts w:ascii="仿宋" w:hAnsi="仿宋" w:eastAsia="仿宋" w:cs="仿宋"/>
          <w:color w:val="auto"/>
          <w:kern w:val="0"/>
          <w:szCs w:val="24"/>
          <w:highlight w:val="none"/>
        </w:rPr>
        <w:t>投标文件中开标一览表(报价表)内容与投标文件中相应内容不一致的，以开标一览表(报价表)为准;</w:t>
      </w:r>
    </w:p>
    <w:p w14:paraId="786306A4">
      <w:pPr>
        <w:pStyle w:val="89"/>
        <w:snapToGrid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w:t>
      </w:r>
      <w:r>
        <w:rPr>
          <w:rFonts w:ascii="仿宋" w:hAnsi="仿宋" w:eastAsia="仿宋" w:cs="仿宋"/>
          <w:color w:val="auto"/>
          <w:kern w:val="0"/>
          <w:szCs w:val="24"/>
          <w:highlight w:val="none"/>
        </w:rPr>
        <w:t>大写金额和小写金额不一致的，以大写金额为准;</w:t>
      </w:r>
    </w:p>
    <w:p w14:paraId="5C8A6196">
      <w:pPr>
        <w:pStyle w:val="89"/>
        <w:snapToGrid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r>
        <w:rPr>
          <w:rFonts w:ascii="仿宋" w:hAnsi="仿宋" w:eastAsia="仿宋" w:cs="仿宋"/>
          <w:color w:val="auto"/>
          <w:kern w:val="0"/>
          <w:szCs w:val="24"/>
          <w:highlight w:val="none"/>
        </w:rPr>
        <w:t>单价金额小数点或者百分比有明显错位的，以开标一览表的总价为准，并修改单价;</w:t>
      </w:r>
    </w:p>
    <w:p w14:paraId="5878E814">
      <w:pPr>
        <w:pStyle w:val="89"/>
        <w:snapToGrid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（4）</w:t>
      </w:r>
      <w:r>
        <w:rPr>
          <w:rFonts w:ascii="仿宋" w:hAnsi="仿宋" w:eastAsia="仿宋" w:cs="仿宋"/>
          <w:color w:val="auto"/>
          <w:kern w:val="0"/>
          <w:szCs w:val="24"/>
          <w:highlight w:val="none"/>
        </w:rPr>
        <w:t>总价金额与按单价汇总金额不一致的，以单价金额计算结果为准。</w:t>
      </w:r>
    </w:p>
    <w:p w14:paraId="2C2B139C">
      <w:pPr>
        <w:pStyle w:val="89"/>
        <w:snapToGrid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（5）</w:t>
      </w:r>
      <w:r>
        <w:rPr>
          <w:rFonts w:ascii="仿宋" w:hAnsi="仿宋" w:eastAsia="仿宋" w:cs="仿宋"/>
          <w:color w:val="auto"/>
          <w:kern w:val="0"/>
          <w:szCs w:val="24"/>
          <w:highlight w:val="none"/>
        </w:rPr>
        <w:t>同时出现两种以上不一致的，按照</w:t>
      </w:r>
      <w:r>
        <w:rPr>
          <w:rFonts w:hint="eastAsia" w:ascii="仿宋" w:hAnsi="仿宋" w:eastAsia="仿宋" w:cs="仿宋"/>
          <w:color w:val="auto"/>
          <w:kern w:val="0"/>
          <w:szCs w:val="24"/>
          <w:highlight w:val="none"/>
        </w:rPr>
        <w:t>上述规定的顺序修正。修正后的报价经投标人确认后产生约束力。</w:t>
      </w:r>
    </w:p>
    <w:p w14:paraId="49DA7096">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2.4</w:t>
      </w:r>
      <w:r>
        <w:rPr>
          <w:rFonts w:ascii="仿宋" w:hAnsi="仿宋" w:eastAsia="仿宋" w:cs="Arial"/>
          <w:color w:val="auto"/>
          <w:sz w:val="24"/>
          <w:highlight w:val="none"/>
        </w:rPr>
        <w:t>.</w:t>
      </w:r>
      <w:r>
        <w:rPr>
          <w:rFonts w:hint="eastAsia" w:ascii="仿宋" w:hAnsi="仿宋" w:eastAsia="仿宋" w:cs="Arial"/>
          <w:color w:val="auto"/>
          <w:sz w:val="24"/>
          <w:highlight w:val="none"/>
        </w:rPr>
        <w:t>3</w:t>
      </w:r>
      <w:r>
        <w:rPr>
          <w:rFonts w:ascii="仿宋" w:hAnsi="仿宋" w:eastAsia="仿宋" w:cs="Arial"/>
          <w:color w:val="auto"/>
          <w:sz w:val="24"/>
          <w:highlight w:val="none"/>
        </w:rPr>
        <w:t>澄清、说明或补正不得超出投标文件的范围且不得改变投标文件的实质性内容，并构成投标文件的组成部分。</w:t>
      </w:r>
    </w:p>
    <w:p w14:paraId="039FB7E9">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2.4</w:t>
      </w:r>
      <w:r>
        <w:rPr>
          <w:rFonts w:ascii="仿宋" w:hAnsi="仿宋" w:eastAsia="仿宋" w:cs="Arial"/>
          <w:color w:val="auto"/>
          <w:sz w:val="24"/>
          <w:highlight w:val="none"/>
        </w:rPr>
        <w:t>.</w:t>
      </w:r>
      <w:r>
        <w:rPr>
          <w:rFonts w:hint="eastAsia" w:ascii="仿宋" w:hAnsi="仿宋" w:eastAsia="仿宋" w:cs="Arial"/>
          <w:color w:val="auto"/>
          <w:sz w:val="24"/>
          <w:highlight w:val="none"/>
        </w:rPr>
        <w:t>4</w:t>
      </w:r>
      <w:r>
        <w:rPr>
          <w:rFonts w:ascii="仿宋" w:hAnsi="仿宋" w:eastAsia="仿宋" w:cs="Arial"/>
          <w:color w:val="auto"/>
          <w:sz w:val="24"/>
          <w:highlight w:val="none"/>
        </w:rPr>
        <w:t>评标委员会对投标</w:t>
      </w:r>
      <w:r>
        <w:rPr>
          <w:rFonts w:hint="eastAsia" w:ascii="仿宋" w:hAnsi="仿宋" w:eastAsia="仿宋" w:cs="Arial"/>
          <w:color w:val="auto"/>
          <w:sz w:val="24"/>
          <w:highlight w:val="none"/>
        </w:rPr>
        <w:t>人</w:t>
      </w:r>
      <w:r>
        <w:rPr>
          <w:rFonts w:ascii="仿宋" w:hAnsi="仿宋" w:eastAsia="仿宋" w:cs="Arial"/>
          <w:color w:val="auto"/>
          <w:sz w:val="24"/>
          <w:highlight w:val="none"/>
        </w:rPr>
        <w:t>提交的澄清、说明或补正有疑问的，可以要求投标</w:t>
      </w:r>
      <w:r>
        <w:rPr>
          <w:rFonts w:hint="eastAsia" w:ascii="仿宋" w:hAnsi="仿宋" w:eastAsia="仿宋" w:cs="Arial"/>
          <w:color w:val="auto"/>
          <w:sz w:val="24"/>
          <w:highlight w:val="none"/>
        </w:rPr>
        <w:t>人</w:t>
      </w:r>
      <w:r>
        <w:rPr>
          <w:rFonts w:ascii="仿宋" w:hAnsi="仿宋" w:eastAsia="仿宋" w:cs="Arial"/>
          <w:color w:val="auto"/>
          <w:sz w:val="24"/>
          <w:highlight w:val="none"/>
        </w:rPr>
        <w:t>进一步澄清、说明或补正，直至满足评标委员会的要求。</w:t>
      </w:r>
    </w:p>
    <w:p w14:paraId="7889B91B">
      <w:pPr>
        <w:pStyle w:val="2"/>
        <w:snapToGrid w:val="0"/>
        <w:spacing w:before="0" w:after="0" w:line="360" w:lineRule="auto"/>
        <w:rPr>
          <w:rFonts w:ascii="仿宋" w:hAnsi="仿宋" w:eastAsia="仿宋"/>
          <w:color w:val="auto"/>
          <w:sz w:val="24"/>
          <w:szCs w:val="24"/>
          <w:highlight w:val="none"/>
        </w:rPr>
      </w:pPr>
      <w:bookmarkStart w:id="86" w:name="_Toc11850"/>
      <w:bookmarkStart w:id="87" w:name="_Toc63189381"/>
      <w:bookmarkStart w:id="88" w:name="_Toc55302379"/>
      <w:r>
        <w:rPr>
          <w:rFonts w:hint="eastAsia" w:ascii="仿宋" w:hAnsi="仿宋" w:eastAsia="仿宋"/>
          <w:color w:val="auto"/>
          <w:sz w:val="24"/>
          <w:szCs w:val="24"/>
          <w:highlight w:val="none"/>
        </w:rPr>
        <w:t>3</w:t>
      </w:r>
      <w:r>
        <w:rPr>
          <w:rFonts w:ascii="仿宋" w:hAnsi="仿宋" w:eastAsia="仿宋"/>
          <w:color w:val="auto"/>
          <w:sz w:val="24"/>
          <w:szCs w:val="24"/>
          <w:highlight w:val="none"/>
        </w:rPr>
        <w:t>.评标结果</w:t>
      </w:r>
      <w:bookmarkEnd w:id="86"/>
      <w:bookmarkEnd w:id="87"/>
      <w:bookmarkEnd w:id="88"/>
    </w:p>
    <w:p w14:paraId="5EDCCD9E">
      <w:pPr>
        <w:snapToGrid w:val="0"/>
        <w:spacing w:line="360" w:lineRule="auto"/>
        <w:ind w:firstLine="480" w:firstLineChars="200"/>
        <w:jc w:val="left"/>
        <w:rPr>
          <w:rFonts w:ascii="仿宋" w:hAnsi="仿宋" w:eastAsia="仿宋" w:cs="Arial"/>
          <w:color w:val="auto"/>
          <w:sz w:val="24"/>
          <w:highlight w:val="none"/>
        </w:rPr>
      </w:pPr>
      <w:r>
        <w:rPr>
          <w:rFonts w:ascii="仿宋" w:hAnsi="仿宋" w:eastAsia="仿宋" w:cs="Arial"/>
          <w:color w:val="auto"/>
          <w:sz w:val="24"/>
          <w:highlight w:val="none"/>
        </w:rPr>
        <w:t>3</w:t>
      </w:r>
      <w:r>
        <w:rPr>
          <w:rFonts w:hint="eastAsia" w:ascii="仿宋" w:hAnsi="仿宋" w:eastAsia="仿宋" w:cs="Arial"/>
          <w:color w:val="auto"/>
          <w:sz w:val="24"/>
          <w:highlight w:val="none"/>
        </w:rPr>
        <w:t>.</w:t>
      </w:r>
      <w:r>
        <w:rPr>
          <w:rFonts w:ascii="仿宋" w:hAnsi="仿宋" w:eastAsia="仿宋" w:cs="Arial"/>
          <w:color w:val="auto"/>
          <w:sz w:val="24"/>
          <w:highlight w:val="none"/>
        </w:rPr>
        <w:t>1</w:t>
      </w:r>
      <w:r>
        <w:rPr>
          <w:rFonts w:hint="eastAsia" w:ascii="仿宋" w:hAnsi="仿宋" w:eastAsia="仿宋" w:cs="Arial"/>
          <w:color w:val="auto"/>
          <w:sz w:val="24"/>
          <w:highlight w:val="none"/>
        </w:rPr>
        <w:t>采用最低评标价法的，评标委员会按评标价（投标报价）从低到高的排序推荐中标候选人。</w:t>
      </w:r>
    </w:p>
    <w:p w14:paraId="35721213">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采用综合评分法的，</w:t>
      </w:r>
      <w:r>
        <w:rPr>
          <w:rFonts w:ascii="仿宋" w:hAnsi="仿宋" w:eastAsia="仿宋" w:cs="Arial"/>
          <w:color w:val="auto"/>
          <w:sz w:val="24"/>
          <w:highlight w:val="none"/>
        </w:rPr>
        <w:t>评标委员会按照投标</w:t>
      </w:r>
      <w:r>
        <w:rPr>
          <w:rFonts w:hint="eastAsia" w:ascii="仿宋" w:hAnsi="仿宋" w:eastAsia="仿宋" w:cs="Arial"/>
          <w:color w:val="auto"/>
          <w:sz w:val="24"/>
          <w:highlight w:val="none"/>
        </w:rPr>
        <w:t>人</w:t>
      </w:r>
      <w:r>
        <w:rPr>
          <w:rFonts w:ascii="仿宋" w:hAnsi="仿宋" w:eastAsia="仿宋" w:cs="Arial"/>
          <w:color w:val="auto"/>
          <w:sz w:val="24"/>
          <w:highlight w:val="none"/>
        </w:rPr>
        <w:t>综合得分由高到低的顺序推荐中标候选人。</w:t>
      </w:r>
    </w:p>
    <w:p w14:paraId="23A124E8">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68C7DCB">
      <w:pPr>
        <w:snapToGrid w:val="0"/>
        <w:spacing w:line="360" w:lineRule="auto"/>
        <w:ind w:firstLine="480" w:firstLineChars="200"/>
        <w:rPr>
          <w:rFonts w:ascii="仿宋" w:hAnsi="仿宋" w:eastAsia="仿宋" w:cs="Arial"/>
          <w:b/>
          <w:color w:val="auto"/>
          <w:kern w:val="0"/>
          <w:sz w:val="24"/>
          <w:highlight w:val="none"/>
        </w:rPr>
      </w:pPr>
      <w:r>
        <w:rPr>
          <w:rFonts w:ascii="仿宋" w:hAnsi="仿宋" w:eastAsia="仿宋" w:cs="Arial"/>
          <w:color w:val="auto"/>
          <w:sz w:val="24"/>
          <w:highlight w:val="none"/>
        </w:rPr>
        <w:t>3</w:t>
      </w:r>
      <w:r>
        <w:rPr>
          <w:rFonts w:hint="eastAsia" w:ascii="仿宋" w:hAnsi="仿宋" w:eastAsia="仿宋" w:cs="Arial"/>
          <w:color w:val="auto"/>
          <w:sz w:val="24"/>
          <w:highlight w:val="none"/>
        </w:rPr>
        <w:t>.</w:t>
      </w:r>
      <w:r>
        <w:rPr>
          <w:rFonts w:ascii="仿宋" w:hAnsi="仿宋" w:eastAsia="仿宋" w:cs="Arial"/>
          <w:color w:val="auto"/>
          <w:sz w:val="24"/>
          <w:highlight w:val="none"/>
        </w:rPr>
        <w:t>2 评标委员会完成评标后，应当向采购人提交书面评标报告和中标候选人名单。</w:t>
      </w:r>
    </w:p>
    <w:p w14:paraId="3A4BCF1E">
      <w:pPr>
        <w:snapToGrid w:val="0"/>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评标委员会根据全体评标成员签字的原始评标记录和评标结果编写评标报告。</w:t>
      </w:r>
      <w:r>
        <w:rPr>
          <w:rFonts w:hint="eastAsia" w:ascii="仿宋" w:hAnsi="仿宋" w:eastAsia="仿宋"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5206FE30">
      <w:pPr>
        <w:widowControl/>
        <w:shd w:val="clear" w:color="auto" w:fill="FFFFFF"/>
        <w:snapToGrid w:val="0"/>
        <w:spacing w:line="360" w:lineRule="auto"/>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4.其他</w:t>
      </w:r>
    </w:p>
    <w:p w14:paraId="670A9A2B">
      <w:pPr>
        <w:widowControl/>
        <w:shd w:val="clear" w:color="auto" w:fill="FFFFFF"/>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4.1</w:t>
      </w:r>
      <w:r>
        <w:rPr>
          <w:rFonts w:ascii="仿宋" w:hAnsi="仿宋" w:eastAsia="仿宋" w:cs="仿宋_GB2312"/>
          <w:color w:val="auto"/>
          <w:sz w:val="24"/>
          <w:highlight w:val="none"/>
        </w:rPr>
        <w:t>废标</w:t>
      </w:r>
    </w:p>
    <w:p w14:paraId="76DC45CA">
      <w:pPr>
        <w:widowControl/>
        <w:shd w:val="clear" w:color="auto" w:fill="FFFFFF"/>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根据《中华人民共和国政府采购法》第三十六条之规定，在采购中，出现下列情形之一的，应予废标：</w:t>
      </w:r>
    </w:p>
    <w:p w14:paraId="53AAA19A">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w:t>
      </w:r>
      <w:r>
        <w:rPr>
          <w:rFonts w:ascii="仿宋" w:hAnsi="仿宋" w:eastAsia="仿宋" w:cs="仿宋_GB2312"/>
          <w:color w:val="auto"/>
          <w:highlight w:val="none"/>
        </w:rPr>
        <w:t>符合专业条件的投标人或者对</w:t>
      </w:r>
      <w:r>
        <w:rPr>
          <w:rFonts w:hint="eastAsia" w:ascii="仿宋" w:hAnsi="仿宋" w:eastAsia="仿宋" w:cs="仿宋_GB2312"/>
          <w:color w:val="auto"/>
          <w:highlight w:val="none"/>
        </w:rPr>
        <w:t>招标文件</w:t>
      </w:r>
      <w:r>
        <w:rPr>
          <w:rFonts w:ascii="仿宋" w:hAnsi="仿宋" w:eastAsia="仿宋" w:cs="仿宋_GB2312"/>
          <w:color w:val="auto"/>
          <w:highlight w:val="none"/>
        </w:rPr>
        <w:t>作实质响应的投标人不足3家的；</w:t>
      </w:r>
    </w:p>
    <w:p w14:paraId="4BA061DC">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w:t>
      </w:r>
      <w:r>
        <w:rPr>
          <w:rFonts w:ascii="仿宋" w:hAnsi="仿宋" w:eastAsia="仿宋" w:cs="仿宋_GB2312"/>
          <w:color w:val="auto"/>
          <w:highlight w:val="none"/>
        </w:rPr>
        <w:t>出现影响采购公正的违法、违规行为的；</w:t>
      </w:r>
    </w:p>
    <w:p w14:paraId="09ED926D">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（3）投标人</w:t>
      </w:r>
      <w:r>
        <w:rPr>
          <w:rFonts w:ascii="仿宋" w:hAnsi="仿宋" w:eastAsia="仿宋" w:cs="仿宋_GB2312"/>
          <w:color w:val="auto"/>
          <w:highlight w:val="none"/>
        </w:rPr>
        <w:t>的报价均超过了采购预算，采购人不能支付的；</w:t>
      </w:r>
    </w:p>
    <w:p w14:paraId="17BD1626">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（4）</w:t>
      </w:r>
      <w:r>
        <w:rPr>
          <w:rFonts w:ascii="仿宋" w:hAnsi="仿宋" w:eastAsia="仿宋" w:cs="仿宋_GB2312"/>
          <w:color w:val="auto"/>
          <w:highlight w:val="none"/>
        </w:rPr>
        <w:t>因重大变故，采购任务取消的。</w:t>
      </w:r>
    </w:p>
    <w:p w14:paraId="0597700E">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废标后，采购机构应当将废标理由通知所有投标人。</w:t>
      </w:r>
    </w:p>
    <w:p w14:paraId="63DD4324">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4.2</w:t>
      </w:r>
      <w:r>
        <w:rPr>
          <w:rFonts w:ascii="仿宋" w:hAnsi="仿宋" w:eastAsia="仿宋" w:cs="仿宋_GB2312"/>
          <w:color w:val="auto"/>
          <w:highlight w:val="none"/>
        </w:rPr>
        <w:t>修改</w:t>
      </w:r>
      <w:r>
        <w:rPr>
          <w:rFonts w:hint="eastAsia" w:ascii="仿宋" w:hAnsi="仿宋" w:eastAsia="仿宋" w:cs="仿宋_GB2312"/>
          <w:color w:val="auto"/>
          <w:highlight w:val="none"/>
        </w:rPr>
        <w:t>招标文件</w:t>
      </w:r>
      <w:r>
        <w:rPr>
          <w:rFonts w:ascii="仿宋" w:hAnsi="仿宋" w:eastAsia="仿宋" w:cs="仿宋_GB2312"/>
          <w:color w:val="auto"/>
          <w:highlight w:val="none"/>
        </w:rPr>
        <w:t>，重新组织采购活动。</w:t>
      </w:r>
    </w:p>
    <w:p w14:paraId="5E5C2A12">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bookmarkEnd w:id="73"/>
    </w:p>
    <w:bookmarkEnd w:id="60"/>
    <w:bookmarkEnd w:id="61"/>
    <w:p w14:paraId="40CED834">
      <w:pPr>
        <w:rPr>
          <w:rFonts w:ascii="仿宋" w:hAnsi="仿宋" w:eastAsia="仿宋"/>
          <w:color w:val="auto"/>
          <w:sz w:val="24"/>
          <w:highlight w:val="none"/>
        </w:rPr>
      </w:pPr>
      <w:r>
        <w:rPr>
          <w:rFonts w:ascii="仿宋" w:hAnsi="仿宋" w:eastAsia="仿宋"/>
          <w:color w:val="auto"/>
          <w:sz w:val="24"/>
          <w:highlight w:val="none"/>
        </w:rPr>
        <w:br w:type="page"/>
      </w:r>
    </w:p>
    <w:p w14:paraId="1C8FFB3D">
      <w:pPr>
        <w:widowControl/>
        <w:snapToGrid w:val="0"/>
        <w:spacing w:before="120" w:after="120" w:line="500" w:lineRule="atLeast"/>
        <w:jc w:val="center"/>
        <w:outlineLvl w:val="0"/>
        <w:rPr>
          <w:rFonts w:ascii="宋体" w:hAnsi="宋体"/>
          <w:b/>
          <w:color w:val="auto"/>
          <w:sz w:val="44"/>
          <w:szCs w:val="44"/>
          <w:highlight w:val="none"/>
        </w:rPr>
      </w:pPr>
      <w:bookmarkStart w:id="89" w:name="_Toc37941589"/>
      <w:bookmarkStart w:id="90" w:name="_Toc57385874"/>
      <w:bookmarkStart w:id="91" w:name="_Toc85788868"/>
      <w:bookmarkStart w:id="92" w:name="_Toc62116488"/>
      <w:r>
        <w:rPr>
          <w:rFonts w:hint="eastAsia" w:ascii="宋体" w:hAnsi="宋体"/>
          <w:b/>
          <w:color w:val="auto"/>
          <w:sz w:val="32"/>
          <w:szCs w:val="32"/>
          <w:highlight w:val="none"/>
        </w:rPr>
        <w:t>政府采购活动现场确认声明书</w:t>
      </w:r>
      <w:bookmarkEnd w:id="89"/>
      <w:bookmarkEnd w:id="90"/>
      <w:bookmarkEnd w:id="91"/>
      <w:bookmarkEnd w:id="92"/>
    </w:p>
    <w:p w14:paraId="4B6C04E7">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浙江省房地产管理咨询有限公司：</w:t>
      </w:r>
    </w:p>
    <w:p w14:paraId="05B27AA8">
      <w:pPr>
        <w:spacing w:line="24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本人经由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（供应商名称）负责人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（姓名）合法授权参加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 xml:space="preserve">编号：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）政府采购活动，经与本单位法人代表（负责人）联系确认，现就有关公平竞争事项郑重声明如下：</w:t>
      </w:r>
    </w:p>
    <w:p w14:paraId="012B39B3">
      <w:pPr>
        <w:numPr>
          <w:ilvl w:val="-1"/>
          <w:numId w:val="0"/>
        </w:num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rPr>
        <w:t>、本单位与采购人之间 □不存在利害关系 □存在下列利害关系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8469909">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A.投资关系    B.行政隶属关系    C.业务指导关系</w:t>
      </w:r>
    </w:p>
    <w:p w14:paraId="4DCFD46F">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D.其他可能影响采购公正的利害关系</w:t>
      </w:r>
      <w:r>
        <w:rPr>
          <w:rFonts w:hint="eastAsia" w:ascii="仿宋" w:hAnsi="仿宋" w:eastAsia="仿宋" w:cs="仿宋"/>
          <w:color w:val="auto"/>
          <w:sz w:val="24"/>
          <w:highlight w:val="none"/>
          <w:u w:val="single"/>
        </w:rPr>
        <w:t xml:space="preserve">（如有，请如实说明）                 </w:t>
      </w:r>
      <w:r>
        <w:rPr>
          <w:rFonts w:hint="eastAsia" w:ascii="仿宋" w:hAnsi="仿宋" w:eastAsia="仿宋" w:cs="仿宋"/>
          <w:color w:val="auto"/>
          <w:sz w:val="24"/>
          <w:highlight w:val="none"/>
        </w:rPr>
        <w:t>。</w:t>
      </w:r>
    </w:p>
    <w:p w14:paraId="57B60E59">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二、现已清楚知道参加本项目采购活动的其他所有供应商名称，本单位 □与其他所有供应商之间均不存在利害关系 □与</w:t>
      </w:r>
      <w:r>
        <w:rPr>
          <w:rFonts w:hint="eastAsia" w:ascii="仿宋" w:hAnsi="仿宋" w:eastAsia="仿宋" w:cs="仿宋"/>
          <w:color w:val="auto"/>
          <w:sz w:val="24"/>
          <w:highlight w:val="none"/>
          <w:u w:val="single"/>
        </w:rPr>
        <w:t xml:space="preserve">           （供应商名称）</w:t>
      </w:r>
      <w:r>
        <w:rPr>
          <w:rFonts w:hint="eastAsia" w:ascii="仿宋" w:hAnsi="仿宋" w:eastAsia="仿宋" w:cs="仿宋"/>
          <w:color w:val="auto"/>
          <w:sz w:val="24"/>
          <w:highlight w:val="none"/>
        </w:rPr>
        <w:t>之间存在下列利害关系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F29F4C0">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A.法定代表人或负责人或实际控制人是同一人</w:t>
      </w:r>
    </w:p>
    <w:p w14:paraId="439DAF90">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B.法定代表人或负责人或实际控制人是夫妻关系</w:t>
      </w:r>
    </w:p>
    <w:p w14:paraId="108A9907">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C.法定代表人或负责人或实际控制人是直系血亲关系</w:t>
      </w:r>
    </w:p>
    <w:p w14:paraId="387D4CD9">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D.法定代表人或负责人或实际控制人存在三代以内旁系血亲关系</w:t>
      </w:r>
    </w:p>
    <w:p w14:paraId="37DCB932">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E.法定代表人或负责人或实际控制人存在近姻亲关系</w:t>
      </w:r>
    </w:p>
    <w:p w14:paraId="61DD73B1">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F.法定代表人或负责人或实际控制人存在股份控制或实际控制关系</w:t>
      </w:r>
    </w:p>
    <w:p w14:paraId="16C40DE9">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G.存在共同直接或间接投资设立子公司、联营企业和合营企业情况</w:t>
      </w:r>
    </w:p>
    <w:p w14:paraId="398DDFAB">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H.存在分级代理或代销关系、同一生产制造商关系、管理关系、重要业务（占主营业务收入50%以上）或重要财务往来关系（如融资）等其他实质性控制关系</w:t>
      </w:r>
    </w:p>
    <w:p w14:paraId="036CDF82">
      <w:pPr>
        <w:spacing w:line="440" w:lineRule="exact"/>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I</w:t>
      </w:r>
      <w:r>
        <w:rPr>
          <w:rFonts w:hint="eastAsia" w:ascii="仿宋" w:hAnsi="仿宋" w:eastAsia="仿宋" w:cs="仿宋"/>
          <w:color w:val="auto"/>
          <w:sz w:val="24"/>
          <w:highlight w:val="none"/>
        </w:rPr>
        <w:t>.其他利害关系情况</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06EBDA7">
      <w:pPr>
        <w:numPr>
          <w:ilvl w:val="-1"/>
          <w:numId w:val="0"/>
        </w:numPr>
        <w:spacing w:line="24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、现已清楚知道并严格遵守政府采购法律法规和现场纪律。</w:t>
      </w:r>
    </w:p>
    <w:p w14:paraId="60AF9276">
      <w:pPr>
        <w:numPr>
          <w:ilvl w:val="0"/>
          <w:numId w:val="0"/>
        </w:numPr>
        <w:spacing w:line="24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rPr>
        <w:t>、我发现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供应商之间存在或可能存在上述第二条第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项利害关系。</w:t>
      </w:r>
    </w:p>
    <w:p w14:paraId="0CBD71F1">
      <w:pPr>
        <w:spacing w:line="440" w:lineRule="exact"/>
        <w:ind w:firstLine="5280" w:firstLineChars="2200"/>
        <w:rPr>
          <w:rFonts w:hint="eastAsia" w:ascii="仿宋" w:hAnsi="仿宋" w:eastAsia="仿宋" w:cs="仿宋"/>
          <w:color w:val="auto"/>
          <w:sz w:val="24"/>
          <w:highlight w:val="none"/>
        </w:rPr>
      </w:pPr>
    </w:p>
    <w:p w14:paraId="2CC72D7C">
      <w:pPr>
        <w:spacing w:line="440" w:lineRule="exact"/>
        <w:ind w:firstLine="240" w:firstLineChars="1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投标供应商代表签名：</w:t>
      </w:r>
    </w:p>
    <w:p w14:paraId="347F909F">
      <w:pPr>
        <w:tabs>
          <w:tab w:val="left" w:pos="4962"/>
          <w:tab w:val="left" w:pos="5103"/>
        </w:tabs>
        <w:wordWrap w:val="0"/>
        <w:spacing w:line="240" w:lineRule="auto"/>
        <w:ind w:right="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日期:    年   月   日  </w:t>
      </w:r>
    </w:p>
    <w:p w14:paraId="2082668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56E45C7D">
      <w:pPr>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注：电子投标文件解密结束后，各供应商签署《</w:t>
      </w:r>
      <w:r>
        <w:rPr>
          <w:rFonts w:hint="eastAsia" w:ascii="仿宋" w:hAnsi="仿宋" w:eastAsia="仿宋" w:cs="仿宋"/>
          <w:b/>
          <w:color w:val="auto"/>
          <w:sz w:val="24"/>
          <w:highlight w:val="none"/>
        </w:rPr>
        <w:fldChar w:fldCharType="begin"/>
      </w:r>
      <w:r>
        <w:rPr>
          <w:rFonts w:hint="eastAsia" w:ascii="仿宋" w:hAnsi="仿宋" w:eastAsia="仿宋" w:cs="仿宋"/>
          <w:b/>
          <w:color w:val="auto"/>
          <w:sz w:val="24"/>
          <w:highlight w:val="none"/>
        </w:rPr>
        <w:instrText xml:space="preserve"> HYPERLINK "mailto:政府采购活动现场确认声明书》后将扫描件发送至采购代理机构邮箱313596759@qq.com" </w:instrText>
      </w:r>
      <w:r>
        <w:rPr>
          <w:rFonts w:hint="eastAsia" w:ascii="仿宋" w:hAnsi="仿宋" w:eastAsia="仿宋" w:cs="仿宋"/>
          <w:b/>
          <w:color w:val="auto"/>
          <w:sz w:val="24"/>
          <w:highlight w:val="none"/>
        </w:rPr>
        <w:fldChar w:fldCharType="separate"/>
      </w:r>
      <w:r>
        <w:rPr>
          <w:rStyle w:val="71"/>
          <w:rFonts w:hint="eastAsia" w:ascii="仿宋" w:hAnsi="仿宋" w:eastAsia="仿宋" w:cs="仿宋"/>
          <w:b/>
          <w:color w:val="auto"/>
          <w:sz w:val="24"/>
          <w:szCs w:val="24"/>
          <w:highlight w:val="none"/>
        </w:rPr>
        <w:t>政府采购活动现场确认声明书》后将扫描件发送至采购代理机构邮箱</w:t>
      </w:r>
      <w:r>
        <w:rPr>
          <w:rStyle w:val="71"/>
          <w:rFonts w:hint="eastAsia" w:ascii="仿宋" w:hAnsi="仿宋" w:eastAsia="仿宋" w:cs="仿宋"/>
          <w:b/>
          <w:color w:val="auto"/>
          <w:sz w:val="24"/>
          <w:szCs w:val="24"/>
          <w:highlight w:val="none"/>
          <w:lang w:eastAsia="zh-CN"/>
        </w:rPr>
        <w:t>80867223@qq.com</w:t>
      </w:r>
      <w:r>
        <w:rPr>
          <w:rFonts w:hint="eastAsia" w:ascii="仿宋" w:hAnsi="仿宋" w:eastAsia="仿宋" w:cs="仿宋"/>
          <w:b/>
          <w:color w:val="auto"/>
          <w:sz w:val="24"/>
          <w:highlight w:val="none"/>
        </w:rPr>
        <w:fldChar w:fldCharType="end"/>
      </w:r>
      <w:r>
        <w:rPr>
          <w:rFonts w:hint="eastAsia" w:ascii="仿宋" w:hAnsi="仿宋" w:eastAsia="仿宋" w:cs="仿宋"/>
          <w:b/>
          <w:color w:val="auto"/>
          <w:sz w:val="24"/>
          <w:highlight w:val="none"/>
        </w:rPr>
        <w:t xml:space="preserve">。 </w:t>
      </w:r>
    </w:p>
    <w:p w14:paraId="6DF588A5">
      <w:pPr>
        <w:pStyle w:val="23"/>
        <w:rPr>
          <w:color w:val="auto"/>
          <w:highlight w:val="none"/>
        </w:rPr>
      </w:pPr>
    </w:p>
    <w:sectPr>
      <w:pgSz w:w="11907" w:h="16840"/>
      <w:pgMar w:top="1474" w:right="1814" w:bottom="1474" w:left="1814"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Bk">
    <w:altName w:val="Arial"/>
    <w:panose1 w:val="00000000000000000000"/>
    <w:charset w:val="00"/>
    <w:family w:val="auto"/>
    <w:pitch w:val="default"/>
    <w:sig w:usb0="00000000" w:usb1="00000000" w:usb2="00000000" w:usb3="00000000" w:csb0="00000011" w:csb1="0000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decorative"/>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Lucida Sans Unicode">
    <w:panose1 w:val="020B0602030504020204"/>
    <w:charset w:val="00"/>
    <w:family w:val="swiss"/>
    <w:pitch w:val="default"/>
    <w:sig w:usb0="80001AFF" w:usb1="0000396B" w:usb2="00000000" w:usb3="00000000" w:csb0="200000BF" w:csb1="D7F70000"/>
  </w:font>
  <w:font w:name="Helvetica">
    <w:panose1 w:val="020B0504020202030204"/>
    <w:charset w:val="00"/>
    <w:family w:val="swiss"/>
    <w:pitch w:val="default"/>
    <w:sig w:usb0="00000007" w:usb1="00000000" w:usb2="00000000" w:usb3="00000000" w:csb0="00000093" w:csb1="00000000"/>
  </w:font>
  <w:font w:name="FHLHE E+ Futura Bk">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Cumberland">
    <w:altName w:val="Arial Unicode MS"/>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Arial"/>
    <w:panose1 w:val="020B0604020202020204"/>
    <w:charset w:val="00"/>
    <w:family w:val="swiss"/>
    <w:pitch w:val="default"/>
    <w:sig w:usb0="00000000" w:usb1="00000000" w:usb2="00000000" w:usb3="00000000" w:csb0="00000001" w:csb1="00000000"/>
  </w:font>
  <w:font w:name="Arial (W1)">
    <w:altName w:val="Arial"/>
    <w:panose1 w:val="00000000000000000000"/>
    <w:charset w:val="00"/>
    <w:family w:val="auto"/>
    <w:pitch w:val="default"/>
    <w:sig w:usb0="00000000" w:usb1="00000000" w:usb2="00000008" w:usb3="00000000" w:csb0="000001FF" w:csb1="00000000"/>
  </w:font>
  <w:font w:name="Aldine401 BT">
    <w:altName w:val="Arial"/>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汉仪书宋二S">
    <w:altName w:val="Arial"/>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3B4A6">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1AB600D8">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9CEAF">
    <w:pPr>
      <w:pStyle w:val="38"/>
      <w:jc w:val="right"/>
    </w:pPr>
    <w:r>
      <w:fldChar w:fldCharType="begin"/>
    </w:r>
    <w:r>
      <w:instrText xml:space="preserve"> PAGE   \* MERGEFORMAT </w:instrText>
    </w:r>
    <w:r>
      <w:fldChar w:fldCharType="separate"/>
    </w:r>
    <w:r>
      <w:rPr>
        <w:lang w:val="zh-CN"/>
      </w:rPr>
      <w:t>7</w:t>
    </w:r>
    <w:r>
      <w:fldChar w:fldCharType="end"/>
    </w:r>
  </w:p>
  <w:p w14:paraId="1BC42E98">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7E073">
    <w:pPr>
      <w:pStyle w:val="38"/>
      <w:pBdr>
        <w:top w:val="single" w:color="auto" w:sz="4" w:space="1"/>
      </w:pBdr>
      <w:wordWrap w:val="0"/>
      <w:ind w:right="360" w:firstLine="4410" w:firstLineChars="2450"/>
      <w:jc w:val="right"/>
      <w:rPr>
        <w:rFonts w:hint="eastAsia" w:ascii="仿宋_GB2312"/>
      </w:rPr>
    </w:pPr>
    <w:r>
      <w:pict>
        <v:shape id="_x0000_s4098" o:spid="_x0000_s4098" o:spt="202" type="#_x0000_t202" style="position:absolute;left:0pt;margin-top:0pt;height:10.35pt;width:13.8pt;mso-position-horizontal:center;mso-position-horizontal-relative:margin;z-index:251659264;mso-width-relative:page;mso-height-relative:page;" filled="f" stroked="f" coordsize="21600,21600">
          <v:path/>
          <v:fill on="f" focussize="0,0"/>
          <v:stroke on="f" weight="1.25pt"/>
          <v:imagedata o:title=""/>
          <o:lock v:ext="edit" aspectratio="f"/>
          <v:textbox inset="0mm,0mm,0mm,0mm" style="mso-fit-shape-to-text:t;">
            <w:txbxContent>
              <w:p w14:paraId="18C8B7F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66</w:t>
                </w:r>
                <w:r>
                  <w:rPr>
                    <w:rFonts w:hint="eastAsia"/>
                    <w:sz w:val="18"/>
                  </w:rPr>
                  <w:fldChar w:fldCharType="end"/>
                </w:r>
              </w:p>
            </w:txbxContent>
          </v:textbox>
        </v:shape>
      </w:pict>
    </w:r>
    <w:r>
      <w:rPr>
        <w:rFonts w:hint="eastAsia" w:ascii="仿宋_GB2312" w:eastAsia="仿宋_GB2312"/>
      </w:rPr>
      <w:t>浙江省房地产管理咨询有限公司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AC2D0">
    <w:pPr>
      <w:pStyle w:val="38"/>
      <w:jc w:val="right"/>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14:paraId="50053FA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txbxContent>
          </v:textbox>
        </v:shape>
      </w:pic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77978">
    <w:pPr>
      <w:pStyle w:val="38"/>
      <w:framePr w:wrap="around" w:vAnchor="text" w:hAnchor="margin" w:xAlign="center" w:y="1"/>
      <w:rPr>
        <w:rStyle w:val="67"/>
      </w:rPr>
    </w:pPr>
    <w:r>
      <w:fldChar w:fldCharType="begin"/>
    </w:r>
    <w:r>
      <w:rPr>
        <w:rStyle w:val="67"/>
      </w:rPr>
      <w:instrText xml:space="preserve">PAGE  </w:instrText>
    </w:r>
    <w:r>
      <w:fldChar w:fldCharType="separate"/>
    </w:r>
    <w:r>
      <w:rPr>
        <w:rStyle w:val="67"/>
      </w:rPr>
      <w:t>43</w:t>
    </w:r>
    <w:r>
      <w:fldChar w:fldCharType="end"/>
    </w:r>
  </w:p>
  <w:p w14:paraId="5E572B6F">
    <w:pPr>
      <w:pStyle w:val="38"/>
      <w:ind w:right="360" w:firstLine="4410" w:firstLineChars="2450"/>
      <w:rPr>
        <w:rFonts w:hint="eastAsia"/>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8154E">
    <w:pPr>
      <w:pStyle w:val="39"/>
      <w:jc w:val="both"/>
      <w:rPr>
        <w:rFonts w:hint="eastAsia" w:ascii="仿宋_GB2312" w:eastAsia="仿宋_GB2312"/>
      </w:rPr>
    </w:pPr>
    <w:r>
      <w:rPr>
        <w:rFonts w:hint="eastAsia" w:ascii="仿宋_GB2312" w:eastAsia="仿宋_GB2312"/>
      </w:rPr>
      <w:t>温州市政府分散采购采购文件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F26A3">
    <w:pPr>
      <w:pStyle w:val="3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12559">
    <w:pPr>
      <w:pStyle w:val="39"/>
      <w:ind w:left="3" w:leftChars="1" w:right="-82" w:rightChars="-39" w:hanging="1" w:hangingChars="1"/>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7A900F"/>
    <w:multiLevelType w:val="singleLevel"/>
    <w:tmpl w:val="A67A900F"/>
    <w:lvl w:ilvl="0" w:tentative="0">
      <w:start w:val="1"/>
      <w:numFmt w:val="decimal"/>
      <w:suff w:val="nothing"/>
      <w:lvlText w:val="（%1）"/>
      <w:lvlJc w:val="left"/>
    </w:lvl>
  </w:abstractNum>
  <w:abstractNum w:abstractNumId="1">
    <w:nsid w:val="A88DE68D"/>
    <w:multiLevelType w:val="singleLevel"/>
    <w:tmpl w:val="A88DE68D"/>
    <w:lvl w:ilvl="0" w:tentative="0">
      <w:start w:val="3"/>
      <w:numFmt w:val="chineseCounting"/>
      <w:suff w:val="space"/>
      <w:lvlText w:val="第%1部分"/>
      <w:lvlJc w:val="left"/>
      <w:rPr>
        <w:rFonts w:hint="eastAsia"/>
      </w:rPr>
    </w:lvl>
  </w:abstractNum>
  <w:abstractNum w:abstractNumId="2">
    <w:nsid w:val="CA7E5669"/>
    <w:multiLevelType w:val="singleLevel"/>
    <w:tmpl w:val="CA7E5669"/>
    <w:lvl w:ilvl="0" w:tentative="0">
      <w:start w:val="4"/>
      <w:numFmt w:val="decimal"/>
      <w:suff w:val="nothing"/>
      <w:lvlText w:val="（%1）"/>
      <w:lvlJc w:val="left"/>
    </w:lvl>
  </w:abstractNum>
  <w:abstractNum w:abstractNumId="3">
    <w:nsid w:val="05CD60C6"/>
    <w:multiLevelType w:val="singleLevel"/>
    <w:tmpl w:val="05CD60C6"/>
    <w:lvl w:ilvl="0" w:tentative="0">
      <w:start w:val="1"/>
      <w:numFmt w:val="decimal"/>
      <w:suff w:val="nothing"/>
      <w:lvlText w:val="%1、"/>
      <w:lvlJc w:val="left"/>
    </w:lvl>
  </w:abstractNum>
  <w:abstractNum w:abstractNumId="4">
    <w:nsid w:val="0ED25F4C"/>
    <w:multiLevelType w:val="singleLevel"/>
    <w:tmpl w:val="0ED25F4C"/>
    <w:lvl w:ilvl="0" w:tentative="0">
      <w:start w:val="1"/>
      <w:numFmt w:val="upperLetter"/>
      <w:lvlText w:val="%1."/>
      <w:lvlJc w:val="left"/>
      <w:pPr>
        <w:tabs>
          <w:tab w:val="left" w:pos="312"/>
        </w:tabs>
      </w:pPr>
    </w:lvl>
  </w:abstractNum>
  <w:abstractNum w:abstractNumId="5">
    <w:nsid w:val="105D6B00"/>
    <w:multiLevelType w:val="multilevel"/>
    <w:tmpl w:val="105D6B00"/>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5784168"/>
    <w:multiLevelType w:val="multilevel"/>
    <w:tmpl w:val="1578416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A6245E7"/>
    <w:multiLevelType w:val="multilevel"/>
    <w:tmpl w:val="1A6245E7"/>
    <w:lvl w:ilvl="0" w:tentative="0">
      <w:start w:val="1"/>
      <w:numFmt w:val="japaneseCounting"/>
      <w:lvlText w:val="（%1）"/>
      <w:lvlJc w:val="left"/>
      <w:pPr>
        <w:ind w:left="1740" w:hanging="1080"/>
      </w:p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abstractNum w:abstractNumId="8">
    <w:nsid w:val="36D9603E"/>
    <w:multiLevelType w:val="multilevel"/>
    <w:tmpl w:val="36D9603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75169CD"/>
    <w:multiLevelType w:val="multilevel"/>
    <w:tmpl w:val="375169CD"/>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42E87766"/>
    <w:multiLevelType w:val="multilevel"/>
    <w:tmpl w:val="42E8776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7637442"/>
    <w:multiLevelType w:val="multilevel"/>
    <w:tmpl w:val="4763744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03A182A"/>
    <w:multiLevelType w:val="multilevel"/>
    <w:tmpl w:val="503A182A"/>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1741986"/>
    <w:multiLevelType w:val="multilevel"/>
    <w:tmpl w:val="51741986"/>
    <w:lvl w:ilvl="0" w:tentative="0">
      <w:start w:val="1"/>
      <w:numFmt w:val="decimal"/>
      <w:lvlText w:val="%1."/>
      <w:lvlJc w:val="left"/>
      <w:pPr>
        <w:ind w:left="420" w:hanging="420"/>
      </w:pPr>
      <w:rPr>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3BD157F"/>
    <w:multiLevelType w:val="singleLevel"/>
    <w:tmpl w:val="53BD157F"/>
    <w:lvl w:ilvl="0" w:tentative="0">
      <w:start w:val="1"/>
      <w:numFmt w:val="chineseCounting"/>
      <w:suff w:val="nothing"/>
      <w:lvlText w:val="%1、"/>
      <w:lvlJc w:val="left"/>
      <w:rPr>
        <w:rFonts w:hint="eastAsia"/>
      </w:rPr>
    </w:lvl>
  </w:abstractNum>
  <w:abstractNum w:abstractNumId="15">
    <w:nsid w:val="685B42DF"/>
    <w:multiLevelType w:val="multilevel"/>
    <w:tmpl w:val="685B42D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D8F4568"/>
    <w:multiLevelType w:val="multilevel"/>
    <w:tmpl w:val="6D8F456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2AE2188"/>
    <w:multiLevelType w:val="singleLevel"/>
    <w:tmpl w:val="72AE2188"/>
    <w:lvl w:ilvl="0" w:tentative="0">
      <w:start w:val="2"/>
      <w:numFmt w:val="decimal"/>
      <w:suff w:val="nothing"/>
      <w:lvlText w:val="%1、"/>
      <w:lvlJc w:val="left"/>
      <w:pPr>
        <w:ind w:left="779" w:firstLine="0"/>
      </w:pPr>
    </w:lvl>
  </w:abstractNum>
  <w:num w:numId="1">
    <w:abstractNumId w:val="3"/>
  </w:num>
  <w:num w:numId="2">
    <w:abstractNumId w:val="1"/>
  </w:num>
  <w:num w:numId="3">
    <w:abstractNumId w:val="9"/>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1"/>
  </w:num>
  <w:num w:numId="8">
    <w:abstractNumId w:val="12"/>
  </w:num>
  <w:num w:numId="9">
    <w:abstractNumId w:val="10"/>
  </w:num>
  <w:num w:numId="10">
    <w:abstractNumId w:val="8"/>
  </w:num>
  <w:num w:numId="11">
    <w:abstractNumId w:val="13"/>
  </w:num>
  <w:num w:numId="12">
    <w:abstractNumId w:val="15"/>
  </w:num>
  <w:num w:numId="13">
    <w:abstractNumId w:val="6"/>
  </w:num>
  <w:num w:numId="14">
    <w:abstractNumId w:val="16"/>
  </w:num>
  <w:num w:numId="15">
    <w:abstractNumId w:val="0"/>
  </w:num>
  <w:num w:numId="16">
    <w:abstractNumId w:val="14"/>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RlNGRhNDg1NDczYjlkNzY3MTk2OGE2M2Q3MDEwMjMifQ=="/>
  </w:docVars>
  <w:rsids>
    <w:rsidRoot w:val="0041735B"/>
    <w:rsid w:val="00006456"/>
    <w:rsid w:val="000244C4"/>
    <w:rsid w:val="00025D6D"/>
    <w:rsid w:val="00025DA2"/>
    <w:rsid w:val="00032149"/>
    <w:rsid w:val="000818CE"/>
    <w:rsid w:val="00090E12"/>
    <w:rsid w:val="000933DD"/>
    <w:rsid w:val="0009758B"/>
    <w:rsid w:val="000B2C0B"/>
    <w:rsid w:val="000B7CFE"/>
    <w:rsid w:val="000C479D"/>
    <w:rsid w:val="000C7A71"/>
    <w:rsid w:val="000D00CA"/>
    <w:rsid w:val="000D1D4E"/>
    <w:rsid w:val="000D74EC"/>
    <w:rsid w:val="000D75DB"/>
    <w:rsid w:val="00101C27"/>
    <w:rsid w:val="00113C55"/>
    <w:rsid w:val="001217E5"/>
    <w:rsid w:val="00122D24"/>
    <w:rsid w:val="00123D3F"/>
    <w:rsid w:val="0015627F"/>
    <w:rsid w:val="00174731"/>
    <w:rsid w:val="001906B5"/>
    <w:rsid w:val="00195681"/>
    <w:rsid w:val="0019582A"/>
    <w:rsid w:val="001A1625"/>
    <w:rsid w:val="001A298E"/>
    <w:rsid w:val="001B10DF"/>
    <w:rsid w:val="001B1C79"/>
    <w:rsid w:val="001C7B93"/>
    <w:rsid w:val="001D4B73"/>
    <w:rsid w:val="001E4B23"/>
    <w:rsid w:val="001E5514"/>
    <w:rsid w:val="001F0E62"/>
    <w:rsid w:val="00203E43"/>
    <w:rsid w:val="002044EE"/>
    <w:rsid w:val="00207766"/>
    <w:rsid w:val="002214CE"/>
    <w:rsid w:val="00231569"/>
    <w:rsid w:val="00250176"/>
    <w:rsid w:val="0025635A"/>
    <w:rsid w:val="00257DAF"/>
    <w:rsid w:val="00266140"/>
    <w:rsid w:val="00285EC2"/>
    <w:rsid w:val="00287C80"/>
    <w:rsid w:val="002B4D64"/>
    <w:rsid w:val="002B4D77"/>
    <w:rsid w:val="002B6509"/>
    <w:rsid w:val="002C2FE6"/>
    <w:rsid w:val="002C3761"/>
    <w:rsid w:val="002D02FC"/>
    <w:rsid w:val="002D4A93"/>
    <w:rsid w:val="002F67B8"/>
    <w:rsid w:val="00316D20"/>
    <w:rsid w:val="003432A4"/>
    <w:rsid w:val="003540EF"/>
    <w:rsid w:val="00355843"/>
    <w:rsid w:val="00371B76"/>
    <w:rsid w:val="00375DF1"/>
    <w:rsid w:val="00376087"/>
    <w:rsid w:val="00382163"/>
    <w:rsid w:val="00383012"/>
    <w:rsid w:val="003A0810"/>
    <w:rsid w:val="003B461A"/>
    <w:rsid w:val="003C0581"/>
    <w:rsid w:val="003C0FFA"/>
    <w:rsid w:val="003D21B2"/>
    <w:rsid w:val="003E0630"/>
    <w:rsid w:val="0041735B"/>
    <w:rsid w:val="00437A41"/>
    <w:rsid w:val="00446C5C"/>
    <w:rsid w:val="00467DFD"/>
    <w:rsid w:val="004716A1"/>
    <w:rsid w:val="0047423B"/>
    <w:rsid w:val="00491632"/>
    <w:rsid w:val="00494D26"/>
    <w:rsid w:val="00495236"/>
    <w:rsid w:val="004B3955"/>
    <w:rsid w:val="004F0109"/>
    <w:rsid w:val="004F3EC1"/>
    <w:rsid w:val="004F6B30"/>
    <w:rsid w:val="00500E62"/>
    <w:rsid w:val="00512644"/>
    <w:rsid w:val="00513CAC"/>
    <w:rsid w:val="00513E86"/>
    <w:rsid w:val="00534CD6"/>
    <w:rsid w:val="00554397"/>
    <w:rsid w:val="0055629E"/>
    <w:rsid w:val="00560B89"/>
    <w:rsid w:val="0056537B"/>
    <w:rsid w:val="00586122"/>
    <w:rsid w:val="00586AD1"/>
    <w:rsid w:val="00590386"/>
    <w:rsid w:val="0059704A"/>
    <w:rsid w:val="005E28FE"/>
    <w:rsid w:val="005F41F6"/>
    <w:rsid w:val="0060157C"/>
    <w:rsid w:val="0061168B"/>
    <w:rsid w:val="00611A2A"/>
    <w:rsid w:val="006121FD"/>
    <w:rsid w:val="0061313E"/>
    <w:rsid w:val="0062060D"/>
    <w:rsid w:val="006218DB"/>
    <w:rsid w:val="00621B89"/>
    <w:rsid w:val="00634267"/>
    <w:rsid w:val="00634B88"/>
    <w:rsid w:val="0066481D"/>
    <w:rsid w:val="00665E99"/>
    <w:rsid w:val="00682B0A"/>
    <w:rsid w:val="006B564C"/>
    <w:rsid w:val="006C2093"/>
    <w:rsid w:val="006D160F"/>
    <w:rsid w:val="006D5744"/>
    <w:rsid w:val="006D6BAC"/>
    <w:rsid w:val="006F3CE9"/>
    <w:rsid w:val="006F5944"/>
    <w:rsid w:val="007127E0"/>
    <w:rsid w:val="00725CC7"/>
    <w:rsid w:val="00734C75"/>
    <w:rsid w:val="00735F75"/>
    <w:rsid w:val="00744343"/>
    <w:rsid w:val="007540F0"/>
    <w:rsid w:val="00785ECA"/>
    <w:rsid w:val="007939B2"/>
    <w:rsid w:val="007B5199"/>
    <w:rsid w:val="007C4979"/>
    <w:rsid w:val="007D190F"/>
    <w:rsid w:val="007D2D5A"/>
    <w:rsid w:val="007E3B2C"/>
    <w:rsid w:val="007F1DB8"/>
    <w:rsid w:val="007F358C"/>
    <w:rsid w:val="00801285"/>
    <w:rsid w:val="008136E8"/>
    <w:rsid w:val="00817A51"/>
    <w:rsid w:val="00824286"/>
    <w:rsid w:val="00824BFB"/>
    <w:rsid w:val="00841A70"/>
    <w:rsid w:val="008502F0"/>
    <w:rsid w:val="00850425"/>
    <w:rsid w:val="008642F2"/>
    <w:rsid w:val="00864E4E"/>
    <w:rsid w:val="00871C8F"/>
    <w:rsid w:val="00873462"/>
    <w:rsid w:val="00881EE7"/>
    <w:rsid w:val="008A322D"/>
    <w:rsid w:val="008B21B6"/>
    <w:rsid w:val="008B7012"/>
    <w:rsid w:val="008D0C6E"/>
    <w:rsid w:val="008D1288"/>
    <w:rsid w:val="008D448F"/>
    <w:rsid w:val="008D69DE"/>
    <w:rsid w:val="008F00E4"/>
    <w:rsid w:val="008F08DB"/>
    <w:rsid w:val="008F51F6"/>
    <w:rsid w:val="008F6025"/>
    <w:rsid w:val="008F7E15"/>
    <w:rsid w:val="00905C8A"/>
    <w:rsid w:val="00914DF0"/>
    <w:rsid w:val="00960A07"/>
    <w:rsid w:val="0097012C"/>
    <w:rsid w:val="00993480"/>
    <w:rsid w:val="009A282C"/>
    <w:rsid w:val="009A4983"/>
    <w:rsid w:val="009A791B"/>
    <w:rsid w:val="009B1EB6"/>
    <w:rsid w:val="009B7CF2"/>
    <w:rsid w:val="009D2C82"/>
    <w:rsid w:val="009D391F"/>
    <w:rsid w:val="009E7EB1"/>
    <w:rsid w:val="00A2264F"/>
    <w:rsid w:val="00A77A15"/>
    <w:rsid w:val="00A81A07"/>
    <w:rsid w:val="00A834D3"/>
    <w:rsid w:val="00A9254C"/>
    <w:rsid w:val="00AA01F8"/>
    <w:rsid w:val="00AA6140"/>
    <w:rsid w:val="00AC102E"/>
    <w:rsid w:val="00AC44A0"/>
    <w:rsid w:val="00AC6FF0"/>
    <w:rsid w:val="00AE1239"/>
    <w:rsid w:val="00AF4436"/>
    <w:rsid w:val="00AF65E6"/>
    <w:rsid w:val="00B018C8"/>
    <w:rsid w:val="00B040D3"/>
    <w:rsid w:val="00B12504"/>
    <w:rsid w:val="00B13870"/>
    <w:rsid w:val="00B138DB"/>
    <w:rsid w:val="00B30312"/>
    <w:rsid w:val="00B306AA"/>
    <w:rsid w:val="00B32C0F"/>
    <w:rsid w:val="00B3311A"/>
    <w:rsid w:val="00B3603C"/>
    <w:rsid w:val="00B456F8"/>
    <w:rsid w:val="00B52227"/>
    <w:rsid w:val="00B63BC5"/>
    <w:rsid w:val="00B73F11"/>
    <w:rsid w:val="00B77CE3"/>
    <w:rsid w:val="00B8072E"/>
    <w:rsid w:val="00B857C7"/>
    <w:rsid w:val="00BA07FF"/>
    <w:rsid w:val="00BA2808"/>
    <w:rsid w:val="00BA4E07"/>
    <w:rsid w:val="00BB3011"/>
    <w:rsid w:val="00BD1A89"/>
    <w:rsid w:val="00BD57A8"/>
    <w:rsid w:val="00BD6CAD"/>
    <w:rsid w:val="00BE55D5"/>
    <w:rsid w:val="00BF2EC0"/>
    <w:rsid w:val="00C421AE"/>
    <w:rsid w:val="00C54211"/>
    <w:rsid w:val="00C554C6"/>
    <w:rsid w:val="00C56E32"/>
    <w:rsid w:val="00C75286"/>
    <w:rsid w:val="00C755AC"/>
    <w:rsid w:val="00C75D28"/>
    <w:rsid w:val="00C80189"/>
    <w:rsid w:val="00C978FB"/>
    <w:rsid w:val="00CB6FE7"/>
    <w:rsid w:val="00CC598D"/>
    <w:rsid w:val="00CD0A97"/>
    <w:rsid w:val="00CD4CFA"/>
    <w:rsid w:val="00CD7399"/>
    <w:rsid w:val="00CE00D6"/>
    <w:rsid w:val="00D075A9"/>
    <w:rsid w:val="00D077F9"/>
    <w:rsid w:val="00D123AE"/>
    <w:rsid w:val="00D156F7"/>
    <w:rsid w:val="00D2085D"/>
    <w:rsid w:val="00D264AD"/>
    <w:rsid w:val="00D40289"/>
    <w:rsid w:val="00D437CD"/>
    <w:rsid w:val="00D43DF0"/>
    <w:rsid w:val="00D55A52"/>
    <w:rsid w:val="00D61BF6"/>
    <w:rsid w:val="00D7141D"/>
    <w:rsid w:val="00D73CEB"/>
    <w:rsid w:val="00D75CE2"/>
    <w:rsid w:val="00D8433A"/>
    <w:rsid w:val="00DC016B"/>
    <w:rsid w:val="00DC2AE0"/>
    <w:rsid w:val="00DD0529"/>
    <w:rsid w:val="00DD6C8A"/>
    <w:rsid w:val="00E07025"/>
    <w:rsid w:val="00E13D42"/>
    <w:rsid w:val="00E14E48"/>
    <w:rsid w:val="00E16B1E"/>
    <w:rsid w:val="00E228DE"/>
    <w:rsid w:val="00E3251F"/>
    <w:rsid w:val="00EA0D73"/>
    <w:rsid w:val="00EE23B3"/>
    <w:rsid w:val="00EE601A"/>
    <w:rsid w:val="00EE62FC"/>
    <w:rsid w:val="00EF12A5"/>
    <w:rsid w:val="00EF1DE3"/>
    <w:rsid w:val="00EF6408"/>
    <w:rsid w:val="00EF7632"/>
    <w:rsid w:val="00EF788A"/>
    <w:rsid w:val="00F25DD9"/>
    <w:rsid w:val="00F264A2"/>
    <w:rsid w:val="00F46AC9"/>
    <w:rsid w:val="00F65871"/>
    <w:rsid w:val="00FB06BC"/>
    <w:rsid w:val="00FC3129"/>
    <w:rsid w:val="00FE150A"/>
    <w:rsid w:val="00FF01A3"/>
    <w:rsid w:val="00FF49D3"/>
    <w:rsid w:val="00FF52D0"/>
    <w:rsid w:val="00FF675A"/>
    <w:rsid w:val="011A24F4"/>
    <w:rsid w:val="01903B90"/>
    <w:rsid w:val="01D27386"/>
    <w:rsid w:val="01FE4E83"/>
    <w:rsid w:val="023A109F"/>
    <w:rsid w:val="026D3223"/>
    <w:rsid w:val="02D4610D"/>
    <w:rsid w:val="02F3272A"/>
    <w:rsid w:val="0353376C"/>
    <w:rsid w:val="03906A9D"/>
    <w:rsid w:val="03C659E1"/>
    <w:rsid w:val="03DF395B"/>
    <w:rsid w:val="03E80687"/>
    <w:rsid w:val="041B3134"/>
    <w:rsid w:val="04257D07"/>
    <w:rsid w:val="04521333"/>
    <w:rsid w:val="04635A3A"/>
    <w:rsid w:val="048E7259"/>
    <w:rsid w:val="058276D2"/>
    <w:rsid w:val="05854303"/>
    <w:rsid w:val="062C230C"/>
    <w:rsid w:val="06455848"/>
    <w:rsid w:val="067B1C86"/>
    <w:rsid w:val="07682B94"/>
    <w:rsid w:val="07BC60B3"/>
    <w:rsid w:val="07F01FE5"/>
    <w:rsid w:val="07F20CC6"/>
    <w:rsid w:val="08367AFD"/>
    <w:rsid w:val="08381BDD"/>
    <w:rsid w:val="08A51890"/>
    <w:rsid w:val="08C01BD2"/>
    <w:rsid w:val="09D45935"/>
    <w:rsid w:val="09DE67B4"/>
    <w:rsid w:val="0A0D1B14"/>
    <w:rsid w:val="0B061FF2"/>
    <w:rsid w:val="0B5036E2"/>
    <w:rsid w:val="0BD0316E"/>
    <w:rsid w:val="0BE87F23"/>
    <w:rsid w:val="0CB30D96"/>
    <w:rsid w:val="0D083A90"/>
    <w:rsid w:val="0D6671EC"/>
    <w:rsid w:val="0D7511DD"/>
    <w:rsid w:val="0D9C49BC"/>
    <w:rsid w:val="0D9D7B4A"/>
    <w:rsid w:val="0DBC28A3"/>
    <w:rsid w:val="0DEA1BCB"/>
    <w:rsid w:val="0E052ACE"/>
    <w:rsid w:val="0E470868"/>
    <w:rsid w:val="0E4D19D8"/>
    <w:rsid w:val="0EBC6E34"/>
    <w:rsid w:val="0EDD4088"/>
    <w:rsid w:val="0F212F2B"/>
    <w:rsid w:val="0F331F1C"/>
    <w:rsid w:val="0F9C4754"/>
    <w:rsid w:val="0FE52296"/>
    <w:rsid w:val="0FE67B78"/>
    <w:rsid w:val="10494F6A"/>
    <w:rsid w:val="106F4F4B"/>
    <w:rsid w:val="10BC3295"/>
    <w:rsid w:val="10ED552F"/>
    <w:rsid w:val="111E3E94"/>
    <w:rsid w:val="114C6BFF"/>
    <w:rsid w:val="115C76E3"/>
    <w:rsid w:val="123B391B"/>
    <w:rsid w:val="12CD73C6"/>
    <w:rsid w:val="12E129EC"/>
    <w:rsid w:val="12E62A79"/>
    <w:rsid w:val="134A6F6B"/>
    <w:rsid w:val="137F4B64"/>
    <w:rsid w:val="13EB302D"/>
    <w:rsid w:val="14154EFF"/>
    <w:rsid w:val="144813FA"/>
    <w:rsid w:val="14A83076"/>
    <w:rsid w:val="15B351E1"/>
    <w:rsid w:val="160378D0"/>
    <w:rsid w:val="16102A2E"/>
    <w:rsid w:val="16102BDF"/>
    <w:rsid w:val="161B4F38"/>
    <w:rsid w:val="16521759"/>
    <w:rsid w:val="1662251B"/>
    <w:rsid w:val="16755A8B"/>
    <w:rsid w:val="168976C2"/>
    <w:rsid w:val="16B95677"/>
    <w:rsid w:val="16E13788"/>
    <w:rsid w:val="16F4640E"/>
    <w:rsid w:val="17090456"/>
    <w:rsid w:val="17764B4D"/>
    <w:rsid w:val="17D26C83"/>
    <w:rsid w:val="181148FA"/>
    <w:rsid w:val="18885CAD"/>
    <w:rsid w:val="188A2794"/>
    <w:rsid w:val="18B04A90"/>
    <w:rsid w:val="18BC4164"/>
    <w:rsid w:val="18DC6CFC"/>
    <w:rsid w:val="19851D58"/>
    <w:rsid w:val="19A05B04"/>
    <w:rsid w:val="19C31477"/>
    <w:rsid w:val="19C86B39"/>
    <w:rsid w:val="1B674D2E"/>
    <w:rsid w:val="1B7C1F44"/>
    <w:rsid w:val="1B8229A5"/>
    <w:rsid w:val="1BAD1C9A"/>
    <w:rsid w:val="1BAF1E22"/>
    <w:rsid w:val="1C247566"/>
    <w:rsid w:val="1C5C2AA7"/>
    <w:rsid w:val="1D33580E"/>
    <w:rsid w:val="1D622609"/>
    <w:rsid w:val="1D7831F1"/>
    <w:rsid w:val="1DB137B3"/>
    <w:rsid w:val="1E5348E9"/>
    <w:rsid w:val="1EA77665"/>
    <w:rsid w:val="1EE73F05"/>
    <w:rsid w:val="1F006F90"/>
    <w:rsid w:val="1F234F3D"/>
    <w:rsid w:val="1F674E23"/>
    <w:rsid w:val="1FDC4253"/>
    <w:rsid w:val="205B0707"/>
    <w:rsid w:val="20943C19"/>
    <w:rsid w:val="209E5AEC"/>
    <w:rsid w:val="20B403C1"/>
    <w:rsid w:val="20B83BE7"/>
    <w:rsid w:val="221C4CEE"/>
    <w:rsid w:val="229A36C5"/>
    <w:rsid w:val="22AF2E1B"/>
    <w:rsid w:val="22B50492"/>
    <w:rsid w:val="23212C52"/>
    <w:rsid w:val="23420371"/>
    <w:rsid w:val="236B605A"/>
    <w:rsid w:val="23720241"/>
    <w:rsid w:val="23A31F79"/>
    <w:rsid w:val="23C443A8"/>
    <w:rsid w:val="23EC46CB"/>
    <w:rsid w:val="244A678E"/>
    <w:rsid w:val="246D0A09"/>
    <w:rsid w:val="248269CB"/>
    <w:rsid w:val="24877D1C"/>
    <w:rsid w:val="24C820E3"/>
    <w:rsid w:val="24C85B57"/>
    <w:rsid w:val="25415F17"/>
    <w:rsid w:val="25783BC2"/>
    <w:rsid w:val="25E90563"/>
    <w:rsid w:val="26101194"/>
    <w:rsid w:val="264E03C6"/>
    <w:rsid w:val="27340456"/>
    <w:rsid w:val="27483067"/>
    <w:rsid w:val="276A7481"/>
    <w:rsid w:val="27C42624"/>
    <w:rsid w:val="27D17500"/>
    <w:rsid w:val="27F05BD9"/>
    <w:rsid w:val="28090A48"/>
    <w:rsid w:val="28A54C15"/>
    <w:rsid w:val="28F83839"/>
    <w:rsid w:val="28FF5FEB"/>
    <w:rsid w:val="2A2658E2"/>
    <w:rsid w:val="2B145EDC"/>
    <w:rsid w:val="2B2924BB"/>
    <w:rsid w:val="2BDD6474"/>
    <w:rsid w:val="2C5D1363"/>
    <w:rsid w:val="2CB342C5"/>
    <w:rsid w:val="2CEA5317"/>
    <w:rsid w:val="2CFE66A2"/>
    <w:rsid w:val="2D6F6617"/>
    <w:rsid w:val="2D7A3DA8"/>
    <w:rsid w:val="2E4A1E7F"/>
    <w:rsid w:val="2E876AA7"/>
    <w:rsid w:val="2E9B7A70"/>
    <w:rsid w:val="2EDDECD3"/>
    <w:rsid w:val="2EEA15D4"/>
    <w:rsid w:val="2F435983"/>
    <w:rsid w:val="2F445198"/>
    <w:rsid w:val="2F7FAC25"/>
    <w:rsid w:val="2FD75361"/>
    <w:rsid w:val="30607673"/>
    <w:rsid w:val="30646623"/>
    <w:rsid w:val="30BF083E"/>
    <w:rsid w:val="31101099"/>
    <w:rsid w:val="31552F50"/>
    <w:rsid w:val="31655ADA"/>
    <w:rsid w:val="317D34FD"/>
    <w:rsid w:val="31D75713"/>
    <w:rsid w:val="322A1E2D"/>
    <w:rsid w:val="32425033"/>
    <w:rsid w:val="327D275F"/>
    <w:rsid w:val="32B11FA7"/>
    <w:rsid w:val="33015133"/>
    <w:rsid w:val="33AE4F4B"/>
    <w:rsid w:val="35123632"/>
    <w:rsid w:val="355B1AFB"/>
    <w:rsid w:val="359D0807"/>
    <w:rsid w:val="35FE8D98"/>
    <w:rsid w:val="369611E6"/>
    <w:rsid w:val="37117919"/>
    <w:rsid w:val="374750E9"/>
    <w:rsid w:val="374D7298"/>
    <w:rsid w:val="37621F23"/>
    <w:rsid w:val="3770061D"/>
    <w:rsid w:val="37E56DDC"/>
    <w:rsid w:val="37E62B54"/>
    <w:rsid w:val="388D0741"/>
    <w:rsid w:val="38924AB8"/>
    <w:rsid w:val="38E250CA"/>
    <w:rsid w:val="392C0A3B"/>
    <w:rsid w:val="398C3287"/>
    <w:rsid w:val="399E3BE4"/>
    <w:rsid w:val="39EE3E95"/>
    <w:rsid w:val="3A347BA7"/>
    <w:rsid w:val="3A4818A4"/>
    <w:rsid w:val="3A606BEE"/>
    <w:rsid w:val="3AC51F41"/>
    <w:rsid w:val="3ACE069C"/>
    <w:rsid w:val="3BB50675"/>
    <w:rsid w:val="3C920B27"/>
    <w:rsid w:val="3CB43221"/>
    <w:rsid w:val="3CE84C78"/>
    <w:rsid w:val="3D2C528D"/>
    <w:rsid w:val="3D72119A"/>
    <w:rsid w:val="3D9B618F"/>
    <w:rsid w:val="3D9F30AF"/>
    <w:rsid w:val="3DB77E8F"/>
    <w:rsid w:val="3ECB6600"/>
    <w:rsid w:val="3F117E00"/>
    <w:rsid w:val="3F402B4A"/>
    <w:rsid w:val="3F6C1F7A"/>
    <w:rsid w:val="3F732F1F"/>
    <w:rsid w:val="3F912498"/>
    <w:rsid w:val="3F9626D5"/>
    <w:rsid w:val="3FAE5104"/>
    <w:rsid w:val="3FF71D3F"/>
    <w:rsid w:val="40120EEC"/>
    <w:rsid w:val="40255E39"/>
    <w:rsid w:val="4059234E"/>
    <w:rsid w:val="40B25CC9"/>
    <w:rsid w:val="41024304"/>
    <w:rsid w:val="416E4AF9"/>
    <w:rsid w:val="420C765B"/>
    <w:rsid w:val="422F4421"/>
    <w:rsid w:val="42382F1A"/>
    <w:rsid w:val="42A33B1C"/>
    <w:rsid w:val="42A6360C"/>
    <w:rsid w:val="42DE360E"/>
    <w:rsid w:val="437366DA"/>
    <w:rsid w:val="43FE1BC4"/>
    <w:rsid w:val="44BF3A62"/>
    <w:rsid w:val="451F76A5"/>
    <w:rsid w:val="45213430"/>
    <w:rsid w:val="459643CA"/>
    <w:rsid w:val="459C4852"/>
    <w:rsid w:val="45B85B30"/>
    <w:rsid w:val="46313BA0"/>
    <w:rsid w:val="468D0EC2"/>
    <w:rsid w:val="47137532"/>
    <w:rsid w:val="476615BC"/>
    <w:rsid w:val="47DB5B06"/>
    <w:rsid w:val="481E1E96"/>
    <w:rsid w:val="48455675"/>
    <w:rsid w:val="487F05E9"/>
    <w:rsid w:val="48BE22E2"/>
    <w:rsid w:val="49B52386"/>
    <w:rsid w:val="49B62E33"/>
    <w:rsid w:val="49BB6F2B"/>
    <w:rsid w:val="49FF014C"/>
    <w:rsid w:val="4A075620"/>
    <w:rsid w:val="4B797B0F"/>
    <w:rsid w:val="4BC67EC9"/>
    <w:rsid w:val="4CE372B9"/>
    <w:rsid w:val="4D3A32CE"/>
    <w:rsid w:val="4DF62D80"/>
    <w:rsid w:val="4EB8094F"/>
    <w:rsid w:val="4F5F4839"/>
    <w:rsid w:val="4F8447A9"/>
    <w:rsid w:val="4FAE26A7"/>
    <w:rsid w:val="4FC52CD7"/>
    <w:rsid w:val="50010A2F"/>
    <w:rsid w:val="50031FFC"/>
    <w:rsid w:val="50324731"/>
    <w:rsid w:val="50697A27"/>
    <w:rsid w:val="51002139"/>
    <w:rsid w:val="51085492"/>
    <w:rsid w:val="512866FE"/>
    <w:rsid w:val="51516E38"/>
    <w:rsid w:val="517F61AE"/>
    <w:rsid w:val="51924CFB"/>
    <w:rsid w:val="519F5DF6"/>
    <w:rsid w:val="51B266AB"/>
    <w:rsid w:val="522307D5"/>
    <w:rsid w:val="522F7782"/>
    <w:rsid w:val="524A725D"/>
    <w:rsid w:val="52636E23"/>
    <w:rsid w:val="53BD0E11"/>
    <w:rsid w:val="54106A36"/>
    <w:rsid w:val="5423646A"/>
    <w:rsid w:val="545F171A"/>
    <w:rsid w:val="558C63E2"/>
    <w:rsid w:val="55F11062"/>
    <w:rsid w:val="55FC3100"/>
    <w:rsid w:val="56352885"/>
    <w:rsid w:val="564E304F"/>
    <w:rsid w:val="56AC1C45"/>
    <w:rsid w:val="56B3679B"/>
    <w:rsid w:val="56DA585D"/>
    <w:rsid w:val="56F50266"/>
    <w:rsid w:val="57483929"/>
    <w:rsid w:val="574D3BFE"/>
    <w:rsid w:val="57533FC8"/>
    <w:rsid w:val="575907F5"/>
    <w:rsid w:val="57817C32"/>
    <w:rsid w:val="579932E7"/>
    <w:rsid w:val="579F043D"/>
    <w:rsid w:val="57CD4D3F"/>
    <w:rsid w:val="57D80027"/>
    <w:rsid w:val="57EA3B43"/>
    <w:rsid w:val="57F862A3"/>
    <w:rsid w:val="58240529"/>
    <w:rsid w:val="583077A8"/>
    <w:rsid w:val="586C27AA"/>
    <w:rsid w:val="589C2BCA"/>
    <w:rsid w:val="58CB5722"/>
    <w:rsid w:val="58F066C0"/>
    <w:rsid w:val="58F87C3A"/>
    <w:rsid w:val="599E62DE"/>
    <w:rsid w:val="59B96BA5"/>
    <w:rsid w:val="59D32AE1"/>
    <w:rsid w:val="59FB4018"/>
    <w:rsid w:val="5A2E2F5F"/>
    <w:rsid w:val="5A7C61FC"/>
    <w:rsid w:val="5A7F4A16"/>
    <w:rsid w:val="5ACC4AC0"/>
    <w:rsid w:val="5B341EE4"/>
    <w:rsid w:val="5B3F5F54"/>
    <w:rsid w:val="5B4357AD"/>
    <w:rsid w:val="5B442B21"/>
    <w:rsid w:val="5B61411C"/>
    <w:rsid w:val="5BB7CC70"/>
    <w:rsid w:val="5BCB410A"/>
    <w:rsid w:val="5BCE04AE"/>
    <w:rsid w:val="5BDFF6B4"/>
    <w:rsid w:val="5C111DCB"/>
    <w:rsid w:val="5C561580"/>
    <w:rsid w:val="5C58107B"/>
    <w:rsid w:val="5D2F1C04"/>
    <w:rsid w:val="5D9B1B67"/>
    <w:rsid w:val="5DA54794"/>
    <w:rsid w:val="5DB56055"/>
    <w:rsid w:val="5E174ED2"/>
    <w:rsid w:val="5E20337F"/>
    <w:rsid w:val="5EF633FB"/>
    <w:rsid w:val="5F24793A"/>
    <w:rsid w:val="5F2F4D3A"/>
    <w:rsid w:val="5F5E109E"/>
    <w:rsid w:val="5F840C85"/>
    <w:rsid w:val="5F9562CC"/>
    <w:rsid w:val="5FB4017C"/>
    <w:rsid w:val="5FBD4F2B"/>
    <w:rsid w:val="5FF4555F"/>
    <w:rsid w:val="5FFF4271"/>
    <w:rsid w:val="607FE946"/>
    <w:rsid w:val="60B63C78"/>
    <w:rsid w:val="60BA6298"/>
    <w:rsid w:val="61720E31"/>
    <w:rsid w:val="61F525B5"/>
    <w:rsid w:val="62137C70"/>
    <w:rsid w:val="62637B36"/>
    <w:rsid w:val="62A56FE4"/>
    <w:rsid w:val="62AC2121"/>
    <w:rsid w:val="62B5065B"/>
    <w:rsid w:val="62FD0BCE"/>
    <w:rsid w:val="633D0D91"/>
    <w:rsid w:val="634F33E4"/>
    <w:rsid w:val="6356208C"/>
    <w:rsid w:val="63BC6393"/>
    <w:rsid w:val="63F0428F"/>
    <w:rsid w:val="640C0346"/>
    <w:rsid w:val="64205C8C"/>
    <w:rsid w:val="64281C7B"/>
    <w:rsid w:val="643A609E"/>
    <w:rsid w:val="643E149E"/>
    <w:rsid w:val="64BF1790"/>
    <w:rsid w:val="65411089"/>
    <w:rsid w:val="65821244"/>
    <w:rsid w:val="66090E37"/>
    <w:rsid w:val="662B1D3E"/>
    <w:rsid w:val="669D56A0"/>
    <w:rsid w:val="66F7486F"/>
    <w:rsid w:val="671464E6"/>
    <w:rsid w:val="673E04D5"/>
    <w:rsid w:val="678902C1"/>
    <w:rsid w:val="67CBE733"/>
    <w:rsid w:val="67F804D5"/>
    <w:rsid w:val="68307350"/>
    <w:rsid w:val="689B3988"/>
    <w:rsid w:val="68A21817"/>
    <w:rsid w:val="68A85CBA"/>
    <w:rsid w:val="68CA3301"/>
    <w:rsid w:val="68DC4DE2"/>
    <w:rsid w:val="690D7691"/>
    <w:rsid w:val="69272501"/>
    <w:rsid w:val="692D19E3"/>
    <w:rsid w:val="694F14B1"/>
    <w:rsid w:val="69CE6E20"/>
    <w:rsid w:val="69F04FE9"/>
    <w:rsid w:val="6A10568B"/>
    <w:rsid w:val="6A575068"/>
    <w:rsid w:val="6A64965C"/>
    <w:rsid w:val="6A731776"/>
    <w:rsid w:val="6B8D6867"/>
    <w:rsid w:val="6BCC1C2B"/>
    <w:rsid w:val="6BDFD7EC"/>
    <w:rsid w:val="6BE23291"/>
    <w:rsid w:val="6BF608B1"/>
    <w:rsid w:val="6C051681"/>
    <w:rsid w:val="6C565B15"/>
    <w:rsid w:val="6D4C4C2C"/>
    <w:rsid w:val="6D94212F"/>
    <w:rsid w:val="6DAF7B41"/>
    <w:rsid w:val="6DE5298B"/>
    <w:rsid w:val="6E626484"/>
    <w:rsid w:val="6E637FE1"/>
    <w:rsid w:val="6E661451"/>
    <w:rsid w:val="6E873267"/>
    <w:rsid w:val="6E89072E"/>
    <w:rsid w:val="6EBA3B91"/>
    <w:rsid w:val="6ED73B78"/>
    <w:rsid w:val="6F3516F0"/>
    <w:rsid w:val="6F48151E"/>
    <w:rsid w:val="6F7159FA"/>
    <w:rsid w:val="6FFA4879"/>
    <w:rsid w:val="6FFA7567"/>
    <w:rsid w:val="707713B8"/>
    <w:rsid w:val="709A22F8"/>
    <w:rsid w:val="70C045FB"/>
    <w:rsid w:val="70D25448"/>
    <w:rsid w:val="710C4061"/>
    <w:rsid w:val="71267542"/>
    <w:rsid w:val="71401A8C"/>
    <w:rsid w:val="71467613"/>
    <w:rsid w:val="718129CA"/>
    <w:rsid w:val="71BD36C5"/>
    <w:rsid w:val="72C842AA"/>
    <w:rsid w:val="72EC761A"/>
    <w:rsid w:val="73116AC2"/>
    <w:rsid w:val="73A3056D"/>
    <w:rsid w:val="741A3CA7"/>
    <w:rsid w:val="743762E2"/>
    <w:rsid w:val="745950E0"/>
    <w:rsid w:val="745D7266"/>
    <w:rsid w:val="74913DDA"/>
    <w:rsid w:val="74B51309"/>
    <w:rsid w:val="74C0380A"/>
    <w:rsid w:val="74EB0F77"/>
    <w:rsid w:val="759A22AD"/>
    <w:rsid w:val="75AB445A"/>
    <w:rsid w:val="75CF79E2"/>
    <w:rsid w:val="763F9243"/>
    <w:rsid w:val="76A038F3"/>
    <w:rsid w:val="76BE5699"/>
    <w:rsid w:val="76BF407B"/>
    <w:rsid w:val="76D11D44"/>
    <w:rsid w:val="7745038C"/>
    <w:rsid w:val="77514BED"/>
    <w:rsid w:val="777A4474"/>
    <w:rsid w:val="77B61A0A"/>
    <w:rsid w:val="77BF81AB"/>
    <w:rsid w:val="77FB8068"/>
    <w:rsid w:val="77FDFA06"/>
    <w:rsid w:val="78592218"/>
    <w:rsid w:val="78AB1B7B"/>
    <w:rsid w:val="78AF725D"/>
    <w:rsid w:val="78BE2756"/>
    <w:rsid w:val="78DE0702"/>
    <w:rsid w:val="78FC35F2"/>
    <w:rsid w:val="79436427"/>
    <w:rsid w:val="798B6FB4"/>
    <w:rsid w:val="79DB6ACA"/>
    <w:rsid w:val="7A8A6B0A"/>
    <w:rsid w:val="7B3026D0"/>
    <w:rsid w:val="7B3D22E7"/>
    <w:rsid w:val="7B65510B"/>
    <w:rsid w:val="7B92771D"/>
    <w:rsid w:val="7BD030D0"/>
    <w:rsid w:val="7BD63A52"/>
    <w:rsid w:val="7BDF7C5F"/>
    <w:rsid w:val="7C084414"/>
    <w:rsid w:val="7C464F3C"/>
    <w:rsid w:val="7C692CFE"/>
    <w:rsid w:val="7D124E1E"/>
    <w:rsid w:val="7D2A2168"/>
    <w:rsid w:val="7D2C6AB3"/>
    <w:rsid w:val="7E1DA2EC"/>
    <w:rsid w:val="7E3A6EB0"/>
    <w:rsid w:val="7E4CEEF8"/>
    <w:rsid w:val="7E57749A"/>
    <w:rsid w:val="7E796D86"/>
    <w:rsid w:val="7EDFBC55"/>
    <w:rsid w:val="7EEB06F9"/>
    <w:rsid w:val="7F37EBEE"/>
    <w:rsid w:val="7F747691"/>
    <w:rsid w:val="7FBDD127"/>
    <w:rsid w:val="7FDF98D3"/>
    <w:rsid w:val="7FFF0990"/>
    <w:rsid w:val="9A5EB2D5"/>
    <w:rsid w:val="BFFD0C5A"/>
    <w:rsid w:val="DCFDBE05"/>
    <w:rsid w:val="E2A6D15A"/>
    <w:rsid w:val="E7FD345F"/>
    <w:rsid w:val="E87E6C3C"/>
    <w:rsid w:val="ED7F11D1"/>
    <w:rsid w:val="EEDED6A0"/>
    <w:rsid w:val="EF7D229C"/>
    <w:rsid w:val="EF9DC3CD"/>
    <w:rsid w:val="EFFF71CF"/>
    <w:rsid w:val="F593D47C"/>
    <w:rsid w:val="F7F767C4"/>
    <w:rsid w:val="FDBB7E6B"/>
    <w:rsid w:val="FDF755EC"/>
    <w:rsid w:val="FE592704"/>
    <w:rsid w:val="FF6A4E55"/>
    <w:rsid w:val="FF6FD58E"/>
    <w:rsid w:val="FF974A8B"/>
    <w:rsid w:val="FFCFB92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qFormat="1" w:uiPriority="99" w:semiHidden="0" w:name="Body Text First Indent"/>
    <w:lsdException w:qFormat="1"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7"/>
    <w:qFormat/>
    <w:uiPriority w:val="9"/>
    <w:pPr>
      <w:widowControl/>
      <w:adjustRightInd/>
      <w:spacing w:before="100" w:beforeAutospacing="1" w:after="100" w:afterAutospacing="1"/>
      <w:jc w:val="left"/>
      <w:outlineLvl w:val="0"/>
    </w:pPr>
    <w:rPr>
      <w:rFonts w:ascii="宋体" w:hAnsi="宋体" w:cs="宋体"/>
      <w:b/>
      <w:bCs/>
      <w:kern w:val="36"/>
      <w:sz w:val="48"/>
      <w:szCs w:val="48"/>
    </w:rPr>
  </w:style>
  <w:style w:type="paragraph" w:styleId="2">
    <w:name w:val="heading 2"/>
    <w:basedOn w:val="1"/>
    <w:next w:val="1"/>
    <w:link w:val="8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96"/>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409"/>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160"/>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25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16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42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2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4">
    <w:name w:val="Default Paragraph Font"/>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2">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3">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4">
    <w:name w:val="Normal Indent"/>
    <w:basedOn w:val="1"/>
    <w:link w:val="299"/>
    <w:qFormat/>
    <w:uiPriority w:val="0"/>
    <w:pPr>
      <w:widowControl/>
      <w:snapToGrid w:val="0"/>
      <w:spacing w:line="480" w:lineRule="exact"/>
      <w:ind w:firstLine="567"/>
    </w:pPr>
    <w:rPr>
      <w:rFonts w:ascii="宋体" w:hAnsiTheme="minorHAnsi" w:cstheme="minorBidi"/>
      <w:snapToGrid w:val="0"/>
      <w:color w:val="000000"/>
      <w:kern w:val="28"/>
      <w:sz w:val="28"/>
      <w:szCs w:val="22"/>
    </w:rPr>
  </w:style>
  <w:style w:type="paragraph" w:styleId="15">
    <w:name w:val="caption"/>
    <w:basedOn w:val="1"/>
    <w:next w:val="1"/>
    <w:link w:val="332"/>
    <w:qFormat/>
    <w:uiPriority w:val="0"/>
    <w:rPr>
      <w:rFonts w:asciiTheme="minorHAnsi" w:hAnsiTheme="minorHAnsi" w:eastAsiaTheme="minorEastAsia" w:cstheme="minorBidi"/>
      <w:b/>
      <w:sz w:val="28"/>
      <w:szCs w:val="22"/>
    </w:rPr>
  </w:style>
  <w:style w:type="paragraph" w:styleId="16">
    <w:name w:val="index 5"/>
    <w:basedOn w:val="1"/>
    <w:next w:val="1"/>
    <w:qFormat/>
    <w:uiPriority w:val="0"/>
    <w:pPr>
      <w:adjustRightInd/>
      <w:ind w:left="800" w:leftChars="800" w:firstLine="200" w:firstLineChars="200"/>
    </w:pPr>
  </w:style>
  <w:style w:type="paragraph" w:styleId="17">
    <w:name w:val="Document Map"/>
    <w:basedOn w:val="1"/>
    <w:link w:val="307"/>
    <w:qFormat/>
    <w:uiPriority w:val="0"/>
    <w:pPr>
      <w:shd w:val="clear" w:color="auto" w:fill="000080"/>
    </w:pPr>
    <w:rPr>
      <w:rFonts w:asciiTheme="minorHAnsi" w:hAnsiTheme="minorHAnsi" w:eastAsiaTheme="minorEastAsia" w:cstheme="minorBidi"/>
    </w:rPr>
  </w:style>
  <w:style w:type="paragraph" w:styleId="18">
    <w:name w:val="annotation text"/>
    <w:basedOn w:val="1"/>
    <w:link w:val="97"/>
    <w:qFormat/>
    <w:uiPriority w:val="0"/>
    <w:pPr>
      <w:adjustRightInd/>
      <w:jc w:val="left"/>
    </w:pPr>
    <w:rPr>
      <w:szCs w:val="21"/>
    </w:rPr>
  </w:style>
  <w:style w:type="paragraph" w:styleId="19">
    <w:name w:val="Salutation"/>
    <w:basedOn w:val="1"/>
    <w:next w:val="1"/>
    <w:link w:val="395"/>
    <w:qFormat/>
    <w:uiPriority w:val="0"/>
    <w:rPr>
      <w:rFonts w:ascii="仿宋_GB2312" w:eastAsia="仿宋_GB2312" w:hAnsiTheme="minorHAnsi" w:cstheme="minorBidi"/>
      <w:sz w:val="28"/>
      <w:szCs w:val="22"/>
    </w:rPr>
  </w:style>
  <w:style w:type="paragraph" w:styleId="20">
    <w:name w:val="Body Text 3"/>
    <w:basedOn w:val="1"/>
    <w:link w:val="410"/>
    <w:qFormat/>
    <w:uiPriority w:val="0"/>
    <w:pPr>
      <w:jc w:val="center"/>
    </w:pPr>
    <w:rPr>
      <w:rFonts w:asciiTheme="minorHAnsi" w:hAnsiTheme="minorHAnsi" w:eastAsiaTheme="minorEastAsia" w:cstheme="minorBidi"/>
      <w:szCs w:val="22"/>
    </w:rPr>
  </w:style>
  <w:style w:type="paragraph" w:styleId="21">
    <w:name w:val="List Bullet 3"/>
    <w:basedOn w:val="1"/>
    <w:unhideWhenUsed/>
    <w:qFormat/>
    <w:uiPriority w:val="0"/>
    <w:pPr>
      <w:snapToGrid w:val="0"/>
      <w:spacing w:line="360" w:lineRule="auto"/>
      <w:ind w:left="360" w:right="238" w:hanging="360"/>
      <w:contextualSpacing/>
    </w:pPr>
    <w:rPr>
      <w:sz w:val="24"/>
    </w:rPr>
  </w:style>
  <w:style w:type="paragraph" w:styleId="22">
    <w:name w:val="Body Text"/>
    <w:basedOn w:val="1"/>
    <w:next w:val="23"/>
    <w:link w:val="93"/>
    <w:unhideWhenUsed/>
    <w:qFormat/>
    <w:uiPriority w:val="0"/>
    <w:pPr>
      <w:spacing w:after="120"/>
    </w:pPr>
  </w:style>
  <w:style w:type="paragraph" w:styleId="23">
    <w:name w:val="Body Text First Indent"/>
    <w:basedOn w:val="22"/>
    <w:next w:val="24"/>
    <w:link w:val="94"/>
    <w:unhideWhenUsed/>
    <w:qFormat/>
    <w:uiPriority w:val="99"/>
    <w:pPr>
      <w:ind w:firstLine="420" w:firstLineChars="100"/>
    </w:pPr>
  </w:style>
  <w:style w:type="paragraph" w:styleId="24">
    <w:name w:val="toc 6"/>
    <w:basedOn w:val="1"/>
    <w:next w:val="1"/>
    <w:semiHidden/>
    <w:qFormat/>
    <w:uiPriority w:val="0"/>
    <w:pPr>
      <w:ind w:left="1050"/>
      <w:jc w:val="left"/>
    </w:pPr>
    <w:rPr>
      <w:sz w:val="18"/>
      <w:szCs w:val="18"/>
    </w:rPr>
  </w:style>
  <w:style w:type="paragraph" w:styleId="25">
    <w:name w:val="Body Text Indent"/>
    <w:basedOn w:val="1"/>
    <w:link w:val="83"/>
    <w:qFormat/>
    <w:uiPriority w:val="0"/>
    <w:pPr>
      <w:adjustRightInd/>
      <w:ind w:left="480" w:hanging="480" w:hangingChars="200"/>
    </w:pPr>
    <w:rPr>
      <w:rFonts w:eastAsia="Cambria" w:asciiTheme="minorHAnsi" w:hAnsiTheme="minorHAnsi" w:cstheme="minorBidi"/>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322"/>
    <w:qFormat/>
    <w:uiPriority w:val="0"/>
    <w:pPr>
      <w:widowControl/>
      <w:adjustRightInd/>
      <w:ind w:firstLine="200" w:firstLineChars="200"/>
      <w:jc w:val="left"/>
    </w:pPr>
    <w:rPr>
      <w:rFonts w:ascii="宋体" w:hAnsi="宋体" w:eastAsiaTheme="minorEastAsia" w:cstheme="minorBidi"/>
      <w:i/>
      <w:iCs/>
      <w:sz w:val="24"/>
    </w:rPr>
  </w:style>
  <w:style w:type="paragraph" w:styleId="31">
    <w:name w:val="toc 3"/>
    <w:basedOn w:val="1"/>
    <w:next w:val="1"/>
    <w:unhideWhenUsed/>
    <w:qFormat/>
    <w:uiPriority w:val="39"/>
    <w:pPr>
      <w:ind w:left="840" w:leftChars="400"/>
    </w:pPr>
  </w:style>
  <w:style w:type="paragraph" w:styleId="32">
    <w:name w:val="Plain Text"/>
    <w:basedOn w:val="1"/>
    <w:link w:val="82"/>
    <w:qFormat/>
    <w:uiPriority w:val="0"/>
    <w:pPr>
      <w:widowControl/>
      <w:overflowPunct w:val="0"/>
      <w:autoSpaceDE w:val="0"/>
      <w:autoSpaceDN w:val="0"/>
      <w:jc w:val="left"/>
      <w:textAlignment w:val="baseline"/>
    </w:pPr>
    <w:rPr>
      <w:rFonts w:ascii="Cambria" w:hAnsi="隶书" w:eastAsia="Cambria" w:cstheme="minorBidi"/>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Date"/>
    <w:basedOn w:val="1"/>
    <w:next w:val="1"/>
    <w:link w:val="99"/>
    <w:unhideWhenUsed/>
    <w:qFormat/>
    <w:uiPriority w:val="0"/>
    <w:pPr>
      <w:ind w:left="100" w:leftChars="2500"/>
    </w:pPr>
  </w:style>
  <w:style w:type="paragraph" w:styleId="35">
    <w:name w:val="Body Text Indent 2"/>
    <w:basedOn w:val="1"/>
    <w:link w:val="401"/>
    <w:qFormat/>
    <w:uiPriority w:val="0"/>
    <w:pPr>
      <w:spacing w:line="360" w:lineRule="auto"/>
      <w:ind w:firstLine="601"/>
      <w:textAlignment w:val="baseline"/>
    </w:pPr>
    <w:rPr>
      <w:rFonts w:ascii="宋体" w:hAnsiTheme="minorHAnsi" w:eastAsiaTheme="minorEastAsia" w:cstheme="minorBidi"/>
      <w:sz w:val="28"/>
      <w:szCs w:val="22"/>
    </w:rPr>
  </w:style>
  <w:style w:type="paragraph" w:styleId="36">
    <w:name w:val="endnote text"/>
    <w:basedOn w:val="1"/>
    <w:link w:val="459"/>
    <w:qFormat/>
    <w:uiPriority w:val="0"/>
    <w:rPr>
      <w:rFonts w:asciiTheme="minorHAnsi" w:hAnsiTheme="minorHAnsi" w:eastAsiaTheme="minorEastAsia" w:cstheme="minorBidi"/>
      <w:lang w:val="zh-CN"/>
    </w:rPr>
  </w:style>
  <w:style w:type="paragraph" w:styleId="37">
    <w:name w:val="Balloon Text"/>
    <w:basedOn w:val="1"/>
    <w:link w:val="98"/>
    <w:unhideWhenUsed/>
    <w:qFormat/>
    <w:uiPriority w:val="0"/>
    <w:rPr>
      <w:sz w:val="18"/>
      <w:szCs w:val="18"/>
    </w:rPr>
  </w:style>
  <w:style w:type="paragraph" w:styleId="38">
    <w:name w:val="footer"/>
    <w:basedOn w:val="1"/>
    <w:link w:val="76"/>
    <w:unhideWhenUsed/>
    <w:qFormat/>
    <w:uiPriority w:val="99"/>
    <w:pPr>
      <w:tabs>
        <w:tab w:val="center" w:pos="4153"/>
        <w:tab w:val="right" w:pos="8306"/>
      </w:tabs>
      <w:snapToGrid w:val="0"/>
      <w:jc w:val="left"/>
    </w:pPr>
    <w:rPr>
      <w:sz w:val="18"/>
      <w:szCs w:val="18"/>
    </w:rPr>
  </w:style>
  <w:style w:type="paragraph" w:styleId="39">
    <w:name w:val="header"/>
    <w:basedOn w:val="1"/>
    <w:link w:val="75"/>
    <w:unhideWhenUsed/>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92"/>
    <w:qFormat/>
    <w:uiPriority w:val="0"/>
    <w:pPr>
      <w:spacing w:after="600" w:line="312" w:lineRule="atLeast"/>
      <w:jc w:val="center"/>
      <w:textAlignment w:val="baseline"/>
    </w:pPr>
    <w:rPr>
      <w:rFonts w:eastAsia="仿宋_GB2312" w:asciiTheme="minorHAnsi" w:hAnsiTheme="minorHAnsi" w:cstheme="minorBidi"/>
      <w:sz w:val="24"/>
      <w:szCs w:val="22"/>
    </w:rPr>
  </w:style>
  <w:style w:type="paragraph" w:styleId="41">
    <w:name w:val="toc 1"/>
    <w:basedOn w:val="1"/>
    <w:next w:val="1"/>
    <w:unhideWhenUsed/>
    <w:qFormat/>
    <w:uiPriority w:val="39"/>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246"/>
    <w:qFormat/>
    <w:uiPriority w:val="0"/>
    <w:pPr>
      <w:adjustRightInd w:val="0"/>
      <w:snapToGrid w:val="0"/>
      <w:spacing w:before="240" w:after="480"/>
      <w:jc w:val="center"/>
    </w:pPr>
    <w:rPr>
      <w:rFonts w:ascii="Arial" w:hAnsi="Arial" w:eastAsia="隶书" w:cstheme="minorBidi"/>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4"/>
    <w:link w:val="402"/>
    <w:qFormat/>
    <w:uiPriority w:val="0"/>
    <w:pPr>
      <w:adjustRightInd/>
      <w:snapToGrid/>
      <w:spacing w:before="60" w:after="60" w:line="300" w:lineRule="exact"/>
      <w:ind w:firstLine="0"/>
    </w:pPr>
    <w:rPr>
      <w:rFonts w:asciiTheme="minorHAnsi" w:eastAsiaTheme="minorEastAsia"/>
      <w:snapToGrid/>
      <w:color w:val="0000FF"/>
      <w:kern w:val="2"/>
      <w:sz w:val="21"/>
    </w:rPr>
  </w:style>
  <w:style w:type="paragraph" w:styleId="48">
    <w:name w:val="List 5"/>
    <w:basedOn w:val="1"/>
    <w:qFormat/>
    <w:uiPriority w:val="0"/>
    <w:pPr>
      <w:adjustRightInd/>
      <w:ind w:left="100" w:leftChars="800" w:hanging="200" w:hangingChars="200"/>
    </w:pPr>
  </w:style>
  <w:style w:type="paragraph" w:styleId="49">
    <w:name w:val="Body Text Indent 3"/>
    <w:basedOn w:val="1"/>
    <w:link w:val="433"/>
    <w:qFormat/>
    <w:uiPriority w:val="0"/>
    <w:pPr>
      <w:spacing w:line="360" w:lineRule="auto"/>
      <w:ind w:firstLine="420"/>
    </w:pPr>
    <w:rPr>
      <w:rFonts w:asciiTheme="minorHAnsi" w:hAnsiTheme="minorHAnsi" w:eastAsiaTheme="minorEastAsia" w:cstheme="minorBidi"/>
      <w:sz w:val="24"/>
      <w:szCs w:val="22"/>
    </w:rPr>
  </w:style>
  <w:style w:type="paragraph" w:styleId="50">
    <w:name w:val="toc 2"/>
    <w:basedOn w:val="1"/>
    <w:next w:val="1"/>
    <w:unhideWhenUsed/>
    <w:qFormat/>
    <w:uiPriority w:val="39"/>
    <w:pPr>
      <w:ind w:left="420" w:leftChars="200"/>
    </w:pPr>
  </w:style>
  <w:style w:type="paragraph" w:styleId="51">
    <w:name w:val="Body Text 2"/>
    <w:basedOn w:val="1"/>
    <w:link w:val="397"/>
    <w:qFormat/>
    <w:uiPriority w:val="0"/>
    <w:pPr>
      <w:spacing w:after="120" w:line="480" w:lineRule="auto"/>
    </w:pPr>
    <w:rPr>
      <w:rFonts w:asciiTheme="minorHAnsi" w:hAnsiTheme="minorHAnsi" w:eastAsiaTheme="minorEastAsia" w:cstheme="minorBidi"/>
    </w:rPr>
  </w:style>
  <w:style w:type="paragraph" w:styleId="52">
    <w:name w:val="HTML Preformatted"/>
    <w:basedOn w:val="1"/>
    <w:link w:val="16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theme="minorBidi"/>
      <w:szCs w:val="22"/>
    </w:rPr>
  </w:style>
  <w:style w:type="paragraph" w:styleId="53">
    <w:name w:val="Normal (Web)"/>
    <w:basedOn w:val="1"/>
    <w:unhideWhenUsed/>
    <w:qFormat/>
    <w:uiPriority w:val="99"/>
    <w:pPr>
      <w:widowControl/>
      <w:adjustRightInd/>
      <w:spacing w:before="100" w:beforeAutospacing="1" w:after="100" w:afterAutospacing="1"/>
      <w:jc w:val="left"/>
    </w:pPr>
    <w:rPr>
      <w:rFonts w:ascii="宋体" w:hAnsi="宋体" w:cs="宋体"/>
      <w:kern w:val="0"/>
      <w:sz w:val="24"/>
    </w:rPr>
  </w:style>
  <w:style w:type="paragraph" w:styleId="54">
    <w:name w:val="Title"/>
    <w:basedOn w:val="1"/>
    <w:link w:val="388"/>
    <w:qFormat/>
    <w:uiPriority w:val="10"/>
    <w:pPr>
      <w:widowControl/>
      <w:overflowPunct w:val="0"/>
      <w:autoSpaceDE w:val="0"/>
      <w:autoSpaceDN w:val="0"/>
      <w:jc w:val="center"/>
      <w:textAlignment w:val="baseline"/>
    </w:pPr>
    <w:rPr>
      <w:rFonts w:asciiTheme="minorHAnsi" w:hAnsiTheme="minorHAnsi" w:eastAsiaTheme="minorEastAsia" w:cstheme="minorBidi"/>
      <w:b/>
      <w:sz w:val="24"/>
      <w:szCs w:val="22"/>
    </w:rPr>
  </w:style>
  <w:style w:type="paragraph" w:styleId="55">
    <w:name w:val="annotation subject"/>
    <w:basedOn w:val="18"/>
    <w:next w:val="18"/>
    <w:link w:val="124"/>
    <w:qFormat/>
    <w:uiPriority w:val="0"/>
    <w:pPr>
      <w:adjustRightInd w:val="0"/>
    </w:pPr>
    <w:rPr>
      <w:rFonts w:asciiTheme="minorHAnsi" w:hAnsiTheme="minorHAnsi" w:eastAsiaTheme="minorEastAsia" w:cstheme="minorBidi"/>
      <w:b/>
      <w:bCs/>
      <w:szCs w:val="24"/>
    </w:rPr>
  </w:style>
  <w:style w:type="paragraph" w:styleId="56">
    <w:name w:val="Body Text First Indent 2"/>
    <w:basedOn w:val="25"/>
    <w:link w:val="242"/>
    <w:semiHidden/>
    <w:unhideWhenUsed/>
    <w:qFormat/>
    <w:uiPriority w:val="0"/>
    <w:pPr>
      <w:adjustRightInd w:val="0"/>
      <w:spacing w:after="120"/>
      <w:ind w:left="420" w:leftChars="200" w:firstLine="420" w:firstLineChars="200"/>
    </w:pPr>
    <w:rPr>
      <w:rFonts w:ascii="宋体" w:hAnsi="宋体" w:eastAsiaTheme="minorEastAsia"/>
      <w:sz w:val="21"/>
    </w:rPr>
  </w:style>
  <w:style w:type="table" w:styleId="58">
    <w:name w:val="Table Grid"/>
    <w:basedOn w:val="5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59">
    <w:name w:val="Table Theme"/>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0">
    <w:name w:val="Table Elegant"/>
    <w:basedOn w:val="5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1">
    <w:name w:val="Table Grid 5"/>
    <w:basedOn w:val="5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2">
    <w:name w:val="Table Grid 8"/>
    <w:basedOn w:val="5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3">
    <w:name w:val="Table Professional"/>
    <w:basedOn w:val="5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65">
    <w:name w:val="Strong"/>
    <w:basedOn w:val="64"/>
    <w:qFormat/>
    <w:uiPriority w:val="22"/>
    <w:rPr>
      <w:b/>
      <w:bCs/>
    </w:rPr>
  </w:style>
  <w:style w:type="character" w:styleId="66">
    <w:name w:val="endnote reference"/>
    <w:qFormat/>
    <w:uiPriority w:val="0"/>
    <w:rPr>
      <w:vertAlign w:val="superscript"/>
    </w:rPr>
  </w:style>
  <w:style w:type="character" w:styleId="67">
    <w:name w:val="page number"/>
    <w:basedOn w:val="64"/>
    <w:qFormat/>
    <w:uiPriority w:val="0"/>
  </w:style>
  <w:style w:type="character" w:styleId="68">
    <w:name w:val="FollowedHyperlink"/>
    <w:basedOn w:val="64"/>
    <w:semiHidden/>
    <w:unhideWhenUsed/>
    <w:qFormat/>
    <w:uiPriority w:val="99"/>
    <w:rPr>
      <w:color w:val="800080" w:themeColor="followedHyperlink"/>
      <w:u w:val="single"/>
    </w:rPr>
  </w:style>
  <w:style w:type="character" w:styleId="69">
    <w:name w:val="Emphasis"/>
    <w:qFormat/>
    <w:uiPriority w:val="20"/>
    <w:rPr>
      <w:color w:val="CC0033"/>
    </w:rPr>
  </w:style>
  <w:style w:type="character" w:styleId="70">
    <w:name w:val="line number"/>
    <w:qFormat/>
    <w:uiPriority w:val="0"/>
    <w:rPr>
      <w:rFonts w:ascii="Arial" w:hAnsi="Arial" w:eastAsia="黑体" w:cs="Arial"/>
      <w:snapToGrid w:val="0"/>
      <w:kern w:val="0"/>
      <w:szCs w:val="21"/>
    </w:rPr>
  </w:style>
  <w:style w:type="character" w:styleId="71">
    <w:name w:val="Hyperlink"/>
    <w:basedOn w:val="64"/>
    <w:unhideWhenUsed/>
    <w:qFormat/>
    <w:uiPriority w:val="99"/>
    <w:rPr>
      <w:color w:val="0000FF" w:themeColor="hyperlink"/>
      <w:u w:val="single"/>
    </w:rPr>
  </w:style>
  <w:style w:type="character" w:styleId="72">
    <w:name w:val="HTML Code"/>
    <w:qFormat/>
    <w:uiPriority w:val="0"/>
    <w:rPr>
      <w:rFonts w:ascii="黑体" w:hAnsi="Courier New" w:eastAsia="黑体" w:cs="楷体_GB2312"/>
      <w:sz w:val="20"/>
      <w:szCs w:val="20"/>
    </w:rPr>
  </w:style>
  <w:style w:type="character" w:styleId="73">
    <w:name w:val="annotation reference"/>
    <w:qFormat/>
    <w:uiPriority w:val="99"/>
    <w:rPr>
      <w:sz w:val="21"/>
      <w:szCs w:val="21"/>
    </w:rPr>
  </w:style>
  <w:style w:type="character" w:styleId="74">
    <w:name w:val="HTML Sample"/>
    <w:basedOn w:val="64"/>
    <w:unhideWhenUsed/>
    <w:qFormat/>
    <w:uiPriority w:val="99"/>
    <w:rPr>
      <w:rFonts w:ascii="宋体" w:hAnsi="宋体" w:eastAsia="宋体" w:cs="宋体"/>
    </w:rPr>
  </w:style>
  <w:style w:type="character" w:customStyle="1" w:styleId="75">
    <w:name w:val="页眉 Char"/>
    <w:basedOn w:val="64"/>
    <w:link w:val="39"/>
    <w:qFormat/>
    <w:uiPriority w:val="0"/>
    <w:rPr>
      <w:sz w:val="18"/>
      <w:szCs w:val="18"/>
    </w:rPr>
  </w:style>
  <w:style w:type="character" w:customStyle="1" w:styleId="76">
    <w:name w:val="页脚 Char"/>
    <w:basedOn w:val="64"/>
    <w:link w:val="38"/>
    <w:qFormat/>
    <w:uiPriority w:val="0"/>
    <w:rPr>
      <w:sz w:val="18"/>
      <w:szCs w:val="18"/>
    </w:rPr>
  </w:style>
  <w:style w:type="character" w:customStyle="1" w:styleId="77">
    <w:name w:val="标题 1 Char"/>
    <w:basedOn w:val="64"/>
    <w:link w:val="3"/>
    <w:qFormat/>
    <w:uiPriority w:val="9"/>
    <w:rPr>
      <w:rFonts w:ascii="宋体" w:hAnsi="宋体" w:eastAsia="宋体" w:cs="宋体"/>
      <w:b/>
      <w:bCs/>
      <w:kern w:val="36"/>
      <w:sz w:val="48"/>
      <w:szCs w:val="48"/>
    </w:rPr>
  </w:style>
  <w:style w:type="character" w:customStyle="1" w:styleId="78">
    <w:name w:val="skancount"/>
    <w:basedOn w:val="64"/>
    <w:qFormat/>
    <w:uiPriority w:val="0"/>
  </w:style>
  <w:style w:type="character" w:customStyle="1" w:styleId="79">
    <w:name w:val="bookmark-item"/>
    <w:basedOn w:val="64"/>
    <w:qFormat/>
    <w:uiPriority w:val="0"/>
  </w:style>
  <w:style w:type="paragraph" w:customStyle="1" w:styleId="80">
    <w:name w:val="[Normal]"/>
    <w:qFormat/>
    <w:uiPriority w:val="0"/>
    <w:rPr>
      <w:rFonts w:ascii="宋体" w:hAnsi="宋体" w:eastAsia="宋体" w:cs="Times New Roman"/>
      <w:sz w:val="24"/>
      <w:szCs w:val="22"/>
      <w:lang w:val="zh-CN" w:eastAsia="zh-CN" w:bidi="ar-SA"/>
    </w:rPr>
  </w:style>
  <w:style w:type="character" w:customStyle="1" w:styleId="81">
    <w:name w:val="标题 2 Char"/>
    <w:basedOn w:val="64"/>
    <w:link w:val="2"/>
    <w:qFormat/>
    <w:uiPriority w:val="0"/>
    <w:rPr>
      <w:rFonts w:asciiTheme="majorHAnsi" w:hAnsiTheme="majorHAnsi" w:eastAsiaTheme="majorEastAsia" w:cstheme="majorBidi"/>
      <w:b/>
      <w:bCs/>
      <w:sz w:val="32"/>
      <w:szCs w:val="32"/>
    </w:rPr>
  </w:style>
  <w:style w:type="character" w:customStyle="1" w:styleId="82">
    <w:name w:val="纯文本 Char"/>
    <w:link w:val="32"/>
    <w:qFormat/>
    <w:uiPriority w:val="0"/>
    <w:rPr>
      <w:rFonts w:ascii="Cambria" w:hAnsi="隶书" w:eastAsia="Cambria"/>
      <w:szCs w:val="21"/>
    </w:rPr>
  </w:style>
  <w:style w:type="character" w:customStyle="1" w:styleId="83">
    <w:name w:val="正文文本缩进 Char"/>
    <w:link w:val="25"/>
    <w:qFormat/>
    <w:uiPriority w:val="0"/>
    <w:rPr>
      <w:rFonts w:eastAsia="Cambria"/>
      <w:sz w:val="24"/>
      <w:szCs w:val="24"/>
    </w:rPr>
  </w:style>
  <w:style w:type="paragraph" w:customStyle="1" w:styleId="84">
    <w:name w:val="Default"/>
    <w:next w:val="38"/>
    <w:link w:val="337"/>
    <w:qFormat/>
    <w:uiPriority w:val="0"/>
    <w:pPr>
      <w:widowControl w:val="0"/>
      <w:autoSpaceDE w:val="0"/>
      <w:autoSpaceDN w:val="0"/>
      <w:adjustRightInd w:val="0"/>
    </w:pPr>
    <w:rPr>
      <w:rFonts w:ascii="Cambria" w:hAnsi="Times New Roman" w:eastAsia="宋体" w:cs="Cambria"/>
      <w:color w:val="000000"/>
      <w:sz w:val="24"/>
      <w:szCs w:val="24"/>
      <w:lang w:val="en-US" w:eastAsia="zh-CN" w:bidi="ar-SA"/>
    </w:rPr>
  </w:style>
  <w:style w:type="character" w:customStyle="1" w:styleId="85">
    <w:name w:val="正文文本缩进 Char1"/>
    <w:basedOn w:val="64"/>
    <w:qFormat/>
    <w:uiPriority w:val="0"/>
    <w:rPr>
      <w:rFonts w:ascii="Times New Roman" w:hAnsi="Times New Roman" w:eastAsia="宋体" w:cs="Times New Roman"/>
      <w:szCs w:val="24"/>
    </w:rPr>
  </w:style>
  <w:style w:type="character" w:customStyle="1" w:styleId="86">
    <w:name w:val="纯文本 Char1"/>
    <w:basedOn w:val="64"/>
    <w:link w:val="87"/>
    <w:qFormat/>
    <w:uiPriority w:val="99"/>
    <w:rPr>
      <w:rFonts w:ascii="宋体" w:hAnsi="Courier New" w:eastAsia="宋体" w:cs="Courier New"/>
      <w:szCs w:val="21"/>
    </w:rPr>
  </w:style>
  <w:style w:type="paragraph" w:customStyle="1" w:styleId="87">
    <w:name w:val="纯文本1"/>
    <w:basedOn w:val="1"/>
    <w:link w:val="86"/>
    <w:qFormat/>
    <w:uiPriority w:val="0"/>
    <w:pPr>
      <w:adjustRightInd/>
    </w:pPr>
    <w:rPr>
      <w:rFonts w:ascii="宋体" w:hAnsi="Courier New" w:cs="Courier New"/>
      <w:szCs w:val="21"/>
    </w:rPr>
  </w:style>
  <w:style w:type="character" w:customStyle="1" w:styleId="88">
    <w:name w:val="正文2 Char Char"/>
    <w:link w:val="89"/>
    <w:qFormat/>
    <w:uiPriority w:val="0"/>
    <w:rPr>
      <w:rFonts w:eastAsia="宋体"/>
      <w:sz w:val="24"/>
    </w:rPr>
  </w:style>
  <w:style w:type="paragraph" w:customStyle="1" w:styleId="89">
    <w:name w:val="正文2"/>
    <w:basedOn w:val="1"/>
    <w:link w:val="88"/>
    <w:qFormat/>
    <w:uiPriority w:val="0"/>
    <w:pPr>
      <w:spacing w:before="156" w:line="360" w:lineRule="auto"/>
      <w:ind w:firstLine="510" w:firstLineChars="200"/>
    </w:pPr>
    <w:rPr>
      <w:rFonts w:asciiTheme="minorHAnsi" w:hAnsiTheme="minorHAnsi" w:cstheme="minorBidi"/>
      <w:sz w:val="24"/>
      <w:szCs w:val="22"/>
    </w:rPr>
  </w:style>
  <w:style w:type="character" w:customStyle="1" w:styleId="90">
    <w:name w:val="纯文本 字符1"/>
    <w:qFormat/>
    <w:uiPriority w:val="0"/>
    <w:rPr>
      <w:rFonts w:ascii="宋体" w:hAnsi="Courier New" w:eastAsia="宋体" w:cs="Arial"/>
      <w:snapToGrid w:val="0"/>
      <w:kern w:val="2"/>
      <w:sz w:val="21"/>
      <w:szCs w:val="21"/>
      <w:lang w:val="en-US" w:eastAsia="zh-CN" w:bidi="ar-SA"/>
    </w:rPr>
  </w:style>
  <w:style w:type="character" w:customStyle="1" w:styleId="91">
    <w:name w:val="样式5 Char"/>
    <w:qFormat/>
    <w:uiPriority w:val="0"/>
    <w:rPr>
      <w:rFonts w:ascii="仿宋_GB2312" w:hAnsi="仿宋" w:eastAsia="仿宋_GB2312"/>
      <w:kern w:val="2"/>
      <w:sz w:val="24"/>
      <w:szCs w:val="24"/>
    </w:rPr>
  </w:style>
  <w:style w:type="paragraph" w:customStyle="1" w:styleId="9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93">
    <w:name w:val="正文文本 Char"/>
    <w:basedOn w:val="64"/>
    <w:link w:val="22"/>
    <w:qFormat/>
    <w:uiPriority w:val="0"/>
    <w:rPr>
      <w:rFonts w:ascii="Times New Roman" w:hAnsi="Times New Roman" w:eastAsia="宋体" w:cs="Times New Roman"/>
      <w:szCs w:val="24"/>
    </w:rPr>
  </w:style>
  <w:style w:type="character" w:customStyle="1" w:styleId="94">
    <w:name w:val="正文首行缩进 Char"/>
    <w:basedOn w:val="93"/>
    <w:link w:val="23"/>
    <w:qFormat/>
    <w:uiPriority w:val="99"/>
    <w:rPr>
      <w:rFonts w:ascii="Times New Roman" w:hAnsi="Times New Roman" w:eastAsia="宋体" w:cs="Times New Roman"/>
      <w:szCs w:val="24"/>
    </w:rPr>
  </w:style>
  <w:style w:type="character" w:customStyle="1" w:styleId="95">
    <w:name w:val="标题 Char1"/>
    <w:qFormat/>
    <w:uiPriority w:val="0"/>
    <w:rPr>
      <w:rFonts w:ascii="Cambria" w:hAnsi="Cambria" w:eastAsia="宋体" w:cs="Times New Roman"/>
      <w:b/>
      <w:bCs/>
      <w:sz w:val="32"/>
      <w:szCs w:val="32"/>
      <w:lang w:bidi="ar-SA"/>
    </w:rPr>
  </w:style>
  <w:style w:type="character" w:customStyle="1" w:styleId="96">
    <w:name w:val="标题 3 Char"/>
    <w:basedOn w:val="64"/>
    <w:link w:val="4"/>
    <w:semiHidden/>
    <w:qFormat/>
    <w:uiPriority w:val="9"/>
    <w:rPr>
      <w:rFonts w:ascii="Times New Roman" w:hAnsi="Times New Roman" w:eastAsia="宋体" w:cs="Times New Roman"/>
      <w:b/>
      <w:bCs/>
      <w:sz w:val="32"/>
      <w:szCs w:val="32"/>
    </w:rPr>
  </w:style>
  <w:style w:type="character" w:customStyle="1" w:styleId="97">
    <w:name w:val="批注文字 Char"/>
    <w:basedOn w:val="64"/>
    <w:link w:val="18"/>
    <w:qFormat/>
    <w:uiPriority w:val="99"/>
    <w:rPr>
      <w:rFonts w:ascii="Times New Roman" w:hAnsi="Times New Roman" w:eastAsia="宋体" w:cs="Times New Roman"/>
      <w:szCs w:val="21"/>
    </w:rPr>
  </w:style>
  <w:style w:type="character" w:customStyle="1" w:styleId="98">
    <w:name w:val="批注框文本 Char"/>
    <w:basedOn w:val="64"/>
    <w:link w:val="37"/>
    <w:semiHidden/>
    <w:qFormat/>
    <w:uiPriority w:val="99"/>
    <w:rPr>
      <w:rFonts w:ascii="Times New Roman" w:hAnsi="Times New Roman" w:eastAsia="宋体" w:cs="Times New Roman"/>
      <w:sz w:val="18"/>
      <w:szCs w:val="18"/>
    </w:rPr>
  </w:style>
  <w:style w:type="character" w:customStyle="1" w:styleId="99">
    <w:name w:val="日期 Char"/>
    <w:basedOn w:val="64"/>
    <w:link w:val="34"/>
    <w:semiHidden/>
    <w:qFormat/>
    <w:uiPriority w:val="99"/>
    <w:rPr>
      <w:rFonts w:ascii="Times New Roman" w:hAnsi="Times New Roman" w:eastAsia="宋体" w:cs="Times New Roman"/>
      <w:szCs w:val="24"/>
    </w:rPr>
  </w:style>
  <w:style w:type="paragraph" w:customStyle="1" w:styleId="1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01">
    <w:name w:val="索引 11"/>
    <w:basedOn w:val="1"/>
    <w:next w:val="1"/>
    <w:qFormat/>
    <w:uiPriority w:val="99"/>
    <w:pPr>
      <w:adjustRightInd/>
      <w:spacing w:line="360" w:lineRule="auto"/>
    </w:pPr>
    <w:rPr>
      <w:rFonts w:ascii="仿宋_GB2312" w:eastAsia="仿宋_GB2312"/>
      <w:sz w:val="24"/>
      <w:szCs w:val="20"/>
    </w:rPr>
  </w:style>
  <w:style w:type="paragraph" w:customStyle="1" w:styleId="10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103">
    <w:name w:val="标题 4 Char"/>
    <w:basedOn w:val="64"/>
    <w:qFormat/>
    <w:uiPriority w:val="0"/>
    <w:rPr>
      <w:rFonts w:asciiTheme="majorHAnsi" w:hAnsiTheme="majorHAnsi" w:eastAsiaTheme="majorEastAsia" w:cstheme="majorBidi"/>
      <w:b/>
      <w:bCs/>
      <w:sz w:val="28"/>
      <w:szCs w:val="28"/>
    </w:rPr>
  </w:style>
  <w:style w:type="character" w:customStyle="1" w:styleId="104">
    <w:name w:val="标题 5 Char"/>
    <w:basedOn w:val="64"/>
    <w:semiHidden/>
    <w:qFormat/>
    <w:uiPriority w:val="9"/>
    <w:rPr>
      <w:rFonts w:ascii="Times New Roman" w:hAnsi="Times New Roman" w:eastAsia="宋体" w:cs="Times New Roman"/>
      <w:b/>
      <w:bCs/>
      <w:sz w:val="28"/>
      <w:szCs w:val="28"/>
    </w:rPr>
  </w:style>
  <w:style w:type="character" w:customStyle="1" w:styleId="105">
    <w:name w:val="标题 6 Char"/>
    <w:basedOn w:val="64"/>
    <w:semiHidden/>
    <w:qFormat/>
    <w:uiPriority w:val="9"/>
    <w:rPr>
      <w:rFonts w:asciiTheme="majorHAnsi" w:hAnsiTheme="majorHAnsi" w:eastAsiaTheme="majorEastAsia" w:cstheme="majorBidi"/>
      <w:b/>
      <w:bCs/>
      <w:sz w:val="24"/>
      <w:szCs w:val="24"/>
    </w:rPr>
  </w:style>
  <w:style w:type="character" w:customStyle="1" w:styleId="106">
    <w:name w:val="标题 7 Char"/>
    <w:basedOn w:val="64"/>
    <w:semiHidden/>
    <w:qFormat/>
    <w:uiPriority w:val="9"/>
    <w:rPr>
      <w:rFonts w:ascii="Times New Roman" w:hAnsi="Times New Roman" w:eastAsia="宋体" w:cs="Times New Roman"/>
      <w:b/>
      <w:bCs/>
      <w:sz w:val="24"/>
      <w:szCs w:val="24"/>
    </w:rPr>
  </w:style>
  <w:style w:type="character" w:customStyle="1" w:styleId="107">
    <w:name w:val="标题 8 Char"/>
    <w:basedOn w:val="64"/>
    <w:semiHidden/>
    <w:qFormat/>
    <w:uiPriority w:val="9"/>
    <w:rPr>
      <w:rFonts w:asciiTheme="majorHAnsi" w:hAnsiTheme="majorHAnsi" w:eastAsiaTheme="majorEastAsia" w:cstheme="majorBidi"/>
      <w:sz w:val="24"/>
      <w:szCs w:val="24"/>
    </w:rPr>
  </w:style>
  <w:style w:type="character" w:customStyle="1" w:styleId="108">
    <w:name w:val="标题 9 Char"/>
    <w:basedOn w:val="64"/>
    <w:semiHidden/>
    <w:qFormat/>
    <w:uiPriority w:val="9"/>
    <w:rPr>
      <w:rFonts w:asciiTheme="majorHAnsi" w:hAnsiTheme="majorHAnsi" w:eastAsiaTheme="majorEastAsia" w:cstheme="majorBidi"/>
      <w:szCs w:val="21"/>
    </w:rPr>
  </w:style>
  <w:style w:type="character" w:customStyle="1" w:styleId="109">
    <w:name w:val="large1"/>
    <w:qFormat/>
    <w:uiPriority w:val="0"/>
    <w:rPr>
      <w:rFonts w:hint="eastAsia" w:ascii="宋体" w:hAnsi="宋体" w:eastAsia="宋体"/>
      <w:sz w:val="21"/>
      <w:szCs w:val="21"/>
    </w:rPr>
  </w:style>
  <w:style w:type="character" w:customStyle="1" w:styleId="11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111">
    <w:name w:val="bulletintext1"/>
    <w:qFormat/>
    <w:uiPriority w:val="0"/>
    <w:rPr>
      <w:color w:val="000000"/>
      <w:sz w:val="18"/>
    </w:rPr>
  </w:style>
  <w:style w:type="character" w:customStyle="1" w:styleId="112">
    <w:name w:val="solutionfonts"/>
    <w:qFormat/>
    <w:uiPriority w:val="0"/>
  </w:style>
  <w:style w:type="character" w:customStyle="1" w:styleId="113">
    <w:name w:val="标题 Char"/>
    <w:qFormat/>
    <w:uiPriority w:val="0"/>
    <w:rPr>
      <w:rFonts w:eastAsia="宋体"/>
      <w:b/>
      <w:sz w:val="24"/>
      <w:lang w:val="en-US" w:eastAsia="zh-CN" w:bidi="ar-SA"/>
    </w:rPr>
  </w:style>
  <w:style w:type="character" w:customStyle="1" w:styleId="114">
    <w:name w:val="apple-converted-space"/>
    <w:qFormat/>
    <w:uiPriority w:val="0"/>
  </w:style>
  <w:style w:type="character" w:customStyle="1" w:styleId="115">
    <w:name w:val="正文说明 Char"/>
    <w:link w:val="116"/>
    <w:qFormat/>
    <w:uiPriority w:val="0"/>
    <w:rPr>
      <w:sz w:val="24"/>
      <w:szCs w:val="24"/>
    </w:rPr>
  </w:style>
  <w:style w:type="paragraph" w:customStyle="1" w:styleId="116">
    <w:name w:val="正文说明"/>
    <w:basedOn w:val="1"/>
    <w:link w:val="115"/>
    <w:qFormat/>
    <w:uiPriority w:val="0"/>
    <w:pPr>
      <w:adjustRightInd/>
      <w:spacing w:line="360" w:lineRule="auto"/>
    </w:pPr>
    <w:rPr>
      <w:rFonts w:asciiTheme="minorHAnsi" w:hAnsiTheme="minorHAnsi" w:eastAsiaTheme="minorEastAsia" w:cstheme="minorBidi"/>
      <w:sz w:val="24"/>
    </w:rPr>
  </w:style>
  <w:style w:type="character" w:customStyle="1" w:styleId="117">
    <w:name w:val="edui-clickable2"/>
    <w:qFormat/>
    <w:uiPriority w:val="0"/>
    <w:rPr>
      <w:color w:val="0000FF"/>
      <w:u w:val="single"/>
    </w:rPr>
  </w:style>
  <w:style w:type="character" w:customStyle="1" w:styleId="118">
    <w:name w:val="段落 Char Char"/>
    <w:link w:val="119"/>
    <w:qFormat/>
    <w:uiPriority w:val="0"/>
    <w:rPr>
      <w:rFonts w:ascii="宋体" w:hAnsi="宋体"/>
      <w:sz w:val="24"/>
    </w:rPr>
  </w:style>
  <w:style w:type="paragraph" w:customStyle="1" w:styleId="119">
    <w:name w:val="段落"/>
    <w:basedOn w:val="1"/>
    <w:link w:val="118"/>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20">
    <w:name w:val="dandyren_title1"/>
    <w:qFormat/>
    <w:uiPriority w:val="0"/>
    <w:rPr>
      <w:b/>
      <w:bCs/>
      <w:color w:val="FF6633"/>
      <w:sz w:val="18"/>
      <w:szCs w:val="18"/>
    </w:rPr>
  </w:style>
  <w:style w:type="character" w:customStyle="1" w:styleId="121">
    <w:name w:val="正文段 Char"/>
    <w:link w:val="122"/>
    <w:qFormat/>
    <w:uiPriority w:val="0"/>
    <w:rPr>
      <w:sz w:val="24"/>
    </w:rPr>
  </w:style>
  <w:style w:type="paragraph" w:customStyle="1" w:styleId="122">
    <w:name w:val="正文段"/>
    <w:basedOn w:val="1"/>
    <w:link w:val="121"/>
    <w:qFormat/>
    <w:uiPriority w:val="0"/>
    <w:pPr>
      <w:widowControl/>
      <w:snapToGrid w:val="0"/>
      <w:spacing w:afterLines="50"/>
      <w:ind w:firstLine="200" w:firstLineChars="200"/>
    </w:pPr>
    <w:rPr>
      <w:rFonts w:asciiTheme="minorHAnsi" w:hAnsiTheme="minorHAnsi" w:eastAsiaTheme="minorEastAsia" w:cstheme="minorBidi"/>
      <w:sz w:val="24"/>
      <w:szCs w:val="22"/>
    </w:rPr>
  </w:style>
  <w:style w:type="character" w:customStyle="1" w:styleId="12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4">
    <w:name w:val="批注主题 Char2"/>
    <w:link w:val="55"/>
    <w:qFormat/>
    <w:uiPriority w:val="0"/>
    <w:rPr>
      <w:b/>
      <w:bCs/>
      <w:szCs w:val="24"/>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txt"/>
    <w:qFormat/>
    <w:uiPriority w:val="0"/>
    <w:rPr>
      <w:rFonts w:ascii="仿宋_GB2312" w:eastAsia="微软雅黑"/>
      <w:b/>
      <w:kern w:val="2"/>
      <w:sz w:val="32"/>
      <w:szCs w:val="32"/>
      <w:lang w:val="en-US" w:eastAsia="zh-CN" w:bidi="ar-SA"/>
    </w:rPr>
  </w:style>
  <w:style w:type="character" w:customStyle="1" w:styleId="128">
    <w:name w:val="二级标题 Char Char"/>
    <w:qFormat/>
    <w:uiPriority w:val="0"/>
    <w:rPr>
      <w:rFonts w:ascii="宋体" w:hAnsi="宋体" w:eastAsia="宋体"/>
      <w:b/>
      <w:snapToGrid w:val="0"/>
      <w:kern w:val="2"/>
      <w:sz w:val="24"/>
      <w:szCs w:val="24"/>
      <w:lang w:val="en-US" w:eastAsia="zh-CN" w:bidi="ar-SA"/>
    </w:rPr>
  </w:style>
  <w:style w:type="character" w:customStyle="1" w:styleId="129">
    <w:name w:val="h4 Char"/>
    <w:qFormat/>
    <w:uiPriority w:val="0"/>
    <w:rPr>
      <w:rFonts w:ascii="Arial" w:hAnsi="Arial" w:eastAsia="黑体"/>
      <w:b/>
      <w:bCs/>
      <w:kern w:val="2"/>
      <w:sz w:val="28"/>
      <w:szCs w:val="28"/>
      <w:lang w:val="zh-CN" w:eastAsia="zh-CN" w:bidi="ar-SA"/>
    </w:rPr>
  </w:style>
  <w:style w:type="character" w:customStyle="1" w:styleId="130">
    <w:name w:val="h3 Char1"/>
    <w:qFormat/>
    <w:uiPriority w:val="0"/>
    <w:rPr>
      <w:rFonts w:eastAsia="宋体"/>
      <w:b/>
      <w:bCs/>
      <w:kern w:val="2"/>
      <w:sz w:val="32"/>
      <w:szCs w:val="32"/>
      <w:lang w:bidi="ar-SA"/>
    </w:rPr>
  </w:style>
  <w:style w:type="character" w:customStyle="1" w:styleId="131">
    <w:name w:val="普通文字 Char Char1"/>
    <w:qFormat/>
    <w:uiPriority w:val="0"/>
    <w:rPr>
      <w:rFonts w:ascii="宋体" w:hAnsi="Courier New"/>
      <w:kern w:val="2"/>
      <w:sz w:val="21"/>
    </w:rPr>
  </w:style>
  <w:style w:type="character" w:customStyle="1" w:styleId="132">
    <w:name w:val="正文缩进 Char"/>
    <w:qFormat/>
    <w:uiPriority w:val="0"/>
    <w:rPr>
      <w:rFonts w:eastAsia="宋体"/>
      <w:kern w:val="2"/>
      <w:sz w:val="21"/>
      <w:lang w:val="en-US" w:eastAsia="zh-CN"/>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哈哈正文 Char"/>
    <w:link w:val="135"/>
    <w:qFormat/>
    <w:uiPriority w:val="0"/>
    <w:rPr>
      <w:rFonts w:ascii="宋体" w:hAnsi="宋体" w:eastAsia="宋体"/>
      <w:sz w:val="24"/>
    </w:rPr>
  </w:style>
  <w:style w:type="paragraph" w:customStyle="1" w:styleId="135">
    <w:name w:val="哈哈正文"/>
    <w:basedOn w:val="1"/>
    <w:link w:val="134"/>
    <w:qFormat/>
    <w:uiPriority w:val="0"/>
    <w:pPr>
      <w:adjustRightInd/>
      <w:spacing w:line="360" w:lineRule="auto"/>
      <w:ind w:firstLine="200" w:firstLineChars="200"/>
    </w:pPr>
    <w:rPr>
      <w:rFonts w:ascii="宋体" w:hAnsi="宋体" w:cstheme="minorBidi"/>
      <w:sz w:val="24"/>
      <w:szCs w:val="22"/>
    </w:rPr>
  </w:style>
  <w:style w:type="character" w:customStyle="1" w:styleId="136">
    <w:name w:val="Footer Char"/>
    <w:qFormat/>
    <w:locked/>
    <w:uiPriority w:val="0"/>
    <w:rPr>
      <w:rFonts w:eastAsia="宋体"/>
      <w:kern w:val="2"/>
      <w:sz w:val="18"/>
      <w:lang w:val="en-US" w:eastAsia="zh-CN" w:bidi="ar-SA"/>
    </w:rPr>
  </w:style>
  <w:style w:type="character" w:customStyle="1" w:styleId="137">
    <w:name w:val="Char Char32"/>
    <w:qFormat/>
    <w:uiPriority w:val="6"/>
    <w:rPr>
      <w:b/>
      <w:kern w:val="1"/>
      <w:sz w:val="24"/>
      <w:szCs w:val="24"/>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首行缩进 Char1"/>
    <w:qFormat/>
    <w:uiPriority w:val="0"/>
    <w:rPr>
      <w:rFonts w:ascii="宋体" w:hAnsi="Times New Roman" w:eastAsia="宋体" w:cs="Times New Roman"/>
      <w:snapToGrid w:val="0"/>
      <w:kern w:val="2"/>
      <w:sz w:val="24"/>
      <w:szCs w:val="21"/>
      <w:lang w:val="zh-CN"/>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插图说明 Char"/>
    <w:qFormat/>
    <w:uiPriority w:val="0"/>
    <w:rPr>
      <w:rFonts w:eastAsia="黑体"/>
      <w:sz w:val="24"/>
      <w:lang w:val="en-US" w:eastAsia="zh-CN"/>
    </w:rPr>
  </w:style>
  <w:style w:type="character" w:customStyle="1" w:styleId="142">
    <w:name w:val="Char Char6"/>
    <w:qFormat/>
    <w:uiPriority w:val="0"/>
    <w:rPr>
      <w:rFonts w:eastAsia="宋体"/>
      <w:kern w:val="2"/>
      <w:sz w:val="21"/>
      <w:szCs w:val="24"/>
      <w:lang w:val="en-US" w:eastAsia="zh-CN" w:bidi="ar-SA"/>
    </w:rPr>
  </w:style>
  <w:style w:type="character" w:customStyle="1" w:styleId="143">
    <w:name w:val="tw4winTerm"/>
    <w:qFormat/>
    <w:uiPriority w:val="0"/>
    <w:rPr>
      <w:color w:val="0000FF"/>
    </w:rPr>
  </w:style>
  <w:style w:type="character" w:customStyle="1" w:styleId="144">
    <w:name w:val="Char Char71"/>
    <w:semiHidden/>
    <w:qFormat/>
    <w:uiPriority w:val="0"/>
    <w:rPr>
      <w:rFonts w:eastAsia="宋体"/>
      <w:kern w:val="2"/>
      <w:sz w:val="21"/>
      <w:szCs w:val="24"/>
      <w:lang w:val="en-US" w:eastAsia="zh-CN" w:bidi="ar-SA"/>
    </w:rPr>
  </w:style>
  <w:style w:type="character" w:customStyle="1" w:styleId="145">
    <w:name w:val="链接"/>
    <w:qFormat/>
    <w:uiPriority w:val="0"/>
    <w:rPr>
      <w:color w:val="0000FF"/>
      <w:sz w:val="21"/>
      <w:szCs w:val="21"/>
      <w:u w:val="single"/>
    </w:rPr>
  </w:style>
  <w:style w:type="paragraph" w:customStyle="1" w:styleId="146">
    <w:name w:val="_Style 96"/>
    <w:basedOn w:val="1"/>
    <w:next w:val="1"/>
    <w:link w:val="147"/>
    <w:qFormat/>
    <w:uiPriority w:val="0"/>
    <w:pPr>
      <w:ind w:left="1260" w:leftChars="600"/>
    </w:pPr>
    <w:rPr>
      <w:rFonts w:ascii="宋体" w:hAnsiTheme="minorHAnsi" w:eastAsiaTheme="minorEastAsia" w:cstheme="minorBidi"/>
      <w:sz w:val="24"/>
      <w:szCs w:val="22"/>
      <w:lang w:val="zh-CN"/>
    </w:rPr>
  </w:style>
  <w:style w:type="character" w:customStyle="1" w:styleId="147">
    <w:name w:val="正文文本首行缩进 字符"/>
    <w:link w:val="146"/>
    <w:qFormat/>
    <w:uiPriority w:val="0"/>
    <w:rPr>
      <w:rFonts w:ascii="宋体"/>
      <w:sz w:val="24"/>
      <w:lang w:val="zh-CN"/>
    </w:rPr>
  </w:style>
  <w:style w:type="character" w:customStyle="1" w:styleId="148">
    <w:name w:val="正文文本 字符"/>
    <w:qFormat/>
    <w:uiPriority w:val="0"/>
    <w:rPr>
      <w:rFonts w:ascii="宋体" w:hAnsi="Arial" w:eastAsia="宋体" w:cs="Arial"/>
      <w:snapToGrid w:val="0"/>
      <w:kern w:val="2"/>
      <w:sz w:val="24"/>
      <w:szCs w:val="21"/>
      <w:lang w:val="zh-CN" w:eastAsia="zh-CN" w:bidi="ar-SA"/>
    </w:rPr>
  </w:style>
  <w:style w:type="character" w:customStyle="1" w:styleId="149">
    <w:name w:val="Char Char212"/>
    <w:qFormat/>
    <w:uiPriority w:val="0"/>
    <w:rPr>
      <w:rFonts w:eastAsia="宋体"/>
      <w:b/>
      <w:bCs/>
      <w:kern w:val="2"/>
      <w:sz w:val="21"/>
      <w:szCs w:val="24"/>
      <w:lang w:val="en-US" w:eastAsia="zh-CN" w:bidi="ar-SA"/>
    </w:rPr>
  </w:style>
  <w:style w:type="character" w:customStyle="1" w:styleId="150">
    <w:name w:val="正文缩进 字符"/>
    <w:qFormat/>
    <w:uiPriority w:val="0"/>
    <w:rPr>
      <w:rFonts w:ascii="宋体" w:eastAsia="宋体"/>
      <w:snapToGrid w:val="0"/>
      <w:color w:val="000000"/>
      <w:kern w:val="28"/>
      <w:sz w:val="28"/>
      <w:lang w:val="en-US" w:eastAsia="zh-CN" w:bidi="ar-SA"/>
    </w:rPr>
  </w:style>
  <w:style w:type="character" w:customStyle="1" w:styleId="151">
    <w:name w:val="样式8 Char"/>
    <w:qFormat/>
    <w:uiPriority w:val="0"/>
    <w:rPr>
      <w:rFonts w:ascii="仿宋_GB2312" w:hAnsi="宋体" w:eastAsia="仿宋_GB2312"/>
      <w:b/>
      <w:bCs/>
      <w:kern w:val="2"/>
      <w:sz w:val="24"/>
      <w:szCs w:val="24"/>
    </w:rPr>
  </w:style>
  <w:style w:type="character" w:customStyle="1" w:styleId="152">
    <w:name w:val="页脚 字符"/>
    <w:qFormat/>
    <w:uiPriority w:val="99"/>
    <w:rPr>
      <w:kern w:val="2"/>
      <w:sz w:val="18"/>
      <w:szCs w:val="18"/>
    </w:rPr>
  </w:style>
  <w:style w:type="character" w:customStyle="1" w:styleId="153">
    <w:name w:val="f141"/>
    <w:qFormat/>
    <w:uiPriority w:val="0"/>
    <w:rPr>
      <w:rFonts w:ascii="Tahoma" w:hAnsi="Tahoma" w:eastAsia="宋体"/>
      <w:b/>
      <w:kern w:val="2"/>
      <w:sz w:val="21"/>
      <w:szCs w:val="21"/>
      <w:lang w:val="en-US" w:eastAsia="zh-CN" w:bidi="ar-SA"/>
    </w:rPr>
  </w:style>
  <w:style w:type="character" w:customStyle="1" w:styleId="154">
    <w:name w:val="h3 Char"/>
    <w:qFormat/>
    <w:uiPriority w:val="0"/>
    <w:rPr>
      <w:rFonts w:eastAsia="宋体"/>
      <w:b/>
      <w:kern w:val="2"/>
      <w:sz w:val="32"/>
      <w:lang w:val="en-US" w:eastAsia="zh-CN" w:bidi="ar-SA"/>
    </w:rPr>
  </w:style>
  <w:style w:type="character" w:customStyle="1" w:styleId="155">
    <w:name w:val="style1"/>
    <w:qFormat/>
    <w:uiPriority w:val="0"/>
    <w:rPr>
      <w:rFonts w:ascii="Arial" w:hAnsi="Arial" w:eastAsia="黑体" w:cs="Arial"/>
      <w:snapToGrid w:val="0"/>
      <w:kern w:val="0"/>
      <w:szCs w:val="21"/>
    </w:rPr>
  </w:style>
  <w:style w:type="character" w:customStyle="1" w:styleId="156">
    <w:name w:val="日期 Char1"/>
    <w:semiHidden/>
    <w:qFormat/>
    <w:uiPriority w:val="99"/>
    <w:rPr>
      <w:rFonts w:ascii="Times New Roman" w:hAnsi="Times New Roman" w:eastAsia="宋体" w:cs="Times New Roman"/>
      <w:szCs w:val="24"/>
    </w:rPr>
  </w:style>
  <w:style w:type="character" w:customStyle="1" w:styleId="157">
    <w:name w:val="标书1 Char1"/>
    <w:qFormat/>
    <w:uiPriority w:val="0"/>
    <w:rPr>
      <w:rFonts w:eastAsia="宋体"/>
      <w:b/>
      <w:bCs/>
      <w:kern w:val="44"/>
      <w:sz w:val="44"/>
      <w:szCs w:val="44"/>
      <w:lang w:val="en-US" w:eastAsia="zh-CN" w:bidi="ar-SA"/>
    </w:rPr>
  </w:style>
  <w:style w:type="character" w:customStyle="1" w:styleId="158">
    <w:name w:val="tw4winError"/>
    <w:qFormat/>
    <w:uiPriority w:val="0"/>
    <w:rPr>
      <w:rFonts w:ascii="Courier New" w:hAnsi="Courier New" w:cs="Courier New"/>
      <w:color w:val="00FF00"/>
      <w:sz w:val="40"/>
      <w:szCs w:val="40"/>
    </w:rPr>
  </w:style>
  <w:style w:type="character" w:customStyle="1" w:styleId="159">
    <w:name w:val="正文文本 字符1"/>
    <w:qFormat/>
    <w:uiPriority w:val="0"/>
    <w:rPr>
      <w:rFonts w:ascii="Calibri" w:hAnsi="Calibri" w:eastAsia="黑体" w:cs="Arial"/>
      <w:snapToGrid w:val="0"/>
      <w:kern w:val="2"/>
      <w:sz w:val="28"/>
      <w:szCs w:val="21"/>
    </w:rPr>
  </w:style>
  <w:style w:type="character" w:customStyle="1" w:styleId="160">
    <w:name w:val="标题 5 Char1"/>
    <w:link w:val="6"/>
    <w:qFormat/>
    <w:uiPriority w:val="9"/>
    <w:rPr>
      <w:rFonts w:ascii="Times New Roman" w:hAnsi="Times New Roman" w:eastAsia="宋体" w:cs="Times New Roman"/>
      <w:b/>
      <w:bCs/>
      <w:sz w:val="28"/>
      <w:szCs w:val="28"/>
    </w:rPr>
  </w:style>
  <w:style w:type="character" w:customStyle="1" w:styleId="161">
    <w:name w:val="带编号样式 Char"/>
    <w:qFormat/>
    <w:uiPriority w:val="0"/>
    <w:rPr>
      <w:rFonts w:ascii="仿宋_GB2312" w:eastAsia="仿宋_GB2312"/>
      <w:color w:val="000000"/>
      <w:sz w:val="24"/>
      <w:lang w:bidi="ar-SA"/>
    </w:rPr>
  </w:style>
  <w:style w:type="character" w:customStyle="1" w:styleId="162">
    <w:name w:val="hui"/>
    <w:qFormat/>
    <w:uiPriority w:val="0"/>
    <w:rPr>
      <w:rFonts w:ascii="Arial" w:hAnsi="Arial" w:eastAsia="黑体" w:cs="Arial"/>
      <w:snapToGrid w:val="0"/>
      <w:kern w:val="0"/>
      <w:szCs w:val="21"/>
    </w:rPr>
  </w:style>
  <w:style w:type="character" w:customStyle="1" w:styleId="163">
    <w:name w:val="tw4winPopup"/>
    <w:qFormat/>
    <w:uiPriority w:val="0"/>
    <w:rPr>
      <w:rFonts w:ascii="Courier New" w:hAnsi="Courier New" w:cs="Courier New"/>
      <w:color w:val="008000"/>
      <w:lang w:val="en-US" w:eastAsia="zh-CN"/>
    </w:rPr>
  </w:style>
  <w:style w:type="character" w:customStyle="1" w:styleId="164">
    <w:name w:val="unnamed31"/>
    <w:qFormat/>
    <w:uiPriority w:val="0"/>
    <w:rPr>
      <w:rFonts w:ascii="Tahoma" w:hAnsi="Tahoma" w:eastAsia="宋体"/>
      <w:b/>
      <w:kern w:val="2"/>
      <w:sz w:val="24"/>
      <w:szCs w:val="32"/>
      <w:u w:val="none"/>
      <w:lang w:val="en-US" w:eastAsia="zh-CN" w:bidi="ar-SA"/>
    </w:rPr>
  </w:style>
  <w:style w:type="character" w:customStyle="1" w:styleId="165">
    <w:name w:val="文档结构图 Char"/>
    <w:qFormat/>
    <w:uiPriority w:val="0"/>
    <w:rPr>
      <w:rFonts w:eastAsia="宋体"/>
      <w:kern w:val="2"/>
      <w:sz w:val="21"/>
      <w:szCs w:val="24"/>
      <w:lang w:val="en-US" w:eastAsia="zh-CN" w:bidi="ar-SA"/>
    </w:rPr>
  </w:style>
  <w:style w:type="character" w:customStyle="1" w:styleId="166">
    <w:name w:val="HTML 预设格式 Char2"/>
    <w:link w:val="52"/>
    <w:qFormat/>
    <w:uiPriority w:val="0"/>
    <w:rPr>
      <w:rFonts w:ascii="黑体" w:hAnsi="Courier New" w:eastAsia="黑体"/>
    </w:rPr>
  </w:style>
  <w:style w:type="character" w:customStyle="1" w:styleId="167">
    <w:name w:val="标题 7 Char1"/>
    <w:link w:val="8"/>
    <w:qFormat/>
    <w:uiPriority w:val="0"/>
    <w:rPr>
      <w:rFonts w:ascii="Times New Roman" w:hAnsi="Times New Roman" w:eastAsia="宋体" w:cs="Times New Roman"/>
      <w:b/>
      <w:bCs/>
      <w:sz w:val="24"/>
      <w:szCs w:val="24"/>
    </w:rPr>
  </w:style>
  <w:style w:type="character" w:customStyle="1" w:styleId="168">
    <w:name w:val="Char Char5"/>
    <w:qFormat/>
    <w:uiPriority w:val="0"/>
    <w:rPr>
      <w:rFonts w:ascii="宋体" w:hAnsi="Courier New" w:eastAsia="宋体"/>
      <w:kern w:val="2"/>
      <w:sz w:val="21"/>
      <w:lang w:val="en-US" w:eastAsia="zh-CN"/>
    </w:rPr>
  </w:style>
  <w:style w:type="character" w:customStyle="1" w:styleId="169">
    <w:name w:val="页眉 字符1"/>
    <w:qFormat/>
    <w:uiPriority w:val="99"/>
    <w:rPr>
      <w:kern w:val="2"/>
      <w:sz w:val="18"/>
      <w:szCs w:val="18"/>
    </w:rPr>
  </w:style>
  <w:style w:type="character" w:customStyle="1" w:styleId="170">
    <w:name w:val="正文非缩进 Char"/>
    <w:qFormat/>
    <w:uiPriority w:val="0"/>
    <w:rPr>
      <w:rFonts w:ascii="宋体" w:eastAsia="宋体"/>
      <w:snapToGrid w:val="0"/>
      <w:color w:val="000000"/>
      <w:kern w:val="28"/>
      <w:sz w:val="28"/>
      <w:lang w:val="en-US" w:eastAsia="zh-CN" w:bidi="ar-SA"/>
    </w:rPr>
  </w:style>
  <w:style w:type="character" w:customStyle="1" w:styleId="171">
    <w:name w:val="apple-style-span"/>
    <w:qFormat/>
    <w:uiPriority w:val="0"/>
    <w:rPr>
      <w:rFonts w:ascii="Arial" w:hAnsi="Arial" w:eastAsia="黑体" w:cs="Arial"/>
      <w:snapToGrid w:val="0"/>
      <w:kern w:val="0"/>
      <w:szCs w:val="21"/>
    </w:rPr>
  </w:style>
  <w:style w:type="character" w:customStyle="1" w:styleId="172">
    <w:name w:val="Char Char33"/>
    <w:qFormat/>
    <w:uiPriority w:val="6"/>
    <w:rPr>
      <w:rFonts w:ascii="Arial" w:hAnsi="Arial" w:eastAsia="黑体"/>
      <w:b/>
      <w:kern w:val="1"/>
      <w:sz w:val="24"/>
      <w:szCs w:val="24"/>
    </w:rPr>
  </w:style>
  <w:style w:type="character" w:customStyle="1" w:styleId="173">
    <w:name w:val="font21"/>
    <w:qFormat/>
    <w:uiPriority w:val="0"/>
    <w:rPr>
      <w:rFonts w:hint="eastAsia" w:ascii="宋体" w:hAnsi="宋体" w:eastAsia="宋体"/>
      <w:kern w:val="2"/>
      <w:sz w:val="28"/>
      <w:szCs w:val="28"/>
      <w:lang w:val="en-US" w:eastAsia="zh-CN" w:bidi="ar-SA"/>
    </w:rPr>
  </w:style>
  <w:style w:type="character" w:customStyle="1" w:styleId="174">
    <w:name w:val="Char Char121"/>
    <w:qFormat/>
    <w:uiPriority w:val="6"/>
    <w:rPr>
      <w:rFonts w:ascii="仿宋_GB2312" w:eastAsia="仿宋_GB2312"/>
      <w:b/>
      <w:bCs/>
      <w:kern w:val="2"/>
      <w:sz w:val="24"/>
      <w:szCs w:val="24"/>
      <w:lang w:val="zh-CN" w:eastAsia="zh-CN" w:bidi="ar-SA"/>
    </w:rPr>
  </w:style>
  <w:style w:type="character" w:customStyle="1" w:styleId="175">
    <w:name w:val="Char Char26"/>
    <w:qFormat/>
    <w:uiPriority w:val="6"/>
    <w:rPr>
      <w:kern w:val="1"/>
      <w:sz w:val="21"/>
      <w:szCs w:val="24"/>
    </w:rPr>
  </w:style>
  <w:style w:type="character" w:customStyle="1" w:styleId="176">
    <w:name w:val="edui-unclickable"/>
    <w:qFormat/>
    <w:uiPriority w:val="0"/>
    <w:rPr>
      <w:color w:val="808080"/>
    </w:rPr>
  </w:style>
  <w:style w:type="character" w:customStyle="1" w:styleId="177">
    <w:name w:val="页脚 字符2"/>
    <w:qFormat/>
    <w:locked/>
    <w:uiPriority w:val="99"/>
    <w:rPr>
      <w:kern w:val="2"/>
      <w:sz w:val="18"/>
      <w:szCs w:val="18"/>
    </w:rPr>
  </w:style>
  <w:style w:type="character" w:customStyle="1" w:styleId="178">
    <w:name w:val="Item List Char"/>
    <w:link w:val="179"/>
    <w:qFormat/>
    <w:uiPriority w:val="0"/>
    <w:rPr>
      <w:rFonts w:ascii="Arial"/>
      <w:bCs/>
      <w:szCs w:val="21"/>
    </w:rPr>
  </w:style>
  <w:style w:type="paragraph" w:customStyle="1" w:styleId="179">
    <w:name w:val="Item List"/>
    <w:link w:val="178"/>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180">
    <w:name w:val="ksfind_class_select1"/>
    <w:qFormat/>
    <w:uiPriority w:val="0"/>
    <w:rPr>
      <w:color w:val="000000"/>
      <w:shd w:val="clear" w:color="auto" w:fill="EFD200"/>
    </w:rPr>
  </w:style>
  <w:style w:type="character" w:customStyle="1" w:styleId="181">
    <w:name w:val="Char Char41"/>
    <w:qFormat/>
    <w:uiPriority w:val="0"/>
    <w:rPr>
      <w:rFonts w:eastAsia="宋体"/>
      <w:b/>
      <w:sz w:val="24"/>
      <w:lang w:val="en-US" w:eastAsia="zh-CN" w:bidi="ar-SA"/>
    </w:rPr>
  </w:style>
  <w:style w:type="character" w:customStyle="1" w:styleId="182">
    <w:name w:val="Char Char52"/>
    <w:qFormat/>
    <w:uiPriority w:val="0"/>
    <w:rPr>
      <w:rFonts w:ascii="宋体" w:hAnsi="Courier New" w:eastAsia="宋体"/>
      <w:kern w:val="2"/>
      <w:sz w:val="21"/>
      <w:lang w:val="en-US" w:eastAsia="zh-CN"/>
    </w:rPr>
  </w:style>
  <w:style w:type="character" w:customStyle="1" w:styleId="183">
    <w:name w:val="冯广丽 Char"/>
    <w:link w:val="184"/>
    <w:qFormat/>
    <w:uiPriority w:val="0"/>
    <w:rPr>
      <w:rFonts w:ascii="宋体" w:hAnsi="宋体"/>
      <w:sz w:val="24"/>
    </w:rPr>
  </w:style>
  <w:style w:type="paragraph" w:customStyle="1" w:styleId="184">
    <w:name w:val="冯广丽"/>
    <w:basedOn w:val="1"/>
    <w:link w:val="183"/>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85">
    <w:name w:val="Char Char1211"/>
    <w:qFormat/>
    <w:uiPriority w:val="0"/>
    <w:rPr>
      <w:rFonts w:ascii="仿宋_GB2312" w:eastAsia="仿宋_GB2312"/>
      <w:b/>
      <w:bCs/>
      <w:kern w:val="2"/>
      <w:sz w:val="24"/>
      <w:szCs w:val="24"/>
      <w:lang w:val="zh-CN" w:eastAsia="zh-CN" w:bidi="ar-SA"/>
    </w:rPr>
  </w:style>
  <w:style w:type="character" w:customStyle="1" w:styleId="186">
    <w:name w:val="Table Text Char"/>
    <w:link w:val="187"/>
    <w:qFormat/>
    <w:uiPriority w:val="0"/>
    <w:rPr>
      <w:sz w:val="24"/>
      <w:szCs w:val="24"/>
    </w:rPr>
  </w:style>
  <w:style w:type="paragraph" w:customStyle="1" w:styleId="187">
    <w:name w:val="Table Text"/>
    <w:basedOn w:val="1"/>
    <w:link w:val="186"/>
    <w:qFormat/>
    <w:uiPriority w:val="0"/>
    <w:pPr>
      <w:widowControl/>
      <w:spacing w:before="60" w:after="60"/>
      <w:jc w:val="left"/>
    </w:pPr>
    <w:rPr>
      <w:rFonts w:asciiTheme="minorHAnsi" w:hAnsiTheme="minorHAnsi" w:eastAsiaTheme="minorEastAsia" w:cstheme="minorBidi"/>
      <w:sz w:val="24"/>
    </w:rPr>
  </w:style>
  <w:style w:type="character" w:customStyle="1" w:styleId="188">
    <w:name w:val="Used by Word for text of Help footnotes Char Char"/>
    <w:qFormat/>
    <w:uiPriority w:val="0"/>
    <w:rPr>
      <w:rFonts w:ascii="Times New Roman" w:hAnsi="Times New Roman" w:eastAsia="宋体" w:cs="Times New Roman"/>
      <w:sz w:val="20"/>
      <w:szCs w:val="20"/>
    </w:rPr>
  </w:style>
  <w:style w:type="character" w:customStyle="1" w:styleId="189">
    <w:name w:val="Bold"/>
    <w:qFormat/>
    <w:uiPriority w:val="0"/>
    <w:rPr>
      <w:rFonts w:ascii="Arial" w:hAnsi="Arial" w:eastAsia="黑体" w:cs="Times New Roman"/>
      <w:b/>
      <w:kern w:val="2"/>
      <w:sz w:val="32"/>
      <w:szCs w:val="32"/>
      <w:lang w:val="en-US" w:eastAsia="zh-CN" w:bidi="ar-SA"/>
    </w:rPr>
  </w:style>
  <w:style w:type="character" w:customStyle="1" w:styleId="190">
    <w:name w:val="批注文字 字符1"/>
    <w:qFormat/>
    <w:uiPriority w:val="0"/>
    <w:rPr>
      <w:kern w:val="2"/>
      <w:sz w:val="21"/>
      <w:szCs w:val="24"/>
    </w:rPr>
  </w:style>
  <w:style w:type="character" w:customStyle="1" w:styleId="191">
    <w:name w:val="标题 2 Char Char"/>
    <w:qFormat/>
    <w:uiPriority w:val="0"/>
    <w:rPr>
      <w:rFonts w:ascii="楷体_GB2312" w:hAnsi="Arial" w:eastAsia="楷体_GB2312"/>
      <w:b/>
      <w:bCs/>
      <w:kern w:val="2"/>
      <w:sz w:val="24"/>
      <w:szCs w:val="32"/>
      <w:lang w:val="en-US" w:eastAsia="zh-CN" w:bidi="ar-SA"/>
    </w:rPr>
  </w:style>
  <w:style w:type="character" w:customStyle="1" w:styleId="192">
    <w:name w:val="签名 Char2"/>
    <w:link w:val="40"/>
    <w:qFormat/>
    <w:uiPriority w:val="0"/>
    <w:rPr>
      <w:rFonts w:eastAsia="仿宋_GB2312"/>
      <w:sz w:val="24"/>
    </w:rPr>
  </w:style>
  <w:style w:type="character" w:customStyle="1" w:styleId="193">
    <w:name w:val="Char Char37"/>
    <w:qFormat/>
    <w:uiPriority w:val="6"/>
    <w:rPr>
      <w:b/>
      <w:kern w:val="1"/>
      <w:sz w:val="44"/>
      <w:szCs w:val="44"/>
    </w:rPr>
  </w:style>
  <w:style w:type="character" w:customStyle="1" w:styleId="194">
    <w:name w:val="正文文本缩进 3 Char1"/>
    <w:semiHidden/>
    <w:qFormat/>
    <w:uiPriority w:val="99"/>
    <w:rPr>
      <w:rFonts w:ascii="Times New Roman" w:hAnsi="Times New Roman" w:eastAsia="宋体" w:cs="Times New Roman"/>
      <w:sz w:val="16"/>
      <w:szCs w:val="16"/>
    </w:rPr>
  </w:style>
  <w:style w:type="character" w:customStyle="1" w:styleId="195">
    <w:name w:val="列出段落 Char"/>
    <w:qFormat/>
    <w:uiPriority w:val="0"/>
    <w:rPr>
      <w:rFonts w:eastAsia="楷体_GB2312" w:cs="Lucida Sans"/>
      <w:kern w:val="2"/>
      <w:sz w:val="24"/>
      <w:szCs w:val="24"/>
      <w:lang w:val="en-US" w:eastAsia="zh-CN" w:bidi="ar-SA"/>
    </w:rPr>
  </w:style>
  <w:style w:type="character" w:customStyle="1" w:styleId="196">
    <w:name w:val="标题 1 字符"/>
    <w:qFormat/>
    <w:uiPriority w:val="9"/>
    <w:rPr>
      <w:rFonts w:ascii="Arial" w:hAnsi="Arial" w:eastAsia="黑体" w:cs="Arial"/>
      <w:b/>
      <w:bCs/>
      <w:snapToGrid w:val="0"/>
      <w:kern w:val="44"/>
      <w:sz w:val="44"/>
      <w:szCs w:val="44"/>
    </w:rPr>
  </w:style>
  <w:style w:type="character" w:customStyle="1" w:styleId="197">
    <w:name w:val="标题 1 Char Char"/>
    <w:qFormat/>
    <w:uiPriority w:val="0"/>
    <w:rPr>
      <w:rFonts w:hint="eastAsia" w:ascii="宋体" w:hAnsi="宋体" w:eastAsia="宋体"/>
      <w:b/>
      <w:spacing w:val="-2"/>
      <w:sz w:val="24"/>
      <w:lang w:val="en-US" w:eastAsia="zh-CN" w:bidi="ar-SA"/>
    </w:rPr>
  </w:style>
  <w:style w:type="character" w:customStyle="1" w:styleId="198">
    <w:name w:val="正文（缩进2汉字） Char"/>
    <w:link w:val="199"/>
    <w:qFormat/>
    <w:uiPriority w:val="0"/>
    <w:rPr>
      <w:rFonts w:ascii="宋体"/>
    </w:rPr>
  </w:style>
  <w:style w:type="paragraph" w:customStyle="1" w:styleId="199">
    <w:name w:val="正文（缩进2汉字）"/>
    <w:basedOn w:val="1"/>
    <w:link w:val="198"/>
    <w:qFormat/>
    <w:uiPriority w:val="0"/>
    <w:pPr>
      <w:tabs>
        <w:tab w:val="left" w:pos="525"/>
      </w:tabs>
      <w:adjustRightInd/>
      <w:spacing w:before="100" w:beforeAutospacing="1" w:after="100" w:afterAutospacing="1"/>
      <w:ind w:left="120" w:leftChars="50" w:firstLine="494" w:firstLineChars="206"/>
    </w:pPr>
    <w:rPr>
      <w:rFonts w:ascii="宋体" w:hAnsiTheme="minorHAnsi" w:eastAsiaTheme="minorEastAsia" w:cstheme="minorBidi"/>
      <w:szCs w:val="22"/>
    </w:rPr>
  </w:style>
  <w:style w:type="character" w:customStyle="1" w:styleId="200">
    <w:name w:val="哈哈正文 Char Char"/>
    <w:qFormat/>
    <w:uiPriority w:val="0"/>
    <w:rPr>
      <w:rFonts w:ascii="宋体" w:hAnsi="宋体" w:eastAsia="宋体" w:cs="宋体"/>
      <w:kern w:val="2"/>
      <w:sz w:val="24"/>
      <w:lang w:val="en-US" w:eastAsia="zh-CN" w:bidi="ar-SA"/>
    </w:rPr>
  </w:style>
  <w:style w:type="character" w:customStyle="1" w:styleId="201">
    <w:name w:val="content"/>
    <w:qFormat/>
    <w:uiPriority w:val="0"/>
  </w:style>
  <w:style w:type="character" w:customStyle="1" w:styleId="202">
    <w:name w:val="font51"/>
    <w:qFormat/>
    <w:uiPriority w:val="0"/>
    <w:rPr>
      <w:rFonts w:hint="eastAsia" w:ascii="仿宋" w:hAnsi="仿宋" w:eastAsia="仿宋" w:cs="仿宋"/>
      <w:color w:val="000000"/>
      <w:sz w:val="20"/>
      <w:szCs w:val="20"/>
      <w:u w:val="none"/>
    </w:rPr>
  </w:style>
  <w:style w:type="character" w:customStyle="1" w:styleId="203">
    <w:name w:val="批注文字 字符"/>
    <w:qFormat/>
    <w:uiPriority w:val="0"/>
    <w:rPr>
      <w:rFonts w:ascii="Arial" w:hAnsi="Arial" w:eastAsia="黑体" w:cs="Arial"/>
      <w:snapToGrid w:val="0"/>
      <w:kern w:val="0"/>
      <w:szCs w:val="21"/>
    </w:rPr>
  </w:style>
  <w:style w:type="character" w:customStyle="1" w:styleId="204">
    <w:name w:val="编号，小四 Char"/>
    <w:link w:val="205"/>
    <w:qFormat/>
    <w:uiPriority w:val="0"/>
    <w:rPr>
      <w:rFonts w:ascii="Arial" w:hAnsi="Arial"/>
      <w:sz w:val="24"/>
    </w:rPr>
  </w:style>
  <w:style w:type="paragraph" w:customStyle="1" w:styleId="205">
    <w:name w:val="编号，小四"/>
    <w:basedOn w:val="1"/>
    <w:link w:val="204"/>
    <w:qFormat/>
    <w:uiPriority w:val="0"/>
    <w:pPr>
      <w:tabs>
        <w:tab w:val="left" w:pos="432"/>
      </w:tabs>
      <w:adjustRightInd/>
      <w:spacing w:line="360" w:lineRule="auto"/>
      <w:ind w:left="432" w:hanging="432"/>
    </w:pPr>
    <w:rPr>
      <w:rFonts w:ascii="Arial" w:hAnsi="Arial" w:eastAsiaTheme="minorEastAsia" w:cstheme="minorBidi"/>
      <w:sz w:val="24"/>
      <w:szCs w:val="22"/>
    </w:rPr>
  </w:style>
  <w:style w:type="character" w:customStyle="1" w:styleId="206">
    <w:name w:val="Font Style82"/>
    <w:qFormat/>
    <w:uiPriority w:val="99"/>
    <w:rPr>
      <w:rFonts w:ascii="宋体" w:eastAsia="宋体" w:cs="宋体"/>
      <w:color w:val="000000"/>
      <w:sz w:val="14"/>
      <w:szCs w:val="14"/>
    </w:rPr>
  </w:style>
  <w:style w:type="character" w:customStyle="1" w:styleId="207">
    <w:name w:val="正文首行缩进 Char Char Char Char Char Char"/>
    <w:qFormat/>
    <w:uiPriority w:val="0"/>
    <w:rPr>
      <w:rFonts w:ascii="宋体" w:eastAsia="宋体"/>
      <w:kern w:val="2"/>
      <w:sz w:val="24"/>
      <w:lang w:val="zh-CN" w:bidi="ar-SA"/>
    </w:rPr>
  </w:style>
  <w:style w:type="character" w:customStyle="1" w:styleId="208">
    <w:name w:val="DO_NOT_TRANSLATE"/>
    <w:qFormat/>
    <w:uiPriority w:val="0"/>
    <w:rPr>
      <w:rFonts w:ascii="Courier New" w:hAnsi="Courier New" w:cs="Courier New"/>
      <w:color w:val="800000"/>
      <w:lang w:val="en-US" w:eastAsia="zh-CN"/>
    </w:rPr>
  </w:style>
  <w:style w:type="character" w:customStyle="1" w:styleId="209">
    <w:name w:val="gray6"/>
    <w:qFormat/>
    <w:uiPriority w:val="0"/>
    <w:rPr>
      <w:rFonts w:ascii="Arial" w:hAnsi="Arial" w:eastAsia="黑体" w:cs="Arial"/>
      <w:snapToGrid w:val="0"/>
      <w:kern w:val="0"/>
      <w:szCs w:val="21"/>
    </w:rPr>
  </w:style>
  <w:style w:type="character" w:customStyle="1" w:styleId="210">
    <w:name w:val="正文文本缩进 字符"/>
    <w:qFormat/>
    <w:uiPriority w:val="0"/>
    <w:rPr>
      <w:rFonts w:ascii="Century Gothic" w:hAnsi="Century Gothic" w:eastAsia="Century Gothic"/>
      <w:kern w:val="2"/>
      <w:sz w:val="24"/>
      <w:lang w:val="en-US" w:eastAsia="zh-CN" w:bidi="ar-SA"/>
    </w:rPr>
  </w:style>
  <w:style w:type="character" w:customStyle="1" w:styleId="211">
    <w:name w:val="Char Char36"/>
    <w:qFormat/>
    <w:uiPriority w:val="6"/>
    <w:rPr>
      <w:rFonts w:ascii="仿宋_GB2312" w:hAnsi="仿宋_GB2312" w:eastAsia="仿宋_GB2312" w:cs="Arial"/>
      <w:b/>
      <w:kern w:val="1"/>
      <w:sz w:val="32"/>
      <w:szCs w:val="32"/>
      <w:lang w:val="zh-CN" w:eastAsia="zh-CN" w:bidi="ar-SA"/>
    </w:rPr>
  </w:style>
  <w:style w:type="character" w:customStyle="1" w:styleId="212">
    <w:name w:val="15"/>
    <w:qFormat/>
    <w:uiPriority w:val="0"/>
    <w:rPr>
      <w:rFonts w:hint="default" w:ascii="Calibri" w:hAnsi="Calibri"/>
      <w:color w:val="0000FF"/>
      <w:u w:val="single"/>
    </w:rPr>
  </w:style>
  <w:style w:type="character" w:customStyle="1" w:styleId="21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214">
    <w:name w:val="交叉引用"/>
    <w:qFormat/>
    <w:uiPriority w:val="1"/>
    <w:rPr>
      <w:rFonts w:ascii="Arial" w:hAnsi="Arial" w:eastAsia="黑体"/>
      <w:snapToGrid w:val="0"/>
      <w:color w:val="0000FF"/>
      <w:kern w:val="0"/>
      <w:sz w:val="20"/>
      <w:szCs w:val="21"/>
      <w:u w:val="single"/>
      <w:lang w:val="en-US" w:eastAsia="zh-CN"/>
    </w:rPr>
  </w:style>
  <w:style w:type="character" w:customStyle="1" w:styleId="215">
    <w:name w:val="页脚 字符1"/>
    <w:qFormat/>
    <w:locked/>
    <w:uiPriority w:val="99"/>
    <w:rPr>
      <w:kern w:val="2"/>
      <w:sz w:val="18"/>
      <w:szCs w:val="18"/>
    </w:rPr>
  </w:style>
  <w:style w:type="character" w:customStyle="1" w:styleId="216">
    <w:name w:val="首行缩进 Char"/>
    <w:qFormat/>
    <w:uiPriority w:val="0"/>
    <w:rPr>
      <w:rFonts w:ascii="宋体" w:eastAsia="宋体"/>
      <w:kern w:val="2"/>
      <w:sz w:val="24"/>
      <w:lang w:val="en-US" w:eastAsia="zh-CN" w:bidi="ar-SA"/>
    </w:rPr>
  </w:style>
  <w:style w:type="character" w:customStyle="1" w:styleId="217">
    <w:name w:val="U_正文 Char"/>
    <w:link w:val="218"/>
    <w:qFormat/>
    <w:uiPriority w:val="0"/>
    <w:rPr>
      <w:sz w:val="24"/>
      <w:szCs w:val="24"/>
    </w:rPr>
  </w:style>
  <w:style w:type="paragraph" w:customStyle="1" w:styleId="218">
    <w:name w:val="U_正文"/>
    <w:basedOn w:val="1"/>
    <w:link w:val="217"/>
    <w:qFormat/>
    <w:uiPriority w:val="0"/>
    <w:pPr>
      <w:adjustRightInd/>
      <w:spacing w:beforeLines="20" w:afterLines="20" w:line="300" w:lineRule="auto"/>
      <w:ind w:firstLine="200" w:firstLineChars="200"/>
    </w:pPr>
    <w:rPr>
      <w:rFonts w:asciiTheme="minorHAnsi" w:hAnsiTheme="minorHAnsi" w:eastAsiaTheme="minorEastAsia" w:cstheme="minorBidi"/>
      <w:sz w:val="24"/>
    </w:rPr>
  </w:style>
  <w:style w:type="character" w:customStyle="1" w:styleId="219">
    <w:name w:val="b11_01b Char"/>
    <w:link w:val="220"/>
    <w:qFormat/>
    <w:uiPriority w:val="0"/>
    <w:rPr>
      <w:rFonts w:ascii="Verdana" w:hAnsi="Verdana"/>
      <w:b/>
      <w:bCs/>
      <w:color w:val="4A82CA"/>
      <w:sz w:val="17"/>
      <w:szCs w:val="17"/>
    </w:rPr>
  </w:style>
  <w:style w:type="paragraph" w:customStyle="1" w:styleId="220">
    <w:name w:val="b11_01b"/>
    <w:basedOn w:val="1"/>
    <w:next w:val="1"/>
    <w:link w:val="219"/>
    <w:qFormat/>
    <w:uiPriority w:val="0"/>
    <w:pPr>
      <w:widowControl/>
      <w:adjustRightInd/>
      <w:spacing w:before="100" w:beforeAutospacing="1" w:after="100" w:afterAutospacing="1" w:line="384" w:lineRule="auto"/>
      <w:jc w:val="left"/>
    </w:pPr>
    <w:rPr>
      <w:rFonts w:ascii="Verdana" w:hAnsi="Verdana" w:eastAsiaTheme="minorEastAsia" w:cstheme="minorBidi"/>
      <w:b/>
      <w:bCs/>
      <w:color w:val="4A82CA"/>
      <w:sz w:val="17"/>
      <w:szCs w:val="17"/>
    </w:rPr>
  </w:style>
  <w:style w:type="character" w:customStyle="1" w:styleId="221">
    <w:name w:val="Char Char161"/>
    <w:qFormat/>
    <w:uiPriority w:val="0"/>
    <w:rPr>
      <w:rFonts w:eastAsia="宋体"/>
      <w:b/>
      <w:kern w:val="2"/>
      <w:sz w:val="32"/>
      <w:lang w:val="en-US" w:eastAsia="zh-CN"/>
    </w:rPr>
  </w:style>
  <w:style w:type="character" w:customStyle="1" w:styleId="222">
    <w:name w:val="表格非标题文字 Char"/>
    <w:link w:val="223"/>
    <w:qFormat/>
    <w:uiPriority w:val="0"/>
    <w:rPr>
      <w:rFonts w:ascii="Futura Bk" w:hAnsi="Futura Bk"/>
      <w:sz w:val="18"/>
      <w:szCs w:val="21"/>
    </w:rPr>
  </w:style>
  <w:style w:type="paragraph" w:customStyle="1" w:styleId="223">
    <w:name w:val="表格非标题文字"/>
    <w:link w:val="222"/>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224">
    <w:name w:val="*正文 Char"/>
    <w:link w:val="225"/>
    <w:qFormat/>
    <w:locked/>
    <w:uiPriority w:val="0"/>
    <w:rPr>
      <w:rFonts w:ascii="宋体" w:hAnsi="宋体"/>
      <w:sz w:val="24"/>
    </w:rPr>
  </w:style>
  <w:style w:type="paragraph" w:customStyle="1" w:styleId="225">
    <w:name w:val="*正文"/>
    <w:basedOn w:val="1"/>
    <w:link w:val="224"/>
    <w:qFormat/>
    <w:uiPriority w:val="0"/>
    <w:pPr>
      <w:snapToGrid w:val="0"/>
      <w:spacing w:line="360" w:lineRule="auto"/>
      <w:ind w:firstLine="482"/>
      <w:jc w:val="left"/>
    </w:pPr>
    <w:rPr>
      <w:rFonts w:ascii="宋体" w:hAnsi="宋体" w:eastAsiaTheme="minorEastAsia" w:cstheme="minorBidi"/>
      <w:sz w:val="24"/>
      <w:szCs w:val="22"/>
    </w:rPr>
  </w:style>
  <w:style w:type="character" w:customStyle="1" w:styleId="226">
    <w:name w:val="Char Char28"/>
    <w:qFormat/>
    <w:uiPriority w:val="6"/>
    <w:rPr>
      <w:rFonts w:ascii="仿宋_GB2312" w:hAnsi="仿宋_GB2312" w:eastAsia="仿宋_GB2312"/>
      <w:kern w:val="1"/>
      <w:sz w:val="28"/>
    </w:rPr>
  </w:style>
  <w:style w:type="character" w:customStyle="1" w:styleId="227">
    <w:name w:val="Heading 1 Char"/>
    <w:qFormat/>
    <w:uiPriority w:val="6"/>
    <w:rPr>
      <w:rFonts w:ascii="Times New Roman" w:hAnsi="Times New Roman" w:eastAsia="黑体" w:cs="Times New Roman"/>
      <w:b/>
      <w:kern w:val="0"/>
      <w:sz w:val="24"/>
      <w:szCs w:val="24"/>
    </w:rPr>
  </w:style>
  <w:style w:type="character" w:customStyle="1" w:styleId="228">
    <w:name w:val="HTML 地址 Char1"/>
    <w:qFormat/>
    <w:uiPriority w:val="0"/>
    <w:rPr>
      <w:rFonts w:ascii="Times New Roman" w:hAnsi="Times New Roman" w:eastAsia="宋体" w:cs="Times New Roman"/>
      <w:i/>
      <w:iCs/>
      <w:szCs w:val="24"/>
    </w:rPr>
  </w:style>
  <w:style w:type="character" w:customStyle="1" w:styleId="229">
    <w:name w:val="Char Char51"/>
    <w:qFormat/>
    <w:uiPriority w:val="0"/>
    <w:rPr>
      <w:rFonts w:ascii="宋体" w:hAnsi="Courier New" w:eastAsia="宋体"/>
      <w:kern w:val="2"/>
      <w:sz w:val="21"/>
      <w:lang w:val="en-US" w:eastAsia="zh-CN"/>
    </w:rPr>
  </w:style>
  <w:style w:type="character" w:customStyle="1" w:styleId="230">
    <w:name w:val="表正文 Char"/>
    <w:qFormat/>
    <w:uiPriority w:val="0"/>
    <w:rPr>
      <w:rFonts w:ascii="宋体" w:eastAsia="宋体"/>
      <w:snapToGrid w:val="0"/>
      <w:color w:val="000000"/>
      <w:kern w:val="28"/>
      <w:sz w:val="28"/>
      <w:lang w:val="en-US" w:eastAsia="zh-CN" w:bidi="ar-SA"/>
    </w:rPr>
  </w:style>
  <w:style w:type="character" w:customStyle="1" w:styleId="231">
    <w:name w:val="Char Char34"/>
    <w:qFormat/>
    <w:uiPriority w:val="6"/>
    <w:rPr>
      <w:b/>
      <w:kern w:val="1"/>
      <w:sz w:val="28"/>
      <w:szCs w:val="28"/>
    </w:rPr>
  </w:style>
  <w:style w:type="character" w:customStyle="1" w:styleId="23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233">
    <w:name w:val="未处理的提及1"/>
    <w:qFormat/>
    <w:uiPriority w:val="0"/>
    <w:rPr>
      <w:color w:val="808080"/>
      <w:shd w:val="clear" w:color="auto" w:fill="E6E6E6"/>
    </w:rPr>
  </w:style>
  <w:style w:type="character" w:customStyle="1" w:styleId="234">
    <w:name w:val="PI Char1"/>
    <w:qFormat/>
    <w:uiPriority w:val="0"/>
    <w:rPr>
      <w:rFonts w:ascii="宋体" w:hAnsi="宋体"/>
      <w:kern w:val="2"/>
      <w:sz w:val="24"/>
      <w:szCs w:val="24"/>
    </w:rPr>
  </w:style>
  <w:style w:type="character" w:customStyle="1" w:styleId="235">
    <w:name w:val="Char Char101"/>
    <w:qFormat/>
    <w:uiPriority w:val="6"/>
    <w:rPr>
      <w:rFonts w:ascii="宋体" w:hAnsi="宋体"/>
      <w:kern w:val="2"/>
      <w:sz w:val="21"/>
      <w:szCs w:val="24"/>
      <w:lang w:val="en-US" w:eastAsia="zh-CN"/>
    </w:rPr>
  </w:style>
  <w:style w:type="character" w:customStyle="1" w:styleId="236">
    <w:name w:val="5正文 Char"/>
    <w:link w:val="237"/>
    <w:qFormat/>
    <w:uiPriority w:val="0"/>
    <w:rPr>
      <w:rFonts w:ascii="仿宋_GB2312" w:hAnsi="微软雅黑" w:eastAsia="仿宋_GB2312"/>
      <w:sz w:val="28"/>
      <w:szCs w:val="21"/>
    </w:rPr>
  </w:style>
  <w:style w:type="paragraph" w:customStyle="1" w:styleId="237">
    <w:name w:val="5正文"/>
    <w:basedOn w:val="1"/>
    <w:link w:val="236"/>
    <w:qFormat/>
    <w:uiPriority w:val="0"/>
    <w:pPr>
      <w:adjustRightInd/>
      <w:spacing w:line="360" w:lineRule="auto"/>
      <w:ind w:firstLine="566" w:firstLineChars="202"/>
      <w:jc w:val="left"/>
    </w:pPr>
    <w:rPr>
      <w:rFonts w:ascii="仿宋_GB2312" w:hAnsi="微软雅黑" w:eastAsia="仿宋_GB2312" w:cstheme="minorBidi"/>
      <w:sz w:val="28"/>
      <w:szCs w:val="21"/>
    </w:rPr>
  </w:style>
  <w:style w:type="character" w:customStyle="1" w:styleId="238">
    <w:name w:val="标题 3 字符"/>
    <w:qFormat/>
    <w:uiPriority w:val="9"/>
    <w:rPr>
      <w:b/>
      <w:bCs/>
      <w:kern w:val="2"/>
      <w:sz w:val="32"/>
      <w:szCs w:val="32"/>
    </w:rPr>
  </w:style>
  <w:style w:type="character" w:customStyle="1" w:styleId="239">
    <w:name w:val="样式6 Char"/>
    <w:qFormat/>
    <w:uiPriority w:val="0"/>
    <w:rPr>
      <w:rFonts w:ascii="仿宋_GB2312" w:hAnsi="宋体" w:eastAsia="仿宋_GB2312"/>
      <w:b/>
      <w:bCs/>
      <w:kern w:val="2"/>
      <w:sz w:val="24"/>
      <w:szCs w:val="24"/>
      <w:lang w:val="en-US" w:eastAsia="zh-CN" w:bidi="ar-SA"/>
    </w:rPr>
  </w:style>
  <w:style w:type="character" w:customStyle="1" w:styleId="240">
    <w:name w:val="Char Char14"/>
    <w:qFormat/>
    <w:uiPriority w:val="6"/>
    <w:rPr>
      <w:rFonts w:ascii="黑体" w:hAnsi="黑体" w:eastAsia="黑体"/>
    </w:rPr>
  </w:style>
  <w:style w:type="character" w:customStyle="1" w:styleId="241">
    <w:name w:val="Heading 2 Hidden Char"/>
    <w:qFormat/>
    <w:uiPriority w:val="0"/>
    <w:rPr>
      <w:rFonts w:ascii="仿宋_GB2312" w:eastAsia="仿宋_GB2312"/>
      <w:b/>
      <w:bCs/>
      <w:kern w:val="2"/>
      <w:sz w:val="24"/>
      <w:szCs w:val="24"/>
      <w:lang w:val="zh-CN" w:eastAsia="zh-CN" w:bidi="ar-SA"/>
    </w:rPr>
  </w:style>
  <w:style w:type="character" w:customStyle="1" w:styleId="242">
    <w:name w:val="正文首行缩进 2 Char2"/>
    <w:link w:val="56"/>
    <w:qFormat/>
    <w:uiPriority w:val="0"/>
    <w:rPr>
      <w:rFonts w:ascii="宋体" w:hAnsi="宋体"/>
      <w:kern w:val="2"/>
      <w:sz w:val="21"/>
      <w:szCs w:val="24"/>
    </w:rPr>
  </w:style>
  <w:style w:type="character" w:customStyle="1" w:styleId="243">
    <w:name w:val="font11"/>
    <w:qFormat/>
    <w:uiPriority w:val="0"/>
    <w:rPr>
      <w:rFonts w:hint="default" w:ascii="Times New Roman" w:hAnsi="Times New Roman" w:cs="Times New Roman"/>
      <w:color w:val="000000"/>
      <w:sz w:val="22"/>
      <w:szCs w:val="22"/>
      <w:u w:val="none"/>
    </w:rPr>
  </w:style>
  <w:style w:type="character" w:customStyle="1" w:styleId="244">
    <w:name w:val="blue1"/>
    <w:qFormat/>
    <w:uiPriority w:val="0"/>
    <w:rPr>
      <w:rFonts w:ascii="Arial" w:hAnsi="Arial" w:eastAsia="黑体" w:cs="Arial"/>
      <w:snapToGrid w:val="0"/>
      <w:kern w:val="0"/>
      <w:szCs w:val="21"/>
    </w:rPr>
  </w:style>
  <w:style w:type="character" w:customStyle="1" w:styleId="245">
    <w:name w:val="Char Char24"/>
    <w:qFormat/>
    <w:uiPriority w:val="6"/>
    <w:rPr>
      <w:kern w:val="1"/>
      <w:sz w:val="21"/>
    </w:rPr>
  </w:style>
  <w:style w:type="character" w:customStyle="1" w:styleId="246">
    <w:name w:val="副标题 Char3"/>
    <w:link w:val="44"/>
    <w:qFormat/>
    <w:uiPriority w:val="0"/>
    <w:rPr>
      <w:rFonts w:ascii="Arial" w:hAnsi="Arial" w:eastAsia="隶书"/>
      <w:b/>
      <w:bCs/>
      <w:kern w:val="28"/>
      <w:sz w:val="44"/>
      <w:szCs w:val="32"/>
    </w:rPr>
  </w:style>
  <w:style w:type="character" w:customStyle="1" w:styleId="247">
    <w:name w:val="普通文字 Char1 Char"/>
    <w:qFormat/>
    <w:uiPriority w:val="0"/>
    <w:rPr>
      <w:rFonts w:ascii="宋体" w:hAnsi="Courier New" w:eastAsia="宋体"/>
      <w:kern w:val="2"/>
      <w:sz w:val="21"/>
      <w:szCs w:val="24"/>
      <w:lang w:val="en-US" w:eastAsia="zh-CN" w:bidi="ar-SA"/>
    </w:rPr>
  </w:style>
  <w:style w:type="character" w:customStyle="1" w:styleId="248">
    <w:name w:val="No Spacing Char"/>
    <w:link w:val="249"/>
    <w:qFormat/>
    <w:uiPriority w:val="1"/>
    <w:rPr>
      <w:sz w:val="22"/>
    </w:rPr>
  </w:style>
  <w:style w:type="paragraph" w:customStyle="1" w:styleId="249">
    <w:name w:val="无间隔1"/>
    <w:link w:val="248"/>
    <w:qFormat/>
    <w:uiPriority w:val="1"/>
    <w:rPr>
      <w:rFonts w:asciiTheme="minorHAnsi" w:hAnsiTheme="minorHAnsi" w:eastAsiaTheme="minorEastAsia" w:cstheme="minorBidi"/>
      <w:kern w:val="2"/>
      <w:sz w:val="22"/>
      <w:szCs w:val="22"/>
      <w:lang w:val="en-US" w:eastAsia="zh-CN" w:bidi="ar-SA"/>
    </w:rPr>
  </w:style>
  <w:style w:type="character" w:customStyle="1" w:styleId="250">
    <w:name w:val="font12gray1"/>
    <w:qFormat/>
    <w:uiPriority w:val="0"/>
    <w:rPr>
      <w:rFonts w:ascii="仿宋_GB2312" w:eastAsia="微软雅黑"/>
      <w:b/>
      <w:spacing w:val="300"/>
      <w:kern w:val="2"/>
      <w:sz w:val="18"/>
      <w:szCs w:val="18"/>
      <w:lang w:val="en-US" w:eastAsia="zh-CN" w:bidi="ar-SA"/>
    </w:rPr>
  </w:style>
  <w:style w:type="character" w:customStyle="1" w:styleId="251">
    <w:name w:val="Char Char7"/>
    <w:semiHidden/>
    <w:qFormat/>
    <w:uiPriority w:val="0"/>
    <w:rPr>
      <w:rFonts w:eastAsia="宋体"/>
      <w:kern w:val="2"/>
      <w:sz w:val="21"/>
      <w:szCs w:val="24"/>
      <w:lang w:val="en-US" w:eastAsia="zh-CN" w:bidi="ar-SA"/>
    </w:rPr>
  </w:style>
  <w:style w:type="character" w:customStyle="1" w:styleId="252">
    <w:name w:val="表名 Char"/>
    <w:qFormat/>
    <w:uiPriority w:val="0"/>
    <w:rPr>
      <w:rFonts w:eastAsia="宋体"/>
      <w:b/>
      <w:bCs/>
      <w:kern w:val="2"/>
      <w:sz w:val="24"/>
      <w:szCs w:val="24"/>
      <w:lang w:val="en-US" w:eastAsia="zh-CN" w:bidi="ar-SA"/>
    </w:rPr>
  </w:style>
  <w:style w:type="character" w:customStyle="1" w:styleId="253">
    <w:name w:val="Document Map Char"/>
    <w:qFormat/>
    <w:locked/>
    <w:uiPriority w:val="0"/>
    <w:rPr>
      <w:rFonts w:eastAsia="宋体"/>
      <w:kern w:val="2"/>
      <w:sz w:val="21"/>
      <w:szCs w:val="24"/>
      <w:lang w:val="en-US" w:eastAsia="zh-CN" w:bidi="ar-SA"/>
    </w:rPr>
  </w:style>
  <w:style w:type="character" w:customStyle="1" w:styleId="254">
    <w:name w:val="font41"/>
    <w:qFormat/>
    <w:uiPriority w:val="0"/>
    <w:rPr>
      <w:rFonts w:hint="eastAsia" w:ascii="仿宋_GB2312" w:eastAsia="仿宋_GB2312" w:cs="仿宋_GB2312"/>
      <w:color w:val="000000"/>
      <w:sz w:val="22"/>
      <w:szCs w:val="22"/>
      <w:u w:val="none"/>
    </w:rPr>
  </w:style>
  <w:style w:type="character" w:customStyle="1" w:styleId="255">
    <w:name w:val="标题 6 Char2"/>
    <w:link w:val="7"/>
    <w:qFormat/>
    <w:uiPriority w:val="0"/>
    <w:rPr>
      <w:rFonts w:ascii="Arial" w:hAnsi="Arial" w:eastAsia="黑体" w:cs="Times New Roman"/>
      <w:b/>
      <w:bCs/>
      <w:sz w:val="24"/>
      <w:szCs w:val="24"/>
    </w:rPr>
  </w:style>
  <w:style w:type="character" w:customStyle="1" w:styleId="256">
    <w:name w:val="纯文本 Char_0"/>
    <w:link w:val="257"/>
    <w:qFormat/>
    <w:uiPriority w:val="0"/>
    <w:rPr>
      <w:rFonts w:ascii="宋体" w:hAnsi="Courier New"/>
      <w:szCs w:val="21"/>
    </w:rPr>
  </w:style>
  <w:style w:type="paragraph" w:customStyle="1" w:styleId="257">
    <w:name w:val="纯文本_0_0"/>
    <w:basedOn w:val="258"/>
    <w:link w:val="256"/>
    <w:qFormat/>
    <w:uiPriority w:val="0"/>
    <w:rPr>
      <w:rFonts w:ascii="宋体" w:hAnsi="Courier New" w:eastAsiaTheme="minorEastAsia" w:cstheme="minorBidi"/>
      <w:szCs w:val="21"/>
    </w:rPr>
  </w:style>
  <w:style w:type="paragraph" w:customStyle="1" w:styleId="2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9">
    <w:name w:val="Balloon Text Char"/>
    <w:qFormat/>
    <w:locked/>
    <w:uiPriority w:val="0"/>
    <w:rPr>
      <w:rFonts w:eastAsia="宋体"/>
      <w:kern w:val="2"/>
      <w:sz w:val="18"/>
      <w:szCs w:val="18"/>
      <w:lang w:val="en-US" w:eastAsia="zh-CN" w:bidi="ar-SA"/>
    </w:rPr>
  </w:style>
  <w:style w:type="character" w:customStyle="1" w:styleId="260">
    <w:name w:val="正文 项目2 Char"/>
    <w:qFormat/>
    <w:uiPriority w:val="0"/>
    <w:rPr>
      <w:rFonts w:ascii="仿宋_GB2312" w:hAnsi="仿宋_GB2312" w:eastAsia="仿宋_GB2312"/>
      <w:kern w:val="2"/>
      <w:sz w:val="24"/>
      <w:lang w:bidi="ar-SA"/>
    </w:rPr>
  </w:style>
  <w:style w:type="character" w:customStyle="1" w:styleId="261">
    <w:name w:val="正文 项目 Char"/>
    <w:qFormat/>
    <w:uiPriority w:val="0"/>
    <w:rPr>
      <w:rFonts w:ascii="仿宋_GB2312" w:hAnsi="仿宋_GB2312" w:eastAsia="仿宋_GB2312"/>
      <w:kern w:val="2"/>
      <w:sz w:val="24"/>
      <w:lang w:bidi="ar-SA"/>
    </w:rPr>
  </w:style>
  <w:style w:type="character" w:customStyle="1" w:styleId="262">
    <w:name w:val="h Char Char1"/>
    <w:qFormat/>
    <w:uiPriority w:val="0"/>
    <w:rPr>
      <w:rFonts w:eastAsia="宋体"/>
      <w:kern w:val="2"/>
      <w:sz w:val="18"/>
      <w:szCs w:val="18"/>
      <w:lang w:val="en-US" w:eastAsia="zh-CN" w:bidi="ar-SA"/>
    </w:rPr>
  </w:style>
  <w:style w:type="character" w:customStyle="1" w:styleId="263">
    <w:name w:val="Char Char27"/>
    <w:qFormat/>
    <w:uiPriority w:val="6"/>
    <w:rPr>
      <w:rFonts w:ascii="宋体" w:hAnsi="宋体" w:eastAsia="宋体"/>
      <w:color w:val="000000"/>
      <w:kern w:val="1"/>
      <w:sz w:val="28"/>
      <w:lang w:val="en-US" w:eastAsia="zh-CN" w:bidi="ar-SA"/>
    </w:rPr>
  </w:style>
  <w:style w:type="character" w:customStyle="1" w:styleId="264">
    <w:name w:val="px14"/>
    <w:qFormat/>
    <w:uiPriority w:val="0"/>
    <w:rPr>
      <w:rFonts w:ascii="仿宋_GB2312" w:eastAsia="微软雅黑" w:cs="Times New Roman"/>
      <w:b/>
      <w:kern w:val="2"/>
      <w:sz w:val="32"/>
      <w:szCs w:val="32"/>
      <w:lang w:val="en-US" w:eastAsia="zh-CN" w:bidi="ar-SA"/>
    </w:rPr>
  </w:style>
  <w:style w:type="character" w:customStyle="1" w:styleId="265">
    <w:name w:val="HTML 预设格式 Char1"/>
    <w:qFormat/>
    <w:uiPriority w:val="0"/>
    <w:rPr>
      <w:rFonts w:ascii="Courier New" w:hAnsi="Courier New" w:eastAsia="宋体" w:cs="Courier New"/>
      <w:sz w:val="20"/>
      <w:szCs w:val="20"/>
    </w:rPr>
  </w:style>
  <w:style w:type="character" w:customStyle="1" w:styleId="266">
    <w:name w:val="普通文字 Char1"/>
    <w:qFormat/>
    <w:uiPriority w:val="0"/>
    <w:rPr>
      <w:rFonts w:ascii="宋体" w:hAnsi="Courier New" w:eastAsia="宋体"/>
      <w:kern w:val="2"/>
      <w:sz w:val="21"/>
      <w:lang w:val="en-US" w:eastAsia="zh-CN"/>
    </w:rPr>
  </w:style>
  <w:style w:type="character" w:customStyle="1" w:styleId="267">
    <w:name w:val="hei16b1"/>
    <w:qFormat/>
    <w:uiPriority w:val="0"/>
    <w:rPr>
      <w:rFonts w:hint="default" w:ascii="Arial" w:hAnsi="Arial" w:cs="Arial"/>
      <w:b/>
      <w:bCs/>
      <w:color w:val="000000"/>
      <w:sz w:val="24"/>
      <w:szCs w:val="24"/>
    </w:rPr>
  </w:style>
  <w:style w:type="character" w:customStyle="1" w:styleId="268">
    <w:name w:val="正文（绿盟科技） Char"/>
    <w:link w:val="269"/>
    <w:qFormat/>
    <w:uiPriority w:val="0"/>
    <w:rPr>
      <w:rFonts w:ascii="Arial" w:hAnsi="Arial"/>
      <w:szCs w:val="21"/>
    </w:rPr>
  </w:style>
  <w:style w:type="paragraph" w:customStyle="1" w:styleId="269">
    <w:name w:val="正文（绿盟科技）"/>
    <w:link w:val="268"/>
    <w:qFormat/>
    <w:uiPriority w:val="0"/>
    <w:pPr>
      <w:spacing w:line="300" w:lineRule="auto"/>
    </w:pPr>
    <w:rPr>
      <w:rFonts w:ascii="Arial" w:hAnsi="Arial" w:eastAsiaTheme="minorEastAsia" w:cstheme="minorBidi"/>
      <w:kern w:val="2"/>
      <w:sz w:val="21"/>
      <w:szCs w:val="21"/>
      <w:lang w:val="en-US" w:eastAsia="zh-CN" w:bidi="ar-SA"/>
    </w:rPr>
  </w:style>
  <w:style w:type="character" w:customStyle="1" w:styleId="270">
    <w:name w:val="Char Char19"/>
    <w:qFormat/>
    <w:uiPriority w:val="6"/>
    <w:rPr>
      <w:rFonts w:ascii="宋体" w:hAnsi="宋体"/>
      <w:i/>
      <w:sz w:val="24"/>
      <w:szCs w:val="24"/>
    </w:rPr>
  </w:style>
  <w:style w:type="character" w:customStyle="1" w:styleId="271">
    <w:name w:val="批注主题 Char"/>
    <w:qFormat/>
    <w:uiPriority w:val="0"/>
    <w:rPr>
      <w:rFonts w:eastAsia="宋体"/>
      <w:b/>
      <w:bCs/>
      <w:kern w:val="2"/>
      <w:sz w:val="21"/>
      <w:szCs w:val="24"/>
      <w:lang w:val="en-US" w:eastAsia="zh-CN" w:bidi="ar-SA"/>
    </w:rPr>
  </w:style>
  <w:style w:type="character" w:customStyle="1" w:styleId="272">
    <w:name w:val="Comment Text Char"/>
    <w:qFormat/>
    <w:locked/>
    <w:uiPriority w:val="0"/>
    <w:rPr>
      <w:rFonts w:ascii="宋体" w:hAnsi="宋体" w:eastAsia="宋体"/>
      <w:kern w:val="2"/>
      <w:sz w:val="24"/>
      <w:lang w:val="en-US" w:eastAsia="zh-CN" w:bidi="ar-SA"/>
    </w:rPr>
  </w:style>
  <w:style w:type="character" w:customStyle="1" w:styleId="273">
    <w:name w:val="标题 2 字符"/>
    <w:qFormat/>
    <w:uiPriority w:val="1"/>
    <w:rPr>
      <w:rFonts w:ascii="仿宋_GB2312" w:hAnsi="Times New Roman" w:eastAsia="仿宋_GB2312" w:cs="Times New Roman"/>
      <w:b/>
      <w:kern w:val="2"/>
      <w:sz w:val="24"/>
      <w:lang w:val="zh-CN"/>
    </w:rPr>
  </w:style>
  <w:style w:type="character" w:customStyle="1" w:styleId="274">
    <w:name w:val="Char Char72"/>
    <w:qFormat/>
    <w:uiPriority w:val="0"/>
    <w:rPr>
      <w:rFonts w:eastAsia="宋体"/>
      <w:kern w:val="2"/>
      <w:sz w:val="21"/>
      <w:szCs w:val="24"/>
      <w:lang w:val="en-US" w:eastAsia="zh-CN" w:bidi="ar-SA"/>
    </w:rPr>
  </w:style>
  <w:style w:type="character" w:customStyle="1" w:styleId="275">
    <w:name w:val="正文文本缩进 Char2"/>
    <w:qFormat/>
    <w:uiPriority w:val="0"/>
    <w:rPr>
      <w:rFonts w:ascii="Times New Roman" w:hAnsi="Times New Roman" w:eastAsia="宋体" w:cs="Times New Roman"/>
      <w:snapToGrid w:val="0"/>
      <w:kern w:val="0"/>
      <w:szCs w:val="24"/>
    </w:rPr>
  </w:style>
  <w:style w:type="character" w:customStyle="1" w:styleId="276">
    <w:name w:val="样式2 Char"/>
    <w:qFormat/>
    <w:uiPriority w:val="0"/>
    <w:rPr>
      <w:rFonts w:ascii="仿宋_GB2312" w:hAnsi="仿宋" w:eastAsia="仿宋_GB2312" w:cs="仿宋_GB2312"/>
      <w:b/>
      <w:bCs/>
      <w:sz w:val="32"/>
      <w:szCs w:val="30"/>
      <w:lang w:val="zh-CN"/>
    </w:rPr>
  </w:style>
  <w:style w:type="character" w:customStyle="1" w:styleId="277">
    <w:name w:val="表格名称[858D7CFB-ED40-4347-BF05-701D383B685F]"/>
    <w:link w:val="278"/>
    <w:qFormat/>
    <w:uiPriority w:val="0"/>
    <w:rPr>
      <w:sz w:val="32"/>
    </w:rPr>
  </w:style>
  <w:style w:type="paragraph" w:customStyle="1" w:styleId="278">
    <w:name w:val="表格名称"/>
    <w:basedOn w:val="2"/>
    <w:link w:val="277"/>
    <w:qFormat/>
    <w:uiPriority w:val="0"/>
    <w:pPr>
      <w:tabs>
        <w:tab w:val="left" w:pos="432"/>
      </w:tabs>
      <w:adjustRightInd/>
      <w:snapToGrid w:val="0"/>
      <w:spacing w:before="240" w:after="240" w:line="240" w:lineRule="auto"/>
      <w:jc w:val="center"/>
    </w:pPr>
    <w:rPr>
      <w:rFonts w:asciiTheme="minorHAnsi" w:hAnsiTheme="minorHAnsi" w:eastAsiaTheme="minorEastAsia" w:cstheme="minorBidi"/>
      <w:b w:val="0"/>
      <w:bCs w:val="0"/>
      <w:szCs w:val="22"/>
    </w:rPr>
  </w:style>
  <w:style w:type="character" w:customStyle="1" w:styleId="279">
    <w:name w:val="Char Char4"/>
    <w:qFormat/>
    <w:uiPriority w:val="0"/>
    <w:rPr>
      <w:rFonts w:eastAsia="宋体"/>
      <w:b/>
      <w:sz w:val="24"/>
      <w:lang w:val="en-US" w:eastAsia="zh-CN" w:bidi="ar-SA"/>
    </w:rPr>
  </w:style>
  <w:style w:type="character" w:customStyle="1" w:styleId="280">
    <w:name w:val="c7 style3"/>
    <w:qFormat/>
    <w:uiPriority w:val="0"/>
  </w:style>
  <w:style w:type="character" w:customStyle="1" w:styleId="281">
    <w:name w:val="正文文本 3 Char1"/>
    <w:semiHidden/>
    <w:qFormat/>
    <w:uiPriority w:val="99"/>
    <w:rPr>
      <w:rFonts w:ascii="Times New Roman" w:hAnsi="Times New Roman" w:eastAsia="宋体" w:cs="Times New Roman"/>
      <w:sz w:val="16"/>
      <w:szCs w:val="16"/>
    </w:rPr>
  </w:style>
  <w:style w:type="character" w:customStyle="1" w:styleId="282">
    <w:name w:val="tw4winInternal"/>
    <w:qFormat/>
    <w:uiPriority w:val="0"/>
    <w:rPr>
      <w:rFonts w:ascii="Courier New" w:hAnsi="Courier New" w:cs="Courier New"/>
      <w:color w:val="FF0000"/>
      <w:lang w:val="en-US" w:eastAsia="zh-CN"/>
    </w:rPr>
  </w:style>
  <w:style w:type="character" w:customStyle="1" w:styleId="283">
    <w:name w:val="Char Char10"/>
    <w:semiHidden/>
    <w:qFormat/>
    <w:uiPriority w:val="0"/>
    <w:rPr>
      <w:rFonts w:ascii="宋体" w:hAnsi="宋体"/>
      <w:kern w:val="2"/>
      <w:sz w:val="21"/>
      <w:szCs w:val="24"/>
      <w:lang w:val="en-US" w:eastAsia="zh-CN"/>
    </w:rPr>
  </w:style>
  <w:style w:type="character" w:customStyle="1" w:styleId="284">
    <w:name w:val="shadow11"/>
    <w:qFormat/>
    <w:uiPriority w:val="0"/>
    <w:rPr>
      <w:color w:val="000000"/>
      <w:sz w:val="21"/>
    </w:rPr>
  </w:style>
  <w:style w:type="character" w:customStyle="1" w:styleId="285">
    <w:name w:val="正文非缩进 Char3"/>
    <w:qFormat/>
    <w:uiPriority w:val="0"/>
    <w:rPr>
      <w:rFonts w:ascii="宋体" w:eastAsia="宋体"/>
      <w:snapToGrid w:val="0"/>
      <w:color w:val="000000"/>
      <w:kern w:val="28"/>
      <w:sz w:val="28"/>
      <w:lang w:val="en-US" w:eastAsia="zh-CN" w:bidi="ar-SA"/>
    </w:rPr>
  </w:style>
  <w:style w:type="character" w:customStyle="1" w:styleId="286">
    <w:name w:val="Char Char"/>
    <w:qFormat/>
    <w:uiPriority w:val="0"/>
    <w:rPr>
      <w:rFonts w:ascii="宋体" w:hAnsi="Courier New" w:eastAsia="宋体"/>
      <w:kern w:val="2"/>
      <w:sz w:val="21"/>
      <w:lang w:val="en-US" w:eastAsia="zh-CN" w:bidi="ar-SA"/>
    </w:rPr>
  </w:style>
  <w:style w:type="character" w:customStyle="1" w:styleId="287">
    <w:name w:val="签名 Char1"/>
    <w:qFormat/>
    <w:uiPriority w:val="0"/>
    <w:rPr>
      <w:rFonts w:ascii="Times New Roman" w:hAnsi="Times New Roman" w:eastAsia="宋体" w:cs="Times New Roman"/>
      <w:szCs w:val="24"/>
    </w:rPr>
  </w:style>
  <w:style w:type="character" w:customStyle="1" w:styleId="288">
    <w:name w:val="日期 字符"/>
    <w:qFormat/>
    <w:uiPriority w:val="0"/>
    <w:rPr>
      <w:rFonts w:ascii="宋体"/>
      <w:kern w:val="2"/>
      <w:sz w:val="24"/>
      <w:szCs w:val="21"/>
      <w:lang w:val="zh-CN"/>
    </w:rPr>
  </w:style>
  <w:style w:type="character" w:customStyle="1" w:styleId="289">
    <w:name w:val="标题 9 Char1"/>
    <w:link w:val="10"/>
    <w:qFormat/>
    <w:uiPriority w:val="0"/>
    <w:rPr>
      <w:rFonts w:ascii="Arial" w:hAnsi="Arial" w:eastAsia="黑体" w:cs="Times New Roman"/>
      <w:szCs w:val="21"/>
    </w:rPr>
  </w:style>
  <w:style w:type="character" w:customStyle="1" w:styleId="290">
    <w:name w:val="Char Char18"/>
    <w:qFormat/>
    <w:uiPriority w:val="6"/>
    <w:rPr>
      <w:rFonts w:ascii="宋体" w:hAnsi="宋体"/>
      <w:sz w:val="28"/>
    </w:rPr>
  </w:style>
  <w:style w:type="character" w:customStyle="1" w:styleId="291">
    <w:name w:val="Char Char22"/>
    <w:qFormat/>
    <w:uiPriority w:val="6"/>
    <w:rPr>
      <w:rFonts w:ascii="宋体" w:hAnsi="宋体"/>
      <w:kern w:val="1"/>
      <w:sz w:val="24"/>
      <w:szCs w:val="24"/>
    </w:rPr>
  </w:style>
  <w:style w:type="character" w:customStyle="1" w:styleId="292">
    <w:name w:val="pt141"/>
    <w:qFormat/>
    <w:uiPriority w:val="0"/>
    <w:rPr>
      <w:color w:val="330066"/>
      <w:sz w:val="22"/>
      <w:szCs w:val="22"/>
    </w:rPr>
  </w:style>
  <w:style w:type="character" w:customStyle="1" w:styleId="293">
    <w:name w:val="正文文本缩进 2 Char1"/>
    <w:semiHidden/>
    <w:qFormat/>
    <w:uiPriority w:val="99"/>
    <w:rPr>
      <w:rFonts w:ascii="Times New Roman" w:hAnsi="Times New Roman" w:eastAsia="宋体" w:cs="Times New Roman"/>
      <w:szCs w:val="24"/>
    </w:rPr>
  </w:style>
  <w:style w:type="character" w:customStyle="1" w:styleId="294">
    <w:name w:val="批注框文本 字符1"/>
    <w:qFormat/>
    <w:uiPriority w:val="0"/>
    <w:rPr>
      <w:kern w:val="2"/>
      <w:sz w:val="18"/>
      <w:szCs w:val="18"/>
    </w:rPr>
  </w:style>
  <w:style w:type="character" w:customStyle="1" w:styleId="295">
    <w:name w:val="Char Char611"/>
    <w:qFormat/>
    <w:uiPriority w:val="0"/>
    <w:rPr>
      <w:rFonts w:eastAsia="宋体"/>
      <w:kern w:val="2"/>
      <w:sz w:val="21"/>
      <w:szCs w:val="24"/>
      <w:lang w:val="en-US" w:eastAsia="zh-CN" w:bidi="ar-SA"/>
    </w:rPr>
  </w:style>
  <w:style w:type="character" w:customStyle="1" w:styleId="296">
    <w:name w:val="highlight1"/>
    <w:qFormat/>
    <w:uiPriority w:val="0"/>
    <w:rPr>
      <w:rFonts w:ascii="仿宋_GB2312" w:eastAsia="微软雅黑"/>
      <w:b/>
      <w:kern w:val="2"/>
      <w:sz w:val="23"/>
      <w:szCs w:val="23"/>
      <w:lang w:val="en-US" w:eastAsia="zh-CN" w:bidi="ar-SA"/>
    </w:rPr>
  </w:style>
  <w:style w:type="character" w:customStyle="1" w:styleId="297">
    <w:name w:val="my正文 Char"/>
    <w:link w:val="298"/>
    <w:qFormat/>
    <w:locked/>
    <w:uiPriority w:val="0"/>
    <w:rPr>
      <w:rFonts w:ascii="Tahoma" w:hAnsi="Tahoma"/>
      <w:sz w:val="24"/>
      <w:szCs w:val="24"/>
    </w:rPr>
  </w:style>
  <w:style w:type="paragraph" w:customStyle="1" w:styleId="298">
    <w:name w:val="my正文"/>
    <w:basedOn w:val="1"/>
    <w:link w:val="297"/>
    <w:qFormat/>
    <w:uiPriority w:val="0"/>
    <w:pPr>
      <w:adjustRightInd/>
      <w:spacing w:line="360" w:lineRule="auto"/>
      <w:ind w:firstLine="480" w:firstLineChars="200"/>
    </w:pPr>
    <w:rPr>
      <w:rFonts w:ascii="Tahoma" w:hAnsi="Tahoma" w:eastAsiaTheme="minorEastAsia" w:cstheme="minorBidi"/>
      <w:sz w:val="24"/>
    </w:rPr>
  </w:style>
  <w:style w:type="character" w:customStyle="1" w:styleId="299">
    <w:name w:val="正文缩进 Char2"/>
    <w:link w:val="14"/>
    <w:qFormat/>
    <w:uiPriority w:val="0"/>
    <w:rPr>
      <w:rFonts w:ascii="宋体" w:eastAsia="宋体"/>
      <w:snapToGrid w:val="0"/>
      <w:color w:val="000000"/>
      <w:kern w:val="28"/>
      <w:sz w:val="28"/>
    </w:rPr>
  </w:style>
  <w:style w:type="character" w:customStyle="1" w:styleId="300">
    <w:name w:val="Used by Word for text of Help footnotes Char Char1"/>
    <w:qFormat/>
    <w:uiPriority w:val="0"/>
    <w:rPr>
      <w:color w:val="0000FF"/>
      <w:sz w:val="21"/>
    </w:rPr>
  </w:style>
  <w:style w:type="character" w:customStyle="1" w:styleId="301">
    <w:name w:val="FA正文 Char Char"/>
    <w:qFormat/>
    <w:uiPriority w:val="0"/>
    <w:rPr>
      <w:rFonts w:hAnsi="宋体"/>
      <w:kern w:val="2"/>
      <w:sz w:val="24"/>
      <w:lang w:bidi="ar-SA"/>
    </w:rPr>
  </w:style>
  <w:style w:type="character" w:customStyle="1" w:styleId="302">
    <w:name w:val="纯文本 字符"/>
    <w:qFormat/>
    <w:uiPriority w:val="0"/>
    <w:rPr>
      <w:rFonts w:ascii="宋体" w:hAnsi="Courier New" w:eastAsia="宋体" w:cs="Arial"/>
      <w:snapToGrid w:val="0"/>
      <w:kern w:val="2"/>
      <w:sz w:val="21"/>
      <w:szCs w:val="21"/>
      <w:lang w:val="en-US" w:eastAsia="zh-CN" w:bidi="ar-SA"/>
    </w:rPr>
  </w:style>
  <w:style w:type="character" w:customStyle="1" w:styleId="303">
    <w:name w:val="3级 Char"/>
    <w:link w:val="304"/>
    <w:qFormat/>
    <w:uiPriority w:val="0"/>
    <w:rPr>
      <w:rFonts w:ascii="宋体" w:hAnsi="宋体"/>
      <w:b/>
      <w:bCs/>
      <w:sz w:val="28"/>
    </w:rPr>
  </w:style>
  <w:style w:type="paragraph" w:customStyle="1" w:styleId="304">
    <w:name w:val="3级"/>
    <w:basedOn w:val="305"/>
    <w:link w:val="303"/>
    <w:qFormat/>
    <w:uiPriority w:val="0"/>
    <w:pPr>
      <w:ind w:left="0" w:right="466" w:firstLine="288"/>
    </w:pPr>
    <w:rPr>
      <w:rFonts w:hAnsi="宋体" w:eastAsiaTheme="minorEastAsia" w:cstheme="minorBidi"/>
      <w:snapToGrid/>
      <w:kern w:val="2"/>
      <w:szCs w:val="22"/>
    </w:rPr>
  </w:style>
  <w:style w:type="paragraph" w:customStyle="1" w:styleId="305">
    <w:name w:val="样式 标题 3h33rd level3BOD 0H3l3CTHeading 3 - oldLevel 3 He..."/>
    <w:basedOn w:val="4"/>
    <w:qFormat/>
    <w:uiPriority w:val="99"/>
    <w:pPr>
      <w:keepLines w:val="0"/>
      <w:widowControl/>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06">
    <w:name w:val="myp11"/>
    <w:qFormat/>
    <w:uiPriority w:val="0"/>
    <w:rPr>
      <w:rFonts w:ascii="仿宋_GB2312" w:eastAsia="微软雅黑"/>
      <w:b/>
      <w:kern w:val="2"/>
      <w:sz w:val="32"/>
      <w:szCs w:val="32"/>
      <w:lang w:val="en-US" w:eastAsia="zh-CN" w:bidi="ar-SA"/>
    </w:rPr>
  </w:style>
  <w:style w:type="character" w:customStyle="1" w:styleId="307">
    <w:name w:val="文档结构图 Char2"/>
    <w:link w:val="17"/>
    <w:qFormat/>
    <w:uiPriority w:val="0"/>
    <w:rPr>
      <w:szCs w:val="24"/>
      <w:shd w:val="clear" w:color="auto" w:fill="000080"/>
    </w:rPr>
  </w:style>
  <w:style w:type="character" w:customStyle="1" w:styleId="308">
    <w:name w:val="H6 Char"/>
    <w:qFormat/>
    <w:uiPriority w:val="0"/>
    <w:rPr>
      <w:rFonts w:ascii="Arial" w:hAnsi="Arial" w:eastAsia="黑体"/>
      <w:b/>
      <w:bCs/>
      <w:kern w:val="2"/>
      <w:sz w:val="24"/>
      <w:szCs w:val="24"/>
    </w:rPr>
  </w:style>
  <w:style w:type="character" w:customStyle="1" w:styleId="309">
    <w:name w:val="Char Char91"/>
    <w:qFormat/>
    <w:uiPriority w:val="0"/>
    <w:rPr>
      <w:rFonts w:eastAsia="宋体"/>
      <w:kern w:val="2"/>
      <w:sz w:val="18"/>
      <w:szCs w:val="18"/>
      <w:lang w:val="en-US" w:eastAsia="zh-CN" w:bidi="ar-SA"/>
    </w:rPr>
  </w:style>
  <w:style w:type="character" w:customStyle="1" w:styleId="310">
    <w:name w:val="副标题 Char1"/>
    <w:qFormat/>
    <w:uiPriority w:val="0"/>
    <w:rPr>
      <w:rFonts w:ascii="Cambria" w:hAnsi="Cambria" w:eastAsia="宋体" w:cs="Times New Roman"/>
      <w:b/>
      <w:bCs/>
      <w:snapToGrid w:val="0"/>
      <w:kern w:val="28"/>
      <w:sz w:val="32"/>
      <w:szCs w:val="32"/>
    </w:rPr>
  </w:style>
  <w:style w:type="character" w:customStyle="1" w:styleId="311">
    <w:name w:val="font61"/>
    <w:qFormat/>
    <w:uiPriority w:val="0"/>
    <w:rPr>
      <w:rFonts w:hint="eastAsia" w:ascii="仿宋" w:hAnsi="仿宋" w:eastAsia="仿宋" w:cs="仿宋"/>
      <w:color w:val="000000"/>
      <w:sz w:val="20"/>
      <w:szCs w:val="20"/>
      <w:u w:val="none"/>
    </w:rPr>
  </w:style>
  <w:style w:type="character" w:customStyle="1" w:styleId="3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313">
    <w:name w:val="Char Char211"/>
    <w:qFormat/>
    <w:uiPriority w:val="0"/>
    <w:rPr>
      <w:rFonts w:eastAsia="宋体"/>
      <w:b/>
      <w:bCs/>
      <w:kern w:val="2"/>
      <w:sz w:val="21"/>
      <w:szCs w:val="24"/>
      <w:lang w:val="en-US" w:eastAsia="zh-CN" w:bidi="ar-SA"/>
    </w:rPr>
  </w:style>
  <w:style w:type="character" w:customStyle="1" w:styleId="314">
    <w:name w:val="maywed421"/>
    <w:qFormat/>
    <w:uiPriority w:val="0"/>
    <w:rPr>
      <w:color w:val="366FB6"/>
      <w:u w:val="none"/>
    </w:rPr>
  </w:style>
  <w:style w:type="character" w:customStyle="1" w:styleId="315">
    <w:name w:val="Char Char102"/>
    <w:semiHidden/>
    <w:qFormat/>
    <w:uiPriority w:val="0"/>
    <w:rPr>
      <w:rFonts w:ascii="宋体" w:hAnsi="宋体"/>
      <w:kern w:val="2"/>
      <w:sz w:val="21"/>
      <w:szCs w:val="24"/>
      <w:lang w:val="en-US" w:eastAsia="zh-CN"/>
    </w:rPr>
  </w:style>
  <w:style w:type="character" w:customStyle="1" w:styleId="316">
    <w:name w:val="页眉 Char1"/>
    <w:qFormat/>
    <w:uiPriority w:val="0"/>
    <w:rPr>
      <w:rFonts w:eastAsia="宋体"/>
      <w:kern w:val="2"/>
      <w:sz w:val="18"/>
      <w:szCs w:val="18"/>
      <w:lang w:val="en-US" w:eastAsia="zh-CN" w:bidi="ar-SA"/>
    </w:rPr>
  </w:style>
  <w:style w:type="character" w:customStyle="1" w:styleId="317">
    <w:name w:val="md"/>
    <w:qFormat/>
    <w:uiPriority w:val="0"/>
    <w:rPr>
      <w:rFonts w:ascii="Arial" w:hAnsi="Arial" w:eastAsia="黑体" w:cs="Arial"/>
      <w:snapToGrid w:val="0"/>
      <w:kern w:val="0"/>
      <w:szCs w:val="21"/>
    </w:rPr>
  </w:style>
  <w:style w:type="character" w:customStyle="1" w:styleId="318">
    <w:name w:val="big1"/>
    <w:qFormat/>
    <w:uiPriority w:val="0"/>
    <w:rPr>
      <w:rFonts w:hint="eastAsia" w:ascii="宋体" w:hAnsi="宋体" w:eastAsia="宋体"/>
      <w:color w:val="333333"/>
      <w:sz w:val="22"/>
      <w:szCs w:val="22"/>
    </w:rPr>
  </w:style>
  <w:style w:type="character" w:customStyle="1" w:styleId="319">
    <w:name w:val="Char Char311"/>
    <w:qFormat/>
    <w:uiPriority w:val="0"/>
    <w:rPr>
      <w:rFonts w:eastAsia="宋体"/>
      <w:kern w:val="2"/>
      <w:sz w:val="21"/>
      <w:szCs w:val="24"/>
      <w:lang w:val="en-US" w:eastAsia="zh-CN" w:bidi="ar-SA"/>
    </w:rPr>
  </w:style>
  <w:style w:type="character" w:customStyle="1" w:styleId="320">
    <w:name w:val="Char Char81"/>
    <w:qFormat/>
    <w:uiPriority w:val="6"/>
    <w:rPr>
      <w:rFonts w:eastAsia="宋体"/>
      <w:b/>
      <w:sz w:val="24"/>
      <w:lang w:val="en-US" w:eastAsia="zh-CN"/>
    </w:rPr>
  </w:style>
  <w:style w:type="character" w:customStyle="1" w:styleId="321">
    <w:name w:val="样式3 Char"/>
    <w:qFormat/>
    <w:uiPriority w:val="0"/>
    <w:rPr>
      <w:rFonts w:ascii="仿宋_GB2312" w:hAnsi="仿宋" w:eastAsia="仿宋_GB2312" w:cs="仿宋_GB2312"/>
      <w:b/>
      <w:bCs/>
      <w:sz w:val="32"/>
      <w:szCs w:val="30"/>
      <w:lang w:val="zh-CN"/>
    </w:rPr>
  </w:style>
  <w:style w:type="character" w:customStyle="1" w:styleId="322">
    <w:name w:val="HTML 地址 Char2"/>
    <w:link w:val="30"/>
    <w:qFormat/>
    <w:uiPriority w:val="0"/>
    <w:rPr>
      <w:rFonts w:ascii="宋体" w:hAnsi="宋体"/>
      <w:i/>
      <w:iCs/>
      <w:sz w:val="24"/>
      <w:szCs w:val="24"/>
    </w:rPr>
  </w:style>
  <w:style w:type="character" w:customStyle="1" w:styleId="323">
    <w:name w:val="正文首行缩进 2 Char1"/>
    <w:qFormat/>
    <w:uiPriority w:val="0"/>
    <w:rPr>
      <w:rFonts w:ascii="Times New Roman" w:hAnsi="Times New Roman" w:eastAsia="宋体" w:cs="Times New Roman"/>
      <w:kern w:val="2"/>
      <w:sz w:val="24"/>
      <w:szCs w:val="24"/>
    </w:rPr>
  </w:style>
  <w:style w:type="character" w:customStyle="1" w:styleId="324">
    <w:name w:val="副标题 Char2"/>
    <w:qFormat/>
    <w:uiPriority w:val="0"/>
    <w:rPr>
      <w:rFonts w:ascii="Cambria" w:hAnsi="Cambria" w:eastAsia="宋体" w:cs="Times New Roman"/>
      <w:b/>
      <w:bCs/>
      <w:snapToGrid w:val="0"/>
      <w:kern w:val="28"/>
      <w:sz w:val="32"/>
      <w:szCs w:val="32"/>
    </w:rPr>
  </w:style>
  <w:style w:type="character" w:customStyle="1" w:styleId="325">
    <w:name w:val="标题4-dyf Char"/>
    <w:link w:val="326"/>
    <w:qFormat/>
    <w:uiPriority w:val="0"/>
    <w:rPr>
      <w:rFonts w:ascii="Cambria" w:hAnsi="Cambria"/>
      <w:b/>
      <w:bCs/>
      <w:color w:val="000000"/>
      <w:szCs w:val="21"/>
    </w:rPr>
  </w:style>
  <w:style w:type="paragraph" w:customStyle="1" w:styleId="326">
    <w:name w:val="标题4-dyf"/>
    <w:basedOn w:val="5"/>
    <w:link w:val="325"/>
    <w:qFormat/>
    <w:uiPriority w:val="0"/>
    <w:p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327">
    <w:name w:val="dectext1"/>
    <w:qFormat/>
    <w:uiPriority w:val="0"/>
    <w:rPr>
      <w:rFonts w:ascii="宋体" w:hAnsi="宋体" w:eastAsia="宋体"/>
      <w:color w:val="333333"/>
      <w:sz w:val="21"/>
      <w:szCs w:val="21"/>
      <w:u w:val="none"/>
    </w:rPr>
  </w:style>
  <w:style w:type="character" w:customStyle="1" w:styleId="328">
    <w:name w:val="冯 Char"/>
    <w:link w:val="329"/>
    <w:qFormat/>
    <w:uiPriority w:val="0"/>
    <w:rPr>
      <w:rFonts w:ascii="宋体" w:hAnsi="宋体"/>
      <w:color w:val="000000"/>
      <w:sz w:val="24"/>
      <w:szCs w:val="24"/>
    </w:rPr>
  </w:style>
  <w:style w:type="paragraph" w:customStyle="1" w:styleId="329">
    <w:name w:val="冯"/>
    <w:basedOn w:val="1"/>
    <w:link w:val="328"/>
    <w:qFormat/>
    <w:uiPriority w:val="0"/>
    <w:pPr>
      <w:widowControl/>
      <w:adjustRightInd/>
      <w:spacing w:line="360" w:lineRule="auto"/>
      <w:ind w:firstLine="480" w:firstLineChars="200"/>
    </w:pPr>
    <w:rPr>
      <w:rFonts w:ascii="宋体" w:hAnsi="宋体" w:eastAsiaTheme="minorEastAsia" w:cstheme="minorBidi"/>
      <w:color w:val="000000"/>
      <w:sz w:val="24"/>
    </w:rPr>
  </w:style>
  <w:style w:type="character" w:customStyle="1" w:styleId="330">
    <w:name w:val="Header Char"/>
    <w:qFormat/>
    <w:locked/>
    <w:uiPriority w:val="0"/>
    <w:rPr>
      <w:rFonts w:eastAsia="宋体"/>
      <w:kern w:val="2"/>
      <w:sz w:val="18"/>
      <w:szCs w:val="18"/>
      <w:lang w:val="en-US" w:eastAsia="zh-CN" w:bidi="ar-SA"/>
    </w:rPr>
  </w:style>
  <w:style w:type="character" w:customStyle="1" w:styleId="331">
    <w:name w:val="Char Char12"/>
    <w:qFormat/>
    <w:uiPriority w:val="0"/>
    <w:rPr>
      <w:rFonts w:ascii="仿宋_GB2312" w:eastAsia="仿宋_GB2312"/>
      <w:b/>
      <w:bCs/>
      <w:kern w:val="2"/>
      <w:sz w:val="24"/>
      <w:szCs w:val="24"/>
      <w:lang w:val="zh-CN" w:eastAsia="zh-CN" w:bidi="ar-SA"/>
    </w:rPr>
  </w:style>
  <w:style w:type="character" w:customStyle="1" w:styleId="332">
    <w:name w:val="题注 Char"/>
    <w:link w:val="15"/>
    <w:qFormat/>
    <w:uiPriority w:val="0"/>
    <w:rPr>
      <w:b/>
      <w:sz w:val="28"/>
    </w:rPr>
  </w:style>
  <w:style w:type="character" w:customStyle="1" w:styleId="333">
    <w:name w:val="普通文字 Char3"/>
    <w:qFormat/>
    <w:uiPriority w:val="0"/>
    <w:rPr>
      <w:rFonts w:ascii="宋体" w:hAnsi="Courier New" w:eastAsia="宋体"/>
      <w:kern w:val="2"/>
      <w:sz w:val="21"/>
      <w:lang w:val="en-US" w:eastAsia="zh-CN" w:bidi="ar-SA"/>
    </w:rPr>
  </w:style>
  <w:style w:type="character" w:customStyle="1" w:styleId="334">
    <w:name w:val="公文正文 Char"/>
    <w:qFormat/>
    <w:uiPriority w:val="0"/>
    <w:rPr>
      <w:rFonts w:ascii="仿宋_GB2312" w:eastAsia="仿宋_GB2312"/>
      <w:kern w:val="2"/>
      <w:sz w:val="24"/>
      <w:szCs w:val="24"/>
      <w:lang w:val="en-US" w:eastAsia="zh-CN" w:bidi="ar-SA"/>
    </w:rPr>
  </w:style>
  <w:style w:type="character" w:customStyle="1" w:styleId="335">
    <w:name w:val="正文首行缩进 Char Char Char Char Char"/>
    <w:qFormat/>
    <w:uiPriority w:val="0"/>
    <w:rPr>
      <w:rFonts w:ascii="宋体"/>
      <w:kern w:val="2"/>
      <w:sz w:val="24"/>
      <w:lang w:val="zh-CN"/>
    </w:rPr>
  </w:style>
  <w:style w:type="character" w:customStyle="1" w:styleId="336">
    <w:name w:val="PI Char"/>
    <w:qFormat/>
    <w:uiPriority w:val="0"/>
    <w:rPr>
      <w:rFonts w:ascii="宋体" w:hAnsi="宋体" w:eastAsia="宋体"/>
      <w:kern w:val="2"/>
      <w:sz w:val="24"/>
      <w:szCs w:val="24"/>
      <w:lang w:val="en-US" w:eastAsia="zh-CN" w:bidi="ar-SA"/>
    </w:rPr>
  </w:style>
  <w:style w:type="character" w:customStyle="1" w:styleId="337">
    <w:name w:val="Default Char"/>
    <w:link w:val="84"/>
    <w:qFormat/>
    <w:uiPriority w:val="0"/>
    <w:rPr>
      <w:rFonts w:ascii="Cambria" w:hAnsi="Times New Roman" w:eastAsia="宋体" w:cs="Cambria"/>
      <w:color w:val="000000"/>
      <w:kern w:val="0"/>
      <w:sz w:val="24"/>
      <w:szCs w:val="24"/>
    </w:rPr>
  </w:style>
  <w:style w:type="character" w:customStyle="1" w:styleId="338">
    <w:name w:val="style91"/>
    <w:qFormat/>
    <w:uiPriority w:val="0"/>
    <w:rPr>
      <w:color w:val="333333"/>
    </w:rPr>
  </w:style>
  <w:style w:type="character" w:customStyle="1" w:styleId="339">
    <w:name w:val="列出段落 Char2"/>
    <w:qFormat/>
    <w:uiPriority w:val="34"/>
    <w:rPr>
      <w:rFonts w:ascii="Calibri" w:hAnsi="Calibri"/>
      <w:kern w:val="2"/>
      <w:sz w:val="28"/>
    </w:rPr>
  </w:style>
  <w:style w:type="character" w:customStyle="1" w:styleId="340">
    <w:name w:val="mdeck"/>
    <w:qFormat/>
    <w:uiPriority w:val="0"/>
    <w:rPr>
      <w:rFonts w:ascii="仿宋_GB2312" w:eastAsia="微软雅黑"/>
      <w:b/>
      <w:kern w:val="2"/>
      <w:sz w:val="32"/>
      <w:szCs w:val="32"/>
      <w:lang w:val="en-US" w:eastAsia="zh-CN" w:bidi="ar-SA"/>
    </w:rPr>
  </w:style>
  <w:style w:type="character" w:customStyle="1" w:styleId="341">
    <w:name w:val="unnamed11"/>
    <w:qFormat/>
    <w:uiPriority w:val="0"/>
    <w:rPr>
      <w:sz w:val="20"/>
      <w:szCs w:val="20"/>
    </w:rPr>
  </w:style>
  <w:style w:type="character" w:customStyle="1" w:styleId="342">
    <w:name w:val="正文文本 Char2"/>
    <w:semiHidden/>
    <w:qFormat/>
    <w:uiPriority w:val="99"/>
    <w:rPr>
      <w:rFonts w:ascii="Times New Roman" w:hAnsi="Times New Roman" w:eastAsia="宋体" w:cs="Times New Roman"/>
      <w:snapToGrid w:val="0"/>
      <w:kern w:val="0"/>
      <w:szCs w:val="24"/>
    </w:rPr>
  </w:style>
  <w:style w:type="character" w:customStyle="1" w:styleId="343">
    <w:name w:val="标书正文格式 Char"/>
    <w:qFormat/>
    <w:uiPriority w:val="0"/>
    <w:rPr>
      <w:rFonts w:eastAsia="楷体_GB2312"/>
      <w:kern w:val="2"/>
      <w:sz w:val="24"/>
      <w:szCs w:val="24"/>
      <w:lang w:bidi="ar-SA"/>
    </w:rPr>
  </w:style>
  <w:style w:type="character" w:customStyle="1" w:styleId="344">
    <w:name w:val="Char Char11"/>
    <w:qFormat/>
    <w:locked/>
    <w:uiPriority w:val="0"/>
    <w:rPr>
      <w:rFonts w:ascii="宋体" w:hAnsi="宋体" w:eastAsia="宋体"/>
      <w:b/>
      <w:kern w:val="2"/>
      <w:sz w:val="24"/>
      <w:szCs w:val="24"/>
      <w:lang w:val="en-US" w:eastAsia="zh-CN" w:bidi="ar-SA"/>
    </w:rPr>
  </w:style>
  <w:style w:type="character" w:customStyle="1" w:styleId="345">
    <w:name w:val="ca-131"/>
    <w:qFormat/>
    <w:uiPriority w:val="0"/>
    <w:rPr>
      <w:rFonts w:hint="eastAsia" w:ascii="仿宋_GB2312" w:eastAsia="仿宋_GB2312"/>
      <w:b/>
      <w:bCs/>
      <w:color w:val="000000"/>
      <w:spacing w:val="-20"/>
      <w:sz w:val="24"/>
      <w:szCs w:val="24"/>
    </w:rPr>
  </w:style>
  <w:style w:type="character" w:customStyle="1" w:styleId="346">
    <w:name w:val="tw4winMark"/>
    <w:qFormat/>
    <w:uiPriority w:val="0"/>
    <w:rPr>
      <w:rFonts w:ascii="Courier New" w:hAnsi="Courier New" w:cs="Courier New"/>
      <w:vanish/>
      <w:color w:val="800080"/>
      <w:sz w:val="24"/>
      <w:szCs w:val="24"/>
      <w:vertAlign w:val="subscript"/>
    </w:rPr>
  </w:style>
  <w:style w:type="character" w:customStyle="1" w:styleId="347">
    <w:name w:val="正文样式 Char"/>
    <w:link w:val="348"/>
    <w:qFormat/>
    <w:uiPriority w:val="0"/>
    <w:rPr>
      <w:rFonts w:ascii="Calibri" w:hAnsi="Calibri"/>
      <w:sz w:val="24"/>
      <w:szCs w:val="24"/>
    </w:rPr>
  </w:style>
  <w:style w:type="paragraph" w:customStyle="1" w:styleId="348">
    <w:name w:val="正文样式"/>
    <w:basedOn w:val="1"/>
    <w:link w:val="347"/>
    <w:qFormat/>
    <w:uiPriority w:val="0"/>
    <w:pPr>
      <w:adjustRightInd/>
      <w:spacing w:line="360" w:lineRule="auto"/>
      <w:ind w:firstLine="480" w:firstLineChars="200"/>
    </w:pPr>
    <w:rPr>
      <w:rFonts w:ascii="Calibri" w:hAnsi="Calibri" w:eastAsiaTheme="minorEastAsia" w:cstheme="minorBidi"/>
      <w:sz w:val="24"/>
    </w:rPr>
  </w:style>
  <w:style w:type="character" w:customStyle="1" w:styleId="349">
    <w:name w:val="表正文 Char3"/>
    <w:qFormat/>
    <w:uiPriority w:val="0"/>
    <w:rPr>
      <w:rFonts w:eastAsia="宋体"/>
    </w:rPr>
  </w:style>
  <w:style w:type="character" w:customStyle="1" w:styleId="350">
    <w:name w:val="H5 Char"/>
    <w:qFormat/>
    <w:uiPriority w:val="0"/>
    <w:rPr>
      <w:b/>
      <w:bCs/>
      <w:kern w:val="2"/>
      <w:sz w:val="28"/>
      <w:szCs w:val="28"/>
    </w:rPr>
  </w:style>
  <w:style w:type="character" w:customStyle="1" w:styleId="351">
    <w:name w:val="Char Char3"/>
    <w:qFormat/>
    <w:uiPriority w:val="0"/>
    <w:rPr>
      <w:rFonts w:eastAsia="宋体"/>
      <w:kern w:val="2"/>
      <w:sz w:val="21"/>
      <w:szCs w:val="24"/>
      <w:lang w:val="en-US" w:eastAsia="zh-CN" w:bidi="ar-SA"/>
    </w:rPr>
  </w:style>
  <w:style w:type="character" w:customStyle="1" w:styleId="352">
    <w:name w:val="正文 编号 Char"/>
    <w:qFormat/>
    <w:uiPriority w:val="0"/>
    <w:rPr>
      <w:rFonts w:ascii="仿宋_GB2312" w:hAnsi="仿宋_GB2312" w:eastAsia="仿宋_GB2312"/>
      <w:kern w:val="2"/>
      <w:sz w:val="24"/>
      <w:lang w:bidi="ar-SA"/>
    </w:rPr>
  </w:style>
  <w:style w:type="character" w:customStyle="1" w:styleId="353">
    <w:name w:val="question-title2"/>
    <w:qFormat/>
    <w:uiPriority w:val="6"/>
    <w:rPr>
      <w:rFonts w:ascii="Arial" w:hAnsi="Arial" w:eastAsia="黑体" w:cs="Arial"/>
      <w:snapToGrid w:val="0"/>
      <w:kern w:val="0"/>
      <w:szCs w:val="21"/>
    </w:rPr>
  </w:style>
  <w:style w:type="character" w:customStyle="1" w:styleId="354">
    <w:name w:val="gf正文1 Char Char"/>
    <w:link w:val="355"/>
    <w:qFormat/>
    <w:uiPriority w:val="0"/>
    <w:rPr>
      <w:rFonts w:ascii="宋体" w:hAnsi="宋体" w:cs="宋体"/>
      <w:sz w:val="24"/>
      <w:szCs w:val="24"/>
    </w:rPr>
  </w:style>
  <w:style w:type="paragraph" w:customStyle="1" w:styleId="355">
    <w:name w:val="gf正文1"/>
    <w:basedOn w:val="1"/>
    <w:link w:val="354"/>
    <w:qFormat/>
    <w:uiPriority w:val="0"/>
    <w:pPr>
      <w:tabs>
        <w:tab w:val="left" w:pos="3240"/>
        <w:tab w:val="left" w:pos="3960"/>
      </w:tabs>
      <w:snapToGrid w:val="0"/>
      <w:spacing w:line="360" w:lineRule="auto"/>
      <w:ind w:firstLine="480" w:firstLineChars="200"/>
    </w:pPr>
    <w:rPr>
      <w:rFonts w:ascii="宋体" w:hAnsi="宋体" w:cs="宋体" w:eastAsiaTheme="minorEastAsia"/>
      <w:sz w:val="24"/>
    </w:rPr>
  </w:style>
  <w:style w:type="character" w:customStyle="1" w:styleId="356">
    <w:name w:val="Char Char15"/>
    <w:qFormat/>
    <w:uiPriority w:val="6"/>
    <w:rPr>
      <w:rFonts w:ascii="宋体" w:hAnsi="宋体"/>
      <w:kern w:val="1"/>
      <w:sz w:val="21"/>
    </w:rPr>
  </w:style>
  <w:style w:type="character" w:customStyle="1" w:styleId="357">
    <w:name w:val="正文缩进 Char3"/>
    <w:qFormat/>
    <w:uiPriority w:val="0"/>
    <w:rPr>
      <w:rFonts w:ascii="宋体" w:eastAsia="宋体"/>
      <w:snapToGrid w:val="0"/>
      <w:color w:val="000000"/>
      <w:kern w:val="28"/>
      <w:sz w:val="28"/>
      <w:lang w:val="en-US" w:eastAsia="zh-CN" w:bidi="ar-SA"/>
    </w:rPr>
  </w:style>
  <w:style w:type="character" w:customStyle="1" w:styleId="358">
    <w:name w:val="列出段落 Char1"/>
    <w:link w:val="359"/>
    <w:qFormat/>
    <w:uiPriority w:val="0"/>
    <w:rPr>
      <w:rFonts w:ascii="Calibri" w:hAnsi="Calibri"/>
      <w:sz w:val="24"/>
      <w:lang w:eastAsia="en-US"/>
    </w:rPr>
  </w:style>
  <w:style w:type="paragraph" w:customStyle="1" w:styleId="359">
    <w:name w:val="列表1"/>
    <w:basedOn w:val="1"/>
    <w:next w:val="360"/>
    <w:link w:val="358"/>
    <w:qFormat/>
    <w:uiPriority w:val="0"/>
    <w:pPr>
      <w:widowControl/>
      <w:adjustRightInd/>
      <w:spacing w:after="200" w:line="360" w:lineRule="auto"/>
      <w:ind w:left="720" w:firstLine="200" w:firstLineChars="200"/>
      <w:jc w:val="left"/>
    </w:pPr>
    <w:rPr>
      <w:rFonts w:ascii="Calibri" w:hAnsi="Calibri" w:eastAsiaTheme="minorEastAsia" w:cstheme="minorBidi"/>
      <w:sz w:val="24"/>
      <w:szCs w:val="22"/>
      <w:lang w:eastAsia="en-US"/>
    </w:rPr>
  </w:style>
  <w:style w:type="paragraph" w:customStyle="1" w:styleId="360">
    <w:name w:val="列出段落2"/>
    <w:basedOn w:val="1"/>
    <w:qFormat/>
    <w:uiPriority w:val="34"/>
    <w:pPr>
      <w:spacing w:line="360" w:lineRule="auto"/>
      <w:ind w:firstLine="200" w:firstLineChars="200"/>
    </w:pPr>
    <w:rPr>
      <w:rFonts w:eastAsia="楷体_GB2312" w:cs="Lucida Sans"/>
      <w:sz w:val="24"/>
    </w:rPr>
  </w:style>
  <w:style w:type="character" w:customStyle="1" w:styleId="361">
    <w:name w:val="Char Char8"/>
    <w:qFormat/>
    <w:uiPriority w:val="0"/>
    <w:rPr>
      <w:rFonts w:eastAsia="宋体"/>
      <w:b/>
      <w:sz w:val="24"/>
      <w:lang w:val="en-US" w:eastAsia="zh-CN"/>
    </w:rPr>
  </w:style>
  <w:style w:type="character" w:customStyle="1" w:styleId="362">
    <w:name w:val="Normal Indent Char Char"/>
    <w:qFormat/>
    <w:uiPriority w:val="0"/>
    <w:rPr>
      <w:rFonts w:eastAsia="宋体"/>
      <w:kern w:val="2"/>
      <w:sz w:val="21"/>
      <w:lang w:val="en-US" w:eastAsia="zh-CN" w:bidi="ar-SA"/>
    </w:rPr>
  </w:style>
  <w:style w:type="character" w:customStyle="1" w:styleId="363">
    <w:name w:val="列表段落 字符"/>
    <w:qFormat/>
    <w:uiPriority w:val="99"/>
  </w:style>
  <w:style w:type="character" w:customStyle="1" w:styleId="364">
    <w:name w:val="Ò³Ã¼ Char Char1"/>
    <w:qFormat/>
    <w:uiPriority w:val="0"/>
    <w:rPr>
      <w:rFonts w:eastAsia="宋体"/>
      <w:kern w:val="2"/>
      <w:sz w:val="18"/>
      <w:szCs w:val="18"/>
      <w:lang w:val="en-US" w:eastAsia="zh-CN" w:bidi="ar-SA"/>
    </w:rPr>
  </w:style>
  <w:style w:type="character" w:customStyle="1" w:styleId="365">
    <w:name w:val="方案正文 Char"/>
    <w:qFormat/>
    <w:uiPriority w:val="0"/>
    <w:rPr>
      <w:rFonts w:ascii="仿宋_GB2312" w:eastAsia="仿宋_GB2312"/>
      <w:b/>
      <w:color w:val="000000"/>
      <w:kern w:val="2"/>
      <w:sz w:val="24"/>
      <w:lang w:val="en-US" w:eastAsia="zh-CN" w:bidi="ar-SA"/>
    </w:rPr>
  </w:style>
  <w:style w:type="character" w:customStyle="1" w:styleId="366">
    <w:name w:val="Char Char30"/>
    <w:qFormat/>
    <w:uiPriority w:val="6"/>
    <w:rPr>
      <w:rFonts w:ascii="Arial" w:hAnsi="Arial" w:eastAsia="黑体"/>
      <w:kern w:val="1"/>
      <w:sz w:val="21"/>
      <w:szCs w:val="21"/>
    </w:rPr>
  </w:style>
  <w:style w:type="character" w:customStyle="1" w:styleId="367">
    <w:name w:val="正文文本缩进 字符1"/>
    <w:qFormat/>
    <w:uiPriority w:val="0"/>
    <w:rPr>
      <w:rFonts w:ascii="宋体" w:hAnsi="宋体"/>
      <w:kern w:val="2"/>
      <w:sz w:val="24"/>
      <w:szCs w:val="24"/>
    </w:rPr>
  </w:style>
  <w:style w:type="character" w:customStyle="1" w:styleId="368">
    <w:name w:val="font01"/>
    <w:qFormat/>
    <w:uiPriority w:val="0"/>
    <w:rPr>
      <w:rFonts w:hint="eastAsia" w:ascii="微软雅黑" w:hAnsi="微软雅黑" w:eastAsia="微软雅黑" w:cs="微软雅黑"/>
      <w:color w:val="000000"/>
      <w:sz w:val="20"/>
      <w:szCs w:val="20"/>
      <w:u w:val="none"/>
    </w:rPr>
  </w:style>
  <w:style w:type="character" w:customStyle="1" w:styleId="369">
    <w:name w:val="Char Char20"/>
    <w:qFormat/>
    <w:uiPriority w:val="6"/>
    <w:rPr>
      <w:kern w:val="1"/>
      <w:sz w:val="24"/>
    </w:rPr>
  </w:style>
  <w:style w:type="character" w:customStyle="1" w:styleId="370">
    <w:name w:val="tw4winExternal"/>
    <w:qFormat/>
    <w:uiPriority w:val="0"/>
    <w:rPr>
      <w:rFonts w:ascii="Courier New" w:hAnsi="Courier New" w:cs="Courier New"/>
      <w:color w:val="808080"/>
      <w:lang w:val="en-US" w:eastAsia="zh-CN"/>
    </w:rPr>
  </w:style>
  <w:style w:type="character" w:customStyle="1" w:styleId="371">
    <w:name w:val="标题 4 Char1"/>
    <w:qFormat/>
    <w:uiPriority w:val="9"/>
    <w:rPr>
      <w:rFonts w:ascii="Cambria" w:hAnsi="Cambria" w:eastAsia="宋体" w:cs="Times New Roman"/>
      <w:b/>
      <w:bCs/>
      <w:kern w:val="2"/>
      <w:sz w:val="28"/>
      <w:szCs w:val="28"/>
    </w:rPr>
  </w:style>
  <w:style w:type="character" w:customStyle="1" w:styleId="372">
    <w:name w:val="批注文字 Char2"/>
    <w:qFormat/>
    <w:uiPriority w:val="99"/>
    <w:rPr>
      <w:rFonts w:ascii="Times New Roman" w:hAnsi="Times New Roman" w:eastAsia="宋体" w:cs="Times New Roman"/>
      <w:snapToGrid w:val="0"/>
      <w:kern w:val="0"/>
      <w:szCs w:val="24"/>
    </w:rPr>
  </w:style>
  <w:style w:type="character" w:customStyle="1" w:styleId="373">
    <w:name w:val="正文文本 2 Char"/>
    <w:qFormat/>
    <w:uiPriority w:val="0"/>
    <w:rPr>
      <w:rFonts w:eastAsia="宋体"/>
      <w:kern w:val="2"/>
      <w:sz w:val="21"/>
      <w:szCs w:val="24"/>
      <w:lang w:val="en-US" w:eastAsia="zh-CN" w:bidi="ar-SA"/>
    </w:rPr>
  </w:style>
  <w:style w:type="character" w:customStyle="1" w:styleId="374">
    <w:name w:val="Ò³Ã¼ Char Char"/>
    <w:qFormat/>
    <w:uiPriority w:val="0"/>
    <w:rPr>
      <w:rFonts w:eastAsia="宋体"/>
      <w:kern w:val="2"/>
      <w:sz w:val="18"/>
      <w:lang w:val="en-US" w:eastAsia="zh-CN" w:bidi="ar-SA"/>
    </w:rPr>
  </w:style>
  <w:style w:type="character" w:customStyle="1" w:styleId="375">
    <w:name w:val="message1"/>
    <w:qFormat/>
    <w:uiPriority w:val="0"/>
    <w:rPr>
      <w:rFonts w:hint="default" w:ascii="Tahoma" w:hAnsi="Tahoma" w:cs="Tahoma"/>
      <w:sz w:val="18"/>
      <w:szCs w:val="18"/>
    </w:rPr>
  </w:style>
  <w:style w:type="character" w:customStyle="1" w:styleId="376">
    <w:name w:val="Char Char23"/>
    <w:qFormat/>
    <w:uiPriority w:val="6"/>
    <w:rPr>
      <w:color w:val="0000FF"/>
      <w:sz w:val="21"/>
    </w:rPr>
  </w:style>
  <w:style w:type="character" w:customStyle="1" w:styleId="377">
    <w:name w:val="批注框文本 字符"/>
    <w:qFormat/>
    <w:uiPriority w:val="0"/>
    <w:rPr>
      <w:rFonts w:ascii="Arial" w:hAnsi="Arial" w:eastAsia="黑体" w:cs="Arial"/>
      <w:snapToGrid w:val="0"/>
      <w:kern w:val="0"/>
      <w:sz w:val="18"/>
      <w:szCs w:val="18"/>
    </w:rPr>
  </w:style>
  <w:style w:type="character" w:customStyle="1" w:styleId="378">
    <w:name w:val="纯文本 Char2"/>
    <w:semiHidden/>
    <w:qFormat/>
    <w:uiPriority w:val="99"/>
    <w:rPr>
      <w:rFonts w:ascii="宋体" w:hAnsi="Courier New" w:eastAsia="宋体" w:cs="Courier New"/>
    </w:rPr>
  </w:style>
  <w:style w:type="character" w:customStyle="1" w:styleId="379">
    <w:name w:val="Char Char25"/>
    <w:qFormat/>
    <w:uiPriority w:val="6"/>
    <w:rPr>
      <w:rFonts w:ascii="宋体" w:hAnsi="宋体"/>
      <w:kern w:val="1"/>
      <w:sz w:val="24"/>
      <w:lang w:val="zh-CN"/>
    </w:rPr>
  </w:style>
  <w:style w:type="character" w:customStyle="1" w:styleId="380">
    <w:name w:val="Char Char411"/>
    <w:qFormat/>
    <w:uiPriority w:val="0"/>
    <w:rPr>
      <w:rFonts w:eastAsia="宋体"/>
      <w:b/>
      <w:sz w:val="24"/>
      <w:lang w:val="en-US" w:eastAsia="zh-CN" w:bidi="ar-SA"/>
    </w:rPr>
  </w:style>
  <w:style w:type="character" w:customStyle="1" w:styleId="381">
    <w:name w:val="Heading 7 Char"/>
    <w:qFormat/>
    <w:locked/>
    <w:uiPriority w:val="0"/>
    <w:rPr>
      <w:rFonts w:ascii="宋体" w:hAnsi="宋体" w:eastAsia="宋体"/>
      <w:b/>
      <w:bCs/>
      <w:kern w:val="2"/>
      <w:sz w:val="24"/>
      <w:szCs w:val="24"/>
      <w:lang w:val="en-US" w:eastAsia="zh-CN" w:bidi="ar-SA"/>
    </w:rPr>
  </w:style>
  <w:style w:type="character" w:customStyle="1" w:styleId="382">
    <w:name w:val="此正文 Char"/>
    <w:link w:val="383"/>
    <w:qFormat/>
    <w:uiPriority w:val="0"/>
    <w:rPr>
      <w:sz w:val="24"/>
      <w:szCs w:val="24"/>
    </w:rPr>
  </w:style>
  <w:style w:type="paragraph" w:customStyle="1" w:styleId="383">
    <w:name w:val="此正文"/>
    <w:basedOn w:val="1"/>
    <w:link w:val="382"/>
    <w:qFormat/>
    <w:uiPriority w:val="0"/>
    <w:pPr>
      <w:adjustRightInd/>
      <w:spacing w:line="360" w:lineRule="auto"/>
      <w:ind w:firstLine="200" w:firstLineChars="200"/>
    </w:pPr>
    <w:rPr>
      <w:rFonts w:asciiTheme="minorHAnsi" w:hAnsiTheme="minorHAnsi" w:eastAsiaTheme="minorEastAsia" w:cstheme="minorBidi"/>
      <w:sz w:val="24"/>
    </w:rPr>
  </w:style>
  <w:style w:type="character" w:customStyle="1" w:styleId="384">
    <w:name w:val="Char Char2"/>
    <w:qFormat/>
    <w:uiPriority w:val="0"/>
    <w:rPr>
      <w:rFonts w:eastAsia="宋体"/>
      <w:b/>
      <w:bCs/>
      <w:kern w:val="2"/>
      <w:sz w:val="21"/>
      <w:szCs w:val="24"/>
      <w:lang w:val="en-US" w:eastAsia="zh-CN" w:bidi="ar-SA"/>
    </w:rPr>
  </w:style>
  <w:style w:type="character" w:customStyle="1" w:styleId="385">
    <w:name w:val="标题 1 字符1"/>
    <w:qFormat/>
    <w:uiPriority w:val="9"/>
    <w:rPr>
      <w:b/>
      <w:bCs/>
      <w:kern w:val="44"/>
      <w:sz w:val="44"/>
      <w:szCs w:val="44"/>
    </w:rPr>
  </w:style>
  <w:style w:type="character" w:customStyle="1" w:styleId="386">
    <w:name w:val="Footer-Even Char1"/>
    <w:qFormat/>
    <w:uiPriority w:val="0"/>
    <w:rPr>
      <w:rFonts w:eastAsia="宋体"/>
      <w:kern w:val="2"/>
      <w:sz w:val="18"/>
      <w:szCs w:val="18"/>
      <w:lang w:val="en-US" w:eastAsia="zh-CN" w:bidi="ar-SA"/>
    </w:rPr>
  </w:style>
  <w:style w:type="character" w:customStyle="1" w:styleId="387">
    <w:name w:val="Char Char29"/>
    <w:qFormat/>
    <w:uiPriority w:val="6"/>
    <w:rPr>
      <w:rFonts w:ascii="Arial" w:hAnsi="Arial" w:eastAsia="微软雅黑"/>
      <w:b/>
      <w:kern w:val="1"/>
      <w:sz w:val="44"/>
      <w:szCs w:val="32"/>
      <w:lang w:val="en-US" w:eastAsia="zh-CN" w:bidi="ar-SA"/>
    </w:rPr>
  </w:style>
  <w:style w:type="character" w:customStyle="1" w:styleId="388">
    <w:name w:val="标题 Char3"/>
    <w:link w:val="54"/>
    <w:qFormat/>
    <w:uiPriority w:val="10"/>
    <w:rPr>
      <w:b/>
      <w:sz w:val="24"/>
      <w:lang w:val="en-US"/>
    </w:rPr>
  </w:style>
  <w:style w:type="character" w:customStyle="1" w:styleId="389">
    <w:name w:val="font81"/>
    <w:qFormat/>
    <w:uiPriority w:val="0"/>
    <w:rPr>
      <w:rFonts w:ascii="微软雅黑" w:hAnsi="微软雅黑" w:eastAsia="微软雅黑" w:cs="微软雅黑"/>
      <w:color w:val="000000"/>
      <w:sz w:val="20"/>
      <w:szCs w:val="20"/>
      <w:u w:val="none"/>
    </w:rPr>
  </w:style>
  <w:style w:type="character" w:customStyle="1" w:styleId="390">
    <w:name w:val="Char Char312"/>
    <w:qFormat/>
    <w:uiPriority w:val="0"/>
    <w:rPr>
      <w:rFonts w:ascii="Times New Roman" w:hAnsi="Times New Roman" w:eastAsia="宋体" w:cs="Times New Roman"/>
      <w:b/>
      <w:kern w:val="2"/>
      <w:sz w:val="32"/>
      <w:szCs w:val="24"/>
      <w:lang w:val="en-US" w:eastAsia="zh-CN" w:bidi="ar-SA"/>
    </w:rPr>
  </w:style>
  <w:style w:type="character" w:customStyle="1" w:styleId="391">
    <w:name w:val="t21"/>
    <w:qFormat/>
    <w:uiPriority w:val="0"/>
    <w:rPr>
      <w:rFonts w:ascii="仿宋_GB2312" w:eastAsia="微软雅黑"/>
      <w:b/>
      <w:kern w:val="2"/>
      <w:sz w:val="23"/>
      <w:szCs w:val="23"/>
      <w:lang w:val="en-US" w:eastAsia="zh-CN" w:bidi="ar-SA"/>
    </w:rPr>
  </w:style>
  <w:style w:type="character" w:customStyle="1" w:styleId="392">
    <w:name w:val="表格 Char Char"/>
    <w:qFormat/>
    <w:uiPriority w:val="0"/>
    <w:rPr>
      <w:rFonts w:ascii="宋体" w:hAnsi="宋体" w:eastAsia="宋体"/>
      <w:lang w:bidi="ar-SA"/>
    </w:rPr>
  </w:style>
  <w:style w:type="character" w:customStyle="1" w:styleId="393">
    <w:name w:val="标题 6 Char1"/>
    <w:qFormat/>
    <w:uiPriority w:val="0"/>
    <w:rPr>
      <w:rFonts w:ascii="Arial" w:hAnsi="Arial" w:eastAsia="黑体" w:cs="Times New Roman"/>
      <w:b/>
      <w:sz w:val="24"/>
      <w:szCs w:val="20"/>
      <w:lang w:bidi="ar-SA"/>
    </w:rPr>
  </w:style>
  <w:style w:type="character" w:customStyle="1" w:styleId="394">
    <w:name w:val="正文首行缩进 Char Char Char Char Char Char1"/>
    <w:qFormat/>
    <w:uiPriority w:val="0"/>
    <w:rPr>
      <w:rFonts w:ascii="宋体" w:eastAsia="宋体"/>
      <w:kern w:val="2"/>
      <w:sz w:val="24"/>
      <w:szCs w:val="24"/>
      <w:lang w:val="zh-CN" w:bidi="ar-SA"/>
    </w:rPr>
  </w:style>
  <w:style w:type="character" w:customStyle="1" w:styleId="395">
    <w:name w:val="称呼 Char2"/>
    <w:link w:val="19"/>
    <w:qFormat/>
    <w:uiPriority w:val="0"/>
    <w:rPr>
      <w:rFonts w:ascii="仿宋_GB2312" w:eastAsia="仿宋_GB2312"/>
      <w:sz w:val="28"/>
    </w:rPr>
  </w:style>
  <w:style w:type="character" w:customStyle="1" w:styleId="396">
    <w:name w:val="文本正文 Char Char"/>
    <w:qFormat/>
    <w:locked/>
    <w:uiPriority w:val="0"/>
    <w:rPr>
      <w:sz w:val="24"/>
      <w:lang w:bidi="ar-SA"/>
    </w:rPr>
  </w:style>
  <w:style w:type="character" w:customStyle="1" w:styleId="397">
    <w:name w:val="正文文本 2 Char2"/>
    <w:link w:val="51"/>
    <w:qFormat/>
    <w:uiPriority w:val="0"/>
    <w:rPr>
      <w:szCs w:val="24"/>
    </w:rPr>
  </w:style>
  <w:style w:type="character" w:customStyle="1" w:styleId="398">
    <w:name w:val="样式 样式 标题 4h4H4Fab-4T5Ref Heading 1rh1Heading sqlsect 1.2.3.... +... Char"/>
    <w:link w:val="399"/>
    <w:qFormat/>
    <w:uiPriority w:val="0"/>
    <w:rPr>
      <w:rFonts w:ascii="微软雅黑" w:hAnsi="微软雅黑" w:eastAsia="微软雅黑"/>
      <w:b/>
      <w:bCs/>
      <w:sz w:val="24"/>
      <w:szCs w:val="28"/>
    </w:rPr>
  </w:style>
  <w:style w:type="paragraph" w:customStyle="1" w:styleId="399">
    <w:name w:val="样式 样式 标题 4h4H4Fab-4T5Ref Heading 1rh1Heading sqlsect 1.2.3.... +..."/>
    <w:basedOn w:val="400"/>
    <w:link w:val="398"/>
    <w:qFormat/>
    <w:uiPriority w:val="0"/>
    <w:pPr>
      <w:tabs>
        <w:tab w:val="left" w:pos="2356"/>
      </w:tabs>
    </w:pPr>
  </w:style>
  <w:style w:type="paragraph" w:customStyle="1" w:styleId="400">
    <w:name w:val="样式 标题 4h4H4Fab-4T5Ref Heading 1rh1Heading sqlsect 1.2.3...."/>
    <w:basedOn w:val="5"/>
    <w:link w:val="446"/>
    <w:qFormat/>
    <w:uiPriority w:val="0"/>
    <w:pPr>
      <w:tabs>
        <w:tab w:val="left" w:pos="2356"/>
        <w:tab w:val="clear" w:pos="864"/>
      </w:tabs>
      <w:adjustRightInd/>
      <w:spacing w:line="360" w:lineRule="auto"/>
      <w:ind w:left="1984" w:leftChars="75" w:hanging="708" w:firstLineChars="200"/>
    </w:pPr>
    <w:rPr>
      <w:rFonts w:ascii="微软雅黑" w:hAnsi="微软雅黑" w:eastAsia="微软雅黑" w:cstheme="minorBidi"/>
      <w:sz w:val="24"/>
      <w:lang w:val="en-US"/>
    </w:rPr>
  </w:style>
  <w:style w:type="character" w:customStyle="1" w:styleId="401">
    <w:name w:val="正文文本缩进 2 Char2"/>
    <w:link w:val="35"/>
    <w:qFormat/>
    <w:uiPriority w:val="0"/>
    <w:rPr>
      <w:rFonts w:ascii="宋体"/>
      <w:sz w:val="28"/>
    </w:rPr>
  </w:style>
  <w:style w:type="character" w:customStyle="1" w:styleId="402">
    <w:name w:val="脚注文本 Char2"/>
    <w:link w:val="47"/>
    <w:qFormat/>
    <w:uiPriority w:val="0"/>
    <w:rPr>
      <w:color w:val="0000FF"/>
    </w:rPr>
  </w:style>
  <w:style w:type="character" w:customStyle="1" w:styleId="403">
    <w:name w:val="称呼 Char1"/>
    <w:qFormat/>
    <w:uiPriority w:val="0"/>
    <w:rPr>
      <w:rFonts w:ascii="Times New Roman" w:hAnsi="Times New Roman" w:eastAsia="宋体" w:cs="Times New Roman"/>
      <w:szCs w:val="24"/>
    </w:rPr>
  </w:style>
  <w:style w:type="character" w:customStyle="1" w:styleId="404">
    <w:name w:val="正文1 Char"/>
    <w:qFormat/>
    <w:uiPriority w:val="0"/>
    <w:rPr>
      <w:rFonts w:ascii="宋体" w:eastAsia="宋体"/>
      <w:snapToGrid w:val="0"/>
      <w:color w:val="000000"/>
      <w:kern w:val="28"/>
      <w:sz w:val="28"/>
      <w:lang w:val="en-US" w:eastAsia="zh-CN" w:bidi="ar-SA"/>
    </w:rPr>
  </w:style>
  <w:style w:type="character" w:customStyle="1" w:styleId="405">
    <w:name w:val="正文缩进 Char1"/>
    <w:qFormat/>
    <w:uiPriority w:val="0"/>
    <w:rPr>
      <w:rFonts w:ascii="宋体" w:eastAsia="宋体"/>
      <w:snapToGrid w:val="0"/>
      <w:color w:val="000000"/>
      <w:kern w:val="28"/>
      <w:sz w:val="28"/>
      <w:lang w:val="en-US" w:eastAsia="zh-CN" w:bidi="ar-SA"/>
    </w:rPr>
  </w:style>
  <w:style w:type="character" w:customStyle="1" w:styleId="406">
    <w:name w:val="批注框文本 Char1"/>
    <w:qFormat/>
    <w:uiPriority w:val="0"/>
    <w:rPr>
      <w:rFonts w:ascii="Times New Roman" w:hAnsi="Times New Roman" w:eastAsia="宋体" w:cs="Times New Roman"/>
      <w:sz w:val="18"/>
      <w:szCs w:val="18"/>
    </w:rPr>
  </w:style>
  <w:style w:type="character" w:customStyle="1" w:styleId="407">
    <w:name w:val="Char Char31"/>
    <w:qFormat/>
    <w:uiPriority w:val="6"/>
    <w:rPr>
      <w:rFonts w:ascii="Arial" w:hAnsi="Arial" w:eastAsia="黑体"/>
      <w:kern w:val="1"/>
      <w:sz w:val="24"/>
      <w:szCs w:val="24"/>
    </w:rPr>
  </w:style>
  <w:style w:type="character" w:customStyle="1" w:styleId="408">
    <w:name w:val="h Char1"/>
    <w:qFormat/>
    <w:uiPriority w:val="0"/>
    <w:rPr>
      <w:sz w:val="18"/>
      <w:szCs w:val="18"/>
    </w:rPr>
  </w:style>
  <w:style w:type="character" w:customStyle="1" w:styleId="409">
    <w:name w:val="标题 4 Char2"/>
    <w:link w:val="5"/>
    <w:qFormat/>
    <w:uiPriority w:val="9"/>
    <w:rPr>
      <w:rFonts w:ascii="Arial" w:hAnsi="Arial" w:eastAsia="黑体" w:cs="Times New Roman"/>
      <w:b/>
      <w:bCs/>
      <w:sz w:val="28"/>
      <w:szCs w:val="28"/>
      <w:lang w:val="zh-CN"/>
    </w:rPr>
  </w:style>
  <w:style w:type="character" w:customStyle="1" w:styleId="410">
    <w:name w:val="正文文本 3 Char2"/>
    <w:link w:val="20"/>
    <w:qFormat/>
    <w:uiPriority w:val="0"/>
  </w:style>
  <w:style w:type="character" w:customStyle="1" w:styleId="411">
    <w:name w:val="font31"/>
    <w:qFormat/>
    <w:uiPriority w:val="0"/>
    <w:rPr>
      <w:rFonts w:hint="eastAsia" w:ascii="仿宋" w:hAnsi="仿宋" w:eastAsia="仿宋" w:cs="仿宋"/>
      <w:color w:val="000000"/>
      <w:sz w:val="20"/>
      <w:szCs w:val="20"/>
      <w:u w:val="none"/>
    </w:rPr>
  </w:style>
  <w:style w:type="character" w:customStyle="1" w:styleId="412">
    <w:name w:val="脚注文本 Char1"/>
    <w:qFormat/>
    <w:uiPriority w:val="0"/>
    <w:rPr>
      <w:rFonts w:ascii="Times New Roman" w:hAnsi="Times New Roman" w:eastAsia="宋体" w:cs="Times New Roman"/>
      <w:sz w:val="18"/>
      <w:szCs w:val="18"/>
    </w:rPr>
  </w:style>
  <w:style w:type="character" w:customStyle="1" w:styleId="413">
    <w:name w:val="Char Char35"/>
    <w:qFormat/>
    <w:uiPriority w:val="6"/>
    <w:rPr>
      <w:rFonts w:ascii="Arial" w:hAnsi="Arial" w:eastAsia="黑体"/>
      <w:b/>
      <w:kern w:val="1"/>
      <w:sz w:val="28"/>
      <w:szCs w:val="28"/>
      <w:lang w:val="zh-CN"/>
    </w:rPr>
  </w:style>
  <w:style w:type="character" w:customStyle="1" w:styleId="414">
    <w:name w:val="纯文本 Char Char Char"/>
    <w:qFormat/>
    <w:uiPriority w:val="0"/>
    <w:rPr>
      <w:rFonts w:ascii="宋体" w:hAnsi="Courier New" w:eastAsia="宋体"/>
      <w:kern w:val="2"/>
      <w:sz w:val="21"/>
      <w:lang w:val="en-US" w:eastAsia="zh-CN" w:bidi="ar-SA"/>
    </w:rPr>
  </w:style>
  <w:style w:type="character" w:customStyle="1" w:styleId="415">
    <w:name w:val="正文1 Char1"/>
    <w:qFormat/>
    <w:uiPriority w:val="0"/>
    <w:rPr>
      <w:rFonts w:ascii="仿宋_GB2312" w:hAnsi="Courier New" w:eastAsia="仿宋_GB2312"/>
      <w:kern w:val="28"/>
      <w:sz w:val="24"/>
      <w:szCs w:val="24"/>
      <w:lang w:val="en-US" w:eastAsia="zh-CN"/>
    </w:rPr>
  </w:style>
  <w:style w:type="character" w:customStyle="1" w:styleId="416">
    <w:name w:val="页脚 Char1"/>
    <w:qFormat/>
    <w:uiPriority w:val="0"/>
    <w:rPr>
      <w:rFonts w:eastAsia="宋体"/>
      <w:kern w:val="2"/>
      <w:sz w:val="18"/>
      <w:szCs w:val="18"/>
      <w:lang w:val="en-US" w:eastAsia="zh-CN" w:bidi="ar-SA"/>
    </w:rPr>
  </w:style>
  <w:style w:type="character" w:customStyle="1" w:styleId="417">
    <w:name w:val="hui3"/>
    <w:qFormat/>
    <w:uiPriority w:val="0"/>
    <w:rPr>
      <w:color w:val="333333"/>
    </w:rPr>
  </w:style>
  <w:style w:type="character" w:customStyle="1" w:styleId="418">
    <w:name w:val="Char Char17"/>
    <w:qFormat/>
    <w:uiPriority w:val="6"/>
    <w:rPr>
      <w:rFonts w:eastAsia="仿宋_GB2312"/>
      <w:sz w:val="24"/>
    </w:rPr>
  </w:style>
  <w:style w:type="character" w:customStyle="1" w:styleId="419">
    <w:name w:val="标题 4 字符"/>
    <w:qFormat/>
    <w:uiPriority w:val="9"/>
    <w:rPr>
      <w:rFonts w:ascii="等线 Light" w:hAnsi="等线 Light" w:eastAsia="等线 Light" w:cs="Times New Roman"/>
      <w:b/>
      <w:bCs/>
      <w:snapToGrid w:val="0"/>
      <w:kern w:val="0"/>
      <w:sz w:val="28"/>
      <w:szCs w:val="28"/>
    </w:rPr>
  </w:style>
  <w:style w:type="character" w:customStyle="1" w:styleId="420">
    <w:name w:val="公文正文 Char Char"/>
    <w:link w:val="421"/>
    <w:qFormat/>
    <w:uiPriority w:val="0"/>
    <w:rPr>
      <w:rFonts w:ascii="仿宋_GB2312" w:eastAsia="仿宋_GB2312"/>
      <w:sz w:val="24"/>
      <w:szCs w:val="24"/>
    </w:rPr>
  </w:style>
  <w:style w:type="paragraph" w:customStyle="1" w:styleId="421">
    <w:name w:val="公文正文"/>
    <w:basedOn w:val="1"/>
    <w:link w:val="420"/>
    <w:qFormat/>
    <w:uiPriority w:val="0"/>
    <w:pPr>
      <w:adjustRightInd/>
      <w:spacing w:before="156" w:line="360" w:lineRule="auto"/>
      <w:ind w:firstLine="360" w:firstLineChars="200"/>
    </w:pPr>
    <w:rPr>
      <w:rFonts w:ascii="仿宋_GB2312" w:eastAsia="仿宋_GB2312" w:hAnsiTheme="minorHAnsi" w:cstheme="minorBidi"/>
      <w:sz w:val="24"/>
    </w:rPr>
  </w:style>
  <w:style w:type="character" w:customStyle="1" w:styleId="422">
    <w:name w:val="Table Text Char1"/>
    <w:qFormat/>
    <w:uiPriority w:val="0"/>
    <w:rPr>
      <w:rFonts w:eastAsia="宋体"/>
      <w:sz w:val="24"/>
      <w:szCs w:val="24"/>
      <w:lang w:val="en-US" w:eastAsia="zh-CN" w:bidi="ar-SA"/>
    </w:rPr>
  </w:style>
  <w:style w:type="character" w:customStyle="1" w:styleId="423">
    <w:name w:val="标题 8 Char1"/>
    <w:link w:val="9"/>
    <w:qFormat/>
    <w:uiPriority w:val="0"/>
    <w:rPr>
      <w:rFonts w:ascii="Arial" w:hAnsi="Arial" w:eastAsia="黑体" w:cs="Times New Roman"/>
      <w:sz w:val="24"/>
      <w:szCs w:val="24"/>
    </w:rPr>
  </w:style>
  <w:style w:type="character" w:customStyle="1" w:styleId="424">
    <w:name w:val="标书表格字体格式 Char"/>
    <w:qFormat/>
    <w:uiPriority w:val="0"/>
    <w:rPr>
      <w:kern w:val="2"/>
      <w:sz w:val="21"/>
      <w:szCs w:val="24"/>
      <w:lang w:bidi="ar-SA"/>
    </w:rPr>
  </w:style>
  <w:style w:type="character" w:customStyle="1" w:styleId="425">
    <w:name w:val="Body Text(ch) Char Char"/>
    <w:qFormat/>
    <w:uiPriority w:val="0"/>
    <w:rPr>
      <w:rFonts w:ascii="宋体"/>
      <w:kern w:val="2"/>
      <w:sz w:val="24"/>
      <w:szCs w:val="21"/>
      <w:lang w:val="zh-CN"/>
    </w:rPr>
  </w:style>
  <w:style w:type="character" w:customStyle="1" w:styleId="426">
    <w:name w:val="正文首行缩进两字 Char"/>
    <w:qFormat/>
    <w:uiPriority w:val="0"/>
    <w:rPr>
      <w:sz w:val="24"/>
      <w:szCs w:val="24"/>
      <w:lang w:val="en-US" w:eastAsia="zh-CN" w:bidi="ar-SA"/>
    </w:rPr>
  </w:style>
  <w:style w:type="character" w:customStyle="1" w:styleId="427">
    <w:name w:val="文档结构图 字符1"/>
    <w:qFormat/>
    <w:uiPriority w:val="0"/>
    <w:rPr>
      <w:rFonts w:ascii="宋体" w:hAnsi="Calibri" w:eastAsia="黑体" w:cs="Arial"/>
      <w:snapToGrid w:val="0"/>
      <w:kern w:val="2"/>
      <w:sz w:val="18"/>
      <w:szCs w:val="18"/>
    </w:rPr>
  </w:style>
  <w:style w:type="character" w:customStyle="1" w:styleId="428">
    <w:name w:val="param-name"/>
    <w:qFormat/>
    <w:uiPriority w:val="99"/>
    <w:rPr>
      <w:rFonts w:ascii="Arial" w:hAnsi="Arial" w:eastAsia="黑体" w:cs="Arial"/>
      <w:snapToGrid w:val="0"/>
      <w:kern w:val="0"/>
      <w:szCs w:val="21"/>
    </w:rPr>
  </w:style>
  <w:style w:type="character" w:customStyle="1" w:styleId="429">
    <w:name w:val="标准正文格式 Char"/>
    <w:qFormat/>
    <w:uiPriority w:val="0"/>
    <w:rPr>
      <w:rFonts w:ascii="宋体" w:eastAsia="仿宋_GB2312" w:cs="宋体"/>
      <w:color w:val="000000"/>
      <w:sz w:val="24"/>
      <w:lang w:val="en-US" w:eastAsia="zh-CN" w:bidi="ar-SA"/>
    </w:rPr>
  </w:style>
  <w:style w:type="character" w:customStyle="1" w:styleId="430">
    <w:name w:val="zbggmain style9"/>
    <w:qFormat/>
    <w:uiPriority w:val="0"/>
  </w:style>
  <w:style w:type="character" w:customStyle="1" w:styleId="431">
    <w:name w:val="Char Char16"/>
    <w:qFormat/>
    <w:uiPriority w:val="6"/>
    <w:rPr>
      <w:kern w:val="1"/>
      <w:sz w:val="18"/>
      <w:szCs w:val="18"/>
    </w:rPr>
  </w:style>
  <w:style w:type="character" w:customStyle="1" w:styleId="432">
    <w:name w:val="Char Char82"/>
    <w:qFormat/>
    <w:uiPriority w:val="0"/>
    <w:rPr>
      <w:rFonts w:eastAsia="宋体"/>
      <w:b/>
      <w:sz w:val="24"/>
      <w:lang w:val="en-US" w:eastAsia="zh-CN"/>
    </w:rPr>
  </w:style>
  <w:style w:type="character" w:customStyle="1" w:styleId="433">
    <w:name w:val="正文文本缩进 3 Char2"/>
    <w:link w:val="49"/>
    <w:qFormat/>
    <w:uiPriority w:val="0"/>
    <w:rPr>
      <w:sz w:val="24"/>
    </w:rPr>
  </w:style>
  <w:style w:type="character" w:customStyle="1" w:styleId="434">
    <w:name w:val="页眉 字符"/>
    <w:qFormat/>
    <w:uiPriority w:val="99"/>
    <w:rPr>
      <w:kern w:val="2"/>
      <w:sz w:val="18"/>
      <w:szCs w:val="18"/>
    </w:rPr>
  </w:style>
  <w:style w:type="character" w:customStyle="1" w:styleId="435">
    <w:name w:val="Footer-Even Char"/>
    <w:qFormat/>
    <w:uiPriority w:val="0"/>
    <w:rPr>
      <w:rFonts w:eastAsia="宋体"/>
      <w:kern w:val="2"/>
      <w:sz w:val="18"/>
      <w:lang w:val="en-US" w:eastAsia="zh-CN" w:bidi="ar-SA"/>
    </w:rPr>
  </w:style>
  <w:style w:type="character" w:customStyle="1" w:styleId="436">
    <w:name w:val="Char Char61"/>
    <w:qFormat/>
    <w:uiPriority w:val="6"/>
    <w:rPr>
      <w:rFonts w:eastAsia="宋体"/>
      <w:kern w:val="2"/>
      <w:sz w:val="21"/>
      <w:szCs w:val="24"/>
      <w:lang w:val="en-US" w:eastAsia="zh-CN" w:bidi="ar-SA"/>
    </w:rPr>
  </w:style>
  <w:style w:type="character" w:customStyle="1" w:styleId="437">
    <w:name w:val="正文文字缩进 2 Char Char"/>
    <w:qFormat/>
    <w:uiPriority w:val="0"/>
    <w:rPr>
      <w:rFonts w:ascii="宋体"/>
      <w:sz w:val="28"/>
    </w:rPr>
  </w:style>
  <w:style w:type="character" w:customStyle="1" w:styleId="438">
    <w:name w:val="标题 3 Char2"/>
    <w:qFormat/>
    <w:uiPriority w:val="0"/>
    <w:rPr>
      <w:rFonts w:eastAsia="宋体"/>
      <w:b/>
      <w:bCs/>
      <w:kern w:val="2"/>
      <w:sz w:val="32"/>
      <w:szCs w:val="32"/>
      <w:lang w:val="en-US" w:eastAsia="zh-CN" w:bidi="ar-SA"/>
    </w:rPr>
  </w:style>
  <w:style w:type="character" w:customStyle="1" w:styleId="439">
    <w:name w:val="页眉 字符2"/>
    <w:qFormat/>
    <w:uiPriority w:val="99"/>
    <w:rPr>
      <w:kern w:val="2"/>
      <w:sz w:val="18"/>
      <w:szCs w:val="18"/>
    </w:rPr>
  </w:style>
  <w:style w:type="character" w:customStyle="1" w:styleId="440">
    <w:name w:val="Char Char9"/>
    <w:qFormat/>
    <w:uiPriority w:val="0"/>
    <w:rPr>
      <w:rFonts w:eastAsia="宋体"/>
      <w:kern w:val="2"/>
      <w:sz w:val="18"/>
      <w:szCs w:val="18"/>
      <w:lang w:val="en-US" w:eastAsia="zh-CN" w:bidi="ar-SA"/>
    </w:rPr>
  </w:style>
  <w:style w:type="character" w:customStyle="1" w:styleId="441">
    <w:name w:val="Char Char13"/>
    <w:qFormat/>
    <w:uiPriority w:val="6"/>
    <w:rPr>
      <w:rFonts w:ascii="宋体" w:hAnsi="宋体"/>
      <w:kern w:val="1"/>
      <w:sz w:val="21"/>
      <w:szCs w:val="24"/>
    </w:rPr>
  </w:style>
  <w:style w:type="character" w:customStyle="1" w:styleId="442">
    <w:name w:val="javascript"/>
    <w:qFormat/>
    <w:uiPriority w:val="0"/>
  </w:style>
  <w:style w:type="character" w:customStyle="1" w:styleId="443">
    <w:name w:val="图名 Char"/>
    <w:qFormat/>
    <w:uiPriority w:val="0"/>
    <w:rPr>
      <w:rFonts w:ascii="Arial" w:hAnsi="Arial" w:eastAsia="黑体"/>
      <w:kern w:val="2"/>
      <w:sz w:val="24"/>
      <w:szCs w:val="24"/>
      <w:lang w:val="en-US" w:eastAsia="zh-CN" w:bidi="ar-SA"/>
    </w:rPr>
  </w:style>
  <w:style w:type="character" w:customStyle="1" w:styleId="444">
    <w:name w:val="未用 Char"/>
    <w:qFormat/>
    <w:uiPriority w:val="0"/>
    <w:rPr>
      <w:rFonts w:ascii="Arial" w:hAnsi="Arial" w:eastAsia="黑体"/>
      <w:kern w:val="2"/>
      <w:sz w:val="21"/>
      <w:szCs w:val="21"/>
      <w:lang w:val="en-US" w:eastAsia="zh-CN" w:bidi="ar-SA"/>
    </w:rPr>
  </w:style>
  <w:style w:type="character" w:customStyle="1" w:styleId="445">
    <w:name w:val="myp1111"/>
    <w:qFormat/>
    <w:uiPriority w:val="0"/>
    <w:rPr>
      <w:rFonts w:hint="default" w:ascii="ˎ̥" w:hAnsi="ˎ̥"/>
      <w:color w:val="000000"/>
      <w:sz w:val="20"/>
      <w:szCs w:val="20"/>
      <w:u w:val="none"/>
    </w:rPr>
  </w:style>
  <w:style w:type="character" w:customStyle="1" w:styleId="446">
    <w:name w:val="样式 标题 4h4H4Fab-4T5Ref Heading 1rh1Heading sqlsect 1.2.3.... Char"/>
    <w:link w:val="400"/>
    <w:qFormat/>
    <w:uiPriority w:val="0"/>
    <w:rPr>
      <w:rFonts w:ascii="微软雅黑" w:hAnsi="微软雅黑" w:eastAsia="微软雅黑"/>
      <w:b/>
      <w:bCs/>
      <w:sz w:val="24"/>
      <w:szCs w:val="28"/>
    </w:rPr>
  </w:style>
  <w:style w:type="character" w:customStyle="1" w:styleId="447">
    <w:name w:val="h Char Char"/>
    <w:qFormat/>
    <w:uiPriority w:val="0"/>
    <w:rPr>
      <w:rFonts w:eastAsia="宋体"/>
      <w:kern w:val="2"/>
      <w:sz w:val="18"/>
      <w:lang w:val="en-US" w:eastAsia="zh-CN" w:bidi="ar-SA"/>
    </w:rPr>
  </w:style>
  <w:style w:type="character" w:customStyle="1" w:styleId="448">
    <w:name w:val="仿宋正文 Char"/>
    <w:link w:val="449"/>
    <w:qFormat/>
    <w:uiPriority w:val="0"/>
    <w:rPr>
      <w:rFonts w:ascii="仿宋_GB2312" w:eastAsia="仿宋_GB2312"/>
      <w:sz w:val="24"/>
    </w:rPr>
  </w:style>
  <w:style w:type="paragraph" w:customStyle="1" w:styleId="449">
    <w:name w:val="仿宋正文"/>
    <w:basedOn w:val="1"/>
    <w:link w:val="448"/>
    <w:qFormat/>
    <w:uiPriority w:val="0"/>
    <w:pPr>
      <w:adjustRightInd/>
      <w:spacing w:line="360" w:lineRule="auto"/>
      <w:ind w:firstLine="480" w:firstLineChars="200"/>
    </w:pPr>
    <w:rPr>
      <w:rFonts w:ascii="仿宋_GB2312" w:eastAsia="仿宋_GB2312" w:hAnsiTheme="minorHAnsi" w:cstheme="minorBidi"/>
      <w:sz w:val="24"/>
      <w:szCs w:val="22"/>
    </w:rPr>
  </w:style>
  <w:style w:type="character" w:customStyle="1" w:styleId="450">
    <w:name w:val="样式 宋体"/>
    <w:qFormat/>
    <w:uiPriority w:val="0"/>
    <w:rPr>
      <w:rFonts w:ascii="宋体" w:hAnsi="宋体"/>
      <w:sz w:val="24"/>
    </w:rPr>
  </w:style>
  <w:style w:type="character" w:customStyle="1" w:styleId="451">
    <w:name w:val="tw4winJump"/>
    <w:qFormat/>
    <w:uiPriority w:val="0"/>
    <w:rPr>
      <w:rFonts w:ascii="Courier New" w:hAnsi="Courier New" w:cs="Courier New"/>
      <w:color w:val="008080"/>
      <w:lang w:val="en-US" w:eastAsia="zh-CN"/>
    </w:rPr>
  </w:style>
  <w:style w:type="character" w:customStyle="1" w:styleId="452">
    <w:name w:val="style36"/>
    <w:qFormat/>
    <w:uiPriority w:val="0"/>
    <w:rPr>
      <w:rFonts w:ascii="Arial" w:hAnsi="Arial" w:eastAsia="黑体" w:cs="Arial"/>
      <w:snapToGrid w:val="0"/>
      <w:kern w:val="0"/>
      <w:szCs w:val="21"/>
    </w:rPr>
  </w:style>
  <w:style w:type="character" w:customStyle="1" w:styleId="453">
    <w:name w:val="pt9"/>
    <w:qFormat/>
    <w:uiPriority w:val="0"/>
    <w:rPr>
      <w:rFonts w:ascii="仿宋_GB2312" w:eastAsia="微软雅黑"/>
      <w:b/>
      <w:kern w:val="2"/>
      <w:sz w:val="32"/>
      <w:szCs w:val="32"/>
      <w:lang w:val="en-US" w:eastAsia="zh-CN" w:bidi="ar-SA"/>
    </w:rPr>
  </w:style>
  <w:style w:type="character" w:customStyle="1" w:styleId="454">
    <w:name w:val="正文2 Char"/>
    <w:qFormat/>
    <w:uiPriority w:val="0"/>
    <w:rPr>
      <w:rFonts w:eastAsia="宋体"/>
      <w:kern w:val="2"/>
      <w:sz w:val="24"/>
      <w:lang w:val="en-US" w:eastAsia="zh-CN" w:bidi="ar-SA"/>
    </w:rPr>
  </w:style>
  <w:style w:type="character" w:customStyle="1" w:styleId="455">
    <w:name w:val="Char Char21"/>
    <w:qFormat/>
    <w:uiPriority w:val="6"/>
    <w:rPr>
      <w:rFonts w:ascii="宋体" w:hAnsi="宋体"/>
      <w:kern w:val="1"/>
      <w:sz w:val="24"/>
      <w:szCs w:val="21"/>
      <w:lang w:val="zh-CN"/>
    </w:rPr>
  </w:style>
  <w:style w:type="character" w:customStyle="1" w:styleId="456">
    <w:name w:val="样式 正文缩进 + 首行缩进:  2 字符 Char Char"/>
    <w:link w:val="457"/>
    <w:qFormat/>
    <w:uiPriority w:val="0"/>
    <w:rPr>
      <w:rFonts w:cs="宋体"/>
      <w:sz w:val="24"/>
    </w:rPr>
  </w:style>
  <w:style w:type="paragraph" w:customStyle="1" w:styleId="457">
    <w:name w:val="样式 正文缩进 + 首行缩进:  2 字符"/>
    <w:basedOn w:val="14"/>
    <w:link w:val="456"/>
    <w:qFormat/>
    <w:uiPriority w:val="0"/>
    <w:pPr>
      <w:widowControl w:val="0"/>
      <w:adjustRightInd/>
      <w:snapToGrid/>
      <w:spacing w:line="360" w:lineRule="auto"/>
      <w:ind w:firstLine="200" w:firstLineChars="200"/>
    </w:pPr>
    <w:rPr>
      <w:rFonts w:cs="宋体" w:asciiTheme="minorHAnsi" w:eastAsiaTheme="minorEastAsia"/>
      <w:snapToGrid/>
      <w:color w:val="auto"/>
      <w:kern w:val="2"/>
      <w:sz w:val="24"/>
    </w:rPr>
  </w:style>
  <w:style w:type="character" w:customStyle="1" w:styleId="458">
    <w:name w:val="正文缩进 字符1"/>
    <w:qFormat/>
    <w:uiPriority w:val="0"/>
    <w:rPr>
      <w:rFonts w:ascii="宋体" w:eastAsia="宋体"/>
      <w:snapToGrid w:val="0"/>
      <w:color w:val="000000"/>
      <w:kern w:val="28"/>
      <w:sz w:val="28"/>
      <w:lang w:val="en-US" w:eastAsia="zh-CN" w:bidi="ar-SA"/>
    </w:rPr>
  </w:style>
  <w:style w:type="character" w:customStyle="1" w:styleId="459">
    <w:name w:val="尾注文本 Char1"/>
    <w:link w:val="36"/>
    <w:qFormat/>
    <w:uiPriority w:val="0"/>
    <w:rPr>
      <w:szCs w:val="24"/>
      <w:lang w:val="zh-CN"/>
    </w:rPr>
  </w:style>
  <w:style w:type="character" w:customStyle="1" w:styleId="460">
    <w:name w:val="无间隔 Char"/>
    <w:link w:val="461"/>
    <w:qFormat/>
    <w:uiPriority w:val="99"/>
  </w:style>
  <w:style w:type="paragraph" w:customStyle="1" w:styleId="461">
    <w:name w:val="无间隔3"/>
    <w:basedOn w:val="1"/>
    <w:link w:val="460"/>
    <w:qFormat/>
    <w:uiPriority w:val="99"/>
    <w:rPr>
      <w:rFonts w:asciiTheme="minorHAnsi" w:hAnsiTheme="minorHAnsi" w:eastAsiaTheme="minorEastAsia" w:cstheme="minorBidi"/>
      <w:szCs w:val="22"/>
    </w:rPr>
  </w:style>
  <w:style w:type="character" w:customStyle="1" w:styleId="462">
    <w:name w:val="标准文本 Char Char"/>
    <w:link w:val="463"/>
    <w:qFormat/>
    <w:uiPriority w:val="0"/>
    <w:rPr>
      <w:rFonts w:cs="宋体"/>
      <w:sz w:val="24"/>
    </w:rPr>
  </w:style>
  <w:style w:type="paragraph" w:customStyle="1" w:styleId="463">
    <w:name w:val="标准文本"/>
    <w:basedOn w:val="1"/>
    <w:link w:val="462"/>
    <w:qFormat/>
    <w:uiPriority w:val="0"/>
    <w:pPr>
      <w:adjustRightInd/>
      <w:spacing w:line="360" w:lineRule="auto"/>
      <w:ind w:firstLine="480" w:firstLineChars="200"/>
    </w:pPr>
    <w:rPr>
      <w:rFonts w:cs="宋体" w:asciiTheme="minorHAnsi" w:hAnsiTheme="minorHAnsi" w:eastAsiaTheme="minorEastAsia"/>
      <w:sz w:val="24"/>
      <w:szCs w:val="22"/>
    </w:rPr>
  </w:style>
  <w:style w:type="character" w:customStyle="1" w:styleId="464">
    <w:name w:val="Char Char213"/>
    <w:qFormat/>
    <w:uiPriority w:val="0"/>
    <w:rPr>
      <w:rFonts w:eastAsia="Century Gothic"/>
      <w:b/>
      <w:bCs/>
      <w:kern w:val="44"/>
      <w:sz w:val="32"/>
      <w:szCs w:val="44"/>
      <w:lang w:val="en-US" w:eastAsia="zh-CN" w:bidi="ar-SA"/>
    </w:rPr>
  </w:style>
  <w:style w:type="character" w:customStyle="1" w:styleId="465">
    <w:name w:val="16"/>
    <w:qFormat/>
    <w:uiPriority w:val="0"/>
    <w:rPr>
      <w:rFonts w:hint="eastAsia" w:ascii="宋体" w:hAnsi="宋体" w:eastAsia="宋体"/>
      <w:color w:val="000000"/>
      <w:sz w:val="20"/>
      <w:szCs w:val="20"/>
    </w:rPr>
  </w:style>
  <w:style w:type="character" w:customStyle="1" w:styleId="466">
    <w:name w:val="tpc_content1"/>
    <w:qFormat/>
    <w:uiPriority w:val="0"/>
    <w:rPr>
      <w:sz w:val="20"/>
      <w:szCs w:val="20"/>
    </w:rPr>
  </w:style>
  <w:style w:type="character" w:customStyle="1" w:styleId="467">
    <w:name w:val="正文文本 2 字符"/>
    <w:qFormat/>
    <w:uiPriority w:val="0"/>
    <w:rPr>
      <w:rFonts w:ascii="Arial" w:hAnsi="Arial" w:eastAsia="宋体"/>
      <w:kern w:val="2"/>
      <w:sz w:val="24"/>
      <w:szCs w:val="24"/>
      <w:lang w:val="en-US" w:eastAsia="zh-CN" w:bidi="ar-SA"/>
    </w:rPr>
  </w:style>
  <w:style w:type="character" w:customStyle="1" w:styleId="468">
    <w:name w:val="zbggtop11 style5"/>
    <w:qFormat/>
    <w:uiPriority w:val="0"/>
    <w:rPr>
      <w:rFonts w:ascii="Arial" w:hAnsi="Arial" w:eastAsia="黑体" w:cs="Arial"/>
      <w:snapToGrid w:val="0"/>
      <w:kern w:val="0"/>
      <w:szCs w:val="21"/>
    </w:rPr>
  </w:style>
  <w:style w:type="character" w:customStyle="1" w:styleId="469">
    <w:name w:val="font71"/>
    <w:qFormat/>
    <w:uiPriority w:val="0"/>
    <w:rPr>
      <w:rFonts w:hint="eastAsia" w:ascii="宋体" w:hAnsi="宋体" w:eastAsia="宋体" w:cs="宋体"/>
      <w:color w:val="000000"/>
      <w:sz w:val="22"/>
      <w:szCs w:val="22"/>
      <w:u w:val="none"/>
    </w:rPr>
  </w:style>
  <w:style w:type="character" w:customStyle="1" w:styleId="470">
    <w:name w:val="font91"/>
    <w:qFormat/>
    <w:uiPriority w:val="0"/>
    <w:rPr>
      <w:rFonts w:hint="eastAsia" w:ascii="仿宋" w:hAnsi="仿宋" w:eastAsia="仿宋" w:cs="仿宋"/>
      <w:color w:val="000000"/>
      <w:sz w:val="22"/>
      <w:szCs w:val="22"/>
      <w:u w:val="none"/>
    </w:rPr>
  </w:style>
  <w:style w:type="paragraph" w:customStyle="1" w:styleId="471">
    <w:name w:val="4级标题"/>
    <w:basedOn w:val="3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7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My正文"/>
    <w:basedOn w:val="1"/>
    <w:qFormat/>
    <w:uiPriority w:val="0"/>
    <w:pPr>
      <w:spacing w:before="120" w:line="360" w:lineRule="auto"/>
      <w:ind w:firstLine="567"/>
    </w:pPr>
    <w:rPr>
      <w:rFonts w:ascii="Arial" w:hAnsi="Arial"/>
      <w:sz w:val="20"/>
      <w:szCs w:val="20"/>
    </w:rPr>
  </w:style>
  <w:style w:type="paragraph" w:customStyle="1" w:styleId="477">
    <w:name w:val="正文1.25"/>
    <w:basedOn w:val="1"/>
    <w:qFormat/>
    <w:uiPriority w:val="0"/>
    <w:pPr>
      <w:adjustRightInd/>
      <w:spacing w:line="300" w:lineRule="auto"/>
      <w:ind w:firstLine="480" w:firstLineChars="200"/>
    </w:pPr>
    <w:rPr>
      <w:sz w:val="24"/>
      <w:szCs w:val="20"/>
    </w:rPr>
  </w:style>
  <w:style w:type="paragraph" w:customStyle="1" w:styleId="478">
    <w:name w:val="5级标题"/>
    <w:basedOn w:val="471"/>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80">
    <w:name w:val="MM Topic 5"/>
    <w:basedOn w:val="6"/>
    <w:qFormat/>
    <w:uiPriority w:val="0"/>
    <w:pPr>
      <w:tabs>
        <w:tab w:val="left" w:pos="2520"/>
        <w:tab w:val="clear" w:pos="1008"/>
      </w:tabs>
      <w:adjustRightInd/>
      <w:ind w:left="2520" w:hanging="420"/>
    </w:pPr>
  </w:style>
  <w:style w:type="paragraph" w:customStyle="1" w:styleId="481">
    <w:name w:val="默认段落样式"/>
    <w:basedOn w:val="89"/>
    <w:qFormat/>
    <w:uiPriority w:val="0"/>
    <w:pPr>
      <w:spacing w:before="0"/>
      <w:ind w:firstLine="480"/>
      <w:outlineLvl w:val="2"/>
    </w:pPr>
    <w:rPr>
      <w:rFonts w:ascii="仿宋_GB2312" w:hAnsi="宋体" w:eastAsia="仿宋_GB2312" w:cs="Times New Roman"/>
      <w:color w:val="000000"/>
      <w:szCs w:val="24"/>
    </w:rPr>
  </w:style>
  <w:style w:type="paragraph" w:customStyle="1" w:styleId="48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83">
    <w:name w:val="_Style 94"/>
    <w:basedOn w:val="1"/>
    <w:next w:val="360"/>
    <w:qFormat/>
    <w:uiPriority w:val="34"/>
    <w:pPr>
      <w:adjustRightInd/>
      <w:spacing w:line="360" w:lineRule="auto"/>
      <w:ind w:firstLine="200" w:firstLineChars="200"/>
    </w:pPr>
    <w:rPr>
      <w:rFonts w:ascii="Calibri" w:hAnsi="Calibri"/>
      <w:sz w:val="28"/>
      <w:szCs w:val="20"/>
    </w:rPr>
  </w:style>
  <w:style w:type="paragraph" w:customStyle="1" w:styleId="484">
    <w:name w:val="FA正文"/>
    <w:basedOn w:val="1"/>
    <w:qFormat/>
    <w:uiPriority w:val="0"/>
    <w:pPr>
      <w:spacing w:line="360" w:lineRule="auto"/>
      <w:ind w:firstLine="480" w:firstLineChars="200"/>
    </w:pPr>
    <w:rPr>
      <w:rFonts w:hAnsi="宋体"/>
      <w:sz w:val="24"/>
      <w:szCs w:val="20"/>
    </w:rPr>
  </w:style>
  <w:style w:type="paragraph" w:customStyle="1" w:styleId="48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6">
    <w:name w:val="正文 内标 序号标"/>
    <w:basedOn w:val="476"/>
    <w:qFormat/>
    <w:uiPriority w:val="0"/>
    <w:pPr>
      <w:tabs>
        <w:tab w:val="left" w:pos="0"/>
      </w:tabs>
      <w:adjustRightInd/>
      <w:spacing w:before="0"/>
      <w:ind w:firstLine="482"/>
    </w:pPr>
    <w:rPr>
      <w:rFonts w:ascii="微软雅黑" w:hAnsi="微软雅黑"/>
      <w:sz w:val="24"/>
      <w:szCs w:val="24"/>
    </w:rPr>
  </w:style>
  <w:style w:type="paragraph" w:customStyle="1" w:styleId="48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488">
    <w:name w:val="修订1"/>
    <w:qFormat/>
    <w:uiPriority w:val="3"/>
    <w:rPr>
      <w:rFonts w:ascii="Times New Roman" w:hAnsi="Times New Roman" w:eastAsia="宋体" w:cs="Times New Roman"/>
      <w:color w:val="000000"/>
      <w:kern w:val="1"/>
      <w:sz w:val="21"/>
      <w:lang w:val="en-US" w:eastAsia="zh-CN" w:bidi="ar-SA"/>
    </w:rPr>
  </w:style>
  <w:style w:type="paragraph" w:customStyle="1" w:styleId="489">
    <w:name w:val="6级标题"/>
    <w:basedOn w:val="478"/>
    <w:qFormat/>
    <w:uiPriority w:val="0"/>
    <w:pPr>
      <w:keepNext/>
      <w:outlineLvl w:val="5"/>
    </w:pPr>
  </w:style>
  <w:style w:type="paragraph" w:customStyle="1" w:styleId="490">
    <w:name w:val="样式 样式2 + 左侧:  1 字符 右侧:  1 字符"/>
    <w:basedOn w:val="491"/>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49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92">
    <w:name w:val="样式6"/>
    <w:basedOn w:val="32"/>
    <w:qFormat/>
    <w:uiPriority w:val="0"/>
    <w:pPr>
      <w:widowControl w:val="0"/>
      <w:overflowPunct/>
      <w:autoSpaceDE/>
      <w:autoSpaceDN/>
      <w:spacing w:line="460" w:lineRule="exact"/>
      <w:jc w:val="both"/>
      <w:textAlignment w:val="auto"/>
      <w:outlineLvl w:val="2"/>
    </w:pPr>
    <w:rPr>
      <w:rFonts w:ascii="仿宋_GB2312" w:hAnsi="宋体" w:eastAsia="仿宋_GB2312" w:cs="Arial"/>
      <w:b/>
      <w:bCs/>
      <w:snapToGrid w:val="0"/>
      <w:sz w:val="24"/>
      <w:szCs w:val="24"/>
    </w:rPr>
  </w:style>
  <w:style w:type="paragraph" w:customStyle="1" w:styleId="493">
    <w:name w:val="默认段落字体 Para Char"/>
    <w:basedOn w:val="1"/>
    <w:qFormat/>
    <w:uiPriority w:val="0"/>
    <w:rPr>
      <w:rFonts w:ascii="Tahoma" w:hAnsi="Tahoma"/>
      <w:sz w:val="24"/>
      <w:szCs w:val="20"/>
    </w:rPr>
  </w:style>
  <w:style w:type="character" w:customStyle="1" w:styleId="494">
    <w:name w:val="标题 Char2"/>
    <w:basedOn w:val="64"/>
    <w:qFormat/>
    <w:uiPriority w:val="10"/>
    <w:rPr>
      <w:rFonts w:eastAsia="宋体" w:asciiTheme="majorHAnsi" w:hAnsiTheme="majorHAnsi" w:cstheme="majorBidi"/>
      <w:b/>
      <w:bCs/>
      <w:sz w:val="32"/>
      <w:szCs w:val="32"/>
    </w:rPr>
  </w:style>
  <w:style w:type="paragraph" w:customStyle="1" w:styleId="49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7">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498">
    <w:name w:val="Char1 Char Char Char1"/>
    <w:basedOn w:val="1"/>
    <w:qFormat/>
    <w:uiPriority w:val="0"/>
    <w:pPr>
      <w:adjustRightInd/>
      <w:ind w:firstLine="200" w:firstLineChars="200"/>
    </w:pPr>
    <w:rPr>
      <w:rFonts w:ascii="Tahoma" w:hAnsi="Tahoma"/>
      <w:sz w:val="24"/>
      <w:szCs w:val="20"/>
    </w:rPr>
  </w:style>
  <w:style w:type="paragraph" w:customStyle="1" w:styleId="49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00">
    <w:name w:val="Char2 Char Char1"/>
    <w:basedOn w:val="1"/>
    <w:qFormat/>
    <w:uiPriority w:val="6"/>
    <w:pPr>
      <w:adjustRightInd/>
    </w:pPr>
    <w:rPr>
      <w:rFonts w:ascii="Tahoma" w:hAnsi="Tahoma"/>
      <w:sz w:val="24"/>
      <w:szCs w:val="20"/>
    </w:rPr>
  </w:style>
  <w:style w:type="paragraph" w:customStyle="1" w:styleId="50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02">
    <w:name w:val="正文主体"/>
    <w:basedOn w:val="503"/>
    <w:qFormat/>
    <w:uiPriority w:val="0"/>
  </w:style>
  <w:style w:type="paragraph" w:customStyle="1" w:styleId="50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04">
    <w:name w:val="Char Char Char Char Char Char Char Char2"/>
    <w:basedOn w:val="1"/>
    <w:qFormat/>
    <w:uiPriority w:val="0"/>
    <w:pPr>
      <w:tabs>
        <w:tab w:val="left" w:pos="360"/>
      </w:tabs>
    </w:pPr>
    <w:rPr>
      <w:sz w:val="24"/>
      <w:szCs w:val="20"/>
    </w:rPr>
  </w:style>
  <w:style w:type="paragraph" w:customStyle="1" w:styleId="50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50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0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508">
    <w:name w:val="加粗正文"/>
    <w:basedOn w:val="1"/>
    <w:qFormat/>
    <w:uiPriority w:val="0"/>
    <w:pPr>
      <w:adjustRightInd/>
      <w:spacing w:beforeLines="50" w:afterLines="50" w:line="360" w:lineRule="auto"/>
      <w:ind w:firstLine="422" w:firstLineChars="200"/>
    </w:pPr>
    <w:rPr>
      <w:b/>
      <w:bCs/>
      <w:szCs w:val="21"/>
    </w:rPr>
  </w:style>
  <w:style w:type="paragraph" w:customStyle="1" w:styleId="50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511">
    <w:name w:val="正文标准"/>
    <w:basedOn w:val="1"/>
    <w:qFormat/>
    <w:uiPriority w:val="0"/>
    <w:pPr>
      <w:adjustRightInd/>
      <w:spacing w:line="360" w:lineRule="auto"/>
      <w:ind w:firstLine="200" w:firstLineChars="200"/>
    </w:pPr>
    <w:rPr>
      <w:rFonts w:ascii="宋体" w:hAnsi="Calibri"/>
      <w:sz w:val="24"/>
    </w:rPr>
  </w:style>
  <w:style w:type="paragraph" w:customStyle="1" w:styleId="512">
    <w:name w:val="标题3"/>
    <w:basedOn w:val="4"/>
    <w:next w:val="49"/>
    <w:qFormat/>
    <w:uiPriority w:val="0"/>
    <w:pPr>
      <w:spacing w:after="0" w:line="360" w:lineRule="auto"/>
      <w:ind w:left="900" w:hanging="720"/>
    </w:pPr>
    <w:rPr>
      <w:rFonts w:ascii="仿宋" w:hAnsi="仿宋" w:eastAsia="仿宋" w:cs="仿宋"/>
    </w:rPr>
  </w:style>
  <w:style w:type="paragraph" w:customStyle="1" w:styleId="513">
    <w:name w:val="样式 标题 3H3 + 两端对齐"/>
    <w:basedOn w:val="4"/>
    <w:qFormat/>
    <w:uiPriority w:val="0"/>
    <w:pPr>
      <w:keepLines w:val="0"/>
      <w:tabs>
        <w:tab w:val="left" w:pos="900"/>
      </w:tabs>
      <w:spacing w:before="0" w:after="0" w:line="240" w:lineRule="auto"/>
      <w:ind w:left="900" w:hanging="720"/>
      <w:jc w:val="left"/>
    </w:pPr>
    <w:rPr>
      <w:rFonts w:cs="宋体"/>
      <w:sz w:val="21"/>
      <w:szCs w:val="20"/>
    </w:rPr>
  </w:style>
  <w:style w:type="paragraph" w:customStyle="1" w:styleId="514">
    <w:name w:val="Char Char Char Char Char Char Char1"/>
    <w:basedOn w:val="1"/>
    <w:qFormat/>
    <w:uiPriority w:val="6"/>
    <w:rPr>
      <w:rFonts w:ascii="仿宋_GB2312" w:eastAsia="仿宋_GB2312"/>
      <w:b/>
      <w:sz w:val="32"/>
      <w:szCs w:val="32"/>
    </w:rPr>
  </w:style>
  <w:style w:type="paragraph" w:customStyle="1" w:styleId="51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16">
    <w:name w:val="Char Char Char 字元 字元"/>
    <w:basedOn w:val="1"/>
    <w:qFormat/>
    <w:uiPriority w:val="0"/>
    <w:pPr>
      <w:adjustRightInd/>
      <w:spacing w:line="360" w:lineRule="auto"/>
      <w:ind w:firstLine="200" w:firstLineChars="200"/>
    </w:pPr>
    <w:rPr>
      <w:szCs w:val="20"/>
    </w:rPr>
  </w:style>
  <w:style w:type="paragraph" w:customStyle="1" w:styleId="51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1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9">
    <w:name w:val="_Style 5"/>
    <w:basedOn w:val="1"/>
    <w:qFormat/>
    <w:uiPriority w:val="34"/>
    <w:pPr>
      <w:adjustRightInd/>
      <w:ind w:firstLine="420" w:firstLineChars="200"/>
    </w:pPr>
    <w:rPr>
      <w:rFonts w:eastAsia="仿宋_GB2312"/>
      <w:sz w:val="28"/>
    </w:rPr>
  </w:style>
  <w:style w:type="paragraph" w:customStyle="1" w:styleId="520">
    <w:name w:val="正文 项目2"/>
    <w:basedOn w:val="521"/>
    <w:qFormat/>
    <w:uiPriority w:val="0"/>
    <w:pPr>
      <w:tabs>
        <w:tab w:val="left" w:pos="840"/>
      </w:tabs>
      <w:spacing w:after="0"/>
      <w:ind w:left="900"/>
    </w:pPr>
  </w:style>
  <w:style w:type="paragraph" w:customStyle="1" w:styleId="5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22">
    <w:name w:val="样式 标题 2H2h2Underrubrik1prop2l2Chapter Titlesect 1.2DO NO..."/>
    <w:basedOn w:val="2"/>
    <w:qFormat/>
    <w:uiPriority w:val="0"/>
    <w:pPr>
      <w:tabs>
        <w:tab w:val="left" w:pos="432"/>
      </w:tabs>
      <w:adjustRightInd/>
      <w:spacing w:before="120" w:after="120" w:line="360" w:lineRule="auto"/>
      <w:ind w:left="425" w:hanging="425"/>
      <w:jc w:val="left"/>
    </w:pPr>
    <w:rPr>
      <w:rFonts w:ascii="微软雅黑" w:hAnsi="微软雅黑" w:eastAsia="微软雅黑" w:cs="宋体"/>
      <w:szCs w:val="20"/>
    </w:rPr>
  </w:style>
  <w:style w:type="paragraph" w:customStyle="1" w:styleId="523">
    <w:name w:val="_正文段落"/>
    <w:basedOn w:val="1"/>
    <w:qFormat/>
    <w:uiPriority w:val="0"/>
    <w:pPr>
      <w:adjustRightInd/>
      <w:ind w:firstLine="560"/>
    </w:pPr>
    <w:rPr>
      <w:rFonts w:ascii="仿宋_GB2312" w:hAnsi="仿宋" w:eastAsia="仿宋_GB2312"/>
      <w:kern w:val="0"/>
      <w:sz w:val="28"/>
      <w:szCs w:val="28"/>
    </w:rPr>
  </w:style>
  <w:style w:type="paragraph" w:customStyle="1" w:styleId="524">
    <w:name w:val="首行缩进"/>
    <w:basedOn w:val="1"/>
    <w:qFormat/>
    <w:uiPriority w:val="0"/>
    <w:pPr>
      <w:spacing w:line="360" w:lineRule="auto"/>
      <w:ind w:firstLine="480" w:firstLineChars="200"/>
    </w:pPr>
    <w:rPr>
      <w:rFonts w:ascii="宋体"/>
      <w:sz w:val="24"/>
      <w:szCs w:val="20"/>
    </w:rPr>
  </w:style>
  <w:style w:type="paragraph" w:customStyle="1" w:styleId="52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26">
    <w:name w:val="Body Text 2*"/>
    <w:basedOn w:val="1"/>
    <w:qFormat/>
    <w:uiPriority w:val="6"/>
    <w:pPr>
      <w:widowControl/>
      <w:adjustRightInd/>
      <w:ind w:left="720" w:hanging="720"/>
    </w:pPr>
    <w:rPr>
      <w:color w:val="000000"/>
      <w:kern w:val="0"/>
      <w:sz w:val="24"/>
      <w:szCs w:val="20"/>
    </w:rPr>
  </w:style>
  <w:style w:type="paragraph" w:customStyle="1" w:styleId="52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28">
    <w:name w:val="图中文字"/>
    <w:basedOn w:val="1"/>
    <w:qFormat/>
    <w:uiPriority w:val="0"/>
    <w:pPr>
      <w:snapToGrid w:val="0"/>
      <w:spacing w:line="0" w:lineRule="atLeast"/>
      <w:ind w:firstLine="200" w:firstLineChars="200"/>
      <w:jc w:val="center"/>
    </w:pPr>
    <w:rPr>
      <w:sz w:val="24"/>
      <w:szCs w:val="20"/>
    </w:rPr>
  </w:style>
  <w:style w:type="character" w:customStyle="1" w:styleId="529">
    <w:name w:val="HTML 地址 Char"/>
    <w:basedOn w:val="64"/>
    <w:semiHidden/>
    <w:qFormat/>
    <w:uiPriority w:val="99"/>
    <w:rPr>
      <w:rFonts w:ascii="Times New Roman" w:hAnsi="Times New Roman" w:eastAsia="宋体" w:cs="Times New Roman"/>
      <w:i/>
      <w:iCs/>
      <w:szCs w:val="24"/>
    </w:rPr>
  </w:style>
  <w:style w:type="paragraph" w:customStyle="1" w:styleId="530">
    <w:name w:val="Char Char Char Char Char Char Char Char1"/>
    <w:basedOn w:val="1"/>
    <w:qFormat/>
    <w:uiPriority w:val="0"/>
    <w:pPr>
      <w:tabs>
        <w:tab w:val="left" w:pos="360"/>
      </w:tabs>
    </w:pPr>
    <w:rPr>
      <w:sz w:val="24"/>
      <w:szCs w:val="20"/>
    </w:rPr>
  </w:style>
  <w:style w:type="paragraph" w:customStyle="1" w:styleId="53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32">
    <w:name w:val="Char"/>
    <w:basedOn w:val="1"/>
    <w:qFormat/>
    <w:uiPriority w:val="0"/>
    <w:rPr>
      <w:rFonts w:ascii="仿宋_GB2312" w:eastAsia="仿宋_GB2312"/>
      <w:b/>
      <w:sz w:val="32"/>
      <w:szCs w:val="32"/>
    </w:rPr>
  </w:style>
  <w:style w:type="paragraph" w:customStyle="1" w:styleId="53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3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36">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53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538">
    <w:name w:val="trademark"/>
    <w:qFormat/>
    <w:uiPriority w:val="0"/>
    <w:pPr>
      <w:spacing w:after="60"/>
    </w:pPr>
    <w:rPr>
      <w:rFonts w:ascii="Futura Bk" w:hAnsi="Futura Bk" w:eastAsia="宋体" w:cs="Times New Roman"/>
      <w:sz w:val="15"/>
      <w:lang w:val="en-US" w:eastAsia="en-US" w:bidi="ar-SA"/>
    </w:rPr>
  </w:style>
  <w:style w:type="paragraph" w:customStyle="1" w:styleId="539">
    <w:name w:val="MM Topic 3"/>
    <w:basedOn w:val="4"/>
    <w:qFormat/>
    <w:uiPriority w:val="0"/>
    <w:pPr>
      <w:tabs>
        <w:tab w:val="left" w:pos="1680"/>
      </w:tabs>
      <w:adjustRightInd/>
      <w:ind w:left="1680" w:hanging="420"/>
    </w:pPr>
  </w:style>
  <w:style w:type="paragraph" w:customStyle="1" w:styleId="540">
    <w:name w:val="默认段落字体 Para Char Char Char Char"/>
    <w:basedOn w:val="1"/>
    <w:qFormat/>
    <w:uiPriority w:val="0"/>
    <w:pPr>
      <w:spacing w:line="360" w:lineRule="auto"/>
    </w:pPr>
    <w:rPr>
      <w:szCs w:val="20"/>
    </w:rPr>
  </w:style>
  <w:style w:type="paragraph" w:customStyle="1" w:styleId="54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4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4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character" w:customStyle="1" w:styleId="546">
    <w:name w:val="脚注文本 Char"/>
    <w:basedOn w:val="64"/>
    <w:semiHidden/>
    <w:qFormat/>
    <w:uiPriority w:val="99"/>
    <w:rPr>
      <w:rFonts w:ascii="Times New Roman" w:hAnsi="Times New Roman" w:eastAsia="宋体" w:cs="Times New Roman"/>
      <w:sz w:val="18"/>
      <w:szCs w:val="18"/>
    </w:rPr>
  </w:style>
  <w:style w:type="character" w:customStyle="1" w:styleId="547">
    <w:name w:val="正文文本缩进 2 Char"/>
    <w:basedOn w:val="64"/>
    <w:semiHidden/>
    <w:qFormat/>
    <w:uiPriority w:val="99"/>
    <w:rPr>
      <w:rFonts w:ascii="Times New Roman" w:hAnsi="Times New Roman" w:eastAsia="宋体" w:cs="Times New Roman"/>
      <w:szCs w:val="24"/>
    </w:rPr>
  </w:style>
  <w:style w:type="paragraph" w:customStyle="1" w:styleId="54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4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550">
    <w:name w:val="一级条标题"/>
    <w:basedOn w:val="551"/>
    <w:next w:val="552"/>
    <w:qFormat/>
    <w:uiPriority w:val="0"/>
    <w:pPr>
      <w:tabs>
        <w:tab w:val="left" w:pos="1260"/>
        <w:tab w:val="left" w:pos="1680"/>
      </w:tabs>
      <w:spacing w:beforeLines="0" w:afterLines="0"/>
      <w:ind w:left="1680"/>
      <w:outlineLvl w:val="2"/>
    </w:pPr>
  </w:style>
  <w:style w:type="paragraph" w:customStyle="1" w:styleId="551">
    <w:name w:val="章标题"/>
    <w:next w:val="55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55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53">
    <w:name w:val="正文文本 3 Char"/>
    <w:basedOn w:val="64"/>
    <w:semiHidden/>
    <w:qFormat/>
    <w:uiPriority w:val="99"/>
    <w:rPr>
      <w:rFonts w:ascii="Times New Roman" w:hAnsi="Times New Roman" w:eastAsia="宋体" w:cs="Times New Roman"/>
      <w:sz w:val="16"/>
      <w:szCs w:val="16"/>
    </w:rPr>
  </w:style>
  <w:style w:type="paragraph" w:customStyle="1" w:styleId="554">
    <w:name w:val="Normal0"/>
    <w:qFormat/>
    <w:uiPriority w:val="0"/>
    <w:rPr>
      <w:rFonts w:ascii="Times New Roman" w:hAnsi="Times New Roman" w:eastAsia="宋体" w:cs="Times New Roman"/>
      <w:lang w:val="en-US" w:eastAsia="en-US" w:bidi="ar-SA"/>
    </w:rPr>
  </w:style>
  <w:style w:type="paragraph" w:customStyle="1" w:styleId="55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56">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557">
    <w:name w:val="彩色列表 - 强调文字颜色 11"/>
    <w:basedOn w:val="1"/>
    <w:qFormat/>
    <w:uiPriority w:val="0"/>
    <w:pPr>
      <w:adjustRightInd/>
      <w:ind w:firstLine="420" w:firstLineChars="200"/>
    </w:pPr>
    <w:rPr>
      <w:rFonts w:ascii="Calibri" w:hAnsi="Calibri"/>
      <w:szCs w:val="22"/>
    </w:rPr>
  </w:style>
  <w:style w:type="paragraph" w:customStyle="1" w:styleId="558">
    <w:name w:val="样式 正1 + 首行缩进:  2 字符"/>
    <w:basedOn w:val="1"/>
    <w:qFormat/>
    <w:uiPriority w:val="0"/>
    <w:pPr>
      <w:adjustRightInd/>
      <w:spacing w:line="360" w:lineRule="auto"/>
      <w:ind w:firstLine="480" w:firstLineChars="200"/>
    </w:pPr>
    <w:rPr>
      <w:rFonts w:ascii="仿宋_GB2312" w:eastAsia="仿宋_GB2312"/>
      <w:sz w:val="24"/>
    </w:rPr>
  </w:style>
  <w:style w:type="character" w:customStyle="1" w:styleId="559">
    <w:name w:val="签名 Char"/>
    <w:basedOn w:val="64"/>
    <w:semiHidden/>
    <w:qFormat/>
    <w:uiPriority w:val="99"/>
    <w:rPr>
      <w:rFonts w:ascii="Times New Roman" w:hAnsi="Times New Roman" w:eastAsia="宋体" w:cs="Times New Roman"/>
      <w:szCs w:val="24"/>
    </w:rPr>
  </w:style>
  <w:style w:type="paragraph" w:customStyle="1" w:styleId="56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561">
    <w:name w:val="样式 标题 2标题2H2Heading 2 HiddenHeading 2 CCBSheading 22nd lev..."/>
    <w:basedOn w:val="2"/>
    <w:qFormat/>
    <w:uiPriority w:val="0"/>
    <w:pPr>
      <w:widowControl/>
      <w:tabs>
        <w:tab w:val="left" w:pos="432"/>
      </w:tabs>
      <w:adjustRightInd/>
      <w:jc w:val="left"/>
    </w:pPr>
    <w:rPr>
      <w:rFonts w:ascii="Arial" w:hAnsi="Arial" w:eastAsia="黑体" w:cs="Times New Roman"/>
      <w:sz w:val="30"/>
      <w:szCs w:val="21"/>
      <w:lang w:val="zh-CN"/>
    </w:rPr>
  </w:style>
  <w:style w:type="paragraph" w:customStyle="1" w:styleId="56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63">
    <w:name w:val="标书表格字体格式"/>
    <w:next w:val="535"/>
    <w:qFormat/>
    <w:uiPriority w:val="0"/>
    <w:rPr>
      <w:rFonts w:ascii="Times New Roman" w:hAnsi="Times New Roman" w:eastAsia="宋体" w:cs="Times New Roman"/>
      <w:kern w:val="2"/>
      <w:sz w:val="21"/>
      <w:szCs w:val="24"/>
      <w:lang w:val="en-US" w:eastAsia="zh-CN" w:bidi="ar-SA"/>
    </w:rPr>
  </w:style>
  <w:style w:type="paragraph" w:customStyle="1" w:styleId="56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65">
    <w:name w:val="Char Char1 Char Char Char2"/>
    <w:basedOn w:val="1"/>
    <w:qFormat/>
    <w:uiPriority w:val="0"/>
    <w:rPr>
      <w:rFonts w:ascii="仿宋_GB2312" w:eastAsia="仿宋_GB2312"/>
      <w:b/>
      <w:sz w:val="32"/>
      <w:szCs w:val="32"/>
    </w:rPr>
  </w:style>
  <w:style w:type="paragraph" w:customStyle="1" w:styleId="56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56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5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570">
    <w:name w:val="Char Char11 Char Char Char Char Char Char Char Char Char11"/>
    <w:basedOn w:val="1"/>
    <w:qFormat/>
    <w:uiPriority w:val="0"/>
    <w:pPr>
      <w:spacing w:line="360" w:lineRule="auto"/>
    </w:pPr>
    <w:rPr>
      <w:szCs w:val="20"/>
    </w:rPr>
  </w:style>
  <w:style w:type="paragraph" w:customStyle="1" w:styleId="57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7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76">
    <w:name w:val="p0"/>
    <w:basedOn w:val="1"/>
    <w:qFormat/>
    <w:uiPriority w:val="0"/>
    <w:pPr>
      <w:widowControl/>
      <w:adjustRightInd/>
    </w:pPr>
    <w:rPr>
      <w:kern w:val="0"/>
      <w:szCs w:val="21"/>
    </w:rPr>
  </w:style>
  <w:style w:type="character" w:customStyle="1" w:styleId="577">
    <w:name w:val="HTML 预设格式 Char"/>
    <w:basedOn w:val="64"/>
    <w:semiHidden/>
    <w:qFormat/>
    <w:uiPriority w:val="99"/>
    <w:rPr>
      <w:rFonts w:ascii="Courier New" w:hAnsi="Courier New" w:eastAsia="宋体" w:cs="Courier New"/>
      <w:sz w:val="20"/>
      <w:szCs w:val="20"/>
    </w:rPr>
  </w:style>
  <w:style w:type="paragraph" w:customStyle="1" w:styleId="57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7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580">
    <w:name w:val="CM14"/>
    <w:basedOn w:val="84"/>
    <w:next w:val="84"/>
    <w:qFormat/>
    <w:uiPriority w:val="0"/>
    <w:pPr>
      <w:spacing w:after="68"/>
    </w:pPr>
    <w:rPr>
      <w:rFonts w:ascii="FHLHE E+ Futura Bk" w:eastAsia="FHLHE E+ Futura Bk" w:cs="Times New Roman"/>
      <w:color w:val="auto"/>
    </w:rPr>
  </w:style>
  <w:style w:type="paragraph" w:customStyle="1" w:styleId="58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8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584">
    <w:name w:val="列出段落4"/>
    <w:basedOn w:val="1"/>
    <w:qFormat/>
    <w:uiPriority w:val="0"/>
    <w:pPr>
      <w:adjustRightInd/>
      <w:spacing w:line="360" w:lineRule="auto"/>
      <w:ind w:firstLine="420" w:firstLineChars="200"/>
    </w:pPr>
    <w:rPr>
      <w:rFonts w:ascii="Calibri" w:hAnsi="Calibri"/>
      <w:sz w:val="24"/>
      <w:szCs w:val="22"/>
    </w:rPr>
  </w:style>
  <w:style w:type="character" w:customStyle="1" w:styleId="585">
    <w:name w:val="正文文本 2 Char1"/>
    <w:basedOn w:val="64"/>
    <w:semiHidden/>
    <w:qFormat/>
    <w:uiPriority w:val="99"/>
    <w:rPr>
      <w:rFonts w:ascii="Times New Roman" w:hAnsi="Times New Roman" w:eastAsia="宋体" w:cs="Times New Roman"/>
      <w:szCs w:val="24"/>
    </w:rPr>
  </w:style>
  <w:style w:type="paragraph" w:customStyle="1" w:styleId="586">
    <w:name w:val="标准小四"/>
    <w:basedOn w:val="1"/>
    <w:qFormat/>
    <w:uiPriority w:val="0"/>
    <w:pPr>
      <w:spacing w:line="360" w:lineRule="auto"/>
      <w:ind w:firstLine="480" w:firstLineChars="200"/>
    </w:pPr>
    <w:rPr>
      <w:rFonts w:ascii="Arial" w:hAnsi="Arial"/>
      <w:sz w:val="24"/>
      <w:szCs w:val="21"/>
    </w:rPr>
  </w:style>
  <w:style w:type="paragraph" w:customStyle="1" w:styleId="5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8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58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59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59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9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9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59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59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character" w:customStyle="1" w:styleId="596">
    <w:name w:val="副标题 Char"/>
    <w:basedOn w:val="64"/>
    <w:qFormat/>
    <w:uiPriority w:val="11"/>
    <w:rPr>
      <w:rFonts w:eastAsia="宋体" w:asciiTheme="majorHAnsi" w:hAnsiTheme="majorHAnsi" w:cstheme="majorBidi"/>
      <w:b/>
      <w:bCs/>
      <w:kern w:val="28"/>
      <w:sz w:val="32"/>
      <w:szCs w:val="32"/>
    </w:rPr>
  </w:style>
  <w:style w:type="paragraph" w:customStyle="1" w:styleId="597">
    <w:name w:val="Char Char Char Char Char Char Char2"/>
    <w:basedOn w:val="1"/>
    <w:qFormat/>
    <w:uiPriority w:val="0"/>
    <w:rPr>
      <w:rFonts w:ascii="仿宋_GB2312" w:eastAsia="仿宋_GB2312"/>
      <w:b/>
      <w:sz w:val="32"/>
      <w:szCs w:val="32"/>
    </w:rPr>
  </w:style>
  <w:style w:type="paragraph" w:customStyle="1" w:styleId="59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99">
    <w:name w:val="Char Char Char Char Char Char Char Char Char Char Char1 Char"/>
    <w:basedOn w:val="1"/>
    <w:qFormat/>
    <w:uiPriority w:val="0"/>
    <w:pPr>
      <w:adjustRightInd/>
    </w:pPr>
    <w:rPr>
      <w:rFonts w:ascii="Tahoma" w:hAnsi="Tahoma"/>
      <w:sz w:val="24"/>
    </w:rPr>
  </w:style>
  <w:style w:type="paragraph" w:customStyle="1" w:styleId="60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601">
    <w:name w:val="P1"/>
    <w:basedOn w:val="1"/>
    <w:qFormat/>
    <w:uiPriority w:val="0"/>
    <w:pPr>
      <w:adjustRightInd/>
      <w:spacing w:line="288" w:lineRule="auto"/>
      <w:ind w:firstLine="425" w:firstLineChars="200"/>
    </w:pPr>
  </w:style>
  <w:style w:type="paragraph" w:customStyle="1" w:styleId="6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60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604">
    <w:name w:val="Char Char Char Char"/>
    <w:basedOn w:val="1"/>
    <w:qFormat/>
    <w:uiPriority w:val="0"/>
    <w:rPr>
      <w:rFonts w:ascii="Tahoma" w:hAnsi="Tahoma"/>
      <w:sz w:val="24"/>
      <w:szCs w:val="20"/>
    </w:rPr>
  </w:style>
  <w:style w:type="paragraph" w:customStyle="1" w:styleId="60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character" w:customStyle="1" w:styleId="606">
    <w:name w:val="尾注文本 Char"/>
    <w:basedOn w:val="64"/>
    <w:semiHidden/>
    <w:qFormat/>
    <w:uiPriority w:val="99"/>
    <w:rPr>
      <w:rFonts w:ascii="Times New Roman" w:hAnsi="Times New Roman" w:eastAsia="宋体" w:cs="Times New Roman"/>
      <w:szCs w:val="24"/>
    </w:rPr>
  </w:style>
  <w:style w:type="paragraph" w:customStyle="1" w:styleId="607">
    <w:name w:val="标准有序列表（L1）"/>
    <w:basedOn w:val="1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60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09">
    <w:name w:val="表格内文"/>
    <w:basedOn w:val="1"/>
    <w:qFormat/>
    <w:uiPriority w:val="0"/>
    <w:pPr>
      <w:adjustRightInd/>
      <w:spacing w:line="360" w:lineRule="auto"/>
    </w:pPr>
    <w:rPr>
      <w:rFonts w:ascii="宋体" w:hAnsi="宋体" w:cs="宋体"/>
      <w:color w:val="000000"/>
      <w:szCs w:val="20"/>
    </w:rPr>
  </w:style>
  <w:style w:type="paragraph" w:customStyle="1" w:styleId="61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611">
    <w:name w:val="数字标题2"/>
    <w:basedOn w:val="2"/>
    <w:next w:val="1"/>
    <w:qFormat/>
    <w:uiPriority w:val="0"/>
    <w:pPr>
      <w:tabs>
        <w:tab w:val="left" w:pos="480"/>
      </w:tabs>
      <w:adjustRightInd/>
      <w:spacing w:before="0" w:after="0" w:line="360" w:lineRule="auto"/>
      <w:ind w:left="480" w:hanging="480"/>
      <w:jc w:val="left"/>
    </w:pPr>
    <w:rPr>
      <w:rFonts w:ascii="Times New Roman" w:hAnsi="仿宋" w:eastAsia="宋体" w:cs="Times New Roman"/>
      <w:i/>
      <w:sz w:val="36"/>
      <w:szCs w:val="36"/>
    </w:rPr>
  </w:style>
  <w:style w:type="paragraph" w:customStyle="1" w:styleId="61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613">
    <w:name w:val="样式 标题 22h2L1 Heading 2H2sect 1.2H21sect 1.21H22sect 1.2..."/>
    <w:basedOn w:val="2"/>
    <w:next w:val="1"/>
    <w:qFormat/>
    <w:uiPriority w:val="0"/>
    <w:pPr>
      <w:tabs>
        <w:tab w:val="left" w:pos="425"/>
      </w:tabs>
      <w:adjustRightInd/>
      <w:spacing w:line="415" w:lineRule="auto"/>
      <w:ind w:left="425" w:hanging="425"/>
      <w:jc w:val="left"/>
    </w:pPr>
    <w:rPr>
      <w:rFonts w:ascii="微软雅黑" w:hAnsi="微软雅黑" w:eastAsia="微软雅黑" w:cs="Times New Roman"/>
    </w:rPr>
  </w:style>
  <w:style w:type="paragraph" w:customStyle="1" w:styleId="61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615">
    <w:name w:val="正文（首行缩进2字符）"/>
    <w:basedOn w:val="1"/>
    <w:qFormat/>
    <w:uiPriority w:val="0"/>
    <w:pPr>
      <w:adjustRightInd/>
      <w:spacing w:line="360" w:lineRule="auto"/>
      <w:ind w:firstLine="480" w:firstLineChars="200"/>
    </w:pPr>
    <w:rPr>
      <w:sz w:val="24"/>
      <w:szCs w:val="20"/>
    </w:rPr>
  </w:style>
  <w:style w:type="paragraph" w:customStyle="1" w:styleId="616">
    <w:name w:val="文档正文"/>
    <w:basedOn w:val="1"/>
    <w:qFormat/>
    <w:uiPriority w:val="0"/>
    <w:pPr>
      <w:spacing w:line="480" w:lineRule="atLeast"/>
      <w:ind w:firstLine="567"/>
      <w:textAlignment w:val="baseline"/>
    </w:pPr>
    <w:rPr>
      <w:kern w:val="0"/>
      <w:sz w:val="24"/>
      <w:szCs w:val="20"/>
    </w:rPr>
  </w:style>
  <w:style w:type="paragraph" w:customStyle="1" w:styleId="617">
    <w:name w:val="Char Char111"/>
    <w:basedOn w:val="1"/>
    <w:qFormat/>
    <w:uiPriority w:val="0"/>
    <w:pPr>
      <w:spacing w:line="360" w:lineRule="auto"/>
    </w:pPr>
    <w:rPr>
      <w:szCs w:val="20"/>
    </w:rPr>
  </w:style>
  <w:style w:type="paragraph" w:customStyle="1" w:styleId="618">
    <w:name w:val="四号　首行缩进"/>
    <w:basedOn w:val="1"/>
    <w:qFormat/>
    <w:uiPriority w:val="0"/>
    <w:pPr>
      <w:adjustRightInd/>
      <w:spacing w:line="360" w:lineRule="auto"/>
    </w:pPr>
    <w:rPr>
      <w:rFonts w:ascii="宋体" w:hAnsi="宋体"/>
      <w:szCs w:val="20"/>
    </w:rPr>
  </w:style>
  <w:style w:type="paragraph" w:customStyle="1" w:styleId="619">
    <w:name w:val="正文表标题"/>
    <w:next w:val="55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2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621">
    <w:name w:val="批注主题 Char1"/>
    <w:basedOn w:val="97"/>
    <w:semiHidden/>
    <w:qFormat/>
    <w:uiPriority w:val="99"/>
    <w:rPr>
      <w:rFonts w:ascii="Times New Roman" w:hAnsi="Times New Roman" w:eastAsia="宋体" w:cs="Times New Roman"/>
      <w:b/>
      <w:bCs/>
      <w:szCs w:val="24"/>
    </w:rPr>
  </w:style>
  <w:style w:type="paragraph" w:customStyle="1" w:styleId="622">
    <w:name w:val="Char1 Char Char Char4"/>
    <w:basedOn w:val="1"/>
    <w:qFormat/>
    <w:uiPriority w:val="0"/>
    <w:pPr>
      <w:adjustRightInd/>
      <w:ind w:firstLine="200" w:firstLineChars="200"/>
    </w:pPr>
    <w:rPr>
      <w:rFonts w:ascii="Tahoma" w:hAnsi="Tahoma"/>
      <w:sz w:val="24"/>
      <w:szCs w:val="20"/>
    </w:rPr>
  </w:style>
  <w:style w:type="paragraph" w:customStyle="1" w:styleId="62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24">
    <w:name w:val="Char Char1 Char Char Char Char Char Char1"/>
    <w:basedOn w:val="1"/>
    <w:qFormat/>
    <w:uiPriority w:val="0"/>
    <w:rPr>
      <w:rFonts w:ascii="仿宋_GB2312" w:eastAsia="仿宋_GB2312"/>
      <w:b/>
      <w:sz w:val="32"/>
      <w:szCs w:val="20"/>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character" w:customStyle="1" w:styleId="627">
    <w:name w:val="正文文本缩进 3 Char"/>
    <w:basedOn w:val="64"/>
    <w:semiHidden/>
    <w:qFormat/>
    <w:uiPriority w:val="99"/>
    <w:rPr>
      <w:rFonts w:ascii="Times New Roman" w:hAnsi="Times New Roman" w:eastAsia="宋体" w:cs="Times New Roman"/>
      <w:sz w:val="16"/>
      <w:szCs w:val="16"/>
    </w:rPr>
  </w:style>
  <w:style w:type="paragraph" w:customStyle="1" w:styleId="628">
    <w:name w:val="Char2 Char Char Char1"/>
    <w:basedOn w:val="1"/>
    <w:qFormat/>
    <w:uiPriority w:val="6"/>
    <w:rPr>
      <w:rFonts w:ascii="仿宋_GB2312" w:eastAsia="仿宋_GB2312"/>
      <w:b/>
      <w:sz w:val="32"/>
      <w:szCs w:val="32"/>
    </w:rPr>
  </w:style>
  <w:style w:type="paragraph" w:customStyle="1" w:styleId="629">
    <w:name w:val="正文文字缩进2字"/>
    <w:basedOn w:val="22"/>
    <w:qFormat/>
    <w:uiPriority w:val="0"/>
    <w:pPr>
      <w:adjustRightInd/>
      <w:spacing w:before="60" w:after="60" w:line="360" w:lineRule="auto"/>
      <w:ind w:firstLine="200" w:firstLineChars="200"/>
    </w:pPr>
    <w:rPr>
      <w:rFonts w:hAnsi="Arial" w:cs="Arial"/>
      <w:snapToGrid w:val="0"/>
      <w:sz w:val="24"/>
      <w:szCs w:val="20"/>
    </w:rPr>
  </w:style>
  <w:style w:type="paragraph" w:customStyle="1" w:styleId="630">
    <w:name w:val="样式 标题 1章节第一层h1H"/>
    <w:basedOn w:val="3"/>
    <w:qFormat/>
    <w:uiPriority w:val="0"/>
    <w:pPr>
      <w:widowControl w:val="0"/>
      <w:tabs>
        <w:tab w:val="left" w:pos="432"/>
      </w:tabs>
      <w:autoSpaceDE w:val="0"/>
      <w:autoSpaceDN w:val="0"/>
      <w:adjustRightInd w:val="0"/>
      <w:spacing w:before="0" w:beforeAutospacing="0" w:after="0" w:afterAutospacing="0"/>
      <w:outlineLvl w:val="9"/>
    </w:pPr>
    <w:rPr>
      <w:rFonts w:ascii="Times New Roman" w:hAnsi="Times New Roman" w:cs="Times New Roman"/>
      <w:kern w:val="0"/>
      <w:sz w:val="52"/>
      <w:szCs w:val="52"/>
      <w:lang w:val="zh-CN"/>
    </w:rPr>
  </w:style>
  <w:style w:type="paragraph" w:customStyle="1" w:styleId="63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3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34">
    <w:name w:val="Picture"/>
    <w:basedOn w:val="1"/>
    <w:next w:val="15"/>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35">
    <w:name w:val="!大节"/>
    <w:basedOn w:val="2"/>
    <w:qFormat/>
    <w:uiPriority w:val="0"/>
    <w:pPr>
      <w:tabs>
        <w:tab w:val="left" w:pos="432"/>
      </w:tabs>
      <w:adjustRightInd/>
      <w:spacing w:line="415" w:lineRule="auto"/>
      <w:ind w:left="420" w:hanging="420"/>
      <w:jc w:val="left"/>
    </w:pPr>
    <w:rPr>
      <w:rFonts w:ascii="Arial" w:hAnsi="Arial" w:eastAsia="微软雅黑" w:cs="Times New Roman"/>
    </w:rPr>
  </w:style>
  <w:style w:type="character" w:customStyle="1" w:styleId="636">
    <w:name w:val="称呼 Char"/>
    <w:basedOn w:val="64"/>
    <w:semiHidden/>
    <w:qFormat/>
    <w:uiPriority w:val="99"/>
    <w:rPr>
      <w:rFonts w:ascii="Times New Roman" w:hAnsi="Times New Roman" w:eastAsia="宋体" w:cs="Times New Roman"/>
      <w:szCs w:val="24"/>
    </w:rPr>
  </w:style>
  <w:style w:type="paragraph" w:customStyle="1" w:styleId="637">
    <w:name w:val="Char1 Char Char Char21"/>
    <w:basedOn w:val="1"/>
    <w:qFormat/>
    <w:uiPriority w:val="0"/>
    <w:rPr>
      <w:rFonts w:ascii="Tahoma" w:hAnsi="Tahoma"/>
      <w:sz w:val="24"/>
      <w:szCs w:val="20"/>
    </w:rPr>
  </w:style>
  <w:style w:type="paragraph" w:customStyle="1" w:styleId="63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639">
    <w:name w:val="文档结构图 Char1"/>
    <w:basedOn w:val="64"/>
    <w:semiHidden/>
    <w:qFormat/>
    <w:uiPriority w:val="99"/>
    <w:rPr>
      <w:rFonts w:ascii="宋体" w:hAnsi="Times New Roman" w:eastAsia="宋体" w:cs="Times New Roman"/>
      <w:sz w:val="18"/>
      <w:szCs w:val="18"/>
    </w:rPr>
  </w:style>
  <w:style w:type="paragraph" w:customStyle="1" w:styleId="64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表格"/>
    <w:basedOn w:val="1"/>
    <w:qFormat/>
    <w:uiPriority w:val="0"/>
    <w:pPr>
      <w:snapToGrid w:val="0"/>
      <w:ind w:firstLine="42" w:firstLineChars="21"/>
    </w:pPr>
    <w:rPr>
      <w:rFonts w:ascii="宋体" w:hAnsi="宋体"/>
      <w:kern w:val="0"/>
      <w:sz w:val="20"/>
      <w:szCs w:val="20"/>
    </w:rPr>
  </w:style>
  <w:style w:type="paragraph" w:customStyle="1" w:styleId="64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64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4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46">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7">
    <w:name w:val="中文标题 3"/>
    <w:basedOn w:val="25"/>
    <w:qFormat/>
    <w:uiPriority w:val="0"/>
    <w:pPr>
      <w:spacing w:before="100" w:beforeAutospacing="1" w:after="100" w:afterAutospacing="1" w:line="360" w:lineRule="auto"/>
      <w:ind w:left="0" w:firstLine="482" w:firstLineChars="0"/>
    </w:pPr>
    <w:rPr>
      <w:rFonts w:ascii="Times New Roman" w:hAnsi="Times New Roman" w:eastAsia="楷体_GB2312" w:cs="Times New Roman"/>
      <w:kern w:val="28"/>
    </w:rPr>
  </w:style>
  <w:style w:type="paragraph" w:customStyle="1" w:styleId="64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4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50">
    <w:name w:val="三级条标题"/>
    <w:basedOn w:val="651"/>
    <w:next w:val="552"/>
    <w:qFormat/>
    <w:uiPriority w:val="0"/>
    <w:pPr>
      <w:tabs>
        <w:tab w:val="left" w:pos="1260"/>
        <w:tab w:val="left" w:pos="2100"/>
        <w:tab w:val="left" w:pos="2520"/>
      </w:tabs>
      <w:ind w:left="2520"/>
      <w:outlineLvl w:val="4"/>
    </w:pPr>
  </w:style>
  <w:style w:type="paragraph" w:customStyle="1" w:styleId="651">
    <w:name w:val="二级条标题"/>
    <w:basedOn w:val="550"/>
    <w:next w:val="552"/>
    <w:qFormat/>
    <w:uiPriority w:val="0"/>
    <w:pPr>
      <w:tabs>
        <w:tab w:val="left" w:pos="2100"/>
        <w:tab w:val="clear" w:pos="1680"/>
      </w:tabs>
      <w:ind w:left="0"/>
      <w:outlineLvl w:val="3"/>
    </w:pPr>
  </w:style>
  <w:style w:type="paragraph" w:customStyle="1" w:styleId="652">
    <w:name w:val="正文文字表格居中"/>
    <w:basedOn w:val="1"/>
    <w:next w:val="51"/>
    <w:qFormat/>
    <w:uiPriority w:val="0"/>
    <w:pPr>
      <w:snapToGrid w:val="0"/>
      <w:spacing w:line="360" w:lineRule="auto"/>
    </w:pPr>
    <w:rPr>
      <w:rFonts w:ascii="宋体"/>
      <w:b/>
      <w:sz w:val="24"/>
      <w:szCs w:val="20"/>
    </w:rPr>
  </w:style>
  <w:style w:type="paragraph" w:customStyle="1" w:styleId="65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6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5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56">
    <w:name w:val="Char Char1101"/>
    <w:basedOn w:val="1"/>
    <w:qFormat/>
    <w:uiPriority w:val="0"/>
    <w:pPr>
      <w:spacing w:line="360" w:lineRule="auto"/>
    </w:pPr>
    <w:rPr>
      <w:rFonts w:ascii="Tahoma" w:hAnsi="Tahoma"/>
      <w:sz w:val="24"/>
      <w:szCs w:val="20"/>
    </w:rPr>
  </w:style>
  <w:style w:type="paragraph" w:customStyle="1" w:styleId="657">
    <w:name w:val="正文－恩普"/>
    <w:basedOn w:val="14"/>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65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65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6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1">
    <w:name w:val="样式 标题 1Level 1 HeadPIM 1Section Headh1l11Heading 0Datash..."/>
    <w:basedOn w:val="3"/>
    <w:qFormat/>
    <w:uiPriority w:val="0"/>
    <w:pPr>
      <w:tabs>
        <w:tab w:val="left" w:pos="432"/>
      </w:tabs>
      <w:overflowPunct w:val="0"/>
      <w:autoSpaceDE w:val="0"/>
      <w:autoSpaceDN w:val="0"/>
      <w:adjustRightInd w:val="0"/>
      <w:spacing w:before="0" w:beforeAutospacing="0" w:afterAutospacing="0" w:line="360" w:lineRule="auto"/>
      <w:textAlignment w:val="baseline"/>
    </w:pPr>
    <w:rPr>
      <w:rFonts w:cs="Times New Roman"/>
      <w:kern w:val="2"/>
      <w:sz w:val="24"/>
      <w:szCs w:val="20"/>
    </w:rPr>
  </w:style>
  <w:style w:type="paragraph" w:customStyle="1" w:styleId="662">
    <w:name w:val="TOC 标题111"/>
    <w:basedOn w:val="3"/>
    <w:next w:val="1"/>
    <w:unhideWhenUsed/>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66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64">
    <w:name w:val="Char3 Char Char Char1"/>
    <w:basedOn w:val="1"/>
    <w:qFormat/>
    <w:uiPriority w:val="6"/>
    <w:pPr>
      <w:widowControl/>
      <w:adjustRightInd/>
      <w:spacing w:after="160" w:line="240" w:lineRule="exact"/>
      <w:jc w:val="left"/>
    </w:pPr>
    <w:rPr>
      <w:szCs w:val="20"/>
    </w:rPr>
  </w:style>
  <w:style w:type="paragraph" w:customStyle="1" w:styleId="665">
    <w:name w:val="EB_表格"/>
    <w:basedOn w:val="1"/>
    <w:qFormat/>
    <w:uiPriority w:val="0"/>
    <w:pPr>
      <w:adjustRightInd/>
      <w:spacing w:line="300" w:lineRule="auto"/>
      <w:jc w:val="center"/>
    </w:pPr>
  </w:style>
  <w:style w:type="paragraph" w:customStyle="1" w:styleId="666">
    <w:name w:val="样式 标题 3标题 3 Char第二层条h33Bold Headbh章标题1小标题level_3PIM 3..."/>
    <w:basedOn w:val="4"/>
    <w:qFormat/>
    <w:uiPriority w:val="0"/>
    <w:pPr>
      <w:tabs>
        <w:tab w:val="left" w:pos="900"/>
      </w:tabs>
      <w:snapToGrid w:val="0"/>
      <w:spacing w:before="0" w:after="0" w:line="360" w:lineRule="auto"/>
      <w:ind w:left="900" w:hanging="720"/>
    </w:pPr>
    <w:rPr>
      <w:rFonts w:ascii="黑体" w:hAnsi="宋体" w:eastAsia="黑体" w:cs="宋体"/>
      <w:b w:val="0"/>
      <w:bCs w:val="0"/>
      <w:color w:val="000000"/>
      <w:kern w:val="0"/>
      <w:sz w:val="28"/>
      <w:szCs w:val="20"/>
    </w:rPr>
  </w:style>
  <w:style w:type="paragraph" w:customStyle="1" w:styleId="667">
    <w:name w:val="样式 标题 1 + 黑色 段前: 0.5 行 段后: 0.5 行1"/>
    <w:basedOn w:val="3"/>
    <w:qFormat/>
    <w:uiPriority w:val="0"/>
    <w:pPr>
      <w:keepNext/>
      <w:pageBreakBefore/>
      <w:widowControl w:val="0"/>
      <w:pBdr>
        <w:top w:val="single" w:color="auto" w:sz="4" w:space="1"/>
        <w:left w:val="single" w:color="auto" w:sz="4" w:space="4"/>
        <w:bottom w:val="single" w:color="auto" w:sz="4" w:space="1"/>
        <w:right w:val="single" w:color="auto" w:sz="4" w:space="4"/>
      </w:pBdr>
      <w:shd w:val="clear" w:color="auto" w:fill="333399"/>
      <w:tabs>
        <w:tab w:val="left" w:pos="432"/>
      </w:tabs>
      <w:spacing w:before="0" w:beforeAutospacing="0" w:after="0" w:afterAutospacing="0" w:line="640" w:lineRule="exact"/>
      <w:ind w:left="431" w:hanging="431"/>
      <w:jc w:val="center"/>
    </w:pPr>
    <w:rPr>
      <w:rFonts w:ascii="黑体" w:hAnsi="黑体" w:eastAsia="黑体" w:cs="Arial"/>
      <w:caps/>
      <w:color w:val="FFFFFF"/>
      <w:kern w:val="2"/>
      <w:sz w:val="30"/>
      <w:szCs w:val="20"/>
    </w:rPr>
  </w:style>
  <w:style w:type="paragraph" w:customStyle="1" w:styleId="668">
    <w:name w:val="正文首行缩进1"/>
    <w:basedOn w:val="22"/>
    <w:qFormat/>
    <w:uiPriority w:val="0"/>
    <w:pPr>
      <w:suppressAutoHyphens/>
      <w:adjustRightInd/>
      <w:ind w:firstLine="420"/>
      <w:jc w:val="left"/>
    </w:pPr>
    <w:rPr>
      <w:rFonts w:hAnsi="Arial" w:cs="Arial"/>
      <w:snapToGrid w:val="0"/>
      <w:kern w:val="1"/>
      <w:sz w:val="28"/>
      <w:lang w:eastAsia="ar-SA"/>
    </w:rPr>
  </w:style>
  <w:style w:type="paragraph" w:customStyle="1" w:styleId="66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7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7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672">
    <w:name w:val="Char Char1121"/>
    <w:basedOn w:val="1"/>
    <w:qFormat/>
    <w:uiPriority w:val="0"/>
    <w:pPr>
      <w:spacing w:line="360" w:lineRule="auto"/>
    </w:pPr>
    <w:rPr>
      <w:szCs w:val="20"/>
    </w:rPr>
  </w:style>
  <w:style w:type="paragraph" w:customStyle="1" w:styleId="67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674">
    <w:name w:val="正文1"/>
    <w:basedOn w:val="31"/>
    <w:qFormat/>
    <w:uiPriority w:val="0"/>
    <w:pPr>
      <w:tabs>
        <w:tab w:val="right" w:leader="dot" w:pos="8268"/>
      </w:tabs>
      <w:spacing w:line="460" w:lineRule="exact"/>
      <w:ind w:left="0" w:leftChars="0" w:firstLine="480" w:firstLineChars="200"/>
    </w:pPr>
    <w:rPr>
      <w:rFonts w:ascii="仿宋_GB2312" w:hAnsi="Courier New" w:eastAsia="仿宋_GB2312"/>
      <w:kern w:val="28"/>
      <w:sz w:val="24"/>
    </w:rPr>
  </w:style>
  <w:style w:type="paragraph" w:customStyle="1" w:styleId="675">
    <w:name w:val="_Style 12"/>
    <w:basedOn w:val="17"/>
    <w:qFormat/>
    <w:uiPriority w:val="0"/>
    <w:pPr>
      <w:snapToGrid w:val="0"/>
      <w:spacing w:line="360" w:lineRule="auto"/>
    </w:pPr>
  </w:style>
  <w:style w:type="paragraph" w:customStyle="1" w:styleId="676">
    <w:name w:val="模板普通正文"/>
    <w:basedOn w:val="25"/>
    <w:qFormat/>
    <w:uiPriority w:val="0"/>
    <w:pPr>
      <w:spacing w:beforeLines="50" w:after="10" w:line="360" w:lineRule="auto"/>
      <w:ind w:left="0" w:firstLine="175" w:firstLineChars="175"/>
      <w:jc w:val="left"/>
    </w:pPr>
    <w:rPr>
      <w:rFonts w:ascii="Times New Roman" w:hAnsi="Times New Roman" w:eastAsia="宋体" w:cs="Times New Roman"/>
    </w:rPr>
  </w:style>
  <w:style w:type="paragraph" w:customStyle="1" w:styleId="677">
    <w:name w:val="Char1 Char Char Char2"/>
    <w:basedOn w:val="1"/>
    <w:qFormat/>
    <w:uiPriority w:val="0"/>
    <w:pPr>
      <w:adjustRightInd/>
      <w:ind w:firstLine="200" w:firstLineChars="200"/>
    </w:pPr>
    <w:rPr>
      <w:rFonts w:ascii="Tahoma" w:hAnsi="Tahoma"/>
      <w:sz w:val="24"/>
      <w:szCs w:val="20"/>
    </w:rPr>
  </w:style>
  <w:style w:type="paragraph" w:customStyle="1" w:styleId="67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7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683">
    <w:name w:val="Char Char Char Char11"/>
    <w:basedOn w:val="1"/>
    <w:qFormat/>
    <w:uiPriority w:val="0"/>
    <w:rPr>
      <w:rFonts w:ascii="Tahoma" w:hAnsi="Tahoma"/>
      <w:sz w:val="24"/>
      <w:szCs w:val="20"/>
    </w:rPr>
  </w:style>
  <w:style w:type="paragraph" w:customStyle="1" w:styleId="684">
    <w:name w:val="有符号正文"/>
    <w:basedOn w:val="1"/>
    <w:qFormat/>
    <w:uiPriority w:val="0"/>
    <w:pPr>
      <w:adjustRightInd/>
      <w:spacing w:line="400" w:lineRule="exact"/>
      <w:ind w:firstLine="200" w:firstLineChars="200"/>
    </w:pPr>
    <w:rPr>
      <w:rFonts w:ascii="Arial" w:hAnsi="Arial"/>
    </w:rPr>
  </w:style>
  <w:style w:type="paragraph" w:customStyle="1" w:styleId="685">
    <w:name w:val="样式 标题 2 + 四号"/>
    <w:basedOn w:val="2"/>
    <w:qFormat/>
    <w:uiPriority w:val="0"/>
    <w:pPr>
      <w:tabs>
        <w:tab w:val="left" w:pos="432"/>
      </w:tabs>
      <w:adjustRightInd/>
      <w:spacing w:before="120" w:after="120" w:line="360" w:lineRule="auto"/>
    </w:pPr>
    <w:rPr>
      <w:rFonts w:ascii="宋体" w:hAnsi="Arial" w:eastAsia="宋体" w:cs="Times New Roman"/>
      <w:sz w:val="28"/>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样式 标题 4PIM 4H4h4bulletblbbH41H42H43H44H45H46H47H48...1"/>
    <w:basedOn w:val="5"/>
    <w:qFormat/>
    <w:uiPriority w:val="0"/>
    <w:pPr>
      <w:widowControl/>
      <w:jc w:val="left"/>
    </w:pPr>
    <w:rPr>
      <w:rFonts w:cs="宋体"/>
      <w:sz w:val="24"/>
      <w:szCs w:val="20"/>
    </w:rPr>
  </w:style>
  <w:style w:type="paragraph" w:customStyle="1" w:styleId="688">
    <w:name w:val="样式 正文文本缩进 + 左侧:  2 字符 首行缩进:  2 字符"/>
    <w:basedOn w:val="25"/>
    <w:qFormat/>
    <w:uiPriority w:val="0"/>
    <w:pPr>
      <w:tabs>
        <w:tab w:val="left" w:pos="360"/>
        <w:tab w:val="left" w:pos="540"/>
      </w:tabs>
      <w:spacing w:line="520" w:lineRule="exact"/>
      <w:ind w:left="200" w:firstLine="560" w:firstLineChars="200"/>
    </w:pPr>
    <w:rPr>
      <w:rFonts w:ascii="仿宋_GB2312" w:hAnsi="Times New Roman" w:eastAsia="仿宋_GB2312" w:cs="Times New Roman"/>
      <w:sz w:val="28"/>
      <w:szCs w:val="20"/>
    </w:rPr>
  </w:style>
  <w:style w:type="paragraph" w:customStyle="1" w:styleId="689">
    <w:name w:val="_Style 3"/>
    <w:basedOn w:val="1"/>
    <w:qFormat/>
    <w:uiPriority w:val="0"/>
    <w:pPr>
      <w:adjustRightInd/>
      <w:ind w:firstLine="420" w:firstLineChars="200"/>
    </w:pPr>
    <w:rPr>
      <w:rFonts w:eastAsia="仿宋_GB2312"/>
      <w:sz w:val="28"/>
    </w:rPr>
  </w:style>
  <w:style w:type="paragraph" w:customStyle="1" w:styleId="690">
    <w:name w:val="Char Char Char Char Char Char Char Char Char Char Char Char1 Char1"/>
    <w:basedOn w:val="1"/>
    <w:qFormat/>
    <w:uiPriority w:val="6"/>
    <w:rPr>
      <w:rFonts w:ascii="Tahoma" w:hAnsi="Tahoma" w:cs="仿宋_GB2312"/>
      <w:sz w:val="24"/>
      <w:szCs w:val="20"/>
    </w:rPr>
  </w:style>
  <w:style w:type="paragraph" w:customStyle="1" w:styleId="69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692">
    <w:name w:val="Char Char Char"/>
    <w:basedOn w:val="1"/>
    <w:qFormat/>
    <w:uiPriority w:val="0"/>
    <w:rPr>
      <w:rFonts w:ascii="Tahoma" w:hAnsi="Tahoma"/>
      <w:sz w:val="24"/>
      <w:szCs w:val="20"/>
    </w:rPr>
  </w:style>
  <w:style w:type="paragraph" w:customStyle="1" w:styleId="693">
    <w:name w:val="标题4_自定义"/>
    <w:basedOn w:val="5"/>
    <w:qFormat/>
    <w:uiPriority w:val="0"/>
    <w:pPr>
      <w:adjustRightInd/>
      <w:spacing w:before="0" w:after="0" w:line="360" w:lineRule="auto"/>
    </w:pPr>
    <w:rPr>
      <w:rFonts w:ascii="Verdana" w:eastAsia="Verdana"/>
      <w:sz w:val="21"/>
      <w:lang w:val="en-US"/>
    </w:rPr>
  </w:style>
  <w:style w:type="paragraph" w:customStyle="1" w:styleId="69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69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696">
    <w:name w:val="Char Char Char Char Char Char Char Char"/>
    <w:basedOn w:val="1"/>
    <w:qFormat/>
    <w:uiPriority w:val="0"/>
    <w:pPr>
      <w:tabs>
        <w:tab w:val="left" w:pos="360"/>
      </w:tabs>
    </w:pPr>
    <w:rPr>
      <w:sz w:val="24"/>
      <w:szCs w:val="20"/>
    </w:rPr>
  </w:style>
  <w:style w:type="paragraph" w:customStyle="1" w:styleId="697">
    <w:name w:val="Char Char11 Char Char Char Char Char Char Char Char Char"/>
    <w:basedOn w:val="1"/>
    <w:qFormat/>
    <w:uiPriority w:val="0"/>
    <w:pPr>
      <w:spacing w:line="360" w:lineRule="auto"/>
    </w:pPr>
    <w:rPr>
      <w:szCs w:val="20"/>
    </w:rPr>
  </w:style>
  <w:style w:type="paragraph" w:customStyle="1" w:styleId="69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699">
    <w:name w:val="左对齐表格文字"/>
    <w:basedOn w:val="1"/>
    <w:qFormat/>
    <w:uiPriority w:val="0"/>
    <w:pPr>
      <w:adjustRightInd/>
      <w:ind w:firstLine="200" w:firstLineChars="200"/>
      <w:jc w:val="right"/>
    </w:pPr>
  </w:style>
  <w:style w:type="paragraph" w:customStyle="1" w:styleId="700">
    <w:name w:val="MM Topic 2"/>
    <w:basedOn w:val="2"/>
    <w:qFormat/>
    <w:uiPriority w:val="0"/>
    <w:pPr>
      <w:tabs>
        <w:tab w:val="left" w:pos="1260"/>
      </w:tabs>
      <w:adjustRightInd/>
      <w:spacing w:before="0" w:after="0" w:line="360" w:lineRule="auto"/>
      <w:ind w:left="1260" w:hanging="420"/>
      <w:jc w:val="left"/>
    </w:pPr>
    <w:rPr>
      <w:rFonts w:ascii="Arial" w:hAnsi="Arial" w:eastAsia="黑体" w:cs="Times New Roman"/>
    </w:rPr>
  </w:style>
  <w:style w:type="paragraph" w:customStyle="1" w:styleId="70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70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03">
    <w:name w:val="五级无标题条"/>
    <w:basedOn w:val="1"/>
    <w:qFormat/>
    <w:uiPriority w:val="0"/>
    <w:pPr>
      <w:adjustRightInd/>
    </w:pPr>
  </w:style>
  <w:style w:type="paragraph" w:customStyle="1" w:styleId="70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0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06">
    <w:name w:val="正文21"/>
    <w:basedOn w:val="1"/>
    <w:qFormat/>
    <w:uiPriority w:val="0"/>
    <w:pPr>
      <w:adjustRightInd/>
      <w:spacing w:before="156" w:line="360" w:lineRule="auto"/>
      <w:ind w:firstLine="510" w:firstLineChars="200"/>
    </w:pPr>
    <w:rPr>
      <w:sz w:val="24"/>
      <w:szCs w:val="20"/>
    </w:rPr>
  </w:style>
  <w:style w:type="paragraph" w:customStyle="1" w:styleId="70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70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70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71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1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71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71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71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样式 正文文本缩进 + 段前: 2 字符"/>
    <w:basedOn w:val="1"/>
    <w:qFormat/>
    <w:uiPriority w:val="0"/>
    <w:pPr>
      <w:adjustRightInd/>
      <w:ind w:left="420" w:leftChars="200"/>
      <w:jc w:val="left"/>
    </w:pPr>
    <w:rPr>
      <w:sz w:val="28"/>
      <w:szCs w:val="20"/>
      <w:lang w:eastAsia="zh-TW"/>
    </w:rPr>
  </w:style>
  <w:style w:type="paragraph" w:customStyle="1" w:styleId="716">
    <w:name w:val="_Style 11"/>
    <w:basedOn w:val="1"/>
    <w:qFormat/>
    <w:uiPriority w:val="34"/>
    <w:pPr>
      <w:adjustRightInd/>
      <w:ind w:firstLine="420" w:firstLineChars="200"/>
    </w:pPr>
    <w:rPr>
      <w:rFonts w:eastAsia="仿宋_GB2312"/>
      <w:sz w:val="28"/>
    </w:rPr>
  </w:style>
  <w:style w:type="paragraph" w:customStyle="1" w:styleId="71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18">
    <w:name w:val="彩色列表 - 强调文字颜色 12"/>
    <w:basedOn w:val="1"/>
    <w:qFormat/>
    <w:uiPriority w:val="0"/>
    <w:pPr>
      <w:adjustRightInd/>
      <w:ind w:firstLine="420" w:firstLineChars="200"/>
    </w:pPr>
    <w:rPr>
      <w:rFonts w:ascii="Calibri" w:hAnsi="Calibri"/>
      <w:szCs w:val="22"/>
    </w:rPr>
  </w:style>
  <w:style w:type="paragraph" w:customStyle="1" w:styleId="719">
    <w:name w:val="Char1 Char Char Char5"/>
    <w:basedOn w:val="1"/>
    <w:qFormat/>
    <w:uiPriority w:val="0"/>
    <w:pPr>
      <w:adjustRightInd/>
      <w:ind w:firstLine="200" w:firstLineChars="200"/>
    </w:pPr>
    <w:rPr>
      <w:rFonts w:ascii="Tahoma" w:hAnsi="Tahoma"/>
      <w:sz w:val="24"/>
      <w:szCs w:val="20"/>
    </w:rPr>
  </w:style>
  <w:style w:type="paragraph" w:customStyle="1" w:styleId="72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2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2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72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724">
    <w:name w:val="Char Char11 Char Char Char"/>
    <w:basedOn w:val="1"/>
    <w:qFormat/>
    <w:uiPriority w:val="0"/>
    <w:pPr>
      <w:spacing w:line="360" w:lineRule="auto"/>
    </w:pPr>
    <w:rPr>
      <w:szCs w:val="20"/>
    </w:rPr>
  </w:style>
  <w:style w:type="paragraph" w:customStyle="1" w:styleId="72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726">
    <w:name w:val="修订2"/>
    <w:qFormat/>
    <w:uiPriority w:val="0"/>
    <w:rPr>
      <w:rFonts w:ascii="Times New Roman" w:hAnsi="Times New Roman" w:eastAsia="宋体" w:cs="Times New Roman"/>
      <w:kern w:val="2"/>
      <w:sz w:val="21"/>
      <w:lang w:val="en-US" w:eastAsia="zh-CN" w:bidi="ar-SA"/>
    </w:rPr>
  </w:style>
  <w:style w:type="paragraph" w:customStyle="1" w:styleId="727">
    <w:name w:val="Char2 Char Char"/>
    <w:basedOn w:val="1"/>
    <w:qFormat/>
    <w:uiPriority w:val="0"/>
    <w:pPr>
      <w:adjustRightInd/>
    </w:pPr>
    <w:rPr>
      <w:rFonts w:ascii="Tahoma" w:hAnsi="Tahoma"/>
      <w:sz w:val="24"/>
      <w:szCs w:val="20"/>
    </w:rPr>
  </w:style>
  <w:style w:type="paragraph" w:customStyle="1" w:styleId="72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30">
    <w:name w:val="文章标题"/>
    <w:next w:val="73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31">
    <w:name w:val="封面公司名"/>
    <w:qFormat/>
    <w:uiPriority w:val="0"/>
    <w:pPr>
      <w:jc w:val="center"/>
    </w:pPr>
    <w:rPr>
      <w:rFonts w:ascii="Arial" w:hAnsi="Arial" w:eastAsia="楷体_GB2312" w:cs="宋体"/>
      <w:bCs/>
      <w:kern w:val="2"/>
      <w:sz w:val="28"/>
      <w:lang w:val="en-US" w:eastAsia="zh-CN" w:bidi="ar-SA"/>
    </w:rPr>
  </w:style>
  <w:style w:type="paragraph" w:customStyle="1" w:styleId="73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73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34">
    <w:name w:val="样式3"/>
    <w:basedOn w:val="491"/>
    <w:qFormat/>
    <w:uiPriority w:val="0"/>
    <w:pPr>
      <w:spacing w:beforeLines="100"/>
      <w:jc w:val="left"/>
    </w:pPr>
  </w:style>
  <w:style w:type="paragraph" w:customStyle="1" w:styleId="73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736">
    <w:name w:val="Char Char1 Char Char1 Char Char1"/>
    <w:basedOn w:val="1"/>
    <w:qFormat/>
    <w:uiPriority w:val="0"/>
    <w:pPr>
      <w:tabs>
        <w:tab w:val="left" w:pos="840"/>
      </w:tabs>
      <w:ind w:left="840" w:hanging="420"/>
    </w:pPr>
    <w:rPr>
      <w:rFonts w:ascii="Tahoma" w:hAnsi="Tahoma"/>
      <w:sz w:val="24"/>
    </w:rPr>
  </w:style>
  <w:style w:type="paragraph" w:customStyle="1" w:styleId="737">
    <w:name w:val="Char1"/>
    <w:basedOn w:val="1"/>
    <w:qFormat/>
    <w:uiPriority w:val="0"/>
    <w:rPr>
      <w:rFonts w:ascii="仿宋_GB2312" w:eastAsia="仿宋_GB2312"/>
      <w:b/>
      <w:sz w:val="32"/>
      <w:szCs w:val="32"/>
    </w:rPr>
  </w:style>
  <w:style w:type="paragraph" w:customStyle="1" w:styleId="738">
    <w:name w:val="标书标题2"/>
    <w:basedOn w:val="2"/>
    <w:qFormat/>
    <w:uiPriority w:val="0"/>
    <w:pPr>
      <w:keepLines w:val="0"/>
      <w:widowControl/>
      <w:tabs>
        <w:tab w:val="left" w:pos="840"/>
      </w:tabs>
      <w:snapToGrid w:val="0"/>
      <w:spacing w:beforeLines="50" w:after="60" w:line="300" w:lineRule="auto"/>
      <w:ind w:left="840" w:hanging="420"/>
      <w:jc w:val="left"/>
    </w:pPr>
    <w:rPr>
      <w:rFonts w:ascii="Arial Narrow" w:hAnsi="Arial Narrow" w:eastAsia="仿宋_GB2312" w:cs="Times New Roman"/>
      <w:snapToGrid w:val="0"/>
      <w:kern w:val="0"/>
      <w:szCs w:val="20"/>
    </w:rPr>
  </w:style>
  <w:style w:type="paragraph" w:customStyle="1" w:styleId="73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0">
    <w:name w:val="Test2"/>
    <w:basedOn w:val="2"/>
    <w:qFormat/>
    <w:uiPriority w:val="0"/>
    <w:pPr>
      <w:widowControl/>
      <w:tabs>
        <w:tab w:val="left" w:pos="432"/>
      </w:tabs>
      <w:snapToGrid w:val="0"/>
      <w:spacing w:before="360" w:after="360" w:line="240" w:lineRule="atLeast"/>
      <w:ind w:left="432" w:hanging="432"/>
      <w:jc w:val="left"/>
    </w:pPr>
    <w:rPr>
      <w:rFonts w:ascii="宋体" w:hAnsi="Arial" w:eastAsia="宋体" w:cs="Times New Roman"/>
      <w:snapToGrid w:val="0"/>
      <w:kern w:val="0"/>
      <w:sz w:val="28"/>
    </w:rPr>
  </w:style>
  <w:style w:type="paragraph" w:customStyle="1" w:styleId="74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43">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744">
    <w:name w:val="数字标题3"/>
    <w:basedOn w:val="4"/>
    <w:next w:val="1"/>
    <w:qFormat/>
    <w:uiPriority w:val="0"/>
    <w:pPr>
      <w:tabs>
        <w:tab w:val="left" w:pos="900"/>
      </w:tabs>
      <w:spacing w:line="240" w:lineRule="auto"/>
      <w:ind w:left="900" w:hanging="720"/>
    </w:pPr>
    <w:rPr>
      <w:sz w:val="28"/>
      <w:szCs w:val="28"/>
    </w:rPr>
  </w:style>
  <w:style w:type="paragraph" w:customStyle="1" w:styleId="745">
    <w:name w:val="Char5"/>
    <w:basedOn w:val="1"/>
    <w:qFormat/>
    <w:uiPriority w:val="0"/>
    <w:rPr>
      <w:rFonts w:ascii="仿宋_GB2312" w:eastAsia="仿宋_GB2312"/>
      <w:b/>
      <w:sz w:val="32"/>
      <w:szCs w:val="32"/>
    </w:rPr>
  </w:style>
  <w:style w:type="paragraph" w:customStyle="1" w:styleId="746">
    <w:name w:val="Char2"/>
    <w:basedOn w:val="1"/>
    <w:qFormat/>
    <w:uiPriority w:val="0"/>
    <w:rPr>
      <w:rFonts w:ascii="仿宋_GB2312" w:eastAsia="仿宋_GB2312"/>
      <w:b/>
      <w:sz w:val="32"/>
      <w:szCs w:val="32"/>
    </w:rPr>
  </w:style>
  <w:style w:type="paragraph" w:customStyle="1" w:styleId="747">
    <w:name w:val="TOC 标题1"/>
    <w:basedOn w:val="3"/>
    <w:next w:val="1"/>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748">
    <w:name w:val="Char Char Char1 Char1"/>
    <w:basedOn w:val="1"/>
    <w:qFormat/>
    <w:uiPriority w:val="6"/>
    <w:rPr>
      <w:szCs w:val="20"/>
    </w:rPr>
  </w:style>
  <w:style w:type="paragraph" w:customStyle="1" w:styleId="749">
    <w:name w:val="Char Char Char Char Char Char Char Char Char Char1"/>
    <w:basedOn w:val="1"/>
    <w:qFormat/>
    <w:uiPriority w:val="0"/>
    <w:rPr>
      <w:rFonts w:ascii="仿宋_GB2312" w:eastAsia="仿宋_GB2312"/>
      <w:b/>
      <w:sz w:val="32"/>
      <w:szCs w:val="32"/>
    </w:rPr>
  </w:style>
  <w:style w:type="paragraph" w:customStyle="1" w:styleId="750">
    <w:name w:val="Char2 Char Char Char"/>
    <w:basedOn w:val="1"/>
    <w:qFormat/>
    <w:uiPriority w:val="0"/>
    <w:rPr>
      <w:rFonts w:ascii="仿宋_GB2312" w:eastAsia="仿宋_GB2312"/>
      <w:b/>
      <w:sz w:val="32"/>
      <w:szCs w:val="32"/>
    </w:rPr>
  </w:style>
  <w:style w:type="paragraph" w:customStyle="1" w:styleId="751">
    <w:name w:val="正文（首行缩进）"/>
    <w:basedOn w:val="25"/>
    <w:qFormat/>
    <w:uiPriority w:val="0"/>
    <w:pPr>
      <w:widowControl/>
      <w:tabs>
        <w:tab w:val="left" w:pos="840"/>
      </w:tabs>
      <w:overflowPunct w:val="0"/>
      <w:autoSpaceDE w:val="0"/>
      <w:autoSpaceDN w:val="0"/>
      <w:adjustRightInd w:val="0"/>
      <w:spacing w:beforeLines="50" w:after="120" w:line="400" w:lineRule="exact"/>
      <w:ind w:left="200" w:leftChars="200" w:firstLine="200" w:firstLineChars="200"/>
      <w:jc w:val="left"/>
      <w:textAlignment w:val="baseline"/>
    </w:pPr>
    <w:rPr>
      <w:rFonts w:ascii="Times New Roman" w:hAnsi="Times New Roman" w:eastAsia="宋体" w:cs="Times New Roman"/>
      <w:spacing w:val="10"/>
      <w:kern w:val="0"/>
      <w:szCs w:val="20"/>
    </w:rPr>
  </w:style>
  <w:style w:type="paragraph" w:customStyle="1" w:styleId="752">
    <w:name w:val="四级条标题"/>
    <w:basedOn w:val="650"/>
    <w:next w:val="552"/>
    <w:qFormat/>
    <w:uiPriority w:val="0"/>
    <w:pPr>
      <w:tabs>
        <w:tab w:val="left" w:pos="2940"/>
        <w:tab w:val="clear" w:pos="2520"/>
      </w:tabs>
      <w:ind w:left="2940"/>
      <w:outlineLvl w:val="5"/>
    </w:pPr>
  </w:style>
  <w:style w:type="paragraph" w:customStyle="1" w:styleId="75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75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755">
    <w:name w:val="表格（小）"/>
    <w:basedOn w:val="1"/>
    <w:qFormat/>
    <w:uiPriority w:val="0"/>
    <w:pPr>
      <w:adjustRightInd/>
      <w:snapToGrid w:val="0"/>
      <w:spacing w:line="300" w:lineRule="auto"/>
    </w:pPr>
    <w:rPr>
      <w:rFonts w:eastAsia="仿宋"/>
      <w:szCs w:val="21"/>
    </w:rPr>
  </w:style>
  <w:style w:type="paragraph" w:customStyle="1" w:styleId="756">
    <w:name w:val="表文字"/>
    <w:qFormat/>
    <w:uiPriority w:val="0"/>
    <w:rPr>
      <w:rFonts w:ascii="宋体" w:hAnsi="Times New Roman" w:eastAsia="宋体" w:cs="Times New Roman"/>
      <w:kern w:val="2"/>
      <w:lang w:val="en-US" w:eastAsia="zh-CN" w:bidi="ar-SA"/>
    </w:rPr>
  </w:style>
  <w:style w:type="paragraph" w:customStyle="1" w:styleId="75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75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9">
    <w:name w:val="WW-正文文字缩进 2"/>
    <w:basedOn w:val="1"/>
    <w:qFormat/>
    <w:uiPriority w:val="0"/>
    <w:pPr>
      <w:suppressAutoHyphens/>
      <w:adjustRightInd/>
      <w:ind w:firstLine="420"/>
    </w:pPr>
    <w:rPr>
      <w:kern w:val="1"/>
      <w:szCs w:val="20"/>
    </w:rPr>
  </w:style>
  <w:style w:type="paragraph" w:customStyle="1" w:styleId="7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761">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762">
    <w:name w:val="正文文字 2"/>
    <w:basedOn w:val="84"/>
    <w:next w:val="84"/>
    <w:qFormat/>
    <w:uiPriority w:val="0"/>
    <w:rPr>
      <w:rFonts w:ascii="宋体" w:cs="Times New Roman"/>
      <w:color w:val="auto"/>
    </w:rPr>
  </w:style>
  <w:style w:type="paragraph" w:customStyle="1" w:styleId="76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6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66">
    <w:name w:val="默认段落字体 Para Char Char Char Char Char Char Char"/>
    <w:basedOn w:val="1"/>
    <w:qFormat/>
    <w:uiPriority w:val="0"/>
    <w:rPr>
      <w:rFonts w:eastAsia="仿宋_GB2312"/>
      <w:sz w:val="28"/>
      <w:szCs w:val="20"/>
    </w:rPr>
  </w:style>
  <w:style w:type="paragraph" w:customStyle="1" w:styleId="767">
    <w:name w:val="列出段落5"/>
    <w:basedOn w:val="1"/>
    <w:qFormat/>
    <w:uiPriority w:val="0"/>
    <w:pPr>
      <w:spacing w:line="360" w:lineRule="auto"/>
      <w:ind w:firstLine="200" w:firstLineChars="200"/>
    </w:pPr>
    <w:rPr>
      <w:rFonts w:eastAsia="楷体_GB2312" w:cs="Lucida Sans"/>
      <w:sz w:val="24"/>
    </w:rPr>
  </w:style>
  <w:style w:type="paragraph" w:customStyle="1" w:styleId="76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770">
    <w:name w:val="标题2"/>
    <w:basedOn w:val="2"/>
    <w:next w:val="1"/>
    <w:qFormat/>
    <w:uiPriority w:val="0"/>
    <w:pPr>
      <w:tabs>
        <w:tab w:val="left" w:pos="578"/>
        <w:tab w:val="left" w:pos="900"/>
        <w:tab w:val="left" w:pos="1440"/>
      </w:tabs>
      <w:adjustRightInd/>
      <w:spacing w:before="0" w:after="0" w:line="360" w:lineRule="auto"/>
      <w:ind w:left="1440" w:hanging="360"/>
      <w:jc w:val="left"/>
    </w:pPr>
    <w:rPr>
      <w:rFonts w:ascii="仿宋" w:hAnsi="仿宋" w:eastAsia="仿宋" w:cs="宋体"/>
      <w:bCs w:val="0"/>
      <w:szCs w:val="28"/>
      <w:lang w:val="zh-CN"/>
    </w:rPr>
  </w:style>
  <w:style w:type="paragraph" w:customStyle="1" w:styleId="771">
    <w:name w:val="正文文字缩进项目"/>
    <w:basedOn w:val="25"/>
    <w:qFormat/>
    <w:uiPriority w:val="0"/>
    <w:pPr>
      <w:tabs>
        <w:tab w:val="left" w:pos="840"/>
      </w:tabs>
      <w:spacing w:after="120"/>
      <w:ind w:left="0" w:hanging="420" w:firstLineChars="0"/>
    </w:pPr>
    <w:rPr>
      <w:rFonts w:ascii="Tahoma" w:hAnsi="Tahoma" w:eastAsia="宋体" w:cs="Times New Roman"/>
      <w:sz w:val="22"/>
      <w:szCs w:val="20"/>
    </w:rPr>
  </w:style>
  <w:style w:type="paragraph" w:customStyle="1" w:styleId="77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77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775">
    <w:name w:val="标题五"/>
    <w:basedOn w:val="1"/>
    <w:qFormat/>
    <w:uiPriority w:val="0"/>
    <w:pPr>
      <w:adjustRightInd/>
      <w:spacing w:beforeLines="50" w:line="360" w:lineRule="auto"/>
    </w:pPr>
    <w:rPr>
      <w:b/>
      <w:sz w:val="24"/>
    </w:rPr>
  </w:style>
  <w:style w:type="paragraph" w:customStyle="1" w:styleId="77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77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79">
    <w:name w:val="默认段落字体 Para Char Char Char1 Char"/>
    <w:basedOn w:val="1"/>
    <w:qFormat/>
    <w:uiPriority w:val="0"/>
    <w:pPr>
      <w:spacing w:line="240" w:lineRule="atLeast"/>
      <w:ind w:left="420" w:firstLine="420"/>
    </w:pPr>
    <w:rPr>
      <w:sz w:val="24"/>
    </w:rPr>
  </w:style>
  <w:style w:type="paragraph" w:customStyle="1" w:styleId="780">
    <w:name w:val="样式7"/>
    <w:basedOn w:val="506"/>
    <w:next w:val="1"/>
    <w:qFormat/>
    <w:uiPriority w:val="0"/>
    <w:pPr>
      <w:spacing w:afterLines="50"/>
      <w:jc w:val="left"/>
      <w:outlineLvl w:val="3"/>
    </w:pPr>
    <w:rPr>
      <w:sz w:val="24"/>
      <w:szCs w:val="24"/>
    </w:rPr>
  </w:style>
  <w:style w:type="paragraph" w:customStyle="1" w:styleId="781">
    <w:name w:val="表格文字"/>
    <w:basedOn w:val="1"/>
    <w:next w:val="14"/>
    <w:qFormat/>
    <w:uiPriority w:val="0"/>
    <w:pPr>
      <w:adjustRightInd/>
      <w:ind w:firstLine="200" w:firstLineChars="200"/>
    </w:pPr>
    <w:rPr>
      <w:rFonts w:ascii="Arial" w:hAnsi="Arial"/>
      <w:spacing w:val="-5"/>
      <w:kern w:val="0"/>
      <w:sz w:val="24"/>
      <w:szCs w:val="20"/>
    </w:rPr>
  </w:style>
  <w:style w:type="paragraph" w:customStyle="1" w:styleId="782">
    <w:name w:val="Char Char1 Char Char Char"/>
    <w:basedOn w:val="1"/>
    <w:qFormat/>
    <w:uiPriority w:val="0"/>
    <w:rPr>
      <w:rFonts w:ascii="仿宋_GB2312" w:eastAsia="仿宋_GB2312"/>
      <w:b/>
      <w:sz w:val="32"/>
      <w:szCs w:val="20"/>
    </w:rPr>
  </w:style>
  <w:style w:type="paragraph" w:customStyle="1" w:styleId="78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84">
    <w:name w:val="封面"/>
    <w:basedOn w:val="1"/>
    <w:qFormat/>
    <w:uiPriority w:val="0"/>
    <w:pPr>
      <w:spacing w:line="360" w:lineRule="atLeast"/>
      <w:jc w:val="right"/>
      <w:textAlignment w:val="baseline"/>
    </w:pPr>
    <w:rPr>
      <w:rFonts w:ascii="Symbol" w:hAnsi="Symbol"/>
      <w:kern w:val="0"/>
      <w:szCs w:val="20"/>
    </w:rPr>
  </w:style>
  <w:style w:type="paragraph" w:customStyle="1" w:styleId="785">
    <w:name w:val="body text bold"/>
    <w:basedOn w:val="22"/>
    <w:qFormat/>
    <w:uiPriority w:val="0"/>
    <w:pPr>
      <w:widowControl/>
      <w:adjustRightInd/>
      <w:spacing w:after="0"/>
      <w:ind w:firstLine="200" w:firstLineChars="200"/>
      <w:jc w:val="left"/>
    </w:pPr>
    <w:rPr>
      <w:rFonts w:ascii="Futura Hv" w:hAnsi="Futura Hv" w:cs="Arial"/>
      <w:snapToGrid w:val="0"/>
      <w:kern w:val="0"/>
      <w:sz w:val="18"/>
      <w:szCs w:val="20"/>
      <w:lang w:eastAsia="en-US"/>
    </w:rPr>
  </w:style>
  <w:style w:type="paragraph" w:customStyle="1" w:styleId="78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87">
    <w:name w:val="Char2 Char Char2"/>
    <w:basedOn w:val="1"/>
    <w:qFormat/>
    <w:uiPriority w:val="0"/>
    <w:pPr>
      <w:adjustRightInd/>
    </w:pPr>
    <w:rPr>
      <w:rFonts w:ascii="Tahoma" w:hAnsi="Tahoma"/>
      <w:sz w:val="24"/>
      <w:szCs w:val="20"/>
    </w:rPr>
  </w:style>
  <w:style w:type="paragraph" w:customStyle="1" w:styleId="78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8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9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92">
    <w:name w:val="Char Char Char Char Char Char Char"/>
    <w:basedOn w:val="1"/>
    <w:qFormat/>
    <w:uiPriority w:val="0"/>
    <w:rPr>
      <w:rFonts w:ascii="仿宋_GB2312" w:eastAsia="仿宋_GB2312"/>
      <w:b/>
      <w:sz w:val="32"/>
      <w:szCs w:val="32"/>
    </w:rPr>
  </w:style>
  <w:style w:type="paragraph" w:customStyle="1" w:styleId="793">
    <w:name w:val="Char Char Char1 Char"/>
    <w:basedOn w:val="1"/>
    <w:qFormat/>
    <w:uiPriority w:val="0"/>
    <w:rPr>
      <w:szCs w:val="20"/>
    </w:rPr>
  </w:style>
  <w:style w:type="paragraph" w:customStyle="1" w:styleId="794">
    <w:name w:val="Bulleting First Indent 1"/>
    <w:basedOn w:val="23"/>
    <w:qFormat/>
    <w:uiPriority w:val="0"/>
    <w:pPr>
      <w:tabs>
        <w:tab w:val="left" w:pos="840"/>
      </w:tabs>
      <w:adjustRightInd/>
      <w:spacing w:before="20" w:after="20" w:line="300" w:lineRule="auto"/>
      <w:ind w:left="840" w:hanging="420" w:firstLineChars="0"/>
    </w:pPr>
    <w:rPr>
      <w:rFonts w:ascii="Tahoma" w:hAnsi="Tahoma"/>
      <w:kern w:val="0"/>
      <w:szCs w:val="21"/>
    </w:rPr>
  </w:style>
  <w:style w:type="paragraph" w:customStyle="1" w:styleId="79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796">
    <w:name w:val="样式1 + (中宋体"/>
    <w:basedOn w:val="60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9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99">
    <w:name w:val="bullet"/>
    <w:basedOn w:val="1"/>
    <w:qFormat/>
    <w:uiPriority w:val="0"/>
    <w:pPr>
      <w:tabs>
        <w:tab w:val="left" w:pos="840"/>
      </w:tabs>
      <w:adjustRightInd/>
      <w:ind w:left="840" w:hanging="420"/>
    </w:pPr>
  </w:style>
  <w:style w:type="paragraph" w:customStyle="1" w:styleId="80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801">
    <w:name w:val="Char Char1 Char Char Char1"/>
    <w:basedOn w:val="1"/>
    <w:qFormat/>
    <w:uiPriority w:val="6"/>
    <w:rPr>
      <w:rFonts w:ascii="仿宋_GB2312" w:eastAsia="仿宋_GB2312"/>
      <w:b/>
      <w:sz w:val="32"/>
      <w:szCs w:val="20"/>
    </w:rPr>
  </w:style>
  <w:style w:type="paragraph" w:customStyle="1" w:styleId="80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803">
    <w:name w:val="_Style 6"/>
    <w:basedOn w:val="1"/>
    <w:qFormat/>
    <w:uiPriority w:val="34"/>
    <w:pPr>
      <w:adjustRightInd/>
      <w:ind w:firstLine="420" w:firstLineChars="200"/>
    </w:pPr>
    <w:rPr>
      <w:rFonts w:eastAsia="仿宋_GB2312"/>
      <w:sz w:val="28"/>
    </w:rPr>
  </w:style>
  <w:style w:type="paragraph" w:customStyle="1" w:styleId="804">
    <w:name w:val="Char111"/>
    <w:basedOn w:val="1"/>
    <w:qFormat/>
    <w:uiPriority w:val="0"/>
    <w:rPr>
      <w:rFonts w:ascii="仿宋_GB2312" w:eastAsia="仿宋_GB2312"/>
      <w:b/>
      <w:sz w:val="32"/>
      <w:szCs w:val="32"/>
    </w:rPr>
  </w:style>
  <w:style w:type="paragraph" w:customStyle="1" w:styleId="805">
    <w:name w:val="Char19"/>
    <w:basedOn w:val="1"/>
    <w:qFormat/>
    <w:uiPriority w:val="0"/>
    <w:pPr>
      <w:adjustRightInd/>
    </w:pPr>
    <w:rPr>
      <w:szCs w:val="20"/>
    </w:rPr>
  </w:style>
  <w:style w:type="paragraph" w:customStyle="1" w:styleId="80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807">
    <w:name w:val="Char3 Char Char Char"/>
    <w:basedOn w:val="1"/>
    <w:qFormat/>
    <w:uiPriority w:val="0"/>
    <w:pPr>
      <w:widowControl/>
      <w:adjustRightInd/>
      <w:spacing w:after="160" w:line="240" w:lineRule="exact"/>
      <w:jc w:val="left"/>
    </w:pPr>
    <w:rPr>
      <w:szCs w:val="20"/>
    </w:rPr>
  </w:style>
  <w:style w:type="paragraph" w:customStyle="1" w:styleId="808">
    <w:name w:val="列出段落21"/>
    <w:basedOn w:val="1"/>
    <w:qFormat/>
    <w:uiPriority w:val="0"/>
    <w:pPr>
      <w:adjustRightInd/>
      <w:ind w:firstLine="420" w:firstLineChars="200"/>
    </w:pPr>
    <w:rPr>
      <w:rFonts w:ascii="宋体" w:hAnsi="宋体"/>
      <w:sz w:val="24"/>
    </w:rPr>
  </w:style>
  <w:style w:type="paragraph" w:customStyle="1" w:styleId="809">
    <w:name w:val="带编号样式"/>
    <w:basedOn w:val="810"/>
    <w:qFormat/>
    <w:uiPriority w:val="0"/>
    <w:pPr>
      <w:tabs>
        <w:tab w:val="left" w:pos="840"/>
      </w:tabs>
      <w:snapToGrid w:val="0"/>
      <w:ind w:left="840" w:hanging="420" w:firstLineChars="0"/>
    </w:pPr>
    <w:rPr>
      <w:rFonts w:ascii="仿宋_GB2312" w:eastAsia="仿宋_GB2312"/>
      <w:color w:val="000000"/>
    </w:rPr>
  </w:style>
  <w:style w:type="paragraph" w:customStyle="1" w:styleId="810">
    <w:name w:val="文本正文 Char"/>
    <w:basedOn w:val="1"/>
    <w:qFormat/>
    <w:uiPriority w:val="0"/>
    <w:pPr>
      <w:spacing w:line="360" w:lineRule="auto"/>
      <w:ind w:firstLine="200" w:firstLineChars="200"/>
    </w:pPr>
    <w:rPr>
      <w:kern w:val="0"/>
      <w:sz w:val="24"/>
      <w:szCs w:val="20"/>
    </w:rPr>
  </w:style>
  <w:style w:type="paragraph" w:customStyle="1" w:styleId="81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812">
    <w:name w:val="Char2 Char Char Char2"/>
    <w:basedOn w:val="1"/>
    <w:qFormat/>
    <w:uiPriority w:val="0"/>
    <w:rPr>
      <w:rFonts w:ascii="仿宋_GB2312" w:eastAsia="仿宋_GB2312"/>
      <w:b/>
      <w:sz w:val="32"/>
      <w:szCs w:val="32"/>
    </w:r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15">
    <w:name w:val="批注框文本 Char Char"/>
    <w:basedOn w:val="1"/>
    <w:qFormat/>
    <w:uiPriority w:val="0"/>
    <w:pPr>
      <w:adjustRightInd/>
    </w:pPr>
    <w:rPr>
      <w:sz w:val="18"/>
      <w:szCs w:val="20"/>
    </w:rPr>
  </w:style>
  <w:style w:type="paragraph" w:customStyle="1" w:styleId="816">
    <w:name w:val="样式 标题 2 + 宋体 左侧:  1.76 厘米 首行缩进:  0 厘米"/>
    <w:basedOn w:val="2"/>
    <w:qFormat/>
    <w:uiPriority w:val="0"/>
    <w:pPr>
      <w:tabs>
        <w:tab w:val="left" w:pos="0"/>
      </w:tabs>
      <w:adjustRightInd/>
      <w:spacing w:line="415" w:lineRule="auto"/>
      <w:ind w:firstLine="200" w:firstLineChars="200"/>
    </w:pPr>
    <w:rPr>
      <w:rFonts w:ascii="宋体" w:hAnsi="Cambria" w:eastAsia="宋体" w:cs="宋体"/>
      <w:szCs w:val="20"/>
    </w:rPr>
  </w:style>
  <w:style w:type="paragraph" w:customStyle="1" w:styleId="81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818">
    <w:name w:val="正文（标题三）"/>
    <w:basedOn w:val="1"/>
    <w:qFormat/>
    <w:uiPriority w:val="0"/>
    <w:pPr>
      <w:spacing w:line="360" w:lineRule="auto"/>
      <w:ind w:firstLine="200" w:firstLineChars="200"/>
    </w:pPr>
    <w:rPr>
      <w:sz w:val="24"/>
    </w:rPr>
  </w:style>
  <w:style w:type="paragraph" w:customStyle="1" w:styleId="819">
    <w:name w:val="Plain Text1"/>
    <w:basedOn w:val="1"/>
    <w:qFormat/>
    <w:uiPriority w:val="7"/>
    <w:pPr>
      <w:adjustRightInd/>
    </w:pPr>
    <w:rPr>
      <w:rFonts w:ascii="宋体" w:hAnsi="Courier New"/>
    </w:rPr>
  </w:style>
  <w:style w:type="paragraph" w:customStyle="1" w:styleId="82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821">
    <w:name w:val="Char Char11 Char Char Char1"/>
    <w:basedOn w:val="1"/>
    <w:qFormat/>
    <w:uiPriority w:val="6"/>
    <w:pPr>
      <w:spacing w:line="360" w:lineRule="auto"/>
    </w:pPr>
    <w:rPr>
      <w:szCs w:val="20"/>
    </w:rPr>
  </w:style>
  <w:style w:type="paragraph" w:customStyle="1" w:styleId="82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82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82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8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826">
    <w:name w:val="单元格居中"/>
    <w:basedOn w:val="1"/>
    <w:qFormat/>
    <w:uiPriority w:val="0"/>
    <w:pPr>
      <w:adjustRightInd/>
      <w:spacing w:line="360" w:lineRule="auto"/>
      <w:jc w:val="center"/>
    </w:pPr>
    <w:rPr>
      <w:sz w:val="24"/>
    </w:rPr>
  </w:style>
  <w:style w:type="paragraph" w:customStyle="1" w:styleId="827">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82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829">
    <w:name w:val="Char Char1 Char"/>
    <w:basedOn w:val="1"/>
    <w:qFormat/>
    <w:uiPriority w:val="0"/>
    <w:rPr>
      <w:rFonts w:ascii="仿宋_GB2312" w:eastAsia="仿宋_GB2312"/>
      <w:b/>
      <w:sz w:val="32"/>
      <w:szCs w:val="32"/>
    </w:rPr>
  </w:style>
  <w:style w:type="paragraph" w:customStyle="1" w:styleId="830">
    <w:name w:val="CSS1级正文 Char"/>
    <w:basedOn w:val="22"/>
    <w:qFormat/>
    <w:uiPriority w:val="0"/>
    <w:pPr>
      <w:snapToGrid w:val="0"/>
      <w:spacing w:after="0" w:line="360" w:lineRule="auto"/>
      <w:ind w:firstLine="480" w:firstLineChars="200"/>
    </w:pPr>
    <w:rPr>
      <w:rFonts w:hAnsi="Arial" w:cs="Arial"/>
      <w:snapToGrid w:val="0"/>
      <w:sz w:val="24"/>
    </w:rPr>
  </w:style>
  <w:style w:type="paragraph" w:customStyle="1" w:styleId="831">
    <w:name w:val="Char3 Char Char Char11"/>
    <w:basedOn w:val="1"/>
    <w:qFormat/>
    <w:uiPriority w:val="0"/>
    <w:pPr>
      <w:widowControl/>
      <w:adjustRightInd/>
      <w:spacing w:after="160" w:line="240" w:lineRule="exact"/>
      <w:jc w:val="left"/>
    </w:pPr>
    <w:rPr>
      <w:szCs w:val="20"/>
    </w:rPr>
  </w:style>
  <w:style w:type="paragraph" w:customStyle="1" w:styleId="832">
    <w:name w:val="Char3"/>
    <w:basedOn w:val="1"/>
    <w:qFormat/>
    <w:uiPriority w:val="0"/>
    <w:pPr>
      <w:adjustRightInd/>
    </w:pPr>
    <w:rPr>
      <w:rFonts w:ascii="仿宋_GB2312" w:eastAsia="仿宋_GB2312"/>
      <w:b/>
      <w:sz w:val="32"/>
      <w:szCs w:val="32"/>
    </w:rPr>
  </w:style>
  <w:style w:type="paragraph" w:customStyle="1" w:styleId="833">
    <w:name w:val="Char Char Char1 Char2"/>
    <w:basedOn w:val="1"/>
    <w:qFormat/>
    <w:uiPriority w:val="0"/>
    <w:rPr>
      <w:szCs w:val="20"/>
    </w:rPr>
  </w:style>
  <w:style w:type="paragraph" w:customStyle="1" w:styleId="83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3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836">
    <w:name w:val="Char6"/>
    <w:basedOn w:val="1"/>
    <w:qFormat/>
    <w:uiPriority w:val="0"/>
    <w:rPr>
      <w:rFonts w:ascii="仿宋_GB2312" w:eastAsia="仿宋_GB2312"/>
      <w:b/>
      <w:sz w:val="32"/>
      <w:szCs w:val="32"/>
    </w:rPr>
  </w:style>
  <w:style w:type="paragraph" w:customStyle="1" w:styleId="83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83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83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840">
    <w:name w:val="五级条标题"/>
    <w:basedOn w:val="752"/>
    <w:next w:val="552"/>
    <w:qFormat/>
    <w:uiPriority w:val="0"/>
    <w:pPr>
      <w:tabs>
        <w:tab w:val="left" w:pos="3360"/>
        <w:tab w:val="clear" w:pos="2940"/>
      </w:tabs>
      <w:ind w:left="3360"/>
      <w:outlineLvl w:val="6"/>
    </w:pPr>
  </w:style>
  <w:style w:type="paragraph" w:customStyle="1" w:styleId="841">
    <w:name w:val="_标题2"/>
    <w:basedOn w:val="505"/>
    <w:next w:val="505"/>
    <w:qFormat/>
    <w:uiPriority w:val="0"/>
    <w:pPr>
      <w:widowControl w:val="0"/>
      <w:tabs>
        <w:tab w:val="left" w:pos="480"/>
      </w:tabs>
      <w:spacing w:beforeLines="50" w:afterLines="50"/>
      <w:ind w:left="50" w:leftChars="50" w:hanging="420" w:firstLineChars="0"/>
      <w:outlineLvl w:val="1"/>
    </w:pPr>
    <w:rPr>
      <w:b/>
      <w:sz w:val="36"/>
    </w:rPr>
  </w:style>
  <w:style w:type="paragraph" w:customStyle="1" w:styleId="84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43">
    <w:name w:val="Char Char11 Char Char Char Char Char Char Char Char Char1"/>
    <w:basedOn w:val="1"/>
    <w:qFormat/>
    <w:uiPriority w:val="6"/>
    <w:pPr>
      <w:spacing w:line="360" w:lineRule="auto"/>
    </w:pPr>
    <w:rPr>
      <w:szCs w:val="20"/>
    </w:rPr>
  </w:style>
  <w:style w:type="paragraph" w:customStyle="1" w:styleId="844">
    <w:name w:val="a1"/>
    <w:basedOn w:val="1"/>
    <w:qFormat/>
    <w:uiPriority w:val="0"/>
    <w:pPr>
      <w:widowControl/>
      <w:spacing w:line="300" w:lineRule="atLeast"/>
      <w:jc w:val="left"/>
    </w:pPr>
    <w:rPr>
      <w:rFonts w:ascii="宋体" w:hAnsi="宋体"/>
      <w:kern w:val="0"/>
      <w:sz w:val="18"/>
      <w:szCs w:val="20"/>
    </w:rPr>
  </w:style>
  <w:style w:type="paragraph" w:customStyle="1" w:styleId="84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846">
    <w:name w:val="Char Char Char Char Char Char Char Char Char Char"/>
    <w:basedOn w:val="1"/>
    <w:qFormat/>
    <w:uiPriority w:val="0"/>
    <w:rPr>
      <w:rFonts w:ascii="仿宋_GB2312" w:eastAsia="仿宋_GB2312"/>
      <w:b/>
      <w:sz w:val="32"/>
      <w:szCs w:val="32"/>
    </w:rPr>
  </w:style>
  <w:style w:type="paragraph" w:customStyle="1" w:styleId="847">
    <w:name w:val="单元格左对齐"/>
    <w:basedOn w:val="1"/>
    <w:qFormat/>
    <w:uiPriority w:val="0"/>
    <w:pPr>
      <w:adjustRightInd/>
      <w:spacing w:line="360" w:lineRule="auto"/>
    </w:pPr>
    <w:rPr>
      <w:sz w:val="24"/>
    </w:rPr>
  </w:style>
  <w:style w:type="paragraph" w:customStyle="1" w:styleId="848">
    <w:name w:val="表格标题2"/>
    <w:basedOn w:val="609"/>
    <w:qFormat/>
    <w:uiPriority w:val="0"/>
    <w:rPr>
      <w:b/>
    </w:rPr>
  </w:style>
  <w:style w:type="paragraph" w:customStyle="1" w:styleId="849">
    <w:name w:val="修订3"/>
    <w:qFormat/>
    <w:uiPriority w:val="0"/>
    <w:rPr>
      <w:rFonts w:ascii="Times New Roman" w:hAnsi="Times New Roman" w:eastAsia="宋体" w:cs="Times New Roman"/>
      <w:kern w:val="2"/>
      <w:sz w:val="21"/>
      <w:lang w:val="en-US" w:eastAsia="zh-CN" w:bidi="ar-SA"/>
    </w:rPr>
  </w:style>
  <w:style w:type="paragraph" w:customStyle="1" w:styleId="850">
    <w:name w:val="MM Topic 1"/>
    <w:basedOn w:val="3"/>
    <w:qFormat/>
    <w:uiPriority w:val="0"/>
    <w:pPr>
      <w:keepNext/>
      <w:keepLines/>
      <w:widowControl w:val="0"/>
      <w:tabs>
        <w:tab w:val="left" w:pos="840"/>
      </w:tabs>
      <w:spacing w:before="340" w:beforeAutospacing="0" w:after="330" w:afterAutospacing="0" w:line="578" w:lineRule="auto"/>
      <w:ind w:left="840" w:hanging="420"/>
      <w:jc w:val="both"/>
    </w:pPr>
    <w:rPr>
      <w:rFonts w:ascii="Times New Roman" w:hAnsi="Times New Roman" w:cs="Times New Roman"/>
      <w:kern w:val="44"/>
      <w:sz w:val="44"/>
      <w:szCs w:val="44"/>
    </w:rPr>
  </w:style>
  <w:style w:type="paragraph" w:customStyle="1" w:styleId="85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8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54">
    <w:name w:val="List Paragraph1"/>
    <w:basedOn w:val="1"/>
    <w:qFormat/>
    <w:uiPriority w:val="0"/>
    <w:pPr>
      <w:spacing w:line="360" w:lineRule="auto"/>
      <w:ind w:firstLine="200" w:firstLineChars="200"/>
    </w:pPr>
    <w:rPr>
      <w:rFonts w:eastAsia="楷体_GB2312" w:cs="Lucida Sans"/>
      <w:sz w:val="24"/>
    </w:rPr>
  </w:style>
  <w:style w:type="paragraph" w:customStyle="1" w:styleId="85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856">
    <w:name w:val="MM Title"/>
    <w:basedOn w:val="54"/>
    <w:qFormat/>
    <w:uiPriority w:val="0"/>
    <w:pPr>
      <w:widowControl w:val="0"/>
      <w:overflowPunct/>
      <w:autoSpaceDE/>
      <w:autoSpaceDN/>
      <w:adjustRightInd/>
      <w:spacing w:before="240" w:after="60"/>
      <w:textAlignment w:val="auto"/>
      <w:outlineLvl w:val="0"/>
    </w:pPr>
    <w:rPr>
      <w:rFonts w:ascii="Arial" w:hAnsi="Arial" w:cs="Arial"/>
      <w:bCs/>
      <w:sz w:val="32"/>
      <w:szCs w:val="32"/>
    </w:rPr>
  </w:style>
  <w:style w:type="paragraph" w:customStyle="1" w:styleId="857">
    <w:name w:val="Char11"/>
    <w:basedOn w:val="1"/>
    <w:qFormat/>
    <w:uiPriority w:val="0"/>
    <w:pPr>
      <w:tabs>
        <w:tab w:val="left" w:pos="432"/>
      </w:tabs>
      <w:adjustRightInd/>
      <w:spacing w:beforeLines="50" w:afterLines="50"/>
      <w:ind w:left="432" w:hanging="432" w:firstLineChars="200"/>
    </w:pPr>
    <w:rPr>
      <w:sz w:val="24"/>
    </w:rPr>
  </w:style>
  <w:style w:type="paragraph" w:customStyle="1" w:styleId="858">
    <w:name w:val="小节"/>
    <w:basedOn w:val="4"/>
    <w:qFormat/>
    <w:uiPriority w:val="0"/>
    <w:pPr>
      <w:tabs>
        <w:tab w:val="left" w:pos="900"/>
      </w:tabs>
      <w:adjustRightInd/>
      <w:spacing w:before="200" w:after="200" w:line="560" w:lineRule="exact"/>
      <w:ind w:left="900" w:hanging="720"/>
      <w:jc w:val="left"/>
    </w:pPr>
    <w:rPr>
      <w:rFonts w:ascii="宋体" w:hAnsi="宋体"/>
      <w:bCs w:val="0"/>
      <w:color w:val="000000"/>
      <w:spacing w:val="10"/>
      <w:kern w:val="24"/>
      <w:sz w:val="28"/>
    </w:rPr>
  </w:style>
  <w:style w:type="paragraph" w:customStyle="1" w:styleId="8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860">
    <w:name w:val="MM Topic 4"/>
    <w:basedOn w:val="5"/>
    <w:qFormat/>
    <w:uiPriority w:val="0"/>
    <w:pPr>
      <w:tabs>
        <w:tab w:val="left" w:pos="2100"/>
        <w:tab w:val="clear" w:pos="864"/>
      </w:tabs>
      <w:adjustRightInd/>
      <w:ind w:left="2100" w:hanging="420"/>
    </w:pPr>
    <w:rPr>
      <w:lang w:val="en-US"/>
    </w:rPr>
  </w:style>
  <w:style w:type="paragraph" w:customStyle="1" w:styleId="86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86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6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865">
    <w:name w:val="表1"/>
    <w:basedOn w:val="1"/>
    <w:qFormat/>
    <w:uiPriority w:val="0"/>
    <w:pPr>
      <w:tabs>
        <w:tab w:val="left" w:pos="703"/>
      </w:tabs>
      <w:adjustRightInd/>
      <w:spacing w:line="360" w:lineRule="auto"/>
      <w:ind w:left="703"/>
      <w:jc w:val="center"/>
    </w:pPr>
  </w:style>
  <w:style w:type="paragraph" w:customStyle="1" w:styleId="866">
    <w:name w:val="Char Char Char Char Char Char Char Char Char Char2"/>
    <w:basedOn w:val="1"/>
    <w:qFormat/>
    <w:uiPriority w:val="0"/>
    <w:rPr>
      <w:rFonts w:ascii="仿宋_GB2312" w:eastAsia="仿宋_GB2312"/>
      <w:b/>
      <w:sz w:val="32"/>
      <w:szCs w:val="32"/>
    </w:rPr>
  </w:style>
  <w:style w:type="paragraph" w:customStyle="1" w:styleId="86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869">
    <w:name w:val="4"/>
    <w:basedOn w:val="1"/>
    <w:next w:val="35"/>
    <w:qFormat/>
    <w:uiPriority w:val="0"/>
    <w:pPr>
      <w:spacing w:after="120" w:line="480" w:lineRule="auto"/>
      <w:ind w:left="420" w:leftChars="200"/>
    </w:pPr>
    <w:rPr>
      <w:sz w:val="24"/>
      <w:szCs w:val="20"/>
    </w:rPr>
  </w:style>
  <w:style w:type="paragraph" w:customStyle="1" w:styleId="870">
    <w:name w:val="2级标题"/>
    <w:basedOn w:val="497"/>
    <w:qFormat/>
    <w:uiPriority w:val="0"/>
    <w:pPr>
      <w:jc w:val="left"/>
      <w:outlineLvl w:val="1"/>
    </w:pPr>
    <w:rPr>
      <w:rFonts w:ascii="Times New Roman" w:hAnsi="Times New Roman" w:eastAsia="仿宋"/>
      <w:sz w:val="30"/>
    </w:rPr>
  </w:style>
  <w:style w:type="paragraph" w:customStyle="1" w:styleId="87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7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87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87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5">
    <w:name w:val="Char23"/>
    <w:basedOn w:val="1"/>
    <w:qFormat/>
    <w:uiPriority w:val="0"/>
    <w:rPr>
      <w:rFonts w:ascii="仿宋_GB2312" w:eastAsia="仿宋_GB2312"/>
      <w:b/>
      <w:sz w:val="32"/>
      <w:szCs w:val="32"/>
    </w:rPr>
  </w:style>
  <w:style w:type="paragraph" w:customStyle="1" w:styleId="87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77">
    <w:name w:val="正文 首行缩进:  2 字符 Char"/>
    <w:basedOn w:val="1"/>
    <w:qFormat/>
    <w:uiPriority w:val="0"/>
    <w:pPr>
      <w:adjustRightInd/>
      <w:spacing w:line="360" w:lineRule="auto"/>
      <w:ind w:firstLine="480"/>
    </w:pPr>
    <w:rPr>
      <w:rFonts w:cs="宋体"/>
      <w:sz w:val="24"/>
      <w:szCs w:val="20"/>
    </w:rPr>
  </w:style>
  <w:style w:type="paragraph" w:customStyle="1" w:styleId="878">
    <w:name w:val="Char Char4 Char Char"/>
    <w:basedOn w:val="1"/>
    <w:qFormat/>
    <w:uiPriority w:val="0"/>
    <w:pPr>
      <w:widowControl/>
      <w:adjustRightInd/>
      <w:spacing w:after="160" w:line="240" w:lineRule="exact"/>
      <w:jc w:val="left"/>
    </w:pPr>
  </w:style>
  <w:style w:type="paragraph" w:customStyle="1" w:styleId="87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80">
    <w:name w:val="Char Char11 Char Char Char2"/>
    <w:basedOn w:val="1"/>
    <w:qFormat/>
    <w:uiPriority w:val="0"/>
    <w:pPr>
      <w:spacing w:line="360" w:lineRule="auto"/>
    </w:pPr>
    <w:rPr>
      <w:szCs w:val="20"/>
    </w:rPr>
  </w:style>
  <w:style w:type="paragraph" w:customStyle="1" w:styleId="88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8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83">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8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8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8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87">
    <w:name w:val="Char311"/>
    <w:basedOn w:val="1"/>
    <w:qFormat/>
    <w:uiPriority w:val="0"/>
    <w:pPr>
      <w:adjustRightInd/>
      <w:ind w:firstLine="200" w:firstLineChars="200"/>
    </w:pPr>
    <w:rPr>
      <w:rFonts w:ascii="Tahoma" w:hAnsi="Tahoma"/>
      <w:sz w:val="24"/>
      <w:szCs w:val="20"/>
    </w:rPr>
  </w:style>
  <w:style w:type="paragraph" w:customStyle="1" w:styleId="88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88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90">
    <w:name w:val="正文 内标"/>
    <w:basedOn w:val="872"/>
    <w:qFormat/>
    <w:uiPriority w:val="0"/>
    <w:pPr>
      <w:tabs>
        <w:tab w:val="left" w:pos="0"/>
      </w:tabs>
      <w:ind w:left="900" w:firstLine="0" w:firstLineChars="0"/>
    </w:pPr>
  </w:style>
  <w:style w:type="paragraph" w:customStyle="1" w:styleId="891">
    <w:name w:val="Bulleted List"/>
    <w:basedOn w:val="1"/>
    <w:qFormat/>
    <w:uiPriority w:val="0"/>
    <w:pPr>
      <w:tabs>
        <w:tab w:val="left" w:pos="1260"/>
      </w:tabs>
      <w:adjustRightInd/>
      <w:ind w:left="1260" w:hanging="420"/>
    </w:pPr>
  </w:style>
  <w:style w:type="paragraph" w:customStyle="1" w:styleId="892">
    <w:name w:val="样式 正文文本缩进 2 + 仿宋_GB2312 黑色 行距: 1.5 倍行距"/>
    <w:basedOn w:val="35"/>
    <w:qFormat/>
    <w:uiPriority w:val="0"/>
    <w:pPr>
      <w:adjustRightInd/>
      <w:ind w:firstLine="560" w:firstLineChars="200"/>
      <w:textAlignment w:val="auto"/>
    </w:pPr>
    <w:rPr>
      <w:rFonts w:hAnsi="宋体" w:cs="宋体"/>
      <w:color w:val="000000"/>
      <w:sz w:val="24"/>
    </w:rPr>
  </w:style>
  <w:style w:type="paragraph" w:customStyle="1" w:styleId="893">
    <w:name w:val="样式 左侧:  0.85 厘米"/>
    <w:basedOn w:val="1"/>
    <w:qFormat/>
    <w:uiPriority w:val="2"/>
    <w:pPr>
      <w:adjustRightInd/>
      <w:spacing w:line="360" w:lineRule="auto"/>
    </w:pPr>
    <w:rPr>
      <w:rFonts w:cs="宋体"/>
      <w:sz w:val="24"/>
      <w:szCs w:val="20"/>
    </w:rPr>
  </w:style>
  <w:style w:type="paragraph" w:customStyle="1" w:styleId="894">
    <w:name w:val="Char Char Char Char Char Char Char Char Char Char Char Char1 Char"/>
    <w:basedOn w:val="1"/>
    <w:qFormat/>
    <w:uiPriority w:val="0"/>
    <w:rPr>
      <w:rFonts w:ascii="Tahoma" w:hAnsi="Tahoma" w:cs="仿宋_GB2312"/>
      <w:sz w:val="24"/>
      <w:szCs w:val="20"/>
    </w:rPr>
  </w:style>
  <w:style w:type="paragraph" w:customStyle="1" w:styleId="89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9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97">
    <w:name w:val="Char Char1 Char Char Char Char Char Char"/>
    <w:basedOn w:val="1"/>
    <w:qFormat/>
    <w:uiPriority w:val="0"/>
    <w:rPr>
      <w:rFonts w:ascii="仿宋_GB2312" w:eastAsia="仿宋_GB2312"/>
      <w:b/>
      <w:sz w:val="32"/>
      <w:szCs w:val="20"/>
    </w:rPr>
  </w:style>
  <w:style w:type="paragraph" w:customStyle="1" w:styleId="89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99">
    <w:name w:val="Char Char1 Char Char Char Char Char Char2"/>
    <w:basedOn w:val="1"/>
    <w:qFormat/>
    <w:uiPriority w:val="0"/>
    <w:rPr>
      <w:rFonts w:ascii="仿宋_GB2312" w:eastAsia="仿宋_GB2312"/>
      <w:b/>
      <w:sz w:val="32"/>
      <w:szCs w:val="20"/>
    </w:rPr>
  </w:style>
  <w:style w:type="paragraph" w:customStyle="1" w:styleId="90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90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90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90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90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90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90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0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909">
    <w:name w:val="Char31"/>
    <w:basedOn w:val="1"/>
    <w:qFormat/>
    <w:uiPriority w:val="0"/>
    <w:pPr>
      <w:adjustRightInd/>
    </w:pPr>
    <w:rPr>
      <w:rFonts w:ascii="仿宋_GB2312" w:eastAsia="仿宋_GB2312"/>
      <w:b/>
      <w:sz w:val="32"/>
      <w:szCs w:val="32"/>
    </w:rPr>
  </w:style>
  <w:style w:type="paragraph" w:customStyle="1" w:styleId="910">
    <w:name w:val="样式 标题 3h33rd level3Heading 3 - oldH3l3CTheading 3Headin..."/>
    <w:basedOn w:val="4"/>
    <w:qFormat/>
    <w:uiPriority w:val="0"/>
    <w:pPr>
      <w:tabs>
        <w:tab w:val="left" w:pos="900"/>
      </w:tabs>
      <w:snapToGrid w:val="0"/>
      <w:jc w:val="left"/>
    </w:pPr>
    <w:rPr>
      <w:rFonts w:eastAsia="黑体" w:cs="宋体"/>
      <w:sz w:val="28"/>
      <w:szCs w:val="20"/>
    </w:rPr>
  </w:style>
  <w:style w:type="paragraph" w:customStyle="1" w:styleId="91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91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913">
    <w:name w:val="Char Char1"/>
    <w:basedOn w:val="1"/>
    <w:qFormat/>
    <w:uiPriority w:val="0"/>
    <w:pPr>
      <w:widowControl/>
      <w:spacing w:after="160" w:line="240" w:lineRule="exact"/>
      <w:jc w:val="left"/>
    </w:pPr>
    <w:rPr>
      <w:rFonts w:eastAsia="仿宋_GB2312"/>
      <w:sz w:val="28"/>
    </w:rPr>
  </w:style>
  <w:style w:type="paragraph" w:customStyle="1" w:styleId="914">
    <w:name w:val="Char21"/>
    <w:basedOn w:val="1"/>
    <w:qFormat/>
    <w:uiPriority w:val="0"/>
    <w:pPr>
      <w:adjustRightInd/>
      <w:ind w:firstLine="200" w:firstLineChars="200"/>
    </w:pPr>
    <w:rPr>
      <w:rFonts w:ascii="仿宋_GB2312" w:eastAsia="仿宋_GB2312"/>
      <w:b/>
      <w:sz w:val="32"/>
      <w:szCs w:val="32"/>
    </w:rPr>
  </w:style>
  <w:style w:type="paragraph" w:customStyle="1" w:styleId="915">
    <w:name w:val="列表段落1"/>
    <w:basedOn w:val="1"/>
    <w:qFormat/>
    <w:uiPriority w:val="34"/>
    <w:pPr>
      <w:adjustRightInd/>
      <w:ind w:right="238" w:firstLine="420"/>
    </w:pPr>
    <w:rPr>
      <w:rFonts w:ascii="Calibri" w:hAnsi="Calibri"/>
      <w:sz w:val="24"/>
    </w:rPr>
  </w:style>
  <w:style w:type="paragraph" w:customStyle="1" w:styleId="916">
    <w:name w:val="Char Char110"/>
    <w:basedOn w:val="1"/>
    <w:qFormat/>
    <w:uiPriority w:val="6"/>
    <w:pPr>
      <w:spacing w:line="360" w:lineRule="auto"/>
    </w:pPr>
    <w:rPr>
      <w:rFonts w:ascii="Tahoma" w:hAnsi="Tahoma"/>
      <w:sz w:val="24"/>
      <w:szCs w:val="20"/>
    </w:rPr>
  </w:style>
  <w:style w:type="paragraph" w:customStyle="1" w:styleId="91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91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91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92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921">
    <w:name w:val="Char Char Char Char Char Char Char Char Char Char Char Char1 Char2"/>
    <w:basedOn w:val="1"/>
    <w:qFormat/>
    <w:uiPriority w:val="0"/>
    <w:rPr>
      <w:rFonts w:ascii="Tahoma" w:hAnsi="Tahoma" w:cs="仿宋_GB2312"/>
      <w:sz w:val="24"/>
      <w:szCs w:val="20"/>
    </w:rPr>
  </w:style>
  <w:style w:type="paragraph" w:customStyle="1" w:styleId="92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92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924">
    <w:name w:val="样式 列表编号 + 段后: 0.5 行"/>
    <w:basedOn w:val="13"/>
    <w:qFormat/>
    <w:uiPriority w:val="2"/>
    <w:pPr>
      <w:tabs>
        <w:tab w:val="clear" w:pos="390"/>
        <w:tab w:val="clear" w:pos="454"/>
      </w:tabs>
      <w:ind w:left="840" w:hanging="420"/>
      <w:contextualSpacing/>
    </w:pPr>
    <w:rPr>
      <w:rFonts w:cs="宋体"/>
    </w:rPr>
  </w:style>
  <w:style w:type="paragraph" w:customStyle="1" w:styleId="92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92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92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92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929">
    <w:name w:val="3级标题"/>
    <w:basedOn w:val="870"/>
    <w:qFormat/>
    <w:uiPriority w:val="0"/>
    <w:pPr>
      <w:outlineLvl w:val="2"/>
    </w:pPr>
  </w:style>
  <w:style w:type="paragraph" w:customStyle="1" w:styleId="930">
    <w:name w:val="Char1 Char Char Char3"/>
    <w:basedOn w:val="1"/>
    <w:qFormat/>
    <w:uiPriority w:val="0"/>
    <w:pPr>
      <w:adjustRightInd/>
      <w:ind w:firstLine="200" w:firstLineChars="200"/>
    </w:pPr>
    <w:rPr>
      <w:rFonts w:ascii="Tahoma" w:hAnsi="Tahoma"/>
      <w:sz w:val="24"/>
      <w:szCs w:val="20"/>
    </w:rPr>
  </w:style>
  <w:style w:type="paragraph" w:customStyle="1" w:styleId="93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932">
    <w:name w:val="MM Empty"/>
    <w:basedOn w:val="1"/>
    <w:qFormat/>
    <w:uiPriority w:val="0"/>
    <w:pPr>
      <w:adjustRightInd/>
    </w:pPr>
  </w:style>
  <w:style w:type="paragraph" w:customStyle="1" w:styleId="933">
    <w:name w:val="Char24"/>
    <w:basedOn w:val="1"/>
    <w:qFormat/>
    <w:uiPriority w:val="0"/>
    <w:rPr>
      <w:rFonts w:ascii="仿宋_GB2312" w:eastAsia="仿宋_GB2312"/>
      <w:b/>
      <w:sz w:val="32"/>
      <w:szCs w:val="32"/>
    </w:rPr>
  </w:style>
  <w:style w:type="paragraph" w:customStyle="1" w:styleId="934">
    <w:name w:val="正文箭头"/>
    <w:basedOn w:val="598"/>
    <w:qFormat/>
    <w:uiPriority w:val="0"/>
  </w:style>
  <w:style w:type="paragraph" w:customStyle="1" w:styleId="935">
    <w:name w:val="U_编号2"/>
    <w:basedOn w:val="1"/>
    <w:qFormat/>
    <w:uiPriority w:val="0"/>
    <w:pPr>
      <w:tabs>
        <w:tab w:val="left" w:pos="785"/>
      </w:tabs>
      <w:adjustRightInd/>
      <w:spacing w:beforeLines="10" w:afterLines="10" w:line="300" w:lineRule="auto"/>
    </w:pPr>
    <w:rPr>
      <w:sz w:val="24"/>
    </w:rPr>
  </w:style>
  <w:style w:type="paragraph" w:customStyle="1" w:styleId="93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3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8">
    <w:name w:val="标书标题3"/>
    <w:basedOn w:val="4"/>
    <w:qFormat/>
    <w:uiPriority w:val="0"/>
    <w:pPr>
      <w:keepLines w:val="0"/>
      <w:widowControl/>
      <w:tabs>
        <w:tab w:val="left" w:pos="900"/>
      </w:tabs>
      <w:snapToGrid w:val="0"/>
      <w:spacing w:before="120" w:after="60" w:line="300" w:lineRule="auto"/>
      <w:ind w:left="900" w:hanging="720"/>
      <w:jc w:val="left"/>
    </w:pPr>
    <w:rPr>
      <w:rFonts w:ascii="Arial Narrow" w:hAnsi="Arial Narrow" w:eastAsia="仿宋_GB2312"/>
      <w:b w:val="0"/>
      <w:bCs w:val="0"/>
      <w:color w:val="000000"/>
      <w:kern w:val="0"/>
      <w:sz w:val="28"/>
    </w:rPr>
  </w:style>
  <w:style w:type="paragraph" w:customStyle="1" w:styleId="939">
    <w:name w:val="TOC 标题11"/>
    <w:basedOn w:val="3"/>
    <w:next w:val="1"/>
    <w:unhideWhenUsed/>
    <w:qFormat/>
    <w:uiPriority w:val="4"/>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940">
    <w:name w:val="_Style 1"/>
    <w:basedOn w:val="1"/>
    <w:qFormat/>
    <w:uiPriority w:val="34"/>
    <w:pPr>
      <w:adjustRightInd/>
      <w:ind w:firstLine="420" w:firstLineChars="200"/>
    </w:pPr>
    <w:rPr>
      <w:rFonts w:eastAsia="仿宋_GB2312"/>
      <w:sz w:val="28"/>
    </w:rPr>
  </w:style>
  <w:style w:type="paragraph" w:customStyle="1" w:styleId="941">
    <w:name w:val="表格 内容"/>
    <w:basedOn w:val="658"/>
    <w:qFormat/>
    <w:uiPriority w:val="0"/>
    <w:rPr>
      <w:b w:val="0"/>
      <w:sz w:val="20"/>
    </w:rPr>
  </w:style>
  <w:style w:type="paragraph" w:customStyle="1" w:styleId="94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43">
    <w:name w:val="数字标题5"/>
    <w:basedOn w:val="6"/>
    <w:next w:val="1"/>
    <w:qFormat/>
    <w:uiPriority w:val="0"/>
    <w:pPr>
      <w:tabs>
        <w:tab w:val="left" w:pos="1080"/>
        <w:tab w:val="clear" w:pos="1008"/>
      </w:tabs>
      <w:ind w:left="1080" w:hanging="1080"/>
    </w:pPr>
  </w:style>
  <w:style w:type="paragraph" w:customStyle="1" w:styleId="944">
    <w:name w:val="数字标题1"/>
    <w:basedOn w:val="3"/>
    <w:next w:val="1"/>
    <w:qFormat/>
    <w:uiPriority w:val="0"/>
    <w:pPr>
      <w:keepNext/>
      <w:keepLines/>
      <w:widowControl w:val="0"/>
      <w:tabs>
        <w:tab w:val="left" w:pos="480"/>
      </w:tabs>
      <w:adjustRightInd w:val="0"/>
      <w:spacing w:before="340" w:beforeAutospacing="0" w:after="330" w:afterAutospacing="0" w:line="578" w:lineRule="auto"/>
      <w:ind w:left="480" w:hanging="480"/>
      <w:jc w:val="both"/>
    </w:pPr>
    <w:rPr>
      <w:rFonts w:ascii="Times New Roman" w:hAnsi="Times New Roman" w:cs="Times New Roman"/>
      <w:kern w:val="44"/>
      <w:sz w:val="44"/>
      <w:szCs w:val="44"/>
    </w:rPr>
  </w:style>
  <w:style w:type="paragraph" w:customStyle="1" w:styleId="94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4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4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4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94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5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51">
    <w:name w:val="0"/>
    <w:basedOn w:val="1"/>
    <w:qFormat/>
    <w:uiPriority w:val="0"/>
    <w:pPr>
      <w:widowControl/>
    </w:pPr>
    <w:rPr>
      <w:kern w:val="0"/>
      <w:sz w:val="24"/>
      <w:szCs w:val="20"/>
    </w:rPr>
  </w:style>
  <w:style w:type="paragraph" w:customStyle="1" w:styleId="952">
    <w:name w:val="Char Char113"/>
    <w:basedOn w:val="1"/>
    <w:qFormat/>
    <w:uiPriority w:val="0"/>
    <w:pPr>
      <w:widowControl/>
      <w:spacing w:after="160" w:line="240" w:lineRule="exact"/>
      <w:jc w:val="left"/>
    </w:pPr>
    <w:rPr>
      <w:rFonts w:eastAsia="仿宋_GB2312"/>
      <w:sz w:val="28"/>
    </w:rPr>
  </w:style>
  <w:style w:type="paragraph" w:customStyle="1" w:styleId="95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54">
    <w:name w:val="_Style 8"/>
    <w:basedOn w:val="1"/>
    <w:qFormat/>
    <w:uiPriority w:val="34"/>
    <w:pPr>
      <w:adjustRightInd/>
      <w:ind w:firstLine="420" w:firstLineChars="200"/>
    </w:pPr>
    <w:rPr>
      <w:rFonts w:eastAsia="仿宋_GB2312"/>
      <w:sz w:val="28"/>
    </w:rPr>
  </w:style>
  <w:style w:type="paragraph" w:customStyle="1" w:styleId="95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5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5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5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5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60">
    <w:name w:val="Char Char112"/>
    <w:basedOn w:val="1"/>
    <w:qFormat/>
    <w:uiPriority w:val="6"/>
    <w:pPr>
      <w:widowControl/>
      <w:spacing w:after="160" w:line="240" w:lineRule="exact"/>
      <w:jc w:val="left"/>
    </w:pPr>
    <w:rPr>
      <w:rFonts w:eastAsia="仿宋_GB2312"/>
      <w:sz w:val="28"/>
    </w:rPr>
  </w:style>
  <w:style w:type="paragraph" w:customStyle="1" w:styleId="961">
    <w:name w:val="正文 图"/>
    <w:basedOn w:val="476"/>
    <w:qFormat/>
    <w:uiPriority w:val="0"/>
    <w:pPr>
      <w:adjustRightInd/>
      <w:spacing w:before="0"/>
      <w:ind w:firstLine="0"/>
      <w:jc w:val="center"/>
    </w:pPr>
    <w:rPr>
      <w:rFonts w:ascii="微软雅黑" w:hAnsi="微软雅黑"/>
    </w:rPr>
  </w:style>
  <w:style w:type="paragraph" w:customStyle="1" w:styleId="96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6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64">
    <w:name w:val="Thf"/>
    <w:basedOn w:val="839"/>
    <w:qFormat/>
    <w:uiPriority w:val="0"/>
    <w:pPr>
      <w:ind w:left="0"/>
    </w:pPr>
  </w:style>
  <w:style w:type="paragraph" w:customStyle="1" w:styleId="96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6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67">
    <w:name w:val="注释"/>
    <w:basedOn w:val="1"/>
    <w:qFormat/>
    <w:uiPriority w:val="0"/>
    <w:pPr>
      <w:adjustRightInd/>
      <w:spacing w:line="360" w:lineRule="auto"/>
      <w:ind w:firstLine="480"/>
    </w:pPr>
    <w:rPr>
      <w:sz w:val="24"/>
    </w:rPr>
  </w:style>
  <w:style w:type="paragraph" w:customStyle="1" w:styleId="968">
    <w:name w:val="列出段落111"/>
    <w:basedOn w:val="1"/>
    <w:qFormat/>
    <w:uiPriority w:val="34"/>
    <w:pPr>
      <w:ind w:firstLine="420" w:firstLineChars="200"/>
    </w:pPr>
  </w:style>
  <w:style w:type="paragraph" w:customStyle="1" w:styleId="969">
    <w:name w:val="_Style 947"/>
    <w:basedOn w:val="1"/>
    <w:next w:val="360"/>
    <w:qFormat/>
    <w:uiPriority w:val="34"/>
    <w:pPr>
      <w:adjustRightInd/>
      <w:ind w:firstLine="420" w:firstLineChars="200"/>
    </w:pPr>
  </w:style>
  <w:style w:type="paragraph" w:customStyle="1" w:styleId="97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71">
    <w:name w:val="纯文本2"/>
    <w:basedOn w:val="1"/>
    <w:qFormat/>
    <w:uiPriority w:val="0"/>
    <w:pPr>
      <w:adjustRightInd/>
      <w:snapToGrid w:val="0"/>
      <w:jc w:val="left"/>
    </w:pPr>
    <w:rPr>
      <w:rFonts w:ascii="Century Gothic" w:hAnsi="楷体_GB2312" w:eastAsia="Century Gothic"/>
      <w:szCs w:val="20"/>
    </w:rPr>
  </w:style>
  <w:style w:type="paragraph" w:customStyle="1" w:styleId="97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7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74">
    <w:name w:val="节"/>
    <w:basedOn w:val="2"/>
    <w:qFormat/>
    <w:uiPriority w:val="0"/>
    <w:pPr>
      <w:adjustRightInd/>
      <w:spacing w:before="160" w:after="160" w:line="720" w:lineRule="exact"/>
      <w:jc w:val="center"/>
    </w:pPr>
    <w:rPr>
      <w:rFonts w:ascii="Arial" w:hAnsi="Arial" w:eastAsia="楷体" w:cs="Times New Roman"/>
      <w:b w:val="0"/>
      <w:color w:val="000000"/>
      <w:spacing w:val="14"/>
      <w:kern w:val="24"/>
      <w:sz w:val="28"/>
      <w:szCs w:val="20"/>
    </w:rPr>
  </w:style>
  <w:style w:type="paragraph" w:customStyle="1" w:styleId="975">
    <w:name w:val="Blockquote"/>
    <w:basedOn w:val="1"/>
    <w:qFormat/>
    <w:uiPriority w:val="0"/>
    <w:pPr>
      <w:autoSpaceDE w:val="0"/>
      <w:autoSpaceDN w:val="0"/>
      <w:spacing w:before="100" w:after="100"/>
      <w:ind w:left="360" w:right="360"/>
      <w:jc w:val="left"/>
    </w:pPr>
    <w:rPr>
      <w:kern w:val="0"/>
      <w:sz w:val="24"/>
      <w:szCs w:val="20"/>
    </w:rPr>
  </w:style>
  <w:style w:type="paragraph" w:customStyle="1" w:styleId="976">
    <w:name w:val="p1"/>
    <w:basedOn w:val="1"/>
    <w:qFormat/>
    <w:uiPriority w:val="0"/>
    <w:pPr>
      <w:widowControl/>
      <w:adjustRightInd/>
      <w:jc w:val="left"/>
    </w:pPr>
    <w:rPr>
      <w:rFonts w:ascii=".PingFang SC" w:eastAsia=".PingFang SC"/>
      <w:color w:val="454545"/>
      <w:kern w:val="0"/>
      <w:sz w:val="18"/>
      <w:szCs w:val="18"/>
    </w:rPr>
  </w:style>
  <w:style w:type="paragraph" w:customStyle="1" w:styleId="977">
    <w:name w:val="Table Paragraph"/>
    <w:basedOn w:val="1"/>
    <w:qFormat/>
    <w:uiPriority w:val="1"/>
    <w:pPr>
      <w:adjustRightInd/>
      <w:jc w:val="left"/>
    </w:pPr>
    <w:rPr>
      <w:rFonts w:ascii="Calibri" w:hAnsi="Calibri"/>
      <w:kern w:val="0"/>
      <w:sz w:val="22"/>
      <w:szCs w:val="22"/>
      <w:lang w:eastAsia="en-US"/>
    </w:rPr>
  </w:style>
  <w:style w:type="paragraph" w:customStyle="1" w:styleId="97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7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table" w:customStyle="1" w:styleId="980">
    <w:name w:val="网格型2"/>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1">
    <w:name w:val="网格型1"/>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2">
    <w:name w:val="网格型6"/>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3">
    <w:name w:val="网格型3"/>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4">
    <w:name w:val="网格型4"/>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5">
    <w:name w:val="网格型5"/>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86">
    <w:name w:val="正文首行缩进 2 Char"/>
    <w:basedOn w:val="83"/>
    <w:semiHidden/>
    <w:qFormat/>
    <w:uiPriority w:val="99"/>
    <w:rPr>
      <w:rFonts w:ascii="Times New Roman" w:hAnsi="Times New Roman" w:eastAsia="宋体" w:cs="Times New Roman"/>
      <w:sz w:val="24"/>
      <w:szCs w:val="24"/>
    </w:rPr>
  </w:style>
  <w:style w:type="paragraph" w:customStyle="1" w:styleId="987">
    <w:name w:val="Body text|3"/>
    <w:basedOn w:val="1"/>
    <w:qFormat/>
    <w:uiPriority w:val="0"/>
    <w:pPr>
      <w:adjustRightInd/>
      <w:spacing w:after="60" w:line="360" w:lineRule="auto"/>
      <w:ind w:left="1510"/>
      <w:jc w:val="left"/>
    </w:pPr>
    <w:rPr>
      <w:rFonts w:hint="eastAsia" w:ascii="宋体" w:hAnsi="宋体"/>
      <w:kern w:val="0"/>
      <w:sz w:val="26"/>
      <w:szCs w:val="26"/>
    </w:rPr>
  </w:style>
  <w:style w:type="paragraph" w:customStyle="1" w:styleId="98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9">
    <w:name w:val="Body text|1"/>
    <w:basedOn w:val="1"/>
    <w:qFormat/>
    <w:uiPriority w:val="0"/>
    <w:pPr>
      <w:adjustRightInd/>
      <w:spacing w:line="432" w:lineRule="auto"/>
      <w:ind w:firstLine="400"/>
      <w:jc w:val="left"/>
    </w:pPr>
    <w:rPr>
      <w:rFonts w:hint="eastAsia" w:ascii="宋体" w:hAnsi="宋体"/>
      <w:kern w:val="0"/>
      <w:sz w:val="30"/>
      <w:szCs w:val="30"/>
    </w:rPr>
  </w:style>
  <w:style w:type="paragraph" w:customStyle="1" w:styleId="990">
    <w:name w:val="Body text|5"/>
    <w:basedOn w:val="1"/>
    <w:qFormat/>
    <w:uiPriority w:val="0"/>
    <w:pPr>
      <w:adjustRightInd/>
      <w:spacing w:line="360" w:lineRule="auto"/>
      <w:ind w:hanging="1640"/>
      <w:jc w:val="left"/>
    </w:pPr>
    <w:rPr>
      <w:rFonts w:hint="eastAsia" w:ascii="宋体" w:hAnsi="宋体"/>
      <w:kern w:val="0"/>
      <w:sz w:val="22"/>
      <w:szCs w:val="22"/>
      <w:u w:val="single"/>
    </w:rPr>
  </w:style>
  <w:style w:type="paragraph" w:styleId="991">
    <w:name w:val="List Paragraph"/>
    <w:basedOn w:val="1"/>
    <w:qFormat/>
    <w:uiPriority w:val="0"/>
    <w:pPr>
      <w:autoSpaceDE w:val="0"/>
      <w:autoSpaceDN w:val="0"/>
      <w:jc w:val="left"/>
    </w:pPr>
    <w:rPr>
      <w:rFonts w:ascii="Calibri" w:hAnsi="Calibri"/>
      <w:kern w:val="0"/>
      <w:sz w:val="24"/>
    </w:rPr>
  </w:style>
  <w:style w:type="character" w:customStyle="1" w:styleId="992">
    <w:name w:val="Unresolved Mention"/>
    <w:basedOn w:val="64"/>
    <w:semiHidden/>
    <w:unhideWhenUsed/>
    <w:qFormat/>
    <w:uiPriority w:val="99"/>
    <w:rPr>
      <w:color w:val="605E5C"/>
      <w:shd w:val="clear" w:color="auto" w:fill="E1DFDD"/>
    </w:rPr>
  </w:style>
  <w:style w:type="paragraph" w:customStyle="1" w:styleId="993">
    <w:name w:val="Heading5"/>
    <w:basedOn w:val="1"/>
    <w:next w:val="1"/>
    <w:qFormat/>
    <w:uiPriority w:val="0"/>
    <w:pPr>
      <w:keepNext/>
      <w:keepLines/>
      <w:spacing w:after="120" w:line="360" w:lineRule="auto"/>
      <w:textAlignment w:val="baseline"/>
    </w:pPr>
    <w:rPr>
      <w:rFonts w:eastAsia="微软雅黑"/>
      <w:b/>
      <w:bCs/>
      <w:sz w:val="24"/>
    </w:rPr>
  </w:style>
  <w:style w:type="paragraph" w:customStyle="1" w:styleId="994">
    <w:name w:val="cucd-0"/>
    <w:qFormat/>
    <w:uiPriority w:val="0"/>
    <w:pPr>
      <w:spacing w:line="360" w:lineRule="auto"/>
      <w:ind w:firstLine="480" w:firstLineChars="200"/>
      <w:jc w:val="both"/>
    </w:pPr>
    <w:rPr>
      <w:rFonts w:ascii="Calibri" w:hAnsi="Calibri" w:eastAsia="宋体" w:cs="Times New Roman"/>
      <w:kern w:val="2"/>
      <w:sz w:val="24"/>
      <w:szCs w:val="24"/>
      <w:lang w:val="en-US" w:eastAsia="zh-CN" w:bidi="ar-SA"/>
    </w:rPr>
  </w:style>
  <w:style w:type="paragraph" w:customStyle="1" w:styleId="995">
    <w:name w:val="编制正文"/>
    <w:basedOn w:val="1"/>
    <w:qFormat/>
    <w:uiPriority w:val="0"/>
    <w:pPr>
      <w:tabs>
        <w:tab w:val="left" w:pos="0"/>
        <w:tab w:val="left" w:pos="7012"/>
      </w:tabs>
      <w:autoSpaceDE w:val="0"/>
      <w:autoSpaceDN w:val="0"/>
      <w:adjustRightInd w:val="0"/>
      <w:snapToGrid w:val="0"/>
      <w:spacing w:line="360" w:lineRule="auto"/>
      <w:ind w:firstLine="480" w:firstLineChars="200"/>
      <w:jc w:val="left"/>
    </w:pPr>
    <w:rPr>
      <w:rFonts w:ascii="宋体" w:hAnsi="宋体"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73</Pages>
  <Words>38603</Words>
  <Characters>40489</Characters>
  <Lines>207</Lines>
  <Paragraphs>58</Paragraphs>
  <TotalTime>3</TotalTime>
  <ScaleCrop>false</ScaleCrop>
  <LinksUpToDate>false</LinksUpToDate>
  <CharactersWithSpaces>42509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2022-01-26T08:27:00Z</dcterms:created>
  <dc:creator>Windows 用户</dc:creator>
  <cp:lastModifiedBy>房地产代理</cp:lastModifiedBy>
  <cp:lastPrinted>2024-09-10T04:14:00Z</cp:lastPrinted>
  <dcterms:modified xsi:type="dcterms:W3CDTF">2024-09-10T10:16:08Z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C86F422C33264DC599236D30F805B676</vt:lpwstr>
  </property>
</Properties>
</file>