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highlight w:val="none"/>
          <w:lang w:eastAsia="zh-CN"/>
        </w:rPr>
      </w:pPr>
    </w:p>
    <w:p>
      <w:pPr>
        <w:adjustRightInd/>
        <w:spacing w:line="360" w:lineRule="auto"/>
        <w:jc w:val="center"/>
        <w:rPr>
          <w:rFonts w:hint="eastAsia" w:ascii="宋体" w:hAnsi="宋体" w:cs="宋体"/>
          <w:b/>
          <w:bCs/>
          <w:color w:val="auto"/>
          <w:sz w:val="56"/>
          <w:szCs w:val="56"/>
          <w:highlight w:val="none"/>
          <w:lang w:eastAsia="zh-CN"/>
        </w:rPr>
      </w:pPr>
    </w:p>
    <w:p>
      <w:pPr>
        <w:adjustRightInd/>
        <w:spacing w:line="360" w:lineRule="auto"/>
        <w:jc w:val="center"/>
        <w:rPr>
          <w:rFonts w:hint="eastAsia" w:ascii="宋体" w:hAnsi="宋体" w:cs="宋体"/>
          <w:b/>
          <w:bCs/>
          <w:color w:val="auto"/>
          <w:sz w:val="56"/>
          <w:szCs w:val="56"/>
          <w:highlight w:val="none"/>
          <w:lang w:eastAsia="zh-CN"/>
        </w:rPr>
      </w:pPr>
      <w:r>
        <w:rPr>
          <w:rFonts w:hint="eastAsia" w:ascii="宋体" w:hAnsi="宋体" w:cs="宋体"/>
          <w:b/>
          <w:bCs/>
          <w:color w:val="auto"/>
          <w:sz w:val="56"/>
          <w:szCs w:val="56"/>
          <w:highlight w:val="none"/>
          <w:lang w:eastAsia="zh-CN"/>
        </w:rPr>
        <w:t>2024年余杭区劳动纠纷调解服务</w:t>
      </w:r>
    </w:p>
    <w:p>
      <w:pPr>
        <w:adjustRightInd/>
        <w:spacing w:line="360" w:lineRule="auto"/>
        <w:jc w:val="center"/>
        <w:rPr>
          <w:rFonts w:hint="eastAsia" w:ascii="宋体" w:hAnsi="宋体" w:eastAsia="宋体" w:cs="宋体"/>
          <w:color w:val="auto"/>
          <w:sz w:val="84"/>
          <w:szCs w:val="84"/>
          <w:highlight w:val="none"/>
        </w:rPr>
      </w:pPr>
    </w:p>
    <w:p>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编号:</w:t>
      </w:r>
      <w:r>
        <w:rPr>
          <w:rFonts w:hint="eastAsia" w:ascii="宋体" w:hAnsi="宋体" w:cs="宋体"/>
          <w:color w:val="auto"/>
          <w:sz w:val="36"/>
          <w:szCs w:val="36"/>
          <w:highlight w:val="none"/>
          <w:lang w:eastAsia="zh-CN"/>
        </w:rPr>
        <w:t>YHZFCG2024-184</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pStyle w:val="88"/>
        <w:ind w:left="0" w:leftChars="0" w:firstLine="0" w:firstLineChars="0"/>
        <w:rPr>
          <w:rFonts w:hint="eastAsia" w:ascii="宋体" w:hAnsi="宋体" w:eastAsia="宋体" w:cs="宋体"/>
          <w:color w:val="auto"/>
          <w:highlight w:val="none"/>
        </w:rPr>
      </w:pPr>
    </w:p>
    <w:p>
      <w:pPr>
        <w:pStyle w:val="88"/>
        <w:ind w:left="0" w:leftChars="0" w:firstLine="0" w:firstLineChars="0"/>
        <w:rPr>
          <w:rFonts w:hint="eastAsia" w:ascii="宋体" w:hAnsi="宋体" w:eastAsia="宋体" w:cs="宋体"/>
          <w:color w:val="auto"/>
          <w:highlight w:val="none"/>
        </w:rPr>
      </w:pPr>
    </w:p>
    <w:p>
      <w:pPr>
        <w:pStyle w:val="88"/>
        <w:ind w:left="0" w:leftChars="0" w:firstLine="0" w:firstLineChars="0"/>
        <w:rPr>
          <w:rFonts w:hint="eastAsia" w:ascii="宋体" w:hAnsi="宋体" w:eastAsia="宋体" w:cs="宋体"/>
          <w:color w:val="auto"/>
          <w:highlight w:val="none"/>
        </w:rPr>
      </w:pPr>
    </w:p>
    <w:p>
      <w:pPr>
        <w:pStyle w:val="88"/>
        <w:ind w:left="0" w:leftChars="0" w:firstLine="0" w:firstLineChars="0"/>
        <w:rPr>
          <w:rFonts w:hint="eastAsia" w:ascii="宋体" w:hAnsi="宋体" w:eastAsia="宋体" w:cs="宋体"/>
          <w:color w:val="auto"/>
          <w:highlight w:val="none"/>
        </w:rPr>
      </w:pPr>
    </w:p>
    <w:p>
      <w:pPr>
        <w:shd w:val="clear" w:color="auto" w:fill="FFFFFF"/>
        <w:snapToGrid w:val="0"/>
        <w:spacing w:line="360" w:lineRule="auto"/>
        <w:jc w:val="center"/>
        <w:textAlignment w:val="bottom"/>
        <w:rPr>
          <w:rFonts w:hint="eastAsia" w:ascii="宋体" w:hAnsi="宋体" w:eastAsia="宋体" w:cs="宋体"/>
          <w:sz w:val="36"/>
          <w:szCs w:val="36"/>
          <w:lang w:eastAsia="zh-CN"/>
        </w:rPr>
      </w:pPr>
      <w:r>
        <w:rPr>
          <w:rFonts w:hint="eastAsia" w:ascii="宋体" w:hAnsi="宋体" w:cs="宋体"/>
          <w:sz w:val="36"/>
          <w:szCs w:val="36"/>
        </w:rPr>
        <w:t>采购人：</w:t>
      </w:r>
      <w:r>
        <w:rPr>
          <w:rFonts w:hint="eastAsia" w:ascii="宋体" w:hAnsi="宋体" w:cs="宋体"/>
          <w:sz w:val="36"/>
          <w:szCs w:val="36"/>
          <w:lang w:eastAsia="zh-CN"/>
        </w:rPr>
        <w:t>杭州市余杭区人力资源和社会保障局</w:t>
      </w:r>
    </w:p>
    <w:p>
      <w:pPr>
        <w:shd w:val="clear" w:color="auto" w:fill="FFFFFF"/>
        <w:snapToGrid w:val="0"/>
        <w:spacing w:line="360" w:lineRule="auto"/>
        <w:jc w:val="center"/>
        <w:textAlignment w:val="bottom"/>
        <w:rPr>
          <w:rFonts w:ascii="宋体" w:hAnsi="宋体" w:cs="宋体"/>
          <w:sz w:val="36"/>
          <w:szCs w:val="36"/>
        </w:rPr>
      </w:pPr>
      <w:r>
        <w:rPr>
          <w:rFonts w:hint="eastAsia" w:ascii="宋体" w:hAnsi="宋体" w:cs="宋体"/>
          <w:sz w:val="36"/>
          <w:szCs w:val="36"/>
        </w:rPr>
        <w:t>采购代理机构：耀华建设管理有限公司</w:t>
      </w:r>
    </w:p>
    <w:p>
      <w:pPr>
        <w:shd w:val="clear" w:color="auto" w:fill="FFFFFF"/>
        <w:snapToGrid w:val="0"/>
        <w:spacing w:line="360" w:lineRule="auto"/>
        <w:jc w:val="center"/>
        <w:textAlignment w:val="bottom"/>
        <w:rPr>
          <w:rFonts w:hint="eastAsia" w:ascii="宋体" w:hAnsi="宋体" w:cs="宋体"/>
          <w:bCs w:val="0"/>
          <w:sz w:val="36"/>
          <w:szCs w:val="36"/>
        </w:rPr>
      </w:pPr>
      <w:r>
        <w:rPr>
          <w:rFonts w:hint="eastAsia" w:ascii="宋体" w:hAnsi="宋体" w:cs="宋体"/>
          <w:bCs w:val="0"/>
          <w:sz w:val="36"/>
          <w:szCs w:val="36"/>
        </w:rPr>
        <w:t>二〇二四年</w:t>
      </w:r>
      <w:r>
        <w:rPr>
          <w:rFonts w:hint="eastAsia" w:ascii="宋体" w:hAnsi="宋体" w:cs="宋体"/>
          <w:bCs w:val="0"/>
          <w:sz w:val="36"/>
          <w:szCs w:val="36"/>
          <w:lang w:val="en-US" w:eastAsia="zh-CN"/>
        </w:rPr>
        <w:t>九</w:t>
      </w:r>
      <w:r>
        <w:rPr>
          <w:rFonts w:hint="eastAsia" w:ascii="宋体" w:hAnsi="宋体" w:cs="宋体"/>
          <w:bCs w:val="0"/>
          <w:sz w:val="36"/>
          <w:szCs w:val="36"/>
        </w:rPr>
        <w:t>月</w:t>
      </w:r>
      <w:r>
        <w:rPr>
          <w:rFonts w:hint="eastAsia" w:ascii="宋体" w:hAnsi="宋体" w:cs="宋体"/>
          <w:bCs w:val="0"/>
          <w:sz w:val="36"/>
          <w:szCs w:val="36"/>
          <w:lang w:eastAsia="zh-CN"/>
        </w:rPr>
        <w:t>三十</w:t>
      </w:r>
      <w:r>
        <w:rPr>
          <w:rFonts w:hint="eastAsia" w:ascii="宋体" w:hAnsi="宋体" w:cs="宋体"/>
          <w:bCs w:val="0"/>
          <w:sz w:val="36"/>
          <w:szCs w:val="36"/>
        </w:rPr>
        <w:t>日</w:t>
      </w:r>
    </w:p>
    <w:p>
      <w:pPr>
        <w:pStyle w:val="67"/>
        <w:ind w:firstLine="42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tabs>
          <w:tab w:val="left" w:pos="3713"/>
        </w:tabs>
        <w:spacing w:line="360" w:lineRule="auto"/>
        <w:ind w:firstLine="549" w:firstLineChars="229"/>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bookmarkEnd w:id="1"/>
    <w:p>
      <w:pPr>
        <w:adjustRightInd/>
        <w:spacing w:line="360" w:lineRule="auto"/>
        <w:jc w:val="center"/>
        <w:outlineLvl w:val="0"/>
        <w:rPr>
          <w:rFonts w:hint="eastAsia" w:ascii="宋体" w:hAnsi="宋体" w:eastAsia="宋体" w:cs="宋体"/>
          <w:b/>
          <w:color w:val="auto"/>
          <w:sz w:val="36"/>
          <w:szCs w:val="20"/>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bookmarkStart w:id="9" w:name="OLE_LINK3"/>
      <w:r>
        <w:rPr>
          <w:rFonts w:hint="eastAsia" w:ascii="宋体" w:hAnsi="宋体" w:cs="宋体"/>
          <w:color w:val="auto"/>
          <w:sz w:val="24"/>
          <w:highlight w:val="none"/>
          <w:u w:val="single"/>
          <w:lang w:eastAsia="zh-CN"/>
        </w:rPr>
        <w:t>2024年余杭区劳动纠纷调解服务</w:t>
      </w:r>
      <w:bookmarkEnd w:id="9"/>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82"/>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00 </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YHZFCG2024-184</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2024年余杭区劳动纠纷调解服务</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1600000</w:t>
      </w:r>
      <w:r>
        <w:rPr>
          <w:rFonts w:hint="eastAsia" w:ascii="宋体" w:hAnsi="宋体" w:eastAsia="宋体" w:cs="宋体"/>
          <w:b/>
          <w:color w:val="auto"/>
          <w:sz w:val="24"/>
          <w:highlight w:val="none"/>
          <w:lang w:val="en-US" w:eastAsia="zh-CN"/>
        </w:rPr>
        <w:t>.00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1600000</w:t>
      </w:r>
      <w:r>
        <w:rPr>
          <w:rFonts w:hint="eastAsia" w:ascii="宋体" w:hAnsi="宋体" w:eastAsia="宋体" w:cs="宋体"/>
          <w:b/>
          <w:color w:val="auto"/>
          <w:sz w:val="24"/>
          <w:highlight w:val="none"/>
          <w:lang w:val="en-US" w:eastAsia="zh-CN"/>
        </w:rPr>
        <w:t>.00</w:t>
      </w:r>
    </w:p>
    <w:p>
      <w:pPr>
        <w:pStyle w:val="15"/>
        <w:spacing w:line="360" w:lineRule="auto"/>
        <w:ind w:firstLine="480"/>
        <w:rPr>
          <w:rFonts w:hAnsi="宋体" w:cs="宋体"/>
          <w:b/>
          <w:color w:val="auto"/>
          <w:sz w:val="24"/>
          <w:szCs w:val="32"/>
        </w:rPr>
      </w:pPr>
      <w:r>
        <w:rPr>
          <w:rFonts w:hint="eastAsia" w:ascii="宋体" w:hAnsi="宋体" w:eastAsia="宋体" w:cs="宋体"/>
          <w:b/>
          <w:color w:val="auto"/>
          <w:sz w:val="24"/>
          <w:highlight w:val="none"/>
        </w:rPr>
        <w:t>采购需求：</w:t>
      </w:r>
      <w:r>
        <w:rPr>
          <w:rFonts w:hint="eastAsia" w:hAnsi="宋体" w:cs="宋体"/>
          <w:bCs/>
          <w:color w:val="auto"/>
          <w:kern w:val="2"/>
          <w:sz w:val="24"/>
          <w:szCs w:val="24"/>
          <w:highlight w:val="none"/>
          <w:lang w:eastAsia="zh-CN"/>
        </w:rPr>
        <w:t>2024年余杭区劳动纠纷调解服务</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具体内容</w:t>
      </w:r>
      <w:r>
        <w:rPr>
          <w:rFonts w:hint="eastAsia" w:ascii="宋体" w:hAnsi="宋体" w:eastAsia="宋体" w:cs="宋体"/>
          <w:bCs/>
          <w:color w:val="auto"/>
          <w:kern w:val="2"/>
          <w:sz w:val="24"/>
          <w:szCs w:val="24"/>
          <w:highlight w:val="none"/>
        </w:rPr>
        <w:t>详见招标文件第三部分采购需求</w:t>
      </w:r>
      <w:r>
        <w:rPr>
          <w:rFonts w:hint="eastAsia" w:hAnsi="宋体"/>
          <w:color w:val="auto"/>
          <w:kern w:val="2"/>
          <w:sz w:val="24"/>
          <w:szCs w:val="24"/>
        </w:rPr>
        <w:t>，供应商可点击本公告下方“浏览采购文件”查看采购需求。</w:t>
      </w:r>
    </w:p>
    <w:p>
      <w:pPr>
        <w:spacing w:line="360" w:lineRule="auto"/>
        <w:ind w:firstLine="482" w:firstLineChars="200"/>
        <w:rPr>
          <w:rFonts w:ascii="宋体" w:hAnsi="宋体" w:cs="宋体"/>
          <w:b/>
          <w:sz w:val="24"/>
          <w:szCs w:val="32"/>
        </w:rPr>
      </w:pPr>
      <w:r>
        <w:rPr>
          <w:rFonts w:hint="eastAsia" w:ascii="宋体" w:hAnsi="宋体" w:cs="宋体"/>
          <w:b/>
          <w:sz w:val="24"/>
          <w:szCs w:val="32"/>
        </w:rPr>
        <w:t>简要规格描述或项目基本概况介绍、用途：</w:t>
      </w:r>
      <w:r>
        <w:rPr>
          <w:rFonts w:hint="eastAsia" w:ascii="宋体" w:hAnsi="宋体" w:cs="宋体"/>
          <w:bCs/>
          <w:sz w:val="24"/>
        </w:rPr>
        <w:t>具体内容和相关要求详见招标文件“第三部分 采购需求”</w:t>
      </w:r>
      <w:r>
        <w:rPr>
          <w:rFonts w:hint="eastAsia" w:ascii="宋体" w:hAnsi="宋体"/>
          <w:sz w:val="24"/>
        </w:rPr>
        <w:t>。</w:t>
      </w:r>
    </w:p>
    <w:p>
      <w:pPr>
        <w:pStyle w:val="15"/>
        <w:spacing w:line="360" w:lineRule="auto"/>
        <w:ind w:firstLine="480"/>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合同履约期限：详见招标文件</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第三部分</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采购需求。</w:t>
      </w:r>
    </w:p>
    <w:p>
      <w:pPr>
        <w:pStyle w:val="1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b/>
          <w:color w:val="auto"/>
          <w:sz w:val="24"/>
          <w:highlight w:val="none"/>
        </w:rPr>
        <w:sym w:font="Wingdings" w:char="00A8"/>
      </w:r>
      <w:r>
        <w:rPr>
          <w:rFonts w:hint="eastAsia" w:ascii="宋体" w:hAnsi="宋体" w:eastAsia="宋体" w:cs="宋体"/>
          <w:b/>
          <w:color w:val="auto"/>
          <w:sz w:val="24"/>
          <w:highlight w:val="none"/>
        </w:rPr>
        <w:t>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3.本项目的特定资格要求：</w:t>
      </w:r>
      <w:bookmarkStart w:id="460" w:name="_GoBack"/>
      <w:bookmarkStart w:id="10" w:name="OLE_LINK4"/>
      <w:r>
        <w:rPr>
          <w:rFonts w:hint="eastAsia" w:ascii="宋体" w:hAnsi="宋体" w:eastAsia="宋体" w:cs="宋体"/>
          <w:b/>
          <w:bCs/>
          <w:color w:val="auto"/>
          <w:sz w:val="24"/>
          <w:highlight w:val="none"/>
        </w:rPr>
        <w:t>根据浙财行[2018]32号文件规定，本项目承接主体要求经司法行政部门备案的具有从事纠纷调处条件的人民调解协会以及品牌人民调解工作室等社会组织；</w:t>
      </w:r>
      <w:bookmarkEnd w:id="10"/>
    </w:p>
    <w:bookmarkEnd w:id="460"/>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eastAsia="zh-CN"/>
        </w:rPr>
        <w:t>线上电子投标</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eastAsia="zh-CN"/>
        </w:rPr>
        <w:t>在线电子开标</w:t>
      </w:r>
      <w:r>
        <w:rPr>
          <w:rFonts w:hint="eastAsia" w:ascii="宋体" w:hAnsi="宋体" w:eastAsia="宋体" w:cs="宋体"/>
          <w:color w:val="auto"/>
          <w:sz w:val="24"/>
          <w:highlight w:val="none"/>
        </w:rPr>
        <w:t>。</w:t>
      </w:r>
    </w:p>
    <w:p>
      <w:pPr>
        <w:pStyle w:val="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1.采购人信息</w:t>
      </w:r>
    </w:p>
    <w:p>
      <w:pPr>
        <w:widowControl/>
        <w:spacing w:line="360" w:lineRule="auto"/>
        <w:ind w:firstLine="480" w:firstLineChars="200"/>
        <w:jc w:val="left"/>
        <w:rPr>
          <w:rFonts w:hint="eastAsia" w:ascii="宋体" w:hAnsi="宋体" w:eastAsia="宋体" w:cs="宋体"/>
          <w:bCs/>
          <w:color w:val="000000"/>
          <w:sz w:val="24"/>
        </w:rPr>
      </w:pPr>
      <w:bookmarkStart w:id="11" w:name="_Toc19946"/>
      <w:bookmarkStart w:id="12" w:name="_Toc28359010"/>
      <w:bookmarkStart w:id="13" w:name="_Toc28359087"/>
      <w:r>
        <w:rPr>
          <w:rFonts w:hint="eastAsia" w:ascii="宋体" w:hAnsi="宋体" w:eastAsia="宋体" w:cs="宋体"/>
          <w:sz w:val="24"/>
        </w:rPr>
        <w:t>名称：</w:t>
      </w:r>
      <w:r>
        <w:rPr>
          <w:rFonts w:hint="eastAsia" w:ascii="宋体" w:hAnsi="宋体" w:eastAsia="宋体" w:cs="宋体"/>
          <w:sz w:val="24"/>
          <w:lang w:eastAsia="zh-CN"/>
        </w:rPr>
        <w:t xml:space="preserve"> 杭州市余杭区人力资源和社会保障局</w:t>
      </w:r>
      <w:r>
        <w:rPr>
          <w:rFonts w:hint="eastAsia" w:ascii="宋体" w:hAnsi="宋体" w:eastAsia="宋体" w:cs="宋体"/>
          <w:sz w:val="24"/>
        </w:rPr>
        <w:t xml:space="preserve"> </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bCs/>
          <w:sz w:val="24"/>
          <w:highlight w:val="none"/>
        </w:rPr>
        <w:t>杭州市余杭区余杭街道凤新路366号瑞鸿大厦16-18楼。</w:t>
      </w:r>
    </w:p>
    <w:p>
      <w:pPr>
        <w:snapToGrid w:val="0"/>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项目联系人（询问）：冯怡婷       联系电话：</w:t>
      </w:r>
      <w:r>
        <w:rPr>
          <w:rFonts w:hint="eastAsia" w:ascii="宋体" w:hAnsi="宋体" w:eastAsia="宋体" w:cs="宋体"/>
          <w:color w:val="000000"/>
          <w:sz w:val="24"/>
          <w:highlight w:val="none"/>
          <w:lang w:val="en-US" w:eastAsia="zh-CN"/>
        </w:rPr>
        <w:t>0571-</w:t>
      </w:r>
      <w:r>
        <w:rPr>
          <w:rFonts w:hint="eastAsia" w:ascii="宋体" w:hAnsi="宋体" w:eastAsia="宋体" w:cs="宋体"/>
          <w:color w:val="000000"/>
          <w:sz w:val="24"/>
          <w:highlight w:val="none"/>
        </w:rPr>
        <w:t>89305663</w:t>
      </w:r>
    </w:p>
    <w:p>
      <w:pPr>
        <w:snapToGri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质疑联系人：</w:t>
      </w:r>
      <w:r>
        <w:rPr>
          <w:rFonts w:hint="eastAsia" w:ascii="宋体" w:hAnsi="宋体" w:eastAsia="宋体" w:cs="宋体"/>
          <w:color w:val="000000"/>
          <w:sz w:val="24"/>
          <w:highlight w:val="none"/>
          <w:lang w:val="en-US" w:eastAsia="zh-CN"/>
        </w:rPr>
        <w:t>孙中晖               联系电话</w:t>
      </w:r>
      <w:bookmarkStart w:id="14" w:name="OLE_LINK1"/>
      <w:r>
        <w:rPr>
          <w:rFonts w:hint="eastAsia" w:ascii="宋体" w:hAnsi="宋体" w:eastAsia="宋体" w:cs="宋体"/>
          <w:color w:val="000000"/>
          <w:sz w:val="24"/>
          <w:highlight w:val="none"/>
          <w:lang w:val="en-US" w:eastAsia="zh-CN"/>
        </w:rPr>
        <w:t>：0571-89305661</w:t>
      </w:r>
      <w:bookmarkEnd w:id="14"/>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2.采购代理机构信息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名称：耀华建设管理有限公司</w:t>
      </w:r>
    </w:p>
    <w:p>
      <w:pPr>
        <w:spacing w:line="360" w:lineRule="auto"/>
        <w:ind w:firstLine="480" w:firstLineChars="200"/>
        <w:rPr>
          <w:rFonts w:hint="eastAsia" w:ascii="宋体" w:hAnsi="宋体" w:eastAsia="宋体" w:cs="宋体"/>
        </w:rPr>
      </w:pPr>
      <w:r>
        <w:rPr>
          <w:rFonts w:hint="eastAsia" w:ascii="宋体" w:hAnsi="宋体" w:eastAsia="宋体" w:cs="宋体"/>
          <w:sz w:val="24"/>
        </w:rPr>
        <w:t>地址：杭州市余杭区联创街77号汇银中心3幢2单元</w:t>
      </w:r>
      <w:r>
        <w:rPr>
          <w:rFonts w:hint="eastAsia" w:ascii="宋体" w:hAnsi="宋体" w:eastAsia="宋体" w:cs="宋体"/>
          <w:sz w:val="24"/>
          <w:lang w:val="en-US" w:eastAsia="zh-CN"/>
        </w:rPr>
        <w:t>1-</w:t>
      </w:r>
      <w:r>
        <w:rPr>
          <w:rFonts w:hint="eastAsia" w:ascii="宋体" w:hAnsi="宋体" w:eastAsia="宋体" w:cs="宋体"/>
          <w:sz w:val="24"/>
        </w:rPr>
        <w:t>3</w:t>
      </w:r>
      <w:r>
        <w:rPr>
          <w:rFonts w:hint="eastAsia" w:ascii="宋体" w:hAnsi="宋体" w:eastAsia="宋体" w:cs="宋体"/>
          <w:sz w:val="24"/>
          <w:lang w:eastAsia="zh-CN"/>
        </w:rPr>
        <w:t>层（整幢）</w:t>
      </w:r>
      <w:r>
        <w:rPr>
          <w:rFonts w:hint="eastAsia" w:ascii="宋体" w:hAnsi="宋体" w:eastAsia="宋体" w:cs="宋体"/>
          <w:sz w:val="24"/>
        </w:rPr>
        <w:t>。</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sz w:val="24"/>
          <w:highlight w:val="none"/>
        </w:rPr>
        <w:t>项目联系人（</w:t>
      </w:r>
      <w:r>
        <w:rPr>
          <w:rFonts w:hint="eastAsia" w:ascii="宋体" w:hAnsi="宋体" w:eastAsia="宋体" w:cs="宋体"/>
          <w:color w:val="000000"/>
          <w:sz w:val="24"/>
          <w:highlight w:val="none"/>
        </w:rPr>
        <w:t>询问）：周</w:t>
      </w:r>
      <w:r>
        <w:rPr>
          <w:rFonts w:hint="eastAsia" w:ascii="宋体" w:hAnsi="宋体" w:eastAsia="宋体" w:cs="宋体"/>
          <w:color w:val="000000"/>
          <w:sz w:val="24"/>
          <w:highlight w:val="none"/>
          <w:lang w:val="en-US" w:eastAsia="zh-CN"/>
        </w:rPr>
        <w:t>海丽</w:t>
      </w:r>
      <w:r>
        <w:rPr>
          <w:rFonts w:hint="eastAsia" w:ascii="宋体" w:hAnsi="宋体" w:eastAsia="宋体" w:cs="宋体"/>
          <w:color w:val="000000"/>
          <w:sz w:val="24"/>
          <w:highlight w:val="none"/>
        </w:rPr>
        <w:t xml:space="preserve">   联系电话：0571-86320706</w:t>
      </w:r>
      <w:r>
        <w:rPr>
          <w:rFonts w:hint="eastAsia" w:ascii="宋体" w:hAnsi="宋体" w:eastAsia="宋体" w:cs="宋体"/>
          <w:color w:val="000000"/>
          <w:sz w:val="24"/>
          <w:highlight w:val="none"/>
          <w:lang w:val="en-US" w:eastAsia="zh-CN"/>
        </w:rPr>
        <w:t xml:space="preserve">  15868109971</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highlight w:val="none"/>
        </w:rPr>
        <w:t xml:space="preserve">质疑联系人：单成燕          </w:t>
      </w:r>
      <w:r>
        <w:rPr>
          <w:rFonts w:hint="eastAsia" w:ascii="宋体" w:hAnsi="宋体" w:cs="宋体"/>
          <w:color w:val="000000"/>
          <w:sz w:val="24"/>
          <w:highlight w:val="none"/>
          <w:lang w:val="en-US" w:eastAsia="zh-CN"/>
        </w:rPr>
        <w:t xml:space="preserve"> </w:t>
      </w:r>
      <w:r>
        <w:rPr>
          <w:rFonts w:hint="eastAsia" w:ascii="宋体" w:hAnsi="宋体" w:eastAsia="宋体" w:cs="宋体"/>
          <w:sz w:val="24"/>
          <w:highlight w:val="none"/>
        </w:rPr>
        <w:t>联系电话：0571-86320727  18072887619</w:t>
      </w:r>
    </w:p>
    <w:p>
      <w:pPr>
        <w:rPr>
          <w:rFonts w:hint="eastAsia" w:ascii="宋体" w:hAnsi="宋体" w:eastAsia="宋体" w:cs="宋体"/>
          <w:b/>
          <w:color w:val="auto"/>
          <w:sz w:val="24"/>
          <w:highlight w:val="none"/>
        </w:rPr>
      </w:pPr>
    </w:p>
    <w:bookmarkEnd w:id="11"/>
    <w:bookmarkEnd w:id="12"/>
    <w:bookmarkEnd w:id="13"/>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名称：杭州市余杭区财政局、浙江省政府采购行政裁决服务中心（杭州）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地址：杭州市上城区清泰街549号城建综合大楼11楼（快递仅限ems或顺丰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监督投诉电话：电话：0571-8</w:t>
      </w:r>
      <w:r>
        <w:rPr>
          <w:rFonts w:hint="eastAsia" w:ascii="宋体" w:hAnsi="宋体" w:eastAsia="宋体" w:cs="宋体"/>
          <w:color w:val="auto"/>
          <w:sz w:val="24"/>
          <w:highlight w:val="none"/>
          <w:lang w:val="en-US" w:eastAsia="zh-CN"/>
        </w:rPr>
        <w:t>7227671,0571-87800218</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480" w:firstLineChars="200"/>
        <w:rPr>
          <w:rFonts w:hint="eastAsia" w:ascii="宋体" w:hAnsi="宋体" w:eastAsia="宋体" w:cs="宋体"/>
          <w:color w:val="auto"/>
          <w:sz w:val="24"/>
          <w:highlight w:val="none"/>
        </w:rPr>
      </w:pP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8"/>
    <w:tbl>
      <w:tblPr>
        <w:tblStyle w:val="68"/>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bookmarkStart w:id="15" w:name="_Toc164416483"/>
            <w:bookmarkStart w:id="16" w:name="第三部分"/>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24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2024年余杭区劳动纠纷调解服务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租赁和商务服务业</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大型、中型、小型标准详见附件：中小微行业划型标准规定（根据工信部联企业〔2011〕300号制定）。</w:t>
            </w:r>
          </w:p>
          <w:p>
            <w:pPr>
              <w:pStyle w:val="623"/>
              <w:widowControl w:val="0"/>
              <w:numPr>
                <w:ilvl w:val="0"/>
                <w:numId w:val="0"/>
              </w:numPr>
              <w:tabs>
                <w:tab w:val="left" w:pos="1070"/>
              </w:tabs>
              <w:wordWrap/>
              <w:adjustRightInd w:val="0"/>
              <w:snapToGrid/>
              <w:spacing w:line="240" w:lineRule="auto"/>
              <w:ind w:left="422" w:right="52" w:hanging="482"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　　</w:t>
            </w:r>
          </w:p>
          <w:p>
            <w:pPr>
              <w:pStyle w:val="623"/>
              <w:widowControl w:val="0"/>
              <w:numPr>
                <w:ilvl w:val="0"/>
                <w:numId w:val="0"/>
              </w:numPr>
              <w:tabs>
                <w:tab w:val="left" w:pos="1070"/>
              </w:tabs>
              <w:wordWrap/>
              <w:adjustRightInd w:val="0"/>
              <w:snapToGrid/>
              <w:spacing w:line="240" w:lineRule="auto"/>
              <w:ind w:left="422" w:right="52" w:hanging="482" w:hangingChars="200"/>
              <w:jc w:val="both"/>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sz w:val="24"/>
                <w:highlight w:val="none"/>
                <w:shd w:val="clear" w:color="auto" w:fill="FFFFFF"/>
                <w:lang w:val="zh-CN" w:bidi="zh-CN"/>
              </w:rPr>
              <w:t>说明：</w:t>
            </w:r>
          </w:p>
          <w:p>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23"/>
              <w:widowControl w:val="0"/>
              <w:tabs>
                <w:tab w:val="left" w:pos="1070"/>
              </w:tabs>
              <w:wordWrap/>
              <w:snapToGrid/>
              <w:spacing w:line="240" w:lineRule="auto"/>
              <w:ind w:right="52" w:firstLine="211" w:firstLineChars="1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根据《政府采购促进中小企业发展管理办法》（财库﹝2020﹞46 号）要求，本次采购为</w:t>
            </w:r>
            <w:r>
              <w:rPr>
                <w:rFonts w:hint="eastAsia" w:ascii="宋体" w:hAnsi="宋体" w:eastAsia="宋体" w:cs="宋体"/>
                <w:b/>
                <w:bCs/>
                <w:color w:val="auto"/>
                <w:sz w:val="24"/>
                <w:szCs w:val="24"/>
                <w:highlight w:val="none"/>
                <w:u w:val="single"/>
                <w:lang w:eastAsia="zh-CN"/>
              </w:rPr>
              <w:t>非专门面向</w:t>
            </w:r>
            <w:r>
              <w:rPr>
                <w:rFonts w:hint="eastAsia" w:ascii="宋体" w:hAnsi="宋体" w:eastAsia="宋体" w:cs="宋体"/>
                <w:b/>
                <w:bCs/>
                <w:color w:val="auto"/>
                <w:sz w:val="24"/>
                <w:szCs w:val="24"/>
                <w:highlight w:val="none"/>
                <w:u w:val="single"/>
                <w:lang w:val="en-US" w:eastAsia="zh-CN"/>
              </w:rPr>
              <w:t>中</w:t>
            </w:r>
            <w:r>
              <w:rPr>
                <w:rFonts w:hint="eastAsia" w:ascii="宋体" w:hAnsi="宋体" w:eastAsia="宋体" w:cs="宋体"/>
                <w:b/>
                <w:bCs/>
                <w:color w:val="auto"/>
                <w:sz w:val="24"/>
                <w:szCs w:val="24"/>
                <w:highlight w:val="none"/>
                <w:u w:val="single"/>
                <w:lang w:eastAsia="zh-CN"/>
              </w:rPr>
              <w:t>小企业预留采购份额</w:t>
            </w:r>
            <w:r>
              <w:rPr>
                <w:rFonts w:hint="eastAsia" w:ascii="宋体" w:hAnsi="宋体" w:eastAsia="宋体" w:cs="宋体"/>
                <w:b/>
                <w:bCs/>
                <w:color w:val="auto"/>
                <w:sz w:val="24"/>
                <w:highlight w:val="none"/>
                <w:lang w:eastAsia="zh-CN"/>
              </w:rPr>
              <w:t>。</w:t>
            </w:r>
          </w:p>
          <w:p>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对于非专门面向中小企业的项目，</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的投标报价给予</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0%</w:t>
            </w:r>
            <w:r>
              <w:rPr>
                <w:rFonts w:hint="eastAsia" w:ascii="宋体" w:hAnsi="宋体" w:eastAsia="宋体" w:cs="宋体"/>
                <w:color w:val="auto"/>
                <w:sz w:val="24"/>
                <w:highlight w:val="none"/>
              </w:rPr>
              <w:t>的扣除，并用扣除后的价格计算价格评分</w:t>
            </w:r>
            <w:r>
              <w:rPr>
                <w:rFonts w:hint="eastAsia" w:ascii="宋体" w:hAnsi="宋体" w:eastAsia="宋体" w:cs="宋体"/>
                <w:b/>
                <w:bCs/>
                <w:color w:val="auto"/>
                <w:sz w:val="24"/>
                <w:highlight w:val="none"/>
              </w:rPr>
              <w:t>（价格扣除只用于评审过程，如中标，中标价格仍按照其投标价格进行公示）。</w:t>
            </w:r>
          </w:p>
          <w:p>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其中民办非企业在参加政府采购项目不享受政府采购中小企业扶持政策，也不能在非专门面向中小企业采购的项目中提供《中小企业声明函》享受价格扣除优惠政策。</w:t>
            </w:r>
          </w:p>
          <w:p>
            <w:pPr>
              <w:pStyle w:val="623"/>
              <w:widowControl w:val="0"/>
              <w:tabs>
                <w:tab w:val="left" w:pos="1070"/>
              </w:tabs>
              <w:wordWrap/>
              <w:snapToGrid/>
              <w:spacing w:line="240" w:lineRule="auto"/>
              <w:ind w:right="52" w:firstLine="236"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)符合小微企业划分标准的个体工商户，视同小微企业</w:t>
            </w:r>
            <w:r>
              <w:rPr>
                <w:rFonts w:hint="eastAsia" w:ascii="宋体" w:hAnsi="宋体" w:eastAsia="宋体" w:cs="宋体"/>
                <w:color w:val="auto"/>
                <w:spacing w:val="-13"/>
                <w:sz w:val="24"/>
                <w:szCs w:val="24"/>
                <w:highlight w:val="none"/>
                <w:lang w:eastAsia="zh-CN"/>
              </w:rPr>
              <w:t>。</w:t>
            </w:r>
          </w:p>
          <w:p>
            <w:pPr>
              <w:pStyle w:val="623"/>
              <w:widowControl w:val="0"/>
              <w:tabs>
                <w:tab w:val="left" w:pos="1070"/>
              </w:tabs>
              <w:wordWrap/>
              <w:snapToGrid/>
              <w:spacing w:line="240" w:lineRule="auto"/>
              <w:ind w:right="52" w:firstLine="238"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)监狱企业和残疾人福利性单位视同小型、微型企业， </w:t>
            </w:r>
            <w:r>
              <w:rPr>
                <w:rFonts w:hint="eastAsia" w:ascii="宋体" w:hAnsi="宋体" w:eastAsia="宋体" w:cs="宋体"/>
                <w:color w:val="auto"/>
                <w:sz w:val="24"/>
                <w:szCs w:val="24"/>
                <w:highlight w:val="none"/>
              </w:rPr>
              <w:t>按《财政部 司法部关于政府采购支持监狱企业发展有关问题的通知》(财库〔2014〕68 号)、《财政部 民政部  中国残</w:t>
            </w:r>
            <w:r>
              <w:rPr>
                <w:rFonts w:hint="eastAsia" w:ascii="宋体" w:hAnsi="宋体" w:eastAsia="宋体" w:cs="宋体"/>
                <w:color w:val="auto"/>
                <w:spacing w:val="-2"/>
                <w:sz w:val="24"/>
                <w:szCs w:val="24"/>
                <w:highlight w:val="none"/>
              </w:rPr>
              <w:t>疾人联合会关于促进残疾人就业政府采购政策的通知》</w:t>
            </w:r>
            <w:r>
              <w:rPr>
                <w:rFonts w:hint="eastAsia" w:ascii="宋体" w:hAnsi="宋体" w:eastAsia="宋体" w:cs="宋体"/>
                <w:color w:val="auto"/>
                <w:sz w:val="24"/>
                <w:szCs w:val="24"/>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82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w:t>
            </w:r>
            <w:r>
              <w:rPr>
                <w:rFonts w:hint="eastAsia" w:ascii="宋体" w:hAnsi="宋体" w:eastAsia="宋体" w:cs="宋体"/>
                <w:b w:val="0"/>
                <w:bCs w:val="0"/>
                <w:color w:val="auto"/>
                <w:kern w:val="0"/>
                <w:sz w:val="24"/>
                <w:highlight w:val="none"/>
                <w:lang w:val="zh-CN"/>
              </w:rPr>
              <w:t>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投标人针对本项目的投标报价不得超过采购预算金额和单价最高限价，否则其投标无效。</w:t>
            </w:r>
          </w:p>
          <w:p>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投标报价超过招标文件中规定的预算金额的；</w:t>
            </w:r>
          </w:p>
          <w:p>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val="en-US" w:eastAsia="zh-CN"/>
              </w:rPr>
              <w:t>；</w:t>
            </w:r>
          </w:p>
          <w:p>
            <w:pPr>
              <w:keepNext w:val="0"/>
              <w:keepLines w:val="0"/>
              <w:pageBreakBefore w:val="0"/>
              <w:widowControl w:val="0"/>
              <w:kinsoku/>
              <w:wordWrap/>
              <w:overflowPunct/>
              <w:topLinePunct w:val="0"/>
              <w:autoSpaceDE/>
              <w:autoSpaceDN/>
              <w:bidi w:val="0"/>
              <w:adjustRightInd w:val="0"/>
              <w:spacing w:line="264"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密封包装后（建议顺丰邮寄形式）投标截止时间前递交一份邮寄地址</w:t>
            </w:r>
            <w:r>
              <w:rPr>
                <w:rFonts w:hint="eastAsia" w:hAnsi="宋体" w:cs="宋体"/>
                <w:color w:val="auto"/>
                <w:kern w:val="28"/>
                <w:sz w:val="24"/>
                <w:szCs w:val="24"/>
                <w:highlight w:val="none"/>
                <w:u w:val="single"/>
                <w:lang w:eastAsia="zh-CN"/>
              </w:rPr>
              <w:t>为</w:t>
            </w:r>
            <w:r>
              <w:rPr>
                <w:rFonts w:hint="eastAsia" w:ascii="宋体" w:hAnsi="宋体" w:eastAsia="宋体" w:cs="宋体"/>
                <w:sz w:val="24"/>
              </w:rPr>
              <w:t>杭州市余杭区联创街77号汇银中心3幢2单元</w:t>
            </w:r>
            <w:r>
              <w:rPr>
                <w:rFonts w:hint="eastAsia" w:ascii="宋体" w:hAnsi="宋体" w:eastAsia="宋体" w:cs="宋体"/>
                <w:sz w:val="24"/>
                <w:lang w:val="en-US" w:eastAsia="zh-CN"/>
              </w:rPr>
              <w:t>1-</w:t>
            </w:r>
            <w:r>
              <w:rPr>
                <w:rFonts w:hint="eastAsia" w:ascii="宋体" w:hAnsi="宋体" w:eastAsia="宋体" w:cs="宋体"/>
                <w:sz w:val="24"/>
              </w:rPr>
              <w:t>3</w:t>
            </w:r>
            <w:r>
              <w:rPr>
                <w:rFonts w:hint="eastAsia" w:ascii="宋体" w:hAnsi="宋体" w:eastAsia="宋体" w:cs="宋体"/>
                <w:sz w:val="24"/>
                <w:lang w:eastAsia="zh-CN"/>
              </w:rPr>
              <w:t>层（整幢）</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周</w:t>
            </w:r>
            <w:r>
              <w:rPr>
                <w:rFonts w:hint="eastAsia" w:ascii="宋体" w:hAnsi="宋体" w:eastAsia="宋体" w:cs="宋体"/>
                <w:color w:val="auto"/>
                <w:sz w:val="24"/>
                <w:highlight w:val="none"/>
                <w:u w:val="single"/>
                <w:lang w:val="en-US" w:eastAsia="zh-CN"/>
              </w:rPr>
              <w:t>海丽</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15868109971</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12"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snapToGrid/>
              <w:spacing w:line="312" w:lineRule="auto"/>
              <w:ind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lang w:val="en-US"/>
              </w:rPr>
              <w:t>本项目的招标代理费用由中标单位支付，</w:t>
            </w:r>
            <w:r>
              <w:rPr>
                <w:rFonts w:ascii="Times New Roman" w:hAnsi="宋体" w:eastAsia="宋体" w:cs="宋体"/>
                <w:bCs/>
                <w:color w:val="000000"/>
                <w:sz w:val="24"/>
                <w:szCs w:val="22"/>
              </w:rPr>
              <w:t>付费单位：由</w:t>
            </w:r>
            <w:r>
              <w:rPr>
                <w:rFonts w:hint="eastAsia" w:ascii="Times New Roman" w:hAnsi="宋体" w:eastAsia="宋体" w:cs="宋体"/>
                <w:bCs/>
                <w:color w:val="000000"/>
                <w:sz w:val="24"/>
                <w:szCs w:val="22"/>
              </w:rPr>
              <w:t>中标人支付；</w:t>
            </w:r>
            <w:r>
              <w:rPr>
                <w:rFonts w:ascii="Times New Roman" w:hAnsi="宋体" w:eastAsia="宋体" w:cs="宋体"/>
                <w:color w:val="000000"/>
                <w:kern w:val="2"/>
                <w:sz w:val="24"/>
                <w:szCs w:val="24"/>
              </w:rPr>
              <w:t>付费标准：</w:t>
            </w:r>
            <w:r>
              <w:rPr>
                <w:rFonts w:hint="eastAsia" w:ascii="Times New Roman" w:hAnsi="宋体" w:eastAsia="宋体" w:cs="宋体"/>
                <w:color w:val="000000"/>
                <w:kern w:val="2"/>
                <w:sz w:val="24"/>
                <w:szCs w:val="24"/>
                <w:lang w:val="zh-CN"/>
              </w:rPr>
              <w:t>以</w:t>
            </w:r>
            <w:r>
              <w:rPr>
                <w:rFonts w:hint="eastAsia" w:ascii="Times New Roman" w:hAnsi="宋体" w:cs="宋体"/>
                <w:color w:val="000000"/>
                <w:kern w:val="2"/>
                <w:sz w:val="24"/>
                <w:szCs w:val="24"/>
                <w:lang w:eastAsia="zh-CN"/>
              </w:rPr>
              <w:t>中标</w:t>
            </w:r>
            <w:r>
              <w:rPr>
                <w:rFonts w:hint="eastAsia" w:ascii="Times New Roman" w:hAnsi="宋体" w:eastAsia="宋体" w:cs="宋体"/>
                <w:color w:val="000000"/>
                <w:kern w:val="2"/>
                <w:sz w:val="24"/>
                <w:szCs w:val="24"/>
                <w:lang w:val="zh-CN"/>
              </w:rPr>
              <w:t>金额为计费基准，按差额定率累进制计算</w:t>
            </w:r>
            <w:r>
              <w:rPr>
                <w:rFonts w:hint="eastAsia" w:ascii="Times New Roman" w:hAnsi="宋体" w:cs="宋体"/>
                <w:color w:val="000000"/>
                <w:kern w:val="2"/>
                <w:sz w:val="24"/>
                <w:szCs w:val="24"/>
                <w:lang w:val="zh-CN"/>
              </w:rPr>
              <w:t>，</w:t>
            </w:r>
            <w:r>
              <w:rPr>
                <w:rFonts w:ascii="Times New Roman" w:hAnsi="宋体" w:eastAsia="宋体" w:cs="宋体"/>
                <w:color w:val="000000"/>
                <w:kern w:val="2"/>
                <w:sz w:val="24"/>
                <w:szCs w:val="24"/>
                <w:lang w:val="zh-CN"/>
              </w:rPr>
              <w:t>具体标准为</w:t>
            </w:r>
            <w:r>
              <w:rPr>
                <w:rFonts w:hint="eastAsia" w:ascii="Times New Roman" w:hAnsi="宋体" w:cs="宋体"/>
                <w:color w:val="000000"/>
                <w:kern w:val="2"/>
                <w:sz w:val="24"/>
                <w:szCs w:val="24"/>
                <w:lang w:val="zh-CN"/>
              </w:rPr>
              <w:t>：</w:t>
            </w:r>
            <w:r>
              <w:rPr>
                <w:rFonts w:hint="eastAsia" w:ascii="宋体" w:hAnsi="宋体" w:eastAsia="宋体" w:cs="宋体"/>
                <w:snapToGrid w:val="0"/>
                <w:kern w:val="28"/>
                <w:sz w:val="24"/>
                <w:highlight w:val="none"/>
                <w:lang w:val="en-US"/>
              </w:rPr>
              <w:t>《关于规范余杭区政府投资项目中介服务付费限额标准的通知》文件</w:t>
            </w:r>
            <w:r>
              <w:rPr>
                <w:rFonts w:hint="eastAsia" w:ascii="Times New Roman" w:hAnsi="宋体" w:cs="宋体"/>
                <w:color w:val="000000"/>
                <w:kern w:val="2"/>
                <w:sz w:val="24"/>
                <w:szCs w:val="24"/>
                <w:lang w:val="en-US" w:eastAsia="zh-CN"/>
              </w:rPr>
              <w:t>计取</w:t>
            </w:r>
            <w:r>
              <w:rPr>
                <w:rFonts w:ascii="Times New Roman" w:hAnsi="宋体" w:eastAsia="宋体" w:cs="宋体"/>
                <w:color w:val="000000"/>
                <w:kern w:val="2"/>
                <w:sz w:val="24"/>
                <w:szCs w:val="24"/>
                <w:lang w:val="zh-CN"/>
              </w:rPr>
              <w:t>。</w:t>
            </w:r>
            <w:r>
              <w:rPr>
                <w:rFonts w:ascii="Times New Roman" w:hAnsi="宋体" w:eastAsia="宋体" w:cs="宋体"/>
                <w:bCs/>
                <w:color w:val="000000"/>
                <w:sz w:val="24"/>
                <w:szCs w:val="22"/>
              </w:rPr>
              <w:t>付费方式：于领取</w:t>
            </w:r>
            <w:r>
              <w:rPr>
                <w:rFonts w:hint="eastAsia" w:ascii="Times New Roman" w:hAnsi="宋体" w:eastAsia="宋体" w:cs="宋体"/>
                <w:bCs/>
                <w:color w:val="000000"/>
                <w:sz w:val="24"/>
                <w:szCs w:val="22"/>
              </w:rPr>
              <w:t>中标通知书时一次性支付给采购代理机构</w:t>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b w:val="0"/>
                <w:bCs w:val="0"/>
                <w:color w:val="auto"/>
                <w:kern w:val="28"/>
                <w:sz w:val="24"/>
                <w:szCs w:val="24"/>
                <w:highlight w:val="none"/>
                <w:lang w:val="en-US" w:eastAsia="zh-CN" w:bidi="ar-SA"/>
              </w:rPr>
              <w:t>投标人在报价时应综合考虑该笔费用，但不单列进投标总价。</w:t>
            </w:r>
          </w:p>
          <w:p>
            <w:pP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drawing>
                <wp:inline distT="0" distB="0" distL="114300" distR="114300">
                  <wp:extent cx="4197985" cy="1760220"/>
                  <wp:effectExtent l="0" t="0" r="12065" b="11430"/>
                  <wp:docPr id="28" name="图片 28" descr="172769484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27694844482"/>
                          <pic:cNvPicPr>
                            <a:picLocks noChangeAspect="1"/>
                          </pic:cNvPicPr>
                        </pic:nvPicPr>
                        <pic:blipFill>
                          <a:blip r:embed="rId30"/>
                          <a:stretch>
                            <a:fillRect/>
                          </a:stretch>
                        </pic:blipFill>
                        <pic:spPr>
                          <a:xfrm>
                            <a:off x="0" y="0"/>
                            <a:ext cx="4197985" cy="17602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宋体" w:hAnsi="宋体" w:eastAsia="宋体" w:cs="宋体"/>
          <w:b/>
          <w:color w:val="auto"/>
          <w:sz w:val="24"/>
          <w:highlight w:val="none"/>
          <w:lang w:eastAsia="zh-CN"/>
        </w:rPr>
        <w:t>（本项目为服务项目，不采用）</w:t>
      </w:r>
      <w:r>
        <w:rPr>
          <w:rFonts w:hint="eastAsia" w:ascii="宋体" w:hAnsi="宋体" w:eastAsia="宋体" w:cs="宋体"/>
          <w:b/>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以联合体形式参加政府采购活动，联合体各方均为小</w:t>
      </w:r>
      <w:r>
        <w:rPr>
          <w:rFonts w:hint="eastAsia" w:ascii="宋体" w:hAnsi="宋体" w:eastAsia="宋体" w:cs="宋体"/>
          <w:color w:val="auto"/>
          <w:kern w:val="0"/>
          <w:sz w:val="24"/>
          <w:highlight w:val="none"/>
          <w:lang w:eastAsia="zh-CN"/>
        </w:rPr>
        <w:t>微</w:t>
      </w:r>
      <w:r>
        <w:rPr>
          <w:rFonts w:hint="eastAsia" w:ascii="宋体" w:hAnsi="宋体" w:eastAsia="宋体" w:cs="宋体"/>
          <w:color w:val="auto"/>
          <w:kern w:val="0"/>
          <w:sz w:val="24"/>
          <w:highlight w:val="none"/>
        </w:rPr>
        <w:t>企业的，联合体视同小</w:t>
      </w:r>
      <w:r>
        <w:rPr>
          <w:rFonts w:hint="eastAsia" w:ascii="宋体" w:hAnsi="宋体" w:eastAsia="宋体" w:cs="宋体"/>
          <w:color w:val="auto"/>
          <w:kern w:val="0"/>
          <w:sz w:val="24"/>
          <w:highlight w:val="none"/>
          <w:lang w:eastAsia="zh-CN"/>
        </w:rPr>
        <w:t>微</w:t>
      </w:r>
      <w:r>
        <w:rPr>
          <w:rFonts w:hint="eastAsia" w:ascii="宋体" w:hAnsi="宋体" w:eastAsia="宋体" w:cs="宋体"/>
          <w:color w:val="auto"/>
          <w:kern w:val="0"/>
          <w:sz w:val="24"/>
          <w:highlight w:val="none"/>
        </w:rPr>
        <w:t>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w:t>
      </w:r>
      <w:r>
        <w:rPr>
          <w:rFonts w:hint="eastAsia" w:ascii="宋体" w:hAnsi="宋体" w:eastAsia="宋体" w:cs="宋体"/>
          <w:snapToGrid w:val="0"/>
          <w:color w:val="auto"/>
          <w:kern w:val="28"/>
          <w:sz w:val="24"/>
          <w:highlight w:val="none"/>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eastAsia="宋体" w:cs="宋体"/>
          <w:color w:val="auto"/>
          <w:kern w:val="0"/>
          <w:sz w:val="24"/>
          <w:highlight w:val="none"/>
          <w:lang w:val="zh-CN"/>
        </w:rPr>
        <w:t>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pPr>
        <w:pStyle w:val="37"/>
        <w:keepNext w:val="0"/>
        <w:keepLines w:val="0"/>
        <w:pageBreakBefore w:val="0"/>
        <w:kinsoku/>
        <w:wordWrap/>
        <w:overflowPunct/>
        <w:topLinePunct w:val="0"/>
        <w:autoSpaceDE/>
        <w:autoSpaceDN/>
        <w:bidi w:val="0"/>
        <w:snapToGrid/>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7"/>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7"/>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7"/>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7"/>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7"/>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7"/>
        <w:keepNext w:val="0"/>
        <w:keepLines w:val="0"/>
        <w:pageBreakBefore w:val="0"/>
        <w:kinsoku/>
        <w:wordWrap/>
        <w:overflowPunct/>
        <w:topLinePunct w:val="0"/>
        <w:autoSpaceDE/>
        <w:autoSpaceDN/>
        <w:bidi w:val="0"/>
        <w:snapToGrid/>
        <w:spacing w:beforeAutospacing="0"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58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8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58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581"/>
        <w:shd w:val="clear" w:color="auto" w:fill="FFFFFF"/>
        <w:snapToGrid w:val="0"/>
        <w:spacing w:before="0" w:beforeAutospacing="0" w:after="0" w:afterAutospacing="0" w:line="360" w:lineRule="auto"/>
        <w:ind w:firstLine="400"/>
        <w:contextualSpacing/>
        <w:rPr>
          <w:rFonts w:hint="eastAsia"/>
        </w:rPr>
      </w:pPr>
      <w:r>
        <w:rPr>
          <w:rFonts w:hint="eastAsia"/>
        </w:rPr>
        <w:t>4.4.5杭州市余杭区的政府采购项目投诉材料可寄送浙江省政府采购行政裁决服务中心（杭州），地址：杭州市上城区清泰街549号城建综合大楼11楼（快递仅限ems或顺丰）。 联系人 朱女士、王女士</w:t>
      </w:r>
      <w:r>
        <w:rPr>
          <w:rFonts w:hint="eastAsia"/>
          <w:lang w:eastAsia="zh-CN"/>
        </w:rPr>
        <w:t>，</w:t>
      </w:r>
      <w:r>
        <w:rPr>
          <w:rFonts w:hint="eastAsia"/>
        </w:rPr>
        <w:t xml:space="preserve">监督投诉电话：电话：0571-87227671,0571-87800218  </w:t>
      </w:r>
    </w:p>
    <w:p>
      <w:pPr>
        <w:pStyle w:val="581"/>
        <w:shd w:val="clear" w:color="auto" w:fill="FFFFFF"/>
        <w:snapToGrid w:val="0"/>
        <w:spacing w:before="0" w:beforeAutospacing="0" w:after="0" w:afterAutospacing="0" w:line="360" w:lineRule="auto"/>
        <w:ind w:firstLine="400"/>
        <w:contextualSpacing/>
      </w:pPr>
      <w:r>
        <w:rPr>
          <w:rFonts w:hint="eastAsia"/>
        </w:rPr>
        <w:t>投诉书范本及制作说明详见附件3。</w:t>
      </w:r>
    </w:p>
    <w:p>
      <w:pPr>
        <w:snapToGrid w:val="0"/>
        <w:spacing w:line="360" w:lineRule="auto"/>
        <w:ind w:firstLine="480" w:firstLineChars="200"/>
        <w:rPr>
          <w:rFonts w:ascii="宋体" w:hAnsi="宋体" w:cs="仿宋"/>
          <w:sz w:val="24"/>
        </w:rPr>
      </w:pPr>
      <w:r>
        <w:rPr>
          <w:rFonts w:hint="eastAsia" w:ascii="宋体" w:hAnsi="宋体" w:cs="仿宋"/>
          <w:sz w:val="24"/>
        </w:rPr>
        <w:t>4.5 补偿救济</w:t>
      </w:r>
    </w:p>
    <w:p>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pStyle w:val="96"/>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numPr>
          <w:ilvl w:val="-1"/>
          <w:numId w:val="0"/>
        </w:numPr>
        <w:jc w:val="left"/>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br w:type="page"/>
      </w:r>
    </w:p>
    <w:p>
      <w:pPr>
        <w:numPr>
          <w:ilvl w:val="0"/>
          <w:numId w:val="1"/>
        </w:numPr>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投标</w:t>
      </w:r>
    </w:p>
    <w:p>
      <w:pPr>
        <w:pStyle w:val="3"/>
        <w:numPr>
          <w:ilvl w:val="0"/>
          <w:numId w:val="0"/>
        </w:numPr>
        <w:rPr>
          <w:rFonts w:hint="eastAsia" w:ascii="宋体" w:hAnsi="宋体" w:eastAsia="宋体" w:cs="宋体"/>
          <w:color w:val="auto"/>
          <w:highlight w:val="none"/>
        </w:rPr>
      </w:pP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7"/>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numPr>
          <w:ilvl w:val="0"/>
          <w:numId w:val="2"/>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1目录</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提供</w:t>
      </w:r>
      <w:r>
        <w:rPr>
          <w:rFonts w:hint="eastAsia" w:ascii="宋体" w:hAnsi="宋体" w:eastAsia="宋体" w:cs="宋体"/>
          <w:b w:val="0"/>
          <w:bCs w:val="0"/>
          <w:color w:val="auto"/>
          <w:sz w:val="24"/>
          <w:highlight w:val="none"/>
        </w:rPr>
        <w:t>法人或者其他组织</w:t>
      </w:r>
      <w:r>
        <w:rPr>
          <w:rFonts w:hint="eastAsia" w:ascii="宋体" w:hAnsi="宋体" w:eastAsia="宋体" w:cs="宋体"/>
          <w:b w:val="0"/>
          <w:bCs w:val="0"/>
          <w:color w:val="auto"/>
          <w:sz w:val="24"/>
          <w:highlight w:val="none"/>
          <w:lang w:eastAsia="zh-CN"/>
        </w:rPr>
        <w:t>机构的</w:t>
      </w:r>
      <w:r>
        <w:rPr>
          <w:rFonts w:hint="eastAsia" w:ascii="宋体" w:hAnsi="宋体" w:eastAsia="宋体" w:cs="宋体"/>
          <w:b w:val="0"/>
          <w:bCs w:val="0"/>
          <w:color w:val="auto"/>
          <w:sz w:val="24"/>
          <w:highlight w:val="none"/>
        </w:rPr>
        <w:t>营业执照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扫</w:t>
      </w:r>
      <w:r>
        <w:rPr>
          <w:rFonts w:hint="eastAsia" w:ascii="宋体" w:hAnsi="宋体" w:eastAsia="宋体" w:cs="宋体"/>
          <w:b w:val="0"/>
          <w:bCs w:val="0"/>
          <w:color w:val="auto"/>
          <w:sz w:val="24"/>
          <w:highlight w:val="none"/>
          <w:lang w:eastAsia="zh-CN"/>
        </w:rPr>
        <w:t>描件或复印件加盖公章）</w:t>
      </w:r>
      <w:r>
        <w:rPr>
          <w:rFonts w:hint="eastAsia" w:ascii="宋体" w:hAnsi="宋体" w:eastAsia="宋体" w:cs="宋体"/>
          <w:b w:val="0"/>
          <w:bCs w:val="0"/>
          <w:color w:val="auto"/>
          <w:sz w:val="24"/>
          <w:highlight w:val="none"/>
        </w:rPr>
        <w:t>或事业法人登记证书或其</w:t>
      </w:r>
      <w:r>
        <w:rPr>
          <w:rFonts w:hint="eastAsia" w:ascii="宋体" w:hAnsi="宋体" w:eastAsia="宋体" w:cs="宋体"/>
          <w:b w:val="0"/>
          <w:bCs w:val="0"/>
          <w:color w:val="auto"/>
          <w:sz w:val="24"/>
          <w:highlight w:val="none"/>
          <w:lang w:eastAsia="zh-CN"/>
        </w:rPr>
        <w:t>他</w:t>
      </w:r>
      <w:r>
        <w:rPr>
          <w:rFonts w:hint="eastAsia" w:ascii="宋体" w:hAnsi="宋体" w:eastAsia="宋体" w:cs="宋体"/>
          <w:b w:val="0"/>
          <w:bCs w:val="0"/>
          <w:color w:val="auto"/>
          <w:sz w:val="24"/>
          <w:highlight w:val="none"/>
        </w:rPr>
        <w:t>工商等登记证明材料；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pPr>
        <w:snapToGrid/>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p>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6</w:t>
      </w:r>
      <w:r>
        <w:rPr>
          <w:rFonts w:hint="eastAsia" w:ascii="宋体" w:hAnsi="宋体" w:eastAsia="宋体" w:cs="宋体"/>
          <w:b/>
          <w:bCs/>
          <w:color w:val="auto"/>
          <w:sz w:val="24"/>
          <w:highlight w:val="none"/>
        </w:rPr>
        <w:t>本项目的特定资格要求</w:t>
      </w:r>
      <w:r>
        <w:rPr>
          <w:rFonts w:hint="eastAsia" w:ascii="宋体" w:hAnsi="宋体" w:eastAsia="宋体" w:cs="宋体"/>
          <w:b/>
          <w:bCs/>
          <w:snapToGrid w:val="0"/>
          <w:color w:val="auto"/>
          <w:kern w:val="28"/>
          <w:sz w:val="24"/>
          <w:szCs w:val="20"/>
          <w:highlight w:val="none"/>
          <w:lang w:eastAsia="zh-CN"/>
        </w:rPr>
        <w:t>：根据浙财行[2018]32号文件规定，本项目承接主体要求经司法行政部门备案的具有从事纠纷调处条件的人民调解协会以及品牌人民调解工作室等社会组织</w:t>
      </w:r>
      <w:r>
        <w:rPr>
          <w:rFonts w:hint="eastAsia" w:ascii="宋体" w:hAnsi="宋体" w:eastAsia="宋体" w:cs="宋体"/>
          <w:b/>
          <w:bCs/>
          <w:color w:val="auto"/>
          <w:sz w:val="24"/>
          <w:highlight w:val="none"/>
        </w:rPr>
        <w:t>。</w:t>
      </w:r>
    </w:p>
    <w:p>
      <w:pPr>
        <w:snapToGrid w:val="0"/>
        <w:spacing w:line="360" w:lineRule="auto"/>
        <w:ind w:left="105" w:leftChars="5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注：上述资格条件审查材料有一项不提供的，视为资格审查不通过。上述内容部分格式及内容详见“</w:t>
      </w:r>
      <w:r>
        <w:rPr>
          <w:rFonts w:hint="eastAsia" w:ascii="宋体" w:hAnsi="宋体" w:eastAsia="宋体" w:cs="宋体"/>
          <w:color w:val="auto"/>
          <w:sz w:val="24"/>
          <w:highlight w:val="none"/>
        </w:rPr>
        <w:t>第六部分  应提交的有关格式范例”。</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11.2.2授权委托书或法定代表人身份证明</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sz w:val="24"/>
          <w:highlight w:val="none"/>
          <w:lang w:eastAsia="zh-CN"/>
        </w:rPr>
        <w:t>，（格式内容见“第六部分  应提交的有关格式范例”）</w:t>
      </w:r>
    </w:p>
    <w:p>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b/>
          <w:bCs/>
          <w:color w:val="auto"/>
          <w:sz w:val="24"/>
          <w:highlight w:val="none"/>
        </w:rPr>
        <w:t>（按招标文件第四部分评标办法前附表中“投标文件中评标标准相应的商务技术资料目录”提供资料）</w:t>
      </w:r>
    </w:p>
    <w:p>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p>
    <w:p>
      <w:pPr>
        <w:snapToGrid w:val="0"/>
        <w:spacing w:line="360" w:lineRule="auto"/>
        <w:ind w:firstLine="422" w:firstLineChars="200"/>
        <w:rPr>
          <w:rFonts w:hint="eastAsia" w:ascii="宋体" w:hAnsi="宋体" w:eastAsia="宋体" w:cs="宋体"/>
          <w:color w:val="auto"/>
          <w:sz w:val="24"/>
          <w:highlight w:val="none"/>
          <w:lang w:val="zh-CN"/>
        </w:rPr>
      </w:pPr>
      <w:r>
        <w:rPr>
          <w:rFonts w:hint="eastAsia" w:ascii="宋体" w:hAnsi="宋体" w:eastAsia="宋体" w:cs="宋体"/>
          <w:b/>
          <w:color w:val="auto"/>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lang w:val="zh-CN"/>
        </w:rPr>
        <w:t>；</w:t>
      </w:r>
    </w:p>
    <w:p>
      <w:pPr>
        <w:snapToGrid w:val="0"/>
        <w:spacing w:line="360" w:lineRule="auto"/>
        <w:ind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szCs w:val="20"/>
          <w:highlight w:val="none"/>
          <w:lang w:val="zh-CN"/>
        </w:rPr>
        <w:t>投标</w:t>
      </w:r>
      <w:r>
        <w:rPr>
          <w:rFonts w:hint="eastAsia" w:ascii="宋体" w:hAnsi="宋体" w:eastAsia="宋体" w:cs="宋体"/>
          <w:color w:val="auto"/>
          <w:sz w:val="24"/>
          <w:szCs w:val="20"/>
          <w:highlight w:val="none"/>
          <w:lang w:val="en-US" w:eastAsia="zh-CN"/>
        </w:rPr>
        <w:t>人</w:t>
      </w:r>
      <w:r>
        <w:rPr>
          <w:rFonts w:hint="eastAsia" w:ascii="宋体" w:hAnsi="宋体" w:eastAsia="宋体" w:cs="宋体"/>
          <w:color w:val="auto"/>
          <w:sz w:val="24"/>
          <w:szCs w:val="20"/>
          <w:highlight w:val="none"/>
          <w:lang w:val="zh-CN"/>
        </w:rPr>
        <w:t>认为需要的其他文件资料</w:t>
      </w:r>
      <w:r>
        <w:rPr>
          <w:rFonts w:hint="eastAsia" w:ascii="宋体" w:hAnsi="宋体" w:eastAsia="宋体" w:cs="宋体"/>
          <w:color w:val="auto"/>
          <w:sz w:val="24"/>
          <w:szCs w:val="20"/>
          <w:highlight w:val="none"/>
          <w:lang w:val="zh-CN" w:eastAsia="zh-CN"/>
        </w:rPr>
        <w:t>（如有）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 xml:space="preserve">3  </w:t>
      </w:r>
      <w:r>
        <w:rPr>
          <w:rFonts w:hint="eastAsia" w:ascii="宋体" w:hAnsi="宋体" w:eastAsia="宋体" w:cs="宋体"/>
          <w:b/>
          <w:bCs/>
          <w:color w:val="auto"/>
          <w:sz w:val="24"/>
          <w:highlight w:val="none"/>
        </w:rPr>
        <w:t xml:space="preserve">报价文件：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pStyle w:val="3"/>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（如有）</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9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pPr>
        <w:pStyle w:val="9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9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9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Cs w:val="24"/>
          <w:highlight w:val="none"/>
        </w:rPr>
        <w:t xml:space="preserve">. </w:t>
      </w:r>
      <w:r>
        <w:rPr>
          <w:rFonts w:hint="eastAsia" w:ascii="宋体" w:hAnsi="宋体" w:eastAsia="宋体" w:cs="宋体"/>
          <w:b/>
          <w:color w:val="auto"/>
          <w:sz w:val="24"/>
          <w:szCs w:val="24"/>
          <w:highlight w:val="none"/>
        </w:rPr>
        <w:t>备份投标文件</w:t>
      </w:r>
    </w:p>
    <w:p>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96"/>
        <w:numPr>
          <w:ilvl w:val="0"/>
          <w:numId w:val="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lang w:val="en-US" w:eastAsia="zh-CN"/>
        </w:rPr>
        <w:t>4.2投标无效</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的情形之一的，投标无效：</w:t>
      </w:r>
    </w:p>
    <w:p>
      <w:pPr>
        <w:pStyle w:val="96"/>
        <w:numPr>
          <w:ilvl w:val="0"/>
          <w:numId w:val="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5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pPr>
        <w:pStyle w:val="25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5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5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96"/>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资格审查</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9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 信用信息查询</w:t>
      </w:r>
    </w:p>
    <w:p>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96"/>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9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8" w:name="_Hlk101184471"/>
      <w:r>
        <w:rPr>
          <w:rFonts w:hint="eastAsia" w:ascii="宋体" w:hAnsi="宋体" w:eastAsia="宋体" w:cs="宋体"/>
          <w:color w:val="auto"/>
          <w:sz w:val="24"/>
          <w:highlight w:val="none"/>
        </w:rPr>
        <w:t>资格审查情况、评审专家抽取规则、符合性审查情况、</w:t>
      </w:r>
      <w:bookmarkEnd w:id="18"/>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96"/>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25. 合同的</w:t>
      </w:r>
      <w:r>
        <w:rPr>
          <w:rFonts w:hint="eastAsia" w:ascii="宋体" w:hAnsi="宋体" w:eastAsia="宋体" w:cs="宋体"/>
          <w:b/>
          <w:color w:val="auto"/>
          <w:szCs w:val="24"/>
          <w:highlight w:val="none"/>
        </w:rPr>
        <w:t>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szCs w:val="20"/>
          <w:highlight w:val="none"/>
          <w:lang w:val="zh-CN" w:eastAsia="zh-CN" w:bidi="ar-SA"/>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9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6"/>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9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9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bookmarkEnd w:id="17"/>
    <w:p>
      <w:pPr>
        <w:pStyle w:val="25"/>
        <w:spacing w:line="360" w:lineRule="auto"/>
        <w:ind w:firstLine="0" w:firstLineChars="0"/>
        <w:rPr>
          <w:rFonts w:hint="eastAsia" w:ascii="宋体" w:hAnsi="宋体" w:eastAsia="宋体" w:cs="宋体"/>
          <w:b/>
          <w:color w:val="auto"/>
          <w:highlight w:val="none"/>
        </w:rPr>
      </w:pPr>
      <w:bookmarkStart w:id="19" w:name="_Hlt75236290"/>
      <w:bookmarkEnd w:id="19"/>
      <w:bookmarkStart w:id="20" w:name="_Hlt68057669"/>
      <w:bookmarkEnd w:id="20"/>
      <w:bookmarkStart w:id="21" w:name="_Hlt68403820"/>
      <w:bookmarkEnd w:id="21"/>
      <w:bookmarkStart w:id="22" w:name="_Hlt75236011"/>
      <w:bookmarkEnd w:id="22"/>
      <w:bookmarkStart w:id="23" w:name="_Hlt68072998"/>
      <w:bookmarkEnd w:id="23"/>
      <w:bookmarkStart w:id="24" w:name="_Hlt75236101"/>
      <w:bookmarkEnd w:id="24"/>
      <w:bookmarkStart w:id="25" w:name="_Hlt74729768"/>
      <w:bookmarkEnd w:id="25"/>
      <w:bookmarkStart w:id="26" w:name="_Hlt74707468"/>
      <w:bookmarkEnd w:id="26"/>
      <w:bookmarkStart w:id="27" w:name="_Hlt68073093"/>
      <w:bookmarkEnd w:id="27"/>
      <w:bookmarkStart w:id="28" w:name="_Hlt74714665"/>
      <w:bookmarkEnd w:id="28"/>
      <w:bookmarkStart w:id="29" w:name="_Hlt68072990"/>
      <w:bookmarkEnd w:id="29"/>
      <w:bookmarkStart w:id="30" w:name="_Hlt74730295"/>
      <w:bookmarkEnd w:id="30"/>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rPr>
          <w:rFonts w:hint="eastAsia" w:ascii="宋体" w:hAnsi="宋体" w:eastAsia="宋体" w:cs="宋体"/>
          <w:color w:val="auto"/>
          <w:highlight w:val="none"/>
          <w:lang w:val="en-US" w:eastAsia="zh-CN"/>
        </w:rPr>
        <w:sectPr>
          <w:footerReference r:id="rId9" w:type="first"/>
          <w:footerReference r:id="rId7" w:type="default"/>
          <w:footerReference r:id="rId8" w:type="even"/>
          <w:pgSz w:w="11906" w:h="16838"/>
          <w:pgMar w:top="680" w:right="1418" w:bottom="468" w:left="1418" w:header="851" w:footer="992" w:gutter="0"/>
          <w:pgNumType w:fmt="decimal" w:start="1"/>
          <w:cols w:space="720" w:num="1"/>
          <w:titlePg/>
          <w:docGrid w:linePitch="312" w:charSpace="0"/>
        </w:sectPr>
      </w:pPr>
    </w:p>
    <w:bookmarkEnd w:id="15"/>
    <w:bookmarkEnd w:id="16"/>
    <w:p>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一、项目概况</w:t>
      </w:r>
    </w:p>
    <w:p>
      <w:pPr>
        <w:pStyle w:val="627"/>
        <w:pageBreakBefore w:val="0"/>
        <w:kinsoku/>
        <w:wordWrap/>
        <w:overflowPunct/>
        <w:topLinePunct w:val="0"/>
        <w:autoSpaceDE/>
        <w:autoSpaceDN/>
        <w:bidi w:val="0"/>
        <w:snapToGrid/>
        <w:spacing w:line="360" w:lineRule="auto"/>
        <w:ind w:left="0" w:leftChars="0" w:right="0" w:firstLine="470" w:firstLineChars="196"/>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采购单位受理纳入劳动纠纷调解程序的案件由中标单位进行调解，纳入人民调解程序的案件，无论调解是否成功，都需记录在案，调解成功的，案件按照要求完成归档工作；调解不成功的，应当详细记录口头通知情况，如有必要的可出具调解终止通知书，并引导当事人通过合法途径解决纠纷。</w:t>
      </w:r>
    </w:p>
    <w:p>
      <w:pPr>
        <w:pStyle w:val="627"/>
        <w:pageBreakBefore w:val="0"/>
        <w:kinsoku/>
        <w:wordWrap/>
        <w:overflowPunct/>
        <w:topLinePunct w:val="0"/>
        <w:autoSpaceDE/>
        <w:autoSpaceDN/>
        <w:bidi w:val="0"/>
        <w:snapToGrid/>
        <w:spacing w:line="360" w:lineRule="auto"/>
        <w:ind w:left="0" w:leftChars="0" w:right="0" w:firstLine="470" w:firstLineChars="196"/>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服务范围为余杭区人社局劳动仲裁科、区劳动保障维权中心、区劳动人事争议仲裁院等部门受理、委派的各类劳动纠纷调解服务，做到能调尽调。</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二、服务目标</w:t>
      </w:r>
    </w:p>
    <w:p>
      <w:pPr>
        <w:bidi w:val="0"/>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依据《中华人民共和国劳动法》、</w:t>
      </w:r>
      <w:bookmarkStart w:id="32" w:name="OLE_LINK2"/>
      <w:r>
        <w:rPr>
          <w:rFonts w:hint="eastAsia" w:ascii="宋体" w:hAnsi="宋体" w:eastAsia="宋体" w:cs="宋体"/>
          <w:bCs/>
          <w:color w:val="auto"/>
          <w:kern w:val="2"/>
          <w:sz w:val="24"/>
          <w:szCs w:val="24"/>
          <w:highlight w:val="none"/>
          <w:lang w:val="en-US" w:eastAsia="zh-CN" w:bidi="ar-SA"/>
        </w:rPr>
        <w:t>《中华人民共和国民法典合同编》</w:t>
      </w:r>
      <w:bookmarkEnd w:id="32"/>
      <w:r>
        <w:rPr>
          <w:rFonts w:hint="eastAsia" w:ascii="宋体" w:hAnsi="宋体" w:eastAsia="宋体" w:cs="宋体"/>
          <w:bCs/>
          <w:color w:val="auto"/>
          <w:kern w:val="2"/>
          <w:sz w:val="24"/>
          <w:szCs w:val="24"/>
          <w:highlight w:val="none"/>
          <w:lang w:val="en-US" w:eastAsia="zh-CN" w:bidi="ar-SA"/>
        </w:rPr>
        <w:t>、《中华人民共和国调解仲裁法》等法律法规政策、相关专业知识以及公序良俗，依法开展劳动纠纷调解工作，调解过程要有调解记录，受理案件调解成功率不低于50%，投诉率低于1%。案件调解期限</w:t>
      </w:r>
      <w:r>
        <w:rPr>
          <w:rFonts w:hint="eastAsia" w:ascii="宋体" w:hAnsi="宋体" w:eastAsia="宋体" w:cs="宋体"/>
          <w:bCs/>
          <w:color w:val="auto"/>
          <w:kern w:val="2"/>
          <w:sz w:val="24"/>
          <w:szCs w:val="24"/>
          <w:highlight w:val="none"/>
          <w:lang w:val="zh-CN" w:eastAsia="zh-CN" w:bidi="ar-SA"/>
        </w:rPr>
        <w:t>为1个月</w:t>
      </w:r>
      <w:r>
        <w:rPr>
          <w:rFonts w:hint="eastAsia" w:ascii="宋体" w:hAnsi="宋体" w:eastAsia="宋体" w:cs="宋体"/>
          <w:bCs/>
          <w:color w:val="auto"/>
          <w:kern w:val="2"/>
          <w:sz w:val="24"/>
          <w:szCs w:val="24"/>
          <w:highlight w:val="none"/>
          <w:lang w:val="en-US" w:eastAsia="zh-CN" w:bidi="ar-SA"/>
        </w:rPr>
        <w:t>，经双方当事人同意，可以延长调解期限。</w:t>
      </w:r>
    </w:p>
    <w:p>
      <w:pPr>
        <w:pStyle w:val="3"/>
        <w:pageBreakBefore w:val="0"/>
        <w:numPr>
          <w:ilvl w:val="-1"/>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三、服务期限</w:t>
      </w:r>
    </w:p>
    <w:p>
      <w:pPr>
        <w:pStyle w:val="3"/>
        <w:pageBreakBefore w:val="0"/>
        <w:numPr>
          <w:ilvl w:val="-1"/>
          <w:numId w:val="0"/>
        </w:numPr>
        <w:tabs>
          <w:tab w:val="left" w:pos="706"/>
          <w:tab w:val="clear" w:pos="432"/>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CN"/>
        </w:rPr>
        <w:t>一年即</w:t>
      </w:r>
      <w:r>
        <w:rPr>
          <w:rFonts w:hint="eastAsia" w:ascii="宋体" w:hAnsi="宋体" w:eastAsia="宋体" w:cs="宋体"/>
          <w:color w:val="auto"/>
          <w:sz w:val="24"/>
          <w:szCs w:val="24"/>
          <w:highlight w:val="none"/>
          <w:lang w:val="en-US" w:eastAsia="zh-CN"/>
        </w:rPr>
        <w:t>12个月或</w:t>
      </w:r>
      <w:r>
        <w:rPr>
          <w:rFonts w:hint="eastAsia" w:ascii="宋体" w:hAnsi="宋体" w:eastAsia="宋体" w:cs="宋体"/>
          <w:color w:val="auto"/>
          <w:sz w:val="24"/>
          <w:szCs w:val="24"/>
          <w:highlight w:val="none"/>
          <w:lang w:val="zh-TW" w:eastAsia="zh-CN"/>
        </w:rPr>
        <w:t>至</w:t>
      </w:r>
      <w:r>
        <w:rPr>
          <w:rFonts w:hint="eastAsia" w:ascii="宋体" w:hAnsi="宋体" w:eastAsia="宋体" w:cs="宋体"/>
          <w:color w:val="auto"/>
          <w:sz w:val="24"/>
          <w:szCs w:val="24"/>
          <w:highlight w:val="none"/>
          <w:lang w:val="en-US" w:eastAsia="zh-CN"/>
        </w:rPr>
        <w:t>采购预算资金使用完止。</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 1</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对局劳动仲裁科、劳动保障维权中心、劳动人事争议仲裁院等相关科室部门委派调解的劳动纠纷开展调解工作。对经调解达成协议的案件，还要督促当事人及时履行协议内容，实现矛盾纠纷案结事了；对调解未成功案件，应当出具结案报告，载明调解未成的原因、案件争议焦点、无争议事实记载以及其他需要提示的情况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开展法治宣传、业务培训、调解员团队建设、数据归集案卷归档、协调专家调处和指导、沟通协调衔接等工作，依据调解相关法定程序，提供标准化调解及相关服务。</w:t>
      </w:r>
    </w:p>
    <w:p>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负责仲裁院调解中心所委托</w:t>
      </w:r>
      <w:r>
        <w:rPr>
          <w:rFonts w:hint="eastAsia" w:ascii="宋体" w:hAnsi="宋体" w:eastAsia="宋体" w:cs="宋体"/>
          <w:b w:val="0"/>
          <w:bCs/>
          <w:color w:val="auto"/>
          <w:sz w:val="24"/>
          <w:szCs w:val="24"/>
          <w:highlight w:val="none"/>
          <w:lang w:val="en-US" w:eastAsia="zh-CN"/>
        </w:rPr>
        <w:t>的</w:t>
      </w:r>
      <w:r>
        <w:rPr>
          <w:rFonts w:hint="eastAsia" w:ascii="宋体" w:hAnsi="宋体" w:cs="宋体"/>
          <w:b w:val="0"/>
          <w:bCs/>
          <w:color w:val="auto"/>
          <w:sz w:val="24"/>
          <w:szCs w:val="24"/>
          <w:highlight w:val="none"/>
          <w:lang w:val="en-US" w:eastAsia="zh-CN"/>
        </w:rPr>
        <w:t>调解专项</w:t>
      </w:r>
      <w:r>
        <w:rPr>
          <w:rFonts w:hint="eastAsia" w:ascii="宋体" w:hAnsi="宋体" w:eastAsia="宋体" w:cs="宋体"/>
          <w:b w:val="0"/>
          <w:bCs/>
          <w:color w:val="auto"/>
          <w:kern w:val="2"/>
          <w:sz w:val="24"/>
          <w:szCs w:val="24"/>
          <w:highlight w:val="none"/>
          <w:lang w:val="en-US" w:eastAsia="zh-CN" w:bidi="ar-SA"/>
        </w:rPr>
        <w:t>服务</w:t>
      </w:r>
      <w:r>
        <w:rPr>
          <w:rFonts w:hint="eastAsia" w:ascii="宋体" w:hAnsi="宋体" w:cs="宋体"/>
          <w:b w:val="0"/>
          <w:bCs/>
          <w:color w:val="auto"/>
          <w:sz w:val="24"/>
          <w:szCs w:val="24"/>
          <w:highlight w:val="none"/>
          <w:lang w:val="en-US" w:eastAsia="zh-CN"/>
        </w:rPr>
        <w:t>辅助服务工作，拟投入人员1名</w:t>
      </w:r>
      <w:r>
        <w:rPr>
          <w:rFonts w:hint="eastAsia" w:ascii="宋体" w:hAnsi="宋体" w:eastAsia="宋体" w:cs="宋体"/>
          <w:b w:val="0"/>
          <w:bCs/>
          <w:color w:val="auto"/>
          <w:kern w:val="2"/>
          <w:sz w:val="24"/>
          <w:szCs w:val="24"/>
          <w:highlight w:val="none"/>
          <w:lang w:val="en-US" w:eastAsia="zh-CN" w:bidi="ar-SA"/>
        </w:rPr>
        <w:t>，完成调解案件的受理、咨询、统计、审核等工作，分析调解组织调解案件情况，协助指导调解组织开展调解工作，完成上级部门对调解工作的考核任务。</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五、人员要求</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本项目拟派人员数量不少于</w:t>
      </w:r>
      <w:r>
        <w:rPr>
          <w:rFonts w:hint="eastAsia" w:ascii="宋体" w:hAnsi="宋体" w:cs="宋体"/>
          <w:b w:val="0"/>
          <w:bCs w:val="0"/>
          <w:color w:val="auto"/>
          <w:kern w:val="2"/>
          <w:sz w:val="24"/>
          <w:szCs w:val="24"/>
          <w:highlight w:val="none"/>
          <w:lang w:val="en-US" w:eastAsia="zh-CN" w:bidi="ar-SA"/>
        </w:rPr>
        <w:t>11</w:t>
      </w:r>
      <w:r>
        <w:rPr>
          <w:rFonts w:hint="eastAsia" w:ascii="宋体" w:hAnsi="宋体" w:eastAsia="宋体" w:cs="宋体"/>
          <w:b w:val="0"/>
          <w:bCs w:val="0"/>
          <w:color w:val="auto"/>
          <w:kern w:val="2"/>
          <w:sz w:val="24"/>
          <w:szCs w:val="24"/>
          <w:highlight w:val="none"/>
          <w:lang w:val="en-US" w:eastAsia="zh-CN" w:bidi="ar-SA"/>
        </w:rPr>
        <w:t>名，</w:t>
      </w:r>
      <w:r>
        <w:rPr>
          <w:rFonts w:hint="eastAsia" w:ascii="宋体" w:hAnsi="宋体" w:cs="宋体"/>
          <w:b w:val="0"/>
          <w:bCs w:val="0"/>
          <w:color w:val="auto"/>
          <w:kern w:val="2"/>
          <w:sz w:val="24"/>
          <w:szCs w:val="24"/>
          <w:highlight w:val="none"/>
          <w:lang w:val="en-US" w:eastAsia="zh-CN" w:bidi="ar-SA"/>
        </w:rPr>
        <w:t>其中</w:t>
      </w:r>
      <w:r>
        <w:rPr>
          <w:rFonts w:hint="eastAsia" w:ascii="宋体" w:hAnsi="宋体" w:eastAsia="宋体" w:cs="宋体"/>
          <w:b w:val="0"/>
          <w:bCs w:val="0"/>
          <w:color w:val="auto"/>
          <w:kern w:val="2"/>
          <w:sz w:val="24"/>
          <w:szCs w:val="24"/>
          <w:highlight w:val="none"/>
          <w:lang w:val="en-US" w:eastAsia="zh-CN" w:bidi="ar-SA"/>
        </w:rPr>
        <w:t>负责仲裁院调解中心所委托的调解专项服务辅助服务工作人员1名。</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为人正派、办事公正、熟悉政策、了解群众，能热心调解工作，具有一定法律知识水平。</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熟悉余杭区（区域）情况，有调解社会矛盾纠纷的经验。</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年龄在二十二周岁以上，身体健康，法学专业或已经从事纠纷调解工作二年及以上，未曾受过行政或刑事处罚。</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六、工作要求</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1、根据项目要求，自主开展人民调解员管理、招募、职业培训等工作。</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2、按照法律法规并参照《余杭区专职人民调解员管理办法》等相关规定，并结合实际，制定内部管理规章制度。</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3、遵守社会组织管理法规和合同规定的要求，确保完成服务目标，并承担相应责任，自觉接受采购人的检查监督。</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4、在合同终止后向采购人移交全部提供使用的专用房屋、有关财产、管理档案及有关工作服务对象的所有资料。</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5、接受采购人的监督、年度评估、重大事项的调查和纠纷处理。</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6、落实考评小组在考核评估中提出的问题和建议。</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7、应在约定的服务区域内开展服务，认真完成服务项目内容。若因实际需要而修正服务内容的，需与采购人协商，并获审核批准后方可实施。</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8、不得泄露在工作中获悉的涉及工作服务对象个人隐私、涉及国家秘密等的相关信息。</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9、加强自身建设，完善管理机制，提升专业化服务水平。</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10、政策规定中标人承担的其他责任。</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七、投标报价要求</w:t>
      </w:r>
    </w:p>
    <w:p>
      <w:pPr>
        <w:pageBreakBefore w:val="0"/>
        <w:widowControl w:val="0"/>
        <w:kinsoku/>
        <w:wordWrap/>
        <w:overflowPunct/>
        <w:topLinePunct w:val="0"/>
        <w:autoSpaceDE/>
        <w:autoSpaceDN/>
        <w:bidi w:val="0"/>
        <w:adjustRightInd/>
        <w:snapToGrid/>
        <w:spacing w:line="36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1、按综合单价报价，报价要求如下：</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（一）调解成功并符合下列条件之一：</w:t>
      </w:r>
    </w:p>
    <w:p>
      <w:pPr>
        <w:pageBreakBefore w:val="0"/>
        <w:widowControl w:val="0"/>
        <w:numPr>
          <w:ilvl w:val="0"/>
          <w:numId w:val="5"/>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具备付款凭证及结清证明的；</w:t>
      </w:r>
    </w:p>
    <w:p>
      <w:pPr>
        <w:pageBreakBefore w:val="0"/>
        <w:widowControl w:val="0"/>
        <w:numPr>
          <w:ilvl w:val="0"/>
          <w:numId w:val="5"/>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形成含调解协议书面案卷的；</w:t>
      </w:r>
    </w:p>
    <w:p>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241" w:firstLineChars="1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最高限价550元/件。</w:t>
      </w:r>
    </w:p>
    <w:p>
      <w:pPr>
        <w:pageBreakBefore w:val="0"/>
        <w:widowControl w:val="0"/>
        <w:numPr>
          <w:ilvl w:val="0"/>
          <w:numId w:val="6"/>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bookmarkStart w:id="33" w:name="OLE_LINK7"/>
      <w:r>
        <w:rPr>
          <w:rFonts w:hint="eastAsia" w:ascii="宋体" w:hAnsi="宋体" w:eastAsia="宋体" w:cs="宋体"/>
          <w:color w:val="auto"/>
          <w:sz w:val="24"/>
          <w:szCs w:val="24"/>
          <w:highlight w:val="none"/>
          <w:lang w:val="en-US" w:eastAsia="zh-CN"/>
        </w:rPr>
        <w:t>符合下列条件之一</w:t>
      </w:r>
      <w:bookmarkEnd w:id="33"/>
      <w:r>
        <w:rPr>
          <w:rFonts w:hint="eastAsia" w:ascii="宋体" w:hAnsi="宋体" w:eastAsia="宋体" w:cs="宋体"/>
          <w:color w:val="auto"/>
          <w:sz w:val="24"/>
          <w:szCs w:val="24"/>
          <w:highlight w:val="none"/>
          <w:lang w:val="en-US" w:eastAsia="zh-CN"/>
        </w:rPr>
        <w:t>：</w:t>
      </w:r>
    </w:p>
    <w:p>
      <w:pPr>
        <w:pageBreakBefore w:val="0"/>
        <w:widowControl w:val="0"/>
        <w:numPr>
          <w:ilvl w:val="0"/>
          <w:numId w:val="7"/>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亡人的；</w:t>
      </w:r>
    </w:p>
    <w:p>
      <w:pPr>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涉案标的100万以上的；</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3.10人以上群体性且涉案金额25万元以上的；</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4.其他重大纠纷的。</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最高限价3000元/件</w:t>
      </w:r>
    </w:p>
    <w:p>
      <w:pPr>
        <w:pageBreakBefore w:val="0"/>
        <w:kinsoku/>
        <w:wordWrap/>
        <w:overflowPunct/>
        <w:topLinePunct w:val="0"/>
        <w:autoSpaceDE/>
        <w:autoSpaceDN/>
        <w:bidi w:val="0"/>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2、按项报价：</w:t>
      </w:r>
    </w:p>
    <w:p>
      <w:pPr>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仲裁院调解中心所委托的</w:t>
      </w:r>
      <w:r>
        <w:rPr>
          <w:rFonts w:hint="eastAsia" w:ascii="宋体" w:hAnsi="宋体" w:cs="宋体"/>
          <w:b w:val="0"/>
          <w:bCs w:val="0"/>
          <w:color w:val="auto"/>
          <w:sz w:val="24"/>
          <w:szCs w:val="24"/>
          <w:highlight w:val="none"/>
          <w:lang w:val="en-US" w:eastAsia="zh-CN"/>
        </w:rPr>
        <w:t>调解专项服务辅助服务工作，</w:t>
      </w:r>
      <w:r>
        <w:rPr>
          <w:rFonts w:hint="eastAsia" w:ascii="宋体" w:hAnsi="宋体" w:eastAsia="宋体" w:cs="宋体"/>
          <w:b w:val="0"/>
          <w:bCs w:val="0"/>
          <w:color w:val="auto"/>
          <w:sz w:val="24"/>
          <w:szCs w:val="24"/>
          <w:highlight w:val="none"/>
          <w:lang w:val="en-US" w:eastAsia="zh-CN"/>
        </w:rPr>
        <w:t>最高限价100000元</w:t>
      </w:r>
      <w:r>
        <w:rPr>
          <w:rFonts w:hint="eastAsia" w:ascii="宋体" w:hAnsi="宋体" w:cs="宋体"/>
          <w:b w:val="0"/>
          <w:bCs w:val="0"/>
          <w:color w:val="auto"/>
          <w:sz w:val="24"/>
          <w:szCs w:val="24"/>
          <w:highlight w:val="none"/>
          <w:lang w:val="en-US" w:eastAsia="zh-CN"/>
        </w:rPr>
        <w:t>。</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八、结算原则和支付方式</w:t>
      </w:r>
    </w:p>
    <w:p>
      <w:pPr>
        <w:pStyle w:val="627"/>
        <w:pageBreakBefore w:val="0"/>
        <w:numPr>
          <w:ilvl w:val="-1"/>
          <w:numId w:val="0"/>
        </w:numPr>
        <w:kinsoku/>
        <w:wordWrap/>
        <w:overflowPunct/>
        <w:topLinePunct w:val="0"/>
        <w:autoSpaceDE/>
        <w:autoSpaceDN/>
        <w:bidi w:val="0"/>
        <w:snapToGrid/>
        <w:spacing w:line="360" w:lineRule="auto"/>
        <w:ind w:left="0" w:leftChars="0" w:right="0" w:firstLine="482" w:firstLineChars="200"/>
        <w:textAlignment w:val="auto"/>
        <w:outlineLvl w:val="9"/>
        <w:rPr>
          <w:rFonts w:hint="eastAsia" w:ascii="宋体" w:hAnsi="宋体" w:eastAsia="宋体" w:cs="宋体"/>
          <w:bCs/>
          <w:color w:val="auto"/>
          <w:sz w:val="24"/>
          <w:szCs w:val="24"/>
          <w:highlight w:val="none"/>
          <w:lang w:val="en-US" w:eastAsia="zh-CN"/>
        </w:rPr>
      </w:pPr>
      <w:r>
        <w:rPr>
          <w:rFonts w:hint="eastAsia"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en-US" w:eastAsia="zh-CN"/>
        </w:rPr>
        <w:t>结算原则：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本项目中标价不变，中标人因自身原因造成返工的工作量，采购人将不予计量和支付。结算方式：</w:t>
      </w:r>
    </w:p>
    <w:p>
      <w:pPr>
        <w:pageBreakBefore w:val="0"/>
        <w:numPr>
          <w:ilvl w:val="-1"/>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（1）按件计价</w:t>
      </w:r>
    </w:p>
    <w:p>
      <w:pPr>
        <w:pageBreakBefore w:val="0"/>
        <w:numPr>
          <w:ilvl w:val="-1"/>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调解案件：按调解成功的件数结算，</w:t>
      </w:r>
      <w:r>
        <w:rPr>
          <w:rFonts w:hint="eastAsia" w:ascii="宋体" w:hAnsi="宋体" w:eastAsia="宋体" w:cs="宋体"/>
          <w:b w:val="0"/>
          <w:bCs w:val="0"/>
          <w:color w:val="auto"/>
          <w:sz w:val="24"/>
          <w:szCs w:val="24"/>
          <w:highlight w:val="none"/>
          <w:lang w:eastAsia="zh-CN"/>
        </w:rPr>
        <w:t>即中标单价（不同类型调解投标单价）</w:t>
      </w:r>
      <w:r>
        <w:rPr>
          <w:rFonts w:hint="eastAsia" w:ascii="宋体" w:hAnsi="宋体" w:eastAsia="宋体" w:cs="宋体"/>
          <w:b w:val="0"/>
          <w:bCs w:val="0"/>
          <w:color w:val="auto"/>
          <w:sz w:val="24"/>
          <w:szCs w:val="24"/>
          <w:highlight w:val="none"/>
          <w:lang w:val="en-US" w:eastAsia="zh-CN"/>
        </w:rPr>
        <w:t>×实际调解成功件数。</w:t>
      </w:r>
    </w:p>
    <w:p>
      <w:pPr>
        <w:pStyle w:val="15"/>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snapToGrid/>
          <w:color w:val="auto"/>
          <w:kern w:val="2"/>
          <w:sz w:val="24"/>
          <w:szCs w:val="24"/>
          <w:highlight w:val="none"/>
          <w:lang w:val="en-US" w:eastAsia="zh-CN"/>
        </w:rPr>
        <w:t>按项计价</w:t>
      </w:r>
    </w:p>
    <w:p>
      <w:pPr>
        <w:spacing w:line="360" w:lineRule="auto"/>
        <w:ind w:firstLine="480" w:firstLineChars="20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Cs/>
          <w:color w:val="auto"/>
          <w:sz w:val="24"/>
          <w:szCs w:val="24"/>
          <w:highlight w:val="none"/>
          <w:lang w:val="en-US" w:eastAsia="zh-CN"/>
        </w:rPr>
        <w:t>仲裁院调解中心</w:t>
      </w:r>
      <w:r>
        <w:rPr>
          <w:rFonts w:hint="eastAsia" w:ascii="宋体" w:hAnsi="宋体" w:cs="宋体"/>
          <w:bCs/>
          <w:color w:val="auto"/>
          <w:sz w:val="24"/>
          <w:szCs w:val="24"/>
          <w:highlight w:val="none"/>
          <w:lang w:val="en-US" w:eastAsia="zh-CN"/>
        </w:rPr>
        <w:t>辅助</w:t>
      </w:r>
      <w:r>
        <w:rPr>
          <w:rFonts w:hint="eastAsia" w:ascii="宋体" w:hAnsi="宋体" w:eastAsia="宋体" w:cs="宋体"/>
          <w:bCs/>
          <w:color w:val="auto"/>
          <w:sz w:val="24"/>
          <w:szCs w:val="24"/>
          <w:highlight w:val="none"/>
          <w:lang w:val="en-US" w:eastAsia="zh-CN"/>
        </w:rPr>
        <w:t>服务</w:t>
      </w:r>
      <w:r>
        <w:rPr>
          <w:rFonts w:hint="eastAsia" w:ascii="宋体" w:hAnsi="宋体" w:cs="宋体"/>
          <w:bCs/>
          <w:color w:val="auto"/>
          <w:sz w:val="24"/>
          <w:szCs w:val="24"/>
          <w:highlight w:val="none"/>
          <w:lang w:val="en-US" w:eastAsia="zh-CN"/>
        </w:rPr>
        <w:t>工作按项及结合</w:t>
      </w:r>
      <w:r>
        <w:rPr>
          <w:rFonts w:hint="eastAsia" w:ascii="宋体" w:hAnsi="宋体" w:eastAsia="宋体" w:cs="宋体"/>
          <w:bCs/>
          <w:color w:val="auto"/>
          <w:sz w:val="24"/>
          <w:szCs w:val="24"/>
          <w:highlight w:val="none"/>
          <w:lang w:val="en-US" w:eastAsia="zh-CN"/>
        </w:rPr>
        <w:t>投标报价进行结算。</w:t>
      </w:r>
    </w:p>
    <w:p>
      <w:pPr>
        <w:pageBreakBefore w:val="0"/>
        <w:widowControl w:val="0"/>
        <w:numPr>
          <w:ilvl w:val="0"/>
          <w:numId w:val="8"/>
        </w:numPr>
        <w:kinsoku/>
        <w:wordWrap/>
        <w:overflowPunct/>
        <w:topLinePunct w:val="0"/>
        <w:autoSpaceDE/>
        <w:autoSpaceDN/>
        <w:bidi w:val="0"/>
        <w:adjustRightInd/>
        <w:snapToGrid/>
        <w:spacing w:line="360" w:lineRule="auto"/>
        <w:ind w:left="0" w:leftChars="0" w:right="0" w:firstLine="482" w:firstLineChars="200"/>
        <w:jc w:val="both"/>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支付方式：</w:t>
      </w:r>
    </w:p>
    <w:p>
      <w:pPr>
        <w:pageBreakBefore w:val="0"/>
        <w:widowControl w:val="0"/>
        <w:numPr>
          <w:ilvl w:val="-1"/>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合同签订后10个工作日内项目启动，实际人员派驻到位并按采购需求正常进行调解工作后预付合同总价的50%预付款；</w:t>
      </w:r>
    </w:p>
    <w:p>
      <w:pPr>
        <w:pageBreakBefore w:val="0"/>
        <w:widowControl w:val="0"/>
        <w:numPr>
          <w:ilvl w:val="-1"/>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每季度经考核后支付完成项目金额（当季）服务费的80%。</w:t>
      </w:r>
    </w:p>
    <w:p>
      <w:pPr>
        <w:pageBreakBefore w:val="0"/>
        <w:widowControl w:val="0"/>
        <w:numPr>
          <w:ilvl w:val="-1"/>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服务期满或项目金额全部完成后，15个工作日内进行考核评估验收，验收通过后支付已完成项目的剩余已完成合同价款。</w:t>
      </w:r>
    </w:p>
    <w:p>
      <w:pPr>
        <w:pageBreakBefore w:val="0"/>
        <w:widowControl w:val="0"/>
        <w:numPr>
          <w:ilvl w:val="-1"/>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具体以合同签订内容为准。</w:t>
      </w:r>
    </w:p>
    <w:p>
      <w:pPr>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九、考核方式</w:t>
      </w:r>
    </w:p>
    <w:p>
      <w:pPr>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每季度由局劳动仲裁科、劳动保障维权中心、劳动人事争议仲裁院分别对调解组织上报的所属调解成功案件进行审核，确认当季</w:t>
      </w:r>
      <w:r>
        <w:rPr>
          <w:rFonts w:hint="eastAsia" w:ascii="宋体" w:hAnsi="宋体" w:cs="宋体"/>
          <w:color w:val="auto"/>
          <w:sz w:val="24"/>
          <w:szCs w:val="24"/>
          <w:highlight w:val="none"/>
          <w:lang w:val="en-US" w:eastAsia="zh-CN"/>
        </w:rPr>
        <w:t>已</w:t>
      </w:r>
      <w:r>
        <w:rPr>
          <w:rFonts w:hint="eastAsia" w:ascii="宋体" w:hAnsi="宋体" w:eastAsia="宋体" w:cs="宋体"/>
          <w:color w:val="auto"/>
          <w:sz w:val="24"/>
          <w:szCs w:val="24"/>
          <w:highlight w:val="none"/>
          <w:lang w:val="en-US" w:eastAsia="zh-CN"/>
        </w:rPr>
        <w:t>完成项目金额。发现调解组织或调解员弄虚作假、虚报案件数量等违纪违规行为的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一经查实，相应案件服务费用扣减，并额外扣罚550元/件。</w:t>
      </w:r>
    </w:p>
    <w:p>
      <w:pPr>
        <w:spacing w:line="360" w:lineRule="auto"/>
        <w:ind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highlight w:val="none"/>
          <w:lang w:val="en-US" w:eastAsia="zh-CN" w:bidi="ar-SA"/>
        </w:rPr>
        <w:t>十</w:t>
      </w:r>
      <w:r>
        <w:rPr>
          <w:rFonts w:hint="eastAsia" w:ascii="宋体" w:hAnsi="宋体" w:eastAsia="宋体" w:cs="宋体"/>
          <w:b/>
          <w:bCs/>
          <w:kern w:val="2"/>
          <w:sz w:val="24"/>
          <w:szCs w:val="24"/>
          <w:lang w:val="zh-CN" w:eastAsia="zh-CN" w:bidi="ar-SA"/>
        </w:rPr>
        <w:t>、履约验收</w:t>
      </w:r>
    </w:p>
    <w:p>
      <w:p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关于印发《杭州市政府采购履约验收暂行办法》的通知，服务类项目,可根据项目特点对服务期内的服务实施情况进行分期考核，结合考核情况和服务效果进行验收。</w:t>
      </w:r>
    </w:p>
    <w:p>
      <w:pPr>
        <w:spacing w:line="360" w:lineRule="auto"/>
        <w:ind w:firstLine="480"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采购人组织对供应商履约的验收。如果发现与合同中要求不符，</w:t>
      </w:r>
      <w:r>
        <w:rPr>
          <w:rFonts w:hint="eastAsia" w:ascii="宋体" w:hAnsi="宋体" w:cs="宋体"/>
          <w:b w:val="0"/>
          <w:bCs w:val="0"/>
          <w:sz w:val="24"/>
          <w:lang w:eastAsia="zh-CN"/>
        </w:rPr>
        <w:t>中标单位</w:t>
      </w:r>
      <w:r>
        <w:rPr>
          <w:rFonts w:hint="eastAsia" w:ascii="宋体" w:hAnsi="宋体" w:eastAsia="宋体" w:cs="宋体"/>
          <w:b w:val="0"/>
          <w:bCs w:val="0"/>
          <w:sz w:val="24"/>
          <w:lang w:eastAsia="zh-CN"/>
        </w:rPr>
        <w:t>须承担由此发生的一切损失和费用，并接受相应的处理。</w:t>
      </w:r>
    </w:p>
    <w:p>
      <w:pPr>
        <w:pStyle w:val="3"/>
        <w:pageBreakBefore w:val="0"/>
        <w:numPr>
          <w:ilvl w:val="0"/>
          <w:numId w:val="0"/>
        </w:numPr>
        <w:tabs>
          <w:tab w:val="left" w:pos="706"/>
          <w:tab w:val="clear" w:pos="432"/>
        </w:tabs>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十一、采购人认为必须说明的其他内容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考核评估内容中标后由采购单位提供。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sz w:val="24"/>
          <w:szCs w:val="24"/>
          <w:highlight w:val="none"/>
        </w:rPr>
        <w:t>A4纸张、硒粉由招标方提供。其他与工作相关的办公设备及耗材由中标方自行解决，包括但不限于开展工作</w:t>
      </w:r>
      <w:r>
        <w:rPr>
          <w:rFonts w:hint="eastAsia" w:ascii="宋体" w:hAnsi="宋体" w:eastAsia="宋体" w:cs="宋体"/>
          <w:sz w:val="24"/>
          <w:szCs w:val="24"/>
          <w:highlight w:val="none"/>
          <w:lang w:eastAsia="zh-CN"/>
        </w:rPr>
        <w:t>必需的</w:t>
      </w:r>
      <w:r>
        <w:rPr>
          <w:rFonts w:hint="eastAsia" w:ascii="宋体" w:hAnsi="宋体" w:eastAsia="宋体" w:cs="宋体"/>
          <w:sz w:val="24"/>
          <w:szCs w:val="24"/>
          <w:highlight w:val="none"/>
        </w:rPr>
        <w:t>电脑、扫描仪、打印机等相关工作所需要的软硬件设施设备及其维护。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受托方应尽职尽责为采购人提供服务，按时、按质、按量完成采购人委托业务。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本采购需求未明示的相关需求及服务，按采购人要求执行。</w:t>
      </w:r>
    </w:p>
    <w:p>
      <w:pPr>
        <w:spacing w:line="360" w:lineRule="auto"/>
        <w:ind w:firstLine="482" w:firstLineChars="200"/>
        <w:rPr>
          <w:rFonts w:ascii="宋体" w:hAnsi="宋体" w:cs="宋体"/>
          <w:b/>
          <w:bCs/>
          <w:color w:val="auto"/>
          <w:kern w:val="0"/>
          <w:sz w:val="24"/>
        </w:rPr>
      </w:pPr>
    </w:p>
    <w:p>
      <w:pPr>
        <w:spacing w:line="360" w:lineRule="auto"/>
        <w:ind w:firstLine="482" w:firstLineChars="200"/>
        <w:rPr>
          <w:rFonts w:ascii="宋体" w:hAnsi="宋体" w:cs="宋体"/>
          <w:b/>
          <w:bCs/>
          <w:color w:val="auto"/>
          <w:sz w:val="24"/>
        </w:rPr>
      </w:pP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br w:type="page"/>
      </w:r>
    </w:p>
    <w:p>
      <w:pPr>
        <w:pStyle w:val="2"/>
        <w:numPr>
          <w:ilvl w:val="0"/>
          <w:numId w:val="9"/>
        </w:numPr>
        <w:bidi w:val="0"/>
        <w:jc w:val="cente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t xml:space="preserve">  </w:t>
      </w:r>
      <w:bookmarkStart w:id="34" w:name="_Toc184313261"/>
      <w:bookmarkEnd w:id="34"/>
      <w:bookmarkStart w:id="35" w:name="_Toc184313257"/>
      <w:bookmarkEnd w:id="35"/>
      <w:bookmarkStart w:id="36" w:name="_Toc184312121"/>
      <w:bookmarkEnd w:id="36"/>
      <w:bookmarkStart w:id="37" w:name="_Toc184313240"/>
      <w:bookmarkEnd w:id="37"/>
      <w:bookmarkStart w:id="38" w:name="_Toc184314427"/>
      <w:bookmarkEnd w:id="38"/>
      <w:bookmarkStart w:id="39" w:name="_Toc184308068"/>
      <w:bookmarkEnd w:id="39"/>
      <w:bookmarkStart w:id="40" w:name="_Toc184314425"/>
      <w:bookmarkEnd w:id="40"/>
      <w:bookmarkStart w:id="41" w:name="_Toc184312095"/>
      <w:bookmarkEnd w:id="41"/>
      <w:bookmarkStart w:id="42" w:name="_Toc184308099"/>
      <w:bookmarkEnd w:id="42"/>
      <w:bookmarkStart w:id="43" w:name="_Toc184310272"/>
      <w:bookmarkEnd w:id="43"/>
      <w:bookmarkStart w:id="44" w:name="_Toc184310342"/>
      <w:bookmarkEnd w:id="44"/>
      <w:bookmarkStart w:id="45" w:name="_Toc184310284"/>
      <w:bookmarkEnd w:id="45"/>
      <w:bookmarkStart w:id="46" w:name="_Toc184313279"/>
      <w:bookmarkEnd w:id="46"/>
      <w:bookmarkStart w:id="47" w:name="_Toc184312091"/>
      <w:bookmarkEnd w:id="47"/>
      <w:bookmarkStart w:id="48" w:name="_Toc184312071"/>
      <w:bookmarkEnd w:id="48"/>
      <w:bookmarkStart w:id="49" w:name="_Toc184310337"/>
      <w:bookmarkEnd w:id="49"/>
      <w:bookmarkStart w:id="50" w:name="_Toc184313301"/>
      <w:bookmarkEnd w:id="50"/>
      <w:bookmarkStart w:id="51" w:name="_Toc184312067"/>
      <w:bookmarkEnd w:id="51"/>
      <w:bookmarkStart w:id="52" w:name="_Toc184308094"/>
      <w:bookmarkEnd w:id="52"/>
      <w:bookmarkStart w:id="53" w:name="_Toc184308046"/>
      <w:bookmarkEnd w:id="53"/>
      <w:bookmarkStart w:id="54" w:name="_Toc184314471"/>
      <w:bookmarkEnd w:id="54"/>
      <w:bookmarkStart w:id="55" w:name="_Toc184310314"/>
      <w:bookmarkEnd w:id="55"/>
      <w:bookmarkStart w:id="56" w:name="_Toc184310318"/>
      <w:bookmarkEnd w:id="56"/>
      <w:bookmarkStart w:id="57" w:name="_Toc184308100"/>
      <w:bookmarkEnd w:id="57"/>
      <w:bookmarkStart w:id="58" w:name="_Toc184313272"/>
      <w:bookmarkEnd w:id="58"/>
      <w:bookmarkStart w:id="59" w:name="_Toc184312122"/>
      <w:bookmarkEnd w:id="59"/>
      <w:bookmarkStart w:id="60" w:name="_Toc184310278"/>
      <w:bookmarkEnd w:id="60"/>
      <w:bookmarkStart w:id="61" w:name="_Toc184312138"/>
      <w:bookmarkEnd w:id="61"/>
      <w:bookmarkStart w:id="62" w:name="_Toc184313294"/>
      <w:bookmarkEnd w:id="62"/>
      <w:bookmarkStart w:id="63" w:name="_Toc184314412"/>
      <w:bookmarkEnd w:id="63"/>
      <w:bookmarkStart w:id="64" w:name="_Toc184308036"/>
      <w:bookmarkEnd w:id="64"/>
      <w:bookmarkStart w:id="65" w:name="_Toc184313292"/>
      <w:bookmarkEnd w:id="65"/>
      <w:bookmarkStart w:id="66" w:name="_Toc184310321"/>
      <w:bookmarkEnd w:id="66"/>
      <w:bookmarkStart w:id="67" w:name="_Toc184308092"/>
      <w:bookmarkEnd w:id="67"/>
      <w:bookmarkStart w:id="68" w:name="_Toc184314464"/>
      <w:bookmarkEnd w:id="68"/>
      <w:bookmarkStart w:id="69" w:name="_Toc184312134"/>
      <w:bookmarkEnd w:id="69"/>
      <w:bookmarkStart w:id="70" w:name="_Toc184308071"/>
      <w:bookmarkEnd w:id="70"/>
      <w:bookmarkStart w:id="71" w:name="_Toc184314411"/>
      <w:bookmarkEnd w:id="71"/>
      <w:bookmarkStart w:id="72" w:name="_Toc184310299"/>
      <w:bookmarkEnd w:id="72"/>
      <w:bookmarkStart w:id="73" w:name="_Toc184312119"/>
      <w:bookmarkEnd w:id="73"/>
      <w:bookmarkStart w:id="74" w:name="_Toc184314418"/>
      <w:bookmarkEnd w:id="74"/>
      <w:bookmarkStart w:id="75" w:name="_Toc184314414"/>
      <w:bookmarkEnd w:id="75"/>
      <w:bookmarkStart w:id="76" w:name="_Toc184313239"/>
      <w:bookmarkEnd w:id="76"/>
      <w:bookmarkStart w:id="77" w:name="_Toc184314416"/>
      <w:bookmarkEnd w:id="77"/>
      <w:bookmarkStart w:id="78" w:name="_Toc184310307"/>
      <w:bookmarkEnd w:id="78"/>
      <w:bookmarkStart w:id="79" w:name="_Toc184308064"/>
      <w:bookmarkEnd w:id="79"/>
      <w:bookmarkStart w:id="80" w:name="_Toc184312078"/>
      <w:bookmarkEnd w:id="80"/>
      <w:bookmarkStart w:id="81" w:name="_Toc184312139"/>
      <w:bookmarkEnd w:id="81"/>
      <w:bookmarkStart w:id="82" w:name="_Toc184314469"/>
      <w:bookmarkEnd w:id="82"/>
      <w:bookmarkStart w:id="83" w:name="_Toc184313275"/>
      <w:bookmarkEnd w:id="83"/>
      <w:bookmarkStart w:id="84" w:name="_Toc184310287"/>
      <w:bookmarkEnd w:id="84"/>
      <w:bookmarkStart w:id="85" w:name="_Toc184312086"/>
      <w:bookmarkEnd w:id="85"/>
      <w:bookmarkStart w:id="86" w:name="_Toc184308081"/>
      <w:bookmarkEnd w:id="86"/>
      <w:bookmarkStart w:id="87" w:name="_Toc184313287"/>
      <w:bookmarkEnd w:id="87"/>
      <w:bookmarkStart w:id="88" w:name="_Toc184312103"/>
      <w:bookmarkEnd w:id="88"/>
      <w:bookmarkStart w:id="89" w:name="_Toc184314462"/>
      <w:bookmarkEnd w:id="89"/>
      <w:bookmarkStart w:id="90" w:name="_Toc184314447"/>
      <w:bookmarkEnd w:id="90"/>
      <w:bookmarkStart w:id="91" w:name="_Toc184314466"/>
      <w:bookmarkEnd w:id="91"/>
      <w:bookmarkStart w:id="92" w:name="_Toc184312117"/>
      <w:bookmarkEnd w:id="92"/>
      <w:bookmarkStart w:id="93" w:name="_Toc184313260"/>
      <w:bookmarkEnd w:id="93"/>
      <w:bookmarkStart w:id="94" w:name="_Toc184310316"/>
      <w:bookmarkEnd w:id="94"/>
      <w:bookmarkStart w:id="95" w:name="_Toc184314474"/>
      <w:bookmarkEnd w:id="95"/>
      <w:bookmarkStart w:id="96" w:name="_Toc184312114"/>
      <w:bookmarkEnd w:id="96"/>
      <w:bookmarkStart w:id="97" w:name="_Toc184314430"/>
      <w:bookmarkEnd w:id="97"/>
      <w:bookmarkStart w:id="98" w:name="_Toc184313283"/>
      <w:bookmarkEnd w:id="98"/>
      <w:bookmarkStart w:id="99" w:name="_Toc184310331"/>
      <w:bookmarkEnd w:id="99"/>
      <w:bookmarkStart w:id="100" w:name="_Toc184314445"/>
      <w:bookmarkEnd w:id="100"/>
      <w:bookmarkStart w:id="101" w:name="_Toc184314467"/>
      <w:bookmarkEnd w:id="101"/>
      <w:bookmarkStart w:id="102" w:name="_Toc184310308"/>
      <w:bookmarkEnd w:id="102"/>
      <w:bookmarkStart w:id="103" w:name="_Toc184312120"/>
      <w:bookmarkEnd w:id="103"/>
      <w:bookmarkStart w:id="104" w:name="_Toc184313255"/>
      <w:bookmarkEnd w:id="104"/>
      <w:bookmarkStart w:id="105" w:name="_Toc184310298"/>
      <w:bookmarkEnd w:id="105"/>
      <w:bookmarkStart w:id="106" w:name="_Toc184312125"/>
      <w:bookmarkEnd w:id="106"/>
      <w:bookmarkStart w:id="107" w:name="_Toc184310328"/>
      <w:bookmarkEnd w:id="107"/>
      <w:bookmarkStart w:id="108" w:name="_Toc184312079"/>
      <w:bookmarkEnd w:id="108"/>
      <w:bookmarkStart w:id="109" w:name="_Toc184314460"/>
      <w:bookmarkEnd w:id="109"/>
      <w:bookmarkStart w:id="110" w:name="_Toc184310300"/>
      <w:bookmarkEnd w:id="110"/>
      <w:bookmarkStart w:id="111" w:name="_Toc184314475"/>
      <w:bookmarkEnd w:id="111"/>
      <w:bookmarkStart w:id="112" w:name="_Toc184310286"/>
      <w:bookmarkEnd w:id="112"/>
      <w:bookmarkStart w:id="113" w:name="_Toc184308083"/>
      <w:bookmarkEnd w:id="113"/>
      <w:bookmarkStart w:id="114" w:name="_Toc184314417"/>
      <w:bookmarkEnd w:id="114"/>
      <w:bookmarkStart w:id="115" w:name="_Toc184308085"/>
      <w:bookmarkEnd w:id="115"/>
      <w:bookmarkStart w:id="116" w:name="_Toc184312080"/>
      <w:bookmarkEnd w:id="116"/>
      <w:bookmarkStart w:id="117" w:name="_Toc184313295"/>
      <w:bookmarkEnd w:id="117"/>
      <w:bookmarkStart w:id="118" w:name="_Toc184308105"/>
      <w:bookmarkEnd w:id="118"/>
      <w:bookmarkStart w:id="119" w:name="_Toc184314434"/>
      <w:bookmarkEnd w:id="119"/>
      <w:bookmarkStart w:id="120" w:name="_Toc184312136"/>
      <w:bookmarkEnd w:id="120"/>
      <w:bookmarkStart w:id="121" w:name="_Toc184310329"/>
      <w:bookmarkEnd w:id="121"/>
      <w:bookmarkStart w:id="122" w:name="_Toc184314452"/>
      <w:bookmarkEnd w:id="122"/>
      <w:bookmarkStart w:id="123" w:name="_Toc184308037"/>
      <w:bookmarkEnd w:id="123"/>
      <w:bookmarkStart w:id="124" w:name="_Toc184314451"/>
      <w:bookmarkEnd w:id="124"/>
      <w:bookmarkStart w:id="125" w:name="_Toc184313238"/>
      <w:bookmarkEnd w:id="125"/>
      <w:bookmarkStart w:id="126" w:name="_Toc184314431"/>
      <w:bookmarkEnd w:id="126"/>
      <w:bookmarkStart w:id="127" w:name="_Toc184308079"/>
      <w:bookmarkEnd w:id="127"/>
      <w:bookmarkStart w:id="128" w:name="_Toc184310294"/>
      <w:bookmarkEnd w:id="128"/>
      <w:bookmarkStart w:id="129" w:name="_Toc184308087"/>
      <w:bookmarkEnd w:id="129"/>
      <w:bookmarkStart w:id="130" w:name="_Toc184310344"/>
      <w:bookmarkEnd w:id="130"/>
      <w:bookmarkStart w:id="131" w:name="_Toc184308096"/>
      <w:bookmarkEnd w:id="131"/>
      <w:bookmarkStart w:id="132" w:name="_Toc184308049"/>
      <w:bookmarkEnd w:id="132"/>
      <w:bookmarkStart w:id="133" w:name="_Toc184314463"/>
      <w:bookmarkEnd w:id="133"/>
      <w:bookmarkStart w:id="134" w:name="_Toc184310276"/>
      <w:bookmarkEnd w:id="134"/>
      <w:bookmarkStart w:id="135" w:name="_Toc184313266"/>
      <w:bookmarkEnd w:id="135"/>
      <w:bookmarkStart w:id="136" w:name="_Toc184312137"/>
      <w:bookmarkEnd w:id="136"/>
      <w:bookmarkStart w:id="137" w:name="_Toc184308055"/>
      <w:bookmarkEnd w:id="137"/>
      <w:bookmarkStart w:id="138" w:name="_Toc184308078"/>
      <w:bookmarkEnd w:id="138"/>
      <w:bookmarkStart w:id="139" w:name="_Toc184308104"/>
      <w:bookmarkEnd w:id="139"/>
      <w:bookmarkStart w:id="140" w:name="_Toc184312111"/>
      <w:bookmarkEnd w:id="140"/>
      <w:bookmarkStart w:id="141" w:name="_Toc184310281"/>
      <w:bookmarkEnd w:id="141"/>
      <w:bookmarkStart w:id="142" w:name="_Toc184310280"/>
      <w:bookmarkEnd w:id="142"/>
      <w:bookmarkStart w:id="143" w:name="_Toc184310332"/>
      <w:bookmarkEnd w:id="143"/>
      <w:bookmarkStart w:id="144" w:name="_Toc184310296"/>
      <w:bookmarkEnd w:id="144"/>
      <w:bookmarkStart w:id="145" w:name="_Toc184313276"/>
      <w:bookmarkEnd w:id="145"/>
      <w:bookmarkStart w:id="146" w:name="_Toc184308084"/>
      <w:bookmarkEnd w:id="146"/>
      <w:bookmarkStart w:id="147" w:name="_Toc184313306"/>
      <w:bookmarkEnd w:id="147"/>
      <w:bookmarkStart w:id="148" w:name="_Toc184308089"/>
      <w:bookmarkEnd w:id="148"/>
      <w:bookmarkStart w:id="149" w:name="_Toc184313273"/>
      <w:bookmarkEnd w:id="149"/>
      <w:bookmarkStart w:id="150" w:name="_Toc184314465"/>
      <w:bookmarkEnd w:id="150"/>
      <w:bookmarkStart w:id="151" w:name="_Toc184308042"/>
      <w:bookmarkEnd w:id="151"/>
      <w:bookmarkStart w:id="152" w:name="_Toc184310319"/>
      <w:bookmarkEnd w:id="152"/>
      <w:bookmarkStart w:id="153" w:name="_Toc184310303"/>
      <w:bookmarkEnd w:id="153"/>
      <w:bookmarkStart w:id="154" w:name="_Toc184310289"/>
      <w:bookmarkEnd w:id="154"/>
      <w:bookmarkStart w:id="155" w:name="_Toc184313258"/>
      <w:bookmarkEnd w:id="155"/>
      <w:bookmarkStart w:id="156" w:name="_Toc184308039"/>
      <w:bookmarkEnd w:id="156"/>
      <w:bookmarkStart w:id="157" w:name="_Toc184312127"/>
      <w:bookmarkEnd w:id="157"/>
      <w:bookmarkStart w:id="158" w:name="_Toc184313291"/>
      <w:bookmarkEnd w:id="158"/>
      <w:bookmarkStart w:id="159" w:name="_Toc184314438"/>
      <w:bookmarkEnd w:id="159"/>
      <w:bookmarkStart w:id="160" w:name="_Toc184312113"/>
      <w:bookmarkEnd w:id="160"/>
      <w:bookmarkStart w:id="161" w:name="_Toc184314422"/>
      <w:bookmarkEnd w:id="161"/>
      <w:bookmarkStart w:id="162" w:name="_Toc184312072"/>
      <w:bookmarkEnd w:id="162"/>
      <w:bookmarkStart w:id="163" w:name="_Toc184313289"/>
      <w:bookmarkEnd w:id="163"/>
      <w:bookmarkStart w:id="164" w:name="_Toc184314435"/>
      <w:bookmarkEnd w:id="164"/>
      <w:bookmarkStart w:id="165" w:name="_Toc184314426"/>
      <w:bookmarkEnd w:id="165"/>
      <w:bookmarkStart w:id="166" w:name="_Toc184313256"/>
      <w:bookmarkEnd w:id="166"/>
      <w:bookmarkStart w:id="167" w:name="_Toc184310335"/>
      <w:bookmarkEnd w:id="167"/>
      <w:bookmarkStart w:id="168" w:name="_Toc184312082"/>
      <w:bookmarkEnd w:id="168"/>
      <w:bookmarkStart w:id="169" w:name="_Toc184313298"/>
      <w:bookmarkEnd w:id="169"/>
      <w:bookmarkStart w:id="170" w:name="_Toc184310301"/>
      <w:bookmarkEnd w:id="170"/>
      <w:bookmarkStart w:id="171" w:name="_Toc184313263"/>
      <w:bookmarkEnd w:id="171"/>
      <w:bookmarkStart w:id="172" w:name="_Toc184314455"/>
      <w:bookmarkEnd w:id="172"/>
      <w:bookmarkStart w:id="173" w:name="_Toc184313280"/>
      <w:bookmarkEnd w:id="173"/>
      <w:bookmarkStart w:id="174" w:name="_Toc184310338"/>
      <w:bookmarkEnd w:id="174"/>
      <w:bookmarkStart w:id="175" w:name="_Toc184314446"/>
      <w:bookmarkEnd w:id="175"/>
      <w:bookmarkStart w:id="176" w:name="_Toc184314429"/>
      <w:bookmarkEnd w:id="176"/>
      <w:bookmarkStart w:id="177" w:name="_Toc184313248"/>
      <w:bookmarkEnd w:id="177"/>
      <w:bookmarkStart w:id="178" w:name="_Toc184312087"/>
      <w:bookmarkEnd w:id="178"/>
      <w:bookmarkStart w:id="179" w:name="_Toc184310275"/>
      <w:bookmarkEnd w:id="179"/>
      <w:bookmarkStart w:id="180" w:name="_Toc184310326"/>
      <w:bookmarkEnd w:id="180"/>
      <w:bookmarkStart w:id="181" w:name="_Toc184314456"/>
      <w:bookmarkEnd w:id="181"/>
      <w:bookmarkStart w:id="182" w:name="_Toc184313274"/>
      <w:bookmarkEnd w:id="182"/>
      <w:bookmarkStart w:id="183" w:name="_Toc184310336"/>
      <w:bookmarkEnd w:id="183"/>
      <w:bookmarkStart w:id="184" w:name="_Toc184310292"/>
      <w:bookmarkEnd w:id="184"/>
      <w:bookmarkStart w:id="185" w:name="_Toc184313278"/>
      <w:bookmarkEnd w:id="185"/>
      <w:bookmarkStart w:id="186" w:name="_Toc184308062"/>
      <w:bookmarkEnd w:id="186"/>
      <w:bookmarkStart w:id="187" w:name="_Toc184312099"/>
      <w:bookmarkEnd w:id="187"/>
      <w:bookmarkStart w:id="188" w:name="_Toc184314476"/>
      <w:bookmarkEnd w:id="188"/>
      <w:bookmarkStart w:id="189" w:name="_Toc184313286"/>
      <w:bookmarkEnd w:id="189"/>
      <w:bookmarkStart w:id="190" w:name="_Toc184308043"/>
      <w:bookmarkEnd w:id="190"/>
      <w:bookmarkStart w:id="191" w:name="_Toc184314410"/>
      <w:bookmarkEnd w:id="191"/>
      <w:bookmarkStart w:id="192" w:name="_Toc184314419"/>
      <w:bookmarkEnd w:id="192"/>
      <w:bookmarkStart w:id="193" w:name="_Toc184313253"/>
      <w:bookmarkEnd w:id="193"/>
      <w:bookmarkStart w:id="194" w:name="_Toc184312112"/>
      <w:bookmarkEnd w:id="194"/>
      <w:bookmarkStart w:id="195" w:name="_Toc184312110"/>
      <w:bookmarkEnd w:id="195"/>
      <w:bookmarkStart w:id="196" w:name="_Toc184312108"/>
      <w:bookmarkEnd w:id="196"/>
      <w:bookmarkStart w:id="197" w:name="_Toc184312129"/>
      <w:bookmarkEnd w:id="197"/>
      <w:bookmarkStart w:id="198" w:name="_Toc184312105"/>
      <w:bookmarkEnd w:id="198"/>
      <w:bookmarkStart w:id="199" w:name="_Toc184310291"/>
      <w:bookmarkEnd w:id="199"/>
      <w:bookmarkStart w:id="200" w:name="_Toc184308057"/>
      <w:bookmarkEnd w:id="200"/>
      <w:bookmarkStart w:id="201" w:name="_Toc184314443"/>
      <w:bookmarkEnd w:id="201"/>
      <w:bookmarkStart w:id="202" w:name="_Toc184310317"/>
      <w:bookmarkEnd w:id="202"/>
      <w:bookmarkStart w:id="203" w:name="_Toc184313293"/>
      <w:bookmarkEnd w:id="203"/>
      <w:bookmarkStart w:id="204" w:name="_Toc184308102"/>
      <w:bookmarkEnd w:id="204"/>
      <w:bookmarkStart w:id="205" w:name="_Toc184314454"/>
      <w:bookmarkEnd w:id="205"/>
      <w:bookmarkStart w:id="206" w:name="_Toc184310282"/>
      <w:bookmarkEnd w:id="206"/>
      <w:bookmarkStart w:id="207" w:name="_Toc184312133"/>
      <w:bookmarkEnd w:id="207"/>
      <w:bookmarkStart w:id="208" w:name="_Toc184313249"/>
      <w:bookmarkEnd w:id="208"/>
      <w:bookmarkStart w:id="209" w:name="_Toc184308059"/>
      <w:bookmarkEnd w:id="209"/>
      <w:bookmarkStart w:id="210" w:name="_Toc184312126"/>
      <w:bookmarkEnd w:id="210"/>
      <w:bookmarkStart w:id="211" w:name="_Toc184312098"/>
      <w:bookmarkEnd w:id="211"/>
      <w:bookmarkStart w:id="212" w:name="_Toc184314420"/>
      <w:bookmarkEnd w:id="212"/>
      <w:bookmarkStart w:id="213" w:name="_Toc184310334"/>
      <w:bookmarkEnd w:id="213"/>
      <w:bookmarkStart w:id="214" w:name="_Toc184308069"/>
      <w:bookmarkEnd w:id="214"/>
      <w:bookmarkStart w:id="215" w:name="_Toc184312104"/>
      <w:bookmarkEnd w:id="215"/>
      <w:bookmarkStart w:id="216" w:name="_Toc184308097"/>
      <w:bookmarkEnd w:id="216"/>
      <w:bookmarkStart w:id="217" w:name="_Toc184312092"/>
      <w:bookmarkEnd w:id="217"/>
      <w:bookmarkStart w:id="218" w:name="_Toc184310295"/>
      <w:bookmarkEnd w:id="218"/>
      <w:bookmarkStart w:id="219" w:name="_Toc184308086"/>
      <w:bookmarkEnd w:id="219"/>
      <w:bookmarkStart w:id="220" w:name="_Toc184310274"/>
      <w:bookmarkEnd w:id="220"/>
      <w:bookmarkStart w:id="221" w:name="_Toc184312094"/>
      <w:bookmarkEnd w:id="221"/>
      <w:bookmarkStart w:id="222" w:name="_Toc184310325"/>
      <w:bookmarkEnd w:id="222"/>
      <w:bookmarkStart w:id="223" w:name="_Toc184313252"/>
      <w:bookmarkEnd w:id="223"/>
      <w:bookmarkStart w:id="224" w:name="_Toc184308091"/>
      <w:bookmarkEnd w:id="224"/>
      <w:bookmarkStart w:id="225" w:name="_Toc184312123"/>
      <w:bookmarkEnd w:id="225"/>
      <w:bookmarkStart w:id="226" w:name="_Toc184314458"/>
      <w:bookmarkEnd w:id="226"/>
      <w:bookmarkStart w:id="227" w:name="_Toc184313277"/>
      <w:bookmarkEnd w:id="227"/>
      <w:bookmarkStart w:id="228" w:name="_Toc184314478"/>
      <w:bookmarkEnd w:id="228"/>
      <w:bookmarkStart w:id="229" w:name="_Toc184312093"/>
      <w:bookmarkEnd w:id="229"/>
      <w:bookmarkStart w:id="230" w:name="_Toc184308074"/>
      <w:bookmarkEnd w:id="230"/>
      <w:bookmarkStart w:id="231" w:name="_Toc184310304"/>
      <w:bookmarkEnd w:id="231"/>
      <w:bookmarkStart w:id="232" w:name="_Toc184310315"/>
      <w:bookmarkEnd w:id="232"/>
      <w:bookmarkStart w:id="233" w:name="_Toc184313300"/>
      <w:bookmarkEnd w:id="233"/>
      <w:bookmarkStart w:id="234" w:name="_Toc184312088"/>
      <w:bookmarkEnd w:id="234"/>
      <w:bookmarkStart w:id="235" w:name="_Toc184312130"/>
      <w:bookmarkEnd w:id="235"/>
      <w:bookmarkStart w:id="236" w:name="_Toc184313242"/>
      <w:bookmarkEnd w:id="236"/>
      <w:bookmarkStart w:id="237" w:name="_Toc184313309"/>
      <w:bookmarkEnd w:id="237"/>
      <w:bookmarkStart w:id="238" w:name="_Toc184308101"/>
      <w:bookmarkEnd w:id="238"/>
      <w:bookmarkStart w:id="239" w:name="_Toc184314453"/>
      <w:bookmarkEnd w:id="239"/>
      <w:bookmarkStart w:id="240" w:name="_Toc184313307"/>
      <w:bookmarkEnd w:id="240"/>
      <w:bookmarkStart w:id="241" w:name="_Toc184308088"/>
      <w:bookmarkEnd w:id="241"/>
      <w:bookmarkStart w:id="242" w:name="_Toc184312124"/>
      <w:bookmarkEnd w:id="242"/>
      <w:bookmarkStart w:id="243" w:name="_Toc184308051"/>
      <w:bookmarkEnd w:id="243"/>
      <w:bookmarkStart w:id="244" w:name="_Toc184308038"/>
      <w:bookmarkEnd w:id="244"/>
      <w:bookmarkStart w:id="245" w:name="_Toc184314413"/>
      <w:bookmarkEnd w:id="245"/>
      <w:bookmarkStart w:id="246" w:name="_Toc184312100"/>
      <w:bookmarkEnd w:id="246"/>
      <w:bookmarkStart w:id="247" w:name="_Toc184310290"/>
      <w:bookmarkEnd w:id="247"/>
      <w:bookmarkStart w:id="248" w:name="_Toc184314433"/>
      <w:bookmarkEnd w:id="248"/>
      <w:bookmarkStart w:id="249" w:name="_Toc184313271"/>
      <w:bookmarkEnd w:id="249"/>
      <w:bookmarkStart w:id="250" w:name="_Toc184310322"/>
      <w:bookmarkEnd w:id="250"/>
      <w:bookmarkStart w:id="251" w:name="_Toc184313241"/>
      <w:bookmarkEnd w:id="251"/>
      <w:bookmarkStart w:id="252" w:name="_Toc184312085"/>
      <w:bookmarkEnd w:id="252"/>
      <w:bookmarkStart w:id="253" w:name="_Toc184308106"/>
      <w:bookmarkEnd w:id="253"/>
      <w:bookmarkStart w:id="254" w:name="_Toc184312073"/>
      <w:bookmarkEnd w:id="254"/>
      <w:bookmarkStart w:id="255" w:name="_Toc184314461"/>
      <w:bookmarkEnd w:id="255"/>
      <w:bookmarkStart w:id="256" w:name="_Toc184312135"/>
      <w:bookmarkEnd w:id="256"/>
      <w:bookmarkStart w:id="257" w:name="_Toc184312115"/>
      <w:bookmarkEnd w:id="257"/>
      <w:bookmarkStart w:id="258" w:name="_Toc184314439"/>
      <w:bookmarkEnd w:id="258"/>
      <w:bookmarkStart w:id="259" w:name="_Toc184308061"/>
      <w:bookmarkEnd w:id="259"/>
      <w:bookmarkStart w:id="260" w:name="_Toc184313299"/>
      <w:bookmarkEnd w:id="260"/>
      <w:bookmarkStart w:id="261" w:name="_Toc184313250"/>
      <w:bookmarkEnd w:id="261"/>
      <w:bookmarkStart w:id="262" w:name="_Toc184313264"/>
      <w:bookmarkEnd w:id="262"/>
      <w:bookmarkStart w:id="263" w:name="_Toc184313247"/>
      <w:bookmarkEnd w:id="263"/>
      <w:bookmarkStart w:id="264" w:name="_Toc184310309"/>
      <w:bookmarkEnd w:id="264"/>
      <w:bookmarkStart w:id="265" w:name="_Toc184314448"/>
      <w:bookmarkEnd w:id="265"/>
      <w:bookmarkStart w:id="266" w:name="_Toc184313302"/>
      <w:bookmarkEnd w:id="266"/>
      <w:bookmarkStart w:id="267" w:name="_Toc184310339"/>
      <w:bookmarkEnd w:id="267"/>
      <w:bookmarkStart w:id="268" w:name="_Toc184308050"/>
      <w:bookmarkEnd w:id="268"/>
      <w:bookmarkStart w:id="269" w:name="_Toc184308041"/>
      <w:bookmarkEnd w:id="269"/>
      <w:bookmarkStart w:id="270" w:name="_Toc184312076"/>
      <w:bookmarkEnd w:id="270"/>
      <w:bookmarkStart w:id="271" w:name="_Toc184312070"/>
      <w:bookmarkEnd w:id="271"/>
      <w:bookmarkStart w:id="272" w:name="_Toc184308093"/>
      <w:bookmarkEnd w:id="272"/>
      <w:bookmarkStart w:id="273" w:name="_Toc184308044"/>
      <w:bookmarkEnd w:id="273"/>
      <w:bookmarkStart w:id="274" w:name="_Toc184310288"/>
      <w:bookmarkEnd w:id="274"/>
      <w:bookmarkStart w:id="275" w:name="_Toc184312132"/>
      <w:bookmarkEnd w:id="275"/>
      <w:bookmarkStart w:id="276" w:name="_Toc184314424"/>
      <w:bookmarkEnd w:id="276"/>
      <w:bookmarkStart w:id="277" w:name="_Toc184314472"/>
      <w:bookmarkEnd w:id="277"/>
      <w:bookmarkStart w:id="278" w:name="_Toc184312083"/>
      <w:bookmarkEnd w:id="278"/>
      <w:bookmarkStart w:id="279" w:name="_Toc184314428"/>
      <w:bookmarkEnd w:id="279"/>
      <w:bookmarkStart w:id="280" w:name="_Toc184312118"/>
      <w:bookmarkEnd w:id="280"/>
      <w:bookmarkStart w:id="281" w:name="_Toc184310273"/>
      <w:bookmarkEnd w:id="281"/>
      <w:bookmarkStart w:id="282" w:name="_Toc184314436"/>
      <w:bookmarkEnd w:id="282"/>
      <w:bookmarkStart w:id="283" w:name="_Toc184312106"/>
      <w:bookmarkEnd w:id="283"/>
      <w:bookmarkStart w:id="284" w:name="_Toc184308072"/>
      <w:bookmarkEnd w:id="284"/>
      <w:bookmarkStart w:id="285" w:name="_Toc184310283"/>
      <w:bookmarkEnd w:id="285"/>
      <w:bookmarkStart w:id="286" w:name="_Toc184312069"/>
      <w:bookmarkEnd w:id="286"/>
      <w:bookmarkStart w:id="287" w:name="_Toc184314477"/>
      <w:bookmarkEnd w:id="287"/>
      <w:bookmarkStart w:id="288" w:name="_Toc184308056"/>
      <w:bookmarkEnd w:id="288"/>
      <w:bookmarkStart w:id="289" w:name="_Toc184312101"/>
      <w:bookmarkEnd w:id="289"/>
      <w:bookmarkStart w:id="290" w:name="_Toc184314450"/>
      <w:bookmarkEnd w:id="290"/>
      <w:bookmarkStart w:id="291" w:name="_Toc184308048"/>
      <w:bookmarkEnd w:id="291"/>
      <w:bookmarkStart w:id="292" w:name="_Toc184310330"/>
      <w:bookmarkEnd w:id="292"/>
      <w:bookmarkStart w:id="293" w:name="_Toc184314473"/>
      <w:bookmarkEnd w:id="293"/>
      <w:bookmarkStart w:id="294" w:name="_Toc184312107"/>
      <w:bookmarkEnd w:id="294"/>
      <w:bookmarkStart w:id="295" w:name="_Toc184314432"/>
      <w:bookmarkEnd w:id="295"/>
      <w:bookmarkStart w:id="296" w:name="_Toc184308107"/>
      <w:bookmarkEnd w:id="296"/>
      <w:bookmarkStart w:id="297" w:name="_Toc184314421"/>
      <w:bookmarkEnd w:id="297"/>
      <w:bookmarkStart w:id="298" w:name="_Toc184313268"/>
      <w:bookmarkEnd w:id="298"/>
      <w:bookmarkStart w:id="299" w:name="_Toc184314441"/>
      <w:bookmarkEnd w:id="299"/>
      <w:bookmarkStart w:id="300" w:name="_Toc184313262"/>
      <w:bookmarkEnd w:id="300"/>
      <w:bookmarkStart w:id="301" w:name="_Toc184312097"/>
      <w:bookmarkEnd w:id="301"/>
      <w:bookmarkStart w:id="302" w:name="_Toc184308058"/>
      <w:bookmarkEnd w:id="302"/>
      <w:bookmarkStart w:id="303" w:name="_Toc184310277"/>
      <w:bookmarkEnd w:id="303"/>
      <w:bookmarkStart w:id="304" w:name="_Toc184313251"/>
      <w:bookmarkEnd w:id="304"/>
      <w:bookmarkStart w:id="305" w:name="_Toc184312102"/>
      <w:bookmarkEnd w:id="305"/>
      <w:bookmarkStart w:id="306" w:name="_Toc184312116"/>
      <w:bookmarkEnd w:id="306"/>
      <w:bookmarkStart w:id="307" w:name="_Toc184308063"/>
      <w:bookmarkEnd w:id="307"/>
      <w:bookmarkStart w:id="308" w:name="_Toc184313288"/>
      <w:bookmarkEnd w:id="308"/>
      <w:bookmarkStart w:id="309" w:name="_Toc184310324"/>
      <w:bookmarkEnd w:id="309"/>
      <w:bookmarkStart w:id="310" w:name="_Toc184310293"/>
      <w:bookmarkEnd w:id="310"/>
      <w:bookmarkStart w:id="311" w:name="_Toc184308066"/>
      <w:bookmarkEnd w:id="311"/>
      <w:bookmarkStart w:id="312" w:name="_Toc184313259"/>
      <w:bookmarkEnd w:id="312"/>
      <w:bookmarkStart w:id="313" w:name="_Toc184312074"/>
      <w:bookmarkEnd w:id="313"/>
      <w:bookmarkStart w:id="314" w:name="_Toc184313245"/>
      <w:bookmarkEnd w:id="314"/>
      <w:bookmarkStart w:id="315" w:name="_Toc184308045"/>
      <w:bookmarkEnd w:id="315"/>
      <w:bookmarkStart w:id="316" w:name="_Toc184313270"/>
      <w:bookmarkEnd w:id="316"/>
      <w:bookmarkStart w:id="317" w:name="_Toc184310305"/>
      <w:bookmarkEnd w:id="317"/>
      <w:bookmarkStart w:id="318" w:name="_Toc184314440"/>
      <w:bookmarkEnd w:id="318"/>
      <w:bookmarkStart w:id="319" w:name="_Toc184308054"/>
      <w:bookmarkEnd w:id="319"/>
      <w:bookmarkStart w:id="320" w:name="_Toc184312090"/>
      <w:bookmarkEnd w:id="320"/>
      <w:bookmarkStart w:id="321" w:name="_Toc184310340"/>
      <w:bookmarkEnd w:id="321"/>
      <w:bookmarkStart w:id="322" w:name="_Toc184312081"/>
      <w:bookmarkEnd w:id="322"/>
      <w:bookmarkStart w:id="323" w:name="_Toc184310310"/>
      <w:bookmarkEnd w:id="323"/>
      <w:bookmarkStart w:id="324" w:name="_Toc184313269"/>
      <w:bookmarkEnd w:id="324"/>
      <w:bookmarkStart w:id="325" w:name="_Toc184310333"/>
      <w:bookmarkEnd w:id="325"/>
      <w:bookmarkStart w:id="326" w:name="_Toc184313246"/>
      <w:bookmarkEnd w:id="326"/>
      <w:bookmarkStart w:id="327" w:name="_Toc184314479"/>
      <w:bookmarkEnd w:id="327"/>
      <w:bookmarkStart w:id="328" w:name="_Toc184308095"/>
      <w:bookmarkEnd w:id="328"/>
      <w:bookmarkStart w:id="329" w:name="_Toc184308073"/>
      <w:bookmarkEnd w:id="329"/>
      <w:bookmarkStart w:id="330" w:name="_Toc184308053"/>
      <w:bookmarkEnd w:id="330"/>
      <w:bookmarkStart w:id="331" w:name="_Toc184308065"/>
      <w:bookmarkEnd w:id="331"/>
      <w:bookmarkStart w:id="332" w:name="_Toc184313284"/>
      <w:bookmarkEnd w:id="332"/>
      <w:bookmarkStart w:id="333" w:name="_Toc184308082"/>
      <w:bookmarkEnd w:id="333"/>
      <w:bookmarkStart w:id="334" w:name="_Toc184313296"/>
      <w:bookmarkEnd w:id="334"/>
      <w:bookmarkStart w:id="335" w:name="_Toc184313304"/>
      <w:bookmarkEnd w:id="335"/>
      <w:bookmarkStart w:id="336" w:name="_Toc184314457"/>
      <w:bookmarkEnd w:id="336"/>
      <w:bookmarkStart w:id="337" w:name="_Toc184313244"/>
      <w:bookmarkEnd w:id="337"/>
      <w:bookmarkStart w:id="338" w:name="_Toc184310302"/>
      <w:bookmarkEnd w:id="338"/>
      <w:bookmarkStart w:id="339" w:name="_Toc184308108"/>
      <w:bookmarkEnd w:id="339"/>
      <w:bookmarkStart w:id="340" w:name="_Toc184313265"/>
      <w:bookmarkEnd w:id="340"/>
      <w:bookmarkStart w:id="341" w:name="_Toc184313297"/>
      <w:bookmarkEnd w:id="341"/>
      <w:bookmarkStart w:id="342" w:name="_Toc184310341"/>
      <w:bookmarkEnd w:id="342"/>
      <w:bookmarkStart w:id="343" w:name="_Toc184314437"/>
      <w:bookmarkEnd w:id="343"/>
      <w:bookmarkStart w:id="344" w:name="_Toc184313285"/>
      <w:bookmarkEnd w:id="344"/>
      <w:bookmarkStart w:id="345" w:name="_Toc184313267"/>
      <w:bookmarkEnd w:id="345"/>
      <w:bookmarkStart w:id="346" w:name="_Toc184310323"/>
      <w:bookmarkEnd w:id="346"/>
      <w:bookmarkStart w:id="347" w:name="_Toc184313310"/>
      <w:bookmarkEnd w:id="347"/>
      <w:bookmarkStart w:id="348" w:name="_Toc184314415"/>
      <w:bookmarkEnd w:id="348"/>
      <w:bookmarkStart w:id="349" w:name="_Toc184310320"/>
      <w:bookmarkEnd w:id="349"/>
      <w:bookmarkStart w:id="350" w:name="_Toc184308076"/>
      <w:bookmarkEnd w:id="350"/>
      <w:bookmarkStart w:id="351" w:name="_Toc184312089"/>
      <w:bookmarkEnd w:id="351"/>
      <w:bookmarkStart w:id="352" w:name="_Toc184312131"/>
      <w:bookmarkEnd w:id="352"/>
      <w:bookmarkStart w:id="353" w:name="_Toc184308098"/>
      <w:bookmarkEnd w:id="353"/>
      <w:bookmarkStart w:id="354" w:name="_Toc184308040"/>
      <w:bookmarkEnd w:id="354"/>
      <w:bookmarkStart w:id="355" w:name="_Toc184314481"/>
      <w:bookmarkEnd w:id="355"/>
      <w:bookmarkStart w:id="356" w:name="_Toc184308090"/>
      <w:bookmarkEnd w:id="356"/>
      <w:bookmarkStart w:id="357" w:name="_Toc184310306"/>
      <w:bookmarkEnd w:id="357"/>
      <w:bookmarkStart w:id="358" w:name="_Toc184314442"/>
      <w:bookmarkEnd w:id="358"/>
      <w:bookmarkStart w:id="359" w:name="_Toc184313308"/>
      <w:bookmarkEnd w:id="359"/>
      <w:bookmarkStart w:id="360" w:name="_Toc184308080"/>
      <w:bookmarkEnd w:id="360"/>
      <w:bookmarkStart w:id="361" w:name="_Toc184308060"/>
      <w:bookmarkEnd w:id="361"/>
      <w:bookmarkStart w:id="362" w:name="_Toc184313243"/>
      <w:bookmarkEnd w:id="362"/>
      <w:bookmarkStart w:id="363" w:name="_Toc184313281"/>
      <w:bookmarkEnd w:id="363"/>
      <w:bookmarkStart w:id="364" w:name="_Toc184313305"/>
      <w:bookmarkEnd w:id="364"/>
      <w:bookmarkStart w:id="365" w:name="_Toc184314459"/>
      <w:bookmarkEnd w:id="365"/>
      <w:bookmarkStart w:id="366" w:name="_Toc184313254"/>
      <w:bookmarkEnd w:id="366"/>
      <w:bookmarkStart w:id="367" w:name="_Toc184308070"/>
      <w:bookmarkEnd w:id="367"/>
      <w:bookmarkStart w:id="368" w:name="_Toc184308075"/>
      <w:bookmarkEnd w:id="368"/>
      <w:bookmarkStart w:id="369" w:name="_Toc184314449"/>
      <w:bookmarkEnd w:id="369"/>
      <w:bookmarkStart w:id="370" w:name="_Toc184313282"/>
      <w:bookmarkEnd w:id="370"/>
      <w:bookmarkStart w:id="371" w:name="_Toc184314468"/>
      <w:bookmarkEnd w:id="371"/>
      <w:bookmarkStart w:id="372" w:name="_Toc184312077"/>
      <w:bookmarkEnd w:id="372"/>
      <w:bookmarkStart w:id="373" w:name="_Toc184314482"/>
      <w:bookmarkEnd w:id="373"/>
      <w:bookmarkStart w:id="374" w:name="_Toc184312096"/>
      <w:bookmarkEnd w:id="374"/>
      <w:bookmarkStart w:id="375" w:name="_Toc184312084"/>
      <w:bookmarkEnd w:id="375"/>
      <w:bookmarkStart w:id="376" w:name="_Toc184314423"/>
      <w:bookmarkEnd w:id="376"/>
      <w:bookmarkStart w:id="377" w:name="_Toc184312109"/>
      <w:bookmarkEnd w:id="377"/>
      <w:bookmarkStart w:id="378" w:name="_Toc184308047"/>
      <w:bookmarkEnd w:id="378"/>
      <w:bookmarkStart w:id="379" w:name="_Toc184308077"/>
      <w:bookmarkEnd w:id="379"/>
      <w:bookmarkStart w:id="380" w:name="_Toc184312068"/>
      <w:bookmarkEnd w:id="380"/>
      <w:bookmarkStart w:id="381" w:name="_Toc184312075"/>
      <w:bookmarkEnd w:id="381"/>
      <w:bookmarkStart w:id="382" w:name="_Toc184314470"/>
      <w:bookmarkEnd w:id="382"/>
      <w:bookmarkStart w:id="383" w:name="_Toc184310297"/>
      <w:bookmarkEnd w:id="383"/>
      <w:bookmarkStart w:id="384" w:name="_Toc184314480"/>
      <w:bookmarkEnd w:id="384"/>
      <w:bookmarkStart w:id="385" w:name="_Toc184312128"/>
      <w:bookmarkEnd w:id="385"/>
      <w:bookmarkStart w:id="386" w:name="_Toc184310279"/>
      <w:bookmarkEnd w:id="386"/>
      <w:bookmarkStart w:id="387" w:name="_Toc184308052"/>
      <w:bookmarkEnd w:id="387"/>
      <w:bookmarkStart w:id="388" w:name="_Toc184314444"/>
      <w:bookmarkEnd w:id="388"/>
      <w:bookmarkStart w:id="389" w:name="_Toc184308103"/>
      <w:bookmarkEnd w:id="389"/>
      <w:bookmarkStart w:id="390" w:name="_Toc184308067"/>
      <w:bookmarkEnd w:id="390"/>
      <w:bookmarkStart w:id="391" w:name="_Toc184310313"/>
      <w:bookmarkEnd w:id="391"/>
      <w:bookmarkStart w:id="392" w:name="_Toc184310327"/>
      <w:bookmarkEnd w:id="392"/>
      <w:bookmarkStart w:id="393" w:name="_Toc184310311"/>
      <w:bookmarkEnd w:id="393"/>
      <w:bookmarkStart w:id="394" w:name="_Toc184310285"/>
      <w:bookmarkEnd w:id="394"/>
      <w:bookmarkStart w:id="395" w:name="_Toc184310343"/>
      <w:bookmarkEnd w:id="395"/>
      <w:bookmarkStart w:id="396" w:name="_Toc184313290"/>
      <w:bookmarkEnd w:id="396"/>
      <w:bookmarkStart w:id="397" w:name="_Toc184313303"/>
      <w:bookmarkEnd w:id="397"/>
      <w:bookmarkStart w:id="398" w:name="_Toc184310312"/>
      <w:bookmarkEnd w:id="398"/>
      <w:r>
        <w:rPr>
          <w:rFonts w:hint="eastAsia" w:ascii="宋体" w:hAnsi="宋体" w:eastAsia="宋体" w:cs="宋体"/>
          <w:b/>
          <w:bCs w:val="0"/>
          <w:color w:val="auto"/>
          <w:kern w:val="2"/>
          <w:sz w:val="36"/>
          <w:szCs w:val="36"/>
          <w:highlight w:val="none"/>
          <w:lang w:val="en-US" w:eastAsia="zh-CN" w:bidi="ar-SA"/>
        </w:rPr>
        <w:t>评标办法</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1、评标办法前附表</w:t>
      </w:r>
    </w:p>
    <w:p>
      <w:pPr>
        <w:pStyle w:val="96"/>
        <w:spacing w:before="0"/>
        <w:ind w:firstLine="482"/>
        <w:rPr>
          <w:rFonts w:hint="eastAsia" w:ascii="宋体" w:hAnsi="宋体" w:eastAsia="宋体" w:cs="宋体"/>
          <w:color w:val="auto"/>
          <w:szCs w:val="24"/>
          <w:highlight w:val="none"/>
        </w:rPr>
      </w:pPr>
      <w:bookmarkStart w:id="399" w:name="_Toc441007124"/>
      <w:bookmarkStart w:id="400" w:name="_Toc4121"/>
      <w:bookmarkStart w:id="401" w:name="_Toc443415649"/>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6"/>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各投标人的综合得分为：投标价格得分+技术商务得分之和，总和为100分，其中：投标价格得分</w:t>
      </w:r>
      <w:r>
        <w:rPr>
          <w:rFonts w:hint="eastAsia" w:ascii="宋体" w:hAnsi="宋体" w:eastAsia="宋体" w:cs="宋体"/>
          <w:b/>
          <w:color w:val="auto"/>
          <w:szCs w:val="24"/>
          <w:highlight w:val="none"/>
          <w:lang w:val="en-US" w:eastAsia="zh-CN"/>
        </w:rPr>
        <w:t>10</w:t>
      </w:r>
      <w:r>
        <w:rPr>
          <w:rFonts w:hint="eastAsia" w:ascii="宋体" w:hAnsi="宋体" w:eastAsia="宋体" w:cs="宋体"/>
          <w:b/>
          <w:color w:val="auto"/>
          <w:szCs w:val="24"/>
          <w:highlight w:val="none"/>
        </w:rPr>
        <w:t>分，商务技术得分</w:t>
      </w:r>
      <w:r>
        <w:rPr>
          <w:rFonts w:hint="eastAsia" w:ascii="宋体" w:hAnsi="宋体" w:eastAsia="宋体" w:cs="宋体"/>
          <w:b/>
          <w:color w:val="auto"/>
          <w:szCs w:val="24"/>
          <w:highlight w:val="none"/>
          <w:lang w:val="en-US" w:eastAsia="zh-CN"/>
        </w:rPr>
        <w:t>90</w:t>
      </w:r>
      <w:r>
        <w:rPr>
          <w:rFonts w:hint="eastAsia" w:ascii="宋体" w:hAnsi="宋体" w:eastAsia="宋体" w:cs="宋体"/>
          <w:b/>
          <w:color w:val="auto"/>
          <w:szCs w:val="24"/>
          <w:highlight w:val="none"/>
        </w:rPr>
        <w:t>分。</w:t>
      </w:r>
    </w:p>
    <w:bookmarkEnd w:id="399"/>
    <w:bookmarkEnd w:id="400"/>
    <w:bookmarkEnd w:id="401"/>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商务技术评标细则（</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8"/>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085"/>
        <w:gridCol w:w="94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47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评审内容</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评分细则</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default" w:ascii="宋体" w:hAnsi="宋体" w:eastAsia="宋体" w:cs="宋体"/>
                <w:b/>
                <w:sz w:val="24"/>
                <w:szCs w:val="24"/>
                <w:highlight w:val="none"/>
                <w:lang w:val="en-US" w:eastAsia="zh-CN"/>
              </w:rPr>
            </w:pPr>
            <w:r>
              <w:rPr>
                <w:rFonts w:hint="eastAsia" w:hAnsi="宋体" w:cs="宋体"/>
                <w:b/>
                <w:sz w:val="24"/>
                <w:szCs w:val="24"/>
                <w:highlight w:val="none"/>
                <w:lang w:eastAsia="zh-CN"/>
              </w:rPr>
              <w:t>主</w:t>
            </w:r>
            <w:r>
              <w:rPr>
                <w:rFonts w:hint="eastAsia" w:hAnsi="宋体" w:cs="宋体"/>
                <w:b/>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restart"/>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1、需求理解</w:t>
            </w:r>
            <w:r>
              <w:rPr>
                <w:rFonts w:hint="eastAsia" w:ascii="宋体" w:hAnsi="宋体" w:eastAsia="宋体" w:cs="宋体"/>
                <w:sz w:val="24"/>
                <w:szCs w:val="24"/>
                <w:highlight w:val="none"/>
                <w:lang w:val="en-US" w:eastAsia="zh-CN"/>
              </w:rPr>
              <w:t>与分析解决措施</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color w:val="000000"/>
                <w:sz w:val="24"/>
                <w:szCs w:val="24"/>
                <w:highlight w:val="none"/>
                <w:u w:val="none" w:color="000000"/>
              </w:rPr>
            </w:pPr>
            <w:r>
              <w:rPr>
                <w:rFonts w:hint="eastAsia" w:ascii="宋体" w:hAnsi="宋体" w:eastAsia="宋体" w:cs="宋体"/>
                <w:color w:val="000000"/>
                <w:sz w:val="24"/>
                <w:szCs w:val="24"/>
                <w:highlight w:val="none"/>
                <w:u w:val="none" w:color="000000"/>
                <w:lang w:eastAsia="zh-CN"/>
              </w:rPr>
              <w:t>（</w:t>
            </w:r>
            <w:r>
              <w:rPr>
                <w:rFonts w:hint="eastAsia" w:ascii="宋体" w:hAnsi="宋体" w:eastAsia="宋体" w:cs="宋体"/>
                <w:color w:val="000000"/>
                <w:sz w:val="24"/>
                <w:szCs w:val="24"/>
                <w:highlight w:val="none"/>
                <w:u w:val="none" w:color="000000"/>
                <w:lang w:val="en-US" w:eastAsia="zh-CN"/>
              </w:rPr>
              <w:t>1）</w:t>
            </w:r>
            <w:r>
              <w:rPr>
                <w:rFonts w:hint="eastAsia" w:ascii="宋体" w:hAnsi="宋体" w:cs="宋体"/>
                <w:color w:val="000000"/>
                <w:kern w:val="0"/>
                <w:sz w:val="24"/>
                <w:szCs w:val="24"/>
                <w:highlight w:val="none"/>
                <w:lang w:eastAsia="zh-CN" w:bidi="ar"/>
              </w:rPr>
              <w:t>投标人</w:t>
            </w:r>
            <w:r>
              <w:rPr>
                <w:rFonts w:hint="eastAsia" w:ascii="宋体" w:hAnsi="宋体" w:eastAsia="宋体" w:cs="宋体"/>
                <w:color w:val="000000"/>
                <w:sz w:val="24"/>
                <w:szCs w:val="24"/>
                <w:highlight w:val="none"/>
                <w:u w:val="none" w:color="000000"/>
              </w:rPr>
              <w:t>对</w:t>
            </w:r>
            <w:r>
              <w:rPr>
                <w:rFonts w:hint="eastAsia" w:ascii="宋体" w:hAnsi="宋体" w:eastAsia="宋体" w:cs="宋体"/>
                <w:sz w:val="24"/>
                <w:szCs w:val="24"/>
                <w:highlight w:val="none"/>
                <w:lang w:eastAsia="zh-CN"/>
              </w:rPr>
              <w:t>劳动纠纷调解</w:t>
            </w:r>
            <w:r>
              <w:rPr>
                <w:rFonts w:hint="eastAsia" w:ascii="宋体" w:hAnsi="宋体" w:eastAsia="宋体" w:cs="宋体"/>
                <w:sz w:val="24"/>
                <w:szCs w:val="24"/>
                <w:highlight w:val="none"/>
              </w:rPr>
              <w:t>服务</w:t>
            </w:r>
            <w:r>
              <w:rPr>
                <w:rFonts w:hint="eastAsia" w:ascii="宋体" w:hAnsi="宋体" w:eastAsia="宋体" w:cs="宋体"/>
                <w:color w:val="000000"/>
                <w:sz w:val="24"/>
                <w:szCs w:val="24"/>
                <w:highlight w:val="none"/>
                <w:u w:val="none" w:color="000000"/>
              </w:rPr>
              <w:t>的总体要求，</w:t>
            </w:r>
            <w:r>
              <w:rPr>
                <w:rFonts w:hint="eastAsia" w:ascii="宋体" w:hAnsi="宋体" w:eastAsia="宋体" w:cs="宋体"/>
                <w:color w:val="000000"/>
                <w:sz w:val="24"/>
                <w:szCs w:val="24"/>
                <w:highlight w:val="none"/>
                <w:u w:val="none" w:color="000000"/>
                <w:lang w:val="en-US" w:eastAsia="zh-CN"/>
              </w:rPr>
              <w:t>理解全面、深入、针</w:t>
            </w:r>
            <w:r>
              <w:rPr>
                <w:rFonts w:hint="eastAsia" w:ascii="宋体" w:hAnsi="宋体" w:eastAsia="宋体" w:cs="宋体"/>
                <w:color w:val="000000"/>
                <w:sz w:val="24"/>
                <w:szCs w:val="24"/>
                <w:highlight w:val="none"/>
                <w:u w:val="none" w:color="000000"/>
              </w:rPr>
              <w:t>对性强</w:t>
            </w:r>
            <w:r>
              <w:rPr>
                <w:rFonts w:hint="eastAsia" w:ascii="宋体" w:hAnsi="宋体" w:eastAsia="宋体" w:cs="宋体"/>
                <w:color w:val="000000"/>
                <w:sz w:val="24"/>
                <w:szCs w:val="24"/>
                <w:highlight w:val="none"/>
                <w:u w:val="none" w:color="000000"/>
                <w:lang w:val="en-US" w:eastAsia="zh-CN"/>
              </w:rPr>
              <w:t>的得5分，理解较全面、较深入、针对性</w:t>
            </w:r>
            <w:r>
              <w:rPr>
                <w:rFonts w:hint="eastAsia" w:hAnsi="宋体" w:cs="宋体"/>
                <w:color w:val="000000"/>
                <w:sz w:val="24"/>
                <w:szCs w:val="24"/>
                <w:highlight w:val="none"/>
                <w:u w:val="none" w:color="000000"/>
                <w:lang w:val="en-US" w:eastAsia="zh-CN"/>
              </w:rPr>
              <w:t>一般</w:t>
            </w:r>
            <w:r>
              <w:rPr>
                <w:rFonts w:hint="eastAsia" w:ascii="宋体" w:hAnsi="宋体" w:eastAsia="宋体" w:cs="宋体"/>
                <w:color w:val="000000"/>
                <w:sz w:val="24"/>
                <w:szCs w:val="24"/>
                <w:highlight w:val="none"/>
                <w:u w:val="none" w:color="000000"/>
                <w:lang w:val="en-US" w:eastAsia="zh-CN"/>
              </w:rPr>
              <w:t>的得3分，理解不深入，针对性</w:t>
            </w:r>
            <w:r>
              <w:rPr>
                <w:rFonts w:hint="eastAsia" w:hAnsi="宋体" w:cs="宋体"/>
                <w:color w:val="000000"/>
                <w:sz w:val="24"/>
                <w:szCs w:val="24"/>
                <w:highlight w:val="none"/>
                <w:u w:val="none" w:color="000000"/>
                <w:lang w:val="en-US" w:eastAsia="zh-CN"/>
              </w:rPr>
              <w:t>较差的</w:t>
            </w:r>
            <w:r>
              <w:rPr>
                <w:rFonts w:hint="eastAsia" w:ascii="宋体" w:hAnsi="宋体" w:eastAsia="宋体" w:cs="宋体"/>
                <w:color w:val="000000"/>
                <w:sz w:val="24"/>
                <w:szCs w:val="24"/>
                <w:highlight w:val="none"/>
                <w:u w:val="none" w:color="000000"/>
                <w:lang w:val="en-US" w:eastAsia="zh-CN"/>
              </w:rPr>
              <w:t>得1分。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5分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sz w:val="24"/>
                <w:szCs w:val="24"/>
                <w:highlight w:val="none"/>
              </w:rPr>
            </w:pPr>
          </w:p>
        </w:tc>
        <w:tc>
          <w:tcPr>
            <w:tcW w:w="7085" w:type="dxa"/>
            <w:noWrap w:val="0"/>
            <w:vAlign w:val="center"/>
          </w:tcPr>
          <w:p>
            <w:pPr>
              <w:keepNext w:val="0"/>
              <w:keepLines w:val="0"/>
              <w:pageBreakBefore w:val="0"/>
              <w:widowControl/>
              <w:kinsoku/>
              <w:wordWrap/>
              <w:overflowPunct/>
              <w:topLinePunct w:val="0"/>
              <w:autoSpaceDE/>
              <w:autoSpaceDN/>
              <w:bidi w:val="0"/>
              <w:spacing w:beforeLines="0" w:afterLines="0" w:line="288" w:lineRule="auto"/>
              <w:jc w:val="left"/>
              <w:textAlignment w:val="auto"/>
              <w:rPr>
                <w:rFonts w:hint="eastAsia" w:ascii="宋体" w:hAnsi="宋体" w:eastAsia="宋体" w:cs="宋体"/>
                <w:color w:val="000000"/>
                <w:sz w:val="24"/>
                <w:szCs w:val="24"/>
                <w:highlight w:val="none"/>
                <w:u w:val="none" w:color="000000"/>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eastAsia="zh-CN" w:bidi="ar"/>
              </w:rPr>
              <w:t>投标人</w:t>
            </w:r>
            <w:r>
              <w:rPr>
                <w:rFonts w:hint="eastAsia" w:ascii="宋体" w:hAnsi="宋体" w:eastAsia="宋体" w:cs="宋体"/>
                <w:color w:val="000000"/>
                <w:kern w:val="0"/>
                <w:sz w:val="24"/>
                <w:szCs w:val="24"/>
                <w:highlight w:val="none"/>
                <w:lang w:bidi="ar"/>
              </w:rPr>
              <w:t>解读建立</w:t>
            </w:r>
            <w:r>
              <w:rPr>
                <w:rFonts w:hint="eastAsia" w:ascii="宋体" w:hAnsi="宋体" w:eastAsia="宋体" w:cs="宋体"/>
                <w:sz w:val="24"/>
                <w:szCs w:val="24"/>
                <w:highlight w:val="none"/>
                <w:lang w:eastAsia="zh-CN"/>
              </w:rPr>
              <w:t>劳动关系纠纷调解</w:t>
            </w:r>
            <w:r>
              <w:rPr>
                <w:rFonts w:hint="eastAsia" w:ascii="宋体" w:hAnsi="宋体" w:eastAsia="宋体" w:cs="宋体"/>
                <w:sz w:val="24"/>
                <w:szCs w:val="24"/>
                <w:highlight w:val="none"/>
              </w:rPr>
              <w:t>服务</w:t>
            </w:r>
            <w:r>
              <w:rPr>
                <w:rFonts w:hint="eastAsia" w:ascii="宋体" w:hAnsi="宋体" w:eastAsia="宋体" w:cs="宋体"/>
                <w:color w:val="000000"/>
                <w:kern w:val="0"/>
                <w:sz w:val="24"/>
                <w:szCs w:val="24"/>
                <w:highlight w:val="none"/>
                <w:lang w:bidi="ar"/>
              </w:rPr>
              <w:t>的重要意义及分析解决</w:t>
            </w:r>
            <w:r>
              <w:rPr>
                <w:rFonts w:hint="eastAsia" w:ascii="宋体" w:hAnsi="宋体" w:eastAsia="宋体" w:cs="宋体"/>
                <w:color w:val="000000"/>
                <w:kern w:val="0"/>
                <w:sz w:val="24"/>
                <w:szCs w:val="24"/>
                <w:highlight w:val="none"/>
                <w:lang w:eastAsia="zh-CN" w:bidi="ar"/>
              </w:rPr>
              <w:t>本</w:t>
            </w:r>
            <w:r>
              <w:rPr>
                <w:rFonts w:hint="eastAsia" w:ascii="宋体" w:hAnsi="宋体" w:eastAsia="宋体" w:cs="宋体"/>
                <w:color w:val="000000"/>
                <w:kern w:val="0"/>
                <w:sz w:val="24"/>
                <w:szCs w:val="24"/>
                <w:highlight w:val="none"/>
                <w:lang w:bidi="ar"/>
              </w:rPr>
              <w:t>项目存在的</w:t>
            </w:r>
            <w:r>
              <w:rPr>
                <w:rFonts w:hint="eastAsia" w:ascii="宋体" w:hAnsi="宋体" w:eastAsia="宋体" w:cs="宋体"/>
                <w:color w:val="000000"/>
                <w:kern w:val="0"/>
                <w:sz w:val="24"/>
                <w:szCs w:val="24"/>
                <w:highlight w:val="none"/>
                <w:lang w:eastAsia="zh-CN" w:bidi="ar"/>
              </w:rPr>
              <w:t>问题及解决措施方案，</w:t>
            </w:r>
            <w:r>
              <w:rPr>
                <w:rFonts w:hint="eastAsia" w:ascii="宋体" w:hAnsi="宋体" w:eastAsia="宋体" w:cs="宋体"/>
                <w:color w:val="000000"/>
                <w:kern w:val="0"/>
                <w:sz w:val="24"/>
                <w:szCs w:val="24"/>
                <w:highlight w:val="none"/>
                <w:lang w:val="en-US" w:eastAsia="zh-CN" w:bidi="ar"/>
              </w:rPr>
              <w:t>分析全面、解决措施可操作性强的</w:t>
            </w:r>
            <w:r>
              <w:rPr>
                <w:rFonts w:hint="eastAsia" w:ascii="宋体" w:hAnsi="宋体" w:eastAsia="宋体" w:cs="宋体"/>
                <w:color w:val="000000"/>
                <w:sz w:val="24"/>
                <w:szCs w:val="24"/>
                <w:highlight w:val="none"/>
                <w:u w:val="none" w:color="000000"/>
                <w:lang w:val="en-US" w:eastAsia="zh-CN"/>
              </w:rPr>
              <w:t>得5分，分析较全面、解决</w:t>
            </w:r>
            <w:r>
              <w:rPr>
                <w:rFonts w:hint="eastAsia" w:ascii="宋体" w:hAnsi="宋体" w:eastAsia="宋体" w:cs="宋体"/>
                <w:color w:val="000000"/>
                <w:kern w:val="0"/>
                <w:sz w:val="24"/>
                <w:szCs w:val="24"/>
                <w:highlight w:val="none"/>
                <w:lang w:val="en-US" w:eastAsia="zh-CN" w:bidi="ar"/>
              </w:rPr>
              <w:t>措施可操作性一般的得3分，分析不全面、解决措施可操作性较差的得1分。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right"/>
              <w:textAlignment w:val="auto"/>
              <w:rPr>
                <w:rFonts w:hint="eastAsia" w:ascii="宋体" w:hAnsi="宋体" w:eastAsia="宋体" w:cs="宋体"/>
                <w:sz w:val="24"/>
                <w:szCs w:val="24"/>
                <w:highlight w:val="none"/>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restart"/>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、服务方案</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rPr>
            </w:pPr>
            <w:bookmarkStart w:id="402" w:name="OLE_LINK9"/>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cs="宋体"/>
                <w:color w:val="000000"/>
                <w:kern w:val="0"/>
                <w:sz w:val="24"/>
                <w:szCs w:val="24"/>
                <w:highlight w:val="none"/>
                <w:lang w:eastAsia="zh-CN" w:bidi="ar"/>
              </w:rPr>
              <w:t>投标人</w:t>
            </w:r>
            <w:r>
              <w:rPr>
                <w:rFonts w:hint="eastAsia" w:ascii="宋体" w:hAnsi="宋体" w:eastAsia="宋体" w:cs="宋体"/>
                <w:bCs/>
                <w:sz w:val="24"/>
                <w:szCs w:val="24"/>
                <w:highlight w:val="none"/>
              </w:rPr>
              <w:t>提供的</w:t>
            </w:r>
            <w:r>
              <w:rPr>
                <w:rFonts w:hint="eastAsia" w:ascii="宋体" w:hAnsi="宋体" w:eastAsia="宋体" w:cs="宋体"/>
                <w:sz w:val="24"/>
                <w:szCs w:val="24"/>
                <w:highlight w:val="none"/>
                <w:lang w:eastAsia="zh-CN"/>
              </w:rPr>
              <w:t>劳动关系纠纷调解</w:t>
            </w:r>
            <w:r>
              <w:rPr>
                <w:rFonts w:hint="eastAsia" w:ascii="宋体" w:hAnsi="宋体" w:eastAsia="宋体" w:cs="宋体"/>
                <w:sz w:val="24"/>
                <w:szCs w:val="24"/>
                <w:highlight w:val="none"/>
              </w:rPr>
              <w:t>服务</w:t>
            </w:r>
            <w:r>
              <w:rPr>
                <w:rFonts w:hint="eastAsia" w:ascii="宋体" w:hAnsi="宋体" w:eastAsia="宋体" w:cs="宋体"/>
                <w:bCs/>
                <w:sz w:val="24"/>
                <w:szCs w:val="24"/>
                <w:highlight w:val="none"/>
                <w:lang w:val="en-US" w:eastAsia="zh-CN"/>
              </w:rPr>
              <w:t>总体</w:t>
            </w:r>
            <w:r>
              <w:rPr>
                <w:rFonts w:hint="eastAsia" w:ascii="宋体" w:hAnsi="宋体" w:eastAsia="宋体" w:cs="宋体"/>
                <w:bCs/>
                <w:sz w:val="24"/>
                <w:szCs w:val="24"/>
                <w:highlight w:val="none"/>
              </w:rPr>
              <w:t>服务方案</w:t>
            </w:r>
            <w:r>
              <w:rPr>
                <w:rFonts w:hint="eastAsia" w:ascii="宋体" w:hAnsi="宋体" w:eastAsia="宋体" w:cs="宋体"/>
                <w:bCs/>
                <w:sz w:val="24"/>
                <w:szCs w:val="24"/>
                <w:highlight w:val="none"/>
                <w:lang w:eastAsia="zh-CN"/>
              </w:rPr>
              <w:t>，须</w:t>
            </w:r>
            <w:r>
              <w:rPr>
                <w:rFonts w:hint="eastAsia" w:ascii="宋体" w:hAnsi="宋体" w:eastAsia="宋体" w:cs="宋体"/>
                <w:bCs/>
                <w:sz w:val="24"/>
                <w:szCs w:val="24"/>
                <w:highlight w:val="none"/>
              </w:rPr>
              <w:t>满足招标方的要求，内容齐全，包括岗位服务内容、操作程序，操作规程、有完整</w:t>
            </w:r>
            <w:r>
              <w:rPr>
                <w:rFonts w:hint="eastAsia" w:ascii="宋体" w:hAnsi="宋体" w:eastAsia="宋体" w:cs="宋体"/>
                <w:sz w:val="24"/>
                <w:szCs w:val="24"/>
                <w:highlight w:val="none"/>
              </w:rPr>
              <w:t>的信息反馈系统</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方案完整、合理性、可行性高</w:t>
            </w:r>
            <w:r>
              <w:rPr>
                <w:rFonts w:hint="eastAsia" w:ascii="宋体" w:hAnsi="宋体" w:eastAsia="宋体" w:cs="宋体"/>
                <w:color w:val="000000"/>
                <w:sz w:val="24"/>
                <w:szCs w:val="24"/>
                <w:highlight w:val="none"/>
                <w:u w:val="none" w:color="000000"/>
                <w:lang w:val="en-US" w:eastAsia="zh-CN"/>
              </w:rPr>
              <w:t>的得5分，方案</w:t>
            </w:r>
            <w:r>
              <w:rPr>
                <w:rFonts w:hint="eastAsia" w:hAnsi="宋体" w:cs="宋体"/>
                <w:color w:val="000000"/>
                <w:sz w:val="24"/>
                <w:szCs w:val="24"/>
                <w:highlight w:val="none"/>
                <w:u w:val="none" w:color="000000"/>
                <w:lang w:val="en-US" w:eastAsia="zh-CN"/>
              </w:rPr>
              <w:t>基本符合的得3分，方案部分符合的得1分。</w:t>
            </w:r>
            <w:r>
              <w:rPr>
                <w:rFonts w:hint="eastAsia" w:hAnsi="宋体" w:cs="宋体"/>
                <w:sz w:val="24"/>
                <w:highlight w:val="none"/>
                <w:lang w:eastAsia="zh-CN"/>
              </w:rPr>
              <w:t>其他不得分。</w:t>
            </w:r>
            <w:bookmarkEnd w:id="402"/>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right"/>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sz w:val="24"/>
                <w:szCs w:val="24"/>
                <w:highlight w:val="none"/>
                <w:lang w:val="en-US" w:eastAsia="zh-CN"/>
              </w:rPr>
            </w:pP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cs="宋体"/>
                <w:color w:val="000000"/>
                <w:kern w:val="0"/>
                <w:sz w:val="24"/>
                <w:szCs w:val="24"/>
                <w:highlight w:val="none"/>
                <w:lang w:eastAsia="zh-CN" w:bidi="ar"/>
              </w:rPr>
              <w:t>投标人</w:t>
            </w:r>
            <w:r>
              <w:rPr>
                <w:rFonts w:hint="eastAsia" w:ascii="宋体" w:hAnsi="宋体" w:eastAsia="宋体" w:cs="宋体"/>
                <w:bCs/>
                <w:sz w:val="24"/>
                <w:szCs w:val="24"/>
                <w:highlight w:val="none"/>
                <w:lang w:val="en-US" w:eastAsia="zh-CN"/>
              </w:rPr>
              <w:t>提供</w:t>
            </w:r>
            <w:r>
              <w:rPr>
                <w:rFonts w:hint="eastAsia" w:ascii="宋体" w:hAnsi="宋体" w:eastAsia="宋体" w:cs="宋体"/>
                <w:bCs/>
                <w:sz w:val="24"/>
                <w:szCs w:val="24"/>
                <w:highlight w:val="none"/>
              </w:rPr>
              <w:t>仲裁院调解中心所委托的日常工作</w:t>
            </w:r>
            <w:r>
              <w:rPr>
                <w:rFonts w:hint="eastAsia" w:ascii="宋体" w:hAnsi="宋体" w:eastAsia="宋体" w:cs="宋体"/>
                <w:bCs/>
                <w:sz w:val="24"/>
                <w:szCs w:val="24"/>
                <w:highlight w:val="none"/>
                <w:lang w:val="en-US" w:eastAsia="zh-CN"/>
              </w:rPr>
              <w:t>服务方案。</w:t>
            </w:r>
            <w:r>
              <w:rPr>
                <w:rFonts w:hint="eastAsia" w:ascii="宋体" w:hAnsi="宋体" w:eastAsia="宋体" w:cs="宋体"/>
                <w:bCs/>
                <w:sz w:val="24"/>
                <w:szCs w:val="24"/>
                <w:highlight w:val="none"/>
              </w:rPr>
              <w:t>包括岗位服务内容、操作程序，操作规程、有完整</w:t>
            </w:r>
            <w:r>
              <w:rPr>
                <w:rFonts w:hint="eastAsia" w:ascii="宋体" w:hAnsi="宋体" w:eastAsia="宋体" w:cs="宋体"/>
                <w:sz w:val="24"/>
                <w:szCs w:val="24"/>
                <w:highlight w:val="none"/>
              </w:rPr>
              <w:t>的信息反馈系统</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方案完整、合理性、可行性高</w:t>
            </w:r>
            <w:r>
              <w:rPr>
                <w:rFonts w:hint="eastAsia" w:ascii="宋体" w:hAnsi="宋体" w:eastAsia="宋体" w:cs="宋体"/>
                <w:color w:val="000000"/>
                <w:sz w:val="24"/>
                <w:szCs w:val="24"/>
                <w:highlight w:val="none"/>
                <w:u w:val="none" w:color="000000"/>
                <w:lang w:val="en-US" w:eastAsia="zh-CN"/>
              </w:rPr>
              <w:t>的得5分，方案</w:t>
            </w:r>
            <w:r>
              <w:rPr>
                <w:rFonts w:hint="eastAsia" w:hAnsi="宋体" w:cs="宋体"/>
                <w:color w:val="000000"/>
                <w:sz w:val="24"/>
                <w:szCs w:val="24"/>
                <w:highlight w:val="none"/>
                <w:u w:val="none" w:color="000000"/>
                <w:lang w:val="en-US" w:eastAsia="zh-CN"/>
              </w:rPr>
              <w:t>基本符合的得3分，方案部分符合的得1分。</w:t>
            </w:r>
            <w:r>
              <w:rPr>
                <w:rFonts w:hint="eastAsia" w:hAnsi="宋体" w:cs="宋体"/>
                <w:sz w:val="24"/>
                <w:highlight w:val="none"/>
                <w:lang w:eastAsia="zh-CN"/>
              </w:rPr>
              <w:t>其他不得分。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right"/>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重点难点分析</w:t>
            </w:r>
          </w:p>
        </w:tc>
        <w:tc>
          <w:tcPr>
            <w:tcW w:w="7085" w:type="dxa"/>
            <w:noWrap w:val="0"/>
            <w:vAlign w:val="center"/>
          </w:tcPr>
          <w:p>
            <w:pPr>
              <w:keepNext w:val="0"/>
              <w:keepLines w:val="0"/>
              <w:pageBreakBefore w:val="0"/>
              <w:widowControl/>
              <w:kinsoku/>
              <w:wordWrap/>
              <w:overflowPunct/>
              <w:topLinePunct w:val="0"/>
              <w:autoSpaceDE/>
              <w:autoSpaceDN/>
              <w:bidi w:val="0"/>
              <w:spacing w:beforeLines="0" w:afterLines="0" w:line="288" w:lineRule="auto"/>
              <w:jc w:val="left"/>
              <w:textAlignment w:val="auto"/>
              <w:rPr>
                <w:rFonts w:hint="eastAsia" w:ascii="宋体" w:hAnsi="宋体" w:eastAsia="宋体" w:cs="宋体"/>
                <w:bCs/>
                <w:sz w:val="24"/>
                <w:szCs w:val="24"/>
                <w:highlight w:val="none"/>
                <w:u w:val="none" w:color="000000"/>
              </w:rPr>
            </w:pPr>
            <w:bookmarkStart w:id="403" w:name="OLE_LINK10"/>
            <w:r>
              <w:rPr>
                <w:rFonts w:hint="eastAsia" w:ascii="宋体" w:hAnsi="宋体" w:cs="宋体"/>
                <w:color w:val="000000"/>
                <w:kern w:val="0"/>
                <w:sz w:val="24"/>
                <w:szCs w:val="24"/>
                <w:highlight w:val="none"/>
                <w:lang w:eastAsia="zh-CN" w:bidi="ar"/>
              </w:rPr>
              <w:t>投标人</w:t>
            </w:r>
            <w:r>
              <w:rPr>
                <w:rFonts w:hint="eastAsia" w:ascii="宋体" w:hAnsi="宋体" w:eastAsia="宋体" w:cs="宋体"/>
                <w:color w:val="000000"/>
                <w:kern w:val="0"/>
                <w:sz w:val="24"/>
                <w:szCs w:val="24"/>
                <w:highlight w:val="none"/>
                <w:lang w:bidi="ar"/>
              </w:rPr>
              <w:t>对</w:t>
            </w:r>
            <w:r>
              <w:rPr>
                <w:rFonts w:hint="eastAsia" w:ascii="宋体" w:hAnsi="宋体" w:eastAsia="宋体" w:cs="宋体"/>
                <w:sz w:val="24"/>
                <w:szCs w:val="24"/>
                <w:highlight w:val="none"/>
                <w:lang w:eastAsia="zh-CN"/>
              </w:rPr>
              <w:t>劳动关系纠纷调解</w:t>
            </w:r>
            <w:r>
              <w:rPr>
                <w:rFonts w:hint="eastAsia" w:ascii="宋体" w:hAnsi="宋体" w:eastAsia="宋体" w:cs="宋体"/>
                <w:sz w:val="24"/>
                <w:szCs w:val="24"/>
                <w:highlight w:val="none"/>
              </w:rPr>
              <w:t>服务</w:t>
            </w:r>
            <w:r>
              <w:rPr>
                <w:rFonts w:hint="eastAsia" w:ascii="宋体" w:hAnsi="宋体" w:eastAsia="宋体" w:cs="宋体"/>
                <w:bCs/>
                <w:kern w:val="0"/>
                <w:sz w:val="24"/>
                <w:szCs w:val="24"/>
                <w:highlight w:val="none"/>
              </w:rPr>
              <w:t>重点、难点分析</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lang w:val="en-US" w:eastAsia="zh-CN"/>
              </w:rPr>
              <w:t>分析全面、合理的得5分，分析</w:t>
            </w:r>
            <w:r>
              <w:rPr>
                <w:rFonts w:hint="eastAsia" w:ascii="宋体" w:hAnsi="宋体" w:cs="宋体"/>
                <w:bCs/>
                <w:kern w:val="0"/>
                <w:sz w:val="24"/>
                <w:szCs w:val="24"/>
                <w:highlight w:val="none"/>
                <w:lang w:val="en-US" w:eastAsia="zh-CN"/>
              </w:rPr>
              <w:t>基本符合的得3分，分析部分符合的得1分。</w:t>
            </w:r>
            <w:r>
              <w:rPr>
                <w:rFonts w:hint="eastAsia" w:hAnsi="宋体" w:cs="宋体"/>
                <w:sz w:val="24"/>
                <w:highlight w:val="none"/>
                <w:lang w:eastAsia="zh-CN"/>
              </w:rPr>
              <w:t>其他不得分。</w:t>
            </w:r>
            <w:bookmarkEnd w:id="403"/>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right"/>
              <w:textAlignment w:val="auto"/>
              <w:rPr>
                <w:rFonts w:hint="eastAsia" w:ascii="宋体" w:hAnsi="宋体" w:eastAsia="宋体" w:cs="宋体"/>
                <w:sz w:val="24"/>
                <w:szCs w:val="24"/>
                <w:highlight w:val="none"/>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restart"/>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、普法培训</w:t>
            </w:r>
            <w:r>
              <w:rPr>
                <w:rFonts w:hint="eastAsia" w:ascii="宋体" w:hAnsi="宋体" w:eastAsia="宋体" w:cs="宋体"/>
                <w:bCs/>
                <w:sz w:val="24"/>
                <w:szCs w:val="24"/>
                <w:highlight w:val="none"/>
                <w:lang w:val="en-US" w:eastAsia="zh-CN"/>
              </w:rPr>
              <w:t>服务方案和</w:t>
            </w:r>
            <w:r>
              <w:rPr>
                <w:rFonts w:hint="eastAsia" w:ascii="宋体" w:hAnsi="宋体" w:eastAsia="宋体" w:cs="宋体"/>
                <w:bCs/>
                <w:sz w:val="24"/>
                <w:szCs w:val="24"/>
                <w:highlight w:val="none"/>
              </w:rPr>
              <w:t>法律知识</w:t>
            </w:r>
            <w:r>
              <w:rPr>
                <w:rFonts w:hint="eastAsia" w:ascii="宋体" w:hAnsi="宋体" w:eastAsia="宋体" w:cs="宋体"/>
                <w:bCs/>
                <w:sz w:val="24"/>
                <w:szCs w:val="24"/>
                <w:highlight w:val="none"/>
                <w:lang w:val="en-US" w:eastAsia="zh-CN"/>
              </w:rPr>
              <w:t>专业授课服务</w:t>
            </w:r>
            <w:r>
              <w:rPr>
                <w:rFonts w:hint="eastAsia" w:ascii="宋体" w:hAnsi="宋体" w:eastAsia="宋体" w:cs="宋体"/>
                <w:bCs/>
                <w:sz w:val="24"/>
                <w:szCs w:val="24"/>
                <w:highlight w:val="none"/>
              </w:rPr>
              <w:t>方案</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普法培训服务方案</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提供内容</w:t>
            </w:r>
            <w:r>
              <w:rPr>
                <w:rFonts w:hint="eastAsia" w:ascii="宋体" w:hAnsi="宋体" w:eastAsia="宋体" w:cs="宋体"/>
                <w:bCs/>
                <w:sz w:val="24"/>
                <w:szCs w:val="24"/>
                <w:highlight w:val="none"/>
              </w:rPr>
              <w:t>合理、完整、逻辑清晰、具有较强可操作性的得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en-US" w:eastAsia="zh-CN"/>
              </w:rPr>
              <w:t>操作性一般的得3分，操作性差的得1分</w:t>
            </w:r>
            <w:r>
              <w:rPr>
                <w:rFonts w:hint="eastAsia" w:hAnsi="宋体" w:cs="宋体"/>
                <w:bCs/>
                <w:sz w:val="24"/>
                <w:szCs w:val="24"/>
                <w:highlight w:val="none"/>
                <w:lang w:val="en-US" w:eastAsia="zh-CN"/>
              </w:rPr>
              <w:t>。</w:t>
            </w:r>
            <w:r>
              <w:rPr>
                <w:rFonts w:hint="eastAsia" w:hAnsi="宋体" w:cs="宋体"/>
                <w:sz w:val="24"/>
                <w:highlight w:val="none"/>
                <w:lang w:eastAsia="zh-CN"/>
              </w:rPr>
              <w:t>其他不得分。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sz w:val="24"/>
                <w:szCs w:val="24"/>
                <w:highlight w:val="none"/>
              </w:rPr>
            </w:pP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rPr>
            </w:pPr>
            <w:bookmarkStart w:id="404" w:name="OLE_LINK11"/>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法律知识</w:t>
            </w:r>
            <w:r>
              <w:rPr>
                <w:rFonts w:hint="eastAsia" w:ascii="宋体" w:hAnsi="宋体" w:eastAsia="宋体" w:cs="宋体"/>
                <w:bCs/>
                <w:sz w:val="24"/>
                <w:szCs w:val="24"/>
                <w:highlight w:val="none"/>
                <w:lang w:val="en-US" w:eastAsia="zh-CN"/>
              </w:rPr>
              <w:t>专业授课服务</w:t>
            </w:r>
            <w:r>
              <w:rPr>
                <w:rFonts w:hint="eastAsia" w:ascii="宋体" w:hAnsi="宋体" w:eastAsia="宋体" w:cs="宋体"/>
                <w:bCs/>
                <w:sz w:val="24"/>
                <w:szCs w:val="24"/>
                <w:highlight w:val="none"/>
              </w:rPr>
              <w:t>方案</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提供内容与劳动纠纷是现实中较为常见的纠纷处理专业法律知识课题，提供内容专业性强，</w:t>
            </w:r>
            <w:r>
              <w:rPr>
                <w:rFonts w:hint="eastAsia" w:ascii="宋体" w:hAnsi="宋体" w:eastAsia="宋体" w:cs="宋体"/>
                <w:bCs/>
                <w:sz w:val="24"/>
                <w:szCs w:val="24"/>
                <w:highlight w:val="none"/>
              </w:rPr>
              <w:t>可操作性</w:t>
            </w:r>
            <w:r>
              <w:rPr>
                <w:rFonts w:hint="eastAsia" w:ascii="宋体" w:hAnsi="宋体" w:eastAsia="宋体" w:cs="宋体"/>
                <w:bCs/>
                <w:sz w:val="24"/>
                <w:szCs w:val="24"/>
                <w:highlight w:val="none"/>
                <w:lang w:val="en-US" w:eastAsia="zh-CN"/>
              </w:rPr>
              <w:t>好，具有</w:t>
            </w:r>
            <w:r>
              <w:rPr>
                <w:rFonts w:hint="eastAsia" w:ascii="宋体" w:hAnsi="宋体" w:eastAsia="宋体" w:cs="宋体"/>
                <w:color w:val="000000"/>
                <w:sz w:val="24"/>
                <w:szCs w:val="24"/>
                <w:highlight w:val="none"/>
                <w:u w:val="none" w:color="000000"/>
              </w:rPr>
              <w:t>特色</w:t>
            </w:r>
            <w:r>
              <w:rPr>
                <w:rFonts w:hint="eastAsia" w:ascii="宋体" w:hAnsi="宋体" w:eastAsia="宋体" w:cs="宋体"/>
                <w:color w:val="000000"/>
                <w:sz w:val="24"/>
                <w:szCs w:val="24"/>
                <w:highlight w:val="none"/>
                <w:u w:val="none" w:color="000000"/>
                <w:lang w:val="en-US" w:eastAsia="zh-CN"/>
              </w:rPr>
              <w:t>和</w:t>
            </w:r>
            <w:r>
              <w:rPr>
                <w:rFonts w:hint="eastAsia" w:ascii="宋体" w:hAnsi="宋体" w:eastAsia="宋体" w:cs="宋体"/>
                <w:color w:val="000000"/>
                <w:sz w:val="24"/>
                <w:szCs w:val="24"/>
                <w:highlight w:val="none"/>
                <w:u w:val="none" w:color="000000"/>
              </w:rPr>
              <w:t>亮点</w:t>
            </w:r>
            <w:r>
              <w:rPr>
                <w:rFonts w:hint="eastAsia" w:ascii="宋体" w:hAnsi="宋体" w:eastAsia="宋体" w:cs="宋体"/>
                <w:color w:val="000000"/>
                <w:sz w:val="24"/>
                <w:szCs w:val="24"/>
                <w:highlight w:val="none"/>
                <w:u w:val="none" w:color="000000"/>
                <w:lang w:val="en-US" w:eastAsia="zh-CN"/>
              </w:rPr>
              <w:t>的得5分，内容专业性一般，可操作性一般的得3分，内容体现不专业，</w:t>
            </w:r>
            <w:r>
              <w:rPr>
                <w:rFonts w:hint="eastAsia" w:ascii="宋体" w:hAnsi="宋体" w:eastAsia="宋体" w:cs="宋体"/>
                <w:bCs/>
                <w:sz w:val="24"/>
                <w:szCs w:val="24"/>
                <w:highlight w:val="none"/>
                <w:lang w:val="en-US" w:eastAsia="zh-CN"/>
              </w:rPr>
              <w:t>操作性差的得1分。</w:t>
            </w:r>
            <w:r>
              <w:rPr>
                <w:rFonts w:hint="eastAsia" w:hAnsi="宋体" w:cs="宋体"/>
                <w:sz w:val="24"/>
                <w:highlight w:val="none"/>
                <w:lang w:eastAsia="zh-CN"/>
              </w:rPr>
              <w:t>其他不得分。</w:t>
            </w:r>
            <w:bookmarkEnd w:id="404"/>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restart"/>
            <w:noWrap w:val="0"/>
            <w:vAlign w:val="center"/>
          </w:tcPr>
          <w:p>
            <w:pPr>
              <w:keepNext w:val="0"/>
              <w:keepLines w:val="0"/>
              <w:pageBreakBefore w:val="0"/>
              <w:kinsoku/>
              <w:wordWrap/>
              <w:overflowPunct/>
              <w:topLinePunct w:val="0"/>
              <w:autoSpaceDE/>
              <w:autoSpaceDN/>
              <w:bidi w:val="0"/>
              <w:spacing w:beforeLines="0" w:afterLines="0" w:line="288"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内部管理</w:t>
            </w:r>
          </w:p>
          <w:p>
            <w:pPr>
              <w:pStyle w:val="96"/>
              <w:spacing w:before="157" w:beforeLines="50"/>
              <w:ind w:firstLine="0" w:firstLineChars="0"/>
              <w:jc w:val="both"/>
              <w:rPr>
                <w:rFonts w:hint="eastAsia" w:ascii="宋体" w:hAnsi="宋体" w:eastAsia="宋体" w:cs="宋体"/>
                <w:b/>
                <w:bCs/>
                <w:kern w:val="2"/>
                <w:sz w:val="24"/>
                <w:szCs w:val="24"/>
                <w:lang w:val="en-US" w:eastAsia="zh-CN" w:bidi="ar-SA"/>
              </w:rPr>
            </w:pPr>
          </w:p>
        </w:tc>
        <w:tc>
          <w:tcPr>
            <w:tcW w:w="7085" w:type="dxa"/>
            <w:noWrap w:val="0"/>
            <w:vAlign w:val="center"/>
          </w:tcPr>
          <w:p>
            <w:pPr>
              <w:keepNext w:val="0"/>
              <w:keepLines w:val="0"/>
              <w:pageBreakBefore w:val="0"/>
              <w:kinsoku/>
              <w:wordWrap/>
              <w:overflowPunct/>
              <w:topLinePunct w:val="0"/>
              <w:autoSpaceDE/>
              <w:autoSpaceDN/>
              <w:bidi w:val="0"/>
              <w:spacing w:beforeLines="0" w:afterLines="0" w:line="288" w:lineRule="auto"/>
              <w:jc w:val="left"/>
              <w:textAlignment w:val="auto"/>
              <w:rPr>
                <w:rFonts w:hint="eastAsia" w:ascii="宋体" w:hAnsi="宋体" w:eastAsia="宋体" w:cs="宋体"/>
                <w:bCs w:val="0"/>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提供</w:t>
            </w:r>
            <w:r>
              <w:rPr>
                <w:rFonts w:hint="eastAsia" w:ascii="宋体" w:hAnsi="宋体" w:cs="宋体"/>
                <w:sz w:val="24"/>
                <w:szCs w:val="24"/>
                <w:highlight w:val="none"/>
                <w:lang w:eastAsia="zh-CN"/>
              </w:rPr>
              <w:t>针对本项目制作的</w:t>
            </w:r>
            <w:r>
              <w:rPr>
                <w:rFonts w:hint="eastAsia" w:ascii="宋体" w:hAnsi="宋体" w:eastAsia="宋体" w:cs="宋体"/>
                <w:sz w:val="24"/>
                <w:szCs w:val="24"/>
                <w:highlight w:val="none"/>
              </w:rPr>
              <w:t>内部管理制度，包括档案管理、安全管理、职业道德规范制度</w:t>
            </w:r>
            <w:r>
              <w:rPr>
                <w:rFonts w:hint="eastAsia" w:ascii="宋体" w:hAnsi="宋体" w:eastAsia="宋体" w:cs="宋体"/>
                <w:sz w:val="24"/>
                <w:szCs w:val="24"/>
                <w:highlight w:val="none"/>
                <w:lang w:eastAsia="zh-CN"/>
              </w:rPr>
              <w:t>，</w:t>
            </w:r>
            <w:r>
              <w:rPr>
                <w:rFonts w:hint="eastAsia" w:ascii="宋体" w:hAnsi="宋体" w:eastAsia="宋体" w:cs="宋体"/>
                <w:bCs w:val="0"/>
                <w:sz w:val="24"/>
                <w:szCs w:val="24"/>
                <w:highlight w:val="none"/>
                <w:lang w:val="en-US" w:eastAsia="zh-CN"/>
              </w:rPr>
              <w:t>制度</w:t>
            </w:r>
            <w:r>
              <w:rPr>
                <w:rFonts w:hint="eastAsia" w:ascii="宋体" w:hAnsi="宋体" w:eastAsia="宋体" w:cs="宋体"/>
                <w:sz w:val="24"/>
                <w:szCs w:val="24"/>
                <w:highlight w:val="none"/>
                <w:lang w:val="en-US" w:eastAsia="zh-CN"/>
              </w:rPr>
              <w:t>全面、合理</w:t>
            </w:r>
            <w:r>
              <w:rPr>
                <w:rFonts w:hint="eastAsia" w:ascii="宋体" w:hAnsi="宋体" w:eastAsia="宋体" w:cs="宋体"/>
                <w:color w:val="000000"/>
                <w:sz w:val="24"/>
                <w:szCs w:val="24"/>
                <w:highlight w:val="none"/>
                <w:u w:val="none" w:color="000000"/>
                <w:lang w:val="en-US" w:eastAsia="zh-CN"/>
              </w:rPr>
              <w:t>的得4分，</w:t>
            </w:r>
            <w:r>
              <w:rPr>
                <w:rFonts w:hint="eastAsia" w:ascii="宋体" w:hAnsi="宋体" w:cs="宋体"/>
                <w:color w:val="000000"/>
                <w:sz w:val="24"/>
                <w:szCs w:val="24"/>
                <w:highlight w:val="none"/>
                <w:u w:val="none" w:color="000000"/>
                <w:lang w:val="en-US" w:eastAsia="zh-CN"/>
              </w:rPr>
              <w:t>制度基本符合的</w:t>
            </w:r>
            <w:r>
              <w:rPr>
                <w:rFonts w:hint="eastAsia" w:ascii="宋体" w:hAnsi="宋体" w:eastAsia="宋体" w:cs="宋体"/>
                <w:color w:val="000000"/>
                <w:sz w:val="24"/>
                <w:szCs w:val="24"/>
                <w:highlight w:val="none"/>
                <w:u w:val="none" w:color="000000"/>
                <w:lang w:val="en-US" w:eastAsia="zh-CN"/>
              </w:rPr>
              <w:t>得2分，制度</w:t>
            </w:r>
            <w:r>
              <w:rPr>
                <w:rFonts w:hint="eastAsia" w:ascii="宋体" w:hAnsi="宋体" w:cs="宋体"/>
                <w:color w:val="000000"/>
                <w:sz w:val="24"/>
                <w:szCs w:val="24"/>
                <w:highlight w:val="none"/>
                <w:u w:val="none" w:color="000000"/>
                <w:lang w:val="en-US" w:eastAsia="zh-CN"/>
              </w:rPr>
              <w:t>部分符合的</w:t>
            </w:r>
            <w:r>
              <w:rPr>
                <w:rFonts w:hint="eastAsia" w:ascii="宋体" w:hAnsi="宋体" w:eastAsia="宋体" w:cs="宋体"/>
                <w:color w:val="000000"/>
                <w:sz w:val="24"/>
                <w:szCs w:val="24"/>
                <w:highlight w:val="none"/>
                <w:u w:val="none" w:color="000000"/>
                <w:lang w:val="en-US" w:eastAsia="zh-CN"/>
              </w:rPr>
              <w:t>得1分。</w:t>
            </w:r>
            <w:r>
              <w:rPr>
                <w:rFonts w:hint="eastAsia" w:hAnsi="宋体" w:cs="宋体"/>
                <w:sz w:val="24"/>
                <w:highlight w:val="none"/>
                <w:lang w:eastAsia="zh-CN"/>
              </w:rPr>
              <w:t>其他不得分。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keepNext w:val="0"/>
              <w:keepLines w:val="0"/>
              <w:pageBreakBefore w:val="0"/>
              <w:kinsoku/>
              <w:wordWrap/>
              <w:overflowPunct/>
              <w:topLinePunct w:val="0"/>
              <w:autoSpaceDE/>
              <w:autoSpaceDN/>
              <w:bidi w:val="0"/>
              <w:spacing w:beforeLines="0" w:afterLines="0" w:line="288" w:lineRule="auto"/>
              <w:jc w:val="center"/>
              <w:textAlignment w:val="auto"/>
              <w:rPr>
                <w:rFonts w:hint="eastAsia" w:ascii="宋体" w:hAnsi="宋体" w:eastAsia="宋体" w:cs="宋体"/>
                <w:bCs/>
                <w:sz w:val="24"/>
                <w:szCs w:val="24"/>
                <w:highlight w:val="none"/>
                <w:u w:val="none" w:color="000000"/>
              </w:rPr>
            </w:pPr>
          </w:p>
        </w:tc>
        <w:tc>
          <w:tcPr>
            <w:tcW w:w="7085" w:type="dxa"/>
            <w:noWrap w:val="0"/>
            <w:vAlign w:val="center"/>
          </w:tcPr>
          <w:p>
            <w:pPr>
              <w:keepNext w:val="0"/>
              <w:keepLines w:val="0"/>
              <w:pageBreakBefore w:val="0"/>
              <w:kinsoku/>
              <w:wordWrap/>
              <w:overflowPunct/>
              <w:topLinePunct w:val="0"/>
              <w:autoSpaceDE/>
              <w:autoSpaceDN/>
              <w:bidi w:val="0"/>
              <w:spacing w:beforeLines="0" w:afterLines="0" w:line="288" w:lineRule="auto"/>
              <w:jc w:val="left"/>
              <w:textAlignment w:val="auto"/>
              <w:rPr>
                <w:rFonts w:hint="eastAsia" w:ascii="宋体" w:hAnsi="宋体" w:eastAsia="宋体" w:cs="宋体"/>
                <w:bCs w:val="0"/>
                <w:sz w:val="24"/>
                <w:szCs w:val="24"/>
                <w:highlight w:val="none"/>
                <w:u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有专人负责对本项目进行</w:t>
            </w:r>
            <w:r>
              <w:rPr>
                <w:rFonts w:hint="eastAsia" w:ascii="宋体" w:hAnsi="宋体" w:eastAsia="宋体" w:cs="宋体"/>
                <w:sz w:val="24"/>
                <w:szCs w:val="24"/>
                <w:highlight w:val="none"/>
                <w:lang w:val="en-US" w:eastAsia="zh-CN"/>
              </w:rPr>
              <w:t>进度</w:t>
            </w:r>
            <w:r>
              <w:rPr>
                <w:rFonts w:hint="eastAsia" w:ascii="宋体" w:hAnsi="宋体" w:eastAsia="宋体" w:cs="宋体"/>
                <w:sz w:val="24"/>
                <w:szCs w:val="24"/>
                <w:highlight w:val="none"/>
              </w:rPr>
              <w:t>监管，</w:t>
            </w:r>
            <w:r>
              <w:rPr>
                <w:rFonts w:hint="eastAsia" w:ascii="宋体" w:hAnsi="宋体" w:eastAsia="宋体" w:cs="宋体"/>
                <w:bCs w:val="0"/>
                <w:spacing w:val="0"/>
                <w:sz w:val="24"/>
                <w:szCs w:val="24"/>
                <w:highlight w:val="none"/>
              </w:rPr>
              <w:t>对进度的跟踪及时到位，能够提供准确的进度控制</w:t>
            </w:r>
            <w:r>
              <w:rPr>
                <w:rFonts w:hint="eastAsia" w:ascii="宋体" w:hAnsi="宋体" w:eastAsia="宋体" w:cs="宋体"/>
                <w:bCs w:val="0"/>
                <w:spacing w:val="0"/>
                <w:sz w:val="24"/>
                <w:szCs w:val="24"/>
                <w:highlight w:val="none"/>
                <w:lang w:eastAsia="zh-CN"/>
              </w:rPr>
              <w:t>，</w:t>
            </w:r>
            <w:r>
              <w:rPr>
                <w:rFonts w:hint="eastAsia" w:ascii="宋体" w:hAnsi="宋体" w:eastAsia="宋体" w:cs="宋体"/>
                <w:bCs w:val="0"/>
                <w:spacing w:val="0"/>
                <w:sz w:val="24"/>
                <w:szCs w:val="24"/>
                <w:highlight w:val="none"/>
              </w:rPr>
              <w:t>建议</w:t>
            </w:r>
            <w:r>
              <w:rPr>
                <w:rFonts w:hint="eastAsia" w:ascii="宋体" w:hAnsi="宋体" w:eastAsia="宋体" w:cs="宋体"/>
                <w:bCs w:val="0"/>
                <w:spacing w:val="0"/>
                <w:sz w:val="24"/>
                <w:szCs w:val="24"/>
                <w:highlight w:val="none"/>
                <w:lang w:val="en-US" w:eastAsia="zh-CN"/>
              </w:rPr>
              <w:t>合理，</w:t>
            </w:r>
            <w:r>
              <w:rPr>
                <w:rFonts w:hint="eastAsia" w:ascii="宋体" w:hAnsi="宋体" w:eastAsia="宋体" w:cs="宋体"/>
                <w:bCs w:val="0"/>
                <w:sz w:val="24"/>
                <w:szCs w:val="24"/>
                <w:highlight w:val="none"/>
              </w:rPr>
              <w:t>具有较强可操作性的得</w:t>
            </w:r>
            <w:r>
              <w:rPr>
                <w:rFonts w:hint="eastAsia" w:ascii="宋体" w:hAnsi="宋体" w:eastAsia="宋体" w:cs="宋体"/>
                <w:bCs w:val="0"/>
                <w:sz w:val="24"/>
                <w:szCs w:val="24"/>
                <w:highlight w:val="none"/>
                <w:lang w:val="en-US" w:eastAsia="zh-CN"/>
              </w:rPr>
              <w:t>4</w:t>
            </w:r>
            <w:r>
              <w:rPr>
                <w:rFonts w:hint="eastAsia" w:ascii="宋体" w:hAnsi="宋体" w:eastAsia="宋体" w:cs="宋体"/>
                <w:bCs w:val="0"/>
                <w:sz w:val="24"/>
                <w:szCs w:val="24"/>
                <w:highlight w:val="none"/>
              </w:rPr>
              <w:t>分，</w:t>
            </w:r>
            <w:r>
              <w:rPr>
                <w:rFonts w:hint="eastAsia" w:ascii="宋体" w:hAnsi="宋体" w:eastAsia="宋体" w:cs="宋体"/>
                <w:bCs w:val="0"/>
                <w:sz w:val="24"/>
                <w:szCs w:val="24"/>
                <w:highlight w:val="none"/>
                <w:lang w:val="en-US" w:eastAsia="zh-CN"/>
              </w:rPr>
              <w:t>操作性一般的得2分，操作性差的得1分，</w:t>
            </w:r>
            <w:r>
              <w:rPr>
                <w:rFonts w:hint="eastAsia" w:ascii="宋体" w:hAnsi="宋体" w:eastAsia="宋体" w:cs="宋体"/>
                <w:bCs w:val="0"/>
                <w:sz w:val="24"/>
                <w:szCs w:val="24"/>
                <w:highlight w:val="none"/>
              </w:rPr>
              <w:t>未表述不得分。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1474" w:type="dxa"/>
            <w:vMerge w:val="continue"/>
            <w:noWrap w:val="0"/>
            <w:vAlign w:val="center"/>
          </w:tcPr>
          <w:p>
            <w:pPr>
              <w:keepNext w:val="0"/>
              <w:keepLines w:val="0"/>
              <w:pageBreakBefore w:val="0"/>
              <w:kinsoku/>
              <w:wordWrap/>
              <w:overflowPunct/>
              <w:topLinePunct w:val="0"/>
              <w:autoSpaceDE/>
              <w:autoSpaceDN/>
              <w:bidi w:val="0"/>
              <w:spacing w:beforeLines="0" w:afterLines="0" w:line="288" w:lineRule="auto"/>
              <w:jc w:val="center"/>
              <w:textAlignment w:val="auto"/>
              <w:rPr>
                <w:rFonts w:hint="eastAsia" w:ascii="宋体" w:hAnsi="宋体" w:eastAsia="宋体" w:cs="宋体"/>
                <w:bCs/>
                <w:sz w:val="24"/>
                <w:szCs w:val="24"/>
                <w:highlight w:val="none"/>
                <w:u w:val="none" w:color="000000"/>
              </w:rPr>
            </w:pPr>
          </w:p>
        </w:tc>
        <w:tc>
          <w:tcPr>
            <w:tcW w:w="7085" w:type="dxa"/>
            <w:noWrap w:val="0"/>
            <w:vAlign w:val="center"/>
          </w:tcPr>
          <w:p>
            <w:pPr>
              <w:keepNext w:val="0"/>
              <w:keepLines w:val="0"/>
              <w:pageBreakBefore w:val="0"/>
              <w:numPr>
                <w:ilvl w:val="0"/>
                <w:numId w:val="10"/>
              </w:numPr>
              <w:kinsoku/>
              <w:wordWrap/>
              <w:overflowPunct/>
              <w:topLinePunct w:val="0"/>
              <w:autoSpaceDE/>
              <w:autoSpaceDN/>
              <w:bidi w:val="0"/>
              <w:spacing w:beforeLines="0" w:afterLines="0" w:line="288" w:lineRule="auto"/>
              <w:jc w:val="left"/>
              <w:textAlignment w:val="auto"/>
              <w:rPr>
                <w:rFonts w:hint="eastAsia" w:ascii="宋体" w:hAnsi="宋体" w:eastAsia="宋体" w:cs="宋体"/>
                <w:sz w:val="24"/>
                <w:szCs w:val="24"/>
                <w:highlight w:val="none"/>
              </w:rPr>
            </w:pPr>
            <w:bookmarkStart w:id="405" w:name="OLE_LINK12"/>
            <w:r>
              <w:rPr>
                <w:rFonts w:hint="eastAsia" w:ascii="宋体" w:hAnsi="宋体" w:cs="宋体"/>
                <w:sz w:val="24"/>
                <w:szCs w:val="24"/>
                <w:highlight w:val="none"/>
                <w:lang w:val="en-US" w:eastAsia="zh-CN"/>
              </w:rPr>
              <w:t>投标人</w:t>
            </w:r>
            <w:r>
              <w:rPr>
                <w:rFonts w:hint="eastAsia" w:ascii="宋体" w:hAnsi="宋体" w:eastAsia="宋体" w:cs="宋体"/>
                <w:sz w:val="24"/>
                <w:highlight w:val="none"/>
              </w:rPr>
              <w:t>针对本项目的组织架构、管理机制：有完善的组织架构，清晰简练地列出主要管理流程，包括对运作流程图、激励机制、监督机制、自我约束机制</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处理机制</w:t>
            </w:r>
            <w:r>
              <w:rPr>
                <w:rFonts w:hint="eastAsia" w:ascii="宋体" w:hAnsi="宋体" w:eastAsia="宋体" w:cs="宋体"/>
                <w:sz w:val="24"/>
                <w:highlight w:val="none"/>
                <w:lang w:eastAsia="zh-CN"/>
              </w:rPr>
              <w:t>。</w:t>
            </w:r>
            <w:r>
              <w:rPr>
                <w:rFonts w:hint="eastAsia" w:ascii="宋体" w:hAnsi="宋体" w:cs="宋体"/>
                <w:sz w:val="24"/>
                <w:highlight w:val="none"/>
                <w:lang w:eastAsia="zh-CN"/>
              </w:rPr>
              <w:t>投标内容全面、可操作性好的得</w:t>
            </w:r>
            <w:r>
              <w:rPr>
                <w:rFonts w:hint="eastAsia" w:ascii="宋体" w:hAnsi="宋体" w:cs="宋体"/>
                <w:sz w:val="24"/>
                <w:highlight w:val="none"/>
                <w:lang w:val="en-US" w:eastAsia="zh-CN"/>
              </w:rPr>
              <w:t>5分，内容基本满足的得3分，部分满足的得1分。</w:t>
            </w:r>
            <w:r>
              <w:rPr>
                <w:rFonts w:hint="eastAsia" w:hAnsi="宋体" w:cs="宋体"/>
                <w:sz w:val="24"/>
                <w:highlight w:val="none"/>
                <w:lang w:eastAsia="zh-CN"/>
              </w:rPr>
              <w:t>其他不得分。</w:t>
            </w:r>
            <w:bookmarkEnd w:id="405"/>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pStyle w:val="96"/>
              <w:spacing w:before="157" w:beforeLines="50"/>
              <w:ind w:firstLine="0" w:firstLineChars="0"/>
              <w:jc w:val="both"/>
              <w:rPr>
                <w:rFonts w:hint="eastAsia" w:ascii="宋体" w:hAnsi="宋体" w:eastAsia="宋体" w:cs="宋体"/>
                <w:b/>
                <w:bCs/>
                <w:kern w:val="2"/>
                <w:sz w:val="24"/>
                <w:szCs w:val="24"/>
                <w:lang w:val="en-US" w:eastAsia="zh-CN" w:bidi="ar-SA"/>
              </w:rPr>
            </w:pPr>
          </w:p>
        </w:tc>
        <w:tc>
          <w:tcPr>
            <w:tcW w:w="7085" w:type="dxa"/>
            <w:noWrap w:val="0"/>
            <w:vAlign w:val="center"/>
          </w:tcPr>
          <w:p>
            <w:pPr>
              <w:spacing w:beforeLines="0" w:afterLines="0" w:line="288"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cs="宋体"/>
                <w:bCs w:val="0"/>
                <w:sz w:val="24"/>
                <w:szCs w:val="24"/>
                <w:highlight w:val="none"/>
                <w:lang w:val="en-US" w:eastAsia="zh-CN"/>
              </w:rPr>
              <w:t>投标人在拟投入</w:t>
            </w:r>
            <w:r>
              <w:rPr>
                <w:rFonts w:hint="eastAsia" w:ascii="宋体" w:hAnsi="宋体" w:eastAsia="宋体" w:cs="宋体"/>
                <w:sz w:val="24"/>
                <w:szCs w:val="24"/>
                <w:highlight w:val="none"/>
              </w:rPr>
              <w:t>人员稳定保障措施</w:t>
            </w:r>
            <w:r>
              <w:rPr>
                <w:rFonts w:hint="eastAsia" w:ascii="宋体" w:hAnsi="宋体" w:cs="宋体"/>
                <w:sz w:val="24"/>
                <w:szCs w:val="24"/>
                <w:highlight w:val="none"/>
                <w:lang w:eastAsia="zh-CN"/>
              </w:rPr>
              <w:t>内容合理、可行性好的得</w:t>
            </w:r>
            <w:r>
              <w:rPr>
                <w:rFonts w:hint="eastAsia" w:ascii="宋体" w:hAnsi="宋体" w:cs="宋体"/>
                <w:sz w:val="24"/>
                <w:szCs w:val="24"/>
                <w:highlight w:val="none"/>
                <w:lang w:val="en-US" w:eastAsia="zh-CN"/>
              </w:rPr>
              <w:t>4分，</w:t>
            </w:r>
            <w:r>
              <w:rPr>
                <w:rFonts w:hint="eastAsia" w:ascii="宋体" w:hAnsi="宋体" w:eastAsia="宋体" w:cs="宋体"/>
                <w:sz w:val="24"/>
                <w:szCs w:val="24"/>
                <w:highlight w:val="none"/>
              </w:rPr>
              <w:t>人员稳定保障措施</w:t>
            </w:r>
            <w:r>
              <w:rPr>
                <w:rFonts w:hint="eastAsia" w:ascii="宋体" w:hAnsi="宋体" w:cs="宋体"/>
                <w:sz w:val="24"/>
                <w:szCs w:val="24"/>
                <w:highlight w:val="none"/>
                <w:lang w:eastAsia="zh-CN"/>
              </w:rPr>
              <w:t>基本</w:t>
            </w:r>
            <w:r>
              <w:rPr>
                <w:rFonts w:hint="eastAsia" w:ascii="宋体" w:hAnsi="宋体" w:eastAsia="宋体" w:cs="宋体"/>
                <w:b w:val="0"/>
                <w:bCs w:val="0"/>
                <w:sz w:val="24"/>
                <w:szCs w:val="24"/>
                <w:highlight w:val="none"/>
              </w:rPr>
              <w:t>符合要求</w:t>
            </w:r>
            <w:r>
              <w:rPr>
                <w:rFonts w:hint="eastAsia" w:ascii="宋体" w:hAnsi="宋体" w:cs="宋体"/>
                <w:b w:val="0"/>
                <w:bCs w:val="0"/>
                <w:sz w:val="24"/>
                <w:szCs w:val="24"/>
                <w:highlight w:val="none"/>
                <w:lang w:eastAsia="zh-CN"/>
              </w:rPr>
              <w:t>的得</w:t>
            </w:r>
            <w:r>
              <w:rPr>
                <w:rFonts w:hint="eastAsia" w:ascii="宋体" w:hAnsi="宋体" w:cs="宋体"/>
                <w:b w:val="0"/>
                <w:bCs w:val="0"/>
                <w:sz w:val="24"/>
                <w:szCs w:val="24"/>
                <w:highlight w:val="none"/>
                <w:lang w:val="en-US" w:eastAsia="zh-CN"/>
              </w:rPr>
              <w:t>2分，</w:t>
            </w:r>
            <w:r>
              <w:rPr>
                <w:rFonts w:hint="eastAsia" w:ascii="宋体" w:hAnsi="宋体" w:eastAsia="宋体" w:cs="宋体"/>
                <w:sz w:val="24"/>
                <w:szCs w:val="24"/>
                <w:highlight w:val="none"/>
              </w:rPr>
              <w:t>人员稳定保障措施</w:t>
            </w:r>
            <w:r>
              <w:rPr>
                <w:rFonts w:hint="eastAsia" w:ascii="宋体" w:hAnsi="宋体" w:eastAsia="宋体" w:cs="宋体"/>
                <w:b w:val="0"/>
                <w:bCs w:val="0"/>
                <w:sz w:val="24"/>
                <w:szCs w:val="24"/>
                <w:highlight w:val="none"/>
              </w:rPr>
              <w:t>内容有所欠缺的得</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w:t>
            </w:r>
            <w:r>
              <w:rPr>
                <w:rFonts w:hint="eastAsia" w:hAnsi="宋体" w:cs="宋体"/>
                <w:sz w:val="24"/>
                <w:highlight w:val="none"/>
                <w:lang w:eastAsia="zh-CN"/>
              </w:rPr>
              <w:t>其他不得分。</w:t>
            </w:r>
          </w:p>
        </w:tc>
        <w:tc>
          <w:tcPr>
            <w:tcW w:w="944" w:type="dxa"/>
            <w:noWrap w:val="0"/>
            <w:vAlign w:val="center"/>
          </w:tcPr>
          <w:p>
            <w:pPr>
              <w:pStyle w:val="96"/>
              <w:spacing w:before="157" w:beforeLines="5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875" w:type="dxa"/>
            <w:noWrap w:val="0"/>
            <w:vAlign w:val="center"/>
          </w:tcPr>
          <w:p>
            <w:pPr>
              <w:pStyle w:val="96"/>
              <w:spacing w:before="157" w:beforeLines="50"/>
              <w:ind w:firstLine="0" w:firstLineChars="0"/>
              <w:jc w:val="center"/>
              <w:rPr>
                <w:rFonts w:hint="eastAsia" w:ascii="宋体" w:hAnsi="宋体" w:cs="宋体"/>
                <w:sz w:val="24"/>
                <w:szCs w:val="24"/>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6、资料保密措施</w:t>
            </w:r>
          </w:p>
        </w:tc>
        <w:tc>
          <w:tcPr>
            <w:tcW w:w="7085" w:type="dxa"/>
            <w:noWrap w:val="0"/>
            <w:vAlign w:val="center"/>
          </w:tcPr>
          <w:p>
            <w:pPr>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根据</w:t>
            </w:r>
            <w:r>
              <w:rPr>
                <w:rFonts w:hint="eastAsia" w:ascii="宋体" w:hAnsi="宋体" w:cs="宋体"/>
                <w:bCs w:val="0"/>
                <w:sz w:val="24"/>
                <w:szCs w:val="24"/>
                <w:highlight w:val="none"/>
                <w:lang w:val="en-US" w:eastAsia="zh-CN"/>
              </w:rPr>
              <w:t>投标人</w:t>
            </w:r>
            <w:r>
              <w:rPr>
                <w:rFonts w:hint="eastAsia" w:ascii="宋体" w:hAnsi="宋体" w:eastAsia="宋体" w:cs="宋体"/>
                <w:bCs w:val="0"/>
                <w:sz w:val="24"/>
                <w:szCs w:val="24"/>
                <w:highlight w:val="none"/>
                <w:lang w:val="en-US" w:eastAsia="zh-CN"/>
              </w:rPr>
              <w:t>保密</w:t>
            </w:r>
            <w:r>
              <w:rPr>
                <w:rFonts w:hint="eastAsia" w:ascii="宋体" w:hAnsi="宋体" w:cs="宋体"/>
                <w:bCs w:val="0"/>
                <w:sz w:val="24"/>
                <w:szCs w:val="24"/>
                <w:highlight w:val="none"/>
                <w:lang w:val="en-US" w:eastAsia="zh-CN"/>
              </w:rPr>
              <w:t>制度</w:t>
            </w:r>
            <w:r>
              <w:rPr>
                <w:rFonts w:hint="eastAsia" w:ascii="宋体" w:hAnsi="宋体" w:eastAsia="宋体" w:cs="宋体"/>
                <w:sz w:val="24"/>
                <w:highlight w:val="none"/>
                <w:lang w:val="en-US" w:eastAsia="zh-CN"/>
              </w:rPr>
              <w:t>保障</w:t>
            </w:r>
            <w:r>
              <w:rPr>
                <w:rFonts w:hint="eastAsia" w:ascii="宋体" w:hAnsi="宋体" w:eastAsia="宋体" w:cs="宋体"/>
                <w:bCs w:val="0"/>
                <w:sz w:val="24"/>
                <w:szCs w:val="24"/>
                <w:highlight w:val="none"/>
                <w:lang w:val="en-US" w:eastAsia="zh-CN"/>
              </w:rPr>
              <w:t>措施</w:t>
            </w:r>
            <w:r>
              <w:rPr>
                <w:rFonts w:hint="eastAsia" w:ascii="宋体" w:hAnsi="宋体" w:cs="宋体"/>
                <w:bCs w:val="0"/>
                <w:sz w:val="24"/>
                <w:szCs w:val="24"/>
                <w:highlight w:val="none"/>
                <w:lang w:val="en-US" w:eastAsia="zh-CN"/>
              </w:rPr>
              <w:t>的</w:t>
            </w:r>
            <w:r>
              <w:rPr>
                <w:rFonts w:hint="eastAsia" w:ascii="宋体" w:hAnsi="宋体" w:eastAsia="宋体" w:cs="宋体"/>
                <w:sz w:val="24"/>
                <w:szCs w:val="24"/>
                <w:highlight w:val="none"/>
                <w:lang w:val="en-US" w:eastAsia="zh-CN"/>
              </w:rPr>
              <w:t>内容</w:t>
            </w:r>
            <w:r>
              <w:rPr>
                <w:rFonts w:hint="eastAsia" w:ascii="宋体" w:hAnsi="宋体" w:eastAsia="宋体" w:cs="宋体"/>
                <w:sz w:val="24"/>
                <w:highlight w:val="none"/>
                <w:lang w:eastAsia="zh-CN"/>
              </w:rPr>
              <w:t>规范</w:t>
            </w:r>
            <w:r>
              <w:rPr>
                <w:rFonts w:hint="eastAsia" w:ascii="宋体" w:hAnsi="宋体" w:cs="宋体"/>
                <w:sz w:val="24"/>
                <w:highlight w:val="none"/>
                <w:lang w:eastAsia="zh-CN"/>
              </w:rPr>
              <w:t>性和可行性打分，内容规定可行的得</w:t>
            </w:r>
            <w:r>
              <w:rPr>
                <w:rFonts w:hint="eastAsia" w:ascii="宋体" w:hAnsi="宋体" w:cs="宋体"/>
                <w:sz w:val="24"/>
                <w:highlight w:val="none"/>
                <w:lang w:val="en-US" w:eastAsia="zh-CN"/>
              </w:rPr>
              <w:t>4分，内容部分规范可行的得2分，内容表述不完善、无规范要求的得1分。</w:t>
            </w:r>
            <w:r>
              <w:rPr>
                <w:rFonts w:hint="eastAsia" w:hAnsi="宋体" w:cs="宋体"/>
                <w:sz w:val="24"/>
                <w:highlight w:val="none"/>
                <w:lang w:eastAsia="zh-CN"/>
              </w:rPr>
              <w:t>其他不得分。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hAnsi="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、服务质量保障措施</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hAnsi="宋体" w:cs="宋体"/>
                <w:bCs/>
                <w:sz w:val="24"/>
                <w:szCs w:val="24"/>
                <w:highlight w:val="none"/>
                <w:lang w:val="en-US" w:eastAsia="zh-CN"/>
              </w:rPr>
            </w:pPr>
            <w:r>
              <w:rPr>
                <w:rFonts w:hint="eastAsia" w:ascii="宋体" w:hAnsi="宋体" w:eastAsia="宋体" w:cs="宋体"/>
                <w:bCs/>
                <w:sz w:val="24"/>
                <w:szCs w:val="24"/>
                <w:highlight w:val="none"/>
              </w:rPr>
              <w:t>根据</w:t>
            </w:r>
            <w:r>
              <w:rPr>
                <w:rFonts w:hint="eastAsia" w:ascii="宋体" w:hAnsi="宋体" w:eastAsia="宋体" w:cs="宋体"/>
                <w:sz w:val="24"/>
                <w:szCs w:val="24"/>
                <w:highlight w:val="none"/>
              </w:rPr>
              <w:t>投标人服务质量标准的承诺水平，监督督查措施的有效性，</w:t>
            </w:r>
            <w:r>
              <w:rPr>
                <w:rFonts w:hint="eastAsia" w:ascii="宋体" w:hAnsi="宋体" w:eastAsia="宋体" w:cs="宋体"/>
                <w:bCs/>
                <w:sz w:val="24"/>
                <w:szCs w:val="24"/>
                <w:highlight w:val="none"/>
                <w:lang w:eastAsia="zh-CN"/>
              </w:rPr>
              <w:t>服务</w:t>
            </w:r>
            <w:r>
              <w:rPr>
                <w:rFonts w:hint="eastAsia" w:ascii="宋体" w:hAnsi="宋体" w:eastAsia="宋体" w:cs="宋体"/>
                <w:bCs/>
                <w:sz w:val="24"/>
                <w:szCs w:val="24"/>
                <w:highlight w:val="none"/>
              </w:rPr>
              <w:t>过程中的安全保障措施、质量保证措施响应措施</w:t>
            </w:r>
            <w:r>
              <w:rPr>
                <w:rFonts w:hint="eastAsia" w:hAnsi="宋体" w:cs="宋体"/>
                <w:bCs/>
                <w:sz w:val="24"/>
                <w:szCs w:val="24"/>
                <w:highlight w:val="none"/>
                <w:lang w:val="en-US" w:eastAsia="zh-CN"/>
              </w:rPr>
              <w:t>进行打分。</w:t>
            </w:r>
          </w:p>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snapToGrid w:val="0"/>
                <w:sz w:val="24"/>
                <w:szCs w:val="24"/>
                <w:highlight w:val="none"/>
              </w:rPr>
            </w:pPr>
            <w:r>
              <w:rPr>
                <w:rFonts w:hint="eastAsia" w:ascii="宋体" w:hAnsi="宋体" w:eastAsia="宋体" w:cs="宋体"/>
                <w:bCs w:val="0"/>
                <w:snapToGrid/>
                <w:spacing w:val="0"/>
                <w:sz w:val="24"/>
                <w:szCs w:val="24"/>
                <w:highlight w:val="none"/>
                <w:lang w:val="en-US" w:eastAsia="zh-CN"/>
              </w:rPr>
              <w:t>服务质量保障措施方案</w:t>
            </w:r>
            <w:r>
              <w:rPr>
                <w:rFonts w:hint="eastAsia" w:ascii="宋体" w:hAnsi="宋体" w:eastAsia="宋体" w:cs="宋体"/>
                <w:bCs w:val="0"/>
                <w:snapToGrid/>
                <w:spacing w:val="0"/>
                <w:sz w:val="24"/>
                <w:szCs w:val="24"/>
                <w:highlight w:val="none"/>
                <w:lang w:eastAsia="zh-CN"/>
              </w:rPr>
              <w:t>具有针对性、利于项目实施得</w:t>
            </w:r>
            <w:r>
              <w:rPr>
                <w:rFonts w:hint="eastAsia" w:ascii="宋体" w:hAnsi="宋体" w:eastAsia="宋体" w:cs="宋体"/>
                <w:bCs w:val="0"/>
                <w:snapToGrid/>
                <w:spacing w:val="0"/>
                <w:sz w:val="24"/>
                <w:szCs w:val="24"/>
                <w:highlight w:val="none"/>
                <w:lang w:val="en-US" w:eastAsia="zh-CN"/>
              </w:rPr>
              <w:t>5</w:t>
            </w:r>
            <w:r>
              <w:rPr>
                <w:rFonts w:hint="eastAsia" w:ascii="宋体" w:hAnsi="宋体" w:eastAsia="宋体" w:cs="宋体"/>
                <w:bCs w:val="0"/>
                <w:snapToGrid/>
                <w:spacing w:val="0"/>
                <w:sz w:val="24"/>
                <w:szCs w:val="24"/>
                <w:highlight w:val="none"/>
                <w:lang w:eastAsia="zh-CN"/>
              </w:rPr>
              <w:t>分，</w:t>
            </w:r>
            <w:r>
              <w:rPr>
                <w:rFonts w:hint="eastAsia" w:hAnsi="宋体" w:cs="宋体"/>
                <w:bCs w:val="0"/>
                <w:snapToGrid/>
                <w:spacing w:val="0"/>
                <w:sz w:val="24"/>
                <w:szCs w:val="24"/>
                <w:highlight w:val="none"/>
                <w:lang w:eastAsia="zh-CN"/>
              </w:rPr>
              <w:t>措施基本满足的</w:t>
            </w:r>
            <w:r>
              <w:rPr>
                <w:rFonts w:hint="eastAsia" w:hAnsi="宋体" w:cs="宋体"/>
                <w:bCs w:val="0"/>
                <w:snapToGrid/>
                <w:spacing w:val="0"/>
                <w:sz w:val="24"/>
                <w:szCs w:val="24"/>
                <w:highlight w:val="none"/>
                <w:lang w:val="en-US" w:eastAsia="zh-CN"/>
              </w:rPr>
              <w:t>，措施</w:t>
            </w:r>
            <w:r>
              <w:rPr>
                <w:rFonts w:hint="eastAsia" w:ascii="宋体" w:hAnsi="宋体" w:eastAsia="宋体" w:cs="宋体"/>
                <w:bCs w:val="0"/>
                <w:snapToGrid/>
                <w:spacing w:val="0"/>
                <w:sz w:val="24"/>
                <w:szCs w:val="24"/>
                <w:highlight w:val="none"/>
                <w:lang w:eastAsia="zh-CN"/>
              </w:rPr>
              <w:t>针对性</w:t>
            </w:r>
            <w:r>
              <w:rPr>
                <w:rFonts w:hint="eastAsia" w:hAnsi="宋体" w:cs="宋体"/>
                <w:bCs w:val="0"/>
                <w:snapToGrid/>
                <w:spacing w:val="0"/>
                <w:sz w:val="24"/>
                <w:szCs w:val="24"/>
                <w:highlight w:val="none"/>
                <w:lang w:eastAsia="zh-CN"/>
              </w:rPr>
              <w:t>一般的得</w:t>
            </w:r>
            <w:r>
              <w:rPr>
                <w:rFonts w:hint="eastAsia" w:hAnsi="宋体" w:cs="宋体"/>
                <w:bCs w:val="0"/>
                <w:snapToGrid/>
                <w:spacing w:val="0"/>
                <w:sz w:val="24"/>
                <w:szCs w:val="24"/>
                <w:highlight w:val="none"/>
                <w:lang w:val="en-US" w:eastAsia="zh-CN"/>
              </w:rPr>
              <w:t>3分，措施针对性较差，部分满足项目的得1分。</w:t>
            </w:r>
            <w:r>
              <w:rPr>
                <w:rFonts w:hint="eastAsia" w:hAnsi="宋体" w:cs="宋体"/>
                <w:sz w:val="24"/>
                <w:highlight w:val="none"/>
                <w:lang w:eastAsia="zh-CN"/>
              </w:rPr>
              <w:t>其他不得分。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keepNext w:val="0"/>
              <w:keepLines w:val="0"/>
              <w:pageBreakBefore w:val="0"/>
              <w:shd w:val="clear" w:color="auto" w:fill="FFFFFF"/>
              <w:tabs>
                <w:tab w:val="left" w:pos="1260"/>
              </w:tabs>
              <w:kinsoku/>
              <w:wordWrap/>
              <w:overflowPunct/>
              <w:topLinePunct w:val="0"/>
              <w:autoSpaceDE/>
              <w:autoSpaceDN/>
              <w:bidi w:val="0"/>
              <w:spacing w:beforeLines="0" w:afterLines="0" w:line="288" w:lineRule="auto"/>
              <w:jc w:val="center"/>
              <w:textAlignment w:val="auto"/>
              <w:rPr>
                <w:rFonts w:hint="eastAsia" w:ascii="宋体" w:hAnsi="宋体" w:eastAsia="宋体" w:cs="宋体"/>
                <w:bCs/>
                <w:spacing w:val="-4"/>
                <w:sz w:val="24"/>
                <w:szCs w:val="24"/>
                <w:highlight w:val="none"/>
                <w:lang w:eastAsia="zh-CN"/>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w:t>
            </w:r>
            <w:r>
              <w:rPr>
                <w:rFonts w:hint="eastAsia" w:ascii="宋体" w:hAnsi="宋体" w:eastAsia="宋体" w:cs="宋体"/>
                <w:bCs/>
                <w:spacing w:val="-4"/>
                <w:sz w:val="24"/>
                <w:szCs w:val="24"/>
                <w:highlight w:val="none"/>
              </w:rPr>
              <w:t>服务</w:t>
            </w:r>
            <w:r>
              <w:rPr>
                <w:rFonts w:hint="eastAsia" w:ascii="宋体" w:hAnsi="宋体" w:cs="宋体"/>
                <w:bCs/>
                <w:spacing w:val="-4"/>
                <w:sz w:val="24"/>
                <w:szCs w:val="24"/>
                <w:highlight w:val="none"/>
                <w:lang w:eastAsia="zh-CN"/>
              </w:rPr>
              <w:t>能力</w:t>
            </w:r>
          </w:p>
        </w:tc>
        <w:tc>
          <w:tcPr>
            <w:tcW w:w="7085" w:type="dxa"/>
            <w:noWrap w:val="0"/>
            <w:vAlign w:val="center"/>
          </w:tcPr>
          <w:p>
            <w:pPr>
              <w:keepNext w:val="0"/>
              <w:keepLines w:val="0"/>
              <w:pageBreakBefore w:val="0"/>
              <w:shd w:val="clear" w:color="auto" w:fill="FFFFFF"/>
              <w:tabs>
                <w:tab w:val="left" w:pos="1260"/>
              </w:tabs>
              <w:kinsoku/>
              <w:wordWrap/>
              <w:overflowPunct/>
              <w:topLinePunct w:val="0"/>
              <w:autoSpaceDE/>
              <w:autoSpaceDN/>
              <w:bidi w:val="0"/>
              <w:spacing w:beforeLines="0" w:afterLines="0" w:line="288" w:lineRule="auto"/>
              <w:jc w:val="left"/>
              <w:textAlignment w:val="auto"/>
              <w:rPr>
                <w:rFonts w:hint="eastAsia" w:ascii="宋体" w:hAnsi="宋体" w:eastAsia="宋体" w:cs="宋体"/>
                <w:bCs/>
                <w:spacing w:val="-4"/>
                <w:sz w:val="24"/>
                <w:szCs w:val="24"/>
                <w:highlight w:val="none"/>
              </w:rPr>
            </w:pPr>
            <w:r>
              <w:rPr>
                <w:rFonts w:hint="eastAsia" w:ascii="宋体" w:hAnsi="宋体" w:eastAsia="宋体" w:cs="宋体"/>
                <w:sz w:val="24"/>
                <w:szCs w:val="24"/>
                <w:highlight w:val="none"/>
              </w:rPr>
              <w:t>投标人具有较</w:t>
            </w:r>
            <w:r>
              <w:rPr>
                <w:rFonts w:hint="eastAsia" w:ascii="宋体" w:hAnsi="宋体" w:cs="宋体"/>
                <w:sz w:val="24"/>
                <w:szCs w:val="24"/>
                <w:highlight w:val="none"/>
                <w:lang w:eastAsia="zh-CN"/>
              </w:rPr>
              <w:t>好的</w:t>
            </w:r>
            <w:r>
              <w:rPr>
                <w:rFonts w:hint="eastAsia" w:ascii="宋体" w:hAnsi="宋体" w:eastAsia="宋体" w:cs="宋体"/>
                <w:sz w:val="24"/>
                <w:szCs w:val="24"/>
                <w:highlight w:val="none"/>
              </w:rPr>
              <w:t>服务能力，拥有专业技术队伍，</w:t>
            </w:r>
            <w:r>
              <w:rPr>
                <w:rFonts w:hint="eastAsia" w:ascii="宋体" w:hAnsi="宋体" w:cs="宋体"/>
                <w:sz w:val="24"/>
                <w:szCs w:val="24"/>
                <w:highlight w:val="none"/>
                <w:lang w:eastAsia="zh-CN"/>
              </w:rPr>
              <w:t>具有拟派入本项目服务人员团队班子，并承诺中标后可根据项目要求提供专业技术服务团队的得</w:t>
            </w:r>
            <w:r>
              <w:rPr>
                <w:rFonts w:hint="eastAsia" w:ascii="宋体" w:hAnsi="宋体" w:cs="宋体"/>
                <w:sz w:val="24"/>
                <w:szCs w:val="24"/>
                <w:highlight w:val="none"/>
                <w:lang w:val="en-US" w:eastAsia="zh-CN"/>
              </w:rPr>
              <w:t>3分。提供承诺书加盖公章，否则不得分。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、应急预案</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lang w:eastAsia="zh-CN"/>
              </w:rPr>
            </w:pPr>
            <w:r>
              <w:rPr>
                <w:rFonts w:hint="eastAsia" w:ascii="宋体" w:hAnsi="宋体" w:eastAsia="宋体" w:cs="宋体"/>
                <w:sz w:val="24"/>
                <w:highlight w:val="none"/>
              </w:rPr>
              <w:t>根据对应急事件、调配人数与处理方案针对性提出解决措施：解决措施全面、合理的，具有针对性得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hAnsi="宋体" w:cs="宋体"/>
                <w:sz w:val="24"/>
                <w:highlight w:val="none"/>
                <w:lang w:eastAsia="zh-CN"/>
              </w:rPr>
              <w:t>，</w:t>
            </w:r>
            <w:r>
              <w:rPr>
                <w:rFonts w:hint="eastAsia" w:ascii="宋体" w:hAnsi="宋体" w:eastAsia="宋体" w:cs="宋体"/>
                <w:sz w:val="24"/>
                <w:highlight w:val="none"/>
              </w:rPr>
              <w:t>解决措施针对性较弱得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hAnsi="宋体" w:cs="宋体"/>
                <w:sz w:val="24"/>
                <w:highlight w:val="none"/>
                <w:lang w:eastAsia="zh-CN"/>
              </w:rPr>
              <w:t>，</w:t>
            </w:r>
            <w:r>
              <w:rPr>
                <w:rFonts w:hint="eastAsia" w:ascii="宋体" w:hAnsi="宋体" w:eastAsia="宋体" w:cs="宋体"/>
                <w:sz w:val="24"/>
                <w:highlight w:val="none"/>
              </w:rPr>
              <w:t>解决措施描述较为简单</w:t>
            </w:r>
            <w:r>
              <w:rPr>
                <w:rFonts w:hint="eastAsia" w:hAnsi="宋体" w:cs="宋体"/>
                <w:sz w:val="24"/>
                <w:highlight w:val="none"/>
                <w:lang w:eastAsia="zh-CN"/>
              </w:rPr>
              <w:t>无重点的</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hAnsi="宋体" w:cs="宋体"/>
                <w:sz w:val="24"/>
                <w:highlight w:val="none"/>
                <w:lang w:eastAsia="zh-CN"/>
              </w:rPr>
              <w:t>其他不得分。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sz w:val="24"/>
                <w:szCs w:val="24"/>
                <w:highlight w:val="none"/>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keepNext w:val="0"/>
              <w:keepLines w:val="0"/>
              <w:pageBreakBefore w:val="0"/>
              <w:widowControl/>
              <w:kinsoku/>
              <w:wordWrap/>
              <w:overflowPunct/>
              <w:topLinePunct w:val="0"/>
              <w:autoSpaceDE/>
              <w:autoSpaceDN/>
              <w:bidi w:val="0"/>
              <w:spacing w:beforeLines="0" w:afterLines="0" w:line="288" w:lineRule="auto"/>
              <w:jc w:val="center"/>
              <w:textAlignment w:val="auto"/>
              <w:rPr>
                <w:rFonts w:hint="eastAsia" w:ascii="宋体" w:hAnsi="宋体" w:eastAsia="宋体" w:cs="宋体"/>
                <w:bCs/>
                <w:sz w:val="24"/>
                <w:szCs w:val="24"/>
                <w:highlight w:val="none"/>
                <w:u w:val="none" w:color="000000"/>
                <w:lang w:eastAsia="zh-CN"/>
              </w:rPr>
            </w:pPr>
            <w:r>
              <w:rPr>
                <w:rFonts w:hint="eastAsia" w:ascii="宋体" w:hAnsi="宋体" w:eastAsia="宋体" w:cs="宋体"/>
                <w:kern w:val="0"/>
                <w:sz w:val="24"/>
                <w:szCs w:val="24"/>
                <w:highlight w:val="none"/>
                <w:lang w:val="en-US" w:eastAsia="zh-CN"/>
              </w:rPr>
              <w:t>10、</w:t>
            </w:r>
            <w:r>
              <w:rPr>
                <w:rFonts w:hint="eastAsia" w:ascii="宋体" w:hAnsi="宋体" w:eastAsia="宋体" w:cs="宋体"/>
                <w:bCs/>
                <w:sz w:val="24"/>
                <w:szCs w:val="24"/>
                <w:highlight w:val="none"/>
                <w:u w:val="none" w:color="000000"/>
                <w:lang w:val="en-US" w:eastAsia="zh-CN"/>
              </w:rPr>
              <w:t>风险防控建议</w:t>
            </w:r>
          </w:p>
        </w:tc>
        <w:tc>
          <w:tcPr>
            <w:tcW w:w="7085" w:type="dxa"/>
            <w:noWrap w:val="0"/>
            <w:vAlign w:val="center"/>
          </w:tcPr>
          <w:p>
            <w:pPr>
              <w:pStyle w:val="25"/>
              <w:keepNext w:val="0"/>
              <w:keepLines w:val="0"/>
              <w:pageBreakBefore w:val="0"/>
              <w:kinsoku/>
              <w:wordWrap/>
              <w:overflowPunct/>
              <w:topLinePunct w:val="0"/>
              <w:autoSpaceDE/>
              <w:autoSpaceDN/>
              <w:bidi w:val="0"/>
              <w:snapToGrid w:val="0"/>
              <w:spacing w:beforeLines="0" w:afterLines="0" w:line="288" w:lineRule="auto"/>
              <w:ind w:left="0" w:leftChars="0" w:firstLine="0" w:firstLineChars="0"/>
              <w:jc w:val="left"/>
              <w:textAlignment w:val="auto"/>
              <w:rPr>
                <w:rFonts w:hint="eastAsia" w:ascii="宋体" w:hAnsi="宋体" w:eastAsia="宋体" w:cs="宋体"/>
                <w:bCs/>
                <w:sz w:val="24"/>
                <w:szCs w:val="24"/>
                <w:highlight w:val="none"/>
                <w:u w:val="none" w:color="000000"/>
                <w:lang w:val="en-US" w:eastAsia="zh-CN"/>
              </w:rPr>
            </w:pPr>
            <w:r>
              <w:rPr>
                <w:rFonts w:hint="eastAsia" w:ascii="宋体" w:hAnsi="宋体" w:eastAsia="宋体" w:cs="宋体"/>
                <w:sz w:val="24"/>
                <w:szCs w:val="24"/>
                <w:highlight w:val="none"/>
              </w:rPr>
              <w:t>投标人</w:t>
            </w:r>
            <w:r>
              <w:rPr>
                <w:rFonts w:hint="eastAsia" w:cs="宋体"/>
                <w:sz w:val="24"/>
                <w:szCs w:val="24"/>
                <w:highlight w:val="none"/>
                <w:lang w:eastAsia="zh-CN"/>
              </w:rPr>
              <w:t>针对劳动纠纷</w:t>
            </w:r>
            <w:r>
              <w:rPr>
                <w:rFonts w:hint="eastAsia" w:ascii="宋体" w:hAnsi="宋体" w:eastAsia="宋体" w:cs="宋体"/>
                <w:bCs/>
                <w:sz w:val="24"/>
                <w:szCs w:val="24"/>
                <w:highlight w:val="none"/>
                <w:u w:val="none" w:color="000000"/>
                <w:lang w:val="en-US" w:eastAsia="zh-CN"/>
              </w:rPr>
              <w:t>相关风险防控建议，</w:t>
            </w:r>
            <w:r>
              <w:rPr>
                <w:rFonts w:hint="eastAsia" w:cs="宋体"/>
                <w:bCs/>
                <w:sz w:val="24"/>
                <w:szCs w:val="24"/>
                <w:highlight w:val="none"/>
                <w:u w:val="none" w:color="000000"/>
                <w:lang w:val="en-US" w:eastAsia="zh-CN"/>
              </w:rPr>
              <w:t>内容</w:t>
            </w:r>
            <w:r>
              <w:rPr>
                <w:rFonts w:hint="eastAsia" w:ascii="宋体" w:hAnsi="宋体" w:eastAsia="宋体" w:cs="宋体"/>
                <w:sz w:val="24"/>
                <w:highlight w:val="none"/>
              </w:rPr>
              <w:t>全面、合理</w:t>
            </w:r>
            <w:r>
              <w:rPr>
                <w:rFonts w:hint="eastAsia" w:cs="宋体"/>
                <w:sz w:val="24"/>
                <w:highlight w:val="none"/>
                <w:lang w:eastAsia="zh-CN"/>
              </w:rPr>
              <w:t>并</w:t>
            </w:r>
            <w:r>
              <w:rPr>
                <w:rFonts w:hint="eastAsia" w:ascii="宋体" w:hAnsi="宋体" w:eastAsia="宋体" w:cs="宋体"/>
                <w:sz w:val="24"/>
                <w:highlight w:val="none"/>
              </w:rPr>
              <w:t>具有针对性得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cs="宋体"/>
                <w:sz w:val="24"/>
                <w:highlight w:val="none"/>
                <w:lang w:eastAsia="zh-CN"/>
              </w:rPr>
              <w:t>，内容基本全面</w:t>
            </w:r>
            <w:r>
              <w:rPr>
                <w:rFonts w:hint="eastAsia" w:ascii="宋体" w:hAnsi="宋体" w:eastAsia="宋体" w:cs="宋体"/>
                <w:sz w:val="24"/>
                <w:highlight w:val="none"/>
              </w:rPr>
              <w:t>、合理</w:t>
            </w:r>
            <w:r>
              <w:rPr>
                <w:rFonts w:hint="eastAsia" w:cs="宋体"/>
                <w:sz w:val="24"/>
                <w:highlight w:val="none"/>
                <w:lang w:eastAsia="zh-CN"/>
              </w:rPr>
              <w:t>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cs="宋体"/>
                <w:sz w:val="24"/>
                <w:highlight w:val="none"/>
                <w:lang w:eastAsia="zh-CN"/>
              </w:rPr>
              <w:t>，内容部分符合的得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u w:val="none" w:color="000000"/>
              </w:rPr>
            </w:pPr>
            <w:r>
              <w:rPr>
                <w:rFonts w:hint="eastAsia" w:ascii="宋体" w:hAnsi="宋体" w:eastAsia="宋体" w:cs="宋体"/>
                <w:sz w:val="24"/>
                <w:szCs w:val="24"/>
                <w:highlight w:val="none"/>
                <w:lang w:val="en-US" w:eastAsia="zh-CN"/>
              </w:rPr>
              <w:t>5分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restart"/>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、拟派人员技术力量</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（1）拟指派本项目人员具有下列资格之一：</w:t>
            </w:r>
          </w:p>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lang w:val="en-US" w:eastAsia="zh-CN"/>
              </w:rPr>
            </w:pPr>
            <w:r>
              <w:rPr>
                <w:rFonts w:hint="eastAsia" w:hAnsi="宋体" w:cs="宋体"/>
                <w:bCs/>
                <w:sz w:val="24"/>
                <w:szCs w:val="24"/>
                <w:highlight w:val="none"/>
                <w:lang w:val="en-US" w:eastAsia="zh-CN"/>
              </w:rPr>
              <w:t>仲裁员证</w:t>
            </w:r>
            <w:r>
              <w:rPr>
                <w:rFonts w:hint="eastAsia" w:ascii="宋体" w:hAnsi="宋体" w:eastAsia="宋体" w:cs="宋体"/>
                <w:bCs/>
                <w:sz w:val="24"/>
                <w:szCs w:val="24"/>
                <w:highlight w:val="none"/>
                <w:lang w:val="en-US" w:eastAsia="zh-CN"/>
              </w:rPr>
              <w:t>、</w:t>
            </w:r>
            <w:r>
              <w:rPr>
                <w:rFonts w:hint="eastAsia" w:hAnsi="宋体" w:cs="宋体"/>
                <w:bCs/>
                <w:sz w:val="24"/>
                <w:szCs w:val="24"/>
                <w:highlight w:val="none"/>
                <w:lang w:val="en-US" w:eastAsia="zh-CN"/>
              </w:rPr>
              <w:t>律师证、</w:t>
            </w:r>
            <w:r>
              <w:rPr>
                <w:rFonts w:hint="eastAsia" w:ascii="宋体" w:hAnsi="宋体" w:eastAsia="宋体" w:cs="宋体"/>
                <w:bCs/>
                <w:sz w:val="24"/>
                <w:szCs w:val="24"/>
                <w:highlight w:val="none"/>
                <w:lang w:val="en-US" w:eastAsia="zh-CN"/>
              </w:rPr>
              <w:t>一级企业人力资源管理师、高级企业法律顾问，每人得2分，最高得8分。</w:t>
            </w:r>
          </w:p>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（提供人员资格证书扫描件或复印件并加盖公章，未提供不得分。）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8分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hAnsi="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rPr>
            </w:pPr>
          </w:p>
        </w:tc>
        <w:tc>
          <w:tcPr>
            <w:tcW w:w="7085" w:type="dxa"/>
            <w:noWrap w:val="0"/>
            <w:vAlign w:val="center"/>
          </w:tcPr>
          <w:p>
            <w:pPr>
              <w:pStyle w:val="37"/>
              <w:keepNext w:val="0"/>
              <w:keepLines w:val="0"/>
              <w:pageBreakBefore w:val="0"/>
              <w:numPr>
                <w:ilvl w:val="0"/>
                <w:numId w:val="0"/>
              </w:numPr>
              <w:kinsoku/>
              <w:wordWrap/>
              <w:overflowPunct/>
              <w:topLinePunct w:val="0"/>
              <w:autoSpaceDE/>
              <w:autoSpaceDN/>
              <w:bidi w:val="0"/>
              <w:snapToGrid w:val="0"/>
              <w:spacing w:beforeLines="0" w:afterLines="0" w:line="288"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（2）拟指派完成本项目人员自 20</w:t>
            </w:r>
            <w:r>
              <w:rPr>
                <w:rFonts w:hint="eastAsia" w:hAnsi="宋体" w:cs="宋体"/>
                <w:bCs/>
                <w:sz w:val="24"/>
                <w:szCs w:val="24"/>
                <w:highlight w:val="none"/>
                <w:lang w:val="en-US" w:eastAsia="zh-CN"/>
              </w:rPr>
              <w:t>22</w:t>
            </w:r>
            <w:r>
              <w:rPr>
                <w:rFonts w:hint="eastAsia" w:ascii="宋体" w:hAnsi="宋体" w:eastAsia="宋体" w:cs="宋体"/>
                <w:bCs/>
                <w:sz w:val="24"/>
                <w:szCs w:val="24"/>
                <w:highlight w:val="none"/>
                <w:lang w:val="en-US" w:eastAsia="zh-CN"/>
              </w:rPr>
              <w:t>年1月1日至今</w:t>
            </w:r>
            <w:r>
              <w:rPr>
                <w:rFonts w:hint="eastAsia" w:hAnsi="宋体" w:cs="宋体"/>
                <w:bCs/>
                <w:sz w:val="24"/>
                <w:szCs w:val="24"/>
                <w:highlight w:val="none"/>
                <w:lang w:val="en-US" w:eastAsia="zh-CN"/>
              </w:rPr>
              <w:t>（以合同签订时间或相关材料落款时间为证明）</w:t>
            </w:r>
            <w:r>
              <w:rPr>
                <w:rFonts w:hint="eastAsia" w:ascii="宋体" w:hAnsi="宋体" w:eastAsia="宋体" w:cs="宋体"/>
                <w:bCs/>
                <w:sz w:val="24"/>
                <w:szCs w:val="24"/>
                <w:highlight w:val="none"/>
                <w:lang w:val="en-US" w:eastAsia="zh-CN"/>
              </w:rPr>
              <w:t>，具有劳动法律纠纷化解服务经验的，每提供1个服务合同</w:t>
            </w:r>
            <w:r>
              <w:rPr>
                <w:rFonts w:hint="eastAsia" w:hAnsi="宋体" w:cs="宋体"/>
                <w:bCs/>
                <w:sz w:val="24"/>
                <w:szCs w:val="24"/>
                <w:highlight w:val="none"/>
                <w:lang w:val="en-US" w:eastAsia="zh-CN"/>
              </w:rPr>
              <w:t>或其他证明材料的</w:t>
            </w:r>
            <w:r>
              <w:rPr>
                <w:rFonts w:hint="eastAsia" w:ascii="宋体" w:hAnsi="宋体" w:eastAsia="宋体" w:cs="宋体"/>
                <w:bCs/>
                <w:sz w:val="24"/>
                <w:szCs w:val="24"/>
                <w:highlight w:val="none"/>
                <w:lang w:val="en-US" w:eastAsia="zh-CN"/>
              </w:rPr>
              <w:t>得2分，最高得4分。</w:t>
            </w:r>
          </w:p>
          <w:p>
            <w:pPr>
              <w:keepNext w:val="0"/>
              <w:keepLines w:val="0"/>
              <w:pageBreakBefore w:val="0"/>
              <w:kinsoku/>
              <w:wordWrap/>
              <w:overflowPunct/>
              <w:topLinePunct w:val="0"/>
              <w:autoSpaceDE/>
              <w:autoSpaceDN/>
              <w:bidi w:val="0"/>
              <w:spacing w:beforeLines="0" w:afterLines="0" w:line="288"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（提供指派人员合同扫描件或</w:t>
            </w:r>
            <w:r>
              <w:rPr>
                <w:rFonts w:hint="eastAsia" w:hAnsi="宋体" w:cs="宋体"/>
                <w:b/>
                <w:bCs w:val="0"/>
                <w:sz w:val="24"/>
                <w:szCs w:val="24"/>
                <w:highlight w:val="none"/>
                <w:lang w:val="en-US" w:eastAsia="zh-CN"/>
              </w:rPr>
              <w:t>或其他证明材料</w:t>
            </w:r>
            <w:r>
              <w:rPr>
                <w:rFonts w:hint="eastAsia" w:ascii="宋体" w:hAnsi="宋体" w:eastAsia="宋体" w:cs="宋体"/>
                <w:b/>
                <w:bCs w:val="0"/>
                <w:sz w:val="24"/>
                <w:szCs w:val="24"/>
                <w:highlight w:val="none"/>
                <w:lang w:val="en-US" w:eastAsia="zh-CN"/>
              </w:rPr>
              <w:t>复印件加盖公章，未提供不得分。）</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hAnsi="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vMerge w:val="continue"/>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eastAsia" w:ascii="宋体" w:hAnsi="宋体" w:eastAsia="宋体" w:cs="宋体"/>
                <w:bCs/>
                <w:sz w:val="24"/>
                <w:szCs w:val="24"/>
                <w:highlight w:val="none"/>
              </w:rPr>
            </w:pP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eastAsia" w:ascii="宋体" w:hAnsi="宋体" w:eastAsia="宋体" w:cs="宋体"/>
                <w:bCs/>
                <w:sz w:val="24"/>
                <w:szCs w:val="24"/>
                <w:highlight w:val="none"/>
                <w:lang w:val="en-US" w:eastAsia="zh-CN"/>
              </w:rPr>
            </w:pPr>
            <w:bookmarkStart w:id="406" w:name="OLE_LINK13"/>
            <w:r>
              <w:rPr>
                <w:rFonts w:hint="eastAsia" w:ascii="宋体" w:hAnsi="宋体" w:eastAsia="宋体" w:cs="宋体"/>
                <w:b w:val="0"/>
                <w:bCs/>
                <w:sz w:val="24"/>
                <w:szCs w:val="24"/>
                <w:highlight w:val="none"/>
                <w:lang w:val="en-US" w:eastAsia="zh-CN"/>
              </w:rPr>
              <w:t>（3）投标人须提供项目启动后能够10天内立即派驻</w:t>
            </w:r>
            <w:r>
              <w:rPr>
                <w:rFonts w:hint="eastAsia" w:hAnsi="宋体" w:cs="宋体"/>
                <w:b w:val="0"/>
                <w:bCs/>
                <w:sz w:val="24"/>
                <w:szCs w:val="24"/>
                <w:highlight w:val="none"/>
                <w:lang w:val="en-US" w:eastAsia="zh-CN"/>
              </w:rPr>
              <w:t>采购人指定地点</w:t>
            </w:r>
            <w:r>
              <w:rPr>
                <w:rFonts w:hint="eastAsia" w:ascii="宋体" w:hAnsi="宋体" w:eastAsia="宋体" w:cs="宋体"/>
                <w:b w:val="0"/>
                <w:bCs/>
                <w:sz w:val="24"/>
                <w:szCs w:val="24"/>
                <w:highlight w:val="none"/>
                <w:lang w:val="en-US" w:eastAsia="zh-CN"/>
              </w:rPr>
              <w:t>不少于</w:t>
            </w:r>
            <w:r>
              <w:rPr>
                <w:rFonts w:hint="eastAsia" w:hAnsi="宋体" w:cs="宋体"/>
                <w:b w:val="0"/>
                <w:bCs/>
                <w:sz w:val="24"/>
                <w:szCs w:val="24"/>
                <w:highlight w:val="none"/>
                <w:lang w:val="en-US" w:eastAsia="zh-CN"/>
              </w:rPr>
              <w:t>11</w:t>
            </w:r>
            <w:r>
              <w:rPr>
                <w:rFonts w:hint="eastAsia" w:ascii="宋体" w:hAnsi="宋体" w:eastAsia="宋体" w:cs="宋体"/>
                <w:b w:val="0"/>
                <w:bCs/>
                <w:sz w:val="24"/>
                <w:szCs w:val="24"/>
                <w:highlight w:val="none"/>
                <w:lang w:val="en-US" w:eastAsia="zh-CN"/>
              </w:rPr>
              <w:t>人实施</w:t>
            </w:r>
            <w:r>
              <w:rPr>
                <w:rFonts w:hint="eastAsia" w:hAnsi="宋体" w:cs="宋体"/>
                <w:b w:val="0"/>
                <w:bCs/>
                <w:sz w:val="24"/>
                <w:szCs w:val="24"/>
                <w:highlight w:val="none"/>
                <w:lang w:val="en-US" w:eastAsia="zh-CN"/>
              </w:rPr>
              <w:t>本项目</w:t>
            </w:r>
            <w:r>
              <w:rPr>
                <w:rFonts w:hint="eastAsia" w:ascii="宋体" w:hAnsi="宋体" w:eastAsia="宋体" w:cs="宋体"/>
                <w:b w:val="0"/>
                <w:bCs/>
                <w:sz w:val="24"/>
                <w:szCs w:val="24"/>
                <w:highlight w:val="none"/>
                <w:lang w:val="en-US" w:eastAsia="zh-CN"/>
              </w:rPr>
              <w:t>服务</w:t>
            </w:r>
            <w:r>
              <w:rPr>
                <w:rFonts w:hint="eastAsia" w:hAnsi="宋体" w:cs="宋体"/>
                <w:b w:val="0"/>
                <w:bCs/>
                <w:sz w:val="24"/>
                <w:szCs w:val="24"/>
                <w:highlight w:val="none"/>
                <w:lang w:val="en-US" w:eastAsia="zh-CN"/>
              </w:rPr>
              <w:t>的</w:t>
            </w:r>
            <w:r>
              <w:rPr>
                <w:rFonts w:hint="eastAsia" w:ascii="宋体" w:hAnsi="宋体" w:eastAsia="宋体" w:cs="宋体"/>
                <w:b w:val="0"/>
                <w:bCs/>
                <w:sz w:val="24"/>
                <w:szCs w:val="24"/>
                <w:highlight w:val="none"/>
                <w:lang w:val="en-US" w:eastAsia="zh-CN"/>
              </w:rPr>
              <w:t>承诺书得</w:t>
            </w:r>
            <w:r>
              <w:rPr>
                <w:rFonts w:hint="eastAsia"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分，</w:t>
            </w:r>
            <w:r>
              <w:rPr>
                <w:rFonts w:hint="eastAsia" w:hAnsi="宋体" w:cs="宋体"/>
                <w:b w:val="0"/>
                <w:bCs/>
                <w:sz w:val="24"/>
                <w:szCs w:val="24"/>
                <w:highlight w:val="none"/>
                <w:lang w:val="en-US" w:eastAsia="zh-CN"/>
              </w:rPr>
              <w:t>承诺书须加盖投标人公章，</w:t>
            </w:r>
            <w:r>
              <w:rPr>
                <w:rFonts w:hint="eastAsia" w:ascii="宋体" w:hAnsi="宋体" w:eastAsia="宋体" w:cs="宋体"/>
                <w:b w:val="0"/>
                <w:bCs/>
                <w:sz w:val="24"/>
                <w:szCs w:val="24"/>
                <w:highlight w:val="none"/>
                <w:lang w:val="en-US" w:eastAsia="zh-CN"/>
              </w:rPr>
              <w:t>无承诺书不得分。</w:t>
            </w:r>
            <w:bookmarkEnd w:id="406"/>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bCs/>
                <w:sz w:val="24"/>
                <w:szCs w:val="24"/>
                <w:highlight w:val="none"/>
                <w:lang w:val="en-US" w:eastAsia="zh-CN"/>
              </w:rPr>
            </w:pPr>
            <w:r>
              <w:rPr>
                <w:rFonts w:hint="eastAsia"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hAnsi="宋体" w:cs="宋体"/>
                <w:bCs/>
                <w:sz w:val="24"/>
                <w:szCs w:val="24"/>
                <w:highlight w:val="none"/>
                <w:lang w:val="en-US" w:eastAsia="zh-CN"/>
              </w:rPr>
            </w:pPr>
            <w:r>
              <w:rPr>
                <w:rFonts w:hint="eastAsia" w:hAnsi="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center"/>
              <w:textAlignment w:val="auto"/>
              <w:rPr>
                <w:rFonts w:hint="default" w:ascii="宋体" w:hAnsi="宋体" w:eastAsia="宋体" w:cs="宋体"/>
                <w:bCs/>
                <w:sz w:val="24"/>
                <w:szCs w:val="24"/>
                <w:highlight w:val="none"/>
                <w:lang w:val="en-US" w:eastAsia="zh-CN"/>
              </w:rPr>
            </w:pPr>
            <w:r>
              <w:rPr>
                <w:rFonts w:hint="eastAsia" w:hAnsi="宋体" w:cs="宋体"/>
                <w:bCs/>
                <w:sz w:val="24"/>
                <w:szCs w:val="24"/>
                <w:highlight w:val="none"/>
                <w:lang w:val="en-US" w:eastAsia="zh-CN"/>
              </w:rPr>
              <w:t>12、企业荣誉</w:t>
            </w:r>
          </w:p>
        </w:tc>
        <w:tc>
          <w:tcPr>
            <w:tcW w:w="7085" w:type="dxa"/>
            <w:noWrap w:val="0"/>
            <w:vAlign w:val="center"/>
          </w:tcPr>
          <w:p>
            <w:pPr>
              <w:pStyle w:val="37"/>
              <w:keepNext w:val="0"/>
              <w:keepLines w:val="0"/>
              <w:pageBreakBefore w:val="0"/>
              <w:kinsoku/>
              <w:wordWrap/>
              <w:overflowPunct/>
              <w:topLinePunct w:val="0"/>
              <w:autoSpaceDE/>
              <w:autoSpaceDN/>
              <w:bidi w:val="0"/>
              <w:snapToGrid w:val="0"/>
              <w:spacing w:beforeLines="0" w:afterLines="0" w:line="288" w:lineRule="auto"/>
              <w:jc w:val="left"/>
              <w:textAlignment w:val="auto"/>
              <w:rPr>
                <w:rFonts w:hint="default" w:ascii="宋体" w:hAnsi="宋体" w:eastAsia="宋体" w:cs="宋体"/>
                <w:b w:val="0"/>
                <w:bCs/>
                <w:sz w:val="24"/>
                <w:szCs w:val="24"/>
                <w:highlight w:val="none"/>
                <w:lang w:val="en-US" w:eastAsia="zh-CN"/>
              </w:rPr>
            </w:pPr>
            <w:r>
              <w:rPr>
                <w:rFonts w:hint="eastAsia" w:hAnsi="宋体" w:cs="宋体"/>
                <w:b w:val="0"/>
                <w:bCs/>
                <w:sz w:val="24"/>
                <w:szCs w:val="24"/>
                <w:highlight w:val="none"/>
                <w:lang w:val="en-US" w:eastAsia="zh-CN"/>
              </w:rPr>
              <w:t>投标人自2022年</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以</w:t>
            </w:r>
            <w:r>
              <w:rPr>
                <w:rFonts w:hint="eastAsia" w:hAnsi="宋体" w:cs="宋体"/>
                <w:bCs/>
                <w:sz w:val="24"/>
                <w:szCs w:val="24"/>
                <w:highlight w:val="none"/>
                <w:lang w:val="en-US" w:eastAsia="zh-CN"/>
              </w:rPr>
              <w:t>荣誉证书落款</w:t>
            </w:r>
            <w:r>
              <w:rPr>
                <w:rFonts w:hint="eastAsia" w:ascii="宋体" w:hAnsi="宋体" w:cs="宋体"/>
                <w:bCs/>
                <w:sz w:val="24"/>
                <w:szCs w:val="24"/>
                <w:highlight w:val="none"/>
                <w:lang w:val="en-US" w:eastAsia="zh-CN"/>
              </w:rPr>
              <w:t>时间为准）</w:t>
            </w:r>
            <w:r>
              <w:rPr>
                <w:rFonts w:hint="eastAsia" w:hAnsi="宋体" w:cs="宋体"/>
                <w:b w:val="0"/>
                <w:bCs/>
                <w:sz w:val="24"/>
                <w:szCs w:val="24"/>
                <w:highlight w:val="none"/>
                <w:lang w:val="en-US" w:eastAsia="zh-CN"/>
              </w:rPr>
              <w:t>以来具有化解纠纷类工作获得区级以上荣誉的得1分。提供荣誉证书或相关证明材料复印件并加盖公章。</w:t>
            </w:r>
          </w:p>
        </w:tc>
        <w:tc>
          <w:tcPr>
            <w:tcW w:w="944"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default" w:ascii="宋体" w:hAnsi="宋体" w:eastAsia="宋体" w:cs="宋体"/>
                <w:bCs/>
                <w:sz w:val="24"/>
                <w:szCs w:val="24"/>
                <w:highlight w:val="none"/>
                <w:lang w:val="en-US" w:eastAsia="zh-CN"/>
              </w:rPr>
            </w:pPr>
            <w:r>
              <w:rPr>
                <w:rFonts w:hint="eastAsia" w:hAnsi="宋体" w:cs="宋体"/>
                <w:bCs/>
                <w:sz w:val="24"/>
                <w:szCs w:val="24"/>
                <w:highlight w:val="none"/>
                <w:lang w:val="en-US" w:eastAsia="zh-CN"/>
              </w:rPr>
              <w:t>1分</w:t>
            </w:r>
          </w:p>
        </w:tc>
        <w:tc>
          <w:tcPr>
            <w:tcW w:w="875" w:type="dxa"/>
            <w:noWrap w:val="0"/>
            <w:vAlign w:val="center"/>
          </w:tcPr>
          <w:p>
            <w:pPr>
              <w:pStyle w:val="37"/>
              <w:keepNext w:val="0"/>
              <w:keepLines w:val="0"/>
              <w:pageBreakBefore w:val="0"/>
              <w:kinsoku/>
              <w:wordWrap/>
              <w:overflowPunct/>
              <w:topLinePunct w:val="0"/>
              <w:autoSpaceDE/>
              <w:autoSpaceDN/>
              <w:bidi w:val="0"/>
              <w:snapToGrid w:val="0"/>
              <w:spacing w:line="288" w:lineRule="auto"/>
              <w:jc w:val="center"/>
              <w:textAlignment w:val="auto"/>
              <w:rPr>
                <w:rFonts w:hint="eastAsia" w:hAnsi="宋体" w:cs="宋体"/>
                <w:bCs/>
                <w:sz w:val="24"/>
                <w:szCs w:val="24"/>
                <w:highlight w:val="none"/>
                <w:lang w:val="en-US" w:eastAsia="zh-CN"/>
              </w:rPr>
            </w:pPr>
            <w:r>
              <w:rPr>
                <w:rFonts w:hint="eastAsia" w:hAnsi="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74" w:type="dxa"/>
            <w:noWrap w:val="0"/>
            <w:vAlign w:val="center"/>
          </w:tcPr>
          <w:p>
            <w:pPr>
              <w:keepNext w:val="0"/>
              <w:keepLines w:val="0"/>
              <w:pageBreakBefore w:val="0"/>
              <w:kinsoku/>
              <w:wordWrap/>
              <w:overflowPunct/>
              <w:topLinePunct w:val="0"/>
              <w:autoSpaceDE/>
              <w:autoSpaceDN/>
              <w:bidi w:val="0"/>
              <w:spacing w:beforeLines="0" w:afterLines="0" w:line="288"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、类似业绩</w:t>
            </w:r>
          </w:p>
        </w:tc>
        <w:tc>
          <w:tcPr>
            <w:tcW w:w="7085"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288"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w:t>
            </w:r>
            <w:r>
              <w:rPr>
                <w:rFonts w:hint="eastAsia" w:ascii="宋体" w:hAnsi="宋体" w:eastAsia="宋体" w:cs="宋体"/>
                <w:bCs/>
                <w:sz w:val="24"/>
                <w:szCs w:val="24"/>
                <w:highlight w:val="none"/>
              </w:rPr>
              <w:t>自20</w:t>
            </w:r>
            <w:r>
              <w:rPr>
                <w:rFonts w:hint="eastAsia" w:ascii="宋体" w:hAnsi="宋体" w:cs="宋体"/>
                <w:bCs/>
                <w:sz w:val="24"/>
                <w:szCs w:val="24"/>
                <w:highlight w:val="none"/>
                <w:lang w:val="en-US" w:eastAsia="zh-CN"/>
              </w:rPr>
              <w:t>22</w:t>
            </w:r>
            <w:r>
              <w:rPr>
                <w:rFonts w:hint="eastAsia" w:ascii="宋体" w:hAnsi="宋体" w:eastAsia="宋体" w:cs="宋体"/>
                <w:bCs/>
                <w:sz w:val="24"/>
                <w:szCs w:val="24"/>
                <w:highlight w:val="none"/>
              </w:rPr>
              <w:t>年</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以合同签订时间为准）</w:t>
            </w:r>
            <w:r>
              <w:rPr>
                <w:rFonts w:hint="eastAsia" w:ascii="宋体" w:hAnsi="宋体" w:eastAsia="宋体" w:cs="宋体"/>
                <w:bCs/>
                <w:sz w:val="24"/>
                <w:szCs w:val="24"/>
                <w:highlight w:val="none"/>
              </w:rPr>
              <w:t>以来，</w:t>
            </w:r>
            <w:r>
              <w:rPr>
                <w:rFonts w:hint="eastAsia" w:ascii="宋体" w:hAnsi="宋体" w:eastAsia="宋体" w:cs="宋体"/>
                <w:sz w:val="24"/>
                <w:szCs w:val="24"/>
                <w:highlight w:val="none"/>
              </w:rPr>
              <w:t>承担过</w:t>
            </w:r>
            <w:r>
              <w:rPr>
                <w:rFonts w:hint="eastAsia" w:ascii="宋体" w:hAnsi="宋体" w:eastAsia="宋体" w:cs="宋体"/>
                <w:bCs/>
                <w:sz w:val="24"/>
                <w:szCs w:val="24"/>
                <w:highlight w:val="none"/>
                <w:lang w:val="en-US" w:eastAsia="zh-CN"/>
              </w:rPr>
              <w:t>劳动法律纠纷化解服务经验</w:t>
            </w:r>
            <w:r>
              <w:rPr>
                <w:rFonts w:hint="eastAsia" w:ascii="宋体" w:hAnsi="宋体" w:cs="宋体"/>
                <w:bCs/>
                <w:sz w:val="24"/>
                <w:szCs w:val="24"/>
                <w:highlight w:val="none"/>
                <w:lang w:val="en-US" w:eastAsia="zh-CN"/>
              </w:rPr>
              <w:t>的得1分。须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业绩</w:t>
            </w:r>
            <w:r>
              <w:rPr>
                <w:rFonts w:hint="eastAsia" w:ascii="宋体" w:hAnsi="宋体" w:cs="宋体"/>
                <w:sz w:val="24"/>
                <w:szCs w:val="24"/>
                <w:highlight w:val="none"/>
                <w:lang w:val="en-US" w:eastAsia="zh-CN"/>
              </w:rPr>
              <w:t>合同</w:t>
            </w:r>
            <w:r>
              <w:rPr>
                <w:rFonts w:hint="eastAsia" w:ascii="宋体" w:hAnsi="宋体" w:eastAsia="宋体" w:cs="宋体"/>
                <w:b/>
                <w:bCs w:val="0"/>
                <w:sz w:val="24"/>
                <w:szCs w:val="24"/>
                <w:highlight w:val="none"/>
                <w:lang w:val="en-US" w:eastAsia="zh-CN"/>
              </w:rPr>
              <w:t>扫描件或</w:t>
            </w:r>
            <w:r>
              <w:rPr>
                <w:rFonts w:hint="eastAsia" w:ascii="宋体" w:hAnsi="宋体" w:eastAsia="宋体" w:cs="宋体"/>
                <w:b/>
                <w:bCs/>
                <w:snapToGrid w:val="0"/>
                <w:kern w:val="0"/>
                <w:sz w:val="24"/>
                <w:szCs w:val="24"/>
                <w:highlight w:val="none"/>
              </w:rPr>
              <w:t>复印件加盖公章</w:t>
            </w:r>
            <w:r>
              <w:rPr>
                <w:rFonts w:hint="eastAsia" w:ascii="宋体" w:hAnsi="宋体" w:eastAsia="宋体" w:cs="宋体"/>
                <w:b/>
                <w:bCs/>
                <w:snapToGrid w:val="0"/>
                <w:kern w:val="0"/>
                <w:sz w:val="24"/>
                <w:szCs w:val="24"/>
                <w:highlight w:val="none"/>
                <w:lang w:eastAsia="zh-CN"/>
              </w:rPr>
              <w:t>，</w:t>
            </w:r>
            <w:r>
              <w:rPr>
                <w:rFonts w:hint="eastAsia" w:ascii="宋体" w:hAnsi="宋体" w:eastAsia="宋体" w:cs="宋体"/>
                <w:b/>
                <w:bCs/>
                <w:snapToGrid w:val="0"/>
                <w:kern w:val="0"/>
                <w:sz w:val="24"/>
                <w:szCs w:val="24"/>
                <w:highlight w:val="none"/>
                <w:lang w:val="en-US" w:eastAsia="zh-CN"/>
              </w:rPr>
              <w:t>未提供不得分</w:t>
            </w:r>
            <w:r>
              <w:rPr>
                <w:rFonts w:hint="eastAsia" w:ascii="宋体" w:hAnsi="宋体" w:eastAsia="宋体" w:cs="宋体"/>
                <w:b/>
                <w:bCs/>
                <w:snapToGrid w:val="0"/>
                <w:kern w:val="0"/>
                <w:sz w:val="24"/>
                <w:szCs w:val="24"/>
                <w:highlight w:val="none"/>
                <w:lang w:eastAsia="zh-CN"/>
              </w:rPr>
              <w:t>。</w:t>
            </w:r>
          </w:p>
        </w:tc>
        <w:tc>
          <w:tcPr>
            <w:tcW w:w="944" w:type="dxa"/>
            <w:noWrap w:val="0"/>
            <w:vAlign w:val="center"/>
          </w:tcPr>
          <w:p>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875" w:type="dxa"/>
            <w:noWrap w:val="0"/>
            <w:vAlign w:val="center"/>
          </w:tcPr>
          <w:p>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客观分</w:t>
            </w:r>
          </w:p>
        </w:tc>
      </w:tr>
    </w:tbl>
    <w:p>
      <w:pPr>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2、商务分+技术分=评标委员会所有成员评分合计数/评标委员会组成人员数（精确到小数点后二位）；</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3、价格分（</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r>
        <w:rPr>
          <w:rFonts w:hint="eastAsia" w:ascii="宋体" w:hAnsi="宋体" w:eastAsia="宋体" w:cs="宋体"/>
          <w:color w:val="auto"/>
          <w:sz w:val="24"/>
          <w:szCs w:val="24"/>
          <w:highlight w:val="none"/>
        </w:rPr>
        <w:t>采用低价优先法计算，即满足招标文件要求且</w:t>
      </w:r>
      <w:r>
        <w:rPr>
          <w:rFonts w:hint="eastAsia" w:ascii="宋体" w:hAnsi="宋体" w:cs="宋体"/>
          <w:color w:val="auto"/>
          <w:sz w:val="24"/>
          <w:szCs w:val="24"/>
          <w:highlight w:val="none"/>
          <w:lang w:eastAsia="zh-CN"/>
        </w:rPr>
        <w:t>各项</w:t>
      </w:r>
      <w:r>
        <w:rPr>
          <w:rFonts w:hint="eastAsia" w:ascii="宋体" w:hAnsi="宋体" w:eastAsia="宋体" w:cs="宋体"/>
          <w:color w:val="auto"/>
          <w:sz w:val="24"/>
          <w:szCs w:val="24"/>
          <w:highlight w:val="none"/>
        </w:rPr>
        <w:t>投标价格最低的投标报价为评标基准价，其他投标人的价格分按照下列公式计算：</w:t>
      </w:r>
    </w:p>
    <w:p>
      <w:pPr>
        <w:spacing w:line="360" w:lineRule="auto"/>
        <w:ind w:firstLine="482" w:firstLineChars="200"/>
        <w:rPr>
          <w:rFonts w:hint="default" w:ascii="宋体" w:hAnsi="宋体" w:eastAsia="宋体" w:cs="宋体"/>
          <w:b/>
          <w:bCs/>
          <w:color w:val="000000"/>
          <w:sz w:val="24"/>
          <w:szCs w:val="24"/>
          <w:highlight w:val="none"/>
          <w:shd w:val="clear" w:color="auto" w:fill="auto"/>
          <w:lang w:val="en-US" w:eastAsia="zh-CN"/>
        </w:rPr>
      </w:pPr>
      <w:r>
        <w:rPr>
          <w:rFonts w:hint="eastAsia" w:ascii="宋体" w:hAnsi="宋体" w:cs="宋体"/>
          <w:b/>
          <w:bCs/>
          <w:color w:val="000000"/>
          <w:sz w:val="24"/>
          <w:szCs w:val="24"/>
          <w:highlight w:val="none"/>
          <w:shd w:val="clear" w:color="auto" w:fill="auto"/>
          <w:lang w:val="en-US" w:eastAsia="zh-CN"/>
        </w:rPr>
        <w:t>本项目报价分为</w:t>
      </w:r>
      <w:bookmarkStart w:id="407" w:name="OLE_LINK5"/>
      <w:r>
        <w:rPr>
          <w:rFonts w:hint="eastAsia" w:ascii="宋体" w:hAnsi="宋体" w:cs="宋体"/>
          <w:b/>
          <w:bCs/>
          <w:color w:val="000000"/>
          <w:sz w:val="24"/>
          <w:szCs w:val="24"/>
          <w:highlight w:val="none"/>
          <w:shd w:val="clear" w:color="auto" w:fill="auto"/>
          <w:lang w:val="en-US" w:eastAsia="zh-CN"/>
        </w:rPr>
        <w:t>综合单价报价</w:t>
      </w:r>
      <w:bookmarkEnd w:id="407"/>
      <w:r>
        <w:rPr>
          <w:rFonts w:hint="eastAsia" w:ascii="宋体" w:hAnsi="宋体" w:cs="宋体"/>
          <w:b/>
          <w:bCs/>
          <w:color w:val="000000"/>
          <w:sz w:val="24"/>
          <w:szCs w:val="24"/>
          <w:highlight w:val="none"/>
          <w:shd w:val="clear" w:color="auto" w:fill="auto"/>
          <w:lang w:val="en-US" w:eastAsia="zh-CN"/>
        </w:rPr>
        <w:t>和</w:t>
      </w:r>
      <w:bookmarkStart w:id="408" w:name="OLE_LINK6"/>
      <w:r>
        <w:rPr>
          <w:rFonts w:hint="eastAsia" w:ascii="宋体" w:hAnsi="宋体" w:cs="宋体"/>
          <w:b/>
          <w:bCs/>
          <w:color w:val="000000"/>
          <w:sz w:val="24"/>
          <w:szCs w:val="24"/>
          <w:highlight w:val="none"/>
          <w:shd w:val="clear" w:color="auto" w:fill="auto"/>
          <w:lang w:val="en-US" w:eastAsia="zh-CN"/>
        </w:rPr>
        <w:t>按项报价部分</w:t>
      </w:r>
      <w:bookmarkEnd w:id="408"/>
      <w:r>
        <w:rPr>
          <w:rFonts w:hint="eastAsia" w:ascii="宋体" w:hAnsi="宋体" w:cs="宋体"/>
          <w:b/>
          <w:bCs/>
          <w:color w:val="000000"/>
          <w:sz w:val="24"/>
          <w:szCs w:val="24"/>
          <w:highlight w:val="none"/>
          <w:shd w:val="clear" w:color="auto" w:fill="auto"/>
          <w:lang w:val="en-US" w:eastAsia="zh-CN"/>
        </w:rPr>
        <w:t>，权重分别为综合单价报价为8分，按项报价部分权重为2分。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000000"/>
          <w:sz w:val="24"/>
          <w:szCs w:val="24"/>
          <w:highlight w:val="none"/>
          <w:shd w:val="clear" w:color="auto" w:fill="auto"/>
          <w:lang w:val="en-US" w:eastAsia="zh-CN"/>
        </w:rPr>
        <w:fldChar w:fldCharType="begin"/>
      </w:r>
      <w:r>
        <w:rPr>
          <w:rFonts w:hint="eastAsia" w:ascii="宋体" w:hAnsi="宋体" w:cs="宋体"/>
          <w:b/>
          <w:bCs/>
          <w:color w:val="000000"/>
          <w:sz w:val="24"/>
          <w:szCs w:val="24"/>
          <w:highlight w:val="none"/>
          <w:shd w:val="clear" w:color="auto" w:fill="auto"/>
          <w:lang w:val="en-US" w:eastAsia="zh-CN"/>
        </w:rPr>
        <w:instrText xml:space="preserve"> = 1 \* GB3 \* MERGEFORMAT </w:instrText>
      </w:r>
      <w:r>
        <w:rPr>
          <w:rFonts w:hint="eastAsia" w:ascii="宋体" w:hAnsi="宋体" w:cs="宋体"/>
          <w:b/>
          <w:bCs/>
          <w:color w:val="000000"/>
          <w:sz w:val="24"/>
          <w:szCs w:val="24"/>
          <w:highlight w:val="none"/>
          <w:shd w:val="clear" w:color="auto" w:fill="auto"/>
          <w:lang w:val="en-US" w:eastAsia="zh-CN"/>
        </w:rPr>
        <w:fldChar w:fldCharType="separate"/>
      </w:r>
      <w:r>
        <w:rPr>
          <w:b/>
          <w:bCs/>
        </w:rPr>
        <w:t>①</w:t>
      </w:r>
      <w:r>
        <w:rPr>
          <w:rFonts w:hint="eastAsia" w:ascii="宋体" w:hAnsi="宋体" w:cs="宋体"/>
          <w:b/>
          <w:bCs/>
          <w:color w:val="000000"/>
          <w:sz w:val="24"/>
          <w:szCs w:val="24"/>
          <w:highlight w:val="none"/>
          <w:shd w:val="clear" w:color="auto" w:fill="auto"/>
          <w:lang w:val="en-US" w:eastAsia="zh-CN"/>
        </w:rPr>
        <w:fldChar w:fldCharType="end"/>
      </w:r>
      <w:r>
        <w:rPr>
          <w:rFonts w:hint="eastAsia" w:ascii="宋体" w:hAnsi="宋体" w:cs="宋体"/>
          <w:b/>
          <w:bCs/>
          <w:color w:val="000000"/>
          <w:sz w:val="24"/>
          <w:szCs w:val="24"/>
          <w:highlight w:val="none"/>
          <w:shd w:val="clear" w:color="auto" w:fill="auto"/>
          <w:lang w:val="en-US" w:eastAsia="zh-CN"/>
        </w:rPr>
        <w:t>综合单价</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综合单价</w:t>
      </w:r>
      <w:r>
        <w:rPr>
          <w:rFonts w:hint="eastAsia" w:ascii="宋体" w:hAnsi="宋体" w:eastAsia="宋体" w:cs="宋体"/>
          <w:b/>
          <w:bCs/>
          <w:color w:val="auto"/>
          <w:sz w:val="24"/>
          <w:highlight w:val="none"/>
        </w:rPr>
        <w:t>评标基准价/投标报价）×</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%×100（精确到小数点后二位）；</w:t>
      </w:r>
    </w:p>
    <w:p>
      <w:pPr>
        <w:ind w:firstLine="482" w:firstLineChars="200"/>
        <w:rPr>
          <w:rFonts w:hint="eastAsia" w:eastAsia="仿宋_GB2312"/>
          <w:lang w:eastAsia="zh-CN"/>
        </w:rPr>
      </w:pPr>
      <w:r>
        <w:rPr>
          <w:rFonts w:hint="eastAsia" w:ascii="宋体" w:hAnsi="宋体" w:cs="宋体"/>
          <w:b/>
          <w:bCs/>
          <w:color w:val="000000"/>
          <w:sz w:val="24"/>
          <w:szCs w:val="24"/>
          <w:highlight w:val="none"/>
          <w:shd w:val="clear" w:color="auto" w:fill="auto"/>
          <w:lang w:val="en-US" w:eastAsia="zh-CN"/>
        </w:rPr>
        <w:fldChar w:fldCharType="begin"/>
      </w:r>
      <w:r>
        <w:rPr>
          <w:rFonts w:hint="eastAsia" w:ascii="宋体" w:hAnsi="宋体" w:cs="宋体"/>
          <w:b/>
          <w:bCs/>
          <w:color w:val="000000"/>
          <w:sz w:val="24"/>
          <w:szCs w:val="24"/>
          <w:highlight w:val="none"/>
          <w:shd w:val="clear" w:color="auto" w:fill="auto"/>
          <w:lang w:val="en-US" w:eastAsia="zh-CN"/>
        </w:rPr>
        <w:instrText xml:space="preserve"> = 2 \* GB3 \* MERGEFORMAT </w:instrText>
      </w:r>
      <w:r>
        <w:rPr>
          <w:rFonts w:hint="eastAsia" w:ascii="宋体" w:hAnsi="宋体" w:cs="宋体"/>
          <w:b/>
          <w:bCs/>
          <w:color w:val="000000"/>
          <w:sz w:val="24"/>
          <w:szCs w:val="24"/>
          <w:highlight w:val="none"/>
          <w:shd w:val="clear" w:color="auto" w:fill="auto"/>
          <w:lang w:val="en-US" w:eastAsia="zh-CN"/>
        </w:rPr>
        <w:fldChar w:fldCharType="separate"/>
      </w:r>
      <w:r>
        <w:rPr>
          <w:b/>
          <w:bCs/>
        </w:rPr>
        <w:t>②</w:t>
      </w:r>
      <w:r>
        <w:rPr>
          <w:rFonts w:hint="eastAsia" w:ascii="宋体" w:hAnsi="宋体" w:cs="宋体"/>
          <w:b/>
          <w:bCs/>
          <w:color w:val="000000"/>
          <w:sz w:val="24"/>
          <w:szCs w:val="24"/>
          <w:highlight w:val="none"/>
          <w:shd w:val="clear" w:color="auto" w:fill="auto"/>
          <w:lang w:val="en-US" w:eastAsia="zh-CN"/>
        </w:rPr>
        <w:fldChar w:fldCharType="end"/>
      </w:r>
      <w:r>
        <w:rPr>
          <w:rFonts w:hint="eastAsia" w:ascii="宋体" w:hAnsi="宋体" w:cs="宋体"/>
          <w:b/>
          <w:bCs/>
          <w:color w:val="000000"/>
          <w:sz w:val="24"/>
          <w:szCs w:val="24"/>
          <w:highlight w:val="none"/>
          <w:shd w:val="clear" w:color="auto" w:fill="auto"/>
          <w:lang w:val="en-US" w:eastAsia="zh-CN"/>
        </w:rPr>
        <w:t>按项报价</w:t>
      </w:r>
      <w:r>
        <w:rPr>
          <w:rFonts w:hint="eastAsia" w:ascii="宋体" w:hAnsi="宋体" w:eastAsia="宋体" w:cs="宋体"/>
          <w:b/>
          <w:bCs/>
          <w:color w:val="auto"/>
          <w:sz w:val="24"/>
          <w:highlight w:val="none"/>
        </w:rPr>
        <w:t>价格分=（评标基准价/投标报价）×</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价格得分=</w:t>
      </w:r>
      <w:r>
        <w:rPr>
          <w:rFonts w:hint="eastAsia" w:ascii="宋体" w:hAnsi="宋体" w:cs="宋体"/>
          <w:b/>
          <w:bCs/>
          <w:color w:val="000000"/>
          <w:sz w:val="24"/>
          <w:szCs w:val="24"/>
          <w:highlight w:val="none"/>
          <w:shd w:val="clear" w:color="auto" w:fill="auto"/>
          <w:lang w:val="en-US" w:eastAsia="zh-CN"/>
        </w:rPr>
        <w:fldChar w:fldCharType="begin"/>
      </w:r>
      <w:r>
        <w:rPr>
          <w:rFonts w:hint="eastAsia" w:ascii="宋体" w:hAnsi="宋体" w:cs="宋体"/>
          <w:b/>
          <w:bCs/>
          <w:color w:val="000000"/>
          <w:sz w:val="24"/>
          <w:szCs w:val="24"/>
          <w:highlight w:val="none"/>
          <w:shd w:val="clear" w:color="auto" w:fill="auto"/>
          <w:lang w:val="en-US" w:eastAsia="zh-CN"/>
        </w:rPr>
        <w:instrText xml:space="preserve"> = 1 \* GB3 \* MERGEFORMAT </w:instrText>
      </w:r>
      <w:r>
        <w:rPr>
          <w:rFonts w:hint="eastAsia" w:ascii="宋体" w:hAnsi="宋体" w:cs="宋体"/>
          <w:b/>
          <w:bCs/>
          <w:color w:val="000000"/>
          <w:sz w:val="24"/>
          <w:szCs w:val="24"/>
          <w:highlight w:val="none"/>
          <w:shd w:val="clear" w:color="auto" w:fill="auto"/>
          <w:lang w:val="en-US" w:eastAsia="zh-CN"/>
        </w:rPr>
        <w:fldChar w:fldCharType="separate"/>
      </w:r>
      <w:r>
        <w:rPr>
          <w:b/>
          <w:bCs/>
        </w:rPr>
        <w:t>①</w:t>
      </w:r>
      <w:r>
        <w:rPr>
          <w:rFonts w:hint="eastAsia" w:ascii="宋体" w:hAnsi="宋体" w:cs="宋体"/>
          <w:b/>
          <w:bCs/>
          <w:color w:val="000000"/>
          <w:sz w:val="24"/>
          <w:szCs w:val="24"/>
          <w:highlight w:val="none"/>
          <w:shd w:val="clear" w:color="auto" w:fill="auto"/>
          <w:lang w:val="en-US" w:eastAsia="zh-CN"/>
        </w:rPr>
        <w:fldChar w:fldCharType="end"/>
      </w:r>
      <w:r>
        <w:rPr>
          <w:rFonts w:hint="eastAsia" w:ascii="宋体" w:hAnsi="宋体" w:cs="宋体"/>
          <w:b/>
          <w:bCs/>
          <w:color w:val="000000"/>
          <w:sz w:val="24"/>
          <w:szCs w:val="24"/>
          <w:highlight w:val="none"/>
          <w:shd w:val="clear" w:color="auto" w:fill="auto"/>
          <w:lang w:val="en-US" w:eastAsia="zh-CN"/>
        </w:rPr>
        <w:t>综合单价</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w:t>
      </w:r>
      <w:r>
        <w:rPr>
          <w:rFonts w:hint="eastAsia" w:ascii="宋体" w:hAnsi="宋体" w:cs="宋体"/>
          <w:b/>
          <w:bCs/>
          <w:color w:val="000000"/>
          <w:sz w:val="24"/>
          <w:szCs w:val="24"/>
          <w:highlight w:val="none"/>
          <w:shd w:val="clear" w:color="auto" w:fill="auto"/>
          <w:lang w:val="en-US" w:eastAsia="zh-CN"/>
        </w:rPr>
        <w:fldChar w:fldCharType="begin"/>
      </w:r>
      <w:r>
        <w:rPr>
          <w:rFonts w:hint="eastAsia" w:ascii="宋体" w:hAnsi="宋体" w:cs="宋体"/>
          <w:b/>
          <w:bCs/>
          <w:color w:val="000000"/>
          <w:sz w:val="24"/>
          <w:szCs w:val="24"/>
          <w:highlight w:val="none"/>
          <w:shd w:val="clear" w:color="auto" w:fill="auto"/>
          <w:lang w:val="en-US" w:eastAsia="zh-CN"/>
        </w:rPr>
        <w:instrText xml:space="preserve"> = 2 \* GB3 \* MERGEFORMAT </w:instrText>
      </w:r>
      <w:r>
        <w:rPr>
          <w:rFonts w:hint="eastAsia" w:ascii="宋体" w:hAnsi="宋体" w:cs="宋体"/>
          <w:b/>
          <w:bCs/>
          <w:color w:val="000000"/>
          <w:sz w:val="24"/>
          <w:szCs w:val="24"/>
          <w:highlight w:val="none"/>
          <w:shd w:val="clear" w:color="auto" w:fill="auto"/>
          <w:lang w:val="en-US" w:eastAsia="zh-CN"/>
        </w:rPr>
        <w:fldChar w:fldCharType="separate"/>
      </w:r>
      <w:r>
        <w:rPr>
          <w:b/>
          <w:bCs/>
        </w:rPr>
        <w:t>②</w:t>
      </w:r>
      <w:r>
        <w:rPr>
          <w:rFonts w:hint="eastAsia" w:ascii="宋体" w:hAnsi="宋体" w:cs="宋体"/>
          <w:b/>
          <w:bCs/>
          <w:color w:val="000000"/>
          <w:sz w:val="24"/>
          <w:szCs w:val="24"/>
          <w:highlight w:val="none"/>
          <w:shd w:val="clear" w:color="auto" w:fill="auto"/>
          <w:lang w:val="en-US" w:eastAsia="zh-CN"/>
        </w:rPr>
        <w:fldChar w:fldCharType="end"/>
      </w:r>
      <w:r>
        <w:rPr>
          <w:rFonts w:hint="eastAsia" w:ascii="宋体" w:hAnsi="宋体" w:cs="宋体"/>
          <w:b/>
          <w:bCs/>
          <w:color w:val="000000"/>
          <w:sz w:val="24"/>
          <w:szCs w:val="24"/>
          <w:highlight w:val="none"/>
          <w:shd w:val="clear" w:color="auto" w:fill="auto"/>
          <w:lang w:val="en-US" w:eastAsia="zh-CN"/>
        </w:rPr>
        <w:t>按项报价</w:t>
      </w:r>
      <w:r>
        <w:rPr>
          <w:rFonts w:hint="eastAsia" w:ascii="宋体" w:hAnsi="宋体" w:eastAsia="宋体" w:cs="宋体"/>
          <w:b/>
          <w:bCs/>
          <w:color w:val="auto"/>
          <w:sz w:val="24"/>
          <w:highlight w:val="none"/>
        </w:rPr>
        <w:t>价格分</w:t>
      </w:r>
    </w:p>
    <w:p>
      <w:pPr>
        <w:pStyle w:val="67"/>
        <w:keepNext w:val="0"/>
        <w:keepLines w:val="0"/>
        <w:pageBreakBefore w:val="0"/>
        <w:numPr>
          <w:ilvl w:val="0"/>
          <w:numId w:val="11"/>
        </w:numPr>
        <w:kinsoku/>
        <w:wordWrap/>
        <w:overflowPunct/>
        <w:topLinePunct w:val="0"/>
        <w:autoSpaceDE/>
        <w:autoSpaceDN/>
        <w:bidi w:val="0"/>
        <w:snapToGrid/>
        <w:spacing w:after="0" w:line="360" w:lineRule="auto"/>
        <w:ind w:left="0" w:leftChars="0"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各投标人的综合得分为：技术商务得分+投标价格得分之和，总和为100分，其中：商务技术得分</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0分，投标价格得分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bookmarkEnd w:id="31"/>
    <w:p>
      <w:pPr>
        <w:pStyle w:val="67"/>
        <w:keepNext w:val="0"/>
        <w:keepLines w:val="0"/>
        <w:pageBreakBefore w:val="0"/>
        <w:kinsoku/>
        <w:wordWrap/>
        <w:overflowPunct/>
        <w:topLinePunct w:val="0"/>
        <w:autoSpaceDE/>
        <w:autoSpaceDN/>
        <w:bidi w:val="0"/>
        <w:snapToGrid/>
        <w:spacing w:after="0" w:line="360" w:lineRule="auto"/>
        <w:ind w:left="0" w:leftChars="0" w:firstLine="420"/>
        <w:textAlignment w:val="auto"/>
        <w:rPr>
          <w:rFonts w:hint="eastAsia" w:ascii="宋体" w:hAnsi="宋体" w:eastAsia="宋体" w:cs="宋体"/>
          <w:color w:val="auto"/>
          <w:sz w:val="24"/>
          <w:szCs w:val="24"/>
          <w:highlight w:val="none"/>
        </w:rPr>
      </w:pPr>
      <w:bookmarkStart w:id="409" w:name="第五部分"/>
      <w:bookmarkStart w:id="410" w:name="_Toc86217003"/>
      <w:r>
        <w:rPr>
          <w:rFonts w:hint="eastAsia" w:ascii="宋体" w:hAnsi="宋体" w:eastAsia="宋体" w:cs="宋体"/>
          <w:color w:val="auto"/>
          <w:sz w:val="24"/>
          <w:szCs w:val="24"/>
          <w:highlight w:val="none"/>
        </w:rPr>
        <w:t>报价是中标的一个重要因素，但最低报价不是中标的唯一依据。</w:t>
      </w:r>
    </w:p>
    <w:p>
      <w:pPr>
        <w:snapToGrid w:val="0"/>
        <w:spacing w:line="360" w:lineRule="auto"/>
        <w:rPr>
          <w:rFonts w:hint="eastAsia" w:ascii="宋体" w:hAnsi="宋体" w:eastAsia="宋体" w:cs="宋体"/>
          <w:b/>
          <w:color w:val="auto"/>
          <w:sz w:val="32"/>
        </w:rPr>
      </w:pP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snapToGrid w:val="0"/>
        <w:spacing w:line="360" w:lineRule="auto"/>
        <w:ind w:firstLine="482" w:firstLineChars="200"/>
        <w:rPr>
          <w:rFonts w:ascii="宋体" w:hAnsi="宋体" w:cs="宋体"/>
          <w:b/>
          <w:bCs/>
          <w:color w:val="auto"/>
          <w:sz w:val="24"/>
          <w:szCs w:val="24"/>
        </w:rPr>
      </w:pPr>
      <w:r>
        <w:rPr>
          <w:rFonts w:hint="eastAsia" w:ascii="宋体" w:hAnsi="宋体" w:eastAsia="宋体" w:cs="宋体"/>
          <w:b/>
          <w:color w:val="auto"/>
          <w:kern w:val="0"/>
          <w:sz w:val="24"/>
          <w:highlight w:val="none"/>
        </w:rPr>
        <w:t>3.1</w:t>
      </w:r>
      <w:r>
        <w:rPr>
          <w:rFonts w:hint="eastAsia" w:ascii="宋体" w:hAnsi="宋体" w:cs="宋体"/>
          <w:b/>
          <w:bCs/>
          <w:color w:val="auto"/>
          <w:sz w:val="24"/>
          <w:szCs w:val="24"/>
        </w:rPr>
        <w:t>资格审查</w:t>
      </w:r>
    </w:p>
    <w:p>
      <w:pPr>
        <w:pStyle w:val="19"/>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投标文件解密后，采购人或采购组织机构依法对投标人的资格进行审查，对审查发现无效的进行必要的询问，在政采云平台公布无效投标的投标人名单、投标无效的原因。</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rPr>
        <w:t>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3</w:t>
      </w:r>
      <w:r>
        <w:rPr>
          <w:rFonts w:hint="eastAsia" w:ascii="宋体" w:hAnsi="宋体" w:eastAsia="宋体" w:cs="宋体"/>
          <w:b/>
          <w:color w:val="auto"/>
          <w:kern w:val="0"/>
          <w:sz w:val="24"/>
          <w:highlight w:val="none"/>
        </w:rPr>
        <w:t xml:space="preserve">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 xml:space="preserve">4 </w:t>
      </w:r>
      <w:r>
        <w:rPr>
          <w:rFonts w:hint="eastAsia" w:ascii="宋体" w:hAnsi="宋体" w:eastAsia="宋体" w:cs="宋体"/>
          <w:b/>
          <w:color w:val="auto"/>
          <w:kern w:val="0"/>
          <w:sz w:val="24"/>
          <w:highlight w:val="none"/>
        </w:rPr>
        <w:t>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 xml:space="preserve">5 </w:t>
      </w:r>
      <w:r>
        <w:rPr>
          <w:rFonts w:hint="eastAsia" w:ascii="宋体" w:hAnsi="宋体" w:eastAsia="宋体" w:cs="宋体"/>
          <w:b/>
          <w:color w:val="auto"/>
          <w:kern w:val="0"/>
          <w:sz w:val="24"/>
          <w:highlight w:val="none"/>
        </w:rPr>
        <w:t>报价评审。</w:t>
      </w:r>
    </w:p>
    <w:p>
      <w:pPr>
        <w:pStyle w:val="9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rPr>
        <w:t>.1投标文件报价出现前后不一致的，按照下列规定修正：</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.1.1投标文件中开标一览表(报价表)内容与投标文件中相应内容不一致的，以开标一览表(报价表)为准;</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.1.2大写金额和小写金额不一致的，以大写金额为准;</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.1.3单价金额小数点或者百分比有明显错位的，以开标一览表的总价为准，并修改单价;</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.1.4总价金额与按单价汇总金额不一致的，以单价金额计算结果为准。</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.1.5同时出现两种以上不一致的，按照3.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.1规定的顺序修正。修正后的报价按照财政部第87号令 《政府采购货物和服务招标投标管理办法》第五十一条第二款的规定经投标人确认后产生约束力。</w:t>
      </w:r>
    </w:p>
    <w:p>
      <w:pPr>
        <w:pStyle w:val="96"/>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.2投标文件出现不是唯一的、有选择性投标报价的，投标无效。</w:t>
      </w:r>
    </w:p>
    <w:p>
      <w:pPr>
        <w:pStyle w:val="96"/>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.3投标报价超过招标文件中规定的预算金额或者最高限价的，投标无效。</w:t>
      </w:r>
    </w:p>
    <w:p>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6"/>
        <w:widowControl/>
        <w:wordWrap/>
        <w:adjustRightInd w:val="0"/>
        <w:snapToGrid w:val="0"/>
        <w:spacing w:line="360" w:lineRule="auto"/>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eastAsia="zh-CN"/>
        </w:rPr>
        <w:t>5</w:t>
      </w:r>
      <w:r>
        <w:rPr>
          <w:rFonts w:hint="eastAsia" w:ascii="宋体" w:hAnsi="宋体" w:eastAsia="宋体" w:cs="宋体"/>
          <w:color w:val="auto"/>
          <w:kern w:val="0"/>
          <w:szCs w:val="24"/>
          <w:highlight w:val="none"/>
        </w:rPr>
        <w:t>.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rPr>
        <w:t>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lang w:eastAsia="zh-CN"/>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cs="宋体"/>
          <w:color w:val="auto"/>
          <w:kern w:val="0"/>
          <w:sz w:val="24"/>
          <w:highlight w:val="none"/>
          <w:lang w:eastAsia="zh-CN"/>
        </w:rPr>
        <w:t>本项目不采用。</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四、评标中的其他事项</w:t>
      </w:r>
    </w:p>
    <w:p>
      <w:pPr>
        <w:pStyle w:val="9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3"/>
        <w:ind w:left="430"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240" w:lineRule="auto"/>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bookmarkEnd w:id="409"/>
    <w:bookmarkEnd w:id="410"/>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4"/>
        </w:rPr>
      </w:pPr>
    </w:p>
    <w:p>
      <w:pPr>
        <w:pStyle w:val="3"/>
        <w:rPr>
          <w:rFonts w:hint="eastAsia" w:ascii="宋体" w:hAnsi="宋体" w:eastAsia="宋体" w:cs="宋体"/>
          <w:b/>
          <w:color w:val="auto"/>
          <w:sz w:val="24"/>
        </w:rPr>
      </w:pPr>
    </w:p>
    <w:p>
      <w:pPr>
        <w:rPr>
          <w:rFonts w:hint="eastAsia"/>
          <w:color w:val="auto"/>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pPr>
        <w:pStyle w:val="27"/>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pPr>
        <w:spacing w:before="120" w:line="22" w:lineRule="atLeast"/>
        <w:rPr>
          <w:rFonts w:hint="eastAsia" w:ascii="宋体" w:hAnsi="宋体" w:eastAsia="宋体" w:cs="宋体"/>
          <w:color w:val="auto"/>
          <w:sz w:val="24"/>
        </w:rPr>
      </w:pPr>
    </w:p>
    <w:p>
      <w:pPr>
        <w:pStyle w:val="3"/>
        <w:rPr>
          <w:rFonts w:hint="eastAsia" w:ascii="宋体" w:hAnsi="宋体" w:eastAsia="宋体" w:cs="宋体"/>
          <w:color w:val="auto"/>
        </w:rPr>
      </w:pPr>
    </w:p>
    <w:p>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pStyle w:val="294"/>
        <w:spacing w:before="120" w:line="22" w:lineRule="atLeast"/>
        <w:rPr>
          <w:rFonts w:hint="eastAsia" w:ascii="宋体" w:hAnsi="宋体" w:eastAsia="宋体" w:cs="宋体"/>
          <w:color w:val="auto"/>
          <w:szCs w:val="24"/>
        </w:rPr>
      </w:pPr>
    </w:p>
    <w:p>
      <w:pPr>
        <w:pStyle w:val="294"/>
        <w:spacing w:before="120" w:line="22" w:lineRule="atLeast"/>
        <w:rPr>
          <w:rFonts w:hint="eastAsia" w:ascii="宋体" w:hAnsi="宋体" w:eastAsia="宋体" w:cs="宋体"/>
          <w:color w:val="auto"/>
          <w:szCs w:val="24"/>
        </w:rPr>
      </w:pPr>
    </w:p>
    <w:p>
      <w:pPr>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jc w:val="left"/>
        <w:rPr>
          <w:rFonts w:hint="eastAsia" w:ascii="宋体" w:hAnsi="宋体" w:eastAsia="宋体" w:cs="宋体"/>
          <w:color w:val="auto"/>
          <w:kern w:val="0"/>
          <w:sz w:val="24"/>
        </w:rPr>
        <w:sectPr>
          <w:headerReference r:id="rId10" w:type="default"/>
          <w:footerReference r:id="rId11" w:type="default"/>
          <w:pgSz w:w="11907" w:h="16840"/>
          <w:pgMar w:top="1474" w:right="1814" w:bottom="1474" w:left="1814" w:header="851" w:footer="851" w:gutter="0"/>
          <w:pgNumType w:fmt="decimal"/>
          <w:cols w:space="720" w:num="1"/>
        </w:sectPr>
      </w:pP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hint="eastAsia" w:ascii="宋体" w:hAnsi="宋体" w:eastAsia="宋体" w:cs="宋体"/>
          <w:color w:val="auto"/>
          <w:sz w:val="24"/>
        </w:rPr>
      </w:pPr>
      <w:bookmarkStart w:id="411" w:name="_Toc22967"/>
      <w:bookmarkStart w:id="412" w:name="_Toc20421"/>
      <w:bookmarkStart w:id="413" w:name="_Toc28855"/>
      <w:bookmarkStart w:id="414" w:name="_Toc15367"/>
      <w:bookmarkStart w:id="415" w:name="_Toc19273"/>
      <w:r>
        <w:rPr>
          <w:rFonts w:hint="eastAsia" w:ascii="宋体" w:hAnsi="宋体" w:eastAsia="宋体" w:cs="宋体"/>
          <w:b/>
          <w:color w:val="auto"/>
          <w:sz w:val="24"/>
        </w:rPr>
        <w:t>1.1 合同组成部分</w:t>
      </w:r>
      <w:bookmarkEnd w:id="411"/>
      <w:bookmarkEnd w:id="412"/>
      <w:bookmarkEnd w:id="413"/>
      <w:bookmarkEnd w:id="414"/>
      <w:bookmarkEnd w:id="41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hint="eastAsia" w:ascii="宋体" w:hAnsi="宋体" w:eastAsia="宋体" w:cs="宋体"/>
          <w:b/>
          <w:color w:val="auto"/>
          <w:sz w:val="24"/>
        </w:rPr>
      </w:pPr>
      <w:bookmarkStart w:id="416" w:name="_Toc6311"/>
      <w:bookmarkStart w:id="417" w:name="_Toc2918"/>
      <w:bookmarkStart w:id="418" w:name="_Toc22185"/>
      <w:bookmarkStart w:id="419" w:name="_Toc6773"/>
      <w:bookmarkStart w:id="420" w:name="_Toc18585"/>
      <w:r>
        <w:rPr>
          <w:rFonts w:hint="eastAsia" w:ascii="宋体" w:hAnsi="宋体" w:eastAsia="宋体" w:cs="宋体"/>
          <w:b/>
          <w:color w:val="auto"/>
          <w:sz w:val="24"/>
        </w:rPr>
        <w:t>1.2 标的</w:t>
      </w:r>
      <w:bookmarkEnd w:id="416"/>
      <w:bookmarkEnd w:id="417"/>
      <w:bookmarkEnd w:id="418"/>
      <w:bookmarkEnd w:id="419"/>
      <w:bookmarkEnd w:id="420"/>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421" w:name="_Toc1386"/>
      <w:bookmarkStart w:id="422" w:name="_Toc21124"/>
      <w:bookmarkStart w:id="423" w:name="_Toc4929"/>
      <w:bookmarkStart w:id="424" w:name="_Toc5635"/>
      <w:bookmarkStart w:id="425" w:name="_Toc13918"/>
      <w:r>
        <w:rPr>
          <w:rFonts w:hint="eastAsia" w:ascii="宋体" w:hAnsi="宋体" w:eastAsia="宋体" w:cs="宋体"/>
          <w:b/>
          <w:color w:val="auto"/>
          <w:sz w:val="24"/>
        </w:rPr>
        <w:t>1.3 价款</w:t>
      </w:r>
      <w:bookmarkEnd w:id="421"/>
      <w:bookmarkEnd w:id="422"/>
      <w:bookmarkEnd w:id="423"/>
      <w:bookmarkEnd w:id="424"/>
      <w:bookmarkEnd w:id="42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pPr>
              <w:pStyle w:val="1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pPr>
              <w:pStyle w:val="1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7"/>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7"/>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7"/>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7"/>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pPr>
              <w:pStyle w:val="117"/>
              <w:spacing w:line="560" w:lineRule="exact"/>
              <w:ind w:firstLine="200"/>
              <w:jc w:val="center"/>
              <w:rPr>
                <w:rFonts w:hint="eastAsia" w:ascii="宋体" w:hAnsi="宋体" w:eastAsia="宋体" w:cs="宋体"/>
                <w:color w:val="auto"/>
                <w:sz w:val="24"/>
                <w:szCs w:val="24"/>
              </w:rPr>
            </w:pPr>
          </w:p>
        </w:tc>
      </w:tr>
    </w:tbl>
    <w:p>
      <w:pPr>
        <w:spacing w:line="560" w:lineRule="exact"/>
        <w:ind w:firstLine="482" w:firstLineChars="200"/>
        <w:outlineLvl w:val="0"/>
        <w:rPr>
          <w:rFonts w:hint="eastAsia" w:ascii="宋体" w:hAnsi="宋体" w:eastAsia="宋体" w:cs="宋体"/>
          <w:b/>
          <w:color w:val="auto"/>
          <w:sz w:val="24"/>
        </w:rPr>
      </w:pPr>
      <w:bookmarkStart w:id="426" w:name="_Toc14993"/>
      <w:bookmarkStart w:id="427" w:name="_Toc3654"/>
      <w:bookmarkStart w:id="428" w:name="_Toc30506"/>
      <w:bookmarkStart w:id="429" w:name="_Toc26916"/>
      <w:bookmarkStart w:id="430" w:name="_Toc30158"/>
      <w:r>
        <w:rPr>
          <w:rFonts w:hint="eastAsia" w:ascii="宋体" w:hAnsi="宋体" w:eastAsia="宋体" w:cs="宋体"/>
          <w:b/>
          <w:color w:val="auto"/>
          <w:sz w:val="24"/>
        </w:rPr>
        <w:t>1.4 付款方式和发票开具方式</w:t>
      </w:r>
      <w:bookmarkEnd w:id="426"/>
      <w:bookmarkEnd w:id="427"/>
      <w:bookmarkEnd w:id="428"/>
      <w:bookmarkEnd w:id="429"/>
      <w:bookmarkEnd w:id="430"/>
    </w:p>
    <w:p>
      <w:pPr>
        <w:pStyle w:val="626"/>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合同预付款比例为合同金额的</w:t>
      </w:r>
      <w:r>
        <w:rPr>
          <w:rFonts w:hint="eastAsia" w:ascii="宋体" w:hAnsi="宋体" w:cs="宋体"/>
          <w:color w:val="auto"/>
          <w:sz w:val="24"/>
          <w:lang w:val="en-US" w:eastAsia="zh-CN"/>
        </w:rPr>
        <w:t>4</w:t>
      </w:r>
      <w:r>
        <w:rPr>
          <w:rFonts w:hint="eastAsia" w:ascii="宋体" w:hAnsi="宋体" w:eastAsia="宋体" w:cs="宋体"/>
          <w:color w:val="auto"/>
          <w:sz w:val="24"/>
        </w:rPr>
        <w:t>0％</w:t>
      </w:r>
      <w:r>
        <w:rPr>
          <w:rFonts w:hint="eastAsia" w:ascii="宋体" w:hAnsi="宋体" w:eastAsia="宋体" w:cs="宋体"/>
          <w:color w:val="auto"/>
          <w:sz w:val="24"/>
          <w:lang w:eastAsia="zh-CN"/>
        </w:rPr>
        <w:t>；项目完成并通过验收后支付合同剩余款项</w:t>
      </w:r>
      <w:r>
        <w:rPr>
          <w:rFonts w:hint="eastAsia" w:ascii="宋体" w:hAnsi="宋体" w:eastAsia="宋体" w:cs="宋体"/>
          <w:color w:val="auto"/>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1.4.4资金支付的方式、时间和条件详见</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431" w:name="_Toc11108"/>
      <w:bookmarkStart w:id="432" w:name="_Toc3625"/>
      <w:bookmarkStart w:id="433" w:name="_Toc31421"/>
      <w:bookmarkStart w:id="434" w:name="_Toc8772"/>
      <w:bookmarkStart w:id="435" w:name="_Toc4760"/>
      <w:r>
        <w:rPr>
          <w:rFonts w:hint="eastAsia" w:ascii="宋体" w:hAnsi="宋体" w:eastAsia="宋体" w:cs="宋体"/>
          <w:b/>
          <w:color w:val="auto"/>
          <w:sz w:val="24"/>
        </w:rPr>
        <w:t>1.5 履行期限、地点和方式</w:t>
      </w:r>
      <w:bookmarkEnd w:id="431"/>
      <w:bookmarkEnd w:id="432"/>
      <w:bookmarkEnd w:id="433"/>
      <w:bookmarkEnd w:id="434"/>
      <w:bookmarkEnd w:id="435"/>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color w:val="auto"/>
          <w:sz w:val="24"/>
          <w:u w:val="single"/>
        </w:rPr>
      </w:pPr>
      <w:bookmarkStart w:id="436" w:name="_Toc2375"/>
      <w:bookmarkStart w:id="437" w:name="_Toc8586"/>
      <w:bookmarkStart w:id="438" w:name="_Toc3079"/>
      <w:bookmarkStart w:id="439" w:name="_Toc24662"/>
      <w:bookmarkStart w:id="440" w:name="_Toc5698"/>
      <w:r>
        <w:rPr>
          <w:rFonts w:hint="eastAsia" w:ascii="宋体" w:hAnsi="宋体" w:eastAsia="宋体" w:cs="宋体"/>
          <w:b/>
          <w:color w:val="auto"/>
          <w:sz w:val="24"/>
        </w:rPr>
        <w:t>1.6 违约责任</w:t>
      </w:r>
      <w:bookmarkEnd w:id="436"/>
      <w:bookmarkEnd w:id="437"/>
      <w:bookmarkEnd w:id="438"/>
      <w:bookmarkEnd w:id="439"/>
      <w:bookmarkEnd w:id="44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宋体" w:hAnsi="宋体" w:eastAsia="宋体" w:cs="宋体"/>
          <w:color w:val="auto"/>
        </w:rPr>
      </w:pPr>
      <w:r>
        <w:rPr>
          <w:rFonts w:hint="eastAsia" w:ascii="宋体" w:hAnsi="宋体" w:eastAsia="宋体" w:cs="宋体"/>
          <w:color w:val="auto"/>
          <w:sz w:val="24"/>
        </w:rPr>
        <w:t>1.6.7违约责任另有约定的，从其约定。</w:t>
      </w:r>
    </w:p>
    <w:p>
      <w:pPr>
        <w:spacing w:line="560" w:lineRule="exact"/>
        <w:ind w:firstLine="482" w:firstLineChars="200"/>
        <w:outlineLvl w:val="0"/>
        <w:rPr>
          <w:rFonts w:hint="eastAsia" w:ascii="宋体" w:hAnsi="宋体" w:eastAsia="宋体" w:cs="宋体"/>
          <w:b/>
          <w:color w:val="auto"/>
          <w:sz w:val="24"/>
        </w:rPr>
      </w:pPr>
      <w:bookmarkStart w:id="441" w:name="_Toc32454"/>
      <w:bookmarkStart w:id="442" w:name="_Toc26807"/>
      <w:bookmarkStart w:id="443" w:name="_Toc30329"/>
      <w:bookmarkStart w:id="444" w:name="_Toc9497"/>
      <w:bookmarkStart w:id="445" w:name="_Toc18683"/>
      <w:r>
        <w:rPr>
          <w:rFonts w:hint="eastAsia" w:ascii="宋体" w:hAnsi="宋体" w:eastAsia="宋体" w:cs="宋体"/>
          <w:b/>
          <w:color w:val="auto"/>
          <w:sz w:val="24"/>
        </w:rPr>
        <w:t>1.7 合同争议的解决</w:t>
      </w:r>
      <w:bookmarkEnd w:id="441"/>
      <w:bookmarkEnd w:id="442"/>
      <w:bookmarkEnd w:id="443"/>
      <w:bookmarkEnd w:id="444"/>
      <w:bookmarkEnd w:id="445"/>
    </w:p>
    <w:p>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cs="宋体"/>
          <w:b/>
          <w:i/>
          <w:color w:val="auto"/>
          <w:sz w:val="24"/>
          <w:u w:val="single"/>
          <w:lang w:val="en-US" w:eastAsia="zh-CN"/>
        </w:rPr>
        <w:t xml:space="preserve">    </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cs="宋体"/>
          <w:b/>
          <w:i/>
          <w:color w:val="auto"/>
          <w:sz w:val="24"/>
          <w:u w:val="single"/>
          <w:lang w:val="en-US" w:eastAsia="zh-CN"/>
        </w:rPr>
        <w:t xml:space="preserve">  余杭区 </w:t>
      </w:r>
      <w:r>
        <w:rPr>
          <w:rFonts w:hint="eastAsia" w:ascii="宋体" w:hAnsi="宋体" w:eastAsia="宋体" w:cs="宋体"/>
          <w:color w:val="auto"/>
          <w:sz w:val="24"/>
        </w:rPr>
        <w:t>人民法院起诉。</w:t>
      </w:r>
    </w:p>
    <w:p>
      <w:pPr>
        <w:spacing w:line="560" w:lineRule="exact"/>
        <w:ind w:firstLine="241" w:firstLineChars="100"/>
        <w:outlineLvl w:val="0"/>
        <w:rPr>
          <w:rFonts w:hint="eastAsia" w:ascii="宋体" w:hAnsi="宋体" w:eastAsia="宋体" w:cs="宋体"/>
          <w:b/>
          <w:color w:val="auto"/>
          <w:sz w:val="24"/>
        </w:rPr>
      </w:pPr>
      <w:bookmarkStart w:id="446" w:name="_Toc12273"/>
      <w:bookmarkStart w:id="447" w:name="_Toc15827"/>
      <w:bookmarkStart w:id="448" w:name="_Toc16417"/>
      <w:bookmarkStart w:id="449" w:name="_Toc26227"/>
      <w:bookmarkStart w:id="450" w:name="_Toc23784"/>
      <w:r>
        <w:rPr>
          <w:rFonts w:hint="eastAsia" w:ascii="宋体" w:hAnsi="宋体" w:eastAsia="宋体" w:cs="宋体"/>
          <w:b/>
          <w:color w:val="auto"/>
          <w:sz w:val="24"/>
        </w:rPr>
        <w:t>1.8 合同生效</w:t>
      </w:r>
      <w:bookmarkEnd w:id="446"/>
      <w:bookmarkEnd w:id="447"/>
      <w:bookmarkEnd w:id="448"/>
      <w:bookmarkEnd w:id="449"/>
      <w:bookmarkEnd w:id="450"/>
    </w:p>
    <w:p>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本合同自双方当事人盖章或者签字时生效。</w:t>
      </w:r>
    </w:p>
    <w:p>
      <w:pPr>
        <w:autoSpaceDE w:val="0"/>
        <w:autoSpaceDN w:val="0"/>
        <w:spacing w:line="560" w:lineRule="exact"/>
        <w:rPr>
          <w:rFonts w:hint="eastAsia" w:ascii="宋体" w:hAnsi="宋体" w:eastAsia="宋体" w:cs="宋体"/>
          <w:color w:val="auto"/>
          <w:sz w:val="24"/>
          <w:lang w:val="zh-CN"/>
        </w:rPr>
      </w:pP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pStyle w:val="25"/>
        <w:rPr>
          <w:rFonts w:hint="eastAsia" w:ascii="宋体" w:hAnsi="宋体" w:eastAsia="宋体" w:cs="宋体"/>
          <w:color w:val="auto"/>
          <w:highlight w:val="none"/>
          <w:lang w:val="zh-CN"/>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资格文件部分(封面）</w:t>
      </w:r>
    </w:p>
    <w:p>
      <w:pPr>
        <w:spacing w:line="360" w:lineRule="auto"/>
        <w:jc w:val="center"/>
        <w:outlineLvl w:val="0"/>
        <w:rPr>
          <w:rFonts w:hint="eastAsia" w:ascii="宋体" w:hAnsi="宋体" w:eastAsia="宋体" w:cs="宋体"/>
          <w:b/>
          <w:color w:val="auto"/>
          <w:kern w:val="0"/>
          <w:sz w:val="36"/>
          <w:szCs w:val="36"/>
          <w:highlight w:val="none"/>
        </w:rPr>
      </w:pPr>
    </w:p>
    <w:p>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pPr>
        <w:pStyle w:val="627"/>
        <w:spacing w:line="360" w:lineRule="auto"/>
        <w:rPr>
          <w:rFonts w:hint="eastAsia" w:ascii="宋体" w:hAnsi="宋体" w:eastAsia="宋体" w:cs="宋体"/>
          <w:color w:val="auto"/>
          <w:sz w:val="32"/>
          <w:szCs w:val="32"/>
          <w:highlight w:val="none"/>
        </w:rPr>
      </w:pPr>
    </w:p>
    <w:p>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YHZFCG2024</w:t>
      </w:r>
      <w:r>
        <w:rPr>
          <w:rFonts w:hint="eastAsia" w:ascii="宋体" w:hAnsi="宋体" w:eastAsia="宋体" w:cs="宋体"/>
          <w:b/>
          <w:bCs/>
          <w:color w:val="auto"/>
          <w:sz w:val="32"/>
          <w:szCs w:val="32"/>
          <w:highlight w:val="none"/>
        </w:rPr>
        <w:t>-</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napToGrid w:val="0"/>
        <w:spacing w:line="360" w:lineRule="auto"/>
        <w:ind w:firstLine="1680" w:firstLineChars="600"/>
        <w:rPr>
          <w:rFonts w:hint="eastAsia" w:ascii="宋体" w:hAnsi="宋体" w:eastAsia="宋体" w:cs="宋体"/>
          <w:color w:val="auto"/>
          <w:sz w:val="28"/>
          <w:szCs w:val="28"/>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pStyle w:val="2"/>
        <w:snapToGrid w:val="0"/>
        <w:rPr>
          <w:rFonts w:hint="eastAsia" w:ascii="宋体" w:hAnsi="宋体" w:eastAsia="宋体" w:cs="宋体"/>
          <w:color w:val="auto"/>
          <w:sz w:val="32"/>
          <w:szCs w:val="32"/>
          <w:highlight w:val="none"/>
        </w:rPr>
        <w:sectPr>
          <w:footerReference r:id="rId12"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 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rPr>
        <w:t>法人或者其他组织</w:t>
      </w:r>
      <w:r>
        <w:rPr>
          <w:rFonts w:hint="eastAsia" w:ascii="宋体" w:hAnsi="宋体" w:cs="宋体"/>
          <w:b w:val="0"/>
          <w:bCs w:val="0"/>
          <w:color w:val="auto"/>
          <w:sz w:val="24"/>
          <w:highlight w:val="none"/>
          <w:lang w:eastAsia="zh-CN"/>
        </w:rPr>
        <w:t>机构的</w:t>
      </w:r>
      <w:r>
        <w:rPr>
          <w:rFonts w:hint="eastAsia" w:ascii="宋体" w:hAnsi="宋体" w:cs="宋体"/>
          <w:b w:val="0"/>
          <w:bCs w:val="0"/>
          <w:color w:val="auto"/>
          <w:sz w:val="24"/>
          <w:highlight w:val="none"/>
        </w:rPr>
        <w:t>营业执照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扫</w:t>
      </w:r>
      <w:r>
        <w:rPr>
          <w:rFonts w:hint="eastAsia" w:ascii="宋体" w:hAnsi="宋体" w:cs="宋体"/>
          <w:b w:val="0"/>
          <w:bCs w:val="0"/>
          <w:color w:val="auto"/>
          <w:sz w:val="24"/>
          <w:highlight w:val="none"/>
          <w:lang w:eastAsia="zh-CN"/>
        </w:rPr>
        <w:t>描件或复印件加盖公章）</w:t>
      </w:r>
      <w:r>
        <w:rPr>
          <w:rFonts w:hint="eastAsia" w:ascii="宋体" w:hAnsi="宋体" w:cs="宋体"/>
          <w:b w:val="0"/>
          <w:bCs w:val="0"/>
          <w:color w:val="auto"/>
          <w:sz w:val="24"/>
          <w:highlight w:val="none"/>
        </w:rPr>
        <w:t>或事业法人登记证书或其</w:t>
      </w:r>
      <w:r>
        <w:rPr>
          <w:rFonts w:hint="eastAsia" w:ascii="宋体" w:hAnsi="宋体" w:cs="宋体"/>
          <w:b w:val="0"/>
          <w:bCs w:val="0"/>
          <w:color w:val="auto"/>
          <w:sz w:val="24"/>
          <w:highlight w:val="none"/>
          <w:lang w:eastAsia="zh-CN"/>
        </w:rPr>
        <w:t>他</w:t>
      </w:r>
      <w:r>
        <w:rPr>
          <w:rFonts w:hint="eastAsia" w:ascii="宋体" w:hAnsi="宋体" w:cs="宋体"/>
          <w:b w:val="0"/>
          <w:bCs w:val="0"/>
          <w:color w:val="auto"/>
          <w:sz w:val="24"/>
          <w:highlight w:val="none"/>
        </w:rPr>
        <w:t>工商等登记证明材料</w:t>
      </w:r>
      <w:r>
        <w:rPr>
          <w:rFonts w:hint="eastAsia" w:ascii="宋体" w:hAnsi="宋体" w:eastAsia="宋体" w:cs="宋体"/>
          <w:color w:val="auto"/>
          <w:sz w:val="24"/>
        </w:rPr>
        <w:t>………………………………………（页码）</w:t>
      </w:r>
    </w:p>
    <w:p>
      <w:pPr>
        <w:snapToGrid w:val="0"/>
        <w:spacing w:line="360" w:lineRule="auto"/>
        <w:rPr>
          <w:rFonts w:hint="eastAsia" w:ascii="宋体" w:hAnsi="宋体" w:eastAsia="宋体" w:cs="宋体"/>
          <w:color w:val="auto"/>
          <w:sz w:val="24"/>
        </w:rPr>
      </w:pP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3）</w:t>
      </w:r>
      <w:r>
        <w:rPr>
          <w:rFonts w:hint="eastAsia" w:ascii="宋体" w:hAnsi="宋体" w:eastAsia="宋体" w:cs="宋体"/>
          <w:snapToGrid w:val="0"/>
          <w:color w:val="auto"/>
          <w:kern w:val="28"/>
          <w:sz w:val="24"/>
          <w:szCs w:val="20"/>
        </w:rPr>
        <w:t>联合协议</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如有）</w:t>
      </w:r>
      <w:r>
        <w:rPr>
          <w:rFonts w:hint="eastAsia" w:ascii="宋体" w:hAnsi="宋体" w:eastAsia="宋体" w:cs="宋体"/>
          <w:color w:val="auto"/>
          <w:sz w:val="24"/>
        </w:rPr>
        <w:t>……………………………………………………（页码）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）本项目的特定资格要求………………………………………………（页码）</w:t>
      </w:r>
    </w:p>
    <w:p>
      <w:pPr>
        <w:widowControl/>
        <w:snapToGrid w:val="0"/>
        <w:spacing w:line="360" w:lineRule="auto"/>
        <w:jc w:val="left"/>
        <w:rPr>
          <w:rFonts w:hint="eastAsia" w:ascii="宋体" w:hAnsi="宋体" w:eastAsia="宋体" w:cs="宋体"/>
          <w:color w:val="auto"/>
          <w:kern w:val="0"/>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pStyle w:val="67"/>
        <w:ind w:firstLine="480"/>
        <w:rPr>
          <w:rFonts w:hint="eastAsia" w:ascii="宋体" w:hAnsi="宋体" w:eastAsia="宋体" w:cs="宋体"/>
          <w:color w:val="auto"/>
          <w:sz w:val="24"/>
          <w:highlight w:val="none"/>
        </w:rPr>
      </w:pPr>
    </w:p>
    <w:p>
      <w:pPr>
        <w:pStyle w:val="2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7"/>
        <w:ind w:firstLine="420"/>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7"/>
        <w:ind w:firstLine="420"/>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pStyle w:val="627"/>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2024年余杭区劳动纠纷调解服务</w:t>
      </w:r>
      <w:r>
        <w:rPr>
          <w:rFonts w:hint="eastAsia" w:ascii="宋体" w:hAnsi="宋体" w:eastAsia="宋体" w:cs="宋体"/>
          <w:color w:val="auto"/>
          <w:sz w:val="24"/>
          <w:highlight w:val="none"/>
          <w:u w:val="single"/>
        </w:rPr>
        <w:t>【招标编号：（采购编号）】</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7"/>
        <w:ind w:firstLine="420"/>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二、提供法人或者其他组织机构的营业执照（扫描件或复印件加盖公章）或事业法人登记证书或其他工商等登记证明材料</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3"/>
        <w:rPr>
          <w:rFonts w:hint="eastAsia" w:ascii="宋体" w:hAnsi="宋体" w:eastAsia="宋体" w:cs="宋体"/>
          <w:color w:val="auto"/>
        </w:rPr>
      </w:pPr>
    </w:p>
    <w:p>
      <w:pPr>
        <w:rPr>
          <w:rFonts w:hint="eastAsia" w:ascii="宋体" w:hAnsi="宋体" w:eastAsia="宋体" w:cs="宋体"/>
          <w:color w:val="auto"/>
        </w:rPr>
      </w:pPr>
    </w:p>
    <w:p>
      <w:pPr>
        <w:widowControl/>
        <w:numPr>
          <w:ilvl w:val="0"/>
          <w:numId w:val="0"/>
        </w:numPr>
        <w:adjustRightInd/>
        <w:spacing w:line="240" w:lineRule="auto"/>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eastAsia="宋体" w:cs="宋体"/>
          <w:b/>
          <w:color w:val="auto"/>
          <w:kern w:val="0"/>
          <w:sz w:val="32"/>
          <w:szCs w:val="32"/>
        </w:rPr>
        <w:t>联合协议（如果有）</w:t>
      </w:r>
    </w:p>
    <w:p>
      <w:pPr>
        <w:widowControl/>
        <w:numPr>
          <w:ilvl w:val="0"/>
          <w:numId w:val="0"/>
        </w:numPr>
        <w:adjustRightInd/>
        <w:spacing w:line="240" w:lineRule="auto"/>
        <w:ind w:firstLine="0" w:firstLineChars="0"/>
        <w:jc w:val="left"/>
        <w:rPr>
          <w:rFonts w:hint="eastAsia" w:ascii="宋体" w:hAnsi="宋体" w:eastAsia="宋体" w:cs="宋体"/>
          <w:b/>
          <w:color w:val="auto"/>
          <w:kern w:val="0"/>
          <w:sz w:val="32"/>
          <w:szCs w:val="32"/>
        </w:rPr>
      </w:pP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3"/>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3"/>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3"/>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rPr>
          <w:rFonts w:hint="eastAsia"/>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eastAsia="宋体" w:cs="宋体"/>
          <w:b/>
          <w:color w:val="auto"/>
          <w:kern w:val="0"/>
          <w:sz w:val="32"/>
          <w:szCs w:val="32"/>
        </w:rPr>
        <w:t>、落实政府采购政策需满足的资格要求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w:t>
      </w:r>
    </w:p>
    <w:p>
      <w:pPr>
        <w:wordWrap/>
        <w:snapToGrid/>
        <w:spacing w:line="360" w:lineRule="auto"/>
        <w:ind w:firstLine="482" w:firstLineChars="200"/>
        <w:textAlignment w:val="auto"/>
        <w:rPr>
          <w:rFonts w:hint="eastAsia" w:ascii="宋体" w:hAnsi="宋体" w:eastAsia="宋体" w:cs="宋体"/>
          <w:b/>
          <w:bCs/>
          <w:color w:val="auto"/>
          <w:sz w:val="24"/>
        </w:rPr>
      </w:pPr>
    </w:p>
    <w:p>
      <w:pPr>
        <w:ind w:firstLine="964" w:firstLineChars="400"/>
        <w:rPr>
          <w:rFonts w:hint="eastAsia" w:ascii="宋体" w:hAnsi="宋体" w:cs="宋体"/>
          <w:b/>
          <w:color w:val="auto"/>
          <w:kern w:val="0"/>
          <w:sz w:val="32"/>
          <w:szCs w:val="32"/>
          <w:lang w:val="en-US" w:eastAsia="zh-CN"/>
        </w:rPr>
      </w:pPr>
      <w:r>
        <w:rPr>
          <w:rFonts w:hint="eastAsia" w:ascii="宋体" w:hAnsi="宋体" w:cs="宋体"/>
          <w:b/>
          <w:color w:val="auto"/>
          <w:sz w:val="24"/>
          <w:lang w:eastAsia="zh-CN"/>
        </w:rPr>
        <w:t>无</w:t>
      </w:r>
      <w:r>
        <w:rPr>
          <w:rFonts w:hint="eastAsia" w:ascii="宋体" w:hAnsi="宋体" w:cs="宋体"/>
          <w:b/>
          <w:color w:val="auto"/>
          <w:kern w:val="0"/>
          <w:sz w:val="32"/>
          <w:szCs w:val="32"/>
          <w:lang w:val="en-US" w:eastAsia="zh-CN"/>
        </w:rPr>
        <w:br w:type="page"/>
      </w: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eastAsia="宋体" w:cs="宋体"/>
          <w:b/>
          <w:color w:val="auto"/>
          <w:kern w:val="0"/>
          <w:sz w:val="32"/>
          <w:szCs w:val="32"/>
        </w:rPr>
        <w:t>、本项目的特定资格要求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根据浙财行[2018]32号文件规定，本项目承接主体要求经司法行政部门备案的具有从事纠纷调处条件的人民调解协会以及品牌人民调解工作室等社会组织。</w:t>
      </w:r>
    </w:p>
    <w:p>
      <w:pPr>
        <w:rPr>
          <w:rFonts w:hint="eastAsia" w:ascii="宋体" w:hAnsi="宋体" w:eastAsia="宋体" w:cs="宋体"/>
          <w:b/>
          <w:color w:val="auto"/>
          <w:kern w:val="0"/>
          <w:sz w:val="44"/>
          <w:szCs w:val="44"/>
          <w:highlight w:val="none"/>
        </w:rPr>
      </w:pPr>
    </w:p>
    <w:p>
      <w:pPr>
        <w:rPr>
          <w:rFonts w:hint="eastAsia" w:ascii="宋体" w:hAnsi="宋体" w:eastAsia="宋体" w:cs="宋体"/>
          <w:b/>
          <w:color w:val="auto"/>
          <w:kern w:val="0"/>
          <w:sz w:val="44"/>
          <w:szCs w:val="44"/>
          <w:highlight w:val="none"/>
        </w:rPr>
      </w:pPr>
      <w:r>
        <w:rPr>
          <w:rFonts w:hint="eastAsia" w:ascii="宋体" w:hAnsi="宋体" w:cs="宋体"/>
          <w:b/>
          <w:color w:val="auto"/>
          <w:kern w:val="0"/>
          <w:sz w:val="44"/>
          <w:szCs w:val="44"/>
          <w:highlight w:val="none"/>
          <w:lang w:val="en-US" w:eastAsia="zh-CN"/>
        </w:rPr>
        <w:t xml:space="preserve">  提供调解工作室等社会组织成立的证明材料。</w:t>
      </w:r>
      <w:r>
        <w:rPr>
          <w:rFonts w:hint="eastAsia" w:ascii="宋体" w:hAnsi="宋体" w:eastAsia="宋体" w:cs="宋体"/>
          <w:b/>
          <w:color w:val="auto"/>
          <w:kern w:val="0"/>
          <w:sz w:val="44"/>
          <w:szCs w:val="44"/>
          <w:highlight w:val="none"/>
        </w:rPr>
        <w:br w:type="page"/>
      </w:r>
    </w:p>
    <w:p>
      <w:pPr>
        <w:spacing w:line="360" w:lineRule="auto"/>
        <w:ind w:right="420" w:firstLine="2209" w:firstLineChars="500"/>
        <w:jc w:val="both"/>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pacing w:line="360" w:lineRule="auto"/>
        <w:jc w:val="center"/>
        <w:outlineLvl w:val="0"/>
        <w:rPr>
          <w:rFonts w:hint="eastAsia" w:ascii="宋体" w:hAnsi="宋体" w:eastAsia="宋体" w:cs="宋体"/>
          <w:b/>
          <w:color w:val="auto"/>
          <w:kern w:val="0"/>
          <w:sz w:val="24"/>
          <w:highlight w:val="none"/>
        </w:rPr>
      </w:pPr>
    </w:p>
    <w:p>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pPr>
        <w:pStyle w:val="25"/>
        <w:spacing w:line="360" w:lineRule="auto"/>
        <w:rPr>
          <w:rFonts w:hint="eastAsia" w:ascii="宋体" w:hAnsi="宋体" w:eastAsia="宋体" w:cs="宋体"/>
          <w:color w:val="auto"/>
          <w:highlight w:val="none"/>
        </w:rPr>
      </w:pPr>
    </w:p>
    <w:p>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51" w:name="_Toc17190"/>
      <w:r>
        <w:rPr>
          <w:rFonts w:hint="eastAsia" w:ascii="宋体" w:hAnsi="宋体" w:eastAsia="宋体" w:cs="宋体"/>
          <w:b/>
          <w:bCs/>
          <w:color w:val="auto"/>
          <w:sz w:val="52"/>
          <w:szCs w:val="52"/>
          <w:highlight w:val="none"/>
        </w:rPr>
        <w:t>商 务 技 术 文 件</w:t>
      </w:r>
      <w:bookmarkEnd w:id="451"/>
    </w:p>
    <w:p>
      <w:pPr>
        <w:widowControl/>
        <w:spacing w:line="360" w:lineRule="auto"/>
        <w:ind w:right="-2"/>
        <w:jc w:val="center"/>
        <w:outlineLvl w:val="1"/>
        <w:rPr>
          <w:rFonts w:hint="eastAsia" w:ascii="宋体" w:hAnsi="宋体" w:eastAsia="宋体" w:cs="宋体"/>
          <w:b/>
          <w:color w:val="auto"/>
          <w:sz w:val="36"/>
          <w:szCs w:val="36"/>
          <w:highlight w:val="none"/>
        </w:rPr>
      </w:pPr>
      <w:bookmarkStart w:id="452" w:name="_Toc27078"/>
      <w:r>
        <w:rPr>
          <w:rFonts w:hint="eastAsia" w:ascii="宋体" w:hAnsi="宋体" w:eastAsia="宋体" w:cs="宋体"/>
          <w:b/>
          <w:color w:val="auto"/>
          <w:sz w:val="36"/>
          <w:szCs w:val="36"/>
          <w:highlight w:val="none"/>
        </w:rPr>
        <w:t>（线上电子招投标）</w:t>
      </w:r>
      <w:bookmarkEnd w:id="452"/>
    </w:p>
    <w:p>
      <w:pPr>
        <w:pStyle w:val="627"/>
        <w:spacing w:line="360" w:lineRule="auto"/>
        <w:rPr>
          <w:rFonts w:hint="eastAsia" w:ascii="宋体" w:hAnsi="宋体" w:eastAsia="宋体" w:cs="宋体"/>
          <w:color w:val="auto"/>
          <w:sz w:val="36"/>
          <w:szCs w:val="36"/>
          <w:highlight w:val="none"/>
        </w:rPr>
      </w:pPr>
    </w:p>
    <w:p>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53" w:name="_Toc28851"/>
      <w:r>
        <w:rPr>
          <w:rFonts w:hint="eastAsia" w:ascii="宋体" w:hAnsi="宋体" w:eastAsia="宋体" w:cs="宋体"/>
          <w:b/>
          <w:bCs/>
          <w:color w:val="auto"/>
          <w:sz w:val="36"/>
          <w:szCs w:val="36"/>
          <w:highlight w:val="none"/>
        </w:rPr>
        <w:t xml:space="preserve">  招标编号：</w:t>
      </w:r>
      <w:bookmarkEnd w:id="453"/>
      <w:r>
        <w:rPr>
          <w:rFonts w:hint="eastAsia" w:ascii="宋体" w:hAnsi="宋体" w:eastAsia="宋体" w:cs="宋体"/>
          <w:b/>
          <w:bCs/>
          <w:color w:val="auto"/>
          <w:sz w:val="36"/>
          <w:szCs w:val="36"/>
          <w:highlight w:val="none"/>
          <w:lang w:eastAsia="zh-CN"/>
        </w:rPr>
        <w:t>YHZFCG2024</w:t>
      </w:r>
      <w:r>
        <w:rPr>
          <w:rFonts w:hint="eastAsia" w:ascii="宋体" w:hAnsi="宋体" w:eastAsia="宋体" w:cs="宋体"/>
          <w:b/>
          <w:bCs/>
          <w:color w:val="auto"/>
          <w:sz w:val="36"/>
          <w:szCs w:val="36"/>
          <w:highlight w:val="none"/>
        </w:rPr>
        <w:t xml:space="preserve">- </w:t>
      </w:r>
    </w:p>
    <w:p>
      <w:pPr>
        <w:pStyle w:val="627"/>
        <w:spacing w:line="360" w:lineRule="auto"/>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72"/>
          <w:szCs w:val="72"/>
          <w:highlight w:val="none"/>
        </w:rPr>
        <w:t>件</w:t>
      </w:r>
    </w:p>
    <w:p>
      <w:pPr>
        <w:pStyle w:val="25"/>
        <w:spacing w:line="360" w:lineRule="auto"/>
        <w:rPr>
          <w:rFonts w:hint="eastAsia" w:ascii="宋体" w:hAnsi="宋体" w:eastAsia="宋体" w:cs="宋体"/>
          <w:color w:val="auto"/>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pStyle w:val="2"/>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pgNumType w:fmt="decimal"/>
          <w:cols w:space="720" w:num="1"/>
          <w:docGrid w:type="lines" w:linePitch="315" w:charSpace="0"/>
        </w:sectPr>
      </w:pPr>
    </w:p>
    <w:p>
      <w:pPr>
        <w:pStyle w:val="67"/>
        <w:ind w:firstLine="420"/>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）关于对招标文件中有关条款的拒绝声明（如果有的话）</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）投标人认为需要提供的与本项目有关的其他文件和说明</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bidi w:val="0"/>
        <w:rPr>
          <w:rFonts w:hint="eastAsia" w:ascii="宋体" w:hAnsi="宋体" w:eastAsia="宋体" w:cs="宋体"/>
          <w:color w:val="auto"/>
          <w:highlight w:val="none"/>
          <w:lang w:val="zh-CN"/>
        </w:rPr>
      </w:pPr>
    </w:p>
    <w:p>
      <w:pPr>
        <w:bidi w:val="0"/>
        <w:rPr>
          <w:rFonts w:hint="eastAsia" w:ascii="宋体" w:hAnsi="宋体" w:eastAsia="宋体" w:cs="宋体"/>
          <w:color w:val="auto"/>
          <w:highlight w:val="none"/>
          <w:lang w:val="zh-CN"/>
        </w:rPr>
      </w:pPr>
    </w:p>
    <w:p>
      <w:pPr>
        <w:bidi w:val="0"/>
        <w:rPr>
          <w:rFonts w:hint="eastAsia" w:ascii="宋体" w:hAnsi="宋体" w:eastAsia="宋体" w:cs="宋体"/>
          <w:color w:val="auto"/>
          <w:highlight w:val="none"/>
          <w:lang w:val="zh-CN"/>
        </w:rPr>
      </w:pPr>
    </w:p>
    <w:p>
      <w:pPr>
        <w:bidi w:val="0"/>
        <w:rPr>
          <w:rFonts w:hint="eastAsia" w:ascii="宋体" w:hAnsi="宋体" w:eastAsia="宋体" w:cs="宋体"/>
          <w:color w:val="auto"/>
          <w:highlight w:val="none"/>
          <w:lang w:val="zh-CN"/>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54" w:name="_Hlk101257010"/>
      <w:r>
        <w:rPr>
          <w:rFonts w:hint="eastAsia" w:ascii="宋体" w:hAnsi="宋体" w:eastAsia="宋体" w:cs="宋体"/>
          <w:color w:val="auto"/>
          <w:sz w:val="24"/>
        </w:rPr>
        <w:t>（如果有)</w:t>
      </w:r>
      <w:bookmarkEnd w:id="454"/>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pStyle w:val="3"/>
        <w:adjustRightInd w:val="0"/>
        <w:snapToGrid w:val="0"/>
        <w:ind w:left="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99"/>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9"/>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99"/>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8"/>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3"/>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3"/>
        <w:rPr>
          <w:rFonts w:hint="eastAsia" w:ascii="宋体" w:hAnsi="宋体" w:eastAsia="宋体" w:cs="宋体"/>
          <w:color w:val="auto"/>
        </w:rPr>
      </w:pPr>
    </w:p>
    <w:p>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w:t>
      </w:r>
      <w:r>
        <w:rPr>
          <w:rFonts w:hint="eastAsia" w:ascii="宋体" w:hAnsi="宋体" w:cs="宋体"/>
          <w:color w:val="auto"/>
          <w:sz w:val="24"/>
          <w:lang w:eastAsia="zh-CN"/>
        </w:rPr>
        <w:t>招标和服务内容结合</w:t>
      </w:r>
      <w:r>
        <w:rPr>
          <w:rFonts w:hint="eastAsia" w:ascii="宋体" w:hAnsi="宋体" w:eastAsia="宋体" w:cs="宋体"/>
          <w:color w:val="auto"/>
          <w:sz w:val="24"/>
        </w:rPr>
        <w:t>本格式和要求提供。</w:t>
      </w:r>
    </w:p>
    <w:p>
      <w:pPr>
        <w:jc w:val="center"/>
        <w:rPr>
          <w:rFonts w:hint="eastAsia" w:ascii="宋体" w:hAnsi="宋体" w:eastAsia="宋体" w:cs="宋体"/>
          <w:b/>
          <w:color w:val="auto"/>
          <w:kern w:val="0"/>
          <w:sz w:val="32"/>
          <w:szCs w:val="32"/>
        </w:rPr>
      </w:pPr>
    </w:p>
    <w:p>
      <w:pPr>
        <w:pStyle w:val="3"/>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3"/>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w:t>
            </w:r>
            <w:r>
              <w:rPr>
                <w:rFonts w:hint="eastAsia" w:ascii="宋体" w:hAnsi="宋体" w:cs="宋体"/>
                <w:b/>
                <w:bCs/>
                <w:color w:val="auto"/>
                <w:sz w:val="24"/>
                <w:lang w:val="en-US" w:eastAsia="zh-CN"/>
              </w:rPr>
              <w:t>第三部分采购需求</w:t>
            </w:r>
            <w:r>
              <w:rPr>
                <w:rFonts w:hint="eastAsia" w:ascii="宋体" w:hAnsi="宋体" w:eastAsia="宋体" w:cs="宋体"/>
                <w:b/>
                <w:bCs/>
                <w:color w:val="auto"/>
                <w:sz w:val="24"/>
              </w:rPr>
              <w:t>章节及具体内容</w:t>
            </w:r>
          </w:p>
        </w:tc>
        <w:tc>
          <w:tcPr>
            <w:tcW w:w="354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pStyle w:val="980"/>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w:t>
      </w:r>
      <w:r>
        <w:rPr>
          <w:rFonts w:hint="eastAsia" w:hAnsi="宋体" w:cs="宋体"/>
          <w:b/>
          <w:color w:val="auto"/>
          <w:sz w:val="28"/>
          <w:szCs w:val="28"/>
          <w:highlight w:val="none"/>
          <w:lang w:eastAsia="zh-CN"/>
        </w:rPr>
        <w:t>一起</w:t>
      </w:r>
      <w:r>
        <w:rPr>
          <w:rFonts w:hint="eastAsia" w:ascii="宋体" w:hAnsi="宋体" w:eastAsia="宋体" w:cs="宋体"/>
          <w:b/>
          <w:color w:val="auto"/>
          <w:sz w:val="28"/>
          <w:szCs w:val="28"/>
          <w:highlight w:val="none"/>
          <w:lang w:eastAsia="zh-CN"/>
        </w:rPr>
        <w:t>制作递交）</w:t>
      </w:r>
    </w:p>
    <w:p>
      <w:pPr>
        <w:pStyle w:val="980"/>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（电子投标文件解密后，</w:t>
      </w:r>
      <w:r>
        <w:rPr>
          <w:rFonts w:hint="eastAsia" w:hAnsi="宋体" w:cs="宋体"/>
          <w:b/>
          <w:color w:val="auto"/>
          <w:szCs w:val="24"/>
          <w:highlight w:val="none"/>
          <w:lang w:eastAsia="zh-CN"/>
        </w:rPr>
        <w:t>投标人可</w:t>
      </w:r>
      <w:r>
        <w:rPr>
          <w:rFonts w:hint="eastAsia" w:ascii="宋体" w:hAnsi="宋体" w:eastAsia="宋体" w:cs="宋体"/>
          <w:b/>
          <w:color w:val="auto"/>
          <w:szCs w:val="24"/>
          <w:highlight w:val="none"/>
          <w:lang w:eastAsia="zh-CN"/>
        </w:rPr>
        <w:t>自行核实下述承诺内容，如有不符，重新联系代理公司重新按新的内容邮箱递交）</w:t>
      </w:r>
    </w:p>
    <w:p>
      <w:pPr>
        <w:pStyle w:val="980"/>
        <w:snapToGrid w:val="0"/>
        <w:spacing w:before="120" w:after="120"/>
        <w:jc w:val="center"/>
        <w:rPr>
          <w:rFonts w:hint="eastAsia" w:ascii="宋体" w:hAnsi="宋体" w:eastAsia="宋体" w:cs="宋体"/>
          <w:b/>
          <w:color w:val="auto"/>
          <w:sz w:val="32"/>
          <w:szCs w:val="32"/>
          <w:highlight w:val="none"/>
        </w:rPr>
      </w:pPr>
    </w:p>
    <w:p>
      <w:pPr>
        <w:pStyle w:val="980"/>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980"/>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80"/>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981"/>
        <w:widowControl/>
        <w:numPr>
          <w:ilvl w:val="0"/>
          <w:numId w:val="12"/>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98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98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98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98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98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98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980"/>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980"/>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81"/>
        <w:widowControl/>
        <w:numPr>
          <w:ilvl w:val="0"/>
          <w:numId w:val="1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981"/>
        <w:widowControl/>
        <w:numPr>
          <w:ilvl w:val="0"/>
          <w:numId w:val="13"/>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980"/>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980"/>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55" w:name="_Toc105"/>
      <w:r>
        <w:rPr>
          <w:rFonts w:hint="eastAsia" w:ascii="宋体" w:hAnsi="宋体" w:eastAsia="宋体" w:cs="宋体"/>
          <w:b/>
          <w:bCs/>
          <w:color w:val="auto"/>
          <w:sz w:val="52"/>
          <w:szCs w:val="52"/>
        </w:rPr>
        <w:t>报 价 文 件</w:t>
      </w:r>
      <w:bookmarkEnd w:id="455"/>
    </w:p>
    <w:p>
      <w:pPr>
        <w:widowControl/>
        <w:spacing w:line="360" w:lineRule="auto"/>
        <w:ind w:right="-2"/>
        <w:jc w:val="center"/>
        <w:outlineLvl w:val="1"/>
        <w:rPr>
          <w:rFonts w:hint="eastAsia" w:ascii="宋体" w:hAnsi="宋体" w:eastAsia="宋体" w:cs="宋体"/>
          <w:b/>
          <w:color w:val="auto"/>
          <w:sz w:val="36"/>
          <w:szCs w:val="36"/>
        </w:rPr>
      </w:pPr>
      <w:bookmarkStart w:id="456" w:name="_Toc22501"/>
      <w:r>
        <w:rPr>
          <w:rFonts w:hint="eastAsia" w:ascii="宋体" w:hAnsi="宋体" w:eastAsia="宋体" w:cs="宋体"/>
          <w:b/>
          <w:color w:val="auto"/>
          <w:sz w:val="36"/>
          <w:szCs w:val="36"/>
        </w:rPr>
        <w:t>（线上电子招投标）</w:t>
      </w:r>
      <w:bookmarkEnd w:id="456"/>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57"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57"/>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7" w:type="default"/>
          <w:footerReference r:id="rId18"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3"/>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）报价情况说明（如果有）……………………………………………………（页码）</w:t>
      </w:r>
    </w:p>
    <w:p>
      <w:pPr>
        <w:snapToGrid w:val="0"/>
        <w:spacing w:line="360" w:lineRule="auto"/>
        <w:ind w:right="480"/>
        <w:jc w:val="center"/>
        <w:rPr>
          <w:rFonts w:hint="eastAsia" w:ascii="宋体" w:hAnsi="宋体" w:eastAsia="宋体" w:cs="宋体"/>
          <w:b/>
          <w:color w:val="auto"/>
          <w:kern w:val="0"/>
          <w:sz w:val="32"/>
          <w:szCs w:val="32"/>
        </w:rPr>
      </w:pPr>
    </w:p>
    <w:p>
      <w:pPr>
        <w:pStyle w:val="388"/>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按你方招标文件要求，我们，本投标文件签字方，谨此向你方发出要约如下：如你方接受本投标，我方承诺按照如下开标一览表（报价表）的价格完成2024年余杭区劳动纠纷调解服务</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cs="宋体"/>
          <w:b/>
          <w:color w:val="auto"/>
          <w:kern w:val="0"/>
          <w:sz w:val="24"/>
          <w:highlight w:val="none"/>
          <w:lang w:val="zh-CN"/>
        </w:rPr>
      </w:pP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8"/>
        <w:tblW w:w="87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22"/>
        <w:gridCol w:w="1425"/>
        <w:gridCol w:w="2500"/>
        <w:gridCol w:w="11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722" w:type="dxa"/>
            <w:tcBorders>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425"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w:t>
            </w:r>
            <w:r>
              <w:rPr>
                <w:rFonts w:hint="eastAsia" w:ascii="宋体" w:hAnsi="宋体" w:cs="宋体"/>
                <w:b/>
                <w:bCs/>
                <w:color w:val="auto"/>
                <w:sz w:val="24"/>
                <w:szCs w:val="22"/>
                <w:highlight w:val="none"/>
                <w:lang w:eastAsia="zh-CN"/>
              </w:rPr>
              <w:t>要求</w:t>
            </w:r>
          </w:p>
        </w:tc>
        <w:tc>
          <w:tcPr>
            <w:tcW w:w="2500"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投标报价</w:t>
            </w:r>
          </w:p>
        </w:tc>
        <w:tc>
          <w:tcPr>
            <w:tcW w:w="1131"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jc w:val="center"/>
        </w:trPr>
        <w:tc>
          <w:tcPr>
            <w:tcW w:w="3722" w:type="dxa"/>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（一）调解成功并符合下列条件之一：</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1.具备付款凭证及结清证明的；</w:t>
            </w:r>
          </w:p>
          <w:p>
            <w:pPr>
              <w:numPr>
                <w:ilvl w:val="0"/>
                <w:numId w:val="0"/>
              </w:numPr>
              <w:adjustRightInd/>
              <w:spacing w:line="360" w:lineRule="auto"/>
              <w:jc w:val="left"/>
              <w:outlineLvl w:val="9"/>
              <w:rPr>
                <w:rFonts w:hint="eastAsia" w:asciiTheme="majorEastAsia" w:hAnsiTheme="majorEastAsia" w:eastAsiaTheme="majorEastAsia" w:cstheme="majorEastAsia"/>
                <w:color w:val="auto"/>
                <w:sz w:val="21"/>
                <w:szCs w:val="21"/>
                <w:highlight w:val="none"/>
                <w:u w:val="none"/>
              </w:rPr>
            </w:pPr>
            <w:r>
              <w:rPr>
                <w:rFonts w:hint="eastAsia" w:asciiTheme="majorEastAsia" w:hAnsiTheme="majorEastAsia" w:eastAsiaTheme="majorEastAsia" w:cstheme="majorEastAsia"/>
                <w:color w:val="auto"/>
                <w:sz w:val="21"/>
                <w:szCs w:val="21"/>
                <w:highlight w:val="none"/>
                <w:lang w:val="en-US" w:eastAsia="zh-CN"/>
              </w:rPr>
              <w:t>2.形成含调解协议书面案卷的；</w:t>
            </w:r>
          </w:p>
        </w:tc>
        <w:tc>
          <w:tcPr>
            <w:tcW w:w="1425" w:type="dxa"/>
            <w:tcBorders>
              <w:left w:val="single" w:color="auto" w:sz="4" w:space="0"/>
              <w:right w:val="single" w:color="auto" w:sz="4" w:space="0"/>
            </w:tcBorders>
            <w:vAlign w:val="center"/>
          </w:tcPr>
          <w:p>
            <w:pPr>
              <w:numPr>
                <w:ilvl w:val="0"/>
                <w:numId w:val="0"/>
              </w:numPr>
              <w:adjustRightInd/>
              <w:spacing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2"/>
                <w:highlight w:val="none"/>
              </w:rPr>
              <w:t>响应招标文件要求</w:t>
            </w:r>
          </w:p>
        </w:tc>
        <w:tc>
          <w:tcPr>
            <w:tcW w:w="2500"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p>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tc>
        <w:tc>
          <w:tcPr>
            <w:tcW w:w="1131"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2"/>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最高限价550元/件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2" w:hRule="atLeast"/>
          <w:jc w:val="center"/>
        </w:trPr>
        <w:tc>
          <w:tcPr>
            <w:tcW w:w="3722" w:type="dxa"/>
            <w:tcBorders>
              <w:right w:val="single" w:color="auto" w:sz="4" w:space="0"/>
            </w:tcBorders>
            <w:vAlign w:val="center"/>
          </w:tcPr>
          <w:p>
            <w:pPr>
              <w:numPr>
                <w:ilvl w:val="0"/>
                <w:numId w:val="0"/>
              </w:numPr>
              <w:spacing w:line="240" w:lineRule="auto"/>
              <w:jc w:val="left"/>
              <w:rPr>
                <w:rFonts w:hint="eastAsia" w:asciiTheme="majorEastAsia" w:hAnsiTheme="majorEastAsia" w:eastAsiaTheme="majorEastAsia" w:cstheme="majorEastAsia"/>
                <w:b w:val="0"/>
                <w:bCs w:val="0"/>
                <w:sz w:val="21"/>
                <w:szCs w:val="21"/>
                <w:highlight w:val="none"/>
                <w:lang w:eastAsia="zh-CN"/>
              </w:rPr>
            </w:pPr>
            <w:r>
              <w:rPr>
                <w:rFonts w:hint="eastAsia" w:asciiTheme="majorEastAsia" w:hAnsiTheme="majorEastAsia" w:eastAsiaTheme="majorEastAsia" w:cstheme="majorEastAsia"/>
                <w:b w:val="0"/>
                <w:bCs w:val="0"/>
                <w:sz w:val="21"/>
                <w:szCs w:val="21"/>
                <w:highlight w:val="none"/>
                <w:lang w:eastAsia="zh-CN"/>
              </w:rPr>
              <w:t>（二）符合下列条件之一：</w:t>
            </w:r>
          </w:p>
          <w:p>
            <w:pPr>
              <w:numPr>
                <w:ilvl w:val="0"/>
                <w:numId w:val="0"/>
              </w:numPr>
              <w:spacing w:line="240" w:lineRule="auto"/>
              <w:jc w:val="left"/>
              <w:rPr>
                <w:rFonts w:hint="eastAsia" w:asciiTheme="majorEastAsia" w:hAnsiTheme="majorEastAsia" w:eastAsiaTheme="majorEastAsia" w:cstheme="majorEastAsia"/>
                <w:b w:val="0"/>
                <w:bCs w:val="0"/>
                <w:sz w:val="21"/>
                <w:szCs w:val="21"/>
                <w:highlight w:val="none"/>
                <w:lang w:eastAsia="zh-CN"/>
              </w:rPr>
            </w:pPr>
            <w:r>
              <w:rPr>
                <w:rFonts w:hint="eastAsia" w:asciiTheme="majorEastAsia" w:hAnsiTheme="majorEastAsia" w:eastAsiaTheme="majorEastAsia" w:cstheme="majorEastAsia"/>
                <w:b w:val="0"/>
                <w:bCs w:val="0"/>
                <w:sz w:val="21"/>
                <w:szCs w:val="21"/>
                <w:highlight w:val="none"/>
                <w:lang w:eastAsia="zh-CN"/>
              </w:rPr>
              <w:t>1.亡人的；</w:t>
            </w:r>
          </w:p>
          <w:p>
            <w:pPr>
              <w:numPr>
                <w:ilvl w:val="0"/>
                <w:numId w:val="0"/>
              </w:numPr>
              <w:spacing w:line="240" w:lineRule="auto"/>
              <w:jc w:val="left"/>
              <w:rPr>
                <w:rFonts w:hint="eastAsia" w:asciiTheme="majorEastAsia" w:hAnsiTheme="majorEastAsia" w:eastAsiaTheme="majorEastAsia" w:cstheme="majorEastAsia"/>
                <w:b w:val="0"/>
                <w:bCs w:val="0"/>
                <w:sz w:val="21"/>
                <w:szCs w:val="21"/>
                <w:highlight w:val="none"/>
                <w:lang w:eastAsia="zh-CN"/>
              </w:rPr>
            </w:pPr>
            <w:r>
              <w:rPr>
                <w:rFonts w:hint="eastAsia" w:asciiTheme="majorEastAsia" w:hAnsiTheme="majorEastAsia" w:eastAsiaTheme="majorEastAsia" w:cstheme="majorEastAsia"/>
                <w:b w:val="0"/>
                <w:bCs w:val="0"/>
                <w:sz w:val="21"/>
                <w:szCs w:val="21"/>
                <w:highlight w:val="none"/>
                <w:lang w:eastAsia="zh-CN"/>
              </w:rPr>
              <w:t>2.涉案标的100万以上的；</w:t>
            </w:r>
          </w:p>
          <w:p>
            <w:pPr>
              <w:numPr>
                <w:ilvl w:val="0"/>
                <w:numId w:val="0"/>
              </w:numPr>
              <w:spacing w:line="240" w:lineRule="auto"/>
              <w:jc w:val="left"/>
              <w:rPr>
                <w:rFonts w:hint="eastAsia" w:asciiTheme="majorEastAsia" w:hAnsiTheme="majorEastAsia" w:eastAsiaTheme="majorEastAsia" w:cstheme="majorEastAsia"/>
                <w:b w:val="0"/>
                <w:bCs w:val="0"/>
                <w:sz w:val="21"/>
                <w:szCs w:val="21"/>
                <w:highlight w:val="none"/>
                <w:lang w:eastAsia="zh-CN"/>
              </w:rPr>
            </w:pPr>
            <w:r>
              <w:rPr>
                <w:rFonts w:hint="eastAsia" w:asciiTheme="majorEastAsia" w:hAnsiTheme="majorEastAsia" w:eastAsiaTheme="majorEastAsia" w:cstheme="majorEastAsia"/>
                <w:b w:val="0"/>
                <w:bCs w:val="0"/>
                <w:sz w:val="21"/>
                <w:szCs w:val="21"/>
                <w:highlight w:val="none"/>
                <w:lang w:eastAsia="zh-CN"/>
              </w:rPr>
              <w:t>3.10人以上群体性且涉案金额25万元以上的；</w:t>
            </w:r>
          </w:p>
          <w:p>
            <w:pPr>
              <w:numPr>
                <w:ilvl w:val="-1"/>
                <w:numId w:val="0"/>
              </w:numPr>
              <w:spacing w:line="240" w:lineRule="auto"/>
              <w:ind w:firstLine="0" w:firstLineChars="0"/>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b w:val="0"/>
                <w:bCs w:val="0"/>
                <w:sz w:val="21"/>
                <w:szCs w:val="21"/>
                <w:highlight w:val="none"/>
                <w:lang w:val="en-US" w:eastAsia="zh-CN"/>
              </w:rPr>
              <w:t>4.</w:t>
            </w:r>
            <w:r>
              <w:rPr>
                <w:rFonts w:hint="eastAsia" w:asciiTheme="majorEastAsia" w:hAnsiTheme="majorEastAsia" w:eastAsiaTheme="majorEastAsia" w:cstheme="majorEastAsia"/>
                <w:b w:val="0"/>
                <w:bCs w:val="0"/>
                <w:sz w:val="21"/>
                <w:szCs w:val="21"/>
                <w:highlight w:val="none"/>
                <w:lang w:eastAsia="zh-CN"/>
              </w:rPr>
              <w:t>其他重大纠纷的。</w:t>
            </w:r>
          </w:p>
        </w:tc>
        <w:tc>
          <w:tcPr>
            <w:tcW w:w="1425" w:type="dxa"/>
            <w:tcBorders>
              <w:left w:val="single" w:color="auto" w:sz="4" w:space="0"/>
              <w:right w:val="single" w:color="auto" w:sz="4" w:space="0"/>
            </w:tcBorders>
            <w:vAlign w:val="center"/>
          </w:tcPr>
          <w:p>
            <w:pPr>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2"/>
                <w:highlight w:val="none"/>
              </w:rPr>
              <w:t>响应招标文件要求</w:t>
            </w:r>
          </w:p>
        </w:tc>
        <w:tc>
          <w:tcPr>
            <w:tcW w:w="2500"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p>
            <w:pPr>
              <w:spacing w:line="24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tc>
        <w:tc>
          <w:tcPr>
            <w:tcW w:w="1131"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2"/>
                <w:highlight w:val="none"/>
                <w:lang w:val="en-US" w:eastAsia="zh-CN"/>
              </w:rPr>
            </w:pPr>
            <w:r>
              <w:rPr>
                <w:rFonts w:hint="eastAsia" w:asciiTheme="majorEastAsia" w:hAnsiTheme="majorEastAsia" w:eastAsiaTheme="majorEastAsia" w:cstheme="majorEastAsia"/>
                <w:b/>
                <w:bCs/>
                <w:sz w:val="21"/>
                <w:szCs w:val="21"/>
                <w:highlight w:val="none"/>
                <w:lang w:val="en-US" w:eastAsia="zh-CN"/>
              </w:rPr>
              <w:t>最高限价3000元/件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2" w:hRule="atLeast"/>
          <w:jc w:val="center"/>
        </w:trPr>
        <w:tc>
          <w:tcPr>
            <w:tcW w:w="5147" w:type="dxa"/>
            <w:gridSpan w:val="2"/>
            <w:tcBorders>
              <w:right w:val="single" w:color="auto" w:sz="4" w:space="0"/>
            </w:tcBorders>
            <w:vAlign w:val="center"/>
          </w:tcPr>
          <w:p>
            <w:pPr>
              <w:spacing w:line="240" w:lineRule="auto"/>
              <w:jc w:val="center"/>
              <w:rPr>
                <w:rFonts w:hint="eastAsia" w:ascii="宋体" w:hAnsi="宋体" w:eastAsia="宋体" w:cs="宋体"/>
                <w:color w:val="auto"/>
                <w:sz w:val="24"/>
                <w:szCs w:val="22"/>
                <w:highlight w:val="none"/>
              </w:rPr>
            </w:pPr>
            <w:bookmarkStart w:id="458" w:name="OLE_LINK8"/>
            <w:r>
              <w:rPr>
                <w:rFonts w:hint="eastAsia" w:ascii="宋体" w:hAnsi="宋体" w:eastAsia="宋体" w:cs="宋体"/>
                <w:b/>
                <w:bCs/>
                <w:sz w:val="24"/>
                <w:szCs w:val="24"/>
                <w:highlight w:val="none"/>
                <w:lang w:val="en-US" w:eastAsia="zh-CN"/>
              </w:rPr>
              <w:t>综合单价</w:t>
            </w:r>
            <w:r>
              <w:rPr>
                <w:rFonts w:hint="eastAsia" w:ascii="宋体" w:hAnsi="宋体" w:cs="宋体"/>
                <w:b/>
                <w:bCs/>
                <w:sz w:val="24"/>
                <w:szCs w:val="24"/>
                <w:highlight w:val="none"/>
                <w:lang w:val="en-US" w:eastAsia="zh-CN"/>
              </w:rPr>
              <w:t>小</w:t>
            </w:r>
            <w:r>
              <w:rPr>
                <w:rFonts w:hint="eastAsia" w:ascii="宋体" w:hAnsi="宋体" w:eastAsia="宋体" w:cs="宋体"/>
                <w:b/>
                <w:bCs/>
                <w:sz w:val="24"/>
                <w:szCs w:val="24"/>
                <w:highlight w:val="none"/>
                <w:lang w:val="en-US" w:eastAsia="zh-CN"/>
              </w:rPr>
              <w:t>计</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（二）</w:t>
            </w:r>
            <w:bookmarkEnd w:id="458"/>
          </w:p>
        </w:tc>
        <w:tc>
          <w:tcPr>
            <w:tcW w:w="3631" w:type="dxa"/>
            <w:gridSpan w:val="2"/>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color w:val="auto"/>
                <w:sz w:val="24"/>
                <w:szCs w:val="22"/>
                <w:highlight w:val="none"/>
              </w:rPr>
              <w:t>；</w:t>
            </w:r>
          </w:p>
          <w:p>
            <w:pPr>
              <w:spacing w:line="240" w:lineRule="auto"/>
              <w:rPr>
                <w:rFonts w:hint="eastAsia" w:ascii="宋体" w:hAnsi="宋体" w:eastAsia="宋体" w:cs="宋体"/>
                <w:b/>
                <w:bCs/>
                <w:sz w:val="24"/>
                <w:szCs w:val="24"/>
                <w:highlight w:val="none"/>
                <w:lang w:eastAsia="zh-CN"/>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3722" w:type="dxa"/>
            <w:tcBorders>
              <w:right w:val="single" w:color="auto" w:sz="4" w:space="0"/>
            </w:tcBorders>
            <w:vAlign w:val="center"/>
          </w:tcPr>
          <w:p>
            <w:pPr>
              <w:spacing w:line="240" w:lineRule="auto"/>
              <w:jc w:val="left"/>
              <w:rPr>
                <w:rFonts w:hint="eastAsia" w:asciiTheme="majorEastAsia" w:hAnsiTheme="majorEastAsia" w:eastAsiaTheme="majorEastAsia" w:cstheme="majorEastAsia"/>
                <w:b w:val="0"/>
                <w:bCs/>
                <w:sz w:val="21"/>
                <w:szCs w:val="21"/>
                <w:highlight w:val="none"/>
                <w:lang w:eastAsia="zh-CN"/>
              </w:rPr>
            </w:pPr>
            <w:r>
              <w:rPr>
                <w:rFonts w:hint="eastAsia" w:asciiTheme="majorEastAsia" w:hAnsiTheme="majorEastAsia" w:eastAsiaTheme="majorEastAsia" w:cstheme="majorEastAsia"/>
                <w:b w:val="0"/>
                <w:bCs/>
                <w:kern w:val="0"/>
                <w:sz w:val="21"/>
                <w:szCs w:val="21"/>
                <w:highlight w:val="none"/>
                <w:lang w:val="en-US" w:eastAsia="zh-CN"/>
              </w:rPr>
              <w:t>（三）</w:t>
            </w:r>
            <w:r>
              <w:rPr>
                <w:rFonts w:hint="eastAsia" w:asciiTheme="majorEastAsia" w:hAnsiTheme="majorEastAsia" w:eastAsiaTheme="majorEastAsia" w:cstheme="majorEastAsia"/>
                <w:b w:val="0"/>
                <w:bCs/>
                <w:color w:val="auto"/>
                <w:sz w:val="21"/>
                <w:szCs w:val="21"/>
                <w:highlight w:val="none"/>
                <w:lang w:val="en-US" w:eastAsia="zh-CN"/>
              </w:rPr>
              <w:t>仲裁院调解中心所委托的调解专项服务辅助服务工作</w:t>
            </w:r>
          </w:p>
        </w:tc>
        <w:tc>
          <w:tcPr>
            <w:tcW w:w="1425" w:type="dxa"/>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500"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color w:val="auto"/>
                <w:sz w:val="24"/>
                <w:szCs w:val="22"/>
                <w:highlight w:val="none"/>
              </w:rPr>
              <w:t>；</w:t>
            </w:r>
          </w:p>
          <w:p>
            <w:pPr>
              <w:spacing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color w:val="auto"/>
                <w:sz w:val="24"/>
                <w:szCs w:val="22"/>
                <w:highlight w:val="none"/>
              </w:rPr>
              <w:t>；</w:t>
            </w:r>
          </w:p>
        </w:tc>
        <w:tc>
          <w:tcPr>
            <w:tcW w:w="113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2"/>
                <w:highlight w:val="none"/>
                <w:lang w:val="en-US" w:eastAsia="zh-CN"/>
              </w:rPr>
            </w:pPr>
            <w:r>
              <w:rPr>
                <w:rFonts w:hint="eastAsia" w:ascii="宋体" w:hAnsi="宋体" w:cs="宋体"/>
                <w:b/>
                <w:kern w:val="0"/>
                <w:sz w:val="24"/>
                <w:highlight w:val="none"/>
                <w:lang w:val="en-US" w:eastAsia="zh-CN"/>
              </w:rPr>
              <w:t>最高限价10万元。</w:t>
            </w:r>
          </w:p>
        </w:tc>
      </w:tr>
    </w:tbl>
    <w:p>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、特别提示：采购机构将对项目名称和项目编号，中标供应商名称、地址和中标金</w:t>
      </w:r>
      <w:r>
        <w:rPr>
          <w:rFonts w:hint="eastAsia" w:ascii="宋体" w:hAnsi="宋体" w:eastAsia="宋体" w:cs="宋体"/>
          <w:color w:val="auto"/>
          <w:kern w:val="0"/>
          <w:sz w:val="24"/>
          <w:highlight w:val="none"/>
          <w:lang w:val="en-US"/>
        </w:rPr>
        <w:t>额，主要中标标的的名称、数量、单价、服务要求等予以公示。</w:t>
      </w:r>
    </w:p>
    <w:p>
      <w:pPr>
        <w:snapToGrid w:val="0"/>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注：投标人提供的中小企业声明函内容不实的，属于提供虚假材料谋取中标、成交，依照《中华人民共和国政府采购法》等国家有关规定追究相应责任。</w:t>
      </w:r>
    </w:p>
    <w:p>
      <w:pPr>
        <w:spacing w:line="360" w:lineRule="auto"/>
        <w:rPr>
          <w:rFonts w:ascii="宋体" w:hAnsi="宋体" w:cs="宋体"/>
          <w:b/>
          <w:color w:val="auto"/>
          <w:kern w:val="0"/>
          <w:sz w:val="24"/>
          <w:highlight w:val="none"/>
        </w:rPr>
      </w:pPr>
    </w:p>
    <w:p>
      <w:pPr>
        <w:spacing w:line="360" w:lineRule="auto"/>
        <w:ind w:firstLine="480" w:firstLineChars="200"/>
        <w:jc w:val="righ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投标人名称（电子签名）：                                                                                                                                                                                                               </w:t>
      </w:r>
    </w:p>
    <w:p>
      <w:pPr>
        <w:spacing w:line="360" w:lineRule="auto"/>
        <w:ind w:firstLine="480" w:firstLineChars="200"/>
        <w:jc w:val="right"/>
        <w:rPr>
          <w:rFonts w:hint="eastAsia" w:ascii="宋体" w:hAnsi="宋体" w:cs="宋体"/>
          <w:bCs/>
          <w:color w:val="auto"/>
          <w:kern w:val="0"/>
          <w:sz w:val="24"/>
          <w:highlight w:val="none"/>
        </w:rPr>
      </w:pPr>
      <w:r>
        <w:rPr>
          <w:rFonts w:hint="eastAsia" w:ascii="宋体" w:hAnsi="宋体" w:cs="宋体"/>
          <w:bCs/>
          <w:color w:val="auto"/>
          <w:kern w:val="0"/>
          <w:sz w:val="24"/>
          <w:highlight w:val="none"/>
        </w:rPr>
        <w:t>日期：   年   月   日</w:t>
      </w:r>
    </w:p>
    <w:p>
      <w:pPr>
        <w:rPr>
          <w:color w:val="auto"/>
          <w:highlight w:val="none"/>
        </w:rPr>
      </w:pPr>
      <w:r>
        <w:rPr>
          <w:color w:val="auto"/>
          <w:highlight w:val="none"/>
        </w:rPr>
        <w:br w:type="page"/>
      </w:r>
    </w:p>
    <w:p>
      <w:pPr>
        <w:pStyle w:val="3"/>
        <w:rPr>
          <w:rFonts w:hint="eastAsia"/>
          <w:color w:val="auto"/>
          <w:highlight w:val="none"/>
        </w:rPr>
      </w:pPr>
    </w:p>
    <w:p>
      <w:pPr>
        <w:pStyle w:val="3"/>
        <w:rPr>
          <w:rFonts w:hint="eastAsia" w:eastAsia="宋体"/>
          <w:color w:val="auto"/>
          <w:highlight w:val="none"/>
          <w:lang w:eastAsia="zh-CN"/>
        </w:rPr>
      </w:pPr>
      <w:r>
        <w:rPr>
          <w:rFonts w:hint="eastAsia"/>
          <w:color w:val="auto"/>
          <w:highlight w:val="none"/>
        </w:rPr>
        <w:t>二、报价情况说明</w:t>
      </w:r>
      <w:r>
        <w:rPr>
          <w:rFonts w:hint="eastAsia"/>
          <w:color w:val="auto"/>
          <w:highlight w:val="none"/>
          <w:lang w:eastAsia="zh-CN"/>
        </w:rPr>
        <w:t>（如果有）</w:t>
      </w:r>
    </w:p>
    <w:p>
      <w:pPr>
        <w:spacing w:line="360" w:lineRule="auto"/>
        <w:rPr>
          <w:rFonts w:hint="eastAsia"/>
          <w:color w:val="auto"/>
          <w:sz w:val="28"/>
          <w:szCs w:val="36"/>
          <w:highlight w:val="none"/>
        </w:rPr>
      </w:pPr>
      <w:r>
        <w:rPr>
          <w:rFonts w:hint="eastAsia"/>
          <w:color w:val="auto"/>
          <w:sz w:val="28"/>
          <w:szCs w:val="36"/>
          <w:highlight w:val="none"/>
        </w:rPr>
        <w:t>（如供应商报价低于项目预算50%的，应当提交本文档，详细阐述不影响产品质量或者诚信履约的具体原因）</w:t>
      </w:r>
    </w:p>
    <w:p>
      <w:pPr>
        <w:rPr>
          <w:rFonts w:hint="eastAsia"/>
          <w:color w:val="auto"/>
          <w:highlight w:val="none"/>
        </w:rPr>
      </w:pPr>
    </w:p>
    <w:p>
      <w:pPr>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pStyle w:val="86"/>
        <w:rPr>
          <w:rFonts w:hint="eastAsia"/>
          <w:color w:val="auto"/>
          <w:highlight w:val="none"/>
        </w:rPr>
      </w:pPr>
    </w:p>
    <w:p>
      <w:pPr>
        <w:rPr>
          <w:rFonts w:hint="eastAsia"/>
          <w:color w:val="auto"/>
          <w:highlight w:val="none"/>
        </w:rPr>
      </w:pPr>
    </w:p>
    <w:p>
      <w:pPr>
        <w:pStyle w:val="3"/>
        <w:rPr>
          <w:color w:val="auto"/>
          <w:highlight w:val="none"/>
        </w:rPr>
      </w:pPr>
      <w:r>
        <w:rPr>
          <w:rFonts w:hint="eastAsia"/>
          <w:color w:val="auto"/>
          <w:highlight w:val="none"/>
          <w:lang w:eastAsia="zh-CN"/>
        </w:rPr>
        <w:t>三、</w:t>
      </w:r>
      <w:r>
        <w:rPr>
          <w:rFonts w:hint="eastAsia"/>
          <w:color w:val="auto"/>
          <w:highlight w:val="none"/>
        </w:rPr>
        <w:t>中小企业声明函</w:t>
      </w:r>
      <w:bookmarkStart w:id="459" w:name="_Hlk101259491"/>
      <w:r>
        <w:rPr>
          <w:rFonts w:hint="eastAsia"/>
          <w:color w:val="auto"/>
          <w:highlight w:val="none"/>
        </w:rPr>
        <w:t>（如果有）</w:t>
      </w:r>
      <w:bookmarkEnd w:id="45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rPr>
          <w:rFonts w:hint="eastAsia"/>
          <w:color w:val="auto"/>
          <w:highlight w:val="none"/>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2"/>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5" name="矩形 1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c/4&#10;wdgAAAAKAQAADwAAAAAAAAABACAAAAAiAAAAZHJzL2Rvd25yZXYueG1sUEsBAhQAFAAAAAgAh07i&#10;QOKlTtfpAQAA3gMAAA4AAAAAAAAAAQAgAAAAJwEAAGRycy9lMm9Eb2MueG1sUEsFBgAAAAAGAAYA&#10;WQEAAII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9" name="矩形 2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07BY&#10;2AAAAAoBAAAPAAAAAAAAAAEAIAAAACIAAABkcnMvZG93bnJldi54bWxQSwECFAAUAAAACACHTuJA&#10;ljGuw+gBAADeAwAADgAAAAAAAAABACAAAAAnAQAAZHJzL2Uyb0RvYy54bWxQSwUGAAAAAAYABgBZ&#10;AQAAgQU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3"/>
        <w:ind w:left="664" w:leftChars="316" w:firstLine="228"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hint="eastAsia" w:ascii="宋体" w:hAnsi="宋体" w:eastAsia="宋体" w:cs="宋体"/>
          <w:color w:val="auto"/>
        </w:rPr>
      </w:pPr>
      <w:r>
        <w:rPr>
          <w:rFonts w:hint="eastAsia" w:ascii="宋体" w:hAnsi="宋体" w:eastAsia="宋体" w:cs="宋体"/>
          <w:color w:val="auto"/>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lang w:val="en-US"/>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lang w:val="en-US"/>
        </w:rPr>
        <w:br w:type="page"/>
      </w:r>
    </w:p>
    <w:tbl>
      <w:tblPr>
        <w:tblStyle w:val="68"/>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3"/>
        <w:rPr>
          <w:rFonts w:hint="eastAsia" w:ascii="宋体" w:hAnsi="宋体" w:eastAsia="宋体" w:cs="宋体"/>
          <w:color w:val="auto"/>
          <w:lang w:val="en-US"/>
        </w:rPr>
      </w:pPr>
    </w:p>
    <w:p>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rPr>
      </w:pPr>
    </w:p>
    <w:p>
      <w:pPr>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color w:val="auto"/>
          <w:sz w:val="24"/>
        </w:rPr>
      </w:pPr>
    </w:p>
    <w:p>
      <w:pPr>
        <w:rPr>
          <w:color w:val="auto"/>
        </w:rPr>
      </w:pPr>
    </w:p>
    <w:p/>
    <w:p/>
    <w:p/>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NzEy3mhAQAATgMAAA4AAAAAAAAAAQAg&#10;AAAAHgEAAGRycy9lMm9Eb2MueG1sUEsFBgAAAAAGAAYAWQEAADEFA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szCs w:val="24"/>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vqki36UBAABAAwAADgAAAAAA&#10;AAABACAAAAAfAQAAZHJzL2Uyb0RvYy54bWxQSwUGAAAAAAYABgBZAQAANgU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8"/>
      </w:rPr>
    </w:pPr>
    <w:r>
      <w:fldChar w:fldCharType="begin"/>
    </w:r>
    <w:r>
      <w:rPr>
        <w:rStyle w:val="78"/>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Y4DB76UBAABAAwAADgAAAAAA&#10;AAABACAAAAAfAQAAZHJzL2Uyb0RvYy54bWxQSwUGAAAAAAYABgBZAQAANgU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6pebnPAAAABQEAAA8AAAAAAAAAAQAgAAAA&#10;IgAAAGRycy9kb3ducmV2LnhtbFBLAQIUABQAAAAIAIdO4kCE4cKUogEAAE0DAAAOAAAAAAAAAAEA&#10;IAAAAB4BAABkcnMvZTJvRG9jLnhtbFBLBQYAAAAABgAGAFkBAAAyBQ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8"/>
      </w:rPr>
    </w:pPr>
    <w:r>
      <w:fldChar w:fldCharType="begin"/>
    </w:r>
    <w:r>
      <w:rPr>
        <w:rStyle w:val="78"/>
      </w:rPr>
      <w:instrText xml:space="preserve">PAGE  </w:instrText>
    </w:r>
    <w:r>
      <w:fldChar w:fldCharType="end"/>
    </w:r>
  </w:p>
  <w:p>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6pebnPAAAABQEAAA8AAAAAAAAAAQAgAAAA&#10;IgAAAGRycy9kb3ducmV2LnhtbFBLAQIUABQAAAAIAIdO4kAvTfJoogEAAE0DAAAOAAAAAAAAAAEA&#10;IAAAAB4BAABkcnMvZTJvRG9jLnhtbFBLBQYAAAAABgAGAFkBAAAyBQ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6pebnPAAAABQEAAA8AAAAAAAAAAQAgAAAA&#10;IgAAAGRycy9kb3ducmV2LnhtbFBLAQIUABQAAAAIAIdO4kC0w63gogEAAE4DAAAOAAAAAAAAAAEA&#10;IAAAAB4BAABkcnMvZTJvRG9jLnhtbFBLBQYAAAAABgAGAFkBAAAyBQAAAAA=&#10;">
              <v:fill on="f" focussize="0,0"/>
              <v:stroke on="f"/>
              <v:imagedata o:title=""/>
              <o:lock v:ext="edit" aspectratio="f"/>
              <v:textbox inset="0mm,0mm,0mm,0mm" style="mso-fit-shape-to-text:t;">
                <w:txbxContent>
                  <w:p>
                    <w:pPr>
                      <w:pStyle w:val="44"/>
                    </w:pPr>
                  </w:p>
                  <w:p/>
                </w:txbxContent>
              </v:textbox>
            </v:shape>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60288" behindDoc="0" locked="0" layoutInCell="1" allowOverlap="1">
          <wp:simplePos x="0" y="0"/>
          <wp:positionH relativeFrom="column">
            <wp:posOffset>-181610</wp:posOffset>
          </wp:positionH>
          <wp:positionV relativeFrom="paragraph">
            <wp:posOffset>-91440</wp:posOffset>
          </wp:positionV>
          <wp:extent cx="1023620" cy="351155"/>
          <wp:effectExtent l="0" t="0" r="5080" b="127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8"/>
      </w:rPr>
    </w:pPr>
    <w:r>
      <w:fldChar w:fldCharType="begin"/>
    </w:r>
    <w:r>
      <w:rPr>
        <w:rStyle w:val="78"/>
      </w:rPr>
      <w:instrText xml:space="preserve">PAGE  </w:instrText>
    </w:r>
    <w:r>
      <w:fldChar w:fldCharType="end"/>
    </w:r>
  </w:p>
  <w:p>
    <w:pPr>
      <w:pStyle w:val="4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20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mhbMJaUBAAA+AwAADgAAAAAA&#10;AAABACAAAAAfAQAAZHJzL2Uyb0RvYy54bWxQSwUGAAAAAAYABgBZAQAANgU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color w:val="0000FF"/>
        <w:u w:val="thick"/>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-135890</wp:posOffset>
          </wp:positionV>
          <wp:extent cx="1023620" cy="351155"/>
          <wp:effectExtent l="0" t="0" r="5080" b="127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XW5UtAAAAAFAQAADwAAAAAAAAABACAAAAAiAAAAZHJz&#10;L2Rvd25yZXYueG1sUEsBAhQAFAAAAAgAh07iQCMpdbSaAQAAQwMAAA4AAAAAAAAAAQAgAAAAHwEA&#10;AGRycy9lMm9Eb2MueG1sUEsFBgAAAAAGAAYAWQEAACs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center"/>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lzUPUKUBAABAAwAADgAAAAAA&#10;AAABACAAAAAfAQAAZHJzL2Uyb0RvYy54bWxQSwUGAAAAAAYABgBZAQAANgUAAAAA&#10;">
              <v:fill on="f" focussize="0,0"/>
              <v:stroke on="f"/>
              <v:imagedata o:title=""/>
              <o:lock v:ext="edit" aspectratio="f"/>
              <v:textbox inset="0mm,0mm,0mm,0mm" style="mso-fit-shape-to-text:t;">
                <w:txbxContent>
                  <w:p>
                    <w:pPr>
                      <w:pStyle w:val="44"/>
                      <w:jc w:val="center"/>
                    </w:pPr>
                  </w:p>
                  <w:p/>
                </w:txbxContent>
              </v:textbox>
            </v:rect>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矩形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center"/>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hAsllaUBAABAAwAADgAAAAAA&#10;AAABACAAAAAfAQAAZHJzL2Uyb0RvYy54bWxQSwUGAAAAAAYABgBZAQAANgUAAAAA&#10;">
              <v:fill on="f" focussize="0,0"/>
              <v:stroke on="f"/>
              <v:imagedata o:title=""/>
              <o:lock v:ext="edit" aspectratio="f"/>
              <v:textbox inset="0mm,0mm,0mm,0mm" style="mso-fit-shape-to-text:t;">
                <w:txbxContent>
                  <w:p>
                    <w:pPr>
                      <w:pStyle w:val="44"/>
                      <w:jc w:val="center"/>
                    </w:pPr>
                  </w:p>
                  <w:p/>
                </w:txbxContent>
              </v:textbox>
            </v:rect>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5"/>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1E09B"/>
    <w:multiLevelType w:val="singleLevel"/>
    <w:tmpl w:val="9141E09B"/>
    <w:lvl w:ilvl="0" w:tentative="0">
      <w:start w:val="2"/>
      <w:numFmt w:val="chineseCounting"/>
      <w:suff w:val="nothing"/>
      <w:lvlText w:val="（%1）"/>
      <w:lvlJc w:val="left"/>
      <w:rPr>
        <w:rFonts w:hint="eastAsia"/>
      </w:rPr>
    </w:lvl>
  </w:abstractNum>
  <w:abstractNum w:abstractNumId="1">
    <w:nsid w:val="98E9A51A"/>
    <w:multiLevelType w:val="singleLevel"/>
    <w:tmpl w:val="98E9A51A"/>
    <w:lvl w:ilvl="0" w:tentative="0">
      <w:start w:val="16"/>
      <w:numFmt w:val="decimal"/>
      <w:suff w:val="space"/>
      <w:lvlText w:val="%1."/>
      <w:lvlJc w:val="left"/>
    </w:lvl>
  </w:abstractNum>
  <w:abstractNum w:abstractNumId="2">
    <w:nsid w:val="D55AF4A7"/>
    <w:multiLevelType w:val="singleLevel"/>
    <w:tmpl w:val="D55AF4A7"/>
    <w:lvl w:ilvl="0" w:tentative="0">
      <w:start w:val="4"/>
      <w:numFmt w:val="decimal"/>
      <w:suff w:val="nothing"/>
      <w:lvlText w:val="%1、"/>
      <w:lvlJc w:val="left"/>
    </w:lvl>
  </w:abstractNum>
  <w:abstractNum w:abstractNumId="3">
    <w:nsid w:val="D7CE3F0F"/>
    <w:multiLevelType w:val="singleLevel"/>
    <w:tmpl w:val="D7CE3F0F"/>
    <w:lvl w:ilvl="0" w:tentative="0">
      <w:start w:val="1"/>
      <w:numFmt w:val="decimal"/>
      <w:lvlText w:val="%1."/>
      <w:lvlJc w:val="left"/>
      <w:pPr>
        <w:tabs>
          <w:tab w:val="left" w:pos="312"/>
        </w:tabs>
      </w:pPr>
    </w:lvl>
  </w:abstractNum>
  <w:abstractNum w:abstractNumId="4">
    <w:nsid w:val="EBA4E937"/>
    <w:multiLevelType w:val="singleLevel"/>
    <w:tmpl w:val="EBA4E937"/>
    <w:lvl w:ilvl="0" w:tentative="0">
      <w:start w:val="3"/>
      <w:numFmt w:val="chineseCounting"/>
      <w:suff w:val="nothing"/>
      <w:lvlText w:val="%1、"/>
      <w:lvlJc w:val="left"/>
      <w:rPr>
        <w:rFonts w:hint="eastAsia"/>
      </w:rPr>
    </w:lvl>
  </w:abstractNum>
  <w:abstractNum w:abstractNumId="5">
    <w:nsid w:val="1D3F4050"/>
    <w:multiLevelType w:val="singleLevel"/>
    <w:tmpl w:val="1D3F4050"/>
    <w:lvl w:ilvl="0" w:tentative="0">
      <w:start w:val="4"/>
      <w:numFmt w:val="chineseCounting"/>
      <w:suff w:val="space"/>
      <w:lvlText w:val="第%1部分"/>
      <w:lvlJc w:val="left"/>
      <w:rPr>
        <w:rFonts w:hint="eastAsia"/>
      </w:rPr>
    </w:lvl>
  </w:abstractNum>
  <w:abstractNum w:abstractNumId="6">
    <w:nsid w:val="2582D38F"/>
    <w:multiLevelType w:val="singleLevel"/>
    <w:tmpl w:val="2582D38F"/>
    <w:lvl w:ilvl="0" w:tentative="0">
      <w:start w:val="3"/>
      <w:numFmt w:val="decimal"/>
      <w:suff w:val="nothing"/>
      <w:lvlText w:val="（%1）"/>
      <w:lvlJc w:val="left"/>
    </w:lvl>
  </w:abstractNum>
  <w:abstractNum w:abstractNumId="7">
    <w:nsid w:val="2A107D1F"/>
    <w:multiLevelType w:val="singleLevel"/>
    <w:tmpl w:val="2A107D1F"/>
    <w:lvl w:ilvl="0" w:tentative="0">
      <w:start w:val="13"/>
      <w:numFmt w:val="decimal"/>
      <w:suff w:val="space"/>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5F7EB0"/>
    <w:multiLevelType w:val="singleLevel"/>
    <w:tmpl w:val="5B5F7EB0"/>
    <w:lvl w:ilvl="0" w:tentative="0">
      <w:start w:val="1"/>
      <w:numFmt w:val="decimal"/>
      <w:lvlText w:val="%1."/>
      <w:lvlJc w:val="left"/>
      <w:pPr>
        <w:tabs>
          <w:tab w:val="left" w:pos="312"/>
        </w:tabs>
      </w:pPr>
    </w:lvl>
  </w:abstractNum>
  <w:abstractNum w:abstractNumId="11">
    <w:nsid w:val="69ABAC2B"/>
    <w:multiLevelType w:val="singleLevel"/>
    <w:tmpl w:val="69ABAC2B"/>
    <w:lvl w:ilvl="0" w:tentative="0">
      <w:start w:val="2"/>
      <w:numFmt w:val="decimal"/>
      <w:suff w:val="nothing"/>
      <w:lvlText w:val="%1、"/>
      <w:lvlJc w:val="left"/>
    </w:lvl>
  </w:abstractNum>
  <w:abstractNum w:abstractNumId="12">
    <w:nsid w:val="73414110"/>
    <w:multiLevelType w:val="singleLevel"/>
    <w:tmpl w:val="73414110"/>
    <w:lvl w:ilvl="0" w:tentative="0">
      <w:start w:val="8"/>
      <w:numFmt w:val="decimal"/>
      <w:suff w:val="space"/>
      <w:lvlText w:val="%1."/>
      <w:lvlJc w:val="left"/>
    </w:lvl>
  </w:abstractNum>
  <w:num w:numId="1">
    <w:abstractNumId w:val="4"/>
  </w:num>
  <w:num w:numId="2">
    <w:abstractNumId w:val="12"/>
  </w:num>
  <w:num w:numId="3">
    <w:abstractNumId w:val="7"/>
  </w:num>
  <w:num w:numId="4">
    <w:abstractNumId w:val="1"/>
  </w:num>
  <w:num w:numId="5">
    <w:abstractNumId w:val="10"/>
  </w:num>
  <w:num w:numId="6">
    <w:abstractNumId w:val="0"/>
  </w:num>
  <w:num w:numId="7">
    <w:abstractNumId w:val="3"/>
  </w:num>
  <w:num w:numId="8">
    <w:abstractNumId w:val="11"/>
  </w:num>
  <w:num w:numId="9">
    <w:abstractNumId w:val="5"/>
  </w:num>
  <w:num w:numId="10">
    <w:abstractNumId w:val="6"/>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Tc5YTk4MTE3NGE0Y2M4ODI1NDEyNzcyNzU1N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079"/>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B4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8B"/>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7517C"/>
    <w:rsid w:val="032D5555"/>
    <w:rsid w:val="036634D2"/>
    <w:rsid w:val="038C7DA2"/>
    <w:rsid w:val="03DD35E4"/>
    <w:rsid w:val="04076900"/>
    <w:rsid w:val="041A5A3B"/>
    <w:rsid w:val="0421059C"/>
    <w:rsid w:val="042311BA"/>
    <w:rsid w:val="042B157A"/>
    <w:rsid w:val="048F763B"/>
    <w:rsid w:val="049F330E"/>
    <w:rsid w:val="04AA775C"/>
    <w:rsid w:val="04AF1889"/>
    <w:rsid w:val="04F66F48"/>
    <w:rsid w:val="05251E14"/>
    <w:rsid w:val="05A16594"/>
    <w:rsid w:val="05A7762D"/>
    <w:rsid w:val="05D723D3"/>
    <w:rsid w:val="060E5941"/>
    <w:rsid w:val="06110FAF"/>
    <w:rsid w:val="06493CA7"/>
    <w:rsid w:val="064D67D9"/>
    <w:rsid w:val="065A6178"/>
    <w:rsid w:val="066F1CF3"/>
    <w:rsid w:val="06930BB8"/>
    <w:rsid w:val="06DA4BFF"/>
    <w:rsid w:val="07126147"/>
    <w:rsid w:val="07245D42"/>
    <w:rsid w:val="07264C62"/>
    <w:rsid w:val="0779354C"/>
    <w:rsid w:val="08061376"/>
    <w:rsid w:val="08452D77"/>
    <w:rsid w:val="084F7559"/>
    <w:rsid w:val="086401F8"/>
    <w:rsid w:val="08751CAA"/>
    <w:rsid w:val="087E4C40"/>
    <w:rsid w:val="08D66AD6"/>
    <w:rsid w:val="08DA33A3"/>
    <w:rsid w:val="08E80F13"/>
    <w:rsid w:val="08FD1DEA"/>
    <w:rsid w:val="09335624"/>
    <w:rsid w:val="0944690F"/>
    <w:rsid w:val="09535675"/>
    <w:rsid w:val="095E2210"/>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C00AA9"/>
    <w:rsid w:val="0AF4451F"/>
    <w:rsid w:val="0B30404E"/>
    <w:rsid w:val="0B492CC2"/>
    <w:rsid w:val="0B4C6C14"/>
    <w:rsid w:val="0B631A88"/>
    <w:rsid w:val="0B683D45"/>
    <w:rsid w:val="0B7F3F11"/>
    <w:rsid w:val="0B884417"/>
    <w:rsid w:val="0B8F4947"/>
    <w:rsid w:val="0B953FC7"/>
    <w:rsid w:val="0BC042E6"/>
    <w:rsid w:val="0BDB4CD8"/>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676AC1"/>
    <w:rsid w:val="0D827401"/>
    <w:rsid w:val="0D84094E"/>
    <w:rsid w:val="0D8A00E9"/>
    <w:rsid w:val="0D8D589E"/>
    <w:rsid w:val="0DA01C73"/>
    <w:rsid w:val="0DD63300"/>
    <w:rsid w:val="0DF50604"/>
    <w:rsid w:val="0DF702FE"/>
    <w:rsid w:val="0E060E51"/>
    <w:rsid w:val="0E5604B2"/>
    <w:rsid w:val="0E5C414B"/>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255233"/>
    <w:rsid w:val="12530213"/>
    <w:rsid w:val="127723A9"/>
    <w:rsid w:val="12862074"/>
    <w:rsid w:val="12883966"/>
    <w:rsid w:val="129427A7"/>
    <w:rsid w:val="129E45B4"/>
    <w:rsid w:val="12BB58E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DE6F34"/>
    <w:rsid w:val="16A8729C"/>
    <w:rsid w:val="16B33777"/>
    <w:rsid w:val="16BC70A7"/>
    <w:rsid w:val="16BE1161"/>
    <w:rsid w:val="16C6339E"/>
    <w:rsid w:val="16F36C8C"/>
    <w:rsid w:val="172F2D79"/>
    <w:rsid w:val="17430073"/>
    <w:rsid w:val="17557BEF"/>
    <w:rsid w:val="175B7A4B"/>
    <w:rsid w:val="177E0790"/>
    <w:rsid w:val="178E5663"/>
    <w:rsid w:val="17BF5F86"/>
    <w:rsid w:val="17D349C1"/>
    <w:rsid w:val="17E97229"/>
    <w:rsid w:val="1830729E"/>
    <w:rsid w:val="1870062C"/>
    <w:rsid w:val="18817102"/>
    <w:rsid w:val="18830A15"/>
    <w:rsid w:val="18852B28"/>
    <w:rsid w:val="188B5321"/>
    <w:rsid w:val="19401D80"/>
    <w:rsid w:val="19932372"/>
    <w:rsid w:val="19A20DD5"/>
    <w:rsid w:val="19AE03F1"/>
    <w:rsid w:val="1A071A03"/>
    <w:rsid w:val="1A1F16AE"/>
    <w:rsid w:val="1A336431"/>
    <w:rsid w:val="1A3B541D"/>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D266CE1"/>
    <w:rsid w:val="1D3963AF"/>
    <w:rsid w:val="1D461625"/>
    <w:rsid w:val="1D6A673C"/>
    <w:rsid w:val="1D9247AE"/>
    <w:rsid w:val="1DB567EC"/>
    <w:rsid w:val="1DE83887"/>
    <w:rsid w:val="1DF51A98"/>
    <w:rsid w:val="1E301EA9"/>
    <w:rsid w:val="1E3D060F"/>
    <w:rsid w:val="1E3F7D2E"/>
    <w:rsid w:val="1E4134E4"/>
    <w:rsid w:val="1E5062B3"/>
    <w:rsid w:val="1E523514"/>
    <w:rsid w:val="1E714A66"/>
    <w:rsid w:val="1E802593"/>
    <w:rsid w:val="1EA703CC"/>
    <w:rsid w:val="1EB27A1A"/>
    <w:rsid w:val="1EB7330C"/>
    <w:rsid w:val="1EEA475D"/>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981382"/>
    <w:rsid w:val="22BE6801"/>
    <w:rsid w:val="233500BF"/>
    <w:rsid w:val="23377FF7"/>
    <w:rsid w:val="23541B28"/>
    <w:rsid w:val="23651C9F"/>
    <w:rsid w:val="236B425F"/>
    <w:rsid w:val="23836192"/>
    <w:rsid w:val="23901F29"/>
    <w:rsid w:val="239816A9"/>
    <w:rsid w:val="239C0061"/>
    <w:rsid w:val="23B908A4"/>
    <w:rsid w:val="23D47425"/>
    <w:rsid w:val="23E95BEF"/>
    <w:rsid w:val="23F8419A"/>
    <w:rsid w:val="23FD0064"/>
    <w:rsid w:val="240A0748"/>
    <w:rsid w:val="24525BA6"/>
    <w:rsid w:val="245375B0"/>
    <w:rsid w:val="2455721C"/>
    <w:rsid w:val="24642C0A"/>
    <w:rsid w:val="24B22173"/>
    <w:rsid w:val="24B95AD9"/>
    <w:rsid w:val="24BE24DA"/>
    <w:rsid w:val="24CF5825"/>
    <w:rsid w:val="24D663E6"/>
    <w:rsid w:val="24D77F2B"/>
    <w:rsid w:val="25467169"/>
    <w:rsid w:val="256C0A82"/>
    <w:rsid w:val="258B00E2"/>
    <w:rsid w:val="25A917A6"/>
    <w:rsid w:val="25BE27CC"/>
    <w:rsid w:val="25F74A5C"/>
    <w:rsid w:val="2628662C"/>
    <w:rsid w:val="262D45DE"/>
    <w:rsid w:val="26A53EF9"/>
    <w:rsid w:val="26A94201"/>
    <w:rsid w:val="26AC274F"/>
    <w:rsid w:val="27044A29"/>
    <w:rsid w:val="271D34C8"/>
    <w:rsid w:val="276142BF"/>
    <w:rsid w:val="276A793C"/>
    <w:rsid w:val="27783712"/>
    <w:rsid w:val="27907362"/>
    <w:rsid w:val="27D65640"/>
    <w:rsid w:val="28333E1D"/>
    <w:rsid w:val="28454BD6"/>
    <w:rsid w:val="28455253"/>
    <w:rsid w:val="28551971"/>
    <w:rsid w:val="28562DBC"/>
    <w:rsid w:val="285B1C53"/>
    <w:rsid w:val="28865754"/>
    <w:rsid w:val="289F7086"/>
    <w:rsid w:val="28C32028"/>
    <w:rsid w:val="28CC490F"/>
    <w:rsid w:val="28CE678A"/>
    <w:rsid w:val="28DE40AA"/>
    <w:rsid w:val="29345E77"/>
    <w:rsid w:val="294C65AD"/>
    <w:rsid w:val="29806583"/>
    <w:rsid w:val="298B3C4C"/>
    <w:rsid w:val="29AA44E3"/>
    <w:rsid w:val="29F26D24"/>
    <w:rsid w:val="2A135BAE"/>
    <w:rsid w:val="2A15033F"/>
    <w:rsid w:val="2A1662C1"/>
    <w:rsid w:val="2A1C7367"/>
    <w:rsid w:val="2A2815FA"/>
    <w:rsid w:val="2A6D6092"/>
    <w:rsid w:val="2A7D76B4"/>
    <w:rsid w:val="2AB04AFB"/>
    <w:rsid w:val="2B01378D"/>
    <w:rsid w:val="2B184983"/>
    <w:rsid w:val="2B437463"/>
    <w:rsid w:val="2B54647E"/>
    <w:rsid w:val="2B717030"/>
    <w:rsid w:val="2B7807EE"/>
    <w:rsid w:val="2BBF00EC"/>
    <w:rsid w:val="2BC37CFD"/>
    <w:rsid w:val="2BD5237F"/>
    <w:rsid w:val="2BE536CE"/>
    <w:rsid w:val="2BE758D9"/>
    <w:rsid w:val="2C07444B"/>
    <w:rsid w:val="2C09049E"/>
    <w:rsid w:val="2C0A653C"/>
    <w:rsid w:val="2C191F85"/>
    <w:rsid w:val="2CBA6413"/>
    <w:rsid w:val="2CE82D6F"/>
    <w:rsid w:val="2D343236"/>
    <w:rsid w:val="2DD15014"/>
    <w:rsid w:val="2DD94284"/>
    <w:rsid w:val="2DF72DE4"/>
    <w:rsid w:val="2E0220AF"/>
    <w:rsid w:val="2E4B082A"/>
    <w:rsid w:val="2E5D4E86"/>
    <w:rsid w:val="2E5D790B"/>
    <w:rsid w:val="2E843E79"/>
    <w:rsid w:val="2E9A3C18"/>
    <w:rsid w:val="2EBB0FEE"/>
    <w:rsid w:val="2EC63002"/>
    <w:rsid w:val="2F0A6B38"/>
    <w:rsid w:val="2F4352DD"/>
    <w:rsid w:val="2F9341F7"/>
    <w:rsid w:val="2F946CCB"/>
    <w:rsid w:val="2FC531C8"/>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82AEC"/>
    <w:rsid w:val="336963EB"/>
    <w:rsid w:val="33816EEB"/>
    <w:rsid w:val="33CA65B2"/>
    <w:rsid w:val="33EB55CD"/>
    <w:rsid w:val="33EC4C02"/>
    <w:rsid w:val="340D2360"/>
    <w:rsid w:val="3410665D"/>
    <w:rsid w:val="34211214"/>
    <w:rsid w:val="342E63AB"/>
    <w:rsid w:val="34923951"/>
    <w:rsid w:val="34950E68"/>
    <w:rsid w:val="34986E94"/>
    <w:rsid w:val="34AF62C9"/>
    <w:rsid w:val="34CB4388"/>
    <w:rsid w:val="34FA6E12"/>
    <w:rsid w:val="350F1991"/>
    <w:rsid w:val="358D5588"/>
    <w:rsid w:val="35981D80"/>
    <w:rsid w:val="360D5E4C"/>
    <w:rsid w:val="36254B21"/>
    <w:rsid w:val="363A3B40"/>
    <w:rsid w:val="365302AE"/>
    <w:rsid w:val="36607A0A"/>
    <w:rsid w:val="366E227C"/>
    <w:rsid w:val="366F2E0D"/>
    <w:rsid w:val="367B6A5C"/>
    <w:rsid w:val="367E61E3"/>
    <w:rsid w:val="36A74ADA"/>
    <w:rsid w:val="36AD60D5"/>
    <w:rsid w:val="36B224F9"/>
    <w:rsid w:val="36EC0CC9"/>
    <w:rsid w:val="36FC5E87"/>
    <w:rsid w:val="37224F7B"/>
    <w:rsid w:val="37310EE3"/>
    <w:rsid w:val="373F410B"/>
    <w:rsid w:val="378660C8"/>
    <w:rsid w:val="37EE7094"/>
    <w:rsid w:val="38296C89"/>
    <w:rsid w:val="383002EB"/>
    <w:rsid w:val="38565037"/>
    <w:rsid w:val="38586797"/>
    <w:rsid w:val="38BC0149"/>
    <w:rsid w:val="38D87D1C"/>
    <w:rsid w:val="39636459"/>
    <w:rsid w:val="396B7F6C"/>
    <w:rsid w:val="39A32C64"/>
    <w:rsid w:val="39B417A9"/>
    <w:rsid w:val="39DA0497"/>
    <w:rsid w:val="39F06197"/>
    <w:rsid w:val="39FC5695"/>
    <w:rsid w:val="3A006D8E"/>
    <w:rsid w:val="3A3651E5"/>
    <w:rsid w:val="3A374B70"/>
    <w:rsid w:val="3A616A18"/>
    <w:rsid w:val="3A744481"/>
    <w:rsid w:val="3A8C7BEF"/>
    <w:rsid w:val="3A906246"/>
    <w:rsid w:val="3AC05E20"/>
    <w:rsid w:val="3ADE3FB6"/>
    <w:rsid w:val="3B0741BF"/>
    <w:rsid w:val="3B2319C9"/>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1E7686"/>
    <w:rsid w:val="3D3C7F39"/>
    <w:rsid w:val="3D440F09"/>
    <w:rsid w:val="3D4504A0"/>
    <w:rsid w:val="3D8734BB"/>
    <w:rsid w:val="3D9A11D4"/>
    <w:rsid w:val="3DA16D89"/>
    <w:rsid w:val="3DA364BE"/>
    <w:rsid w:val="3DD5344F"/>
    <w:rsid w:val="3DE041CB"/>
    <w:rsid w:val="3DE45DC8"/>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A3C9D"/>
    <w:rsid w:val="3FF46A69"/>
    <w:rsid w:val="4019356B"/>
    <w:rsid w:val="40592157"/>
    <w:rsid w:val="406E1CAE"/>
    <w:rsid w:val="40A0133A"/>
    <w:rsid w:val="40A74181"/>
    <w:rsid w:val="40C31A53"/>
    <w:rsid w:val="40FF545D"/>
    <w:rsid w:val="410067C8"/>
    <w:rsid w:val="418F0D2A"/>
    <w:rsid w:val="41D01505"/>
    <w:rsid w:val="41D63FD8"/>
    <w:rsid w:val="41E2613A"/>
    <w:rsid w:val="41EB3EE8"/>
    <w:rsid w:val="41F10B6E"/>
    <w:rsid w:val="41F76AC7"/>
    <w:rsid w:val="4214206C"/>
    <w:rsid w:val="42474939"/>
    <w:rsid w:val="424C3C57"/>
    <w:rsid w:val="42613FF3"/>
    <w:rsid w:val="42660D96"/>
    <w:rsid w:val="428667D2"/>
    <w:rsid w:val="42CD1CE0"/>
    <w:rsid w:val="42E1381E"/>
    <w:rsid w:val="42ED6459"/>
    <w:rsid w:val="42FE58DD"/>
    <w:rsid w:val="43174B3D"/>
    <w:rsid w:val="434B790E"/>
    <w:rsid w:val="4352109E"/>
    <w:rsid w:val="4360274F"/>
    <w:rsid w:val="43977AB6"/>
    <w:rsid w:val="43A3342B"/>
    <w:rsid w:val="43C168D5"/>
    <w:rsid w:val="43C77C27"/>
    <w:rsid w:val="43DE09EE"/>
    <w:rsid w:val="44002FAD"/>
    <w:rsid w:val="44467546"/>
    <w:rsid w:val="449101DD"/>
    <w:rsid w:val="44A56A9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77B778F"/>
    <w:rsid w:val="478203EC"/>
    <w:rsid w:val="47B025FA"/>
    <w:rsid w:val="47B2272C"/>
    <w:rsid w:val="47CB3490"/>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4347C5"/>
    <w:rsid w:val="495551F2"/>
    <w:rsid w:val="495F5B3E"/>
    <w:rsid w:val="496F77D7"/>
    <w:rsid w:val="497654FD"/>
    <w:rsid w:val="49B64211"/>
    <w:rsid w:val="49F6167F"/>
    <w:rsid w:val="4A064FA0"/>
    <w:rsid w:val="4A16615C"/>
    <w:rsid w:val="4A3239D7"/>
    <w:rsid w:val="4A403873"/>
    <w:rsid w:val="4A4424D7"/>
    <w:rsid w:val="4AB82D0F"/>
    <w:rsid w:val="4AEB7664"/>
    <w:rsid w:val="4AFD7C19"/>
    <w:rsid w:val="4B0567D1"/>
    <w:rsid w:val="4B071261"/>
    <w:rsid w:val="4B236AAE"/>
    <w:rsid w:val="4B3527A5"/>
    <w:rsid w:val="4B707271"/>
    <w:rsid w:val="4B9739F7"/>
    <w:rsid w:val="4BA85D6F"/>
    <w:rsid w:val="4BD45567"/>
    <w:rsid w:val="4BEE2503"/>
    <w:rsid w:val="4BF75105"/>
    <w:rsid w:val="4C245A30"/>
    <w:rsid w:val="4CB6685F"/>
    <w:rsid w:val="4CC367FE"/>
    <w:rsid w:val="4D077F3C"/>
    <w:rsid w:val="4D123355"/>
    <w:rsid w:val="4D2A3B31"/>
    <w:rsid w:val="4D312C52"/>
    <w:rsid w:val="4D905305"/>
    <w:rsid w:val="4D964A72"/>
    <w:rsid w:val="4D9C1254"/>
    <w:rsid w:val="4DAE7818"/>
    <w:rsid w:val="4E2D2E33"/>
    <w:rsid w:val="4E793892"/>
    <w:rsid w:val="4E800872"/>
    <w:rsid w:val="4EC569ED"/>
    <w:rsid w:val="4EC704B1"/>
    <w:rsid w:val="4ED50EA1"/>
    <w:rsid w:val="4EE72817"/>
    <w:rsid w:val="4EEC050C"/>
    <w:rsid w:val="4F0A3800"/>
    <w:rsid w:val="4F104EC3"/>
    <w:rsid w:val="4F141E26"/>
    <w:rsid w:val="4F47354A"/>
    <w:rsid w:val="4F911C54"/>
    <w:rsid w:val="4FD90BCF"/>
    <w:rsid w:val="4FE625E0"/>
    <w:rsid w:val="4FFE6C3E"/>
    <w:rsid w:val="5021480F"/>
    <w:rsid w:val="50394D6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1F3107"/>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3C25DCC"/>
    <w:rsid w:val="54013861"/>
    <w:rsid w:val="542A104D"/>
    <w:rsid w:val="54487265"/>
    <w:rsid w:val="544D6070"/>
    <w:rsid w:val="545E28FC"/>
    <w:rsid w:val="54605E1E"/>
    <w:rsid w:val="54B3506A"/>
    <w:rsid w:val="54B40BE7"/>
    <w:rsid w:val="54C61495"/>
    <w:rsid w:val="54CA0D16"/>
    <w:rsid w:val="54CB65CA"/>
    <w:rsid w:val="54DD4057"/>
    <w:rsid w:val="54E7490F"/>
    <w:rsid w:val="54ED3438"/>
    <w:rsid w:val="5501462D"/>
    <w:rsid w:val="550764A4"/>
    <w:rsid w:val="550B2BF6"/>
    <w:rsid w:val="55214EB5"/>
    <w:rsid w:val="55364EFD"/>
    <w:rsid w:val="555D4828"/>
    <w:rsid w:val="557A4C8B"/>
    <w:rsid w:val="557B0F98"/>
    <w:rsid w:val="558931E1"/>
    <w:rsid w:val="55923347"/>
    <w:rsid w:val="55925180"/>
    <w:rsid w:val="55983B1B"/>
    <w:rsid w:val="55A8376B"/>
    <w:rsid w:val="55DC29B6"/>
    <w:rsid w:val="55DD4241"/>
    <w:rsid w:val="55F62A80"/>
    <w:rsid w:val="563D798B"/>
    <w:rsid w:val="56633D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59B3"/>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002B7"/>
    <w:rsid w:val="5A792B1F"/>
    <w:rsid w:val="5A824FB6"/>
    <w:rsid w:val="5A874767"/>
    <w:rsid w:val="5A9102A6"/>
    <w:rsid w:val="5AAD6F28"/>
    <w:rsid w:val="5AC635BB"/>
    <w:rsid w:val="5AD50114"/>
    <w:rsid w:val="5AD63A24"/>
    <w:rsid w:val="5B2E1A1D"/>
    <w:rsid w:val="5B843A1C"/>
    <w:rsid w:val="5B873E3F"/>
    <w:rsid w:val="5B997D9D"/>
    <w:rsid w:val="5C02690E"/>
    <w:rsid w:val="5C196DA7"/>
    <w:rsid w:val="5C2A048C"/>
    <w:rsid w:val="5C5C6AEF"/>
    <w:rsid w:val="5C80234E"/>
    <w:rsid w:val="5C8A680C"/>
    <w:rsid w:val="5CC24902"/>
    <w:rsid w:val="5CFA37F2"/>
    <w:rsid w:val="5D0C4701"/>
    <w:rsid w:val="5D0F0395"/>
    <w:rsid w:val="5D221076"/>
    <w:rsid w:val="5D397964"/>
    <w:rsid w:val="5D5A391C"/>
    <w:rsid w:val="5D5F10C0"/>
    <w:rsid w:val="5D891B7B"/>
    <w:rsid w:val="5DAD38EE"/>
    <w:rsid w:val="5DB500A0"/>
    <w:rsid w:val="5DEB56F0"/>
    <w:rsid w:val="5E006862"/>
    <w:rsid w:val="5E0207B9"/>
    <w:rsid w:val="5E1834A1"/>
    <w:rsid w:val="5E261785"/>
    <w:rsid w:val="5E4A7017"/>
    <w:rsid w:val="5E552BBA"/>
    <w:rsid w:val="5E611C10"/>
    <w:rsid w:val="5EE11F1E"/>
    <w:rsid w:val="5EFC7377"/>
    <w:rsid w:val="5F06174D"/>
    <w:rsid w:val="5F0D4B03"/>
    <w:rsid w:val="5F3A3602"/>
    <w:rsid w:val="5F6277C6"/>
    <w:rsid w:val="5F6D0B1D"/>
    <w:rsid w:val="5F8C46A3"/>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A93B54"/>
    <w:rsid w:val="61F94C26"/>
    <w:rsid w:val="62000E56"/>
    <w:rsid w:val="620152D8"/>
    <w:rsid w:val="624F3E49"/>
    <w:rsid w:val="62632286"/>
    <w:rsid w:val="62885958"/>
    <w:rsid w:val="62F40B65"/>
    <w:rsid w:val="62FC2CFE"/>
    <w:rsid w:val="63024505"/>
    <w:rsid w:val="63031170"/>
    <w:rsid w:val="635B1DB5"/>
    <w:rsid w:val="63711FED"/>
    <w:rsid w:val="63880DDC"/>
    <w:rsid w:val="638D750D"/>
    <w:rsid w:val="63AC6CC0"/>
    <w:rsid w:val="63DE3E26"/>
    <w:rsid w:val="63DF054D"/>
    <w:rsid w:val="64055776"/>
    <w:rsid w:val="64184872"/>
    <w:rsid w:val="64240056"/>
    <w:rsid w:val="643E143A"/>
    <w:rsid w:val="64786860"/>
    <w:rsid w:val="648B6EEF"/>
    <w:rsid w:val="64915E02"/>
    <w:rsid w:val="64C158BF"/>
    <w:rsid w:val="64CE2EAA"/>
    <w:rsid w:val="653C3090"/>
    <w:rsid w:val="65854376"/>
    <w:rsid w:val="658767BE"/>
    <w:rsid w:val="65892531"/>
    <w:rsid w:val="659E54BA"/>
    <w:rsid w:val="65EA4748"/>
    <w:rsid w:val="66195831"/>
    <w:rsid w:val="662E75B1"/>
    <w:rsid w:val="66342C2E"/>
    <w:rsid w:val="663E784C"/>
    <w:rsid w:val="66702B96"/>
    <w:rsid w:val="668B6A45"/>
    <w:rsid w:val="669C4947"/>
    <w:rsid w:val="672F3F24"/>
    <w:rsid w:val="673E055F"/>
    <w:rsid w:val="67551CE3"/>
    <w:rsid w:val="675E5CB8"/>
    <w:rsid w:val="67625388"/>
    <w:rsid w:val="67A22552"/>
    <w:rsid w:val="67B22DCC"/>
    <w:rsid w:val="67BE71AA"/>
    <w:rsid w:val="67D87514"/>
    <w:rsid w:val="67D90273"/>
    <w:rsid w:val="67DE5875"/>
    <w:rsid w:val="67DF08A2"/>
    <w:rsid w:val="67E55852"/>
    <w:rsid w:val="67EB1AB4"/>
    <w:rsid w:val="67FA1285"/>
    <w:rsid w:val="68551F4F"/>
    <w:rsid w:val="687C10C9"/>
    <w:rsid w:val="68840C16"/>
    <w:rsid w:val="68876EFB"/>
    <w:rsid w:val="68884654"/>
    <w:rsid w:val="68891E3A"/>
    <w:rsid w:val="689B3ABC"/>
    <w:rsid w:val="689F444F"/>
    <w:rsid w:val="68A009F8"/>
    <w:rsid w:val="68B96DBB"/>
    <w:rsid w:val="68CA2805"/>
    <w:rsid w:val="68E937A3"/>
    <w:rsid w:val="693E15D3"/>
    <w:rsid w:val="69627681"/>
    <w:rsid w:val="6977531D"/>
    <w:rsid w:val="69CC2BFF"/>
    <w:rsid w:val="69FD55B8"/>
    <w:rsid w:val="6A0B1C62"/>
    <w:rsid w:val="6A2406C8"/>
    <w:rsid w:val="6A3C36CD"/>
    <w:rsid w:val="6ADE0BD1"/>
    <w:rsid w:val="6AE96859"/>
    <w:rsid w:val="6B147746"/>
    <w:rsid w:val="6B24787C"/>
    <w:rsid w:val="6B573233"/>
    <w:rsid w:val="6B5B6274"/>
    <w:rsid w:val="6B935D53"/>
    <w:rsid w:val="6BD61E9B"/>
    <w:rsid w:val="6BEB6FC7"/>
    <w:rsid w:val="6C196F71"/>
    <w:rsid w:val="6C1D0DCA"/>
    <w:rsid w:val="6C226FCB"/>
    <w:rsid w:val="6C31226F"/>
    <w:rsid w:val="6C552F0B"/>
    <w:rsid w:val="6C6116EB"/>
    <w:rsid w:val="6C8C67B7"/>
    <w:rsid w:val="6C9D744C"/>
    <w:rsid w:val="6D167928"/>
    <w:rsid w:val="6D26299B"/>
    <w:rsid w:val="6D4772EC"/>
    <w:rsid w:val="6D5476CB"/>
    <w:rsid w:val="6D9078AF"/>
    <w:rsid w:val="6DAA3FEF"/>
    <w:rsid w:val="6DC0172B"/>
    <w:rsid w:val="6DCB690C"/>
    <w:rsid w:val="6DD41A5B"/>
    <w:rsid w:val="6DF43C2E"/>
    <w:rsid w:val="6DF51CA3"/>
    <w:rsid w:val="6E624D93"/>
    <w:rsid w:val="6E8335BD"/>
    <w:rsid w:val="6E8E12EF"/>
    <w:rsid w:val="6E972936"/>
    <w:rsid w:val="6ED446C5"/>
    <w:rsid w:val="6F2A7D94"/>
    <w:rsid w:val="6F743CD3"/>
    <w:rsid w:val="6F8331F1"/>
    <w:rsid w:val="6FAE1A09"/>
    <w:rsid w:val="6FCD2CB0"/>
    <w:rsid w:val="6FD75BF8"/>
    <w:rsid w:val="707723D0"/>
    <w:rsid w:val="70CB08AF"/>
    <w:rsid w:val="70D93627"/>
    <w:rsid w:val="70F20971"/>
    <w:rsid w:val="70F5661B"/>
    <w:rsid w:val="71360107"/>
    <w:rsid w:val="713B688E"/>
    <w:rsid w:val="7143471F"/>
    <w:rsid w:val="71D43752"/>
    <w:rsid w:val="71E40621"/>
    <w:rsid w:val="71F1796A"/>
    <w:rsid w:val="72154626"/>
    <w:rsid w:val="7215682E"/>
    <w:rsid w:val="72166298"/>
    <w:rsid w:val="721B4BCD"/>
    <w:rsid w:val="72262B5D"/>
    <w:rsid w:val="72283FF7"/>
    <w:rsid w:val="722E7212"/>
    <w:rsid w:val="723A0474"/>
    <w:rsid w:val="72562F72"/>
    <w:rsid w:val="725923E4"/>
    <w:rsid w:val="72864BF7"/>
    <w:rsid w:val="729023FC"/>
    <w:rsid w:val="72FE7326"/>
    <w:rsid w:val="73C0646E"/>
    <w:rsid w:val="742222F5"/>
    <w:rsid w:val="742D557A"/>
    <w:rsid w:val="74476126"/>
    <w:rsid w:val="74706664"/>
    <w:rsid w:val="747F3682"/>
    <w:rsid w:val="749C4185"/>
    <w:rsid w:val="74B97C8B"/>
    <w:rsid w:val="75067759"/>
    <w:rsid w:val="752E6DCD"/>
    <w:rsid w:val="7551380D"/>
    <w:rsid w:val="75600BE5"/>
    <w:rsid w:val="7564475C"/>
    <w:rsid w:val="7583797F"/>
    <w:rsid w:val="75D20F1D"/>
    <w:rsid w:val="75DA2C18"/>
    <w:rsid w:val="75F45DEB"/>
    <w:rsid w:val="75F54412"/>
    <w:rsid w:val="761D08E0"/>
    <w:rsid w:val="762C0135"/>
    <w:rsid w:val="765D347C"/>
    <w:rsid w:val="76826699"/>
    <w:rsid w:val="76C87133"/>
    <w:rsid w:val="76CD08D5"/>
    <w:rsid w:val="76DB4B92"/>
    <w:rsid w:val="76FE2BEF"/>
    <w:rsid w:val="77052AA4"/>
    <w:rsid w:val="77136511"/>
    <w:rsid w:val="77340A39"/>
    <w:rsid w:val="77351FD0"/>
    <w:rsid w:val="77472422"/>
    <w:rsid w:val="777F31F2"/>
    <w:rsid w:val="77B512EC"/>
    <w:rsid w:val="77D1700D"/>
    <w:rsid w:val="77EC04CC"/>
    <w:rsid w:val="78775729"/>
    <w:rsid w:val="78A42DB0"/>
    <w:rsid w:val="78A656AB"/>
    <w:rsid w:val="78B2245C"/>
    <w:rsid w:val="78C627C0"/>
    <w:rsid w:val="78E172CC"/>
    <w:rsid w:val="78EA1D1F"/>
    <w:rsid w:val="7904172F"/>
    <w:rsid w:val="790C02C5"/>
    <w:rsid w:val="790F7E27"/>
    <w:rsid w:val="792A231A"/>
    <w:rsid w:val="79316829"/>
    <w:rsid w:val="797E66A9"/>
    <w:rsid w:val="79A97383"/>
    <w:rsid w:val="79E27E8B"/>
    <w:rsid w:val="79F850CE"/>
    <w:rsid w:val="79FD443C"/>
    <w:rsid w:val="7A1D1975"/>
    <w:rsid w:val="7A1F16A2"/>
    <w:rsid w:val="7A3E5150"/>
    <w:rsid w:val="7A4670D6"/>
    <w:rsid w:val="7A534B63"/>
    <w:rsid w:val="7A615382"/>
    <w:rsid w:val="7A67303B"/>
    <w:rsid w:val="7A977FA2"/>
    <w:rsid w:val="7A990D85"/>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01FB9"/>
    <w:rsid w:val="7C7C10F6"/>
    <w:rsid w:val="7C853BEA"/>
    <w:rsid w:val="7C881368"/>
    <w:rsid w:val="7CE27788"/>
    <w:rsid w:val="7CF7112C"/>
    <w:rsid w:val="7D0C32F1"/>
    <w:rsid w:val="7D0F408D"/>
    <w:rsid w:val="7D3E59E9"/>
    <w:rsid w:val="7D491C6C"/>
    <w:rsid w:val="7D5429C0"/>
    <w:rsid w:val="7D553C43"/>
    <w:rsid w:val="7D6E6D43"/>
    <w:rsid w:val="7DB57A34"/>
    <w:rsid w:val="7DE60973"/>
    <w:rsid w:val="7DEF0916"/>
    <w:rsid w:val="7E1E5218"/>
    <w:rsid w:val="7E1E5516"/>
    <w:rsid w:val="7E5E4B7E"/>
    <w:rsid w:val="7E9A4E1F"/>
    <w:rsid w:val="7EA7723A"/>
    <w:rsid w:val="7ED152B8"/>
    <w:rsid w:val="7EF56FBB"/>
    <w:rsid w:val="7F0768EB"/>
    <w:rsid w:val="7F143BEC"/>
    <w:rsid w:val="7F715AF2"/>
    <w:rsid w:val="7F886E69"/>
    <w:rsid w:val="7FC05959"/>
    <w:rsid w:val="7FC248D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unhideWhenUsed/>
    <w:qFormat/>
    <w:uiPriority w:val="1"/>
  </w:style>
  <w:style w:type="table" w:default="1" w:styleId="68">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3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1"/>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8"/>
    <w:qFormat/>
    <w:uiPriority w:val="0"/>
    <w:pPr>
      <w:ind w:firstLine="420"/>
    </w:pPr>
    <w:rPr>
      <w:rFonts w:hAnsi="Calibri" w:cs="Times New Roman"/>
      <w:szCs w:val="20"/>
    </w:rPr>
  </w:style>
  <w:style w:type="paragraph" w:styleId="25">
    <w:name w:val="Body Text Indent"/>
    <w:basedOn w:val="1"/>
    <w:next w:val="26"/>
    <w:link w:val="797"/>
    <w:qFormat/>
    <w:uiPriority w:val="0"/>
    <w:pPr>
      <w:spacing w:line="480" w:lineRule="exact"/>
      <w:ind w:firstLine="480" w:firstLineChars="200"/>
    </w:pPr>
    <w:rPr>
      <w:rFonts w:ascii="宋体" w:hAnsi="宋体"/>
      <w:sz w:val="24"/>
    </w:rPr>
  </w:style>
  <w:style w:type="paragraph" w:customStyle="1" w:styleId="26">
    <w:name w:val="正文文本首行缩进 21"/>
    <w:basedOn w:val="27"/>
    <w:qFormat/>
    <w:uiPriority w:val="99"/>
    <w:pPr>
      <w:tabs>
        <w:tab w:val="right" w:leader="dot" w:pos="8268"/>
      </w:tabs>
      <w:spacing w:line="200" w:lineRule="atLeast"/>
      <w:ind w:firstLine="420"/>
    </w:pPr>
    <w:rPr>
      <w:rFonts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7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23"/>
    <w:qFormat/>
    <w:uiPriority w:val="0"/>
    <w:pPr>
      <w:ind w:left="100" w:leftChars="2500"/>
    </w:pPr>
    <w:rPr>
      <w:rFonts w:ascii="宋体"/>
      <w:sz w:val="24"/>
      <w:szCs w:val="21"/>
      <w:lang w:val="zh-CN"/>
    </w:rPr>
  </w:style>
  <w:style w:type="paragraph" w:styleId="41">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2">
    <w:name w:val="endnote text"/>
    <w:basedOn w:val="1"/>
    <w:link w:val="954"/>
    <w:qFormat/>
    <w:uiPriority w:val="0"/>
    <w:rPr>
      <w:lang w:val="zh-CN"/>
    </w:rPr>
  </w:style>
  <w:style w:type="paragraph" w:styleId="43">
    <w:name w:val="Balloon Text"/>
    <w:basedOn w:val="1"/>
    <w:link w:val="730"/>
    <w:qFormat/>
    <w:uiPriority w:val="0"/>
    <w:rPr>
      <w:sz w:val="18"/>
      <w:szCs w:val="18"/>
    </w:rPr>
  </w:style>
  <w:style w:type="paragraph" w:styleId="44">
    <w:name w:val="footer"/>
    <w:basedOn w:val="1"/>
    <w:link w:val="905"/>
    <w:qFormat/>
    <w:uiPriority w:val="99"/>
    <w:pPr>
      <w:tabs>
        <w:tab w:val="center" w:pos="4153"/>
        <w:tab w:val="right" w:pos="8306"/>
      </w:tabs>
      <w:snapToGrid w:val="0"/>
      <w:jc w:val="left"/>
    </w:pPr>
    <w:rPr>
      <w:sz w:val="18"/>
      <w:szCs w:val="18"/>
    </w:rPr>
  </w:style>
  <w:style w:type="paragraph" w:styleId="45">
    <w:name w:val="header"/>
    <w:basedOn w:val="1"/>
    <w:next w:val="46"/>
    <w:link w:val="913"/>
    <w:qFormat/>
    <w:uiPriority w:val="99"/>
    <w:pPr>
      <w:pBdr>
        <w:bottom w:val="single" w:color="auto" w:sz="6" w:space="1"/>
      </w:pBdr>
      <w:tabs>
        <w:tab w:val="center" w:pos="4153"/>
        <w:tab w:val="right" w:pos="8306"/>
      </w:tabs>
      <w:snapToGrid w:val="0"/>
      <w:jc w:val="center"/>
    </w:pPr>
    <w:rPr>
      <w:sz w:val="18"/>
      <w:szCs w:val="18"/>
    </w:rPr>
  </w:style>
  <w:style w:type="paragraph" w:customStyle="1" w:styleId="46">
    <w:name w:val="Quote1"/>
    <w:basedOn w:val="1"/>
    <w:next w:val="1"/>
    <w:qFormat/>
    <w:uiPriority w:val="99"/>
    <w:pPr>
      <w:widowControl/>
      <w:wordWrap w:val="0"/>
      <w:spacing w:before="200" w:after="160"/>
      <w:ind w:left="864" w:right="864"/>
      <w:jc w:val="center"/>
    </w:pPr>
    <w:rPr>
      <w:rFonts w:ascii="宋体"/>
      <w:i/>
      <w:color w:val="404040"/>
    </w:rPr>
  </w:style>
  <w:style w:type="paragraph" w:styleId="47">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839"/>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next w:val="59"/>
    <w:link w:val="898"/>
    <w:qFormat/>
    <w:uiPriority w:val="0"/>
    <w:pPr>
      <w:spacing w:line="360" w:lineRule="auto"/>
      <w:ind w:firstLine="420"/>
    </w:pPr>
    <w:rPr>
      <w:sz w:val="24"/>
      <w:szCs w:val="20"/>
    </w:rPr>
  </w:style>
  <w:style w:type="paragraph" w:customStyle="1" w:styleId="59">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833"/>
    <w:qFormat/>
    <w:uiPriority w:val="0"/>
    <w:pPr>
      <w:spacing w:after="120" w:line="480" w:lineRule="auto"/>
    </w:pPr>
  </w:style>
  <w:style w:type="paragraph" w:styleId="63">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817"/>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19"/>
    <w:next w:val="19"/>
    <w:link w:val="646"/>
    <w:qFormat/>
    <w:uiPriority w:val="0"/>
    <w:rPr>
      <w:b/>
      <w:bCs/>
    </w:rPr>
  </w:style>
  <w:style w:type="paragraph" w:styleId="67">
    <w:name w:val="Body Text First Indent 2"/>
    <w:basedOn w:val="25"/>
    <w:next w:val="1"/>
    <w:link w:val="669"/>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正文文本首行缩进 2"/>
    <w:basedOn w:val="27"/>
    <w:qFormat/>
    <w:uiPriority w:val="99"/>
    <w:pPr>
      <w:spacing w:line="200" w:lineRule="atLeast"/>
      <w:ind w:firstLine="420"/>
    </w:pPr>
    <w:rPr>
      <w:rFonts w:ascii="宋体"/>
      <w:spacing w:val="-4"/>
      <w:sz w:val="18"/>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9">
    <w:name w:val="正文首行缩进 21"/>
    <w:basedOn w:val="90"/>
    <w:next w:val="1"/>
    <w:qFormat/>
    <w:uiPriority w:val="0"/>
    <w:pPr>
      <w:ind w:firstLine="210"/>
    </w:pPr>
  </w:style>
  <w:style w:type="paragraph" w:customStyle="1" w:styleId="90">
    <w:name w:val="正文文本缩进1"/>
    <w:basedOn w:val="1"/>
    <w:next w:val="1"/>
    <w:qFormat/>
    <w:uiPriority w:val="0"/>
    <w:pPr>
      <w:widowControl/>
      <w:ind w:left="420"/>
    </w:pPr>
    <w:rPr>
      <w:color w:val="000000"/>
    </w:rPr>
  </w:style>
  <w:style w:type="paragraph" w:customStyle="1" w:styleId="91">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62"/>
    <w:next w:val="48"/>
    <w:link w:val="678"/>
    <w:qFormat/>
    <w:uiPriority w:val="0"/>
    <w:pPr>
      <w:spacing w:before="156" w:line="360" w:lineRule="auto"/>
      <w:ind w:firstLine="510" w:firstLineChars="200"/>
    </w:pPr>
    <w:rPr>
      <w:sz w:val="24"/>
      <w:szCs w:val="20"/>
    </w:rPr>
  </w:style>
  <w:style w:type="paragraph" w:customStyle="1" w:styleId="97">
    <w:name w:val="正文11"/>
    <w:next w:val="3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8">
    <w:name w:val="无间隔1"/>
    <w:link w:val="686"/>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4"/>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3"/>
    <w:link w:val="713"/>
    <w:qFormat/>
    <w:uiPriority w:val="0"/>
    <w:pPr>
      <w:snapToGrid w:val="0"/>
      <w:spacing w:before="240" w:after="240" w:line="240" w:lineRule="auto"/>
      <w:jc w:val="center"/>
    </w:pPr>
    <w:rPr>
      <w:rFonts w:ascii="Calibri" w:hAnsi="Calibri" w:eastAsia="宋体"/>
      <w:kern w:val="0"/>
      <w:szCs w:val="20"/>
    </w:rPr>
  </w:style>
  <w:style w:type="paragraph" w:customStyle="1" w:styleId="103">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39"/>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Default"/>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样式"/>
    <w:basedOn w:val="1"/>
    <w:link w:val="781"/>
    <w:qFormat/>
    <w:uiPriority w:val="0"/>
    <w:pPr>
      <w:adjustRightInd/>
      <w:spacing w:line="360" w:lineRule="auto"/>
      <w:ind w:firstLine="480" w:firstLineChars="200"/>
    </w:pPr>
    <w:rPr>
      <w:kern w:val="0"/>
      <w:sz w:val="24"/>
    </w:rPr>
  </w:style>
  <w:style w:type="paragraph" w:customStyle="1" w:styleId="110">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1">
    <w:name w:val="列表1"/>
    <w:basedOn w:val="1"/>
    <w:next w:val="112"/>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2">
    <w:name w:val="列表段落1"/>
    <w:basedOn w:val="1"/>
    <w:qFormat/>
    <w:uiPriority w:val="34"/>
    <w:pPr>
      <w:spacing w:line="360" w:lineRule="auto"/>
      <w:ind w:firstLine="200" w:firstLineChars="200"/>
    </w:pPr>
    <w:rPr>
      <w:rFonts w:eastAsia="楷体_GB2312" w:cs="Lucida Sans"/>
      <w:sz w:val="24"/>
    </w:rPr>
  </w:style>
  <w:style w:type="paragraph" w:customStyle="1" w:styleId="113">
    <w:name w:val="此正文"/>
    <w:basedOn w:val="1"/>
    <w:link w:val="812"/>
    <w:qFormat/>
    <w:uiPriority w:val="0"/>
    <w:pPr>
      <w:adjustRightInd/>
      <w:spacing w:line="360" w:lineRule="auto"/>
      <w:ind w:firstLine="200" w:firstLineChars="200"/>
    </w:pPr>
    <w:rPr>
      <w:sz w:val="24"/>
    </w:rPr>
  </w:style>
  <w:style w:type="paragraph" w:customStyle="1" w:styleId="114">
    <w:name w:val="样式 样式 标题 4h4H4Fab-4T5Ref Heading 1rh1Heading sqlsect 1.2.3.... +..."/>
    <w:basedOn w:val="115"/>
    <w:link w:val="834"/>
    <w:qFormat/>
    <w:uiPriority w:val="0"/>
    <w:pPr>
      <w:tabs>
        <w:tab w:val="left" w:pos="2356"/>
      </w:tabs>
    </w:pPr>
  </w:style>
  <w:style w:type="paragraph" w:customStyle="1" w:styleId="115">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6">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7">
    <w:name w:val="纯文本1"/>
    <w:basedOn w:val="1"/>
    <w:link w:val="847"/>
    <w:qFormat/>
    <w:uiPriority w:val="0"/>
    <w:pPr>
      <w:adjustRightInd/>
    </w:pPr>
    <w:rPr>
      <w:rFonts w:ascii="宋体" w:hAnsi="Courier New"/>
      <w:kern w:val="0"/>
      <w:sz w:val="20"/>
      <w:szCs w:val="20"/>
    </w:rPr>
  </w:style>
  <w:style w:type="paragraph" w:customStyle="1" w:styleId="118">
    <w:name w:val="正文说明"/>
    <w:basedOn w:val="1"/>
    <w:link w:val="859"/>
    <w:qFormat/>
    <w:uiPriority w:val="0"/>
    <w:pPr>
      <w:adjustRightInd/>
      <w:spacing w:line="360" w:lineRule="auto"/>
    </w:pPr>
    <w:rPr>
      <w:kern w:val="0"/>
      <w:sz w:val="24"/>
    </w:rPr>
  </w:style>
  <w:style w:type="paragraph" w:customStyle="1" w:styleId="119">
    <w:name w:val="Table Text"/>
    <w:basedOn w:val="1"/>
    <w:link w:val="865"/>
    <w:qFormat/>
    <w:uiPriority w:val="0"/>
    <w:pPr>
      <w:widowControl/>
      <w:spacing w:before="60" w:after="60"/>
      <w:jc w:val="left"/>
    </w:pPr>
    <w:rPr>
      <w:kern w:val="0"/>
      <w:sz w:val="24"/>
    </w:rPr>
  </w:style>
  <w:style w:type="paragraph" w:customStyle="1" w:styleId="120">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21">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3">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4">
    <w:name w:val="正文段"/>
    <w:basedOn w:val="1"/>
    <w:link w:val="917"/>
    <w:qFormat/>
    <w:uiPriority w:val="0"/>
    <w:pPr>
      <w:widowControl/>
      <w:snapToGrid w:val="0"/>
      <w:spacing w:afterLines="50"/>
      <w:ind w:firstLine="200" w:firstLineChars="200"/>
    </w:pPr>
    <w:rPr>
      <w:kern w:val="0"/>
      <w:sz w:val="24"/>
      <w:szCs w:val="20"/>
    </w:rPr>
  </w:style>
  <w:style w:type="paragraph" w:customStyle="1" w:styleId="125">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6">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7">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8">
    <w:name w:val="样式 正文缩进 + 首行缩进:  2 字符"/>
    <w:basedOn w:val="15"/>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6">
    <w:name w:val="标题4_自定义"/>
    <w:basedOn w:val="5"/>
    <w:qFormat/>
    <w:uiPriority w:val="0"/>
    <w:pPr>
      <w:adjustRightInd/>
      <w:spacing w:before="0" w:after="0" w:line="360" w:lineRule="auto"/>
    </w:pPr>
    <w:rPr>
      <w:rFonts w:ascii="Verdana" w:eastAsia="Verdana"/>
      <w:sz w:val="21"/>
      <w:lang w:val="en-US"/>
    </w:rPr>
  </w:style>
  <w:style w:type="paragraph" w:customStyle="1" w:styleId="137">
    <w:name w:val="正文 内标 序号标"/>
    <w:basedOn w:val="138"/>
    <w:qFormat/>
    <w:uiPriority w:val="0"/>
    <w:pPr>
      <w:tabs>
        <w:tab w:val="left" w:pos="0"/>
      </w:tabs>
      <w:adjustRightInd/>
      <w:spacing w:before="0"/>
      <w:ind w:firstLine="482"/>
    </w:pPr>
    <w:rPr>
      <w:rFonts w:ascii="微软雅黑" w:hAnsi="微软雅黑"/>
      <w:sz w:val="24"/>
      <w:szCs w:val="24"/>
    </w:rPr>
  </w:style>
  <w:style w:type="paragraph" w:customStyle="1" w:styleId="138">
    <w:name w:val="My正文"/>
    <w:basedOn w:val="1"/>
    <w:qFormat/>
    <w:uiPriority w:val="0"/>
    <w:pPr>
      <w:spacing w:before="120" w:line="360" w:lineRule="auto"/>
      <w:ind w:firstLine="567"/>
    </w:pPr>
    <w:rPr>
      <w:rFonts w:ascii="Arial" w:hAnsi="Arial"/>
      <w:sz w:val="20"/>
      <w:szCs w:val="20"/>
    </w:rPr>
  </w:style>
  <w:style w:type="paragraph" w:customStyle="1" w:styleId="1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2">
    <w:name w:val="修订2"/>
    <w:qFormat/>
    <w:uiPriority w:val="0"/>
    <w:rPr>
      <w:rFonts w:ascii="Times New Roman" w:hAnsi="Times New Roman" w:eastAsia="宋体" w:cs="Times New Roman"/>
      <w:kern w:val="2"/>
      <w:sz w:val="21"/>
      <w:lang w:val="en-US" w:eastAsia="zh-CN" w:bidi="ar-SA"/>
    </w:rPr>
  </w:style>
  <w:style w:type="paragraph" w:customStyle="1" w:styleId="14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5">
    <w:name w:val="文章标题"/>
    <w:next w:val="14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6">
    <w:name w:val="封面公司名"/>
    <w:qFormat/>
    <w:uiPriority w:val="0"/>
    <w:pPr>
      <w:jc w:val="center"/>
    </w:pPr>
    <w:rPr>
      <w:rFonts w:ascii="Arial" w:hAnsi="Arial" w:eastAsia="楷体_GB2312" w:cs="宋体"/>
      <w:bCs/>
      <w:kern w:val="2"/>
      <w:sz w:val="28"/>
      <w:lang w:val="en-US" w:eastAsia="zh-CN" w:bidi="ar-SA"/>
    </w:rPr>
  </w:style>
  <w:style w:type="paragraph" w:customStyle="1" w:styleId="147">
    <w:name w:val="Char1 Char Char Char5"/>
    <w:basedOn w:val="1"/>
    <w:qFormat/>
    <w:uiPriority w:val="0"/>
    <w:pPr>
      <w:adjustRightInd/>
      <w:ind w:firstLine="200" w:firstLineChars="200"/>
    </w:pPr>
    <w:rPr>
      <w:rFonts w:ascii="Tahoma" w:hAnsi="Tahoma"/>
      <w:sz w:val="24"/>
      <w:szCs w:val="20"/>
    </w:rPr>
  </w:style>
  <w:style w:type="paragraph" w:customStyle="1" w:styleId="14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0">
    <w:name w:val="Char Char Char Char Char Char Char Char"/>
    <w:basedOn w:val="1"/>
    <w:qFormat/>
    <w:uiPriority w:val="0"/>
    <w:pPr>
      <w:tabs>
        <w:tab w:val="left" w:pos="360"/>
      </w:tabs>
    </w:pPr>
    <w:rPr>
      <w:sz w:val="24"/>
      <w:szCs w:val="20"/>
    </w:rPr>
  </w:style>
  <w:style w:type="paragraph" w:customStyle="1" w:styleId="151">
    <w:name w:val="Char Char11 Char Char Char"/>
    <w:basedOn w:val="1"/>
    <w:qFormat/>
    <w:uiPriority w:val="0"/>
    <w:pPr>
      <w:spacing w:line="360" w:lineRule="auto"/>
    </w:pPr>
    <w:rPr>
      <w:szCs w:val="20"/>
    </w:rPr>
  </w:style>
  <w:style w:type="paragraph" w:customStyle="1" w:styleId="1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4">
    <w:name w:val="样式3"/>
    <w:basedOn w:val="155"/>
    <w:qFormat/>
    <w:uiPriority w:val="0"/>
    <w:pPr>
      <w:tabs>
        <w:tab w:val="left" w:pos="2790"/>
        <w:tab w:val="left" w:pos="4230"/>
      </w:tabs>
      <w:spacing w:beforeLines="100"/>
      <w:jc w:val="left"/>
    </w:pPr>
  </w:style>
  <w:style w:type="paragraph" w:customStyle="1" w:styleId="15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6">
    <w:name w:val="Char Char1 Char Char1 Char Char1"/>
    <w:basedOn w:val="1"/>
    <w:qFormat/>
    <w:uiPriority w:val="0"/>
    <w:pPr>
      <w:tabs>
        <w:tab w:val="left" w:pos="840"/>
      </w:tabs>
      <w:ind w:left="840" w:hanging="420"/>
    </w:pPr>
    <w:rPr>
      <w:rFonts w:ascii="Tahoma" w:hAnsi="Tahoma"/>
      <w:sz w:val="24"/>
    </w:rPr>
  </w:style>
  <w:style w:type="paragraph" w:customStyle="1" w:styleId="15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8">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0">
    <w:name w:val="正文21"/>
    <w:basedOn w:val="1"/>
    <w:qFormat/>
    <w:uiPriority w:val="0"/>
    <w:pPr>
      <w:adjustRightInd/>
      <w:spacing w:before="156" w:line="360" w:lineRule="auto"/>
      <w:ind w:firstLine="510" w:firstLineChars="200"/>
    </w:pPr>
    <w:rPr>
      <w:sz w:val="24"/>
      <w:szCs w:val="20"/>
    </w:rPr>
  </w:style>
  <w:style w:type="paragraph" w:customStyle="1" w:styleId="16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3">
    <w:name w:val="Char1"/>
    <w:basedOn w:val="1"/>
    <w:qFormat/>
    <w:uiPriority w:val="0"/>
    <w:rPr>
      <w:rFonts w:ascii="仿宋_GB2312" w:eastAsia="仿宋_GB2312"/>
      <w:b/>
      <w:sz w:val="32"/>
      <w:szCs w:val="32"/>
    </w:rPr>
  </w:style>
  <w:style w:type="paragraph" w:customStyle="1" w:styleId="1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8">
    <w:name w:val="6级标题"/>
    <w:basedOn w:val="169"/>
    <w:qFormat/>
    <w:uiPriority w:val="0"/>
    <w:pPr>
      <w:keepNext/>
      <w:tabs>
        <w:tab w:val="left" w:pos="360"/>
      </w:tabs>
      <w:outlineLvl w:val="5"/>
    </w:pPr>
  </w:style>
  <w:style w:type="paragraph" w:customStyle="1" w:styleId="169">
    <w:name w:val="5级标题"/>
    <w:basedOn w:val="17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0">
    <w:name w:val="4级标题"/>
    <w:basedOn w:val="11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1">
    <w:name w:val="样式 正文文本缩进 + 段前: 2 字符"/>
    <w:basedOn w:val="1"/>
    <w:qFormat/>
    <w:uiPriority w:val="0"/>
    <w:pPr>
      <w:adjustRightInd/>
      <w:ind w:left="420" w:leftChars="200"/>
      <w:jc w:val="left"/>
    </w:pPr>
    <w:rPr>
      <w:sz w:val="28"/>
      <w:szCs w:val="20"/>
      <w:lang w:eastAsia="zh-TW"/>
    </w:rPr>
  </w:style>
  <w:style w:type="paragraph" w:customStyle="1" w:styleId="172">
    <w:name w:val="Char2 Char Char"/>
    <w:basedOn w:val="1"/>
    <w:qFormat/>
    <w:uiPriority w:val="0"/>
    <w:pPr>
      <w:adjustRightInd/>
    </w:pPr>
    <w:rPr>
      <w:rFonts w:ascii="Tahoma" w:hAnsi="Tahoma"/>
      <w:sz w:val="24"/>
      <w:szCs w:val="20"/>
    </w:rPr>
  </w:style>
  <w:style w:type="paragraph" w:customStyle="1" w:styleId="173">
    <w:name w:val="_Style 11"/>
    <w:basedOn w:val="1"/>
    <w:qFormat/>
    <w:uiPriority w:val="34"/>
    <w:pPr>
      <w:adjustRightInd/>
      <w:ind w:firstLine="420" w:firstLineChars="200"/>
    </w:pPr>
    <w:rPr>
      <w:rFonts w:eastAsia="仿宋_GB2312"/>
      <w:sz w:val="28"/>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5">
    <w:name w:val="Char Char Char"/>
    <w:basedOn w:val="1"/>
    <w:qFormat/>
    <w:uiPriority w:val="0"/>
    <w:rPr>
      <w:rFonts w:ascii="Tahoma" w:hAnsi="Tahoma"/>
      <w:sz w:val="24"/>
      <w:szCs w:val="20"/>
    </w:rPr>
  </w:style>
  <w:style w:type="paragraph" w:customStyle="1" w:styleId="17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8">
    <w:name w:val="无间隔2"/>
    <w:basedOn w:val="1"/>
    <w:link w:val="955"/>
    <w:qFormat/>
    <w:uiPriority w:val="99"/>
    <w:rPr>
      <w:szCs w:val="22"/>
    </w:rPr>
  </w:style>
  <w:style w:type="paragraph" w:customStyle="1" w:styleId="1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0">
    <w:name w:val="Char Char Char Char Char Char Char Char Char Char Char Char1 Char1"/>
    <w:basedOn w:val="1"/>
    <w:qFormat/>
    <w:uiPriority w:val="6"/>
    <w:rPr>
      <w:rFonts w:ascii="Tahoma" w:hAnsi="Tahoma" w:cs="仿宋_GB2312"/>
      <w:sz w:val="24"/>
      <w:szCs w:val="20"/>
    </w:rPr>
  </w:style>
  <w:style w:type="paragraph" w:customStyle="1" w:styleId="18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85">
    <w:name w:val="五级无标题条"/>
    <w:basedOn w:val="1"/>
    <w:qFormat/>
    <w:uiPriority w:val="0"/>
    <w:pPr>
      <w:adjustRightInd/>
    </w:pPr>
  </w:style>
  <w:style w:type="paragraph" w:customStyle="1" w:styleId="186">
    <w:name w:val="Char5"/>
    <w:basedOn w:val="1"/>
    <w:qFormat/>
    <w:uiPriority w:val="0"/>
    <w:rPr>
      <w:rFonts w:ascii="仿宋_GB2312" w:eastAsia="仿宋_GB2312"/>
      <w:b/>
      <w:sz w:val="32"/>
      <w:szCs w:val="32"/>
    </w:rPr>
  </w:style>
  <w:style w:type="paragraph" w:customStyle="1" w:styleId="18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8">
    <w:name w:val="彩色列表 - 强调文字颜色 12"/>
    <w:basedOn w:val="1"/>
    <w:qFormat/>
    <w:uiPriority w:val="0"/>
    <w:pPr>
      <w:adjustRightInd/>
      <w:ind w:firstLine="420" w:firstLineChars="200"/>
    </w:pPr>
    <w:rPr>
      <w:rFonts w:ascii="Calibri" w:hAnsi="Calibri"/>
      <w:szCs w:val="22"/>
    </w:rPr>
  </w:style>
  <w:style w:type="paragraph" w:customStyle="1" w:styleId="18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2"/>
    <w:basedOn w:val="1"/>
    <w:qFormat/>
    <w:uiPriority w:val="0"/>
    <w:rPr>
      <w:rFonts w:ascii="仿宋_GB2312" w:eastAsia="仿宋_GB2312"/>
      <w:b/>
      <w:sz w:val="32"/>
      <w:szCs w:val="32"/>
    </w:rPr>
  </w:style>
  <w:style w:type="paragraph" w:customStyle="1" w:styleId="191">
    <w:name w:val="数字标题3"/>
    <w:basedOn w:val="4"/>
    <w:next w:val="1"/>
    <w:qFormat/>
    <w:uiPriority w:val="0"/>
    <w:pPr>
      <w:spacing w:line="240" w:lineRule="auto"/>
    </w:pPr>
    <w:rPr>
      <w:sz w:val="28"/>
      <w:szCs w:val="28"/>
    </w:rPr>
  </w:style>
  <w:style w:type="paragraph" w:customStyle="1" w:styleId="192">
    <w:name w:val="FA正文"/>
    <w:basedOn w:val="1"/>
    <w:qFormat/>
    <w:uiPriority w:val="0"/>
    <w:pPr>
      <w:spacing w:line="360" w:lineRule="auto"/>
      <w:ind w:firstLine="480" w:firstLineChars="200"/>
    </w:pPr>
    <w:rPr>
      <w:rFonts w:hAnsi="宋体"/>
      <w:sz w:val="24"/>
      <w:szCs w:val="20"/>
    </w:rPr>
  </w:style>
  <w:style w:type="paragraph" w:customStyle="1" w:styleId="193">
    <w:name w:val="MM Topic 5"/>
    <w:basedOn w:val="6"/>
    <w:qFormat/>
    <w:uiPriority w:val="0"/>
    <w:pPr>
      <w:tabs>
        <w:tab w:val="left" w:pos="2520"/>
        <w:tab w:val="clear" w:pos="1008"/>
      </w:tabs>
      <w:adjustRightInd/>
      <w:ind w:left="2520" w:hanging="420"/>
    </w:pPr>
  </w:style>
  <w:style w:type="paragraph" w:customStyle="1" w:styleId="194">
    <w:name w:val="Char Char Char Char Char Char Char Char Char Char1"/>
    <w:basedOn w:val="1"/>
    <w:qFormat/>
    <w:uiPriority w:val="0"/>
    <w:rPr>
      <w:rFonts w:ascii="仿宋_GB2312" w:eastAsia="仿宋_GB2312"/>
      <w:b/>
      <w:sz w:val="32"/>
      <w:szCs w:val="32"/>
    </w:rPr>
  </w:style>
  <w:style w:type="paragraph" w:customStyle="1" w:styleId="19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6">
    <w:name w:val="修订1"/>
    <w:qFormat/>
    <w:uiPriority w:val="3"/>
    <w:rPr>
      <w:rFonts w:ascii="Times New Roman" w:hAnsi="Times New Roman" w:eastAsia="宋体" w:cs="Times New Roman"/>
      <w:color w:val="000000"/>
      <w:kern w:val="1"/>
      <w:sz w:val="21"/>
      <w:lang w:val="en-US" w:eastAsia="zh-CN" w:bidi="ar-SA"/>
    </w:rPr>
  </w:style>
  <w:style w:type="paragraph" w:customStyle="1" w:styleId="197">
    <w:name w:val="Char2 Char Char Char"/>
    <w:basedOn w:val="1"/>
    <w:qFormat/>
    <w:uiPriority w:val="0"/>
    <w:rPr>
      <w:rFonts w:ascii="仿宋_GB2312" w:eastAsia="仿宋_GB2312"/>
      <w:b/>
      <w:sz w:val="32"/>
      <w:szCs w:val="32"/>
    </w:rPr>
  </w:style>
  <w:style w:type="paragraph" w:customStyle="1" w:styleId="198">
    <w:name w:val="Char2 Char Char Char1"/>
    <w:basedOn w:val="1"/>
    <w:qFormat/>
    <w:uiPriority w:val="6"/>
    <w:rPr>
      <w:rFonts w:ascii="仿宋_GB2312" w:eastAsia="仿宋_GB2312"/>
      <w:b/>
      <w:sz w:val="32"/>
      <w:szCs w:val="32"/>
    </w:rPr>
  </w:style>
  <w:style w:type="paragraph" w:customStyle="1" w:styleId="199">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200">
    <w:name w:val="图中文字"/>
    <w:basedOn w:val="1"/>
    <w:qFormat/>
    <w:uiPriority w:val="0"/>
    <w:pPr>
      <w:snapToGrid w:val="0"/>
      <w:spacing w:line="0" w:lineRule="atLeast"/>
      <w:ind w:firstLine="200" w:firstLineChars="200"/>
      <w:jc w:val="center"/>
    </w:pPr>
    <w:rPr>
      <w:sz w:val="24"/>
      <w:szCs w:val="20"/>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2">
    <w:name w:val="MM Topic 3"/>
    <w:basedOn w:val="4"/>
    <w:qFormat/>
    <w:uiPriority w:val="0"/>
    <w:pPr>
      <w:tabs>
        <w:tab w:val="left" w:pos="1680"/>
        <w:tab w:val="clear" w:pos="900"/>
      </w:tabs>
      <w:adjustRightInd/>
      <w:ind w:left="1680" w:hanging="420"/>
    </w:pPr>
  </w:style>
  <w:style w:type="paragraph" w:customStyle="1" w:styleId="203">
    <w:name w:val="标准小四"/>
    <w:basedOn w:val="1"/>
    <w:qFormat/>
    <w:uiPriority w:val="0"/>
    <w:pPr>
      <w:spacing w:line="360" w:lineRule="auto"/>
      <w:ind w:firstLine="480" w:firstLineChars="200"/>
    </w:pPr>
    <w:rPr>
      <w:rFonts w:ascii="Arial" w:hAnsi="Arial"/>
      <w:sz w:val="24"/>
      <w:szCs w:val="21"/>
    </w:rPr>
  </w:style>
  <w:style w:type="paragraph" w:customStyle="1" w:styleId="20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05">
    <w:name w:val="表格（小）"/>
    <w:basedOn w:val="1"/>
    <w:qFormat/>
    <w:uiPriority w:val="0"/>
    <w:pPr>
      <w:adjustRightInd/>
      <w:snapToGrid w:val="0"/>
      <w:spacing w:line="300" w:lineRule="auto"/>
    </w:pPr>
    <w:rPr>
      <w:rFonts w:eastAsia="仿宋"/>
      <w:szCs w:val="21"/>
    </w:rPr>
  </w:style>
  <w:style w:type="paragraph" w:customStyle="1" w:styleId="20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7">
    <w:name w:val="Char2 Char Char1"/>
    <w:basedOn w:val="1"/>
    <w:qFormat/>
    <w:uiPriority w:val="6"/>
    <w:pPr>
      <w:adjustRightInd/>
    </w:pPr>
    <w:rPr>
      <w:rFonts w:ascii="Tahoma" w:hAnsi="Tahoma"/>
      <w:sz w:val="24"/>
      <w:szCs w:val="20"/>
    </w:rPr>
  </w:style>
  <w:style w:type="paragraph" w:customStyle="1" w:styleId="208">
    <w:name w:val="列出段落5"/>
    <w:basedOn w:val="1"/>
    <w:qFormat/>
    <w:uiPriority w:val="0"/>
    <w:pPr>
      <w:spacing w:line="360" w:lineRule="auto"/>
      <w:ind w:firstLine="200" w:firstLineChars="200"/>
    </w:pPr>
    <w:rPr>
      <w:rFonts w:eastAsia="楷体_GB2312" w:cs="Lucida Sans"/>
      <w:sz w:val="24"/>
    </w:rPr>
  </w:style>
  <w:style w:type="paragraph" w:customStyle="1" w:styleId="20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1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_Style 3"/>
    <w:basedOn w:val="1"/>
    <w:qFormat/>
    <w:uiPriority w:val="0"/>
    <w:pPr>
      <w:adjustRightInd/>
      <w:ind w:firstLine="420" w:firstLineChars="200"/>
    </w:pPr>
    <w:rPr>
      <w:rFonts w:eastAsia="仿宋_GB2312"/>
      <w:sz w:val="28"/>
    </w:rPr>
  </w:style>
  <w:style w:type="paragraph" w:customStyle="1" w:styleId="2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正文1.25"/>
    <w:basedOn w:val="1"/>
    <w:qFormat/>
    <w:uiPriority w:val="0"/>
    <w:pPr>
      <w:adjustRightInd/>
      <w:spacing w:line="300" w:lineRule="auto"/>
      <w:ind w:firstLine="480" w:firstLineChars="200"/>
    </w:pPr>
    <w:rPr>
      <w:sz w:val="24"/>
      <w:szCs w:val="20"/>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qFormat/>
    <w:uiPriority w:val="6"/>
    <w:rPr>
      <w:rFonts w:ascii="仿宋_GB2312" w:eastAsia="仿宋_GB2312"/>
      <w:b/>
      <w:sz w:val="32"/>
      <w:szCs w:val="20"/>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5"/>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Lines="50"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rPr>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108"/>
    <w:next w:val="108"/>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108"/>
    <w:next w:val="108"/>
    <w:qFormat/>
    <w:uiPriority w:val="0"/>
    <w:rPr>
      <w:rFonts w:ascii="宋体" w:eastAsia="宋体" w:cs="Times New Roman"/>
      <w:color w:val="auto"/>
    </w:rPr>
  </w:style>
  <w:style w:type="paragraph" w:customStyle="1" w:styleId="2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rPr>
      <w:szCs w:val="20"/>
    </w:r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62"/>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3"/>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2"/>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Lines="0" w:afterLines="0"/>
      <w:ind w:left="1680"/>
      <w:outlineLvl w:val="2"/>
    </w:pPr>
  </w:style>
  <w:style w:type="paragraph" w:customStyle="1" w:styleId="353">
    <w:name w:val="章标题"/>
    <w:next w:val="33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Lines="50"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3"/>
    <w:qFormat/>
    <w:uiPriority w:val="0"/>
    <w:pPr>
      <w:spacing w:before="120" w:after="120"/>
      <w:jc w:val="both"/>
    </w:pPr>
    <w:rPr>
      <w:rFonts w:ascii="宋体" w:hAnsi="Arial" w:eastAsia="宋体"/>
      <w:sz w:val="28"/>
      <w:lang w:val="en-US"/>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41"/>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4"/>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3"/>
    <w:qFormat/>
    <w:uiPriority w:val="0"/>
    <w:pPr>
      <w:snapToGrid w:val="0"/>
      <w:ind w:firstLine="480" w:firstLineChars="200"/>
    </w:pPr>
    <w:rPr>
      <w:rFonts w:ascii="Times New Roman"/>
      <w:szCs w:val="24"/>
      <w:lang w:val="en-US"/>
    </w:rPr>
  </w:style>
  <w:style w:type="paragraph" w:customStyle="1" w:styleId="46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5"/>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8">
    <w:name w:val="p0"/>
    <w:basedOn w:val="1"/>
    <w:qFormat/>
    <w:uiPriority w:val="0"/>
    <w:pPr>
      <w:widowControl/>
      <w:adjustRightInd/>
    </w:pPr>
    <w:rPr>
      <w:kern w:val="0"/>
      <w:szCs w:val="21"/>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8"/>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2"/>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3"/>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2"/>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8"/>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5">
    <w:name w:val="_Style 947"/>
    <w:basedOn w:val="1"/>
    <w:next w:val="112"/>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3"/>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Normal]"/>
    <w:qFormat/>
    <w:uiPriority w:val="0"/>
    <w:rPr>
      <w:rFonts w:ascii="宋体" w:hAnsi="宋体" w:eastAsia="宋体" w:cs="Times New Roman"/>
      <w:sz w:val="24"/>
      <w:szCs w:val="22"/>
      <w:lang w:val="zh-CN" w:eastAsia="zh-CN" w:bidi="ar-SA"/>
    </w:rPr>
  </w:style>
  <w:style w:type="paragraph" w:customStyle="1" w:styleId="628">
    <w:name w:val="No Spacing1"/>
    <w:qFormat/>
    <w:uiPriority w:val="0"/>
    <w:rPr>
      <w:rFonts w:ascii="Times New Roman" w:hAnsi="Times New Roman" w:eastAsia="??" w:cs="宋体"/>
      <w:sz w:val="22"/>
      <w:szCs w:val="22"/>
      <w:lang w:val="en-US" w:eastAsia="en-US" w:bidi="ar-SA"/>
    </w:rPr>
  </w:style>
  <w:style w:type="paragraph" w:customStyle="1" w:styleId="62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0">
    <w:name w:val="Normal Indent1"/>
    <w:basedOn w:val="1"/>
    <w:qFormat/>
    <w:uiPriority w:val="0"/>
    <w:pPr>
      <w:ind w:firstLine="420"/>
    </w:pPr>
    <w:rPr>
      <w:szCs w:val="20"/>
    </w:rPr>
  </w:style>
  <w:style w:type="paragraph" w:customStyle="1" w:styleId="631">
    <w:name w:val="列出段落6"/>
    <w:basedOn w:val="1"/>
    <w:qFormat/>
    <w:uiPriority w:val="34"/>
    <w:pPr>
      <w:ind w:firstLine="420" w:firstLineChars="200"/>
    </w:pPr>
  </w:style>
  <w:style w:type="paragraph" w:customStyle="1" w:styleId="632">
    <w:name w:val="纯文本3"/>
    <w:basedOn w:val="1"/>
    <w:qFormat/>
    <w:uiPriority w:val="0"/>
    <w:pPr>
      <w:spacing w:beforeLines="50" w:afterLines="50" w:line="400" w:lineRule="exact"/>
    </w:pPr>
    <w:rPr>
      <w:rFonts w:ascii="宋体" w:hAnsi="Courier New"/>
      <w:sz w:val="24"/>
    </w:rPr>
  </w:style>
  <w:style w:type="paragraph" w:customStyle="1" w:styleId="63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4">
    <w:name w:val="公文标2级"/>
    <w:basedOn w:val="1"/>
    <w:qFormat/>
    <w:uiPriority w:val="0"/>
    <w:rPr>
      <w:rFonts w:ascii="楷体_GB2312" w:hAnsi="楷体_GB2312" w:eastAsia="楷体" w:cs="楷体"/>
      <w:color w:val="000000"/>
      <w:kern w:val="1"/>
      <w:sz w:val="32"/>
    </w:rPr>
  </w:style>
  <w:style w:type="character" w:customStyle="1" w:styleId="635">
    <w:name w:val="表格非标题文字 Char"/>
    <w:link w:val="91"/>
    <w:qFormat/>
    <w:uiPriority w:val="0"/>
    <w:rPr>
      <w:rFonts w:ascii="Futura Bk" w:hAnsi="Futura Bk"/>
      <w:kern w:val="2"/>
      <w:sz w:val="18"/>
      <w:szCs w:val="21"/>
      <w:lang w:val="en-US" w:eastAsia="zh-CN" w:bidi="ar-SA"/>
    </w:rPr>
  </w:style>
  <w:style w:type="character" w:customStyle="1" w:styleId="636">
    <w:name w:val="*正文 Char"/>
    <w:link w:val="92"/>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93"/>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6"/>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4"/>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95"/>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首行缩进 2 Char"/>
    <w:link w:val="67"/>
    <w:qFormat/>
    <w:uiPriority w:val="0"/>
    <w:rPr>
      <w:rFonts w:ascii="宋体" w:hAnsi="宋体"/>
      <w:kern w:val="2"/>
      <w:sz w:val="21"/>
      <w:szCs w:val="24"/>
    </w:rPr>
  </w:style>
  <w:style w:type="character" w:customStyle="1" w:styleId="670">
    <w:name w:val="font1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5"/>
    <w:qFormat/>
    <w:uiPriority w:val="0"/>
    <w:rPr>
      <w:rFonts w:ascii="Arial" w:hAnsi="Arial" w:eastAsia="黑体" w:cs="Arial"/>
      <w:snapToGrid w:val="0"/>
      <w:kern w:val="0"/>
      <w:szCs w:val="21"/>
    </w:rPr>
  </w:style>
  <w:style w:type="character" w:customStyle="1" w:styleId="673">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96"/>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Char"/>
    <w:link w:val="52"/>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98"/>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Char"/>
    <w:link w:val="7"/>
    <w:qFormat/>
    <w:uiPriority w:val="0"/>
    <w:rPr>
      <w:rFonts w:ascii="Arial" w:hAnsi="Arial" w:eastAsia="黑体"/>
      <w:b/>
      <w:bCs/>
      <w:kern w:val="2"/>
      <w:sz w:val="24"/>
      <w:szCs w:val="24"/>
    </w:rPr>
  </w:style>
  <w:style w:type="character" w:customStyle="1" w:styleId="694">
    <w:name w:val="纯文本 Char_0"/>
    <w:link w:val="99"/>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101"/>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2"/>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Char"/>
    <w:link w:val="40"/>
    <w:qFormat/>
    <w:uiPriority w:val="0"/>
    <w:rPr>
      <w:rFonts w:ascii="宋体"/>
      <w:kern w:val="2"/>
      <w:sz w:val="24"/>
      <w:szCs w:val="21"/>
      <w:lang w:val="zh-CN"/>
    </w:rPr>
  </w:style>
  <w:style w:type="character" w:customStyle="1" w:styleId="724">
    <w:name w:val="标题 9 Char"/>
    <w:link w:val="10"/>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Char"/>
    <w:link w:val="43"/>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103"/>
    <w:qFormat/>
    <w:locked/>
    <w:uiPriority w:val="0"/>
    <w:rPr>
      <w:rFonts w:ascii="Tahoma" w:hAnsi="Tahoma"/>
      <w:sz w:val="24"/>
      <w:szCs w:val="24"/>
    </w:rPr>
  </w:style>
  <w:style w:type="character" w:customStyle="1" w:styleId="734">
    <w:name w:val="正文缩进 Char2"/>
    <w:link w:val="15"/>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4"/>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Char1"/>
    <w:link w:val="18"/>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5"/>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Char"/>
    <w:link w:val="35"/>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6"/>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7"/>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Char"/>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108"/>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9"/>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10"/>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11"/>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Char3"/>
    <w:link w:val="25"/>
    <w:qFormat/>
    <w:uiPriority w:val="0"/>
    <w:rPr>
      <w:rFonts w:ascii="宋体" w:hAnsi="宋体"/>
      <w:kern w:val="2"/>
      <w:sz w:val="24"/>
      <w:szCs w:val="24"/>
    </w:rPr>
  </w:style>
  <w:style w:type="character" w:customStyle="1" w:styleId="798">
    <w:name w:val="font01"/>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3"/>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Char"/>
    <w:link w:val="2"/>
    <w:qFormat/>
    <w:uiPriority w:val="9"/>
    <w:rPr>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Char2"/>
    <w:link w:val="65"/>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Char"/>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Char"/>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Char"/>
    <w:link w:val="63"/>
    <w:qFormat/>
    <w:uiPriority w:val="0"/>
    <w:rPr>
      <w:rFonts w:ascii="黑体" w:hAnsi="Courier New" w:eastAsia="黑体"/>
    </w:rPr>
  </w:style>
  <w:style w:type="character" w:customStyle="1" w:styleId="833">
    <w:name w:val="正文文本 2 Char1"/>
    <w:link w:val="62"/>
    <w:qFormat/>
    <w:uiPriority w:val="0"/>
    <w:rPr>
      <w:kern w:val="2"/>
      <w:sz w:val="21"/>
      <w:szCs w:val="24"/>
    </w:rPr>
  </w:style>
  <w:style w:type="character" w:customStyle="1" w:styleId="834">
    <w:name w:val="样式 样式 标题 4h4H4Fab-4T5Ref Heading 1rh1Heading sqlsect 1.2.3.... +... Char"/>
    <w:link w:val="114"/>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Char"/>
    <w:link w:val="8"/>
    <w:qFormat/>
    <w:uiPriority w:val="0"/>
    <w:rPr>
      <w:b/>
      <w:bCs/>
      <w:kern w:val="2"/>
      <w:sz w:val="24"/>
      <w:szCs w:val="24"/>
    </w:rPr>
  </w:style>
  <w:style w:type="character" w:customStyle="1" w:styleId="837">
    <w:name w:val="正文文本缩进 2 Char"/>
    <w:link w:val="41"/>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Char"/>
    <w:link w:val="55"/>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6"/>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7"/>
    <w:qFormat/>
    <w:uiPriority w:val="0"/>
    <w:rPr>
      <w:rFonts w:ascii="宋体" w:hAnsi="Courier New"/>
    </w:rPr>
  </w:style>
  <w:style w:type="character" w:customStyle="1" w:styleId="848">
    <w:name w:val="正文首行缩进 Char"/>
    <w:link w:val="24"/>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Char2"/>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Char"/>
    <w:link w:val="21"/>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18"/>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9"/>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Char1"/>
    <w:link w:val="19"/>
    <w:qFormat/>
    <w:uiPriority w:val="0"/>
    <w:rPr>
      <w:kern w:val="2"/>
      <w:sz w:val="21"/>
      <w:szCs w:val="24"/>
    </w:rPr>
  </w:style>
  <w:style w:type="character" w:customStyle="1" w:styleId="870">
    <w:name w:val="签名 Char"/>
    <w:link w:val="47"/>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20"/>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21"/>
    <w:qFormat/>
    <w:uiPriority w:val="0"/>
    <w:rPr>
      <w:rFonts w:ascii="宋体"/>
    </w:rPr>
  </w:style>
  <w:style w:type="character" w:customStyle="1" w:styleId="881">
    <w:name w:val="标题 8 Char"/>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Char"/>
    <w:link w:val="58"/>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2"/>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Char2"/>
    <w:link w:val="44"/>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3"/>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Char2"/>
    <w:link w:val="45"/>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4"/>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5"/>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6"/>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5"/>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7"/>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75"/>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8"/>
    <w:qFormat/>
    <w:uiPriority w:val="0"/>
    <w:rPr>
      <w:rFonts w:cs="宋体"/>
      <w:kern w:val="2"/>
      <w:sz w:val="24"/>
    </w:rPr>
  </w:style>
  <w:style w:type="character" w:customStyle="1" w:styleId="94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75"/>
    <w:qFormat/>
    <w:uiPriority w:val="0"/>
    <w:rPr>
      <w:rFonts w:ascii="Arial" w:hAnsi="Arial" w:eastAsia="黑体" w:cs="Arial"/>
      <w:snapToGrid w:val="0"/>
      <w:kern w:val="0"/>
      <w:szCs w:val="21"/>
    </w:rPr>
  </w:style>
  <w:style w:type="character" w:customStyle="1" w:styleId="948">
    <w:name w:val="hui"/>
    <w:basedOn w:val="75"/>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Char"/>
    <w:link w:val="42"/>
    <w:qFormat/>
    <w:uiPriority w:val="0"/>
    <w:rPr>
      <w:kern w:val="2"/>
      <w:sz w:val="21"/>
      <w:szCs w:val="24"/>
      <w:lang w:val="zh-CN"/>
    </w:rPr>
  </w:style>
  <w:style w:type="character" w:customStyle="1" w:styleId="955">
    <w:name w:val="无间隔 Char"/>
    <w:link w:val="178"/>
    <w:qFormat/>
    <w:uiPriority w:val="99"/>
    <w:rPr>
      <w:kern w:val="2"/>
      <w:sz w:val="21"/>
      <w:szCs w:val="22"/>
    </w:rPr>
  </w:style>
  <w:style w:type="character" w:customStyle="1" w:styleId="956">
    <w:name w:val="标准文本 Char Char"/>
    <w:link w:val="614"/>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5"/>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table" w:customStyle="1" w:styleId="973">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9">
    <w:name w:val="Char Char Char Char Char Char Char Char Char Char Char Char Char"/>
    <w:basedOn w:val="1"/>
    <w:qFormat/>
    <w:uiPriority w:val="0"/>
    <w:rPr>
      <w:rFonts w:ascii="仿宋_GB2312" w:eastAsia="仿宋_GB2312"/>
      <w:b/>
      <w:sz w:val="32"/>
      <w:szCs w:val="32"/>
    </w:rPr>
  </w:style>
  <w:style w:type="paragraph" w:customStyle="1" w:styleId="980">
    <w:name w:val="Plain Text"/>
    <w:basedOn w:val="1"/>
    <w:qFormat/>
    <w:uiPriority w:val="0"/>
    <w:pPr>
      <w:spacing w:before="156" w:beforeLines="50" w:after="156" w:afterLines="50" w:line="400" w:lineRule="exact"/>
    </w:pPr>
    <w:rPr>
      <w:rFonts w:ascii="宋体" w:hAnsi="Courier New"/>
      <w:sz w:val="24"/>
    </w:rPr>
  </w:style>
  <w:style w:type="paragraph" w:customStyle="1" w:styleId="981">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34103</Words>
  <Characters>36257</Characters>
  <Lines>325</Lines>
  <Paragraphs>91</Paragraphs>
  <TotalTime>5</TotalTime>
  <ScaleCrop>false</ScaleCrop>
  <LinksUpToDate>false</LinksUpToDate>
  <CharactersWithSpaces>42079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成燕</dc:creator>
  <dc:description>耀华代理招标文件</dc:description>
  <cp:lastModifiedBy>成燕</cp:lastModifiedBy>
  <cp:lastPrinted>2024-09-30T13:12:00Z</cp:lastPrinted>
  <dcterms:modified xsi:type="dcterms:W3CDTF">2024-09-30T13:31:52Z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27038176ECB749908C5E0A6E3E898D73_13</vt:lpwstr>
  </property>
</Properties>
</file>