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p>
      <w:pPr>
        <w:pStyle w:val="5"/>
        <w:jc w:val="center"/>
        <w:rPr>
          <w:rFonts w:hint="eastAsia" w:ascii="宋体" w:hAnsi="宋体" w:eastAsia="宋体" w:cs="宋体"/>
          <w:b/>
          <w:bCs/>
          <w:color w:val="auto"/>
          <w:sz w:val="44"/>
          <w:szCs w:val="44"/>
          <w:lang w:eastAsia="zh-CN"/>
        </w:rPr>
      </w:pPr>
    </w:p>
    <w:p>
      <w:pPr>
        <w:pStyle w:val="5"/>
        <w:jc w:val="center"/>
        <w:rPr>
          <w:rFonts w:hint="eastAsia" w:ascii="宋体" w:hAnsi="宋体" w:eastAsia="宋体" w:cs="宋体"/>
          <w:b/>
          <w:bCs/>
          <w:color w:val="auto"/>
          <w:sz w:val="44"/>
          <w:szCs w:val="44"/>
          <w:lang w:eastAsia="zh-CN"/>
        </w:rPr>
      </w:pPr>
    </w:p>
    <w:p>
      <w:pPr>
        <w:pStyle w:val="5"/>
        <w:jc w:val="center"/>
        <w:rPr>
          <w:rFonts w:hint="eastAsia" w:ascii="宋体" w:hAnsi="宋体" w:eastAsia="宋体" w:cs="宋体"/>
          <w:sz w:val="44"/>
          <w:szCs w:val="44"/>
        </w:rPr>
      </w:pPr>
      <w:r>
        <w:rPr>
          <w:rFonts w:hint="eastAsia" w:ascii="宋体" w:hAnsi="宋体" w:eastAsia="宋体" w:cs="宋体"/>
          <w:b/>
          <w:bCs/>
          <w:color w:val="auto"/>
          <w:sz w:val="44"/>
          <w:szCs w:val="44"/>
          <w:lang w:eastAsia="zh-CN"/>
        </w:rPr>
        <w:t>临平法院无纸化数字审委会应用系统</w:t>
      </w:r>
    </w:p>
    <w:p>
      <w:pPr>
        <w:rPr>
          <w:rFonts w:hint="eastAsia" w:ascii="宋体" w:hAnsi="宋体" w:eastAsia="宋体" w:cs="宋体"/>
        </w:rPr>
      </w:pPr>
    </w:p>
    <w:p>
      <w:pPr>
        <w:rPr>
          <w:rFonts w:hint="eastAsia" w:ascii="宋体" w:hAnsi="宋体" w:eastAsia="宋体" w:cs="宋体"/>
        </w:rPr>
      </w:pPr>
    </w:p>
    <w:p>
      <w:pPr>
        <w:adjustRightInd/>
        <w:spacing w:line="360" w:lineRule="auto"/>
        <w:jc w:val="center"/>
        <w:rPr>
          <w:rFonts w:hint="eastAsia" w:ascii="宋体" w:hAnsi="宋体" w:eastAsia="宋体" w:cs="宋体"/>
          <w:sz w:val="72"/>
          <w:szCs w:val="72"/>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件</w:t>
      </w:r>
      <w:r>
        <w:rPr>
          <w:rFonts w:hint="eastAsia" w:ascii="宋体" w:hAnsi="宋体" w:eastAsia="宋体" w:cs="宋体"/>
          <w:sz w:val="72"/>
          <w:szCs w:val="72"/>
        </w:rPr>
        <w:t xml:space="preserve"> </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编号:</w:t>
      </w:r>
      <w:r>
        <w:rPr>
          <w:rFonts w:hint="eastAsia" w:ascii="宋体" w:hAnsi="宋体" w:cs="宋体"/>
          <w:sz w:val="32"/>
          <w:szCs w:val="32"/>
          <w:lang w:eastAsia="zh-CN"/>
        </w:rPr>
        <w:t>YHZFCG2024-123</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rPr>
          <w:rFonts w:hint="eastAsia" w:ascii="宋体" w:hAnsi="宋体" w:eastAsia="宋体" w:cs="宋体"/>
          <w:sz w:val="32"/>
          <w:szCs w:val="32"/>
        </w:rPr>
      </w:pPr>
    </w:p>
    <w:p>
      <w:pPr>
        <w:pStyle w:val="4"/>
        <w:rPr>
          <w:rFonts w:hint="eastAsia" w:ascii="宋体" w:hAnsi="宋体" w:eastAsia="宋体" w:cs="宋体"/>
        </w:rPr>
      </w:pP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杭州市临平区人民法院</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采购代理机构</w:t>
      </w:r>
      <w:r>
        <w:rPr>
          <w:rFonts w:hint="eastAsia" w:ascii="宋体" w:hAnsi="宋体" w:eastAsia="宋体" w:cs="宋体"/>
          <w:bCs/>
          <w:color w:val="auto"/>
          <w:sz w:val="32"/>
          <w:szCs w:val="32"/>
          <w:lang w:eastAsia="zh-CN"/>
        </w:rPr>
        <w:t>：</w:t>
      </w:r>
      <w:r>
        <w:rPr>
          <w:rFonts w:hint="eastAsia" w:ascii="宋体" w:hAnsi="宋体" w:eastAsia="宋体" w:cs="宋体"/>
          <w:color w:val="auto"/>
          <w:sz w:val="32"/>
          <w:szCs w:val="32"/>
        </w:rPr>
        <w:t>耀华建设管理有限公司</w:t>
      </w:r>
    </w:p>
    <w:p>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eastAsia="zh-CN"/>
        </w:rPr>
        <w:t>四</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 xml:space="preserve"> 六 </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 xml:space="preserve"> 二十八 </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pStyle w:val="323"/>
        <w:rPr>
          <w:rFonts w:hint="eastAsia" w:ascii="宋体" w:hAnsi="宋体" w:eastAsia="宋体" w:cs="宋体"/>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bookmarkEnd w:id="2"/>
    <w:p>
      <w:pPr>
        <w:adjustRightInd/>
        <w:spacing w:line="360" w:lineRule="auto"/>
        <w:jc w:val="center"/>
        <w:outlineLvl w:val="0"/>
        <w:rPr>
          <w:rFonts w:hint="eastAsia" w:ascii="宋体" w:hAnsi="宋体" w:eastAsia="宋体" w:cs="宋体"/>
          <w:b/>
          <w:sz w:val="36"/>
          <w:szCs w:val="20"/>
        </w:rPr>
        <w:sectPr>
          <w:headerReference r:id="rId4" w:type="first"/>
          <w:headerReference r:id="rId3" w:type="default"/>
          <w:footerReference r:id="rId5" w:type="even"/>
          <w:pgSz w:w="11906" w:h="16838"/>
          <w:pgMar w:top="680" w:right="1418" w:bottom="468" w:left="1418" w:header="794" w:footer="992" w:gutter="0"/>
          <w:pgNumType w:fmt="decimal"/>
          <w:cols w:space="720" w:num="1"/>
          <w:titlePg/>
          <w:docGrid w:linePitch="312" w:charSpace="0"/>
        </w:sect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临平法院无纸化数字审委会应用系统</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Style w:val="77"/>
          <w:rFonts w:hint="eastAsia" w:ascii="宋体" w:hAnsi="宋体" w:eastAsia="宋体" w:cs="宋体"/>
          <w:color w:val="auto"/>
          <w:kern w:val="2"/>
          <w:sz w:val="24"/>
          <w:szCs w:val="24"/>
          <w:highlight w:val="none"/>
        </w:rPr>
        <w:fldChar w:fldCharType="begin"/>
      </w:r>
      <w:r>
        <w:rPr>
          <w:rStyle w:val="77"/>
          <w:rFonts w:hint="eastAsia" w:ascii="宋体" w:hAnsi="宋体" w:eastAsia="宋体" w:cs="宋体"/>
          <w:color w:val="auto"/>
          <w:kern w:val="2"/>
          <w:sz w:val="24"/>
          <w:szCs w:val="24"/>
          <w:highlight w:val="none"/>
        </w:rPr>
        <w:instrText xml:space="preserve"> HYPERLINK "https://www.zcygov.cn/）获取（下载）招标文件，并于202%20年%20月%20日%20点%20分00秒" </w:instrText>
      </w:r>
      <w:r>
        <w:rPr>
          <w:rStyle w:val="77"/>
          <w:rFonts w:hint="eastAsia" w:ascii="宋体" w:hAnsi="宋体" w:eastAsia="宋体" w:cs="宋体"/>
          <w:color w:val="auto"/>
          <w:kern w:val="2"/>
          <w:sz w:val="24"/>
          <w:szCs w:val="24"/>
          <w:highlight w:val="none"/>
        </w:rPr>
        <w:fldChar w:fldCharType="separate"/>
      </w:r>
      <w:r>
        <w:rPr>
          <w:rStyle w:val="77"/>
          <w:rFonts w:hint="eastAsia" w:ascii="宋体" w:hAnsi="宋体" w:eastAsia="宋体" w:cs="宋体"/>
          <w:color w:val="auto"/>
          <w:kern w:val="2"/>
          <w:sz w:val="24"/>
          <w:szCs w:val="24"/>
          <w:highlight w:val="none"/>
        </w:rPr>
        <w:t>https://www.zcygov.cn/）获取（下载）招标文件，并</w:t>
      </w:r>
      <w:r>
        <w:rPr>
          <w:rStyle w:val="77"/>
          <w:rFonts w:hint="eastAsia" w:ascii="宋体" w:hAnsi="宋体" w:eastAsia="宋体" w:cs="宋体"/>
          <w:color w:val="000000"/>
          <w:kern w:val="2"/>
          <w:sz w:val="24"/>
          <w:szCs w:val="24"/>
          <w:highlight w:val="none"/>
        </w:rPr>
        <w:t>于</w:t>
      </w:r>
      <w:r>
        <w:rPr>
          <w:rStyle w:val="77"/>
          <w:rFonts w:hint="eastAsia" w:ascii="宋体" w:hAnsi="宋体" w:eastAsia="宋体" w:cs="宋体"/>
          <w:color w:val="000000"/>
          <w:kern w:val="2"/>
          <w:sz w:val="24"/>
          <w:szCs w:val="24"/>
          <w:highlight w:val="none"/>
          <w:lang w:val="en-US" w:eastAsia="zh-CN"/>
        </w:rPr>
        <w:t>2024年07月</w:t>
      </w:r>
      <w:r>
        <w:rPr>
          <w:rStyle w:val="77"/>
          <w:rFonts w:hint="eastAsia" w:ascii="宋体" w:hAnsi="宋体" w:cs="宋体"/>
          <w:color w:val="000000"/>
          <w:kern w:val="2"/>
          <w:sz w:val="24"/>
          <w:szCs w:val="24"/>
          <w:highlight w:val="none"/>
          <w:lang w:val="en-US" w:eastAsia="zh-CN"/>
        </w:rPr>
        <w:t>18日</w:t>
      </w:r>
      <w:r>
        <w:rPr>
          <w:rStyle w:val="77"/>
          <w:rFonts w:hint="eastAsia" w:ascii="宋体" w:hAnsi="宋体" w:eastAsia="宋体" w:cs="宋体"/>
          <w:color w:val="000000"/>
          <w:kern w:val="2"/>
          <w:sz w:val="24"/>
          <w:szCs w:val="24"/>
          <w:highlight w:val="none"/>
          <w:lang w:val="en-US" w:eastAsia="zh-CN"/>
        </w:rPr>
        <w:t>09</w:t>
      </w:r>
      <w:r>
        <w:rPr>
          <w:rStyle w:val="77"/>
          <w:rFonts w:hint="eastAsia" w:ascii="宋体" w:hAnsi="宋体" w:eastAsia="宋体" w:cs="宋体"/>
          <w:color w:val="000000"/>
          <w:kern w:val="2"/>
          <w:sz w:val="24"/>
          <w:szCs w:val="24"/>
          <w:highlight w:val="none"/>
        </w:rPr>
        <w:t>点</w:t>
      </w:r>
      <w:r>
        <w:rPr>
          <w:rStyle w:val="77"/>
          <w:rFonts w:hint="eastAsia" w:ascii="宋体" w:hAnsi="宋体" w:eastAsia="宋体" w:cs="宋体"/>
          <w:color w:val="000000"/>
          <w:kern w:val="2"/>
          <w:sz w:val="24"/>
          <w:szCs w:val="24"/>
          <w:highlight w:val="none"/>
          <w:lang w:val="en-US" w:eastAsia="zh-CN"/>
        </w:rPr>
        <w:t>30</w:t>
      </w:r>
      <w:r>
        <w:rPr>
          <w:rStyle w:val="77"/>
          <w:rFonts w:hint="eastAsia" w:ascii="宋体" w:hAnsi="宋体" w:eastAsia="宋体" w:cs="宋体"/>
          <w:color w:val="000000"/>
          <w:kern w:val="2"/>
          <w:sz w:val="24"/>
          <w:szCs w:val="24"/>
          <w:highlight w:val="none"/>
        </w:rPr>
        <w:t>分</w:t>
      </w:r>
      <w:r>
        <w:rPr>
          <w:rStyle w:val="77"/>
          <w:rFonts w:hint="eastAsia" w:ascii="宋体" w:hAnsi="宋体" w:eastAsia="宋体" w:cs="宋体"/>
          <w:color w:val="000000"/>
          <w:kern w:val="2"/>
          <w:sz w:val="24"/>
          <w:szCs w:val="24"/>
          <w:highlight w:val="none"/>
          <w:lang w:val="en-US" w:eastAsia="zh-CN"/>
        </w:rPr>
        <w:t>00</w:t>
      </w:r>
      <w:r>
        <w:rPr>
          <w:rStyle w:val="77"/>
          <w:rFonts w:hint="eastAsia" w:ascii="宋体" w:hAnsi="宋体" w:eastAsia="宋体" w:cs="宋体"/>
          <w:color w:val="000000"/>
          <w:kern w:val="2"/>
          <w:sz w:val="24"/>
          <w:szCs w:val="24"/>
          <w:highlight w:val="none"/>
        </w:rPr>
        <w:t>秒</w:t>
      </w:r>
      <w:r>
        <w:rPr>
          <w:rStyle w:val="77"/>
          <w:rFonts w:hint="eastAsia" w:ascii="宋体" w:hAnsi="宋体" w:eastAsia="宋体" w:cs="宋体"/>
          <w:color w:val="auto"/>
          <w:kern w:val="2"/>
          <w:sz w:val="24"/>
          <w:szCs w:val="24"/>
          <w:highlight w:val="none"/>
        </w:rPr>
        <w:fldChar w:fldCharType="end"/>
      </w:r>
      <w:r>
        <w:rPr>
          <w:rStyle w:val="77"/>
          <w:rFonts w:hint="eastAsia" w:ascii="宋体" w:hAnsi="宋体" w:eastAsia="宋体" w:cs="宋体"/>
          <w:color w:val="auto"/>
          <w:kern w:val="2"/>
          <w:sz w:val="24"/>
          <w:szCs w:val="24"/>
          <w:highlight w:val="none"/>
        </w:rPr>
        <w:t>（北京时间）前递交（上传）投标文件。</w:t>
      </w:r>
    </w:p>
    <w:p>
      <w:pPr>
        <w:wordWrap/>
        <w:adjustRightInd w:val="0"/>
        <w:snapToGrid/>
        <w:spacing w:line="360" w:lineRule="auto"/>
        <w:textAlignment w:val="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wordWrap/>
        <w:adjustRightInd w:val="0"/>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b/>
          <w:color w:val="auto"/>
          <w:sz w:val="24"/>
          <w:lang w:eastAsia="zh-CN"/>
        </w:rPr>
        <w:t>YHZFCG2024-123</w:t>
      </w:r>
    </w:p>
    <w:p>
      <w:pPr>
        <w:wordWrap/>
        <w:adjustRightInd w:val="0"/>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cs="宋体"/>
          <w:b/>
          <w:color w:val="auto"/>
          <w:sz w:val="24"/>
          <w:lang w:eastAsia="zh-CN"/>
        </w:rPr>
        <w:t>临平法院无纸化数字审委会应用系统</w:t>
      </w:r>
    </w:p>
    <w:p>
      <w:pPr>
        <w:wordWrap/>
        <w:adjustRightInd w:val="0"/>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cs="宋体"/>
          <w:b/>
          <w:color w:val="auto"/>
          <w:sz w:val="24"/>
          <w:lang w:val="en-US" w:eastAsia="zh-CN"/>
        </w:rPr>
        <w:t>900000</w:t>
      </w:r>
      <w:r>
        <w:rPr>
          <w:rFonts w:hint="eastAsia" w:ascii="宋体" w:hAnsi="宋体" w:eastAsia="宋体" w:cs="宋体"/>
          <w:b/>
          <w:color w:val="auto"/>
          <w:sz w:val="24"/>
        </w:rPr>
        <w:t>.00</w:t>
      </w:r>
      <w:r>
        <w:rPr>
          <w:rFonts w:hint="eastAsia" w:ascii="宋体" w:hAnsi="宋体" w:eastAsia="宋体" w:cs="宋体"/>
          <w:color w:val="auto"/>
          <w:sz w:val="24"/>
        </w:rPr>
        <w:t xml:space="preserve"> </w:t>
      </w:r>
    </w:p>
    <w:p>
      <w:pPr>
        <w:wordWrap/>
        <w:adjustRightInd w:val="0"/>
        <w:snapToGrid/>
        <w:spacing w:line="360" w:lineRule="auto"/>
        <w:ind w:firstLine="480"/>
        <w:textAlignment w:val="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cs="宋体"/>
          <w:b/>
          <w:color w:val="auto"/>
          <w:sz w:val="24"/>
          <w:lang w:val="en-US" w:eastAsia="zh-CN"/>
        </w:rPr>
        <w:t>900000</w:t>
      </w:r>
      <w:r>
        <w:rPr>
          <w:rFonts w:hint="eastAsia" w:ascii="宋体" w:hAnsi="宋体" w:eastAsia="宋体" w:cs="宋体"/>
          <w:b/>
          <w:color w:val="auto"/>
          <w:sz w:val="24"/>
        </w:rPr>
        <w:t>.00</w:t>
      </w:r>
    </w:p>
    <w:p>
      <w:pPr>
        <w:pStyle w:val="17"/>
        <w:wordWrap/>
        <w:adjustRightInd w:val="0"/>
        <w:snapToGrid/>
        <w:spacing w:line="360" w:lineRule="auto"/>
        <w:ind w:firstLine="480"/>
        <w:textAlignment w:val="auto"/>
        <w:rPr>
          <w:rFonts w:hint="eastAsia" w:ascii="宋体" w:hAnsi="宋体" w:eastAsia="宋体" w:cs="宋体"/>
          <w:bCs/>
          <w:color w:val="auto"/>
          <w:kern w:val="2"/>
          <w:sz w:val="24"/>
          <w:szCs w:val="24"/>
        </w:rPr>
      </w:pPr>
      <w:r>
        <w:rPr>
          <w:rFonts w:hint="eastAsia" w:ascii="宋体" w:hAnsi="宋体" w:eastAsia="宋体" w:cs="宋体"/>
          <w:b/>
          <w:color w:val="auto"/>
          <w:sz w:val="24"/>
        </w:rPr>
        <w:t>采购需求：</w:t>
      </w:r>
      <w:r>
        <w:rPr>
          <w:rFonts w:hint="eastAsia" w:hAnsi="宋体" w:cs="宋体"/>
          <w:bCs/>
          <w:color w:val="auto"/>
          <w:kern w:val="2"/>
          <w:sz w:val="24"/>
          <w:szCs w:val="24"/>
          <w:lang w:eastAsia="zh-CN"/>
        </w:rPr>
        <w:t>临平法院无纸化数字审委会应用系统</w:t>
      </w:r>
      <w:r>
        <w:rPr>
          <w:rFonts w:hint="eastAsia" w:ascii="宋体" w:hAnsi="宋体" w:eastAsia="宋体" w:cs="宋体"/>
          <w:bCs/>
          <w:color w:val="auto"/>
          <w:kern w:val="2"/>
          <w:sz w:val="24"/>
          <w:szCs w:val="24"/>
          <w:lang w:val="en-US" w:eastAsia="zh-CN"/>
        </w:rPr>
        <w:t>，采购内容和要求</w:t>
      </w:r>
      <w:r>
        <w:rPr>
          <w:rFonts w:hint="eastAsia" w:ascii="宋体" w:hAnsi="宋体" w:eastAsia="宋体" w:cs="宋体"/>
          <w:color w:val="auto"/>
          <w:kern w:val="2"/>
          <w:sz w:val="24"/>
          <w:szCs w:val="24"/>
        </w:rPr>
        <w:t>具体以招标文件第三部分采购需求为准，供应商可点击本公告下方“浏览采购文件”查看采购需求。</w:t>
      </w:r>
    </w:p>
    <w:p>
      <w:pPr>
        <w:pStyle w:val="88"/>
        <w:wordWrap/>
        <w:adjustRightInd w:val="0"/>
        <w:snapToGrid/>
        <w:spacing w:before="0"/>
        <w:ind w:firstLine="482"/>
        <w:textAlignment w:val="auto"/>
        <w:outlineLvl w:val="2"/>
        <w:rPr>
          <w:rFonts w:hint="eastAsia" w:ascii="宋体" w:hAnsi="宋体" w:eastAsia="宋体" w:cs="宋体"/>
        </w:rPr>
      </w:pPr>
      <w:r>
        <w:rPr>
          <w:rFonts w:hint="eastAsia" w:ascii="宋体" w:hAnsi="宋体" w:eastAsia="宋体" w:cs="宋体"/>
          <w:b/>
        </w:rPr>
        <w:t>合同履约期限：</w:t>
      </w:r>
      <w:r>
        <w:rPr>
          <w:rFonts w:hint="eastAsia" w:ascii="宋体" w:hAnsi="宋体" w:eastAsia="宋体" w:cs="宋体"/>
        </w:rPr>
        <w:t>具体内容和相关要求详见招标文件“第三部分 采购需求”。</w:t>
      </w:r>
    </w:p>
    <w:p>
      <w:pPr>
        <w:pStyle w:val="17"/>
        <w:wordWrap/>
        <w:adjustRightInd w:val="0"/>
        <w:snapToGrid/>
        <w:spacing w:line="360" w:lineRule="auto"/>
        <w:ind w:firstLine="480"/>
        <w:textAlignment w:val="auto"/>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sym w:font="Wingdings" w:char="F0FE"/>
      </w:r>
      <w:r>
        <w:rPr>
          <w:rFonts w:hint="eastAsia" w:ascii="宋体" w:hAnsi="宋体" w:eastAsia="宋体" w:cs="宋体"/>
          <w:b/>
          <w:color w:val="auto"/>
          <w:sz w:val="24"/>
        </w:rPr>
        <w:t>是；</w:t>
      </w:r>
      <w:r>
        <w:rPr>
          <w:rFonts w:hint="eastAsia" w:ascii="宋体" w:hAnsi="宋体" w:eastAsia="宋体" w:cs="宋体"/>
          <w:color w:val="auto"/>
          <w:kern w:val="0"/>
          <w:sz w:val="24"/>
        </w:rPr>
        <w:t>☐</w:t>
      </w:r>
      <w:r>
        <w:rPr>
          <w:rFonts w:hint="eastAsia" w:ascii="宋体" w:hAnsi="宋体" w:eastAsia="宋体" w:cs="宋体"/>
          <w:b/>
          <w:color w:val="auto"/>
          <w:sz w:val="24"/>
        </w:rPr>
        <w:t>否</w:t>
      </w:r>
      <w:r>
        <w:rPr>
          <w:rFonts w:hint="eastAsia" w:ascii="宋体" w:hAnsi="宋体" w:eastAsia="宋体" w:cs="宋体"/>
          <w:color w:val="auto"/>
          <w:kern w:val="0"/>
          <w:sz w:val="24"/>
        </w:rPr>
        <w:t>。</w:t>
      </w:r>
    </w:p>
    <w:p>
      <w:pPr>
        <w:wordWrap/>
        <w:adjustRightInd w:val="0"/>
        <w:snapToGrid/>
        <w:spacing w:line="360" w:lineRule="auto"/>
        <w:textAlignment w:val="auto"/>
        <w:rPr>
          <w:rFonts w:hint="eastAsia" w:ascii="宋体" w:hAnsi="宋体" w:eastAsia="宋体" w:cs="宋体"/>
          <w:b/>
          <w:sz w:val="24"/>
        </w:rPr>
      </w:pPr>
      <w:r>
        <w:rPr>
          <w:rFonts w:hint="eastAsia" w:ascii="宋体" w:hAnsi="宋体" w:eastAsia="宋体" w:cs="宋体"/>
          <w:b/>
          <w:sz w:val="24"/>
        </w:rPr>
        <w:t>二、申请人的资格要求：</w:t>
      </w:r>
    </w:p>
    <w:p>
      <w:pPr>
        <w:wordWrap/>
        <w:adjustRightInd w:val="0"/>
        <w:snapToGrid/>
        <w:spacing w:line="360" w:lineRule="auto"/>
        <w:ind w:firstLine="480"/>
        <w:textAlignment w:val="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adjustRightInd w:val="0"/>
        <w:snapToGrid/>
        <w:spacing w:line="360" w:lineRule="auto"/>
        <w:textAlignment w:val="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pPr>
        <w:wordWrap/>
        <w:adjustRightInd w:val="0"/>
        <w:snapToGrid/>
        <w:spacing w:line="360" w:lineRule="auto"/>
        <w:ind w:firstLine="480" w:firstLineChars="200"/>
        <w:textAlignment w:val="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pPr>
        <w:wordWrap/>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SA"/>
        </w:rPr>
        <w:sym w:font="Wingdings 2" w:char="0052"/>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pPr>
        <w:wordWrap/>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720" w:firstLineChars="300"/>
        <w:rPr>
          <w:rFonts w:hint="eastAsia" w:ascii="宋体" w:hAnsi="宋体" w:cs="宋体"/>
          <w:color w:val="auto"/>
          <w:kern w:val="0"/>
          <w:sz w:val="24"/>
          <w:highlight w:val="none"/>
          <w:u w:val="none"/>
        </w:rPr>
      </w:pPr>
      <w:r>
        <w:rPr>
          <w:rFonts w:hint="eastAsia" w:ascii="宋体" w:hAnsi="宋体" w:cs="宋体"/>
          <w:color w:val="auto"/>
          <w:kern w:val="0"/>
          <w:sz w:val="24"/>
          <w:highlight w:val="none"/>
        </w:rPr>
        <w:t>☐货物全部由符合政策要求的中小企业制造，提供中小企业声明函；</w:t>
      </w:r>
    </w:p>
    <w:p>
      <w:pPr>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☐货物全部由符合政策要求的小微企业制造，提供中小企业声明函；</w:t>
      </w:r>
    </w:p>
    <w:p>
      <w:pPr>
        <w:wordWrap/>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pPr>
        <w:wordWrap/>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4.本项目的特定资</w:t>
      </w:r>
      <w:r>
        <w:rPr>
          <w:rFonts w:hint="eastAsia" w:ascii="宋体" w:hAnsi="宋体" w:eastAsia="宋体" w:cs="宋体"/>
          <w:color w:val="auto"/>
          <w:sz w:val="24"/>
        </w:rPr>
        <w:t>格要求：无；</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ordWrap/>
        <w:adjustRightInd w:val="0"/>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wordWrap/>
        <w:adjustRightInd w:val="0"/>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sz w:val="24"/>
          <w:highlight w:val="none"/>
        </w:rPr>
        <w:t>时间：</w:t>
      </w:r>
      <w:r>
        <w:rPr>
          <w:rStyle w:val="77"/>
          <w:rFonts w:hint="eastAsia" w:ascii="宋体" w:hAnsi="宋体" w:eastAsia="宋体" w:cs="宋体"/>
          <w:color w:val="auto"/>
          <w:kern w:val="2"/>
          <w:sz w:val="24"/>
          <w:szCs w:val="24"/>
          <w:highlight w:val="none"/>
        </w:rPr>
        <w:t>/至202</w:t>
      </w:r>
      <w:r>
        <w:rPr>
          <w:rStyle w:val="77"/>
          <w:rFonts w:hint="eastAsia" w:ascii="宋体" w:hAnsi="宋体" w:eastAsia="宋体" w:cs="宋体"/>
          <w:color w:val="auto"/>
          <w:kern w:val="2"/>
          <w:sz w:val="24"/>
          <w:szCs w:val="24"/>
          <w:highlight w:val="none"/>
          <w:lang w:val="en-US" w:eastAsia="zh-CN"/>
        </w:rPr>
        <w:t>4</w:t>
      </w:r>
      <w:r>
        <w:rPr>
          <w:rStyle w:val="77"/>
          <w:rFonts w:hint="eastAsia" w:ascii="宋体" w:hAnsi="宋体" w:eastAsia="宋体" w:cs="宋体"/>
          <w:color w:val="auto"/>
          <w:kern w:val="2"/>
          <w:sz w:val="24"/>
          <w:szCs w:val="24"/>
          <w:highlight w:val="none"/>
        </w:rPr>
        <w:t>年</w:t>
      </w:r>
      <w:r>
        <w:rPr>
          <w:rStyle w:val="77"/>
          <w:rFonts w:hint="eastAsia" w:ascii="宋体" w:hAnsi="宋体" w:eastAsia="宋体" w:cs="宋体"/>
          <w:color w:val="auto"/>
          <w:kern w:val="2"/>
          <w:sz w:val="24"/>
          <w:szCs w:val="24"/>
          <w:highlight w:val="none"/>
          <w:lang w:val="en-US" w:eastAsia="zh-CN"/>
        </w:rPr>
        <w:t>07月</w:t>
      </w:r>
      <w:r>
        <w:rPr>
          <w:rStyle w:val="77"/>
          <w:rFonts w:hint="eastAsia" w:ascii="宋体" w:hAnsi="宋体" w:cs="宋体"/>
          <w:color w:val="auto"/>
          <w:kern w:val="2"/>
          <w:sz w:val="24"/>
          <w:szCs w:val="24"/>
          <w:highlight w:val="none"/>
          <w:lang w:val="en-US" w:eastAsia="zh-CN"/>
        </w:rPr>
        <w:t>18日</w:t>
      </w:r>
      <w:r>
        <w:rPr>
          <w:rStyle w:val="77"/>
        </w:rPr>
        <w:t>，</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wordWrap/>
        <w:adjustRightInd w:val="0"/>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wordWrap/>
        <w:adjustRightInd w:val="0"/>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wordWrap/>
        <w:adjustRightInd w:val="0"/>
        <w:snapToGri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wordWrap/>
        <w:adjustRightInd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wordWrap/>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color w:val="000000"/>
          <w:kern w:val="2"/>
          <w:sz w:val="24"/>
          <w:szCs w:val="24"/>
          <w:highlight w:val="none"/>
          <w:lang w:val="en-US" w:eastAsia="zh-CN"/>
        </w:rPr>
        <w:t>2024年07月</w:t>
      </w:r>
      <w:r>
        <w:rPr>
          <w:rStyle w:val="77"/>
          <w:rFonts w:hint="eastAsia" w:ascii="宋体" w:hAnsi="宋体" w:cs="宋体"/>
          <w:color w:val="000000"/>
          <w:kern w:val="2"/>
          <w:sz w:val="24"/>
          <w:szCs w:val="24"/>
          <w:highlight w:val="none"/>
          <w:lang w:val="en-US" w:eastAsia="zh-CN"/>
        </w:rPr>
        <w:t>18日</w:t>
      </w:r>
      <w:r>
        <w:rPr>
          <w:rStyle w:val="77"/>
          <w:rFonts w:hint="eastAsia" w:ascii="宋体" w:hAnsi="宋体" w:eastAsia="宋体" w:cs="宋体"/>
          <w:color w:val="000000"/>
          <w:kern w:val="2"/>
          <w:sz w:val="24"/>
          <w:szCs w:val="24"/>
          <w:highlight w:val="none"/>
          <w:lang w:val="en-US" w:eastAsia="zh-CN"/>
        </w:rPr>
        <w:t>09</w:t>
      </w:r>
      <w:r>
        <w:rPr>
          <w:rStyle w:val="77"/>
          <w:rFonts w:hint="eastAsia" w:ascii="宋体" w:hAnsi="宋体" w:eastAsia="宋体" w:cs="宋体"/>
          <w:color w:val="000000"/>
          <w:kern w:val="2"/>
          <w:sz w:val="24"/>
          <w:szCs w:val="24"/>
          <w:highlight w:val="none"/>
        </w:rPr>
        <w:t>点</w:t>
      </w:r>
      <w:r>
        <w:rPr>
          <w:rStyle w:val="77"/>
          <w:rFonts w:hint="eastAsia" w:ascii="宋体" w:hAnsi="宋体" w:eastAsia="宋体" w:cs="宋体"/>
          <w:color w:val="000000"/>
          <w:kern w:val="2"/>
          <w:sz w:val="24"/>
          <w:szCs w:val="24"/>
          <w:highlight w:val="none"/>
          <w:lang w:val="en-US" w:eastAsia="zh-CN"/>
        </w:rPr>
        <w:t>30</w:t>
      </w:r>
      <w:r>
        <w:rPr>
          <w:rStyle w:val="77"/>
          <w:rFonts w:hint="eastAsia" w:ascii="宋体" w:hAnsi="宋体" w:eastAsia="宋体" w:cs="宋体"/>
          <w:color w:val="000000"/>
          <w:kern w:val="2"/>
          <w:sz w:val="24"/>
          <w:szCs w:val="24"/>
          <w:highlight w:val="none"/>
        </w:rPr>
        <w:t>分</w:t>
      </w:r>
      <w:r>
        <w:rPr>
          <w:rStyle w:val="77"/>
          <w:rFonts w:hint="eastAsia" w:ascii="宋体" w:hAnsi="宋体" w:eastAsia="宋体" w:cs="宋体"/>
          <w:color w:val="000000"/>
          <w:kern w:val="2"/>
          <w:sz w:val="24"/>
          <w:szCs w:val="24"/>
          <w:highlight w:val="none"/>
          <w:lang w:val="en-US" w:eastAsia="zh-CN"/>
        </w:rPr>
        <w:t>00</w:t>
      </w:r>
      <w:r>
        <w:rPr>
          <w:rStyle w:val="77"/>
          <w:rFonts w:hint="eastAsia" w:ascii="宋体" w:hAnsi="宋体" w:eastAsia="宋体" w:cs="宋体"/>
          <w:color w:val="000000"/>
          <w:kern w:val="2"/>
          <w:sz w:val="24"/>
          <w:szCs w:val="24"/>
          <w:highlight w:val="none"/>
        </w:rPr>
        <w:t>秒</w:t>
      </w:r>
      <w:r>
        <w:rPr>
          <w:rStyle w:val="77"/>
          <w:rFonts w:hint="eastAsia" w:ascii="宋体" w:hAnsi="宋体" w:eastAsia="宋体" w:cs="宋体"/>
          <w:color w:val="000000"/>
          <w:kern w:val="2"/>
          <w:sz w:val="24"/>
          <w:szCs w:val="24"/>
          <w:highlight w:val="none"/>
          <w:lang w:eastAsia="zh-CN"/>
        </w:rPr>
        <w:t>止</w:t>
      </w:r>
      <w:r>
        <w:rPr>
          <w:rStyle w:val="77"/>
          <w:rFonts w:hint="eastAsia" w:ascii="宋体" w:hAnsi="宋体" w:eastAsia="宋体" w:cs="宋体"/>
          <w:color w:val="auto"/>
          <w:kern w:val="2"/>
          <w:sz w:val="24"/>
          <w:szCs w:val="24"/>
          <w:highlight w:val="none"/>
        </w:rPr>
        <w:t>（北京时间）</w:t>
      </w:r>
      <w:r>
        <w:rPr>
          <w:rStyle w:val="77"/>
          <w:rFonts w:hint="eastAsia" w:ascii="宋体" w:hAnsi="宋体" w:cs="宋体"/>
          <w:color w:val="auto"/>
          <w:kern w:val="2"/>
          <w:sz w:val="24"/>
          <w:szCs w:val="24"/>
          <w:highlight w:val="none"/>
          <w:lang w:val="en-US" w:eastAsia="zh-CN"/>
        </w:rPr>
        <w:t xml:space="preserve">; </w:t>
      </w:r>
    </w:p>
    <w:p>
      <w:pPr>
        <w:wordWrap/>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wordWrap/>
        <w:adjustRightInd w:val="0"/>
        <w:snapToGrid/>
        <w:spacing w:line="360" w:lineRule="auto"/>
        <w:ind w:firstLine="482" w:firstLineChars="200"/>
        <w:textAlignment w:val="auto"/>
        <w:rPr>
          <w:rFonts w:hint="default" w:ascii="宋体" w:hAnsi="宋体" w:eastAsia="宋体" w:cs="宋体"/>
          <w:b/>
          <w:bCs w:val="0"/>
          <w:color w:val="auto"/>
          <w:sz w:val="24"/>
          <w:highlight w:val="none"/>
          <w:u w:val="none"/>
          <w:lang w:val="en-US" w:eastAsia="zh-CN"/>
        </w:rPr>
      </w:pPr>
      <w:r>
        <w:rPr>
          <w:rFonts w:hint="eastAsia" w:ascii="宋体" w:hAnsi="宋体" w:eastAsia="宋体" w:cs="宋体"/>
          <w:b/>
          <w:color w:val="auto"/>
          <w:sz w:val="24"/>
          <w:highlight w:val="none"/>
        </w:rPr>
        <w:t>开标时间：</w:t>
      </w:r>
      <w:r>
        <w:rPr>
          <w:rStyle w:val="77"/>
          <w:rFonts w:hint="eastAsia" w:ascii="宋体" w:hAnsi="宋体" w:eastAsia="宋体" w:cs="宋体"/>
          <w:color w:val="000000"/>
          <w:kern w:val="2"/>
          <w:sz w:val="24"/>
          <w:szCs w:val="24"/>
          <w:highlight w:val="none"/>
          <w:lang w:val="en-US" w:eastAsia="zh-CN"/>
        </w:rPr>
        <w:t>2024年07月</w:t>
      </w:r>
      <w:r>
        <w:rPr>
          <w:rStyle w:val="77"/>
          <w:rFonts w:hint="eastAsia" w:ascii="宋体" w:hAnsi="宋体" w:cs="宋体"/>
          <w:color w:val="000000"/>
          <w:kern w:val="2"/>
          <w:sz w:val="24"/>
          <w:szCs w:val="24"/>
          <w:highlight w:val="none"/>
          <w:lang w:val="en-US" w:eastAsia="zh-CN"/>
        </w:rPr>
        <w:t>18日</w:t>
      </w:r>
      <w:r>
        <w:rPr>
          <w:rStyle w:val="77"/>
          <w:rFonts w:hint="eastAsia" w:ascii="宋体" w:hAnsi="宋体" w:eastAsia="宋体" w:cs="宋体"/>
          <w:color w:val="000000"/>
          <w:kern w:val="2"/>
          <w:sz w:val="24"/>
          <w:szCs w:val="24"/>
          <w:highlight w:val="none"/>
          <w:lang w:val="en-US" w:eastAsia="zh-CN"/>
        </w:rPr>
        <w:t>09</w:t>
      </w:r>
      <w:r>
        <w:rPr>
          <w:rStyle w:val="77"/>
          <w:rFonts w:hint="eastAsia" w:ascii="宋体" w:hAnsi="宋体" w:eastAsia="宋体" w:cs="宋体"/>
          <w:color w:val="000000"/>
          <w:kern w:val="2"/>
          <w:sz w:val="24"/>
          <w:szCs w:val="24"/>
          <w:highlight w:val="none"/>
        </w:rPr>
        <w:t>点</w:t>
      </w:r>
      <w:r>
        <w:rPr>
          <w:rStyle w:val="77"/>
          <w:rFonts w:hint="eastAsia" w:ascii="宋体" w:hAnsi="宋体" w:eastAsia="宋体" w:cs="宋体"/>
          <w:color w:val="000000"/>
          <w:kern w:val="2"/>
          <w:sz w:val="24"/>
          <w:szCs w:val="24"/>
          <w:highlight w:val="none"/>
          <w:lang w:val="en-US" w:eastAsia="zh-CN"/>
        </w:rPr>
        <w:t>30</w:t>
      </w:r>
      <w:r>
        <w:rPr>
          <w:rStyle w:val="77"/>
          <w:rFonts w:hint="eastAsia" w:ascii="宋体" w:hAnsi="宋体" w:eastAsia="宋体" w:cs="宋体"/>
          <w:color w:val="000000"/>
          <w:kern w:val="2"/>
          <w:sz w:val="24"/>
          <w:szCs w:val="24"/>
          <w:highlight w:val="none"/>
        </w:rPr>
        <w:t>分</w:t>
      </w:r>
      <w:r>
        <w:rPr>
          <w:rStyle w:val="77"/>
          <w:rFonts w:hint="eastAsia" w:ascii="宋体" w:hAnsi="宋体" w:eastAsia="宋体" w:cs="宋体"/>
          <w:color w:val="000000"/>
          <w:kern w:val="2"/>
          <w:sz w:val="24"/>
          <w:szCs w:val="24"/>
          <w:highlight w:val="none"/>
          <w:lang w:val="en-US" w:eastAsia="zh-CN"/>
        </w:rPr>
        <w:t>00</w:t>
      </w:r>
      <w:r>
        <w:rPr>
          <w:rStyle w:val="77"/>
          <w:rFonts w:hint="eastAsia" w:ascii="宋体" w:hAnsi="宋体" w:eastAsia="宋体" w:cs="宋体"/>
          <w:color w:val="000000"/>
          <w:kern w:val="2"/>
          <w:sz w:val="24"/>
          <w:szCs w:val="24"/>
          <w:highlight w:val="none"/>
        </w:rPr>
        <w:t>秒</w:t>
      </w:r>
      <w:r>
        <w:rPr>
          <w:rStyle w:val="77"/>
          <w:rFonts w:hint="eastAsia" w:ascii="宋体" w:hAnsi="宋体" w:eastAsia="宋体" w:cs="宋体"/>
          <w:color w:val="auto"/>
          <w:kern w:val="2"/>
          <w:sz w:val="24"/>
          <w:szCs w:val="24"/>
          <w:highlight w:val="none"/>
        </w:rPr>
        <w:t>（北京时间）</w:t>
      </w:r>
      <w:r>
        <w:rPr>
          <w:rStyle w:val="77"/>
          <w:rFonts w:hint="eastAsia" w:ascii="宋体" w:hAnsi="宋体" w:cs="宋体"/>
          <w:color w:val="auto"/>
          <w:kern w:val="2"/>
          <w:sz w:val="24"/>
          <w:szCs w:val="24"/>
          <w:highlight w:val="none"/>
          <w:lang w:val="en-US" w:eastAsia="zh-CN"/>
        </w:rPr>
        <w:t xml:space="preserve">; </w:t>
      </w:r>
    </w:p>
    <w:p>
      <w:pPr>
        <w:wordWrap/>
        <w:adjustRightInd w:val="0"/>
        <w:snapToGrid/>
        <w:spacing w:line="360" w:lineRule="auto"/>
        <w:ind w:firstLine="482" w:firstLineChars="200"/>
        <w:textAlignment w:val="auto"/>
        <w:rPr>
          <w:rStyle w:val="77"/>
          <w:rFonts w:hint="eastAsia" w:ascii="宋体" w:hAnsi="宋体" w:eastAsia="宋体" w:cs="宋体"/>
          <w:bCs/>
          <w:color w:val="auto"/>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color w:val="auto"/>
          <w:sz w:val="24"/>
          <w:highlight w:val="none"/>
          <w:lang w:eastAsia="zh-CN"/>
        </w:rPr>
        <w:t>登陆</w:t>
      </w:r>
      <w:r>
        <w:rPr>
          <w:rFonts w:hint="eastAsia" w:ascii="宋体" w:hAnsi="宋体" w:eastAsia="宋体" w:cs="宋体"/>
          <w:color w:val="auto"/>
          <w:sz w:val="24"/>
          <w:highlight w:val="none"/>
        </w:rPr>
        <w:t>政采云平台（</w:t>
      </w:r>
      <w:r>
        <w:rPr>
          <w:rFonts w:hint="eastAsia" w:ascii="宋体" w:hAnsi="宋体" w:eastAsia="宋体" w:cs="宋体"/>
          <w:b w:val="0"/>
          <w:color w:val="auto"/>
          <w:sz w:val="24"/>
          <w:highlight w:val="none"/>
        </w:rPr>
        <w:t>https</w:t>
      </w:r>
      <w:r>
        <w:rPr>
          <w:rFonts w:hint="eastAsia" w:ascii="宋体" w:hAnsi="宋体" w:eastAsia="宋体" w:cs="宋体"/>
          <w:color w:val="auto"/>
          <w:sz w:val="24"/>
          <w:highlight w:val="none"/>
        </w:rPr>
        <w:t>://www.zcygov.cn/</w:t>
      </w:r>
      <w:r>
        <w:rPr>
          <w:rFonts w:hint="eastAsia" w:ascii="宋体" w:hAnsi="宋体" w:eastAsia="宋体" w:cs="宋体"/>
          <w:color w:val="auto"/>
          <w:sz w:val="24"/>
          <w:highlight w:val="none"/>
          <w:lang w:eastAsia="zh-CN"/>
        </w:rPr>
        <w:t>）线上开标；</w:t>
      </w:r>
    </w:p>
    <w:p>
      <w:pPr>
        <w:wordWrap/>
        <w:adjustRightInd w:val="0"/>
        <w:snapToGrid/>
        <w:spacing w:line="360" w:lineRule="auto"/>
        <w:textAlignment w:val="auto"/>
        <w:rPr>
          <w:rFonts w:hint="eastAsia" w:ascii="宋体" w:hAnsi="宋体" w:eastAsia="宋体" w:cs="宋体"/>
          <w:sz w:val="24"/>
        </w:rPr>
      </w:pPr>
      <w:r>
        <w:rPr>
          <w:rFonts w:hint="eastAsia" w:ascii="宋体" w:hAnsi="宋体" w:eastAsia="宋体" w:cs="宋体"/>
          <w:b/>
          <w:sz w:val="24"/>
        </w:rPr>
        <w:t xml:space="preserve">五、公告期限 </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自本公告发布之日起5个工作日。</w:t>
      </w:r>
    </w:p>
    <w:p>
      <w:pPr>
        <w:wordWrap/>
        <w:adjustRightInd w:val="0"/>
        <w:snapToGrid/>
        <w:spacing w:line="360" w:lineRule="auto"/>
        <w:textAlignment w:val="auto"/>
        <w:rPr>
          <w:rFonts w:hint="eastAsia" w:ascii="宋体" w:hAnsi="宋体" w:eastAsia="宋体" w:cs="宋体"/>
          <w:b/>
          <w:sz w:val="24"/>
        </w:rPr>
      </w:pPr>
      <w:r>
        <w:rPr>
          <w:rFonts w:hint="eastAsia" w:ascii="宋体" w:hAnsi="宋体" w:eastAsia="宋体" w:cs="宋体"/>
          <w:b/>
          <w:sz w:val="24"/>
        </w:rPr>
        <w:t>六、其他补充事宜</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4.其他事项：（1）需要落实的政府采购政策：包括节</w:t>
      </w:r>
      <w:bookmarkStart w:id="424" w:name="_GoBack"/>
      <w:bookmarkEnd w:id="424"/>
      <w:r>
        <w:rPr>
          <w:rFonts w:hint="eastAsia" w:ascii="宋体" w:hAnsi="宋体" w:eastAsia="宋体" w:cs="宋体"/>
          <w:sz w:val="24"/>
        </w:rPr>
        <w:t>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wordWrap/>
        <w:adjustRightInd w:val="0"/>
        <w:snapToGrid/>
        <w:spacing w:line="360" w:lineRule="auto"/>
        <w:textAlignment w:val="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1.采购人信息</w:t>
      </w:r>
    </w:p>
    <w:p>
      <w:pPr>
        <w:widowControl w:val="0"/>
        <w:wordWrap/>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杭州市临平区人民法院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地址：杭州市临平区南苑街道世纪大道西158号。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项目联系人（询问）：赵春莉    </w:t>
      </w:r>
      <w:r>
        <w:rPr>
          <w:rFonts w:hint="eastAsia" w:ascii="宋体" w:hAnsi="宋体" w:eastAsia="宋体" w:cs="宋体"/>
          <w:sz w:val="24"/>
          <w:lang w:val="en-US" w:eastAsia="zh-CN"/>
        </w:rPr>
        <w:t xml:space="preserve">   </w:t>
      </w:r>
      <w:r>
        <w:rPr>
          <w:rFonts w:hint="eastAsia" w:ascii="宋体" w:hAnsi="宋体" w:eastAsia="宋体" w:cs="宋体"/>
          <w:sz w:val="24"/>
        </w:rPr>
        <w:t xml:space="preserve"> 联系电话：0571-86245418</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质疑联系人：虞燕芬                联系电话：0571-86245421 </w:t>
      </w:r>
    </w:p>
    <w:p>
      <w:pPr>
        <w:widowControl w:val="0"/>
        <w:wordWrap/>
        <w:adjustRightInd w:val="0"/>
        <w:snapToGrid/>
        <w:spacing w:line="360" w:lineRule="auto"/>
        <w:ind w:firstLine="480" w:firstLineChars="200"/>
        <w:textAlignment w:val="auto"/>
        <w:rPr>
          <w:rFonts w:hint="eastAsia" w:ascii="宋体" w:hAnsi="宋体" w:eastAsia="宋体" w:cs="宋体"/>
          <w:sz w:val="24"/>
        </w:rPr>
      </w:pP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2.采购代理机构信息            </w:t>
      </w: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名称：耀华建设管理有限公司</w:t>
      </w:r>
    </w:p>
    <w:p>
      <w:pPr>
        <w:widowControl w:val="0"/>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地址：杭州市临平区南苑街道华元欢乐城-华元大厦20层2022办公室。 </w:t>
      </w:r>
    </w:p>
    <w:p>
      <w:pPr>
        <w:wordWrap/>
        <w:adjustRightInd w:val="0"/>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rPr>
        <w:t xml:space="preserve">    项目联系人（询问）：</w:t>
      </w:r>
      <w:r>
        <w:rPr>
          <w:rFonts w:hint="eastAsia" w:ascii="宋体" w:hAnsi="宋体" w:cs="宋体"/>
          <w:sz w:val="24"/>
          <w:lang w:val="en-US" w:eastAsia="zh-CN"/>
        </w:rPr>
        <w:t>刘瑶</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联系方式（询问）：0571-863207</w:t>
      </w:r>
      <w:r>
        <w:rPr>
          <w:rFonts w:hint="eastAsia" w:ascii="宋体" w:hAnsi="宋体" w:eastAsia="宋体" w:cs="宋体"/>
          <w:sz w:val="24"/>
          <w:lang w:val="en-US" w:eastAsia="zh-CN"/>
        </w:rPr>
        <w:t>06</w:t>
      </w:r>
    </w:p>
    <w:p>
      <w:pPr>
        <w:wordWrap/>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质疑联系人：单成燕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联系方式：0571-86320727 </w:t>
      </w:r>
    </w:p>
    <w:p>
      <w:pPr>
        <w:wordWrap/>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w:t>
      </w:r>
    </w:p>
    <w:p>
      <w:pPr>
        <w:wordWrap/>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3.同级政府采购监督管理部门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cs="宋体"/>
          <w:color w:val="auto"/>
          <w:sz w:val="24"/>
        </w:rPr>
        <w:t xml:space="preserve"> </w:t>
      </w:r>
      <w:r>
        <w:rPr>
          <w:rFonts w:hint="eastAsia" w:ascii="宋体" w:hAnsi="宋体" w:cs="宋体"/>
          <w:sz w:val="24"/>
        </w:rPr>
        <w:t>名称：</w:t>
      </w:r>
      <w:r>
        <w:rPr>
          <w:rFonts w:hint="eastAsia" w:ascii="宋体" w:hAnsi="宋体" w:cs="宋体"/>
          <w:sz w:val="24"/>
          <w:lang w:eastAsia="zh-CN"/>
        </w:rPr>
        <w:t xml:space="preserve">杭州市临平区财政局、浙江省政府采购行政裁决服务中心(杭州) </w:t>
      </w:r>
    </w:p>
    <w:p>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杭州市上城区四季青街道新业路市民之家GO3办公室 (快递仅限ems或顺丰)。</w:t>
      </w:r>
    </w:p>
    <w:p>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 xml:space="preserve">朱女士、王女士 </w:t>
      </w:r>
      <w:r>
        <w:rPr>
          <w:rFonts w:hint="eastAsia" w:ascii="宋体" w:hAnsi="宋体" w:cs="宋体"/>
          <w:sz w:val="24"/>
        </w:rPr>
        <w:t xml:space="preserve">               </w:t>
      </w:r>
    </w:p>
    <w:p>
      <w:pPr>
        <w:spacing w:line="360" w:lineRule="auto"/>
        <w:ind w:firstLine="480" w:firstLineChars="200"/>
        <w:rPr>
          <w:rFonts w:ascii="宋体" w:hAnsi="宋体" w:cs="宋体"/>
          <w:color w:val="auto"/>
          <w:sz w:val="24"/>
        </w:rPr>
      </w:pPr>
      <w:r>
        <w:rPr>
          <w:rFonts w:hint="eastAsia" w:ascii="宋体" w:hAnsi="宋体" w:cs="宋体"/>
          <w:sz w:val="24"/>
        </w:rPr>
        <w:t>监督投诉电话：</w:t>
      </w:r>
      <w:r>
        <w:rPr>
          <w:rFonts w:hint="eastAsia" w:ascii="宋体" w:hAnsi="宋体" w:cs="宋体"/>
          <w:sz w:val="24"/>
          <w:lang w:eastAsia="zh-CN"/>
        </w:rPr>
        <w:t>0571-85252453</w:t>
      </w:r>
      <w:r>
        <w:rPr>
          <w:rFonts w:hint="eastAsia" w:ascii="宋体" w:hAnsi="宋体" w:cs="宋体"/>
          <w:color w:val="auto"/>
          <w:sz w:val="24"/>
        </w:rPr>
        <w:t xml:space="preserve">    </w:t>
      </w:r>
    </w:p>
    <w:p>
      <w:pPr>
        <w:wordWrap/>
        <w:adjustRightInd w:val="0"/>
        <w:snapToGrid/>
        <w:spacing w:line="360" w:lineRule="auto"/>
        <w:textAlignment w:val="auto"/>
        <w:rPr>
          <w:rFonts w:hint="eastAsia" w:ascii="宋体" w:hAnsi="宋体" w:eastAsia="宋体" w:cs="宋体"/>
          <w:sz w:val="24"/>
        </w:rPr>
      </w:pPr>
    </w:p>
    <w:p>
      <w:pPr>
        <w:wordWrap/>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w:t>
      </w:r>
    </w:p>
    <w:p>
      <w:pPr>
        <w:wordWrap/>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监督投诉电话：电话：0571-85252453   若对项目采购电子交易系统操作有疑问，可登录政采云（https://www.zcygov.cn/），点击右侧咨询小采，获取采小蜜智能服务管家帮助，或拨打政采云服务热线</w:t>
      </w:r>
      <w:r>
        <w:rPr>
          <w:rFonts w:hint="eastAsia" w:ascii="宋体" w:hAnsi="宋体" w:eastAsia="宋体" w:cs="宋体"/>
          <w:sz w:val="24"/>
          <w:lang w:val="en-US" w:eastAsia="zh-CN"/>
        </w:rPr>
        <w:t>95763</w:t>
      </w:r>
      <w:r>
        <w:rPr>
          <w:rFonts w:hint="eastAsia" w:ascii="宋体" w:hAnsi="宋体" w:eastAsia="宋体" w:cs="宋体"/>
          <w:sz w:val="24"/>
        </w:rPr>
        <w:t>获取热线服务帮助。</w:t>
      </w:r>
    </w:p>
    <w:p>
      <w:pPr>
        <w:wordWrap/>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7"/>
      <w:r>
        <w:rPr>
          <w:rFonts w:hint="eastAsia" w:ascii="宋体" w:hAnsi="宋体" w:eastAsia="宋体" w:cs="宋体"/>
          <w:b/>
          <w:sz w:val="36"/>
          <w:szCs w:val="20"/>
        </w:rPr>
        <w:t xml:space="preserve"> 投标人须知</w:t>
      </w:r>
      <w:bookmarkEnd w:id="8"/>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val="0"/>
                <w:bCs/>
                <w:sz w:val="24"/>
              </w:rPr>
            </w:pPr>
            <w:r>
              <w:rPr>
                <w:rFonts w:hint="eastAsia" w:ascii="宋体" w:hAnsi="宋体" w:eastAsia="宋体" w:cs="宋体"/>
                <w:b w:val="0"/>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24"/>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A货物类，单一产品或核心产品为：</w:t>
            </w:r>
            <w:r>
              <w:rPr>
                <w:rFonts w:hint="default" w:ascii="宋体" w:hAnsi="宋体" w:eastAsia="宋体" w:cs="宋体"/>
                <w:u w:val="single"/>
                <w:lang w:val="en-US"/>
              </w:rPr>
              <w:t>审委会录播流媒体主机，</w:t>
            </w:r>
            <w:r>
              <w:rPr>
                <w:rFonts w:hint="default" w:ascii="宋体" w:hAnsi="宋体" w:eastAsia="宋体" w:cs="宋体"/>
                <w:highlight w:val="none"/>
                <w:u w:val="single"/>
                <w:lang w:val="en-US"/>
              </w:rPr>
              <w:t>审委会语音转写系统</w:t>
            </w:r>
            <w:r>
              <w:rPr>
                <w:rFonts w:hint="eastAsia" w:cs="宋体"/>
                <w:highlight w:val="none"/>
                <w:u w:val="single"/>
                <w:lang w:val="en-US" w:eastAsia="zh-CN"/>
              </w:rPr>
              <w:t xml:space="preserve">   </w:t>
            </w:r>
            <w:r>
              <w:rPr>
                <w:rFonts w:hint="eastAsia" w:ascii="宋体" w:hAnsi="宋体" w:eastAsia="宋体" w:cs="宋体"/>
                <w:lang w:val="en-US"/>
              </w:rPr>
              <w:t>为核心产品</w:t>
            </w:r>
            <w:r>
              <w:rPr>
                <w:rFonts w:hint="eastAsia" w:ascii="宋体" w:hAnsi="宋体" w:eastAsia="宋体" w:cs="宋体"/>
                <w:szCs w:val="24"/>
              </w:rPr>
              <w:t>。</w:t>
            </w:r>
          </w:p>
          <w:p>
            <w:pPr>
              <w:spacing w:line="240" w:lineRule="auto"/>
              <w:jc w:val="both"/>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sz w:val="24"/>
              </w:rPr>
            </w:pPr>
            <w:r>
              <w:rPr>
                <w:rFonts w:hint="eastAsia" w:ascii="宋体" w:hAnsi="宋体" w:eastAsia="宋体" w:cs="宋体"/>
                <w:b w:val="0"/>
                <w:bCs/>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both"/>
              <w:rPr>
                <w:rFonts w:hint="eastAsia" w:ascii="宋体" w:hAnsi="宋体" w:eastAsia="宋体" w:cs="宋体"/>
                <w:b/>
                <w:sz w:val="24"/>
              </w:rPr>
            </w:pPr>
            <w:r>
              <w:rPr>
                <w:rFonts w:hint="eastAsia" w:ascii="宋体" w:hAnsi="宋体" w:eastAsia="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7"/>
              <w:tabs>
                <w:tab w:val="left" w:pos="1070"/>
              </w:tabs>
              <w:snapToGrid/>
              <w:spacing w:line="360" w:lineRule="auto"/>
              <w:ind w:right="0" w:firstLine="480" w:firstLineChars="200"/>
              <w:rPr>
                <w:rFonts w:hint="eastAsia" w:ascii="宋体" w:hAnsi="宋体" w:eastAsia="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标的：</w:t>
            </w:r>
            <w:r>
              <w:rPr>
                <w:rFonts w:hint="eastAsia" w:ascii="宋体" w:hAnsi="宋体" w:eastAsia="宋体" w:cs="宋体"/>
                <w:color w:val="auto"/>
                <w:kern w:val="0"/>
                <w:sz w:val="24"/>
                <w:u w:val="single"/>
                <w:lang w:eastAsia="zh-CN"/>
              </w:rPr>
              <w:t xml:space="preserve"> </w:t>
            </w:r>
            <w:r>
              <w:rPr>
                <w:rFonts w:hint="eastAsia" w:ascii="宋体" w:hAnsi="宋体" w:cs="宋体"/>
                <w:color w:val="auto"/>
                <w:kern w:val="0"/>
                <w:sz w:val="24"/>
                <w:u w:val="single"/>
                <w:lang w:eastAsia="zh-CN"/>
              </w:rPr>
              <w:t>临平法院无纸化数字审委会应用系统</w:t>
            </w:r>
            <w:r>
              <w:rPr>
                <w:rFonts w:hint="eastAsia" w:ascii="宋体" w:hAnsi="宋体" w:eastAsia="宋体" w:cs="宋体"/>
                <w:color w:val="auto"/>
                <w:kern w:val="0"/>
                <w:sz w:val="24"/>
                <w:u w:val="single"/>
                <w:lang w:val="en-US" w:eastAsia="zh-CN"/>
              </w:rPr>
              <w:t>；</w:t>
            </w:r>
          </w:p>
          <w:p>
            <w:pPr>
              <w:pStyle w:val="617"/>
              <w:widowControl w:val="0"/>
              <w:tabs>
                <w:tab w:val="left" w:pos="1070"/>
              </w:tabs>
              <w:spacing w:line="360" w:lineRule="auto"/>
              <w:ind w:right="0" w:firstLine="480" w:firstLineChars="200"/>
              <w:jc w:val="left"/>
              <w:rPr>
                <w:rFonts w:hint="eastAsia" w:ascii="宋体" w:hAnsi="宋体" w:eastAsia="宋体" w:cs="宋体"/>
                <w:b/>
                <w:bCs/>
                <w:color w:val="auto"/>
                <w:sz w:val="24"/>
                <w:highlight w:val="none"/>
                <w:shd w:val="clear" w:color="auto" w:fill="FFFFFF"/>
                <w:lang w:val="zh-CN" w:bidi="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软件和信息技术服务业</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2"/>
                <w:highlight w:val="none"/>
                <w:lang w:val="en-US" w:eastAsia="en-US" w:bidi="ar-SA"/>
              </w:rPr>
              <w:pict>
                <v:shape id="_x0000_i1025" o:spt="75" type="#_x0000_t75" style="height:39pt;width:301.8p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w:pict>
            </w:r>
          </w:p>
          <w:p>
            <w:pPr>
              <w:pStyle w:val="617"/>
              <w:widowControl w:val="0"/>
              <w:tabs>
                <w:tab w:val="left" w:pos="1070"/>
              </w:tabs>
              <w:wordWrap/>
              <w:snapToGrid/>
              <w:spacing w:line="360" w:lineRule="auto"/>
              <w:ind w:right="0" w:firstLine="480" w:firstLineChars="200"/>
              <w:jc w:val="left"/>
              <w:textAlignment w:val="auto"/>
              <w:rPr>
                <w:sz w:val="24"/>
                <w:szCs w:val="24"/>
                <w:lang w:eastAsia="zh-CN"/>
              </w:rPr>
            </w:pPr>
            <w:r>
              <w:rPr>
                <w:rFonts w:ascii="Calibri" w:hAnsi="Calibri" w:eastAsia="宋体" w:cs="Times New Roman"/>
                <w:kern w:val="0"/>
                <w:sz w:val="24"/>
                <w:szCs w:val="24"/>
                <w:lang w:val="en-US" w:eastAsia="zh-CN" w:bidi="ar-SA"/>
              </w:rPr>
              <w:pict>
                <v:shape id="_x0000_i1026" o:spt="75" type="#_x0000_t75" style="height:29.85pt;width:301.25pt;" fillcolor="#FFFFFF" filled="f" o:preferrelative="t" stroked="f" coordsize="21600,21600">
                  <v:path/>
                  <v:fill on="f" color2="#FFFFFF" focussize="0,0"/>
                  <v:stroke on="f"/>
                  <v:imagedata r:id="rId30" gain="65536f" blacklevel="0f" gamma="0" o:title=""/>
                  <o:lock v:ext="edit" position="f" selection="f" grouping="f" rotation="f" cropping="f" text="f" aspectratio="t"/>
                  <w10:wrap type="none"/>
                  <w10:anchorlock/>
                </v:shape>
              </w:pict>
            </w:r>
          </w:p>
          <w:p>
            <w:pPr>
              <w:pStyle w:val="617"/>
              <w:widowControl w:val="0"/>
              <w:tabs>
                <w:tab w:val="left" w:pos="1070"/>
              </w:tabs>
              <w:wordWrap/>
              <w:adjustRightInd w:val="0"/>
              <w:snapToGrid/>
              <w:spacing w:line="360" w:lineRule="auto"/>
              <w:ind w:right="0"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pStyle w:val="617"/>
              <w:widowControl w:val="0"/>
              <w:tabs>
                <w:tab w:val="left" w:pos="1070"/>
              </w:tabs>
              <w:wordWrap/>
              <w:adjustRightInd w:val="0"/>
              <w:snapToGrid/>
              <w:spacing w:line="360" w:lineRule="auto"/>
              <w:ind w:right="0"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pStyle w:val="617"/>
              <w:widowControl w:val="0"/>
              <w:tabs>
                <w:tab w:val="left" w:pos="1070"/>
              </w:tabs>
              <w:wordWrap/>
              <w:adjustRightInd w:val="0"/>
              <w:snapToGrid/>
              <w:spacing w:line="360" w:lineRule="auto"/>
              <w:ind w:right="0"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pStyle w:val="617"/>
              <w:widowControl w:val="0"/>
              <w:tabs>
                <w:tab w:val="left" w:pos="1070"/>
              </w:tabs>
              <w:wordWrap/>
              <w:adjustRightInd w:val="0"/>
              <w:snapToGrid/>
              <w:spacing w:line="360" w:lineRule="auto"/>
              <w:ind w:right="0"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pStyle w:val="617"/>
              <w:widowControl w:val="0"/>
              <w:tabs>
                <w:tab w:val="left" w:pos="1070"/>
              </w:tabs>
              <w:wordWrap/>
              <w:adjustRightInd w:val="0"/>
              <w:snapToGrid/>
              <w:spacing w:line="360" w:lineRule="auto"/>
              <w:ind w:right="0"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7"/>
              <w:widowControl w:val="0"/>
              <w:tabs>
                <w:tab w:val="left" w:pos="1070"/>
              </w:tabs>
              <w:wordWrap/>
              <w:snapToGrid/>
              <w:spacing w:line="360" w:lineRule="auto"/>
              <w:ind w:right="0"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7"/>
              <w:widowControl w:val="0"/>
              <w:tabs>
                <w:tab w:val="left" w:pos="1070"/>
              </w:tabs>
              <w:wordWrap/>
              <w:snapToGrid/>
              <w:spacing w:line="360" w:lineRule="auto"/>
              <w:ind w:right="0" w:firstLine="480" w:firstLineChars="20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szCs w:val="24"/>
                <w:u w:val="none"/>
                <w:lang w:val="en-US" w:eastAsia="zh-CN" w:bidi="ar-SA"/>
              </w:rPr>
              <w:t>4</w:t>
            </w:r>
            <w:r>
              <w:rPr>
                <w:rFonts w:hint="eastAsia" w:ascii="宋体" w:hAnsi="宋体" w:eastAsia="宋体" w:cs="宋体"/>
                <w:color w:val="auto"/>
                <w:kern w:val="0"/>
                <w:sz w:val="24"/>
                <w:szCs w:val="24"/>
                <w:u w:val="none"/>
                <w:lang w:val="en-US" w:eastAsia="zh-CN" w:bidi="ar-SA"/>
              </w:rPr>
              <w:t>)符合小微企业划分标准的个体工商户，视同小微企业。</w:t>
            </w:r>
          </w:p>
          <w:p>
            <w:pPr>
              <w:pStyle w:val="617"/>
              <w:widowControl w:val="0"/>
              <w:tabs>
                <w:tab w:val="left" w:pos="1070"/>
              </w:tabs>
              <w:wordWrap/>
              <w:snapToGrid/>
              <w:spacing w:line="360" w:lineRule="auto"/>
              <w:ind w:right="0" w:firstLine="480" w:firstLineChars="200"/>
              <w:textAlignment w:val="auto"/>
              <w:rPr>
                <w:rFonts w:hint="eastAsia"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sz w:val="24"/>
              </w:rPr>
            </w:pPr>
            <w:r>
              <w:rPr>
                <w:rFonts w:hint="eastAsia" w:ascii="宋体" w:hAnsi="宋体" w:eastAsia="宋体" w:cs="宋体"/>
                <w:b w:val="0"/>
                <w:bCs/>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pPr>
              <w:spacing w:line="360" w:lineRule="auto"/>
              <w:rPr>
                <w:rFonts w:hint="eastAsia" w:ascii="宋体" w:hAnsi="宋体" w:eastAsia="宋体" w:cs="宋体"/>
              </w:rPr>
            </w:pP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sz w:val="24"/>
              </w:rPr>
            </w:pPr>
            <w:r>
              <w:rPr>
                <w:rFonts w:hint="eastAsia" w:ascii="宋体" w:hAnsi="宋体" w:eastAsia="宋体" w:cs="宋体"/>
                <w:b w:val="0"/>
                <w:bCs/>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kern w:val="0"/>
                <w:sz w:val="24"/>
              </w:rPr>
              <w:sym w:font="Wingdings" w:char="F0FE"/>
            </w:r>
            <w:r>
              <w:rPr>
                <w:rFonts w:hint="eastAsia" w:ascii="宋体" w:hAnsi="宋体" w:eastAsia="宋体" w:cs="宋体"/>
                <w:kern w:val="0"/>
                <w:sz w:val="24"/>
              </w:rPr>
              <w:t xml:space="preserve"> A</w:t>
            </w:r>
            <w:r>
              <w:rPr>
                <w:rFonts w:hint="eastAsia" w:ascii="宋体" w:hAnsi="宋体" w:eastAsia="宋体" w:cs="宋体"/>
                <w:sz w:val="24"/>
              </w:rPr>
              <w:t>同意将非</w:t>
            </w:r>
            <w:r>
              <w:rPr>
                <w:rFonts w:hint="eastAsia" w:ascii="宋体" w:hAnsi="宋体" w:eastAsia="宋体" w:cs="宋体"/>
                <w:color w:val="auto"/>
                <w:sz w:val="24"/>
              </w:rPr>
              <w:t>主体、非关键性的工作分包。</w:t>
            </w:r>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 B</w:t>
            </w:r>
            <w:r>
              <w:rPr>
                <w:rFonts w:hint="eastAsia" w:ascii="宋体" w:hAnsi="宋体" w:eastAsia="宋体" w:cs="宋体"/>
                <w:color w:val="auto"/>
                <w:sz w:val="24"/>
              </w:rPr>
              <w:t>不同意分包。</w:t>
            </w:r>
          </w:p>
          <w:p>
            <w:pPr>
              <w:spacing w:line="360" w:lineRule="auto"/>
              <w:rPr>
                <w:rFonts w:hint="eastAsia" w:ascii="宋体" w:hAnsi="宋体" w:eastAsia="宋体" w:cs="宋体"/>
                <w:sz w:val="24"/>
              </w:rPr>
            </w:pPr>
            <w:r>
              <w:rPr>
                <w:rFonts w:hint="eastAsia" w:ascii="宋体" w:hAnsi="宋体" w:eastAsia="宋体" w:cs="宋体"/>
                <w:color w:val="auto"/>
                <w:sz w:val="24"/>
              </w:rPr>
              <w:t>注：不得限制大中型企业向小微企业合</w:t>
            </w:r>
            <w:r>
              <w:rPr>
                <w:rFonts w:hint="eastAsia" w:ascii="宋体" w:hAnsi="宋体" w:eastAsia="宋体" w:cs="宋体"/>
                <w:sz w:val="24"/>
              </w:rPr>
              <w:t>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sz w:val="24"/>
              </w:rPr>
            </w:pPr>
            <w:r>
              <w:rPr>
                <w:rFonts w:hint="eastAsia" w:ascii="宋体" w:hAnsi="宋体" w:eastAsia="宋体" w:cs="宋体"/>
                <w:b w:val="0"/>
                <w:bCs/>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val="0"/>
                <w:bCs/>
                <w:sz w:val="24"/>
              </w:rPr>
            </w:pPr>
            <w:r>
              <w:rPr>
                <w:rFonts w:hint="eastAsia" w:ascii="宋体" w:hAnsi="宋体" w:eastAsia="宋体" w:cs="宋体"/>
                <w:b w:val="0"/>
                <w:bCs/>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☐B要求提供，</w:t>
            </w:r>
          </w:p>
          <w:p>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cs="宋体"/>
                <w:sz w:val="24"/>
                <w:u w:val="single"/>
                <w:lang w:val="en-US" w:eastAsia="zh-CN"/>
              </w:rPr>
              <w:t>/</w:t>
            </w:r>
            <w:r>
              <w:rPr>
                <w:rFonts w:hint="eastAsia" w:ascii="宋体" w:hAnsi="宋体" w:eastAsia="宋体" w:cs="宋体"/>
                <w:kern w:val="0"/>
                <w:sz w:val="24"/>
              </w:rPr>
              <w:t>；</w:t>
            </w:r>
          </w:p>
          <w:p>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w:t>
            </w:r>
            <w:r>
              <w:rPr>
                <w:rFonts w:hint="eastAsia" w:ascii="宋体" w:hAnsi="宋体" w:eastAsia="宋体" w:cs="宋体"/>
                <w:color w:val="auto"/>
                <w:kern w:val="0"/>
                <w:sz w:val="24"/>
              </w:rPr>
              <w:t>点为</w:t>
            </w:r>
            <w:r>
              <w:rPr>
                <w:rFonts w:hint="eastAsia" w:ascii="宋体" w:hAnsi="宋体" w:eastAsia="宋体" w:cs="宋体"/>
                <w:color w:val="auto"/>
                <w:kern w:val="0"/>
                <w:sz w:val="24"/>
                <w:u w:val="single"/>
              </w:rPr>
              <w:t xml:space="preserve">   </w:t>
            </w:r>
            <w:r>
              <w:rPr>
                <w:rFonts w:hint="eastAsia" w:ascii="宋体" w:hAnsi="宋体" w:cs="宋体"/>
                <w:sz w:val="24"/>
                <w:u w:val="single"/>
                <w:lang w:val="en-US" w:eastAsia="zh-CN"/>
              </w:rPr>
              <w:t>/</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，讲解演示所用电脑等设备由投标人自备。现场讲解演示人员进场时提供讲解人员名单（加盖公章或授权代表签名</w:t>
            </w:r>
            <w:r>
              <w:rPr>
                <w:rFonts w:hint="eastAsia" w:ascii="宋体" w:hAnsi="宋体" w:eastAsia="宋体" w:cs="宋体"/>
                <w:kern w:val="0"/>
                <w:sz w:val="24"/>
              </w:rPr>
              <w:t>）及身份证明，否则不得讲解演示。</w:t>
            </w:r>
          </w:p>
          <w:p>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rPr>
              <w:t>密封包装后（建议</w:t>
            </w:r>
            <w:r>
              <w:rPr>
                <w:rFonts w:hint="eastAsia" w:ascii="宋体" w:hAnsi="宋体" w:eastAsia="宋体" w:cs="宋体"/>
                <w:color w:val="auto"/>
                <w:kern w:val="28"/>
                <w:sz w:val="24"/>
                <w:szCs w:val="24"/>
                <w:u w:val="single"/>
                <w:lang w:eastAsia="zh-CN"/>
              </w:rPr>
              <w:t>快递</w:t>
            </w:r>
            <w:r>
              <w:rPr>
                <w:rFonts w:hint="eastAsia" w:ascii="宋体" w:hAnsi="宋体" w:eastAsia="宋体" w:cs="宋体"/>
                <w:color w:val="auto"/>
                <w:kern w:val="28"/>
                <w:sz w:val="24"/>
                <w:szCs w:val="24"/>
                <w:u w:val="single"/>
              </w:rPr>
              <w:t>邮寄形式）投标截止时间前递交、一份（邮寄地址：杭州市临平区南苑街道</w:t>
            </w:r>
            <w:r>
              <w:rPr>
                <w:rFonts w:hint="eastAsia" w:ascii="宋体" w:hAnsi="宋体" w:eastAsia="宋体" w:cs="宋体"/>
                <w:color w:val="auto"/>
                <w:kern w:val="28"/>
                <w:sz w:val="24"/>
                <w:szCs w:val="24"/>
                <w:u w:val="single"/>
                <w:lang w:val="en-US" w:eastAsia="zh-CN"/>
              </w:rPr>
              <w:t>迎宾路与望梅路交汇处</w:t>
            </w:r>
            <w:r>
              <w:rPr>
                <w:rFonts w:hint="eastAsia" w:ascii="宋体" w:hAnsi="宋体" w:eastAsia="宋体" w:cs="宋体"/>
                <w:color w:val="auto"/>
                <w:kern w:val="28"/>
                <w:sz w:val="24"/>
                <w:szCs w:val="24"/>
                <w:u w:val="single"/>
              </w:rPr>
              <w:t>华元欢乐城-华元大厦20层2022办公</w:t>
            </w:r>
            <w:r>
              <w:rPr>
                <w:rFonts w:hint="eastAsia" w:ascii="宋体" w:hAnsi="宋体" w:eastAsia="宋体" w:cs="宋体"/>
                <w:color w:val="auto"/>
                <w:kern w:val="28"/>
                <w:sz w:val="24"/>
                <w:szCs w:val="24"/>
                <w:u w:val="single"/>
                <w:lang w:val="en-US" w:eastAsia="zh-CN"/>
              </w:rPr>
              <w:t>室</w:t>
            </w:r>
            <w:r>
              <w:rPr>
                <w:rFonts w:hint="eastAsia" w:ascii="宋体" w:hAnsi="宋体" w:eastAsia="宋体" w:cs="宋体"/>
                <w:color w:val="auto"/>
                <w:sz w:val="24"/>
                <w:u w:val="single"/>
              </w:rPr>
              <w:t xml:space="preserve"> </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rPr>
              <w:t xml:space="preserve"> </w:t>
            </w:r>
            <w:r>
              <w:rPr>
                <w:rFonts w:hint="eastAsia" w:hAnsi="宋体" w:cs="宋体"/>
                <w:color w:val="auto"/>
                <w:sz w:val="24"/>
                <w:u w:val="single"/>
                <w:lang w:val="en-US" w:eastAsia="zh-CN"/>
              </w:rPr>
              <w:t>刘瑶</w:t>
            </w:r>
            <w:r>
              <w:rPr>
                <w:rFonts w:hint="eastAsia" w:ascii="宋体" w:hAnsi="宋体" w:eastAsia="宋体" w:cs="宋体"/>
                <w:color w:val="auto"/>
                <w:sz w:val="24"/>
                <w:u w:val="single"/>
              </w:rPr>
              <w:t>收，</w:t>
            </w:r>
            <w:r>
              <w:rPr>
                <w:rFonts w:hint="eastAsia" w:hAnsi="宋体" w:cs="宋体"/>
                <w:color w:val="auto"/>
                <w:sz w:val="24"/>
                <w:u w:val="single"/>
                <w:lang w:val="en-US" w:eastAsia="zh-CN"/>
              </w:rPr>
              <w:t>13857413671</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kern w:val="28"/>
                <w:sz w:val="24"/>
              </w:rPr>
            </w:pPr>
            <w:r>
              <w:rPr>
                <w:rFonts w:hint="eastAsia" w:ascii="宋体" w:hAnsi="宋体" w:eastAsia="宋体" w:cs="宋体"/>
                <w:kern w:val="0"/>
                <w:sz w:val="24"/>
              </w:rPr>
              <w:sym w:font="Wingdings" w:char="F0FE"/>
            </w:r>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9" w:hRule="atLeast"/>
        </w:trPr>
        <w:tc>
          <w:tcPr>
            <w:tcW w:w="629" w:type="dxa"/>
            <w:tcBorders>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843" w:type="dxa"/>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pict>
                <v:shape id="图片 16" o:spid="_x0000_s1046" o:spt="75" type="#_x0000_t75" style="position:absolute;left:0pt;margin-left:13.05pt;margin-top:81pt;height:123.6pt;width:269.55pt;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31" gain="65536f" blacklevel="0f" gamma="0" o:title=""/>
                  <o:lock v:ext="edit" position="f" selection="f" grouping="f" rotation="f" cropping="f" text="f" aspectratio="t"/>
                  <w10:wrap type="square"/>
                </v:shape>
              </w:pict>
            </w:r>
            <w:r>
              <w:rPr>
                <w:rFonts w:hint="eastAsia" w:ascii="宋体" w:hAnsi="宋体" w:eastAsia="宋体" w:cs="宋体"/>
                <w:b/>
                <w:bCs/>
                <w:color w:val="auto"/>
                <w:sz w:val="24"/>
                <w:szCs w:val="24"/>
                <w:highlight w:val="none"/>
                <w:lang w:val="en-US" w:eastAsia="zh-CN"/>
              </w:rPr>
              <w:t>本项目的招标代理费用由中标单位支付，代理费用付款参照《招标代理服务收费管理暂行办法》的通知（计价格[2002]1980号）文件以中标金额为收费基数进行计取。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sz w:val="32"/>
          <w:szCs w:val="20"/>
        </w:rPr>
      </w:pPr>
    </w:p>
    <w:bookmarkEnd w:id="9"/>
    <w:p>
      <w:pPr>
        <w:rPr>
          <w:rFonts w:hint="eastAsia" w:ascii="宋体" w:hAnsi="宋体" w:eastAsia="宋体" w:cs="宋体"/>
          <w:b/>
          <w:sz w:val="32"/>
          <w:szCs w:val="20"/>
        </w:rPr>
      </w:pPr>
      <w:bookmarkStart w:id="10" w:name="第三部分"/>
      <w:bookmarkStart w:id="11" w:name="_Toc164416483"/>
      <w:r>
        <w:rPr>
          <w:rFonts w:hint="eastAsia" w:ascii="宋体" w:hAnsi="宋体" w:eastAsia="宋体" w:cs="宋体"/>
          <w:b/>
          <w:sz w:val="32"/>
          <w:szCs w:val="20"/>
        </w:rPr>
        <w:br w:type="page"/>
      </w:r>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eastAsia="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5"/>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80" w:firstLineChars="200"/>
        <w:contextualSpacing/>
      </w:pPr>
      <w:r>
        <w:rPr>
          <w:rFonts w:hint="eastAsia" w:ascii="宋体" w:hAnsi="宋体" w:eastAsia="宋体" w:cs="宋体"/>
        </w:rPr>
        <w:t>4.4.5</w:t>
      </w:r>
      <w:r>
        <w:rPr>
          <w:rFonts w:hint="eastAsia"/>
          <w:lang w:eastAsia="zh-CN"/>
        </w:rPr>
        <w:t>杭州市</w:t>
      </w:r>
      <w:r>
        <w:rPr>
          <w:rFonts w:hint="eastAsia"/>
          <w:lang w:val="en-US" w:eastAsia="zh-CN"/>
        </w:rPr>
        <w:t>临平</w:t>
      </w:r>
      <w:r>
        <w:rPr>
          <w:rFonts w:hint="eastAsia"/>
          <w:lang w:eastAsia="zh-CN"/>
        </w:rPr>
        <w:t>区政府</w:t>
      </w:r>
      <w:r>
        <w:rPr>
          <w:rFonts w:hint="eastAsia"/>
        </w:rPr>
        <w:t>采购项目投诉材料可寄送至</w:t>
      </w:r>
      <w:r>
        <w:rPr>
          <w:rFonts w:hint="eastAsia"/>
          <w:lang w:eastAsia="zh-CN"/>
        </w:rPr>
        <w:t xml:space="preserve">浙江省政府采购行政裁决服务中心(杭州) </w:t>
      </w:r>
      <w:r>
        <w:rPr>
          <w:rFonts w:hint="eastAsia"/>
        </w:rPr>
        <w:t>，地址：</w:t>
      </w:r>
      <w:r>
        <w:rPr>
          <w:rFonts w:hint="eastAsia"/>
          <w:lang w:eastAsia="zh-CN"/>
        </w:rPr>
        <w:t>杭州市上城区四季青街道新业路市民之家GO3办公室 (快递仅限ems或顺丰)。</w:t>
      </w:r>
      <w:r>
        <w:rPr>
          <w:rFonts w:hint="eastAsia"/>
        </w:rPr>
        <w:t>收件人：</w:t>
      </w:r>
      <w:r>
        <w:rPr>
          <w:rFonts w:hint="eastAsia" w:cs="宋体"/>
          <w:sz w:val="24"/>
          <w:lang w:eastAsia="zh-CN"/>
        </w:rPr>
        <w:t xml:space="preserve">朱女士、王女士 </w:t>
      </w:r>
      <w:r>
        <w:rPr>
          <w:rFonts w:hint="eastAsia"/>
        </w:rPr>
        <w:t>，电话：</w:t>
      </w:r>
      <w:r>
        <w:rPr>
          <w:rFonts w:hint="eastAsia"/>
          <w:lang w:eastAsia="zh-CN"/>
        </w:rPr>
        <w:t>0571-85252453</w:t>
      </w:r>
      <w:r>
        <w:rPr>
          <w:rFonts w:hint="eastAsia"/>
        </w:rPr>
        <w:t xml:space="preserve"> 。</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4.5 补偿救济</w:t>
      </w:r>
    </w:p>
    <w:p>
      <w:pPr>
        <w:pStyle w:val="575"/>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pPr>
        <w:pStyle w:val="575"/>
        <w:shd w:val="clear" w:color="auto" w:fill="FFFFFF"/>
        <w:snapToGrid w:val="0"/>
        <w:spacing w:after="240" w:afterAutospacing="0" w:line="360" w:lineRule="auto"/>
        <w:ind w:firstLine="400"/>
        <w:contextualSpacing/>
        <w:rPr>
          <w:rFonts w:hint="eastAsia" w:ascii="宋体" w:hAnsi="宋体" w:eastAsia="宋体" w:cs="宋体"/>
        </w:rPr>
      </w:pPr>
    </w:p>
    <w:p>
      <w:pPr>
        <w:pStyle w:val="88"/>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88"/>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88"/>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wordWrap/>
        <w:spacing w:beforeAutospacing="0" w:line="360" w:lineRule="auto"/>
        <w:ind w:firstLine="480" w:firstLineChars="200"/>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5"/>
        <w:wordWrap/>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5"/>
        <w:wordWrap/>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5"/>
        <w:wordWrap/>
        <w:spacing w:beforeAutospacing="0" w:line="360" w:lineRule="auto"/>
        <w:textAlignment w:val="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17"/>
        <w:wordWrap/>
        <w:spacing w:beforeAutospacing="0"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wordWrap/>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pPr>
        <w:wordWrap/>
        <w:autoSpaceDE w:val="0"/>
        <w:autoSpaceDN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5"/>
        <w:wordWrap/>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pPr>
        <w:wordWrap/>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w:t>
      </w:r>
      <w:r>
        <w:rPr>
          <w:rFonts w:hint="eastAsia" w:ascii="宋体" w:hAnsi="宋体" w:eastAsia="宋体" w:cs="宋体"/>
          <w:color w:val="auto"/>
          <w:sz w:val="24"/>
        </w:rPr>
        <w:t>1.1.1符合参加政府采购活动应当具备的一般条件的承诺函；</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0"/>
        </w:rPr>
        <w:t>联合协议（如果有)；</w:t>
      </w:r>
    </w:p>
    <w:p>
      <w:pPr>
        <w:wordWrap/>
        <w:snapToGrid w:val="0"/>
        <w:spacing w:beforeAutospacing="0" w:line="360" w:lineRule="auto"/>
        <w:ind w:firstLine="480" w:firstLineChars="200"/>
        <w:textAlignment w:val="auto"/>
        <w:rPr>
          <w:rFonts w:hint="eastAsia" w:ascii="宋体" w:hAnsi="宋体" w:cs="宋体"/>
          <w:color w:val="auto"/>
          <w:sz w:val="24"/>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r>
        <w:rPr>
          <w:rFonts w:hint="eastAsia" w:ascii="宋体" w:hAnsi="宋体" w:cs="宋体"/>
          <w:color w:val="auto"/>
          <w:sz w:val="24"/>
          <w:lang w:val="en-US" w:eastAsia="zh-CN"/>
        </w:rPr>
        <w:t>无；</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wordWrap/>
        <w:snapToGrid w:val="0"/>
        <w:spacing w:beforeAutospacing="0"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11.2.2授权委托书或法定代表人（单位负责人、自然人本人）身份证明；</w:t>
      </w:r>
      <w:r>
        <w:rPr>
          <w:rFonts w:hint="eastAsia" w:ascii="宋体" w:hAnsi="宋体" w:eastAsia="宋体" w:cs="宋体"/>
          <w:color w:val="auto"/>
          <w:sz w:val="24"/>
          <w:lang w:val="en-US" w:eastAsia="zh-CN"/>
        </w:rPr>
        <w:t>格式详见第六部分。</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lang w:val="en-US" w:eastAsia="zh-CN"/>
        </w:rPr>
        <w:t>格式详见第六部分；</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11.2.6投标标的清单；</w:t>
      </w:r>
      <w:r>
        <w:rPr>
          <w:rFonts w:hint="eastAsia" w:ascii="宋体" w:hAnsi="宋体" w:eastAsia="宋体" w:cs="宋体"/>
          <w:color w:val="auto"/>
          <w:sz w:val="24"/>
          <w:lang w:val="en-US" w:eastAsia="zh-CN"/>
        </w:rPr>
        <w:t>格式详见第六部分；</w:t>
      </w:r>
    </w:p>
    <w:p>
      <w:pPr>
        <w:wordWrap/>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11.2.7商务技术偏离表；</w:t>
      </w:r>
      <w:r>
        <w:rPr>
          <w:rFonts w:hint="eastAsia" w:ascii="宋体" w:hAnsi="宋体" w:eastAsia="宋体" w:cs="宋体"/>
          <w:color w:val="auto"/>
          <w:sz w:val="24"/>
          <w:lang w:val="en-US" w:eastAsia="zh-CN"/>
        </w:rPr>
        <w:t>格式详见第六部分；</w:t>
      </w:r>
    </w:p>
    <w:p>
      <w:pPr>
        <w:wordWrap/>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color w:val="auto"/>
          <w:sz w:val="24"/>
          <w:lang w:val="en-US" w:eastAsia="zh-CN"/>
        </w:rPr>
        <w:t>格式详见第六部分；</w:t>
      </w:r>
    </w:p>
    <w:p>
      <w:pPr>
        <w:pStyle w:val="5"/>
        <w:wordWrap/>
        <w:spacing w:beforeAutospacing="0"/>
        <w:ind w:left="0"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pPr>
        <w:wordWrap/>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pPr>
        <w:wordWrap/>
        <w:snapToGrid w:val="0"/>
        <w:spacing w:beforeAutospacing="0" w:line="360" w:lineRule="auto"/>
        <w:ind w:firstLine="720" w:firstLineChars="300"/>
        <w:textAlignment w:val="auto"/>
        <w:rPr>
          <w:rFonts w:hint="eastAsia" w:ascii="宋体" w:hAnsi="宋体" w:eastAsia="宋体" w:cs="宋体"/>
          <w:color w:val="auto"/>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pPr>
        <w:wordWrap/>
        <w:snapToGrid w:val="0"/>
        <w:spacing w:beforeAutospacing="0" w:line="360" w:lineRule="auto"/>
        <w:ind w:firstLine="480" w:firstLineChars="200"/>
        <w:textAlignment w:val="auto"/>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wordWrap/>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pPr>
        <w:wordWrap/>
        <w:snapToGrid w:val="0"/>
        <w:spacing w:beforeAutospacing="0"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11.3.2中小企业声明函。</w:t>
      </w:r>
      <w:r>
        <w:rPr>
          <w:rFonts w:hint="eastAsia" w:ascii="宋体" w:hAnsi="宋体" w:eastAsia="宋体" w:cs="宋体"/>
          <w:color w:val="auto"/>
          <w:sz w:val="24"/>
          <w:lang w:eastAsia="zh-CN"/>
        </w:rPr>
        <w:t>（如有）</w:t>
      </w:r>
    </w:p>
    <w:p>
      <w:pPr>
        <w:pStyle w:val="5"/>
        <w:wordWrap/>
        <w:adjustRightInd w:val="0"/>
        <w:snapToGrid w:val="0"/>
        <w:spacing w:beforeAutospacing="0"/>
        <w:ind w:left="433" w:leftChars="202" w:hanging="9" w:hangingChars="4"/>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wordWrap/>
        <w:spacing w:beforeAutospacing="0" w:line="360" w:lineRule="auto"/>
        <w:ind w:firstLine="723" w:firstLineChars="300"/>
        <w:textAlignment w:val="auto"/>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wordWrap/>
        <w:spacing w:beforeAutospacing="0" w:line="360" w:lineRule="auto"/>
        <w:ind w:firstLine="723" w:firstLineChars="300"/>
        <w:textAlignment w:val="auto"/>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88"/>
        <w:wordWrap/>
        <w:snapToGrid w:val="0"/>
        <w:spacing w:before="0" w:beforeAutospacing="0"/>
        <w:ind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wordWrap/>
        <w:spacing w:beforeAutospacing="0" w:line="360" w:lineRule="auto"/>
        <w:ind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wordWrap/>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13.投标文件的签署、盖章</w:t>
      </w:r>
    </w:p>
    <w:p>
      <w:pPr>
        <w:pStyle w:val="88"/>
        <w:wordWrap/>
        <w:snapToGrid w:val="0"/>
        <w:spacing w:before="0" w:beforeAutospacing="0"/>
        <w:ind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88"/>
        <w:wordWrap/>
        <w:snapToGrid w:val="0"/>
        <w:spacing w:before="0" w:beforeAutospacing="0"/>
        <w:ind w:firstLine="480"/>
        <w:textAlignment w:val="auto"/>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88"/>
        <w:wordWrap/>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88"/>
        <w:wordWrap/>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88"/>
        <w:wordWrap/>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wordWrap/>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wordWrap/>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wordWrap/>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5"/>
        <w:wordWrap/>
        <w:spacing w:beforeAutospacing="0" w:line="360" w:lineRule="auto"/>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5"/>
        <w:wordWrap/>
        <w:spacing w:beforeAutospacing="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5"/>
        <w:wordWrap/>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wordWrap/>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wordWrap/>
        <w:spacing w:beforeAutospacing="0" w:line="360"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88"/>
        <w:wordWrap/>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16.投标文件的无效处理</w:t>
      </w:r>
    </w:p>
    <w:p>
      <w:pPr>
        <w:pStyle w:val="2"/>
        <w:wordWrap/>
        <w:spacing w:beforeAutospacing="0" w:line="360" w:lineRule="auto"/>
        <w:ind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pPr>
        <w:pStyle w:val="88"/>
        <w:wordWrap/>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17.投标有效期</w:t>
      </w:r>
    </w:p>
    <w:p>
      <w:pPr>
        <w:wordWrap/>
        <w:spacing w:beforeAutospacing="0" w:line="360" w:lineRule="auto"/>
        <w:ind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8"/>
        <w:wordWrap/>
        <w:spacing w:before="0" w:beforeAutospacing="0"/>
        <w:ind w:firstLine="643"/>
        <w:textAlignment w:val="auto"/>
        <w:rPr>
          <w:rFonts w:hint="eastAsia" w:ascii="宋体" w:hAnsi="宋体" w:eastAsia="宋体" w:cs="宋体"/>
          <w:b/>
          <w:sz w:val="32"/>
        </w:rPr>
      </w:pPr>
    </w:p>
    <w:p>
      <w:pPr>
        <w:pStyle w:val="88"/>
        <w:wordWrap/>
        <w:spacing w:before="0" w:beforeAutospacing="0"/>
        <w:ind w:firstLine="1928" w:firstLineChars="600"/>
        <w:textAlignment w:val="auto"/>
        <w:rPr>
          <w:rFonts w:hint="eastAsia" w:ascii="宋体" w:hAnsi="宋体" w:eastAsia="宋体" w:cs="宋体"/>
          <w:b/>
          <w:sz w:val="32"/>
        </w:rPr>
      </w:pPr>
      <w:r>
        <w:rPr>
          <w:rFonts w:hint="eastAsia" w:ascii="宋体" w:hAnsi="宋体" w:eastAsia="宋体" w:cs="宋体"/>
          <w:b/>
          <w:sz w:val="32"/>
        </w:rPr>
        <w:t>四、开标、资格审查与信用信息查询</w:t>
      </w:r>
    </w:p>
    <w:p>
      <w:pPr>
        <w:pStyle w:val="243"/>
        <w:wordWrap/>
        <w:spacing w:before="0" w:beforeAutospacing="0" w:line="360" w:lineRule="auto"/>
        <w:ind w:left="0" w:firstLine="241" w:firstLineChars="100"/>
        <w:contextualSpacing/>
        <w:textAlignment w:val="auto"/>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243"/>
        <w:wordWrap/>
        <w:spacing w:before="0" w:beforeAutospacing="0" w:line="360" w:lineRule="auto"/>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243"/>
        <w:wordWrap/>
        <w:spacing w:before="0" w:beforeAutospacing="0" w:line="360" w:lineRule="auto"/>
        <w:ind w:left="0" w:firstLine="240" w:firstLineChars="100"/>
        <w:contextualSpacing/>
        <w:textAlignment w:val="auto"/>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3"/>
        <w:wordWrap/>
        <w:spacing w:before="0" w:beforeAutospacing="0" w:line="360" w:lineRule="auto"/>
        <w:ind w:left="0" w:firstLine="240" w:firstLineChars="100"/>
        <w:contextualSpacing/>
        <w:textAlignment w:val="auto"/>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wordWrap/>
        <w:spacing w:beforeAutospacing="0" w:line="360" w:lineRule="auto"/>
        <w:jc w:val="left"/>
        <w:textAlignment w:val="auto"/>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eastAsia="宋体" w:cs="宋体"/>
          <w:b/>
          <w:sz w:val="24"/>
        </w:rPr>
        <w:t>.</w:t>
      </w:r>
      <w:r>
        <w:rPr>
          <w:rFonts w:hint="eastAsia" w:ascii="宋体" w:hAnsi="宋体" w:eastAsia="宋体" w:cs="宋体"/>
          <w:b/>
          <w:sz w:val="24"/>
          <w:szCs w:val="20"/>
        </w:rPr>
        <w:t>资格审查</w:t>
      </w:r>
    </w:p>
    <w:p>
      <w:pPr>
        <w:pStyle w:val="88"/>
        <w:wordWrap/>
        <w:spacing w:before="0" w:beforeAutospacing="0"/>
        <w:ind w:firstLine="480"/>
        <w:textAlignment w:val="auto"/>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wordWrap/>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采购人或采购机构依据法律法规和招标文件的规定，对投标人的资格进行审查。</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8"/>
        <w:numPr>
          <w:ilvl w:val="0"/>
          <w:numId w:val="0"/>
        </w:numPr>
        <w:wordWrap/>
        <w:spacing w:before="0" w:beforeAutospacing="0"/>
        <w:textAlignment w:val="auto"/>
        <w:rPr>
          <w:rFonts w:hint="eastAsia" w:ascii="宋体" w:hAnsi="宋体" w:eastAsia="宋体" w:cs="宋体"/>
          <w:b/>
          <w:szCs w:val="24"/>
        </w:rPr>
      </w:pPr>
      <w:r>
        <w:rPr>
          <w:rFonts w:hint="eastAsia" w:ascii="宋体" w:hAnsi="宋体" w:eastAsia="宋体" w:cs="宋体"/>
          <w:b/>
          <w:szCs w:val="24"/>
          <w:lang w:val="en-US" w:eastAsia="zh-CN"/>
        </w:rPr>
        <w:t>20.</w:t>
      </w:r>
      <w:r>
        <w:rPr>
          <w:rFonts w:hint="eastAsia" w:ascii="宋体" w:hAnsi="宋体" w:eastAsia="宋体" w:cs="宋体"/>
          <w:b/>
          <w:szCs w:val="24"/>
        </w:rPr>
        <w:t>信用信息查询</w:t>
      </w:r>
    </w:p>
    <w:p>
      <w:pPr>
        <w:pStyle w:val="88"/>
        <w:wordWrap/>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88"/>
        <w:wordWrap/>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88"/>
        <w:wordWrap/>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8"/>
        <w:wordWrap/>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88"/>
        <w:wordWrap/>
        <w:spacing w:before="0" w:beforeAutospacing="0"/>
        <w:ind w:firstLine="0" w:firstLineChars="0"/>
        <w:textAlignment w:val="auto"/>
        <w:rPr>
          <w:rFonts w:hint="eastAsia" w:ascii="宋体" w:hAnsi="宋体" w:eastAsia="宋体" w:cs="宋体"/>
          <w:kern w:val="0"/>
          <w:szCs w:val="24"/>
        </w:rPr>
      </w:pPr>
    </w:p>
    <w:p>
      <w:pPr>
        <w:wordWrap/>
        <w:snapToGrid w:val="0"/>
        <w:spacing w:beforeAutospacing="0"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五、评标</w:t>
      </w:r>
    </w:p>
    <w:p>
      <w:pPr>
        <w:wordWrap/>
        <w:spacing w:beforeAutospacing="0" w:line="360" w:lineRule="auto"/>
        <w:textAlignment w:val="auto"/>
        <w:rPr>
          <w:rFonts w:hint="eastAsia" w:ascii="宋体" w:hAnsi="宋体" w:eastAsia="宋体" w:cs="宋体"/>
          <w:b/>
          <w:sz w:val="24"/>
        </w:rPr>
      </w:pPr>
      <w:bookmarkStart w:id="12"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wordWrap/>
        <w:spacing w:beforeAutospacing="0" w:line="360" w:lineRule="auto"/>
        <w:textAlignment w:val="auto"/>
        <w:rPr>
          <w:rFonts w:hint="eastAsia" w:ascii="宋体" w:hAnsi="宋体" w:eastAsia="宋体" w:cs="宋体"/>
          <w:b/>
          <w:sz w:val="24"/>
        </w:rPr>
      </w:pPr>
    </w:p>
    <w:p>
      <w:pPr>
        <w:wordWrap/>
        <w:snapToGrid w:val="0"/>
        <w:spacing w:beforeAutospacing="0"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
        <w:wordWrap/>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22. 确定中标供应商</w:t>
      </w:r>
    </w:p>
    <w:p>
      <w:pPr>
        <w:pStyle w:val="88"/>
        <w:wordWrap/>
        <w:snapToGrid w:val="0"/>
        <w:spacing w:before="0" w:beforeAutospacing="0"/>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wordWrap/>
        <w:snapToGrid w:val="0"/>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wordWrap/>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wordWrap/>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sz w:val="24"/>
        </w:rPr>
        <w:t>资格审查情况、评审专家抽取规则、符合性审查情况、</w:t>
      </w:r>
      <w:bookmarkEnd w:id="13"/>
      <w:r>
        <w:rPr>
          <w:rFonts w:hint="eastAsia" w:ascii="宋体" w:hAnsi="宋体" w:eastAsia="宋体" w:cs="宋体"/>
          <w:sz w:val="24"/>
        </w:rPr>
        <w:t>未中标情况说明、中标公告期限以及评审专家名单、评分汇总及明细。</w:t>
      </w:r>
    </w:p>
    <w:p>
      <w:pPr>
        <w:widowControl/>
        <w:shd w:val="clear" w:color="auto" w:fill="FFFFFF"/>
        <w:wordWrap/>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23.3公告期限为1个工作日。</w:t>
      </w:r>
    </w:p>
    <w:p>
      <w:pPr>
        <w:widowControl/>
        <w:shd w:val="clear" w:color="auto" w:fill="FFFFFF"/>
        <w:wordWrap/>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pPr>
        <w:wordWrap/>
        <w:snapToGrid w:val="0"/>
        <w:spacing w:beforeAutospacing="0" w:line="360" w:lineRule="auto"/>
        <w:ind w:left="120" w:leftChars="57" w:firstLine="482" w:firstLineChars="150"/>
        <w:jc w:val="center"/>
        <w:textAlignment w:val="auto"/>
        <w:rPr>
          <w:rFonts w:hint="eastAsia" w:ascii="宋体" w:hAnsi="宋体" w:eastAsia="宋体" w:cs="宋体"/>
          <w:b/>
          <w:sz w:val="32"/>
        </w:rPr>
      </w:pPr>
    </w:p>
    <w:p>
      <w:pPr>
        <w:wordWrap/>
        <w:snapToGrid w:val="0"/>
        <w:spacing w:beforeAutospacing="0" w:line="360" w:lineRule="auto"/>
        <w:ind w:left="120" w:leftChars="57" w:firstLine="482" w:firstLineChars="150"/>
        <w:jc w:val="center"/>
        <w:textAlignment w:val="auto"/>
        <w:rPr>
          <w:rFonts w:hint="eastAsia" w:ascii="宋体" w:hAnsi="宋体" w:eastAsia="宋体" w:cs="宋体"/>
          <w:b/>
          <w:sz w:val="32"/>
        </w:rPr>
      </w:pPr>
      <w:r>
        <w:rPr>
          <w:rFonts w:hint="eastAsia" w:ascii="宋体" w:hAnsi="宋体" w:eastAsia="宋体" w:cs="宋体"/>
          <w:b/>
          <w:sz w:val="32"/>
        </w:rPr>
        <w:t>七、合同授予</w:t>
      </w:r>
    </w:p>
    <w:p>
      <w:pPr>
        <w:pStyle w:val="2"/>
        <w:wordWrap/>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
        <w:wordWrap/>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25. 合同的签订</w:t>
      </w:r>
    </w:p>
    <w:p>
      <w:pPr>
        <w:widowControl/>
        <w:shd w:val="clear" w:color="auto" w:fill="FFFFFF"/>
        <w:wordWrap/>
        <w:spacing w:beforeAutospacing="0" w:line="360" w:lineRule="auto"/>
        <w:ind w:firstLine="480"/>
        <w:jc w:val="left"/>
        <w:textAlignment w:val="auto"/>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wordWrap/>
        <w:snapToGrid w:val="0"/>
        <w:spacing w:before="0" w:beforeAutospacing="0"/>
        <w:ind w:firstLine="480"/>
        <w:textAlignment w:val="auto"/>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8"/>
        <w:wordWrap/>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88"/>
        <w:wordWrap/>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88"/>
        <w:wordWrap/>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
        <w:wordWrap/>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26. 履约保证金</w:t>
      </w:r>
    </w:p>
    <w:p>
      <w:pPr>
        <w:tabs>
          <w:tab w:val="left" w:pos="0"/>
        </w:tabs>
        <w:wordWrap/>
        <w:spacing w:beforeAutospacing="0" w:line="360" w:lineRule="auto"/>
        <w:ind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88"/>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88"/>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88"/>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88"/>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88"/>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88"/>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2"/>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pStyle w:val="622"/>
        <w:rPr>
          <w:rFonts w:hint="eastAsia" w:ascii="宋体" w:hAnsi="宋体" w:eastAsia="宋体" w:cs="宋体"/>
        </w:rPr>
        <w:sectPr>
          <w:footerReference r:id="rId7" w:type="first"/>
          <w:footerReference r:id="rId6" w:type="default"/>
          <w:pgSz w:w="11906" w:h="16838"/>
          <w:pgMar w:top="680" w:right="1418" w:bottom="468" w:left="1418" w:header="794" w:footer="992" w:gutter="0"/>
          <w:pgNumType w:fmt="numberInDash" w:start="1"/>
          <w:cols w:space="720" w:num="1"/>
          <w:titlePg/>
          <w:docGrid w:linePitch="312" w:charSpace="0"/>
        </w:sectPr>
      </w:pPr>
      <w:bookmarkStart w:id="14" w:name="_Hlt68072998"/>
      <w:bookmarkEnd w:id="14"/>
      <w:bookmarkStart w:id="15" w:name="_Hlt74707468"/>
      <w:bookmarkEnd w:id="15"/>
      <w:bookmarkStart w:id="16" w:name="_Hlt68057669"/>
      <w:bookmarkEnd w:id="16"/>
      <w:bookmarkStart w:id="17" w:name="_Hlt68073093"/>
      <w:bookmarkEnd w:id="17"/>
      <w:bookmarkStart w:id="18" w:name="_Hlt74714665"/>
      <w:bookmarkEnd w:id="18"/>
      <w:bookmarkStart w:id="19" w:name="_Hlt68403820"/>
      <w:bookmarkEnd w:id="19"/>
      <w:bookmarkStart w:id="20" w:name="_Hlt75236011"/>
      <w:bookmarkEnd w:id="20"/>
      <w:bookmarkStart w:id="21" w:name="_Hlt74730295"/>
      <w:bookmarkEnd w:id="21"/>
      <w:bookmarkStart w:id="22" w:name="_Hlt74729768"/>
      <w:bookmarkEnd w:id="22"/>
      <w:bookmarkStart w:id="23" w:name="_Hlt68072990"/>
      <w:bookmarkEnd w:id="23"/>
      <w:bookmarkStart w:id="24" w:name="_Hlt75236290"/>
      <w:bookmarkEnd w:id="24"/>
      <w:bookmarkStart w:id="25" w:name="_Hlt75236101"/>
      <w:bookmarkEnd w:id="25"/>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bookmarkEnd w:id="11"/>
    <w:p>
      <w:pPr>
        <w:numPr>
          <w:ilvl w:val="0"/>
          <w:numId w:val="0"/>
        </w:numPr>
        <w:spacing w:before="0" w:after="0" w:line="360" w:lineRule="auto"/>
        <w:ind w:left="0" w:firstLine="0" w:firstLineChars="0"/>
        <w:jc w:val="center"/>
        <w:outlineLvl w:val="0"/>
        <w:rPr>
          <w:rFonts w:hint="eastAsia" w:ascii="宋体" w:hAnsi="宋体" w:eastAsia="宋体" w:cs="宋体"/>
          <w:b/>
          <w:bCs/>
          <w:kern w:val="2"/>
          <w:sz w:val="24"/>
          <w:lang w:eastAsia="zh-CN"/>
        </w:rPr>
      </w:pPr>
      <w:bookmarkStart w:id="26" w:name="第四部分"/>
      <w:r>
        <w:rPr>
          <w:rFonts w:hint="eastAsia" w:ascii="宋体" w:hAnsi="宋体" w:eastAsia="宋体" w:cs="宋体"/>
          <w:b/>
          <w:sz w:val="36"/>
          <w:szCs w:val="36"/>
        </w:rPr>
        <w:t>第三部分   采购需求</w:t>
      </w:r>
      <w:bookmarkStart w:id="27" w:name="_Toc446918355"/>
      <w:bookmarkStart w:id="28" w:name="_Toc16157"/>
      <w:bookmarkStart w:id="29" w:name="_Toc39844011"/>
      <w:bookmarkStart w:id="30" w:name="_Toc491947263"/>
      <w:bookmarkStart w:id="31" w:name="_Toc15287644"/>
      <w:bookmarkStart w:id="32" w:name="_Toc274303247"/>
      <w:bookmarkStart w:id="33" w:name="_Toc351971206"/>
      <w:bookmarkStart w:id="34" w:name="_Toc379811066"/>
      <w:bookmarkStart w:id="35" w:name="_Toc365897805"/>
      <w:bookmarkStart w:id="36" w:name="_Toc491947581"/>
      <w:bookmarkStart w:id="37" w:name="_Toc491947899"/>
      <w:bookmarkStart w:id="38" w:name="_Toc16199"/>
    </w:p>
    <w:bookmarkEnd w:id="27"/>
    <w:bookmarkEnd w:id="28"/>
    <w:bookmarkEnd w:id="29"/>
    <w:bookmarkEnd w:id="30"/>
    <w:bookmarkEnd w:id="31"/>
    <w:bookmarkEnd w:id="32"/>
    <w:bookmarkEnd w:id="33"/>
    <w:bookmarkEnd w:id="34"/>
    <w:bookmarkEnd w:id="35"/>
    <w:bookmarkEnd w:id="36"/>
    <w:bookmarkEnd w:id="37"/>
    <w:bookmarkEnd w:id="38"/>
    <w:p>
      <w:pPr>
        <w:pStyle w:val="5"/>
        <w:widowControl w:val="0"/>
        <w:numPr>
          <w:ilvl w:val="0"/>
          <w:numId w:val="0"/>
        </w:numPr>
        <w:wordWrap/>
        <w:adjustRightInd/>
        <w:snapToGrid/>
        <w:spacing w:before="0" w:beforeLines="0" w:after="0" w:afterLines="0" w:line="360" w:lineRule="auto"/>
        <w:ind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项目背景</w:t>
      </w:r>
    </w:p>
    <w:p>
      <w:pPr>
        <w:pStyle w:val="5"/>
        <w:widowControl w:val="0"/>
        <w:wordWrap/>
        <w:adjustRightInd/>
        <w:snapToGrid/>
        <w:spacing w:beforeLines="0" w:afterLines="0" w:line="360" w:lineRule="auto"/>
        <w:ind w:left="0" w:leftChars="0"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杭州市临平区人民法院的数字审委会项目</w:t>
      </w:r>
      <w:r>
        <w:rPr>
          <w:rFonts w:hint="eastAsia" w:ascii="宋体" w:hAnsi="宋体" w:eastAsia="宋体" w:cs="宋体"/>
          <w:b w:val="0"/>
          <w:bCs w:val="0"/>
          <w:color w:val="000000"/>
          <w:sz w:val="24"/>
          <w:szCs w:val="24"/>
          <w:highlight w:val="none"/>
        </w:rPr>
        <w:t>是案件信息综合应用高度集中的系统，可以充分使用审判管理系统、数字法庭、数字档案等系统产生的所有数据和信息。审委会系统的服务主要采用现代信息技术，结合审委会工作需求，实现审委会业务的电子化、自动化和网络化。</w:t>
      </w:r>
    </w:p>
    <w:p>
      <w:pPr>
        <w:widowControl w:val="0"/>
        <w:wordWrap/>
        <w:adjustRightInd/>
        <w:snapToGrid/>
        <w:spacing w:beforeLines="0" w:afterLines="0"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无纸化审委会系统，审委会委员可以提前了解即将开会讨论的议题内容和一些案件的基本信息，网上研究案件的电子卷宗。可随时观看法庭的现场审判进程，或者调看以前庭审的每一个过程。审议过程中可与承办人进行实时交互讨论，针对特殊的案件还能实现审委会的远程审议。使审议活动制度化、规范化，提高工作效率，以充分发挥其审判组织的重要作用。</w:t>
      </w:r>
    </w:p>
    <w:p>
      <w:pPr>
        <w:pStyle w:val="5"/>
        <w:widowControl w:val="0"/>
        <w:numPr>
          <w:ilvl w:val="0"/>
          <w:numId w:val="0"/>
        </w:numPr>
        <w:wordWrap/>
        <w:adjustRightInd/>
        <w:snapToGrid/>
        <w:spacing w:before="0" w:beforeLines="0" w:after="0" w:afterLines="0" w:line="360" w:lineRule="auto"/>
        <w:ind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采购内容</w:t>
      </w:r>
    </w:p>
    <w:p>
      <w:pPr>
        <w:widowControl w:val="0"/>
        <w:wordWrap/>
        <w:adjustRightInd/>
        <w:snapToGrid/>
        <w:spacing w:beforeLines="0" w:afterLines="0" w:line="360" w:lineRule="auto"/>
        <w:ind w:left="0" w:firstLine="480" w:firstLineChars="200"/>
        <w:textAlignment w:val="auto"/>
        <w:rPr>
          <w:rFonts w:hint="eastAsia" w:ascii="宋体" w:hAnsi="宋体" w:eastAsia="宋体" w:cs="宋体"/>
          <w:color w:val="000000"/>
          <w:sz w:val="24"/>
          <w:szCs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000000"/>
          <w:sz w:val="24"/>
          <w:szCs w:val="24"/>
          <w:highlight w:val="none"/>
        </w:rPr>
        <w:t>采购包</w:t>
      </w:r>
      <w:r>
        <w:rPr>
          <w:rFonts w:hint="eastAsia" w:ascii="宋体" w:hAnsi="宋体" w:eastAsia="宋体" w:cs="宋体"/>
          <w:color w:val="auto"/>
          <w:sz w:val="24"/>
          <w:szCs w:val="24"/>
          <w:highlight w:val="none"/>
        </w:rPr>
        <w:t>含：①智能审判委员会管理平台、②审委会数字会议系统、③审委会会议录播系统、④审委会语音转写系统、⑤审委会电子桌牌系统、⑥审委会IOT中控系统、⑦审委会多媒体系统、⑧审委会大屏显示系统、数字无纸化系统项目配套集成服务、配套定制家具等。</w:t>
      </w:r>
    </w:p>
    <w:p>
      <w:pPr>
        <w:pStyle w:val="6"/>
        <w:widowControl w:val="0"/>
        <w:wordWrap/>
        <w:adjustRightInd/>
        <w:snapToGrid/>
        <w:spacing w:before="0" w:after="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2.1项目</w:t>
      </w:r>
      <w:r>
        <w:rPr>
          <w:rFonts w:hint="eastAsia" w:ascii="宋体" w:hAnsi="宋体" w:cs="宋体"/>
          <w:sz w:val="24"/>
          <w:szCs w:val="24"/>
          <w:highlight w:val="none"/>
          <w:lang w:eastAsia="zh-CN"/>
        </w:rPr>
        <w:t>建设</w:t>
      </w:r>
      <w:r>
        <w:rPr>
          <w:rFonts w:hint="eastAsia" w:ascii="宋体" w:hAnsi="宋体" w:eastAsia="宋体" w:cs="宋体"/>
          <w:sz w:val="24"/>
          <w:szCs w:val="24"/>
          <w:highlight w:val="none"/>
        </w:rPr>
        <w:t>清单</w:t>
      </w:r>
    </w:p>
    <w:tbl>
      <w:tblPr>
        <w:tblStyle w:val="63"/>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8"/>
        <w:gridCol w:w="1250"/>
        <w:gridCol w:w="1126"/>
        <w:gridCol w:w="4748"/>
        <w:gridCol w:w="576"/>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1250"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系统名称</w:t>
            </w:r>
          </w:p>
        </w:tc>
        <w:tc>
          <w:tcPr>
            <w:tcW w:w="1126"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产品名称</w:t>
            </w:r>
          </w:p>
        </w:tc>
        <w:tc>
          <w:tcPr>
            <w:tcW w:w="4748"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技术参数</w:t>
            </w:r>
          </w:p>
        </w:tc>
        <w:tc>
          <w:tcPr>
            <w:tcW w:w="576"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c>
          <w:tcPr>
            <w:tcW w:w="397" w:type="dxa"/>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95" w:type="dxa"/>
            <w:gridSpan w:val="6"/>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lef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一、无纸化应用系统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智能审判委员会管理平台</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智能审判委员会管理平台</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1.开会申请与在线审批: 在浏览器中法官可以提交案件上会申请并填写相应案号；支持庭长、审委会秘书、院长等多级领导在线审批；申请法官及审批领导在浏览器中可实现审批流程管理并实现审批流程节点可视化。</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2.会场坐席管理：在浏览器中审委会秘书可以在线管理参会人名单及编辑会议对应坐席参会人姓名；系统可以自动生成坐席上全部参会人姓名；系统可以实现参会人与坐席一一对应可视化管理。</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3.账号管理：系统支持对使用者的账号管理，可以对使用者的部门、所属法院、账号角色进行管理。</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4.会议排期与参会通知：审委会秘书可以对会议及议题排期、参会人员进行管理，可以变更议题排序。审委会参会通知，支持邮件或短信方式在会前进行定时推送提醒。</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智能审判委员会管理平台终端</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1.处理器：配置1颗飞腾 FT-2000+/64，每个CPU物理核心数64核，CPU主频2.2GHz；</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2.内存：配置RDIMM DDR4内存≥16GB；最大支持256GB；</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3.存储：配置≥3块4T SATA硬盘；</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4.网络支持：板载2个千兆以太网口，2个万兆网口；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5.IO扩展：配置USB接口6个，其中USB2.0接口1个、USB3.0接口5个；VGA接口2个；支持6个PCI-E 3.0插槽</w:t>
            </w:r>
            <w:r>
              <w:rPr>
                <w:rFonts w:hint="eastAsia" w:ascii="宋体" w:hAnsi="宋体" w:cs="宋体"/>
                <w:color w:val="000000"/>
                <w:kern w:val="0"/>
                <w:sz w:val="18"/>
                <w:szCs w:val="18"/>
                <w:highlight w:val="none"/>
                <w:lang w:eastAsia="zh-CN"/>
              </w:rPr>
              <w:t>；</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6.Raid卡：支持RAID 0，1，5，6，10，50，60，缓存2GB；支持Cache超级电容保护；</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7.电源：2U电源2块≥500W。</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8.认证证书：具有国家3C认证；具有国家节能产品认证；具有MTBF 20万小时检测报告；具有国家环境标志产品认证；</w:t>
            </w:r>
          </w:p>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9.厂商资质：具有ISO9001,ISO27701,ISO45001认证证书，提供证书材料。</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审委会数字会议系统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审委会会议秘书端软件</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1.会议进程控制：系统提供会议开始、暂停、结束等会议进程控制功能。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2.历史会议管理：对于历史会议可以进行查看、修改和删除。对于高涉密会议，可以清除会议记录，不留痕迹，确保会议信息的安全性。</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会场硬件在线控制：系统可以通过审委会秘书专有控制页面（会议桌的实际设备布局图，点选相应设备进行相应的升降以及开关机控制），控制一台或者几台委员终端、话筒、电子席卡、灯光、电动窗帘、大屏，所有的终端、话筒、电子席卡都可独立或一起升降。系统还可以通过专属拾音设备来语音控制会场绝大多数硬件的运行。</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4.会议议题管理：议题列表显示议题名称，相关议题幻灯片，法官/汇报人等议题基本信息，且可以快速搜索议题，针对某个议题的相关材料，可以进行上传、下载、删除等功能。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在线通讯及沟通：系统支持全体参会人之间在线沟通；审委会秘书还可以发送重要消息，强制参会人查看。</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发起在线投票表决及电子签名：审委会秘书可以发起表决让委员对内容进行投票表决，并具备电子签名的功能。审委会秘书可以查看具体的表决、签名情况，还可以进行一键智能提醒，让委员操作完应用流程。</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7.会议资料导出:根据不同的议题，将相关导出材料汇总到不同的文件夹。</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8.会议记录归档：系统提供会议记录归档功能，归档后的会议记录无法进行修改和编辑。</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9.会议录音录像管理及点播查看：系统可以设置是否需要录音录像，并可以设置开会时自动录音录像，还可以会后点播查看对应的会议视频。支持录音录像控制、录像检索、录像回放（支持HTML5的免插件播放）。</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10.会议服务：在平板电脑上审委会秘书可以实时处理参会人发出的在线会务服务，如倒水、送纸、送笔等服务；系统支持审委会秘书和参会人一对一实时在线沟通及参会人同时在线沟通。</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11.</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会议结论可视化及智能提醒：可以对委员们的投屏表决及签名情况进行自动的统计，并具备智能的一键提醒功能，有效提高表决及签名的效率。</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审委会会议汇报端软件</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1.系统支持免登陆功能，汇报人直接进入系统即可汇报与自己相关的案件议题。</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2.屏幕共享：系统支持全屏共享汇报席屏幕内容给参会人员。</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电子幻灯片超链接：支持打开汇报人电子幻灯片中的超链接。</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材料标注：参会人可以对汇报材料、电子卷宗材料进行标记涂鸦，并显示文件的放大、缩小、全屏、翻转、插入文字；还可以选择标记的粗笔，细笔涂鸦类型，并可以多种标记颜色；参会人还可以对标记操作的内容做撤销和重置操作，并实现持久化保存相关标记操作。</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5.单/多文件的灵活切换：同时可以对同屏展示的多文件中的某个文件进行单独的全屏展示。并支持对文件的放大查看、涂鸦及旋转翻看，且可以快速切回多文件同屏展示。</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6.同屏显示卷宗及汇报幻灯片材料：可以适配汇报席显示器，支持触屏模式，且可以同屏显示卷宗材料和汇报幻灯片材料，同屏展示的材料可以进行收缩，方便汇报人查阅。</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会议材料查阅及操作控制：参会人可以在系统中直接打开电子幻灯片汇报材料；用户可通过语音指令、翻页按钮、触屏滑动、左右快捷键等多种形式进行会议材料的翻页查阅；参会人可以对会议电子材料进行单页最大化及全文件缩略图列表方式一键操作并展示；在文件缩略图展示模式下还支持输入文件页码快速定位及查看。</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会议文件管理：系统可以实现会议材料的一键置顶功能，以便使用人快速找到相关材料，并支持文件的取消置顶及批量取消置顶功能；系统支持多个会议文件的同屏展示，使用人可自行选择相应的多文件同屏展示，系统支持图片、文档、视频等格式文件的同屏展示及播放。</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9.文件内容同步与会人：会议的文件内容支持标记批注功能，并且标记内容可以实时同步到其他与会人桌面展示查看，可以灵活选择需要投屏的人员。领导可以随时同步到汇报人的汇报内容。</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审委会会议委员端软件</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1.查看共享屏幕实时同步汇报内容：可以查看所有的会议材料文件，还可以随时获取汇报端展示的实时内容，并全屏观看。并可以对会议材料进行批注及标记。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2.个人屏幕分享：可以查看所有的会议材料文件，并可以对这些文件内容进行标记涂鸦，突出要点，并推送到汇报席屏幕或推送至大屏展示。</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3.会议材料随讲随翻：委员在会议讨论中提到的材料名称，可自动显示该材料的详情页面。也支持自动以消息串的方式提示，汇报人可以根据需要点击展示，并且可以对内容进行圈注共享所有参会人员查看。</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4.法律法规随讲随查：会议过程中，委员在发言中提到的法条名称，系统即可自动调出该条法律法规详情。</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5.查看会议记录：委员可以实时查看会议转写笔录修改结果。</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审委会会议终端（21.5寸）</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一、升降显示屏参数：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显示屏：21.5寸高清屏；控制方式：中控、遥控、手控; 材质：高档铝拉丝；颜色：黑色</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仰角：一次仰角为15度，二次仰角达到30度</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3.面板：USB接口，开关键，菜单，切换，上升，暂停，下降/话筒发言键。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4.机箱接口：主机开关，HDMI,VGA,中控输入/输出口，数据传输，电源接口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5.屏幕比例: 16:9；显示屏分辨率：1920×1080（全高清）</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6.帧频率60Hz；内置MEMC；电路电压供应3.3V(Typ.)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二、升降麦克风参数：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1.频率响应：100Hz—16KHz；灵敏度：—44dB±2dB；讲话距离：20-120cm；咪管长度:375mm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2.有主席单元及代表单元，采用全新数控化设计</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3.具有麦克风具有发言键与指示灯，可控制/指示本机状态</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4.麦克风采用单指向性，具防气爆音功能，配有防风防护罩</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5.系统中主席单元代表单元数量不受限制，并可置于回路中任意位置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6.系统中主席单元不受限制功能的限制，单元由系统主机供电，输入电压18V，属安全范围</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具有自动关机功能，开启的麦克风在没有拾音的状态下（拾音范围内声音低于50dB时）45秒将自动关闭</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审委会会议终端（18.5寸）</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一、升降显示屏参数：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显示屏：18.5寸高清屏；控制方式：中控、遥控、手控; 材质：高档铝拉丝；颜色：黑色</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仰角：一次仰角为15度，二次仰角达到30度</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3.面板：USB接口，开关键，菜单，切换，上升，暂停，下降/话筒发言键。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4.机箱接口：主机开关，HDMI,VGA,中控输入/输出口，数据传输，电源接口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5.屏幕比例: 16:9；显示屏分辨率：1920×1080（全高清）</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6.帧频率60Hz；内置MEMC；电路电压供应3.3V(Typ.)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二、升降麦克风参数：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1.频率响应：100Hz—16KHz；灵敏度：—44dB±2dB；讲话距离：20-120cm；咪管长度:375mm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2.有主席单元及代表单元，采用全新数控化设计</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3.具有麦克风具有发言键与指示灯，可控制/指示本机状态</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4.麦克风采用单指向性，具防气爆音功能，配有防风防护罩</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5.系统中主席单元代表单元数量不受限制，并可置于回路中任意位置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6.系统中主席单元不受限制功能的限制，单元由系统主机供电，输入电压18V，属安全范围</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具有自动关机功能，开启的麦克风在没有拾音的状态下（拾音范围内声音低于50dB时）45秒将自动关闭</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秘书会议终端（18.5寸）</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一、升降显示屏参数：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显示屏：18.5寸高清屏；控制方式：中控、遥控、手控; 材质：高档铝拉丝；颜色：黑色</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仰角：一次仰角为15度，二次仰角达到30度</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3.面板：USB接口，开关键，菜单，切换，上升，暂停，下降/话筒发言键。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4.机箱接口：主机开关，HDMI,VGA,中控输入/输出口，数据传输，电源接口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5.屏幕比例: 16:9；显示屏分辨率：1920×1080（全高清）</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6.帧频率60Hz；内置MEMC；电路电压供应3.3V(Typ.)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二、升降麦克风参数：</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1.频率响应：100Hz—16KHz；灵敏度：—44dB±2dB；讲话距离：20-120cm；咪管长度:375mm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2.有主席单元及代表单元，采用全新数控化设计</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3.具有麦克风具有发言键与指示灯，可控制/指示本机状态</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4.麦克风采用单指向性，具防气爆音功能，配有防风防护罩</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5.系统中主席单元代表单元数量不受限制，并可置于回路中任意位置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6.系统中主席单元不受限制功能的限制，单元由系统主机供电，输入电压18V，属安全范围</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具有自动关机功能，开启的麦克风在没有拾音的状态下（拾音范围内声音低于50dB时）45秒将自动关闭</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会议终端配套UOS主机</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1.处理器：国产CPU ，CPU核数≥8核，主频≥2.7GHz。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2.内存：≥8GB 3600MHzLPDDR4x内存。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3.显卡：集成显卡。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4.硬盘：M.2接口UFS固态硬盘≥256GB。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5.标准接口：USB接口不少于8个，其中USB3.0数量≥7个，内置RJ45千兆网口1个， VGA接口≥ 1个，HDMI接口≥1个。</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操作系统：支持国产操作系统（UOS）。</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无线键鼠套装</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无线键鼠套装</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审委会会议录播系统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审委会录播流媒体主机</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1.用于现场画面的合成与8 路画面RTSP、RTMP、HTTP画面视频取流；</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2.支持4画面、5+1 或7+1 的合成方式，支持HDMI 与VGA 复合画面双输出，其中HDMI 画面支持4K 输出；</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3.具备8 路HD-SDI 输入，分辨率1920x1080，支持立体声音频输入；</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4.具备1 路HDMI 或VGA 示证画面输入，分辨率1920x1080；</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审委会视频采集终端模块</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1.采用200万像素，1/2.8”CMOS，20倍光学变倍；</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2.采集最大分辨率可达1920X1080，支持HD-SDI高清数字与网络输出；</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3.支持VISCA控制协议、支持遥控器控制、支持重力感应；</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4.支持云台优先级控制，RS485与网络可设置不同优先级；</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5.含安装支架，电源。</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审委会语音转写系统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审委会语音平台能力</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本次项目不另采购语音识别引擎，投标人所投产品需与浙江省高级人民法院智能语音识别服务平台对接。（需提供承诺函并加盖平台厂商公章。）</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1.语音识别核心软件:能将谈话过程中各方当事人所述多条不同语音流实时识别为对应的文字内容，并且能够正确的返回到前端设备上，供书记员进行校对和修改。</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部署要求：投标人所投的智能语音转写系统可支持云化部署，充分发挥集约化、平台化部署优势，能够提供云化部署备份实施方案保证本级法院在任何情况下都不影响正常使用，并提供云化部署备份方案和部署备份方案承诺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3.语音识别：支持中文常见语句的实时转写。</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4.个案信息识别：系统能够导入相关案件资料，机器自动学习可提高识别识别率。</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5.主动防串音：通过优化音频采样数据，使其能解决现场串音问题。要求发言人音量在80分贝时，除发言人话筒外，其他相邻1米以上距离的话筒干扰可有效消除。</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6.智能纠正学习：在识别过程中，系统能根据上下文语义实现错误自动纠正，从而表明系统具备自主学习的能力。</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7.软件性能：支持本项目所有转写记录的智能语音识别客户端。</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8.音频传输支持音频压缩：支持opus格式的高保真有损压缩，传送带宽可以减少8倍以上。</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9.升级服务：需定期对模型进行版本升级，能够满足实现一点升级，全部适用的要求。</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审委会语音转写系统</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1.智能纠正学习：在识别过程中，系统能根据上下文语义实现错误自动纠正，从而表明系统具备自主学习的能力。</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2.分布式部署及监控：支持分布式部署及监控，需能够查看到各服务节点的运行情况，同时支持底层链路监控、内存块数据监控和每天的音频质量检测。</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标注训练：可上传音频文件，对上传的音频文件进行自动切分成多个短音频，手动批量删除无效音频后，可以对切分后的短音频进行人工逐条标注，标注后的文件可适用于语音识别机器自动学习，用于提高语音识别率。需提供第三方权威检验机构（具有 CNAS 或CMA认证的检测机构）出具的检测报告复印件并加盖生产厂家公章，检测报告中需体现此功能）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4.一麦多角：支持在浏览器中设置修改角色别名和添加一麦多角，即多个角色使用一个麦克风讲话识别。需提供第三方权威检验机构（具有 CNAS 或CMA认证的检测机构）出具的检测报告复印件并加盖生产厂家公章，检测报告中需体现此功能）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5.在线笔记：可直接在用户界面上进行在线笔记的填写，用户可以对字体类型、大小、加粗、段落格式等进行调整。需提供第三方权威检验机构（具有 CNAS 或CMA认证的检测机构）出具的检测报告复印件并加盖生产厂家公章，检测报告中需体现此功能）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6.能够同时支持采用32/64bit 的Windows操作系统，能够实现导入本地标准化审委会模板、审委会信息自动获取、多角色语音区分识别转文字、审委会笔录智能修正、笔录智能笔录导出/打印/同步等功能。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7.系统架构：客户端系统要求为B/S架构，数据要求保存在法院内网上，与外网无任何数据交互。</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8.集中采音方式：系统对审委会各方通过麦克风设备输入的语音要求采用集中式的采音设备。</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9.系统前端语音识别处理设备需支持轻便化部署，通过在审委会中添加单一设备即可支持8路的语音信号输入，同时针对具体审委会需求可实现平滑扩展，最多可支持64路。</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10.角色自动区分：系统要求在浏览器中能够自动区分出审委会各方说话人的角色，并且要求对角色称谓能够进行人工标注修改。</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11.审委会笔录模板：系统支持导入不同类型案件的审委会笔录模板，并支持模板参数化。</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12.辅助修改操作：针对语音识别错误的结果修改要求支持人工快速修正，为书记员提供增删改、复制粘贴、撤销等通用文档编辑功能。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13.批量修改操作：系统支持模糊查找和批量修改，能够让书记员通过输入正确结果匹配搜索出近似音结果，无需手动定位即可实现批量修改。</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14.快速进入：审委会客户端软件支持一键启动、一键登录等功能。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15.大屏展示：编辑笔录时，可以切换到大屏模式，用于全屏展示。</w:t>
            </w:r>
          </w:p>
          <w:p>
            <w:pPr>
              <w:widowControl/>
              <w:jc w:val="left"/>
              <w:rPr>
                <w:rFonts w:hint="eastAsia" w:ascii="宋体" w:hAnsi="宋体" w:eastAsia="宋体" w:cs="宋体"/>
                <w:b/>
                <w:bCs/>
                <w:color w:val="000000"/>
                <w:kern w:val="0"/>
                <w:sz w:val="18"/>
                <w:szCs w:val="18"/>
                <w:highlight w:val="none"/>
                <w:lang w:eastAsia="zh-CN"/>
              </w:rPr>
            </w:pPr>
            <w:r>
              <w:rPr>
                <w:rFonts w:hint="eastAsia" w:ascii="宋体" w:hAnsi="宋体" w:cs="宋体"/>
                <w:color w:val="000000"/>
                <w:kern w:val="0"/>
                <w:sz w:val="18"/>
                <w:szCs w:val="18"/>
                <w:highlight w:val="none"/>
              </w:rPr>
              <w:t>16.</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个性化词语配置：支持个性化词库添加功能，支持针对语音识别错误结果快速修正。</w:t>
            </w:r>
            <w:r>
              <w:rPr>
                <w:rFonts w:hint="eastAsia" w:ascii="宋体" w:hAnsi="宋体" w:cs="宋体"/>
                <w:b/>
                <w:bCs/>
                <w:color w:val="000000"/>
                <w:kern w:val="0"/>
                <w:sz w:val="18"/>
                <w:szCs w:val="18"/>
                <w:highlight w:val="none"/>
              </w:rPr>
              <w:t>需提供第三方权威检验机构（具有 CNAS 或CMA认证的检测机构）出具的检测报告复印件并加盖生产厂家公章，检测报告中需体现此功能）</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17.音频导出功能：通过页面，可按多个角色导出审委会语音音频。</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数字音频处理器（语音识别）</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 xml:space="preserve">. </w:t>
            </w:r>
            <w:r>
              <w:rPr>
                <w:rFonts w:hint="eastAsia" w:ascii="宋体" w:hAnsi="宋体" w:cs="宋体"/>
                <w:color w:val="000000"/>
                <w:kern w:val="0"/>
                <w:sz w:val="18"/>
                <w:szCs w:val="18"/>
                <w:highlight w:val="none"/>
              </w:rPr>
              <w:t>模拟通道数12进 12出,模拟接口部分需采用标准通用的凤凰端子接口，数字音频通道数 12 进12 出。</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内置自动混音台、反馈抑制、回声消除、扩展器、压限器、均衡器、噪声消除、全功能矩阵混音等功能。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内置摄像跟踪功能，通过RS232或485接口控制自动跟踪，接口需采用标准通用的凤凰端子接口。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可以外接有线的墙装控制面板，通过GPIO接口扩展接入，接口需采用标准通用的凤凰端子接口。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可消防控制连动接入，通过GPIO接口扩展接入，接口需采用标准通用的凤凰端子接口。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支持场景预设存储，并且断电记忆。</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支持音频分配器功能，可将12路输入信号单独通过模拟输出，并可单独调节输入及输出增益。</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 xml:space="preserve">支持通过自主的中文电脑控制软件控制调试设备输入增益等参数，支持调试参数保存。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9</w:t>
            </w:r>
            <w:r>
              <w:rPr>
                <w:rFonts w:ascii="宋体" w:hAnsi="宋体" w:cs="宋体"/>
                <w:color w:val="000000"/>
                <w:kern w:val="0"/>
                <w:sz w:val="18"/>
                <w:szCs w:val="18"/>
                <w:highlight w:val="none"/>
              </w:rPr>
              <w:t>.</w:t>
            </w:r>
            <w:r>
              <w:rPr>
                <w:rFonts w:hint="eastAsia" w:ascii="宋体" w:hAnsi="宋体" w:cs="宋体"/>
                <w:color w:val="000000"/>
                <w:kern w:val="0"/>
                <w:sz w:val="18"/>
                <w:szCs w:val="18"/>
                <w:highlight w:val="none"/>
              </w:rPr>
              <w:t>设备支持多台级连，满足最多64路数字音频传输。</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设备支持和兼容现场原有的局域网络环境，设备级连或数字音频流传输支持不同楼层的非同一网段。</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1.</w:t>
            </w:r>
            <w:r>
              <w:rPr>
                <w:rFonts w:hint="eastAsia" w:ascii="宋体" w:hAnsi="宋体" w:cs="宋体"/>
                <w:color w:val="000000"/>
                <w:kern w:val="0"/>
                <w:sz w:val="18"/>
                <w:szCs w:val="18"/>
                <w:highlight w:val="none"/>
              </w:rPr>
              <w:t>支持固定IP或动态IP功能，设备和电脑之间的音频传输支持路由功能。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2.</w:t>
            </w:r>
            <w:r>
              <w:rPr>
                <w:rFonts w:hint="eastAsia" w:ascii="宋体" w:hAnsi="宋体" w:cs="宋体"/>
                <w:color w:val="000000"/>
                <w:kern w:val="0"/>
                <w:sz w:val="18"/>
                <w:szCs w:val="18"/>
                <w:highlight w:val="none"/>
              </w:rPr>
              <w:t>数字网络音频输出的采样率采样深度：16KHz 16Bit</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3.</w:t>
            </w:r>
            <w:r>
              <w:rPr>
                <w:rFonts w:hint="eastAsia" w:ascii="宋体" w:hAnsi="宋体" w:cs="宋体"/>
                <w:color w:val="000000"/>
                <w:kern w:val="0"/>
                <w:sz w:val="18"/>
                <w:szCs w:val="18"/>
                <w:highlight w:val="none"/>
              </w:rPr>
              <w:t>设备高度需小于等于1U，带机柜挂耳。</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4.</w:t>
            </w:r>
            <w:r>
              <w:rPr>
                <w:rFonts w:hint="eastAsia" w:ascii="宋体" w:hAnsi="宋体" w:cs="宋体"/>
                <w:color w:val="000000"/>
                <w:kern w:val="0"/>
                <w:sz w:val="18"/>
                <w:szCs w:val="18"/>
                <w:highlight w:val="none"/>
              </w:rPr>
              <w:t>国产化设备，音频信号传输协议为国产自主协议，支持国产自主的电脑和操作系统，包括统信UOS等国产操作系统，同时需支持WINDOWS10等及个人操作系统，兼容各版本操作系统使用，无需安装驱动。</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5.</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数字音频输出支持千兆网络接口，需支持一主一备双网络传输接口设计。（</w:t>
            </w:r>
            <w:r>
              <w:rPr>
                <w:rFonts w:hint="eastAsia" w:ascii="宋体" w:hAnsi="宋体" w:cs="宋体"/>
                <w:b/>
                <w:bCs/>
                <w:color w:val="000000"/>
                <w:kern w:val="0"/>
                <w:sz w:val="18"/>
                <w:szCs w:val="18"/>
                <w:highlight w:val="none"/>
              </w:rPr>
              <w:t>投标时需提供第三方权威检验机构出具的检测报告复印件并加盖投标人公章）</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6.</w:t>
            </w:r>
            <w:r>
              <w:rPr>
                <w:rFonts w:hint="eastAsia" w:ascii="宋体" w:hAnsi="宋体" w:cs="宋体"/>
                <w:color w:val="000000"/>
                <w:kern w:val="0"/>
                <w:sz w:val="18"/>
                <w:szCs w:val="18"/>
                <w:highlight w:val="none"/>
              </w:rPr>
              <w:t>每路模拟输入通道支持48V幻象电源，并可单独控制。</w:t>
            </w:r>
          </w:p>
          <w:p>
            <w:pPr>
              <w:widowControl/>
              <w:jc w:val="left"/>
              <w:rPr>
                <w:rFonts w:hint="eastAsia" w:ascii="宋体" w:hAnsi="宋体" w:eastAsia="宋体" w:cs="宋体"/>
                <w:b/>
                <w:bCs/>
                <w:color w:val="000000"/>
                <w:kern w:val="0"/>
                <w:sz w:val="18"/>
                <w:szCs w:val="18"/>
                <w:highlight w:val="none"/>
                <w:lang w:eastAsia="zh-CN"/>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7.</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设备前面板不允许有任何物理按钮和旋钮，前面板带电源指示灯和设备正常进行的间歇闪烁指示灯。</w:t>
            </w:r>
            <w:r>
              <w:rPr>
                <w:rFonts w:hint="eastAsia" w:ascii="宋体" w:hAnsi="宋体" w:cs="宋体"/>
                <w:b/>
                <w:bCs/>
                <w:color w:val="000000"/>
                <w:kern w:val="0"/>
                <w:sz w:val="18"/>
                <w:szCs w:val="18"/>
                <w:highlight w:val="none"/>
              </w:rPr>
              <w:t>（投标时需提供第三方权威检验机构出具的检测报告复印件并加盖投标人公章）</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r>
              <w:rPr>
                <w:rFonts w:ascii="宋体" w:hAnsi="宋体" w:cs="宋体"/>
                <w:color w:val="000000"/>
                <w:kern w:val="0"/>
                <w:sz w:val="18"/>
                <w:szCs w:val="18"/>
                <w:highlight w:val="none"/>
              </w:rPr>
              <w:t>8.</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为适应现场安装环境，设备需自带自主循环散热风扇系统。</w:t>
            </w:r>
            <w:r>
              <w:rPr>
                <w:rFonts w:hint="eastAsia" w:ascii="宋体" w:hAnsi="宋体" w:cs="宋体"/>
                <w:b/>
                <w:bCs/>
                <w:color w:val="000000"/>
                <w:kern w:val="0"/>
                <w:sz w:val="18"/>
                <w:szCs w:val="18"/>
                <w:highlight w:val="none"/>
              </w:rPr>
              <w:t>（投标时需提供第三方权威检验机构出具的检测报告复印件并加盖投标人公章）</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审委会电子桌牌系统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双面显示电子桌牌</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1.双面显示电子桌牌；</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2.支持与会者人名、职称显示； 支持会标、LOGO显示；</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3.支持单位名称或会议主题显示；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4.支持各国文字、字体、字号和字体颜色编辑； </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5.支持自定义编辑及调整背景模板； 支持图片显示；</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桌牌会议控制软件</w:t>
            </w:r>
          </w:p>
        </w:tc>
        <w:tc>
          <w:tcPr>
            <w:tcW w:w="4748" w:type="dxa"/>
            <w:tcBorders>
              <w:top w:val="nil"/>
              <w:left w:val="nil"/>
              <w:bottom w:val="single" w:color="auto" w:sz="4" w:space="0"/>
              <w:right w:val="single" w:color="auto" w:sz="4" w:space="0"/>
            </w:tcBorders>
            <w:vAlign w:val="top"/>
          </w:tcPr>
          <w:p>
            <w:pPr>
              <w:widowControl/>
              <w:spacing w:after="240"/>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1.桌牌会议控制软件安装</w:t>
            </w:r>
          </w:p>
          <w:p>
            <w:pPr>
              <w:widowControl/>
              <w:spacing w:after="240"/>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2.支持统一生成背景模版或自定义编辑个性背景模版</w:t>
            </w:r>
          </w:p>
          <w:p>
            <w:pPr>
              <w:widowControl/>
              <w:spacing w:after="240"/>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3.支持信息显示效果可视化模拟编辑及调整</w:t>
            </w:r>
          </w:p>
          <w:p>
            <w:pPr>
              <w:widowControl/>
              <w:spacing w:after="240"/>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4.支持与会者信息统一编辑或单独添加编辑及发送</w:t>
            </w:r>
          </w:p>
          <w:p>
            <w:pPr>
              <w:widowControl/>
              <w:spacing w:after="240"/>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5.支持实时会议信息编辑及发送、支持自定义信息模版</w:t>
            </w:r>
          </w:p>
          <w:p>
            <w:pPr>
              <w:widowControl/>
              <w:spacing w:after="24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6.支持系统权限级别管理，避免误操作导致会议故障等</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审委会IOT中控系统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IOT控制平台</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1.IOT平台部署在法院内网，内外网严禁互通。</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2.与审委会相关的信息系统与网络设备控制与状态监测，如庭审主机、摄像机、一体机等。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3.审委会内开关、窗帘电机、空调开关等设备进行控制。</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4.运行状态与故障可通过多种合规的方式推送给运维人员，运维人员所有控制操作在内网中进行。</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IOT环境控制</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1.IOT灯光控制开关面板、IOT窗帘控制开关面板，86盒，触摸控制，支持485串口控制协议。</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2.电源控制智能面板与灯光控制面板均安装在房间进门处。</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IOT环境监测</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1.环境监测包含对房间内温湿度、光照度监测、PM2.5、二氧化碳浓度等指标进行监测，支持自动唤醒相应设备，如空气净化器、除湿器、新风系统等</w:t>
            </w:r>
            <w:r>
              <w:rPr>
                <w:rFonts w:hint="eastAsia" w:ascii="宋体" w:hAnsi="宋体" w:cs="宋体"/>
                <w:color w:val="000000"/>
                <w:kern w:val="0"/>
                <w:sz w:val="18"/>
                <w:szCs w:val="18"/>
                <w:highlight w:val="none"/>
                <w:lang w:eastAsia="zh-CN"/>
              </w:rPr>
              <w:t>；</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2.根据实际情况包含配备如下设备(1)温湿度传感器；(2)光照度传感器；</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(3)PM2.5 传感器；(4)二氧化碳浓度传感器等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3.可将监测状态合规的推送给运维人员，环境监测的所有结果在内网中呈</w:t>
            </w:r>
            <w:r>
              <w:rPr>
                <w:rFonts w:hint="eastAsia" w:ascii="宋体" w:hAnsi="宋体" w:cs="宋体"/>
                <w:color w:val="000000"/>
                <w:kern w:val="0"/>
                <w:sz w:val="18"/>
                <w:szCs w:val="18"/>
                <w:highlight w:val="none"/>
                <w:lang w:eastAsia="zh-CN"/>
              </w:rPr>
              <w:t>现。</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审委会多媒体系统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变频转换器</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1.支持HDMI分辨率1920*1080 转SDI1080P/30HZ</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2.支持转换SDI输出变频,支持SDI频率30帧/25帧互切。</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3.因VGA或HDMI输出频率为60HZ,而SDI摄像机及主机工作频率为30HZ，故转换器须支持降频功能。</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多媒体矩阵</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1.机架式安装、16路HDMI信号输入，16路HDMI信号输出（支持蓝光）；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2.自动读取保存EDID，支持高清分辨</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1920*1080---3840*2160，支持4K；</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3.FPGA可编程逻辑阵列电路，支持12.5GHz高带宽，高速数字交换技术，图像清晰，解决串扰、重影与拖尾现象；</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4.具有RS232通信功能和网络控制功能，带有断电现现场切换记忆保护功能。</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5.需提供配套国产化控制切换软件</w:t>
            </w:r>
            <w:r>
              <w:rPr>
                <w:rFonts w:hint="eastAsia" w:ascii="宋体" w:hAnsi="宋体" w:cs="宋体"/>
                <w:color w:val="000000"/>
                <w:kern w:val="0"/>
                <w:sz w:val="18"/>
                <w:szCs w:val="18"/>
                <w:highlight w:val="none"/>
                <w:lang w:eastAsia="zh-CN"/>
              </w:rPr>
              <w:t>。</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网控电源时序器</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1.前面板内置LCD屏，灵活显示实时电流、实时电压与设备IP 等信息。</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2.电源输出通道数：≥8 路；单通道最大电流≥10A，总电流容量≥40A。</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3.控制方式：支持TCP/IP 协议和串口协议控制；可通过面板按键对输出端口单独或全部进行控制。</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4.配合电源控制智能面板，可通过网口、RS485接口对设备进行控制。</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5.每路电源通道均可独立设定延时时间（优于1 秒~5 小时）。</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电源控制智能面板</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1.配合网控时序电源实现房间内设备的“一键通断电”。</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2.屏幕：4 寸电容触摸屏，86 面板型，分辨率，480*480；</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3.操作系统：嵌入式实时操作系统。</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4.电源控制智能面板与灯光控制面板均安装在房间进门处。</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无纸化专用交换机</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1.24个10/100/1000Base-T以太网端口；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2.VLAN支持基于端口的VLAN（4K个）；</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3.QOS支持IEEE 802.1p/DSCP优先级；</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4.支持优先级映射；支持端口信任模式；支持端口信任模式；</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5.支持端口队列调度（SP/WRR/SP+WRR）；</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6.组播管理支持IGMP Snoopingv1/v2/v3MLD Snooping</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7.支持命令行接口（CLI），Telnet，Console口进行配置</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8.支持SNMP，WEB网管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16路调音台</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1.话筒输入通道16路；</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2.立体声输入通道1组（2路）；</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3.频率响应：20Hz-20KHz（±0.5dB）；</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4.信噪比≥88dB；</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5.总谐波失真：&lt;0.01%@1KHz；</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6.均衡器：高\中\低频 ±15Db</w:t>
            </w:r>
            <w:r>
              <w:rPr>
                <w:rFonts w:hint="eastAsia" w:ascii="宋体" w:hAnsi="宋体" w:cs="宋体"/>
                <w:color w:val="000000"/>
                <w:kern w:val="0"/>
                <w:sz w:val="18"/>
                <w:szCs w:val="18"/>
                <w:highlight w:val="none"/>
                <w:lang w:eastAsia="zh-CN"/>
              </w:rPr>
              <w:t>。</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功率放大器</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1.最大输出功率：2 x 400W 8Ω / 2 x 600W 4Ω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2.电压增益：35dB （50 倍电压）；</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3.输入阻抗：20 kΩ；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4.输入灵敏度（8Ω负载）：0.775Vrms （0dBu）；</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5.频率响应：20~20000Hz；</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6.信噪比：&gt;110dB；</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7.连接：2 x NEUTRIK XLR输入；2 x NEUTRIK XLR连接器。</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壁挂式音箱</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1.驱动单元：1 x 8”LF + 1 x 1”HF（同轴内嵌高音）；</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2.额定功率：150W RMS / 600W Peak；</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3.标称阻抗：12Ω；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4.灵敏度：94dB/W/m；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5.最大声压级：116dB RMS / 122dB Peak；</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6.频率响应：95 ~ 18000Hz。</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设备机柜</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1.规格：600*800；</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2.高度：23U机柜；</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3.散热：前后网门。</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8</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审委会大屏显示系统</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LED显示屏</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根据现场布局：6.48平米</w:t>
            </w:r>
            <w:r>
              <w:rPr>
                <w:rFonts w:hint="eastAsia" w:ascii="宋体" w:hAnsi="宋体" w:cs="宋体"/>
                <w:color w:val="000000"/>
                <w:kern w:val="0"/>
                <w:sz w:val="18"/>
                <w:szCs w:val="18"/>
                <w:highlight w:val="none"/>
                <w:lang w:eastAsia="zh-CN"/>
              </w:rPr>
              <w:t>（屏幕大小设计）</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1.像素点间距：≤1.538mm；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2.模组尺寸：320mm*160mm；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3.支持一键点屏技术，开机后自动识别系统连接，无需重置系统配置；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4.因磨耗引起的雾度≤1.30％；</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5.冲击试验：对产品进行150m/s²,11ms，6个面各三次冲击试验，试验后产品无异常；</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6.灯珠冷热冲击： -50℃~130℃各15min200次，测试结束后光电特性及表面结构正常，且能正常点亮；</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7.灯珠高温贮存：Ta=100℃贮存500H，灯珠点亮无异常；</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8.爬电距离：绝缘穿透距离≥0.4mm，外部爬电距离＞7.0mm；</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9.电气间隙：对电气间隙试验的要求，属于I类产品；</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10.防窃密：具有良好的抗还原性能，具有良好的覆盖性，覆盖范围广，从9.9KHz—1.2GHz，抑制传导辐射，对视频信息无二次转发与加强作用；</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11.摩擦起电电压：≤100V；</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12.显示单元漏光度：≤0.01cd/㎡；</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13.显示屏高亮效率：≥99％；</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14.色坐标偏差：U':±0.015，V': ±0.015；</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15.单一故障条件测试：模拟单一故障条件下，显示屏无起火和电击的危险发生；</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16.防潮与绝缘：调整潮湿试验箱91%RH-95%RH范围内，保持温度20-30℃之间(温度变化不能超过1℃),放置显示屏48小时后，立即进行给样品施加1000V的直流电压，持续时间1min。再测试绝缘电阻，应≥2MΩ；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17.所投产品根据SJ/T11590-2016LED显示屏图像质量主观评价方法，通过回扫线或频闪现象、图像均匀性、大面积色彩还原、灰阶表现力1、灰度表现力2（伪轮廓现象）、运动图像清晰度、静态图像清晰度等相关试验，检测结果评分：5分，主观评价为优；</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18.电压波动和闪烁：通过GB17625.2标准限值要求，测试过程中样品无异常，符合性能判据A；</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19.为防止供应商虚假应标，以上参数需提供首页具有“CNAS”或“ilac-MRA”标识的第三方权威检测报告，</w:t>
            </w:r>
            <w:r>
              <w:rPr>
                <w:rFonts w:hint="eastAsia" w:ascii="宋体" w:hAnsi="宋体" w:cs="宋体"/>
                <w:b/>
                <w:bCs/>
                <w:color w:val="000000"/>
                <w:kern w:val="0"/>
                <w:sz w:val="18"/>
                <w:szCs w:val="18"/>
                <w:highlight w:val="none"/>
              </w:rPr>
              <w:t>供应商在投标时需提供检测报告复印件加盖LED显示屏生产企业公章，</w:t>
            </w:r>
            <w:r>
              <w:rPr>
                <w:rFonts w:hint="eastAsia" w:ascii="宋体" w:hAnsi="宋体" w:cs="宋体"/>
                <w:color w:val="000000"/>
                <w:kern w:val="0"/>
                <w:sz w:val="18"/>
                <w:szCs w:val="18"/>
                <w:highlight w:val="none"/>
              </w:rPr>
              <w:t>使用方有权查验检测报告的真实性，如发现虚假应标取消中标资格并上报采购中心。</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20.为确保LED显示屏工作过程中不对其环境中的其他设备造成电磁干扰，电磁辐射满足AS/NZS CISPR 32:2015的A类电磁兼容性等级认证，</w:t>
            </w:r>
            <w:r>
              <w:rPr>
                <w:rFonts w:hint="eastAsia" w:ascii="宋体" w:hAnsi="宋体" w:cs="宋体"/>
                <w:b/>
                <w:bCs/>
                <w:color w:val="000000"/>
                <w:kern w:val="0"/>
                <w:sz w:val="18"/>
                <w:szCs w:val="18"/>
                <w:highlight w:val="none"/>
              </w:rPr>
              <w:t>提供证书复印件加盖LED显示屏生产企业公章佐证。</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6.48</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屏幕电源</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1.输入电压：176VAC~264VAC，输出电压：5V，输出电流：40A；</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2.工作温度：-40℃-70℃，工作湿度：20%RH-90%RH；</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3.容性负载：5000uF；</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4.稳压精度：±3％；</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5.过载保护：额定负载的110-150%范围内电源保护，去载恢复正常输出，100%满载高温老化；输出过载保护110%-150%切断输出，输入重启后上升，保持时间50ms，20ms额定满载。</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18</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视频处理器</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1、1.5U 标准机架式结构，配备彩色LCD操作显示屏。</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2、不少于以下视频及音频信号输入</w:t>
            </w:r>
            <w:r>
              <w:rPr>
                <w:rFonts w:hint="eastAsia" w:ascii="宋体" w:hAnsi="宋体" w:cs="宋体"/>
                <w:b/>
                <w:bCs/>
                <w:color w:val="000000"/>
                <w:kern w:val="0"/>
                <w:sz w:val="18"/>
                <w:szCs w:val="18"/>
                <w:highlight w:val="none"/>
              </w:rPr>
              <w:t>（需提供厂家盖</w:t>
            </w:r>
            <w:r>
              <w:rPr>
                <w:rFonts w:hint="eastAsia" w:ascii="宋体" w:hAnsi="宋体" w:cs="宋体"/>
                <w:b/>
                <w:bCs/>
                <w:color w:val="000000"/>
                <w:kern w:val="0"/>
                <w:sz w:val="18"/>
                <w:szCs w:val="18"/>
                <w:highlight w:val="none"/>
                <w:lang w:val="en-US" w:eastAsia="zh-CN"/>
              </w:rPr>
              <w:t>公章</w:t>
            </w:r>
            <w:r>
              <w:rPr>
                <w:rFonts w:hint="eastAsia" w:ascii="宋体" w:hAnsi="宋体" w:cs="宋体"/>
                <w:b/>
                <w:bCs/>
                <w:color w:val="000000"/>
                <w:kern w:val="0"/>
                <w:sz w:val="18"/>
                <w:szCs w:val="18"/>
                <w:highlight w:val="none"/>
              </w:rPr>
              <w:t>的设备规格书）：</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1路DVI，1路HDMI，1路VGA，2路CVBS，2路1/8" TRS音频信号。</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3、不少于以下视频及音频信号输出</w:t>
            </w:r>
            <w:r>
              <w:rPr>
                <w:rFonts w:hint="eastAsia" w:ascii="宋体" w:hAnsi="宋体" w:cs="宋体"/>
                <w:b/>
                <w:bCs/>
                <w:color w:val="000000"/>
                <w:kern w:val="0"/>
                <w:sz w:val="18"/>
                <w:szCs w:val="18"/>
                <w:highlight w:val="none"/>
              </w:rPr>
              <w:t>（</w:t>
            </w:r>
            <w:r>
              <w:rPr>
                <w:rFonts w:hint="eastAsia" w:ascii="宋体" w:hAnsi="宋体" w:cs="宋体"/>
                <w:b/>
                <w:bCs/>
                <w:color w:val="000000"/>
                <w:kern w:val="0"/>
                <w:sz w:val="18"/>
                <w:szCs w:val="18"/>
                <w:highlight w:val="none"/>
                <w:lang w:eastAsia="zh-CN"/>
              </w:rPr>
              <w:t>需提供厂家盖公章</w:t>
            </w:r>
            <w:r>
              <w:rPr>
                <w:rFonts w:hint="eastAsia" w:ascii="宋体" w:hAnsi="宋体" w:cs="宋体"/>
                <w:b/>
                <w:bCs/>
                <w:color w:val="000000"/>
                <w:kern w:val="0"/>
                <w:sz w:val="18"/>
                <w:szCs w:val="18"/>
                <w:highlight w:val="none"/>
              </w:rPr>
              <w:t>的设备规格书）</w:t>
            </w:r>
            <w:r>
              <w:rPr>
                <w:rFonts w:hint="eastAsia" w:ascii="宋体" w:hAnsi="宋体" w:cs="宋体"/>
                <w:color w:val="000000"/>
                <w:kern w:val="0"/>
                <w:sz w:val="18"/>
                <w:szCs w:val="18"/>
                <w:highlight w:val="none"/>
              </w:rPr>
              <w:t>：</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4路网口输出，整机分辨率可达236万像素，支持自定义分辨率，最宽可达3840像素，最高可达1080像素；一路1/4" TRS音频。</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4、支持USB(TYPE B)，UART(RJ45)控制端口；</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5、自带U盘播放器功能，直接插上U盘，自动播放U盘的视频或图片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6支持EDID配置管理：支持EDID（Extended Display Identification Data，扩展显示识别数据）的读取、修改、自定义。</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7、支持VGA校正功能：解决模拟信号在传输过程中容易产生的黑边、偏移的问题。</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8、支持Super Resolution放大技术：视频补偿处理算法。画面缩小无尺寸限制，并保留图像细节，减轻画面放大多倍后产生的失焦现象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9、支持去黑边/剪裁功能：解决前端信号（尤其是VGA信号及非标准摄像头的输出信号）产生的黑边问题，针对任意信号源做任意裁剪（依旧保持满屏状态）。</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10、支持通道保护：对设备输入、输出I/O接口进行保护，避免过电压、过电流的冲击；通道间相互独立，且彼此互补。</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 xml:space="preserve">11、支持一键黑屏/蓝屏。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12、支持亮度调节：实时、快捷进行屏体显示亮度调整。</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13、支持导航设置 。</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14、支持切换特效：场景与场景间，信号源通道与通道之间均支持淡入淡出/直切的切换特效；支持音视频同步切换。</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15、支持按键锁定，防止误操作。</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16、设备可以一键恢复接收卡参数，更换接收卡不用重新调试。</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17、设备的参数可以通过接收卡一键恢复，更换设备不用重新调试。</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18、支持硬件调屏，无需计算机，可直接使用箱体文件进行屏幕配置，快速点亮屏幕；</w:t>
            </w:r>
          </w:p>
          <w:p>
            <w:pPr>
              <w:widowControl/>
              <w:jc w:val="left"/>
              <w:rPr>
                <w:rFonts w:hint="eastAsia" w:ascii="宋体" w:hAnsi="宋体" w:eastAsia="宋体" w:cs="宋体"/>
                <w:b/>
                <w:bCs/>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19、设备通过CCC认证、FCC认证、CE认证、RoHS2.0认证，</w:t>
            </w:r>
            <w:r>
              <w:rPr>
                <w:rFonts w:hint="eastAsia" w:ascii="宋体" w:hAnsi="宋体" w:cs="宋体"/>
                <w:b/>
                <w:bCs/>
                <w:color w:val="000000"/>
                <w:kern w:val="0"/>
                <w:sz w:val="18"/>
                <w:szCs w:val="18"/>
                <w:highlight w:val="none"/>
              </w:rPr>
              <w:t>并可提供相应证书（加盖厂家</w:t>
            </w:r>
            <w:r>
              <w:rPr>
                <w:rFonts w:hint="eastAsia" w:ascii="宋体" w:hAnsi="宋体" w:cs="宋体"/>
                <w:b/>
                <w:bCs/>
                <w:color w:val="000000"/>
                <w:kern w:val="0"/>
                <w:sz w:val="18"/>
                <w:szCs w:val="18"/>
                <w:highlight w:val="none"/>
                <w:lang w:eastAsia="zh-CN"/>
              </w:rPr>
              <w:t>公章</w:t>
            </w:r>
            <w:r>
              <w:rPr>
                <w:rFonts w:hint="eastAsia" w:ascii="宋体" w:hAnsi="宋体" w:cs="宋体"/>
                <w:b/>
                <w:bCs/>
                <w:color w:val="000000"/>
                <w:kern w:val="0"/>
                <w:sz w:val="18"/>
                <w:szCs w:val="18"/>
                <w:highlight w:val="none"/>
              </w:rPr>
              <w:t>）。</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20、可提供设备软件著作权登记证书。</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21、</w:t>
            </w:r>
            <w:r>
              <w:rPr>
                <w:rFonts w:hint="eastAsia" w:ascii="宋体" w:hAnsi="宋体" w:cs="宋体"/>
                <w:b/>
                <w:bCs/>
                <w:color w:val="000000"/>
                <w:kern w:val="0"/>
                <w:sz w:val="18"/>
                <w:szCs w:val="18"/>
                <w:highlight w:val="none"/>
              </w:rPr>
              <w:t>提供控制卡生产厂家针对本项目的售后服务承诺函（加盖厂家</w:t>
            </w:r>
            <w:r>
              <w:rPr>
                <w:rFonts w:hint="eastAsia" w:ascii="宋体" w:hAnsi="宋体" w:cs="宋体"/>
                <w:b/>
                <w:bCs/>
                <w:color w:val="000000"/>
                <w:kern w:val="0"/>
                <w:sz w:val="18"/>
                <w:szCs w:val="18"/>
                <w:highlight w:val="none"/>
                <w:lang w:eastAsia="zh-CN"/>
              </w:rPr>
              <w:t>公章</w:t>
            </w:r>
            <w:r>
              <w:rPr>
                <w:rFonts w:hint="eastAsia" w:ascii="宋体" w:hAnsi="宋体" w:cs="宋体"/>
                <w:b/>
                <w:bCs/>
                <w:color w:val="000000"/>
                <w:kern w:val="0"/>
                <w:sz w:val="18"/>
                <w:szCs w:val="18"/>
                <w:highlight w:val="none"/>
              </w:rPr>
              <w:t>）</w:t>
            </w:r>
            <w:r>
              <w:rPr>
                <w:rFonts w:hint="eastAsia" w:ascii="宋体" w:hAnsi="宋体" w:cs="宋体"/>
                <w:color w:val="000000"/>
                <w:kern w:val="0"/>
                <w:sz w:val="18"/>
                <w:szCs w:val="18"/>
                <w:highlight w:val="none"/>
              </w:rPr>
              <w:t>。</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22、为保证系统稳定，操作简单方便，以及售后服务统一可靠，控制系统（视频控制器）必须具备优秀的前端视频处理功能，不再另行配置其他品牌或同一品牌下其他型号的视频处理器。控制系统（含多画面拼接器、视频控制器、独立主控、同步接收卡）及播控系统（含播控软件及服务器）采用同一生产厂家同一品牌产品。</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钢结构</w:t>
            </w:r>
          </w:p>
        </w:tc>
        <w:tc>
          <w:tcPr>
            <w:tcW w:w="47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LED屏定制钢结构，约6.48平米</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6.48</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配电系统</w:t>
            </w:r>
          </w:p>
        </w:tc>
        <w:tc>
          <w:tcPr>
            <w:tcW w:w="474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40KW，带远程开关控制功能</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无线投屏器</w:t>
            </w:r>
          </w:p>
        </w:tc>
        <w:tc>
          <w:tcPr>
            <w:tcW w:w="4748"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1.电脑端无需安装软件，即插即用，一键投屏；</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2.支持手势擦除、两点漫游缩放、无线扩屏及翻页、扫描即存、书写流畅；</w:t>
            </w:r>
          </w:p>
          <w:p>
            <w:pPr>
              <w:widowControl/>
              <w:jc w:val="left"/>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3.支持鼠标、键盘、触摸屏等触控回传；</w:t>
            </w:r>
          </w:p>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4.支持USB数据回传，支持触控回传；</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95" w:type="dxa"/>
            <w:gridSpan w:val="6"/>
            <w:tcBorders>
              <w:top w:val="single" w:color="auto" w:sz="4" w:space="0"/>
              <w:left w:val="single" w:color="auto" w:sz="4" w:space="0"/>
              <w:bottom w:val="single" w:color="auto" w:sz="4" w:space="0"/>
              <w:right w:val="nil"/>
            </w:tcBorders>
            <w:shd w:val="clear" w:color="000000" w:fill="F2F2F2"/>
            <w:vAlign w:val="center"/>
          </w:tcPr>
          <w:p>
            <w:pPr>
              <w:widowControl/>
              <w:jc w:val="righ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95" w:type="dxa"/>
            <w:gridSpan w:val="6"/>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lef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二、数字无纸化系统配套集成服务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集成施工安装调试</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辅材管材</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强弱电布线；布线PVC穿线管、机房网格桥架等信号的接入。</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w:t>
            </w: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集成施工</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集成施工人工辅材等相关费用</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w:t>
            </w: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安装调试</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各系统进行安装调试等</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95" w:type="dxa"/>
            <w:gridSpan w:val="6"/>
            <w:tcBorders>
              <w:top w:val="single" w:color="auto" w:sz="4" w:space="0"/>
              <w:left w:val="single" w:color="auto" w:sz="4" w:space="0"/>
              <w:bottom w:val="single" w:color="auto" w:sz="4" w:space="0"/>
              <w:right w:val="nil"/>
            </w:tcBorders>
            <w:shd w:val="clear" w:color="000000" w:fill="F2F2F2"/>
            <w:vAlign w:val="center"/>
          </w:tcPr>
          <w:p>
            <w:pPr>
              <w:widowControl/>
              <w:jc w:val="righ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95" w:type="dxa"/>
            <w:gridSpan w:val="6"/>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lef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三、数字无纸化系统项目配套定制家具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w:t>
            </w:r>
          </w:p>
        </w:tc>
        <w:tc>
          <w:tcPr>
            <w:tcW w:w="1250" w:type="dxa"/>
            <w:vMerge w:val="restar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定制配套家具</w:t>
            </w: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配套席位椅</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会议椅（真皮座椅）</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19</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w:t>
            </w: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配套秘书席位家俱</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秘书席：长1200</w:t>
            </w:r>
            <w:r>
              <w:rPr>
                <w:rFonts w:hint="eastAsia" w:ascii="宋体" w:hAnsi="宋体" w:cs="宋体"/>
                <w:color w:val="000000"/>
                <w:kern w:val="0"/>
                <w:sz w:val="18"/>
                <w:szCs w:val="18"/>
                <w:highlight w:val="none"/>
                <w:lang w:val="en-US" w:eastAsia="zh-CN"/>
              </w:rPr>
              <w:t>mm</w:t>
            </w:r>
            <w:r>
              <w:rPr>
                <w:rFonts w:hint="eastAsia" w:ascii="宋体" w:hAnsi="宋体" w:cs="宋体"/>
                <w:color w:val="000000"/>
                <w:kern w:val="0"/>
                <w:sz w:val="18"/>
                <w:szCs w:val="18"/>
                <w:highlight w:val="none"/>
              </w:rPr>
              <w:t>*宽600</w:t>
            </w:r>
            <w:r>
              <w:rPr>
                <w:rFonts w:hint="eastAsia" w:ascii="宋体" w:hAnsi="宋体" w:cs="宋体"/>
                <w:color w:val="000000"/>
                <w:kern w:val="0"/>
                <w:sz w:val="18"/>
                <w:szCs w:val="18"/>
                <w:highlight w:val="none"/>
                <w:lang w:val="en-US" w:eastAsia="zh-CN"/>
              </w:rPr>
              <w:t>mm</w:t>
            </w:r>
            <w:r>
              <w:rPr>
                <w:rFonts w:hint="eastAsia" w:ascii="宋体" w:hAnsi="宋体" w:cs="宋体"/>
                <w:color w:val="000000"/>
                <w:kern w:val="0"/>
                <w:sz w:val="18"/>
                <w:szCs w:val="18"/>
                <w:highlight w:val="none"/>
              </w:rPr>
              <w:t>*高800</w:t>
            </w:r>
            <w:r>
              <w:rPr>
                <w:rFonts w:hint="eastAsia" w:ascii="宋体" w:hAnsi="宋体" w:cs="宋体"/>
                <w:color w:val="000000"/>
                <w:kern w:val="0"/>
                <w:sz w:val="18"/>
                <w:szCs w:val="18"/>
                <w:highlight w:val="none"/>
                <w:lang w:val="en-US" w:eastAsia="zh-CN"/>
              </w:rPr>
              <w:t>mm</w:t>
            </w:r>
            <w:r>
              <w:rPr>
                <w:rFonts w:hint="eastAsia" w:ascii="宋体" w:hAnsi="宋体" w:cs="宋体"/>
                <w:color w:val="000000"/>
                <w:kern w:val="0"/>
                <w:sz w:val="18"/>
                <w:szCs w:val="18"/>
                <w:highlight w:val="none"/>
              </w:rPr>
              <w:t>。</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w:t>
            </w:r>
          </w:p>
        </w:tc>
        <w:tc>
          <w:tcPr>
            <w:tcW w:w="12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12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rPr>
              <w:t>配套委员席位家</w:t>
            </w:r>
            <w:r>
              <w:rPr>
                <w:rFonts w:hint="eastAsia" w:ascii="宋体" w:hAnsi="宋体" w:cs="宋体"/>
                <w:color w:val="000000"/>
                <w:kern w:val="0"/>
                <w:sz w:val="18"/>
                <w:szCs w:val="18"/>
                <w:highlight w:val="none"/>
                <w:lang w:eastAsia="zh-CN"/>
              </w:rPr>
              <w:t>具</w:t>
            </w:r>
          </w:p>
        </w:tc>
        <w:tc>
          <w:tcPr>
            <w:tcW w:w="4748"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会议桌按照委员终端，升降屏幕，会议桌牌尺寸进行定做。</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w:t>
            </w:r>
          </w:p>
        </w:tc>
      </w:tr>
    </w:tbl>
    <w:p>
      <w:pPr>
        <w:pStyle w:val="103"/>
        <w:spacing w:beforeLines="0" w:afterLines="0"/>
        <w:ind w:firstLine="482"/>
        <w:rPr>
          <w:rFonts w:hint="eastAsia" w:ascii="宋体" w:hAnsi="宋体" w:eastAsia="宋体" w:cs="宋体"/>
          <w:b/>
          <w:bCs/>
          <w:highlight w:val="none"/>
        </w:rPr>
      </w:pPr>
      <w:r>
        <w:rPr>
          <w:rFonts w:hint="eastAsia" w:ascii="宋体" w:hAnsi="宋体" w:eastAsia="宋体" w:cs="宋体"/>
          <w:b/>
          <w:bCs/>
          <w:highlight w:val="none"/>
        </w:rPr>
        <w:t>三、项目团队要求</w:t>
      </w:r>
    </w:p>
    <w:p>
      <w:pPr>
        <w:spacing w:beforeLines="0" w:afterLines="0" w:line="360" w:lineRule="auto"/>
        <w:ind w:firstLine="560"/>
        <w:rPr>
          <w:rFonts w:hint="eastAsia" w:ascii="宋体" w:hAnsi="宋体" w:eastAsia="宋体" w:cs="宋体"/>
          <w:sz w:val="24"/>
          <w:highlight w:val="none"/>
        </w:rPr>
      </w:pPr>
      <w:r>
        <w:rPr>
          <w:rFonts w:hint="eastAsia" w:ascii="宋体" w:hAnsi="宋体" w:eastAsia="宋体" w:cs="宋体"/>
          <w:sz w:val="24"/>
          <w:highlight w:val="none"/>
        </w:rPr>
        <w:t>1、在项目实施阶段，项目组人员须与采购单位签订保密协议及保密承诺书，未经采购方允许不得中途更换项目主要人员。确保项目按期、按质完成。</w:t>
      </w:r>
    </w:p>
    <w:p>
      <w:pPr>
        <w:spacing w:beforeLines="0" w:afterLines="0" w:line="360" w:lineRule="auto"/>
        <w:ind w:firstLine="560"/>
        <w:rPr>
          <w:rFonts w:hint="eastAsia" w:ascii="宋体" w:hAnsi="宋体" w:eastAsia="宋体" w:cs="宋体"/>
          <w:sz w:val="24"/>
          <w:highlight w:val="none"/>
        </w:rPr>
      </w:pPr>
      <w:r>
        <w:rPr>
          <w:rFonts w:hint="eastAsia" w:ascii="宋体" w:hAnsi="宋体" w:eastAsia="宋体" w:cs="宋体"/>
          <w:sz w:val="24"/>
          <w:highlight w:val="none"/>
        </w:rPr>
        <w:t>2、投标人列出详细人员计划，包括人员姓名、学历、相应资质和在本项目中的职责分工。</w:t>
      </w:r>
    </w:p>
    <w:p>
      <w:pPr>
        <w:widowControl w:val="0"/>
        <w:wordWrap/>
        <w:adjustRightInd/>
        <w:snapToGrid/>
        <w:spacing w:beforeLines="0" w:afterLines="0" w:line="360" w:lineRule="auto"/>
        <w:ind w:firstLine="560"/>
        <w:textAlignment w:val="auto"/>
        <w:rPr>
          <w:rFonts w:hint="eastAsia" w:ascii="宋体" w:hAnsi="宋体" w:eastAsia="宋体" w:cs="宋体"/>
          <w:sz w:val="24"/>
          <w:highlight w:val="none"/>
        </w:rPr>
      </w:pPr>
      <w:r>
        <w:rPr>
          <w:rFonts w:hint="eastAsia" w:ascii="宋体" w:hAnsi="宋体" w:eastAsia="宋体" w:cs="宋体"/>
          <w:sz w:val="24"/>
          <w:highlight w:val="none"/>
        </w:rPr>
        <w:t>3、项目团队人员配置科学合理、分工明确，项目团队人员必须专职承担本项目工作，未经建设单位许可不得更换。投标人应提出具体管理措施，以确保该承诺得到落实。在项目实施过程中，投标人须按照建设单位的要求更换建设单位认为不合适的人员。</w:t>
      </w:r>
    </w:p>
    <w:p>
      <w:pPr>
        <w:pStyle w:val="5"/>
        <w:widowControl w:val="0"/>
        <w:wordWrap/>
        <w:adjustRightInd/>
        <w:snapToGrid/>
        <w:spacing w:before="0" w:beforeLines="0" w:after="0" w:afterLines="0" w:line="360" w:lineRule="auto"/>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四、项目质量要求</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1、中标单位</w:t>
      </w:r>
      <w:r>
        <w:rPr>
          <w:rFonts w:hint="eastAsia" w:ascii="宋体" w:hAnsi="宋体" w:eastAsia="宋体" w:cs="宋体"/>
          <w:sz w:val="24"/>
          <w:highlight w:val="none"/>
          <w:lang w:val="zh-CN"/>
        </w:rPr>
        <w:t>保证按ISO9000系列标准或相应的质量管理和质量保证体系，对项目实施、调试、检测等各个环节进行严格的质量和质量控制。</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2、中标单位提供产品和服务符合国家相关安全规定及《浙江省信息技术服务外包安全管理规范》要求。</w:t>
      </w:r>
    </w:p>
    <w:p>
      <w:pPr>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3、中标单位</w:t>
      </w:r>
      <w:r>
        <w:rPr>
          <w:rFonts w:hint="eastAsia" w:ascii="宋体" w:hAnsi="宋体" w:eastAsia="宋体" w:cs="宋体"/>
          <w:sz w:val="24"/>
          <w:highlight w:val="none"/>
          <w:lang w:val="zh-CN"/>
        </w:rPr>
        <w:t>须严格按设计方案和国家现行项目实施验收规范有关规定，精心组织实施、记录、检测。</w:t>
      </w:r>
    </w:p>
    <w:p>
      <w:pPr>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项目的质量、技术标准如在招标文件和投标文件中无相应说明，则按中华人民共和国有关部门颁布的最新的国家或专业（部）标准或相应的国际标准执行。没有国家或专业（部）标准的，按企业标准执行。</w:t>
      </w:r>
    </w:p>
    <w:p>
      <w:pPr>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项目竣工验收：应按设计方案、技术交底、会审纪要、设计变更通知单、国家和（部）颁发的有关规范和质量检验评定标准、相关的国际标准为依据，并有相关专业测试单位出具相应的测验结论报告。</w:t>
      </w:r>
    </w:p>
    <w:p>
      <w:pPr>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6、</w:t>
      </w:r>
      <w:r>
        <w:rPr>
          <w:rFonts w:hint="eastAsia" w:ascii="宋体" w:hAnsi="宋体" w:eastAsia="宋体" w:cs="宋体"/>
          <w:sz w:val="24"/>
          <w:highlight w:val="none"/>
          <w:lang w:val="zh-CN"/>
        </w:rPr>
        <w:t>项目实施过程中应严格做好安全防范措施，如</w:t>
      </w:r>
      <w:r>
        <w:rPr>
          <w:rFonts w:hint="eastAsia" w:ascii="宋体" w:hAnsi="宋体" w:eastAsia="宋体" w:cs="宋体"/>
          <w:sz w:val="24"/>
          <w:highlight w:val="none"/>
        </w:rPr>
        <w:t>中标单位</w:t>
      </w:r>
      <w:r>
        <w:rPr>
          <w:rFonts w:hint="eastAsia" w:ascii="宋体" w:hAnsi="宋体" w:eastAsia="宋体" w:cs="宋体"/>
          <w:sz w:val="24"/>
          <w:highlight w:val="none"/>
          <w:lang w:val="zh-CN"/>
        </w:rPr>
        <w:t>项目实施人员在实施中违反操作规定造成人员伤亡事故或实施现场防范措施设置不明造成人员伤害事故，一切责任均由</w:t>
      </w:r>
      <w:r>
        <w:rPr>
          <w:rFonts w:hint="eastAsia" w:ascii="宋体" w:hAnsi="宋体" w:eastAsia="宋体" w:cs="宋体"/>
          <w:sz w:val="24"/>
          <w:highlight w:val="none"/>
        </w:rPr>
        <w:t>中标单位</w:t>
      </w:r>
      <w:r>
        <w:rPr>
          <w:rFonts w:hint="eastAsia" w:ascii="宋体" w:hAnsi="宋体" w:eastAsia="宋体" w:cs="宋体"/>
          <w:sz w:val="24"/>
          <w:highlight w:val="none"/>
          <w:lang w:val="zh-CN"/>
        </w:rPr>
        <w:t>负责。</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kern w:val="0"/>
          <w:sz w:val="24"/>
          <w:highlight w:val="none"/>
        </w:rPr>
        <w:t>7、</w:t>
      </w:r>
      <w:r>
        <w:rPr>
          <w:rFonts w:hint="eastAsia" w:ascii="宋体" w:hAnsi="宋体" w:eastAsia="宋体" w:cs="宋体"/>
          <w:sz w:val="24"/>
          <w:highlight w:val="none"/>
          <w:lang w:val="zh-CN"/>
        </w:rPr>
        <w:t>甲方根据乙方提供的服务情况进行考核，对于不满足服务要求的需扣除考核服务费，考核服务费上限金额（以下称：考核服务费）为合同总价的5%。考核分安全和服务两部分进行，原则上关于安全部分不超过考核服务费的40%，服务部分不超过考核服务费的60%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安全部分：</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1）受到国家级安全问题通报的，出现1次，每次扣考核服务费的20%。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2）受到省级安全问题通报的，出现1次，每次扣除考核服务费的10%。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3）受到市级安全问题通报的，出现1次，每次扣除考核服务费的5%。</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每次通报后，乙方需及时解决并递交书面整改报告，当年服务期内累计超过2次的，甲方有权扣除乙方安全部分考核服务费，总计考核服务费的40%。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服务部分：</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1）同类故障重复出现，故障排查不仔细，修复不彻底。出现1次，每次扣除考核服务费的5%。</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2）涉及服务被社会媒体曝光、收到多方投诉情况，出现1次，每次扣除考核服务费的10%。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3）根据招标文件或合同约定需在规定时间内提交的文档资料、工作台账、领导交办的文档资料等，乙方应按时完成。如未完成的，出现1次，每次扣除考核服务费的10%。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4）未经甲方书面授权擅自将服务系统的操作管理权限、账号、视频影像资料、数据及分析应用成果、电脑截图或照片等泄露外传。出现1次，每次扣除考核服务费的20%。</w:t>
      </w:r>
    </w:p>
    <w:p>
      <w:pPr>
        <w:autoSpaceDE w:val="0"/>
        <w:autoSpaceDN w:val="0"/>
        <w:snapToGrid w:val="0"/>
        <w:spacing w:beforeLines="0" w:afterLines="0" w:line="360" w:lineRule="auto"/>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服务部分当年服务期内累计扣款超过5次的，甲方有权扣除乙方服务部分考核服务费，总计考核服务费的60%。</w:t>
      </w:r>
    </w:p>
    <w:p>
      <w:pPr>
        <w:pStyle w:val="5"/>
        <w:widowControl w:val="0"/>
        <w:tabs>
          <w:tab w:val="left" w:pos="706"/>
          <w:tab w:val="clear" w:pos="432"/>
        </w:tabs>
        <w:wordWrap/>
        <w:adjustRightInd/>
        <w:snapToGrid/>
        <w:spacing w:before="0" w:beforeLines="0" w:after="0" w:afterLines="0" w:line="360" w:lineRule="auto"/>
        <w:ind w:left="0" w:firstLine="482" w:firstLineChars="200"/>
        <w:textAlignment w:val="auto"/>
        <w:rPr>
          <w:rFonts w:hint="eastAsia" w:ascii="宋体" w:hAnsi="宋体" w:eastAsia="宋体" w:cs="宋体"/>
          <w:bCs w:val="0"/>
          <w:kern w:val="0"/>
          <w:sz w:val="24"/>
          <w:szCs w:val="24"/>
          <w:highlight w:val="none"/>
        </w:rPr>
      </w:pPr>
      <w:r>
        <w:rPr>
          <w:rFonts w:hint="eastAsia" w:ascii="宋体" w:hAnsi="宋体" w:eastAsia="宋体" w:cs="宋体"/>
          <w:bCs w:val="0"/>
          <w:kern w:val="0"/>
          <w:sz w:val="24"/>
          <w:szCs w:val="24"/>
          <w:highlight w:val="none"/>
        </w:rPr>
        <w:t>五、项目实施要求</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1.供应商所供产品不会侵犯任何第三方知识产权；</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2.本次项目软件定制开发部分的知识产权归属采购人所有。</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3.供应商须在合同签订后【7】个工作日内向甲方支付履约保证金，履约保证金为中标价的1%。</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本项目软硬件运行环境可运行于符合信创要求的标准环境，在芯片、操作系统等各个层面都能满足国产化适配，实现国产化终端业务访问的需求。履约期内，供应商应当完全履行义务，无条件配合采购人做软件国产化的适应性改版，需提供一切能够保障系统顺利运行的设施设备及人力服务等支持，并确保维保期内无其他任何费用。</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5.网络和数据安全责任</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（1）供应商应严格遵守网络安全和保密相关法律、法规和规章制度，履行网络安全和保密义务，自愿接受网络安全和保密审查。</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（2）供应商须与采购人签订涉及网络、数据安全相关的服务保密协议，项目组成员须签署安全服务承诺书。</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（3）供应商应制定并落实网络和数据安全管理制度，根据国家有关标准的要求，落实必要的管理和技术措施，能够防止数据的泄漏、损毁、丢失、篡改。</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（4） 供应商应按照合同约定的特定目的使用相关资产和数据，不得违规记录、存储、复制提供服务过程中触及的数据，不得将项目涉及的材料（代码）提供给第三方、发布到互联网或用于任何其他目的。</w:t>
      </w:r>
    </w:p>
    <w:p>
      <w:pPr>
        <w:widowControl w:val="0"/>
        <w:wordWrap/>
        <w:adjustRightInd/>
        <w:snapToGrid/>
        <w:spacing w:beforeLines="0" w:afterLines="0" w:line="360" w:lineRule="auto"/>
        <w:ind w:firstLine="480" w:firstLineChars="200"/>
        <w:jc w:val="left"/>
        <w:textAlignment w:val="auto"/>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（5）供应商应定期对参与本项目人员开展网络和数据安全知识、职业道德、保密和法律法规等方面培训，强化警示教育，不断增强参与本项目人员的职业操守和法律观念。</w:t>
      </w:r>
    </w:p>
    <w:p>
      <w:pPr>
        <w:pStyle w:val="5"/>
        <w:widowControl w:val="0"/>
        <w:wordWrap/>
        <w:adjustRightInd/>
        <w:snapToGrid/>
        <w:spacing w:before="0" w:beforeLines="0" w:after="0" w:afterLines="0"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六、服务期</w:t>
      </w:r>
    </w:p>
    <w:p>
      <w:pPr>
        <w:pStyle w:val="103"/>
        <w:widowControl w:val="0"/>
        <w:wordWrap/>
        <w:adjustRightInd/>
        <w:snapToGrid/>
        <w:spacing w:beforeLines="0" w:afterLines="0"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合同签订60天内完成系统建设并达到相关安装要求后进行项目初验；初验通过后进入系统试运行，试运行30天后进行项目终验；本项目终验通过后即进入</w:t>
      </w:r>
      <w:r>
        <w:rPr>
          <w:rFonts w:hint="eastAsia" w:ascii="宋体" w:hAnsi="宋体" w:eastAsia="宋体" w:cs="宋体"/>
          <w:highlight w:val="none"/>
          <w:lang w:val="en-US" w:eastAsia="zh-CN"/>
        </w:rPr>
        <w:t>运维期</w:t>
      </w:r>
      <w:r>
        <w:rPr>
          <w:rFonts w:hint="eastAsia" w:ascii="宋体" w:hAnsi="宋体" w:eastAsia="宋体" w:cs="宋体"/>
          <w:highlight w:val="none"/>
        </w:rPr>
        <w:t>，</w:t>
      </w:r>
      <w:r>
        <w:rPr>
          <w:rFonts w:hint="eastAsia" w:ascii="宋体" w:hAnsi="宋体" w:eastAsia="宋体" w:cs="宋体"/>
          <w:highlight w:val="none"/>
          <w:lang w:val="en-US" w:eastAsia="zh-CN"/>
        </w:rPr>
        <w:t>运维期服务时间为</w:t>
      </w:r>
      <w:r>
        <w:rPr>
          <w:rFonts w:hint="eastAsia" w:ascii="宋体" w:hAnsi="宋体" w:eastAsia="宋体" w:cs="宋体"/>
          <w:highlight w:val="none"/>
        </w:rPr>
        <w:t>3年</w:t>
      </w:r>
      <w:r>
        <w:rPr>
          <w:rFonts w:hint="eastAsia" w:ascii="宋体" w:hAnsi="宋体" w:eastAsia="宋体" w:cs="宋体"/>
          <w:highlight w:val="none"/>
          <w:lang w:eastAsia="zh-CN"/>
        </w:rPr>
        <w:t>。</w:t>
      </w:r>
    </w:p>
    <w:p>
      <w:pPr>
        <w:pStyle w:val="103"/>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七、售后服务要求</w:t>
      </w:r>
    </w:p>
    <w:p>
      <w:pPr>
        <w:pStyle w:val="103"/>
        <w:widowControl w:val="0"/>
        <w:wordWrap/>
        <w:adjustRightInd/>
        <w:snapToGrid/>
        <w:spacing w:beforeLines="0" w:afterLines="0"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1、运行维护期：维护期间，供应商应提供7*24</w:t>
      </w:r>
      <w:r>
        <w:rPr>
          <w:rFonts w:hint="eastAsia" w:ascii="宋体" w:hAnsi="宋体" w:eastAsia="宋体" w:cs="宋体"/>
          <w:highlight w:val="none"/>
          <w:lang w:val="en-US" w:eastAsia="zh-CN"/>
        </w:rPr>
        <w:t>小时</w:t>
      </w:r>
      <w:r>
        <w:rPr>
          <w:rFonts w:hint="eastAsia" w:ascii="宋体" w:hAnsi="宋体" w:eastAsia="宋体" w:cs="宋体"/>
          <w:highlight w:val="none"/>
        </w:rPr>
        <w:t>售后技术支持服务（包括版本升级、故障排除、性能调优、技术咨询等）。</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2、在服务期内，中标单位对系统使用人员提出的问题予以解答，做好日常管理和维护工作。</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3、在服务期内，中标单位能提供快速的服务响应，中标人在接到采购人到场通知后在2小时内到达现场。</w:t>
      </w:r>
    </w:p>
    <w:p>
      <w:pPr>
        <w:pStyle w:val="103"/>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八、培训要求</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根据实际情况，向采购人提供操作使用培训、系统管理培训等相关培训。</w:t>
      </w:r>
    </w:p>
    <w:p>
      <w:pPr>
        <w:pStyle w:val="103"/>
        <w:widowControl w:val="0"/>
        <w:wordWrap/>
        <w:adjustRightInd/>
        <w:snapToGrid/>
        <w:spacing w:before="0" w:beforeLines="0" w:after="0" w:afterLines="0" w:line="360"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九、项目结算方式</w:t>
      </w:r>
    </w:p>
    <w:p>
      <w:pPr>
        <w:widowControl w:val="0"/>
        <w:wordWrap/>
        <w:autoSpaceDE w:val="0"/>
        <w:autoSpaceDN w:val="0"/>
        <w:adjustRightInd/>
        <w:snapToGrid/>
        <w:spacing w:beforeLines="0" w:afterLines="0" w:line="360" w:lineRule="auto"/>
        <w:ind w:firstLine="480" w:firstLineChars="200"/>
        <w:jc w:val="left"/>
        <w:textAlignment w:val="baseline"/>
        <w:rPr>
          <w:rFonts w:hint="eastAsia" w:ascii="宋体" w:hAnsi="宋体" w:eastAsia="宋体" w:cs="宋体"/>
          <w:bCs/>
          <w:sz w:val="24"/>
          <w:highlight w:val="none"/>
        </w:rPr>
      </w:pPr>
      <w:r>
        <w:rPr>
          <w:rFonts w:hint="eastAsia" w:ascii="宋体" w:hAnsi="宋体" w:eastAsia="宋体" w:cs="宋体"/>
          <w:bCs/>
          <w:sz w:val="24"/>
          <w:highlight w:val="none"/>
        </w:rPr>
        <w:t>（1）预付款：合同签订后15个工作日内，采购人向中标单位支付合同总金额</w:t>
      </w:r>
      <w:r>
        <w:rPr>
          <w:rFonts w:hint="eastAsia" w:ascii="宋体" w:hAnsi="宋体" w:eastAsia="宋体" w:cs="宋体"/>
          <w:bCs/>
          <w:sz w:val="24"/>
          <w:highlight w:val="none"/>
          <w:lang w:val="en-US" w:eastAsia="zh-CN"/>
        </w:rPr>
        <w:t>55</w:t>
      </w:r>
      <w:r>
        <w:rPr>
          <w:rFonts w:hint="eastAsia" w:ascii="宋体" w:hAnsi="宋体" w:eastAsia="宋体" w:cs="宋体"/>
          <w:bCs/>
          <w:sz w:val="24"/>
          <w:highlight w:val="none"/>
        </w:rPr>
        <w:t>%的预付款；</w:t>
      </w:r>
    </w:p>
    <w:p>
      <w:pPr>
        <w:widowControl w:val="0"/>
        <w:wordWrap/>
        <w:autoSpaceDE w:val="0"/>
        <w:autoSpaceDN w:val="0"/>
        <w:adjustRightInd/>
        <w:snapToGrid/>
        <w:spacing w:beforeLines="0" w:afterLines="0" w:line="360" w:lineRule="auto"/>
        <w:ind w:firstLine="480" w:firstLineChars="200"/>
        <w:jc w:val="left"/>
        <w:textAlignment w:val="baseline"/>
        <w:rPr>
          <w:rFonts w:hint="eastAsia" w:ascii="宋体" w:hAnsi="宋体" w:eastAsia="宋体" w:cs="宋体"/>
          <w:bCs/>
          <w:sz w:val="24"/>
          <w:highlight w:val="none"/>
        </w:rPr>
      </w:pPr>
      <w:r>
        <w:rPr>
          <w:rFonts w:hint="eastAsia" w:ascii="宋体" w:hAnsi="宋体" w:eastAsia="宋体" w:cs="宋体"/>
          <w:bCs/>
          <w:sz w:val="24"/>
          <w:highlight w:val="none"/>
        </w:rPr>
        <w:t>（2）进度款：</w:t>
      </w:r>
    </w:p>
    <w:p>
      <w:pPr>
        <w:widowControl w:val="0"/>
        <w:wordWrap/>
        <w:autoSpaceDE w:val="0"/>
        <w:autoSpaceDN w:val="0"/>
        <w:adjustRightInd/>
        <w:snapToGrid/>
        <w:spacing w:beforeLines="0" w:afterLines="0" w:line="360" w:lineRule="auto"/>
        <w:ind w:firstLine="480" w:firstLineChars="200"/>
        <w:jc w:val="left"/>
        <w:textAlignment w:val="baseline"/>
        <w:rPr>
          <w:rFonts w:hint="eastAsia" w:ascii="宋体" w:hAnsi="宋体" w:eastAsia="宋体" w:cs="宋体"/>
          <w:bCs/>
          <w:sz w:val="24"/>
          <w:highlight w:val="none"/>
        </w:rPr>
      </w:pPr>
      <w:r>
        <w:rPr>
          <w:rFonts w:hint="eastAsia" w:ascii="宋体" w:hAnsi="宋体" w:eastAsia="宋体" w:cs="宋体"/>
          <w:bCs/>
          <w:sz w:val="24"/>
          <w:highlight w:val="none"/>
        </w:rPr>
        <w:t>2.1中标单位完成项目建设工作并通过初验合格后，15个工作日内采购人向中标单位支付合同总金额的</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w:t>
      </w:r>
    </w:p>
    <w:p>
      <w:pPr>
        <w:autoSpaceDE w:val="0"/>
        <w:autoSpaceDN w:val="0"/>
        <w:adjustRightInd/>
        <w:snapToGrid/>
        <w:spacing w:beforeLines="0" w:afterLines="0" w:line="360" w:lineRule="auto"/>
        <w:ind w:firstLine="480" w:firstLineChars="200"/>
        <w:jc w:val="left"/>
        <w:textAlignment w:val="baseline"/>
        <w:rPr>
          <w:rFonts w:hint="eastAsia" w:ascii="宋体" w:hAnsi="宋体" w:eastAsia="宋体" w:cs="宋体"/>
          <w:bCs/>
          <w:snapToGrid w:val="0"/>
          <w:color w:val="000000"/>
          <w:sz w:val="24"/>
          <w:szCs w:val="24"/>
          <w:highlight w:val="none"/>
          <w:lang w:eastAsia="zh-CN"/>
        </w:rPr>
      </w:pPr>
      <w:r>
        <w:rPr>
          <w:rFonts w:hint="eastAsia" w:ascii="宋体" w:hAnsi="宋体" w:eastAsia="宋体" w:cs="宋体"/>
          <w:bCs/>
          <w:sz w:val="24"/>
          <w:highlight w:val="none"/>
        </w:rPr>
        <w:t>2.2中标单位完成项目建设工作、系统试运行并通过终验合格后，15个工作日内采购人向中标单位支付合同总金额的</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w:t>
      </w:r>
    </w:p>
    <w:p>
      <w:pPr>
        <w:pStyle w:val="5"/>
        <w:widowControl w:val="0"/>
        <w:wordWrap/>
        <w:adjustRightInd/>
        <w:snapToGrid/>
        <w:spacing w:before="0" w:beforeLines="0" w:after="0" w:afterLines="0" w:line="360" w:lineRule="auto"/>
        <w:ind w:left="0" w:leftChars="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十、信息、数据成果所有权及保密规定</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信息采集数据的成果最终所有权归采购人所有。未经采购人同意中标供应商不得擅自扩散或提供给第三方使用。中标供应商的人员在采购人单位工作时，应遵守相关规章、制度等，中标供应商对在系统运行期间所获得的采购人的情报和资料有保密义务，泄露秘密应承担相应的责任。不论本合同是否变更、解除、终止，本条款均有效。</w:t>
      </w:r>
    </w:p>
    <w:p>
      <w:pPr>
        <w:pStyle w:val="5"/>
        <w:widowControl w:val="0"/>
        <w:wordWrap/>
        <w:adjustRightInd/>
        <w:snapToGrid/>
        <w:spacing w:before="0" w:beforeLines="0" w:after="0" w:afterLines="0" w:line="360" w:lineRule="auto"/>
        <w:ind w:left="0" w:leftChars="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十一、验收</w:t>
      </w:r>
    </w:p>
    <w:p>
      <w:pPr>
        <w:pStyle w:val="629"/>
        <w:widowControl w:val="0"/>
        <w:wordWrap/>
        <w:adjustRightInd/>
        <w:snapToGrid/>
        <w:spacing w:beforeLines="0" w:afterLines="0" w:line="360" w:lineRule="auto"/>
        <w:ind w:firstLine="48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招标人组织对供应商履约的验收。大型或者复杂的政府采购项目，可邀请国家认可的质量检测机构参加验收工作。验收方成员应当在验收书上签字，并承担相应的法律责任。如果发现与合同中要求不符，供应商</w:t>
      </w:r>
      <w:r>
        <w:rPr>
          <w:rFonts w:hint="eastAsia" w:ascii="宋体" w:hAnsi="宋体" w:eastAsia="宋体" w:cs="宋体"/>
          <w:sz w:val="24"/>
          <w:szCs w:val="24"/>
          <w:highlight w:val="none"/>
        </w:rPr>
        <w:t>立即整改直至符合合同要求，并</w:t>
      </w:r>
      <w:r>
        <w:rPr>
          <w:rFonts w:hint="eastAsia" w:ascii="宋体" w:hAnsi="宋体" w:eastAsia="宋体" w:cs="宋体"/>
          <w:sz w:val="24"/>
          <w:szCs w:val="24"/>
          <w:highlight w:val="none"/>
          <w:lang w:val="zh-CN"/>
        </w:rPr>
        <w:t>承担由此发生的一切费用。</w:t>
      </w:r>
    </w:p>
    <w:p>
      <w:pPr>
        <w:pStyle w:val="629"/>
        <w:widowControl w:val="0"/>
        <w:wordWrap/>
        <w:adjustRightInd/>
        <w:snapToGrid/>
        <w:spacing w:beforeLines="0" w:afterLines="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629"/>
        <w:widowControl w:val="0"/>
        <w:wordWrap/>
        <w:adjustRightInd/>
        <w:snapToGrid/>
        <w:spacing w:beforeLines="0" w:afterLines="0"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验收合格的项目，招标人将根据采购合同的约定及时向供应商支付采购资金、退还履约保证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pPr>
        <w:pStyle w:val="629"/>
        <w:widowControl w:val="0"/>
        <w:wordWrap/>
        <w:adjustRightInd/>
        <w:snapToGrid/>
        <w:spacing w:beforeLines="0" w:afterLines="0"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十二、服务标准</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2、中国国家标准及其它被普遍认可的标准，由招标人认可的其他国家的其他权威标准；原有规范若已被废弃，则以相应的新规范为准。</w:t>
      </w:r>
    </w:p>
    <w:p>
      <w:pPr>
        <w:pStyle w:val="103"/>
        <w:widowControl w:val="0"/>
        <w:wordWrap/>
        <w:adjustRightInd/>
        <w:snapToGrid/>
        <w:spacing w:beforeLines="0" w:afterLines="0" w:line="360" w:lineRule="auto"/>
        <w:ind w:firstLine="480"/>
        <w:rPr>
          <w:rFonts w:hint="eastAsia" w:ascii="宋体" w:hAnsi="宋体" w:eastAsia="宋体" w:cs="宋体"/>
          <w:highlight w:val="none"/>
        </w:rPr>
      </w:pPr>
      <w:r>
        <w:rPr>
          <w:rFonts w:hint="eastAsia" w:ascii="宋体" w:hAnsi="宋体" w:eastAsia="宋体" w:cs="宋体"/>
          <w:highlight w:val="none"/>
        </w:rPr>
        <w:t>3、供应商提供的产品必须满足采购文件中提出的相关技术要求。</w:t>
      </w:r>
    </w:p>
    <w:p>
      <w:pPr>
        <w:spacing w:line="240" w:lineRule="auto"/>
        <w:jc w:val="left"/>
        <w:outlineLvl w:val="9"/>
        <w:rPr>
          <w:rFonts w:hint="eastAsia" w:ascii="宋体" w:hAnsi="宋体" w:eastAsia="宋体" w:cs="宋体"/>
          <w:b/>
          <w:sz w:val="36"/>
          <w:szCs w:val="36"/>
        </w:rPr>
      </w:pPr>
      <w:r>
        <w:rPr>
          <w:rFonts w:hint="eastAsia" w:ascii="宋体" w:hAnsi="宋体" w:eastAsia="宋体" w:cs="宋体"/>
          <w:b/>
          <w:sz w:val="36"/>
          <w:szCs w:val="36"/>
        </w:rPr>
        <w:br w:type="page"/>
      </w: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9" w:name="_Toc184310302"/>
      <w:bookmarkEnd w:id="39"/>
      <w:bookmarkStart w:id="40" w:name="_Toc184312137"/>
      <w:bookmarkEnd w:id="40"/>
      <w:bookmarkStart w:id="41" w:name="_Toc184308087"/>
      <w:bookmarkEnd w:id="41"/>
      <w:bookmarkStart w:id="42" w:name="_Toc184308101"/>
      <w:bookmarkEnd w:id="42"/>
      <w:bookmarkStart w:id="43" w:name="_Toc184312103"/>
      <w:bookmarkEnd w:id="43"/>
      <w:bookmarkStart w:id="44" w:name="_Toc184314414"/>
      <w:bookmarkEnd w:id="44"/>
      <w:bookmarkStart w:id="45" w:name="_Toc184312138"/>
      <w:bookmarkEnd w:id="45"/>
      <w:bookmarkStart w:id="46" w:name="_Toc184312072"/>
      <w:bookmarkEnd w:id="46"/>
      <w:bookmarkStart w:id="47" w:name="_Toc184310319"/>
      <w:bookmarkEnd w:id="47"/>
      <w:bookmarkStart w:id="48" w:name="_Toc184312075"/>
      <w:bookmarkEnd w:id="48"/>
      <w:bookmarkStart w:id="49" w:name="_Toc184310315"/>
      <w:bookmarkEnd w:id="49"/>
      <w:bookmarkStart w:id="50" w:name="_Toc184312096"/>
      <w:bookmarkEnd w:id="50"/>
      <w:bookmarkStart w:id="51" w:name="_Toc184310323"/>
      <w:bookmarkEnd w:id="51"/>
      <w:bookmarkStart w:id="52" w:name="_Toc184313270"/>
      <w:bookmarkEnd w:id="52"/>
      <w:bookmarkStart w:id="53" w:name="_Toc184310341"/>
      <w:bookmarkEnd w:id="53"/>
      <w:bookmarkStart w:id="54" w:name="_Toc184308099"/>
      <w:bookmarkEnd w:id="54"/>
      <w:bookmarkStart w:id="55" w:name="_Toc184312081"/>
      <w:bookmarkEnd w:id="55"/>
      <w:bookmarkStart w:id="56" w:name="_Toc184312077"/>
      <w:bookmarkEnd w:id="56"/>
      <w:bookmarkStart w:id="57" w:name="_Toc184308048"/>
      <w:bookmarkEnd w:id="57"/>
      <w:bookmarkStart w:id="58" w:name="_Toc184314438"/>
      <w:bookmarkEnd w:id="58"/>
      <w:bookmarkStart w:id="59" w:name="_Toc184313261"/>
      <w:bookmarkEnd w:id="59"/>
      <w:bookmarkStart w:id="60" w:name="_Toc184310289"/>
      <w:bookmarkEnd w:id="60"/>
      <w:bookmarkStart w:id="61" w:name="_Toc184310306"/>
      <w:bookmarkEnd w:id="61"/>
      <w:bookmarkStart w:id="62" w:name="_Toc184310293"/>
      <w:bookmarkEnd w:id="62"/>
      <w:bookmarkStart w:id="63" w:name="_Toc184310308"/>
      <w:bookmarkEnd w:id="63"/>
      <w:bookmarkStart w:id="64" w:name="_Toc184308045"/>
      <w:bookmarkEnd w:id="64"/>
      <w:bookmarkStart w:id="65" w:name="_Toc184308103"/>
      <w:bookmarkEnd w:id="65"/>
      <w:bookmarkStart w:id="66" w:name="_Toc184308037"/>
      <w:bookmarkEnd w:id="66"/>
      <w:bookmarkStart w:id="67" w:name="_Toc184313264"/>
      <w:bookmarkEnd w:id="67"/>
      <w:bookmarkStart w:id="68" w:name="_Toc184314411"/>
      <w:bookmarkEnd w:id="68"/>
      <w:bookmarkStart w:id="69" w:name="_Toc184313282"/>
      <w:bookmarkEnd w:id="69"/>
      <w:bookmarkStart w:id="70" w:name="_Toc184310321"/>
      <w:bookmarkEnd w:id="70"/>
      <w:bookmarkStart w:id="71" w:name="_Toc184312106"/>
      <w:bookmarkEnd w:id="71"/>
      <w:bookmarkStart w:id="72" w:name="_Toc184310336"/>
      <w:bookmarkEnd w:id="72"/>
      <w:bookmarkStart w:id="73" w:name="_Toc184312088"/>
      <w:bookmarkEnd w:id="73"/>
      <w:bookmarkStart w:id="74" w:name="_Toc184313269"/>
      <w:bookmarkEnd w:id="74"/>
      <w:bookmarkStart w:id="75" w:name="_Toc184313271"/>
      <w:bookmarkEnd w:id="75"/>
      <w:bookmarkStart w:id="76" w:name="_Toc184313255"/>
      <w:bookmarkEnd w:id="76"/>
      <w:bookmarkStart w:id="77" w:name="_Toc184312136"/>
      <w:bookmarkEnd w:id="77"/>
      <w:bookmarkStart w:id="78" w:name="_Toc184310343"/>
      <w:bookmarkEnd w:id="78"/>
      <w:bookmarkStart w:id="79" w:name="_Toc184310329"/>
      <w:bookmarkEnd w:id="79"/>
      <w:bookmarkStart w:id="80" w:name="_Toc184310344"/>
      <w:bookmarkEnd w:id="80"/>
      <w:bookmarkStart w:id="81" w:name="_Toc184312085"/>
      <w:bookmarkEnd w:id="81"/>
      <w:bookmarkStart w:id="82" w:name="_Toc184310330"/>
      <w:bookmarkEnd w:id="82"/>
      <w:bookmarkStart w:id="83" w:name="_Toc184312078"/>
      <w:bookmarkEnd w:id="83"/>
      <w:bookmarkStart w:id="84" w:name="_Toc184314457"/>
      <w:bookmarkEnd w:id="84"/>
      <w:bookmarkStart w:id="85" w:name="_Toc184314467"/>
      <w:bookmarkEnd w:id="85"/>
      <w:bookmarkStart w:id="86" w:name="_Toc184314454"/>
      <w:bookmarkEnd w:id="86"/>
      <w:bookmarkStart w:id="87" w:name="_Toc184310307"/>
      <w:bookmarkEnd w:id="87"/>
      <w:bookmarkStart w:id="88" w:name="_Toc184312122"/>
      <w:bookmarkEnd w:id="88"/>
      <w:bookmarkStart w:id="89" w:name="_Toc184312109"/>
      <w:bookmarkEnd w:id="89"/>
      <w:bookmarkStart w:id="90" w:name="_Toc184314440"/>
      <w:bookmarkEnd w:id="90"/>
      <w:bookmarkStart w:id="91" w:name="_Toc184314462"/>
      <w:bookmarkEnd w:id="91"/>
      <w:bookmarkStart w:id="92" w:name="_Toc184308057"/>
      <w:bookmarkEnd w:id="92"/>
      <w:bookmarkStart w:id="93" w:name="_Toc184313273"/>
      <w:bookmarkEnd w:id="93"/>
      <w:bookmarkStart w:id="94" w:name="_Toc184312104"/>
      <w:bookmarkEnd w:id="94"/>
      <w:bookmarkStart w:id="95" w:name="_Toc184312134"/>
      <w:bookmarkEnd w:id="95"/>
      <w:bookmarkStart w:id="96" w:name="_Toc184313260"/>
      <w:bookmarkEnd w:id="96"/>
      <w:bookmarkStart w:id="97" w:name="_Toc184313308"/>
      <w:bookmarkEnd w:id="97"/>
      <w:bookmarkStart w:id="98" w:name="_Toc184310283"/>
      <w:bookmarkEnd w:id="98"/>
      <w:bookmarkStart w:id="99" w:name="_Toc184312074"/>
      <w:bookmarkEnd w:id="99"/>
      <w:bookmarkStart w:id="100" w:name="_Toc184308081"/>
      <w:bookmarkEnd w:id="100"/>
      <w:bookmarkStart w:id="101" w:name="_Toc184314474"/>
      <w:bookmarkEnd w:id="101"/>
      <w:bookmarkStart w:id="102" w:name="_Toc184314456"/>
      <w:bookmarkEnd w:id="102"/>
      <w:bookmarkStart w:id="103" w:name="_Toc184310300"/>
      <w:bookmarkEnd w:id="103"/>
      <w:bookmarkStart w:id="104" w:name="_Toc184308071"/>
      <w:bookmarkEnd w:id="104"/>
      <w:bookmarkStart w:id="105" w:name="_Toc184308078"/>
      <w:bookmarkEnd w:id="105"/>
      <w:bookmarkStart w:id="106" w:name="_Toc184312126"/>
      <w:bookmarkEnd w:id="106"/>
      <w:bookmarkStart w:id="107" w:name="_Toc184308100"/>
      <w:bookmarkEnd w:id="107"/>
      <w:bookmarkStart w:id="108" w:name="_Toc184312118"/>
      <w:bookmarkEnd w:id="108"/>
      <w:bookmarkStart w:id="109" w:name="_Toc184310328"/>
      <w:bookmarkEnd w:id="109"/>
      <w:bookmarkStart w:id="110" w:name="_Toc184312097"/>
      <w:bookmarkEnd w:id="110"/>
      <w:bookmarkStart w:id="111" w:name="_Toc184312068"/>
      <w:bookmarkEnd w:id="111"/>
      <w:bookmarkStart w:id="112" w:name="_Toc184310277"/>
      <w:bookmarkEnd w:id="112"/>
      <w:bookmarkStart w:id="113" w:name="_Toc184310297"/>
      <w:bookmarkEnd w:id="113"/>
      <w:bookmarkStart w:id="114" w:name="_Toc184310320"/>
      <w:bookmarkEnd w:id="114"/>
      <w:bookmarkStart w:id="115" w:name="_Toc184312071"/>
      <w:bookmarkEnd w:id="115"/>
      <w:bookmarkStart w:id="116" w:name="_Toc184310322"/>
      <w:bookmarkEnd w:id="116"/>
      <w:bookmarkStart w:id="117" w:name="_Toc184308091"/>
      <w:bookmarkEnd w:id="117"/>
      <w:bookmarkStart w:id="118" w:name="_Toc184312067"/>
      <w:bookmarkEnd w:id="118"/>
      <w:bookmarkStart w:id="119" w:name="_Toc184313265"/>
      <w:bookmarkEnd w:id="119"/>
      <w:bookmarkStart w:id="120" w:name="_Toc184313249"/>
      <w:bookmarkEnd w:id="120"/>
      <w:bookmarkStart w:id="121" w:name="_Toc184314453"/>
      <w:bookmarkEnd w:id="121"/>
      <w:bookmarkStart w:id="122" w:name="_Toc184312133"/>
      <w:bookmarkEnd w:id="122"/>
      <w:bookmarkStart w:id="123" w:name="_Toc184312130"/>
      <w:bookmarkEnd w:id="123"/>
      <w:bookmarkStart w:id="124" w:name="_Toc184310311"/>
      <w:bookmarkEnd w:id="124"/>
      <w:bookmarkStart w:id="125" w:name="_Toc184308049"/>
      <w:bookmarkEnd w:id="125"/>
      <w:bookmarkStart w:id="126" w:name="_Toc184313280"/>
      <w:bookmarkEnd w:id="126"/>
      <w:bookmarkStart w:id="127" w:name="_Toc184313247"/>
      <w:bookmarkEnd w:id="127"/>
      <w:bookmarkStart w:id="128" w:name="_Toc184308097"/>
      <w:bookmarkEnd w:id="128"/>
      <w:bookmarkStart w:id="129" w:name="_Toc184314448"/>
      <w:bookmarkEnd w:id="129"/>
      <w:bookmarkStart w:id="130" w:name="_Toc184314433"/>
      <w:bookmarkEnd w:id="130"/>
      <w:bookmarkStart w:id="131" w:name="_Toc184314475"/>
      <w:bookmarkEnd w:id="131"/>
      <w:bookmarkStart w:id="132" w:name="_Toc184310301"/>
      <w:bookmarkEnd w:id="132"/>
      <w:bookmarkStart w:id="133" w:name="_Toc184312082"/>
      <w:bookmarkEnd w:id="133"/>
      <w:bookmarkStart w:id="134" w:name="_Toc184312116"/>
      <w:bookmarkEnd w:id="134"/>
      <w:bookmarkStart w:id="135" w:name="_Toc184314429"/>
      <w:bookmarkEnd w:id="135"/>
      <w:bookmarkStart w:id="136" w:name="_Toc184312111"/>
      <w:bookmarkEnd w:id="136"/>
      <w:bookmarkStart w:id="137" w:name="_Toc184313307"/>
      <w:bookmarkEnd w:id="137"/>
      <w:bookmarkStart w:id="138" w:name="_Toc184312127"/>
      <w:bookmarkEnd w:id="138"/>
      <w:bookmarkStart w:id="139" w:name="_Toc184310299"/>
      <w:bookmarkEnd w:id="139"/>
      <w:bookmarkStart w:id="140" w:name="_Toc184310295"/>
      <w:bookmarkEnd w:id="140"/>
      <w:bookmarkStart w:id="141" w:name="_Toc184313276"/>
      <w:bookmarkEnd w:id="141"/>
      <w:bookmarkStart w:id="142" w:name="_Toc184314419"/>
      <w:bookmarkEnd w:id="142"/>
      <w:bookmarkStart w:id="143" w:name="_Toc184310310"/>
      <w:bookmarkEnd w:id="143"/>
      <w:bookmarkStart w:id="144" w:name="_Toc184313300"/>
      <w:bookmarkEnd w:id="144"/>
      <w:bookmarkStart w:id="145" w:name="_Toc184308052"/>
      <w:bookmarkEnd w:id="145"/>
      <w:bookmarkStart w:id="146" w:name="_Toc184308072"/>
      <w:bookmarkEnd w:id="146"/>
      <w:bookmarkStart w:id="147" w:name="_Toc184314421"/>
      <w:bookmarkEnd w:id="147"/>
      <w:bookmarkStart w:id="148" w:name="_Toc184308102"/>
      <w:bookmarkEnd w:id="148"/>
      <w:bookmarkStart w:id="149" w:name="_Toc184312132"/>
      <w:bookmarkEnd w:id="149"/>
      <w:bookmarkStart w:id="150" w:name="_Toc184310276"/>
      <w:bookmarkEnd w:id="150"/>
      <w:bookmarkStart w:id="151" w:name="_Toc184310281"/>
      <w:bookmarkEnd w:id="151"/>
      <w:bookmarkStart w:id="152" w:name="_Toc184312125"/>
      <w:bookmarkEnd w:id="152"/>
      <w:bookmarkStart w:id="153" w:name="_Toc184308076"/>
      <w:bookmarkEnd w:id="153"/>
      <w:bookmarkStart w:id="154" w:name="_Toc184314450"/>
      <w:bookmarkEnd w:id="154"/>
      <w:bookmarkStart w:id="155" w:name="_Toc184308080"/>
      <w:bookmarkEnd w:id="155"/>
      <w:bookmarkStart w:id="156" w:name="_Toc184313305"/>
      <w:bookmarkEnd w:id="156"/>
      <w:bookmarkStart w:id="157" w:name="_Toc184314471"/>
      <w:bookmarkEnd w:id="157"/>
      <w:bookmarkStart w:id="158" w:name="_Toc184314469"/>
      <w:bookmarkEnd w:id="158"/>
      <w:bookmarkStart w:id="159" w:name="_Toc184310279"/>
      <w:bookmarkEnd w:id="159"/>
      <w:bookmarkStart w:id="160" w:name="_Toc184308036"/>
      <w:bookmarkEnd w:id="160"/>
      <w:bookmarkStart w:id="161" w:name="_Toc184312129"/>
      <w:bookmarkEnd w:id="161"/>
      <w:bookmarkStart w:id="162" w:name="_Toc184314446"/>
      <w:bookmarkEnd w:id="162"/>
      <w:bookmarkStart w:id="163" w:name="_Toc184312113"/>
      <w:bookmarkEnd w:id="163"/>
      <w:bookmarkStart w:id="164" w:name="_Toc184308105"/>
      <w:bookmarkEnd w:id="164"/>
      <w:bookmarkStart w:id="165" w:name="_Toc184313279"/>
      <w:bookmarkEnd w:id="165"/>
      <w:bookmarkStart w:id="166" w:name="_Toc184308069"/>
      <w:bookmarkEnd w:id="166"/>
      <w:bookmarkStart w:id="167" w:name="_Toc184313272"/>
      <w:bookmarkEnd w:id="167"/>
      <w:bookmarkStart w:id="168" w:name="_Toc184308059"/>
      <w:bookmarkEnd w:id="168"/>
      <w:bookmarkStart w:id="169" w:name="_Toc184314473"/>
      <w:bookmarkEnd w:id="169"/>
      <w:bookmarkStart w:id="170" w:name="_Toc184313283"/>
      <w:bookmarkEnd w:id="170"/>
      <w:bookmarkStart w:id="171" w:name="_Toc184313303"/>
      <w:bookmarkEnd w:id="171"/>
      <w:bookmarkStart w:id="172" w:name="_Toc184314417"/>
      <w:bookmarkEnd w:id="172"/>
      <w:bookmarkStart w:id="173" w:name="_Toc184313306"/>
      <w:bookmarkEnd w:id="173"/>
      <w:bookmarkStart w:id="174" w:name="_Toc184312080"/>
      <w:bookmarkEnd w:id="174"/>
      <w:bookmarkStart w:id="175" w:name="_Toc184313278"/>
      <w:bookmarkEnd w:id="175"/>
      <w:bookmarkStart w:id="176" w:name="_Toc184310274"/>
      <w:bookmarkEnd w:id="176"/>
      <w:bookmarkStart w:id="177" w:name="_Toc184312120"/>
      <w:bookmarkEnd w:id="177"/>
      <w:bookmarkStart w:id="178" w:name="_Toc184310331"/>
      <w:bookmarkEnd w:id="178"/>
      <w:bookmarkStart w:id="179" w:name="_Toc184313293"/>
      <w:bookmarkEnd w:id="179"/>
      <w:bookmarkStart w:id="180" w:name="_Toc184312084"/>
      <w:bookmarkEnd w:id="180"/>
      <w:bookmarkStart w:id="181" w:name="_Toc184310305"/>
      <w:bookmarkEnd w:id="181"/>
      <w:bookmarkStart w:id="182" w:name="_Toc184313244"/>
      <w:bookmarkEnd w:id="182"/>
      <w:bookmarkStart w:id="183" w:name="_Toc184310337"/>
      <w:bookmarkEnd w:id="183"/>
      <w:bookmarkStart w:id="184" w:name="_Toc184314430"/>
      <w:bookmarkEnd w:id="184"/>
      <w:bookmarkStart w:id="185" w:name="_Toc184313262"/>
      <w:bookmarkEnd w:id="185"/>
      <w:bookmarkStart w:id="186" w:name="_Toc184310284"/>
      <w:bookmarkEnd w:id="186"/>
      <w:bookmarkStart w:id="187" w:name="_Toc184313254"/>
      <w:bookmarkEnd w:id="187"/>
      <w:bookmarkStart w:id="188" w:name="_Toc184314461"/>
      <w:bookmarkEnd w:id="188"/>
      <w:bookmarkStart w:id="189" w:name="_Toc184313287"/>
      <w:bookmarkEnd w:id="189"/>
      <w:bookmarkStart w:id="190" w:name="_Toc184313258"/>
      <w:bookmarkEnd w:id="190"/>
      <w:bookmarkStart w:id="191" w:name="_Toc184308042"/>
      <w:bookmarkEnd w:id="191"/>
      <w:bookmarkStart w:id="192" w:name="_Toc184314455"/>
      <w:bookmarkEnd w:id="192"/>
      <w:bookmarkStart w:id="193" w:name="_Toc184314436"/>
      <w:bookmarkEnd w:id="193"/>
      <w:bookmarkStart w:id="194" w:name="_Toc184313241"/>
      <w:bookmarkEnd w:id="194"/>
      <w:bookmarkStart w:id="195" w:name="_Toc184314413"/>
      <w:bookmarkEnd w:id="195"/>
      <w:bookmarkStart w:id="196" w:name="_Toc184310296"/>
      <w:bookmarkEnd w:id="196"/>
      <w:bookmarkStart w:id="197" w:name="_Toc184308065"/>
      <w:bookmarkEnd w:id="197"/>
      <w:bookmarkStart w:id="198" w:name="_Toc184308067"/>
      <w:bookmarkEnd w:id="198"/>
      <w:bookmarkStart w:id="199" w:name="_Toc184314444"/>
      <w:bookmarkEnd w:id="199"/>
      <w:bookmarkStart w:id="200" w:name="_Toc184313302"/>
      <w:bookmarkEnd w:id="200"/>
      <w:bookmarkStart w:id="201" w:name="_Toc184313275"/>
      <w:bookmarkEnd w:id="201"/>
      <w:bookmarkStart w:id="202" w:name="_Toc184312083"/>
      <w:bookmarkEnd w:id="202"/>
      <w:bookmarkStart w:id="203" w:name="_Toc184314410"/>
      <w:bookmarkEnd w:id="203"/>
      <w:bookmarkStart w:id="204" w:name="_Toc184310338"/>
      <w:bookmarkEnd w:id="204"/>
      <w:bookmarkStart w:id="205" w:name="_Toc184314466"/>
      <w:bookmarkEnd w:id="205"/>
      <w:bookmarkStart w:id="206" w:name="_Toc184313286"/>
      <w:bookmarkEnd w:id="206"/>
      <w:bookmarkStart w:id="207" w:name="_Toc184308047"/>
      <w:bookmarkEnd w:id="207"/>
      <w:bookmarkStart w:id="208" w:name="_Toc184314478"/>
      <w:bookmarkEnd w:id="208"/>
      <w:bookmarkStart w:id="209" w:name="_Toc184310298"/>
      <w:bookmarkEnd w:id="209"/>
      <w:bookmarkStart w:id="210" w:name="_Toc184314418"/>
      <w:bookmarkEnd w:id="210"/>
      <w:bookmarkStart w:id="211" w:name="_Toc184313304"/>
      <w:bookmarkEnd w:id="211"/>
      <w:bookmarkStart w:id="212" w:name="_Toc184308068"/>
      <w:bookmarkEnd w:id="212"/>
      <w:bookmarkStart w:id="213" w:name="_Toc184314452"/>
      <w:bookmarkEnd w:id="213"/>
      <w:bookmarkStart w:id="214" w:name="_Toc184312099"/>
      <w:bookmarkEnd w:id="214"/>
      <w:bookmarkStart w:id="215" w:name="_Toc184310292"/>
      <w:bookmarkEnd w:id="215"/>
      <w:bookmarkStart w:id="216" w:name="_Toc184312107"/>
      <w:bookmarkEnd w:id="216"/>
      <w:bookmarkStart w:id="217" w:name="_Toc184314464"/>
      <w:bookmarkEnd w:id="217"/>
      <w:bookmarkStart w:id="218" w:name="_Toc184308084"/>
      <w:bookmarkEnd w:id="218"/>
      <w:bookmarkStart w:id="219" w:name="_Toc184314470"/>
      <w:bookmarkEnd w:id="219"/>
      <w:bookmarkStart w:id="220" w:name="_Toc184310290"/>
      <w:bookmarkEnd w:id="220"/>
      <w:bookmarkStart w:id="221" w:name="_Toc184310275"/>
      <w:bookmarkEnd w:id="221"/>
      <w:bookmarkStart w:id="222" w:name="_Toc184312128"/>
      <w:bookmarkEnd w:id="222"/>
      <w:bookmarkStart w:id="223" w:name="_Toc184308074"/>
      <w:bookmarkEnd w:id="223"/>
      <w:bookmarkStart w:id="224" w:name="_Toc184308070"/>
      <w:bookmarkEnd w:id="224"/>
      <w:bookmarkStart w:id="225" w:name="_Toc184310291"/>
      <w:bookmarkEnd w:id="225"/>
      <w:bookmarkStart w:id="226" w:name="_Toc184313301"/>
      <w:bookmarkEnd w:id="226"/>
      <w:bookmarkStart w:id="227" w:name="_Toc184308063"/>
      <w:bookmarkEnd w:id="227"/>
      <w:bookmarkStart w:id="228" w:name="_Toc184314420"/>
      <w:bookmarkEnd w:id="228"/>
      <w:bookmarkStart w:id="229" w:name="_Toc184313257"/>
      <w:bookmarkEnd w:id="229"/>
      <w:bookmarkStart w:id="230" w:name="_Toc184312124"/>
      <w:bookmarkEnd w:id="230"/>
      <w:bookmarkStart w:id="231" w:name="_Toc184312135"/>
      <w:bookmarkEnd w:id="231"/>
      <w:bookmarkStart w:id="232" w:name="_Toc184308075"/>
      <w:bookmarkEnd w:id="232"/>
      <w:bookmarkStart w:id="233" w:name="_Toc184313284"/>
      <w:bookmarkEnd w:id="233"/>
      <w:bookmarkStart w:id="234" w:name="_Toc184313310"/>
      <w:bookmarkEnd w:id="234"/>
      <w:bookmarkStart w:id="235" w:name="_Toc184314426"/>
      <w:bookmarkEnd w:id="235"/>
      <w:bookmarkStart w:id="236" w:name="_Toc184313289"/>
      <w:bookmarkEnd w:id="236"/>
      <w:bookmarkStart w:id="237" w:name="_Toc184310326"/>
      <w:bookmarkEnd w:id="237"/>
      <w:bookmarkStart w:id="238" w:name="_Toc184308058"/>
      <w:bookmarkEnd w:id="238"/>
      <w:bookmarkStart w:id="239" w:name="_Toc184312098"/>
      <w:bookmarkEnd w:id="239"/>
      <w:bookmarkStart w:id="240" w:name="_Toc184308085"/>
      <w:bookmarkEnd w:id="240"/>
      <w:bookmarkStart w:id="241" w:name="_Toc184313288"/>
      <w:bookmarkEnd w:id="241"/>
      <w:bookmarkStart w:id="242" w:name="_Toc184314415"/>
      <w:bookmarkEnd w:id="242"/>
      <w:bookmarkStart w:id="243" w:name="_Toc184312108"/>
      <w:bookmarkEnd w:id="243"/>
      <w:bookmarkStart w:id="244" w:name="_Toc184313253"/>
      <w:bookmarkEnd w:id="244"/>
      <w:bookmarkStart w:id="245" w:name="_Toc184308060"/>
      <w:bookmarkEnd w:id="245"/>
      <w:bookmarkStart w:id="246" w:name="_Toc184313281"/>
      <w:bookmarkEnd w:id="246"/>
      <w:bookmarkStart w:id="247" w:name="_Toc184314445"/>
      <w:bookmarkEnd w:id="247"/>
      <w:bookmarkStart w:id="248" w:name="_Toc184313274"/>
      <w:bookmarkEnd w:id="248"/>
      <w:bookmarkStart w:id="249" w:name="_Toc184310272"/>
      <w:bookmarkEnd w:id="249"/>
      <w:bookmarkStart w:id="250" w:name="_Toc184308093"/>
      <w:bookmarkEnd w:id="250"/>
      <w:bookmarkStart w:id="251" w:name="_Toc184308096"/>
      <w:bookmarkEnd w:id="251"/>
      <w:bookmarkStart w:id="252" w:name="_Toc184312119"/>
      <w:bookmarkEnd w:id="252"/>
      <w:bookmarkStart w:id="253" w:name="_Toc184310309"/>
      <w:bookmarkEnd w:id="253"/>
      <w:bookmarkStart w:id="254" w:name="_Toc184312101"/>
      <w:bookmarkEnd w:id="254"/>
      <w:bookmarkStart w:id="255" w:name="_Toc184314476"/>
      <w:bookmarkEnd w:id="255"/>
      <w:bookmarkStart w:id="256" w:name="_Toc184314459"/>
      <w:bookmarkEnd w:id="256"/>
      <w:bookmarkStart w:id="257" w:name="_Toc184310288"/>
      <w:bookmarkEnd w:id="257"/>
      <w:bookmarkStart w:id="258" w:name="_Toc184308051"/>
      <w:bookmarkEnd w:id="258"/>
      <w:bookmarkStart w:id="259" w:name="_Toc184310335"/>
      <w:bookmarkEnd w:id="259"/>
      <w:bookmarkStart w:id="260" w:name="_Toc184314480"/>
      <w:bookmarkEnd w:id="260"/>
      <w:bookmarkStart w:id="261" w:name="_Toc184312087"/>
      <w:bookmarkEnd w:id="261"/>
      <w:bookmarkStart w:id="262" w:name="_Toc184314442"/>
      <w:bookmarkEnd w:id="262"/>
      <w:bookmarkStart w:id="263" w:name="_Toc184308040"/>
      <w:bookmarkEnd w:id="263"/>
      <w:bookmarkStart w:id="264" w:name="_Toc184308038"/>
      <w:bookmarkEnd w:id="264"/>
      <w:bookmarkStart w:id="265" w:name="_Toc184310333"/>
      <w:bookmarkEnd w:id="265"/>
      <w:bookmarkStart w:id="266" w:name="_Toc184310312"/>
      <w:bookmarkEnd w:id="266"/>
      <w:bookmarkStart w:id="267" w:name="_Toc184308054"/>
      <w:bookmarkEnd w:id="267"/>
      <w:bookmarkStart w:id="268" w:name="_Toc184313238"/>
      <w:bookmarkEnd w:id="268"/>
      <w:bookmarkStart w:id="269" w:name="_Toc184314479"/>
      <w:bookmarkEnd w:id="269"/>
      <w:bookmarkStart w:id="270" w:name="_Toc184314458"/>
      <w:bookmarkEnd w:id="270"/>
      <w:bookmarkStart w:id="271" w:name="_Toc184314434"/>
      <w:bookmarkEnd w:id="271"/>
      <w:bookmarkStart w:id="272" w:name="_Toc184313240"/>
      <w:bookmarkEnd w:id="272"/>
      <w:bookmarkStart w:id="273" w:name="_Toc184314447"/>
      <w:bookmarkEnd w:id="273"/>
      <w:bookmarkStart w:id="274" w:name="_Toc184308041"/>
      <w:bookmarkEnd w:id="274"/>
      <w:bookmarkStart w:id="275" w:name="_Toc184312100"/>
      <w:bookmarkEnd w:id="275"/>
      <w:bookmarkStart w:id="276" w:name="_Toc184313292"/>
      <w:bookmarkEnd w:id="276"/>
      <w:bookmarkStart w:id="277" w:name="_Toc184308083"/>
      <w:bookmarkEnd w:id="277"/>
      <w:bookmarkStart w:id="278" w:name="_Toc184314416"/>
      <w:bookmarkEnd w:id="278"/>
      <w:bookmarkStart w:id="279" w:name="_Toc184310316"/>
      <w:bookmarkEnd w:id="279"/>
      <w:bookmarkStart w:id="280" w:name="_Toc184312070"/>
      <w:bookmarkEnd w:id="280"/>
      <w:bookmarkStart w:id="281" w:name="_Toc184308039"/>
      <w:bookmarkEnd w:id="281"/>
      <w:bookmarkStart w:id="282" w:name="_Toc184308098"/>
      <w:bookmarkEnd w:id="282"/>
      <w:bookmarkStart w:id="283" w:name="_Toc184313299"/>
      <w:bookmarkEnd w:id="283"/>
      <w:bookmarkStart w:id="284" w:name="_Toc184313309"/>
      <w:bookmarkEnd w:id="284"/>
      <w:bookmarkStart w:id="285" w:name="_Toc184314423"/>
      <w:bookmarkEnd w:id="285"/>
      <w:bookmarkStart w:id="286" w:name="_Toc184308092"/>
      <w:bookmarkEnd w:id="286"/>
      <w:bookmarkStart w:id="287" w:name="_Toc184314451"/>
      <w:bookmarkEnd w:id="287"/>
      <w:bookmarkStart w:id="288" w:name="_Toc184308089"/>
      <w:bookmarkEnd w:id="288"/>
      <w:bookmarkStart w:id="289" w:name="_Toc184310282"/>
      <w:bookmarkEnd w:id="289"/>
      <w:bookmarkStart w:id="290" w:name="_Toc184310303"/>
      <w:bookmarkEnd w:id="290"/>
      <w:bookmarkStart w:id="291" w:name="_Toc184312092"/>
      <w:bookmarkEnd w:id="291"/>
      <w:bookmarkStart w:id="292" w:name="_Toc184308066"/>
      <w:bookmarkEnd w:id="292"/>
      <w:bookmarkStart w:id="293" w:name="_Toc184310278"/>
      <w:bookmarkEnd w:id="293"/>
      <w:bookmarkStart w:id="294" w:name="_Toc184313285"/>
      <w:bookmarkEnd w:id="294"/>
      <w:bookmarkStart w:id="295" w:name="_Toc184314422"/>
      <w:bookmarkEnd w:id="295"/>
      <w:bookmarkStart w:id="296" w:name="_Toc184314465"/>
      <w:bookmarkEnd w:id="296"/>
      <w:bookmarkStart w:id="297" w:name="_Toc184313290"/>
      <w:bookmarkEnd w:id="297"/>
      <w:bookmarkStart w:id="298" w:name="_Toc184310318"/>
      <w:bookmarkEnd w:id="298"/>
      <w:bookmarkStart w:id="299" w:name="_Toc184313291"/>
      <w:bookmarkEnd w:id="299"/>
      <w:bookmarkStart w:id="300" w:name="_Toc184310285"/>
      <w:bookmarkEnd w:id="300"/>
      <w:bookmarkStart w:id="301" w:name="_Toc184308044"/>
      <w:bookmarkEnd w:id="301"/>
      <w:bookmarkStart w:id="302" w:name="_Toc184313259"/>
      <w:bookmarkEnd w:id="302"/>
      <w:bookmarkStart w:id="303" w:name="_Toc184308043"/>
      <w:bookmarkEnd w:id="303"/>
      <w:bookmarkStart w:id="304" w:name="_Toc184314425"/>
      <w:bookmarkEnd w:id="304"/>
      <w:bookmarkStart w:id="305" w:name="_Toc184312112"/>
      <w:bookmarkEnd w:id="305"/>
      <w:bookmarkStart w:id="306" w:name="_Toc184314437"/>
      <w:bookmarkEnd w:id="306"/>
      <w:bookmarkStart w:id="307" w:name="_Toc184313297"/>
      <w:bookmarkEnd w:id="307"/>
      <w:bookmarkStart w:id="308" w:name="_Toc184313295"/>
      <w:bookmarkEnd w:id="308"/>
      <w:bookmarkStart w:id="309" w:name="_Toc184314449"/>
      <w:bookmarkEnd w:id="309"/>
      <w:bookmarkStart w:id="310" w:name="_Toc184308090"/>
      <w:bookmarkEnd w:id="310"/>
      <w:bookmarkStart w:id="311" w:name="_Toc184310286"/>
      <w:bookmarkEnd w:id="311"/>
      <w:bookmarkStart w:id="312" w:name="_Toc184314428"/>
      <w:bookmarkEnd w:id="312"/>
      <w:bookmarkStart w:id="313" w:name="_Toc184314468"/>
      <w:bookmarkEnd w:id="313"/>
      <w:bookmarkStart w:id="314" w:name="_Toc184310273"/>
      <w:bookmarkEnd w:id="314"/>
      <w:bookmarkStart w:id="315" w:name="_Toc184310317"/>
      <w:bookmarkEnd w:id="315"/>
      <w:bookmarkStart w:id="316" w:name="_Toc184312076"/>
      <w:bookmarkEnd w:id="316"/>
      <w:bookmarkStart w:id="317" w:name="_Toc184312105"/>
      <w:bookmarkEnd w:id="317"/>
      <w:bookmarkStart w:id="318" w:name="_Toc184308050"/>
      <w:bookmarkEnd w:id="318"/>
      <w:bookmarkStart w:id="319" w:name="_Toc184313294"/>
      <w:bookmarkEnd w:id="319"/>
      <w:bookmarkStart w:id="320" w:name="_Toc184310313"/>
      <w:bookmarkEnd w:id="320"/>
      <w:bookmarkStart w:id="321" w:name="_Toc184308061"/>
      <w:bookmarkEnd w:id="321"/>
      <w:bookmarkStart w:id="322" w:name="_Toc184313246"/>
      <w:bookmarkEnd w:id="322"/>
      <w:bookmarkStart w:id="323" w:name="_Toc184313239"/>
      <w:bookmarkEnd w:id="323"/>
      <w:bookmarkStart w:id="324" w:name="_Toc184312123"/>
      <w:bookmarkEnd w:id="324"/>
      <w:bookmarkStart w:id="325" w:name="_Toc184312121"/>
      <w:bookmarkEnd w:id="325"/>
      <w:bookmarkStart w:id="326" w:name="_Toc184308079"/>
      <w:bookmarkEnd w:id="326"/>
      <w:bookmarkStart w:id="327" w:name="_Toc184308064"/>
      <w:bookmarkEnd w:id="327"/>
      <w:bookmarkStart w:id="328" w:name="_Toc184312091"/>
      <w:bookmarkEnd w:id="328"/>
      <w:bookmarkStart w:id="329" w:name="_Toc184310339"/>
      <w:bookmarkEnd w:id="329"/>
      <w:bookmarkStart w:id="330" w:name="_Toc184314460"/>
      <w:bookmarkEnd w:id="330"/>
      <w:bookmarkStart w:id="331" w:name="_Toc184313250"/>
      <w:bookmarkEnd w:id="331"/>
      <w:bookmarkStart w:id="332" w:name="_Toc184312102"/>
      <w:bookmarkEnd w:id="332"/>
      <w:bookmarkStart w:id="333" w:name="_Toc184313245"/>
      <w:bookmarkEnd w:id="333"/>
      <w:bookmarkStart w:id="334" w:name="_Toc184313242"/>
      <w:bookmarkEnd w:id="334"/>
      <w:bookmarkStart w:id="335" w:name="_Toc184313267"/>
      <w:bookmarkEnd w:id="335"/>
      <w:bookmarkStart w:id="336" w:name="_Toc184312073"/>
      <w:bookmarkEnd w:id="336"/>
      <w:bookmarkStart w:id="337" w:name="_Toc184308107"/>
      <w:bookmarkEnd w:id="337"/>
      <w:bookmarkStart w:id="338" w:name="_Toc184314463"/>
      <w:bookmarkEnd w:id="338"/>
      <w:bookmarkStart w:id="339" w:name="_Toc184310294"/>
      <w:bookmarkEnd w:id="339"/>
      <w:bookmarkStart w:id="340" w:name="_Toc184312069"/>
      <w:bookmarkEnd w:id="340"/>
      <w:bookmarkStart w:id="341" w:name="_Toc184314443"/>
      <w:bookmarkEnd w:id="341"/>
      <w:bookmarkStart w:id="342" w:name="_Toc184310304"/>
      <w:bookmarkEnd w:id="342"/>
      <w:bookmarkStart w:id="343" w:name="_Toc184308095"/>
      <w:bookmarkEnd w:id="343"/>
      <w:bookmarkStart w:id="344" w:name="_Toc184314441"/>
      <w:bookmarkEnd w:id="344"/>
      <w:bookmarkStart w:id="345" w:name="_Toc184313251"/>
      <w:bookmarkEnd w:id="345"/>
      <w:bookmarkStart w:id="346" w:name="_Toc184308082"/>
      <w:bookmarkEnd w:id="346"/>
      <w:bookmarkStart w:id="347" w:name="_Toc184314412"/>
      <w:bookmarkEnd w:id="347"/>
      <w:bookmarkStart w:id="348" w:name="_Toc184308104"/>
      <w:bookmarkEnd w:id="348"/>
      <w:bookmarkStart w:id="349" w:name="_Toc184312079"/>
      <w:bookmarkEnd w:id="349"/>
      <w:bookmarkStart w:id="350" w:name="_Toc184313296"/>
      <w:bookmarkEnd w:id="350"/>
      <w:bookmarkStart w:id="351" w:name="_Toc184310324"/>
      <w:bookmarkEnd w:id="351"/>
      <w:bookmarkStart w:id="352" w:name="_Toc184313268"/>
      <w:bookmarkEnd w:id="352"/>
      <w:bookmarkStart w:id="353" w:name="_Toc184308106"/>
      <w:bookmarkEnd w:id="353"/>
      <w:bookmarkStart w:id="354" w:name="_Toc184314439"/>
      <w:bookmarkEnd w:id="354"/>
      <w:bookmarkStart w:id="355" w:name="_Toc184314427"/>
      <w:bookmarkEnd w:id="355"/>
      <w:bookmarkStart w:id="356" w:name="_Toc184314481"/>
      <w:bookmarkEnd w:id="356"/>
      <w:bookmarkStart w:id="357" w:name="_Toc184308046"/>
      <w:bookmarkEnd w:id="357"/>
      <w:bookmarkStart w:id="358" w:name="_Toc184308073"/>
      <w:bookmarkEnd w:id="358"/>
      <w:bookmarkStart w:id="359" w:name="_Toc184308053"/>
      <w:bookmarkEnd w:id="359"/>
      <w:bookmarkStart w:id="360" w:name="_Toc184313256"/>
      <w:bookmarkEnd w:id="360"/>
      <w:bookmarkStart w:id="361" w:name="_Toc184308086"/>
      <w:bookmarkEnd w:id="361"/>
      <w:bookmarkStart w:id="362" w:name="_Toc184312094"/>
      <w:bookmarkEnd w:id="362"/>
      <w:bookmarkStart w:id="363" w:name="_Toc184314431"/>
      <w:bookmarkEnd w:id="363"/>
      <w:bookmarkStart w:id="364" w:name="_Toc184314482"/>
      <w:bookmarkEnd w:id="364"/>
      <w:bookmarkStart w:id="365" w:name="_Toc184310340"/>
      <w:bookmarkEnd w:id="365"/>
      <w:bookmarkStart w:id="366" w:name="_Toc184313263"/>
      <w:bookmarkEnd w:id="366"/>
      <w:bookmarkStart w:id="367" w:name="_Toc184308108"/>
      <w:bookmarkEnd w:id="367"/>
      <w:bookmarkStart w:id="368" w:name="_Toc184308062"/>
      <w:bookmarkEnd w:id="368"/>
      <w:bookmarkStart w:id="369" w:name="_Toc184312139"/>
      <w:bookmarkEnd w:id="369"/>
      <w:bookmarkStart w:id="370" w:name="_Toc184310280"/>
      <w:bookmarkEnd w:id="370"/>
      <w:bookmarkStart w:id="371" w:name="_Toc184313266"/>
      <w:bookmarkEnd w:id="371"/>
      <w:bookmarkStart w:id="372" w:name="_Toc184310334"/>
      <w:bookmarkEnd w:id="372"/>
      <w:bookmarkStart w:id="373" w:name="_Toc184308094"/>
      <w:bookmarkEnd w:id="373"/>
      <w:bookmarkStart w:id="374" w:name="_Toc184308056"/>
      <w:bookmarkEnd w:id="374"/>
      <w:bookmarkStart w:id="375" w:name="_Toc184314472"/>
      <w:bookmarkEnd w:id="375"/>
      <w:bookmarkStart w:id="376" w:name="_Toc184310325"/>
      <w:bookmarkEnd w:id="376"/>
      <w:bookmarkStart w:id="377" w:name="_Toc184312089"/>
      <w:bookmarkEnd w:id="377"/>
      <w:bookmarkStart w:id="378" w:name="_Toc184314432"/>
      <w:bookmarkEnd w:id="378"/>
      <w:bookmarkStart w:id="379" w:name="_Toc184310332"/>
      <w:bookmarkEnd w:id="379"/>
      <w:bookmarkStart w:id="380" w:name="_Toc184313252"/>
      <w:bookmarkEnd w:id="380"/>
      <w:bookmarkStart w:id="381" w:name="_Toc184314477"/>
      <w:bookmarkEnd w:id="381"/>
      <w:bookmarkStart w:id="382" w:name="_Toc184310327"/>
      <w:bookmarkEnd w:id="382"/>
      <w:bookmarkStart w:id="383" w:name="_Toc184313248"/>
      <w:bookmarkEnd w:id="383"/>
      <w:bookmarkStart w:id="384" w:name="_Toc184314424"/>
      <w:bookmarkEnd w:id="384"/>
      <w:bookmarkStart w:id="385" w:name="_Toc184312086"/>
      <w:bookmarkEnd w:id="385"/>
      <w:bookmarkStart w:id="386" w:name="_Toc184310314"/>
      <w:bookmarkEnd w:id="386"/>
      <w:bookmarkStart w:id="387" w:name="_Toc184312131"/>
      <w:bookmarkEnd w:id="387"/>
      <w:bookmarkStart w:id="388" w:name="_Toc184314435"/>
      <w:bookmarkEnd w:id="388"/>
      <w:bookmarkStart w:id="389" w:name="_Toc184313298"/>
      <w:bookmarkEnd w:id="389"/>
      <w:bookmarkStart w:id="390" w:name="_Toc184310287"/>
      <w:bookmarkEnd w:id="390"/>
      <w:bookmarkStart w:id="391" w:name="_Toc184312110"/>
      <w:bookmarkEnd w:id="391"/>
      <w:bookmarkStart w:id="392" w:name="_Toc184312090"/>
      <w:bookmarkEnd w:id="392"/>
      <w:bookmarkStart w:id="393" w:name="_Toc184312115"/>
      <w:bookmarkEnd w:id="393"/>
      <w:bookmarkStart w:id="394" w:name="_Toc184308088"/>
      <w:bookmarkEnd w:id="394"/>
      <w:bookmarkStart w:id="395" w:name="_Toc184308055"/>
      <w:bookmarkEnd w:id="395"/>
      <w:bookmarkStart w:id="396" w:name="_Toc184313243"/>
      <w:bookmarkEnd w:id="396"/>
      <w:bookmarkStart w:id="397" w:name="_Toc184312093"/>
      <w:bookmarkEnd w:id="397"/>
      <w:bookmarkStart w:id="398" w:name="_Toc184308077"/>
      <w:bookmarkEnd w:id="398"/>
      <w:bookmarkStart w:id="399" w:name="_Toc184312117"/>
      <w:bookmarkEnd w:id="399"/>
      <w:bookmarkStart w:id="400" w:name="_Toc184312114"/>
      <w:bookmarkEnd w:id="400"/>
      <w:bookmarkStart w:id="401" w:name="_Toc184312095"/>
      <w:bookmarkEnd w:id="401"/>
      <w:bookmarkStart w:id="402" w:name="_Toc184310342"/>
      <w:bookmarkEnd w:id="402"/>
      <w:bookmarkStart w:id="403" w:name="_Toc184313277"/>
      <w:bookmarkEnd w:id="403"/>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w:t>
      </w:r>
      <w:r>
        <w:rPr>
          <w:rFonts w:hint="eastAsia" w:ascii="宋体" w:hAnsi="宋体" w:cs="宋体"/>
          <w:b/>
          <w:color w:val="auto"/>
          <w:sz w:val="24"/>
          <w:highlight w:val="none"/>
          <w:lang w:val="en-US" w:eastAsia="zh-CN"/>
        </w:rPr>
        <w:t>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eastAsia="宋体" w:cs="宋体"/>
          <w:bCs/>
          <w:sz w:val="24"/>
          <w:lang w:val="en-US" w:eastAsia="zh-CN"/>
        </w:rPr>
        <w:t>商务</w:t>
      </w:r>
      <w:r>
        <w:rPr>
          <w:rFonts w:hint="eastAsia" w:ascii="宋体" w:hAnsi="宋体" w:eastAsia="宋体" w:cs="宋体"/>
          <w:bCs/>
          <w:sz w:val="24"/>
        </w:rPr>
        <w:t>技术分+价格分得分。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eastAsia="宋体" w:cs="宋体"/>
          <w:sz w:val="24"/>
          <w:lang w:val="en-US" w:eastAsia="zh-CN"/>
        </w:rPr>
        <w:t>商务资信、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0" w:beforeLines="0" w:after="0" w:afterLines="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pPr>
        <w:spacing w:beforeLines="0" w:afterLines="0"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30</w:t>
      </w:r>
      <w:r>
        <w:rPr>
          <w:rFonts w:hint="eastAsia" w:ascii="宋体" w:hAnsi="宋体" w:eastAsia="宋体" w:cs="宋体"/>
          <w:b/>
          <w:sz w:val="24"/>
        </w:rPr>
        <w:t>分</w:t>
      </w:r>
    </w:p>
    <w:p>
      <w:pPr>
        <w:pStyle w:val="2"/>
        <w:spacing w:beforeLines="0" w:afterLines="0"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2"/>
        <w:spacing w:beforeLines="0" w:afterLines="0"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3</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%×100</w:t>
      </w:r>
    </w:p>
    <w:p>
      <w:pPr>
        <w:spacing w:beforeLines="0" w:afterLines="0"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pStyle w:val="2"/>
        <w:spacing w:beforeLines="0" w:afterLines="0"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70</w:t>
      </w:r>
      <w:r>
        <w:rPr>
          <w:rFonts w:hint="eastAsia" w:ascii="宋体" w:hAnsi="宋体" w:eastAsia="宋体" w:cs="宋体"/>
          <w:b/>
          <w:bCs/>
          <w:sz w:val="24"/>
          <w:highlight w:val="none"/>
        </w:rPr>
        <w:t>分</w:t>
      </w:r>
    </w:p>
    <w:p>
      <w:pPr>
        <w:tabs>
          <w:tab w:val="left" w:pos="1154"/>
        </w:tabs>
        <w:spacing w:beforeLines="0" w:afterLines="0"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eastAsia="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spacing w:beforeLines="0" w:afterLines="0"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eastAsia="宋体" w:cs="宋体"/>
          <w:b/>
          <w:sz w:val="24"/>
          <w:lang w:val="en-US" w:eastAsia="zh-CN"/>
        </w:rPr>
        <w:t>商务</w:t>
      </w:r>
      <w:r>
        <w:rPr>
          <w:rFonts w:hint="eastAsia" w:ascii="宋体" w:hAnsi="宋体" w:eastAsia="宋体" w:cs="宋体"/>
          <w:b/>
          <w:sz w:val="24"/>
        </w:rPr>
        <w:t>技术分，共</w:t>
      </w:r>
      <w:r>
        <w:rPr>
          <w:rFonts w:hint="eastAsia" w:ascii="宋体" w:hAnsi="宋体" w:cs="宋体"/>
          <w:b/>
          <w:sz w:val="24"/>
          <w:lang w:val="en-US" w:eastAsia="zh-CN"/>
        </w:rPr>
        <w:t>70</w:t>
      </w:r>
      <w:r>
        <w:rPr>
          <w:rFonts w:hint="eastAsia" w:ascii="宋体" w:hAnsi="宋体" w:eastAsia="宋体" w:cs="宋体"/>
          <w:b/>
          <w:sz w:val="24"/>
        </w:rPr>
        <w:t>分）</w:t>
      </w:r>
    </w:p>
    <w:p>
      <w:pPr>
        <w:pStyle w:val="5"/>
        <w:spacing w:beforeLines="0" w:afterLines="0"/>
        <w:ind w:left="10" w:leftChars="0" w:hanging="10" w:hangingChars="4"/>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3"/>
        <w:tblpPr w:leftFromText="180" w:rightFromText="180" w:vertAnchor="text" w:horzAnchor="page" w:tblpX="797" w:tblpY="496"/>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369"/>
        <w:gridCol w:w="1062"/>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89" w:type="dxa"/>
            <w:vAlign w:val="center"/>
          </w:tcPr>
          <w:p>
            <w:pPr>
              <w:snapToGrid w:val="0"/>
              <w:spacing w:before="0" w:beforeAutospacing="0" w:after="0" w:afterAutospacing="0" w:line="360" w:lineRule="auto"/>
              <w:ind w:left="0" w:leftChars="0" w:right="0"/>
              <w:jc w:val="center"/>
              <w:rPr>
                <w:rFonts w:ascii="仿宋" w:hAnsi="仿宋" w:eastAsia="仿宋" w:cs="仿宋"/>
                <w:b/>
                <w:bCs/>
                <w:sz w:val="24"/>
                <w:highlight w:val="none"/>
              </w:rPr>
            </w:pPr>
            <w:r>
              <w:rPr>
                <w:rFonts w:hint="eastAsia" w:ascii="宋体" w:hAnsi="宋体" w:eastAsia="宋体" w:cs="宋体"/>
                <w:b/>
                <w:bCs/>
                <w:color w:val="auto"/>
                <w:sz w:val="24"/>
                <w:szCs w:val="24"/>
                <w:highlight w:val="none"/>
                <w:lang w:val="en-US" w:eastAsia="zh-CN"/>
              </w:rPr>
              <w:t>序号</w:t>
            </w:r>
          </w:p>
        </w:tc>
        <w:tc>
          <w:tcPr>
            <w:tcW w:w="6369" w:type="dxa"/>
            <w:vAlign w:val="center"/>
          </w:tcPr>
          <w:p>
            <w:pPr>
              <w:snapToGrid w:val="0"/>
              <w:spacing w:before="0" w:beforeAutospacing="0" w:after="0" w:afterAutospacing="0" w:line="360" w:lineRule="auto"/>
              <w:ind w:left="0" w:leftChars="0" w:right="0"/>
              <w:jc w:val="center"/>
              <w:rPr>
                <w:rFonts w:ascii="仿宋" w:hAnsi="仿宋" w:eastAsia="仿宋" w:cs="仿宋"/>
                <w:b/>
                <w:bCs/>
                <w:sz w:val="24"/>
                <w:highlight w:val="none"/>
              </w:rPr>
            </w:pPr>
            <w:r>
              <w:rPr>
                <w:rFonts w:hint="eastAsia" w:ascii="宋体" w:hAnsi="宋体" w:eastAsia="宋体" w:cs="宋体"/>
                <w:b/>
                <w:bCs/>
                <w:color w:val="auto"/>
                <w:sz w:val="24"/>
                <w:szCs w:val="24"/>
                <w:highlight w:val="none"/>
              </w:rPr>
              <w:t>评标标准</w:t>
            </w:r>
          </w:p>
        </w:tc>
        <w:tc>
          <w:tcPr>
            <w:tcW w:w="1062" w:type="dxa"/>
            <w:vAlign w:val="center"/>
          </w:tcPr>
          <w:p>
            <w:pPr>
              <w:snapToGrid w:val="0"/>
              <w:spacing w:before="0" w:beforeAutospacing="0" w:after="0" w:afterAutospacing="0" w:line="360" w:lineRule="auto"/>
              <w:ind w:left="0" w:leftChars="0" w:right="0"/>
              <w:jc w:val="center"/>
              <w:rPr>
                <w:rFonts w:ascii="仿宋" w:hAnsi="仿宋" w:eastAsia="仿宋" w:cs="仿宋"/>
                <w:b/>
                <w:bCs/>
                <w:sz w:val="24"/>
                <w:highlight w:val="none"/>
              </w:rPr>
            </w:pPr>
            <w:r>
              <w:rPr>
                <w:rFonts w:hint="eastAsia" w:ascii="宋体" w:hAnsi="宋体" w:eastAsia="宋体" w:cs="宋体"/>
                <w:b/>
                <w:bCs/>
                <w:color w:val="auto"/>
                <w:sz w:val="24"/>
                <w:szCs w:val="24"/>
                <w:highlight w:val="none"/>
              </w:rPr>
              <w:t>权重</w:t>
            </w:r>
          </w:p>
        </w:tc>
        <w:tc>
          <w:tcPr>
            <w:tcW w:w="1268" w:type="dxa"/>
            <w:vAlign w:val="center"/>
          </w:tcPr>
          <w:p>
            <w:pPr>
              <w:snapToGrid w:val="0"/>
              <w:spacing w:before="0" w:beforeAutospacing="0" w:after="0" w:afterAutospacing="0" w:line="360" w:lineRule="auto"/>
              <w:ind w:left="0" w:leftChars="0" w:right="0"/>
              <w:jc w:val="center"/>
              <w:rPr>
                <w:rFonts w:ascii="仿宋" w:hAnsi="仿宋" w:eastAsia="仿宋" w:cs="仿宋"/>
                <w:b/>
                <w:bCs/>
                <w:sz w:val="24"/>
                <w:highlight w:val="none"/>
              </w:rPr>
            </w:pPr>
            <w:r>
              <w:rPr>
                <w:rFonts w:hint="eastAsia" w:ascii="宋体" w:hAnsi="宋体" w:eastAsia="宋体" w:cs="宋体"/>
                <w:b/>
                <w:bCs/>
                <w:color w:val="auto"/>
                <w:sz w:val="24"/>
                <w:szCs w:val="24"/>
                <w:highlight w:val="none"/>
              </w:rPr>
              <w:t>主观分/客观分属性</w:t>
            </w:r>
          </w:p>
        </w:tc>
        <w:tc>
          <w:tcPr>
            <w:tcW w:w="1268" w:type="dxa"/>
            <w:vAlign w:val="center"/>
          </w:tcPr>
          <w:p>
            <w:pPr>
              <w:snapToGrid w:val="0"/>
              <w:spacing w:before="0" w:beforeAutospacing="0" w:after="0" w:afterAutospacing="0" w:line="360" w:lineRule="auto"/>
              <w:ind w:left="0" w:leftChars="0" w:right="0"/>
              <w:jc w:val="center"/>
              <w:rPr>
                <w:rFonts w:hint="eastAsia" w:ascii="仿宋" w:hAnsi="仿宋" w:eastAsia="仿宋" w:cs="仿宋"/>
                <w:b/>
                <w:bCs/>
                <w:sz w:val="24"/>
                <w:highlight w:val="none"/>
              </w:rPr>
            </w:pPr>
            <w:r>
              <w:rPr>
                <w:rFonts w:hint="eastAsia" w:ascii="宋体" w:hAnsi="宋体" w:eastAsia="宋体" w:cs="宋体"/>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1</w:t>
            </w:r>
          </w:p>
        </w:tc>
        <w:tc>
          <w:tcPr>
            <w:tcW w:w="6369" w:type="dxa"/>
            <w:vAlign w:val="center"/>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对项目的解读包括项目建设背景、建设目标、项目需求等，对本项目投标人的整体工作思路及投标方案深度介绍包括项目建设思路、原则、技术要求，内容科学、合理的得6分；投标人对项目的解读包括项目建设背景、建设目标、项目需求等，对本项目投标人的整体工作思路及投标方案深度介绍包括项目建设思路、原则、技术要求，内容较科学、较合理的得3分；投标人对项目的解读包括项目建设背景、建设目标、项目需求等，对本项目投标人的整体工作思路及投标方案深度介绍包括项目建设思路、原则、技术要求，内容不够科学、不够合理的得1分；未提供相关内容的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6</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主观分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2</w:t>
            </w:r>
          </w:p>
        </w:tc>
        <w:tc>
          <w:tcPr>
            <w:tcW w:w="6369" w:type="dxa"/>
            <w:vAlign w:val="center"/>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所投的设备的基本功能、技术指标与需求的吻合程度和偏差情况（包括所投标产品详细配置、主要技术参数等），是否能够满足标书要求。全部满足得20分，带“</w:t>
            </w:r>
            <w:r>
              <w:rPr>
                <w:rFonts w:hint="eastAsia" w:ascii="仿宋" w:hAnsi="仿宋" w:eastAsia="仿宋" w:cs="仿宋"/>
                <w:color w:val="auto"/>
                <w:kern w:val="2"/>
                <w:sz w:val="24"/>
                <w:szCs w:val="24"/>
                <w:highlight w:val="none"/>
                <w:lang w:val="en-US" w:eastAsia="zh-CN" w:bidi="ar-SA"/>
              </w:rPr>
              <w:t>◆</w:t>
            </w:r>
            <w:r>
              <w:rPr>
                <w:rFonts w:hint="eastAsia" w:ascii="宋体" w:hAnsi="宋体" w:eastAsia="宋体" w:cs="仿宋_GB2312"/>
                <w:color w:val="auto"/>
                <w:kern w:val="2"/>
                <w:sz w:val="24"/>
                <w:szCs w:val="24"/>
                <w:highlight w:val="none"/>
                <w:lang w:val="en-US" w:eastAsia="zh-CN" w:bidi="ar-SA"/>
              </w:rPr>
              <w:t>”号指标有不满足的，扣2分；其它指标负偏离或未响应的，每项扣1分，扣完为止。注：采购需求中要求提供证明资料的，须提供，否则视为不满足此项要求</w:t>
            </w:r>
            <w:r>
              <w:rPr>
                <w:rFonts w:hint="eastAsia" w:ascii="宋体" w:hAnsi="宋体" w:cs="仿宋_GB2312"/>
                <w:color w:val="auto"/>
                <w:kern w:val="2"/>
                <w:sz w:val="24"/>
                <w:szCs w:val="24"/>
                <w:highlight w:val="none"/>
                <w:lang w:val="en-US" w:eastAsia="zh-CN" w:bidi="ar-SA"/>
              </w:rPr>
              <w:t>。</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所投标产品详细配置、主要技术参数等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tcBorders>
              <w:bottom w:val="single" w:color="auto" w:sz="4" w:space="0"/>
            </w:tcBorders>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3</w:t>
            </w:r>
          </w:p>
        </w:tc>
        <w:tc>
          <w:tcPr>
            <w:tcW w:w="6369" w:type="dxa"/>
            <w:tcBorders>
              <w:bottom w:val="single" w:color="auto" w:sz="4" w:space="0"/>
            </w:tcBorders>
            <w:vAlign w:val="center"/>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的投标方案与本项目需求的吻合程度好，与招标人的定位、管理需求等契合程度好的得6分；投标人的投标方案与本项目需求的吻合程度较好，与招标人的定位、管理需求等契合程度较好的得3分；投标人的投标方案与本项目需求的吻合程度较差，与招标人的定位、管理需求等契合程度较差的得1分；未提供相关内容的不得分。</w:t>
            </w:r>
          </w:p>
        </w:tc>
        <w:tc>
          <w:tcPr>
            <w:tcW w:w="1062" w:type="dxa"/>
            <w:tcBorders>
              <w:bottom w:val="single" w:color="auto" w:sz="4" w:space="0"/>
            </w:tcBorders>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6</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主观分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投标方案吻合度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4</w:t>
            </w:r>
          </w:p>
        </w:tc>
        <w:tc>
          <w:tcPr>
            <w:tcW w:w="6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配备项目负责人</w:t>
            </w:r>
            <w:r>
              <w:rPr>
                <w:rFonts w:hint="default" w:ascii="宋体" w:hAnsi="宋体" w:eastAsia="宋体" w:cs="仿宋_GB2312"/>
                <w:color w:val="auto"/>
                <w:kern w:val="2"/>
                <w:sz w:val="24"/>
                <w:szCs w:val="24"/>
                <w:highlight w:val="none"/>
                <w:lang w:val="en-US" w:eastAsia="zh-CN" w:bidi="ar-SA"/>
              </w:rPr>
              <w:t>1</w:t>
            </w:r>
            <w:r>
              <w:rPr>
                <w:rFonts w:hint="eastAsia" w:ascii="宋体" w:hAnsi="宋体" w:eastAsia="宋体" w:cs="仿宋_GB2312"/>
                <w:color w:val="auto"/>
                <w:kern w:val="2"/>
                <w:sz w:val="24"/>
                <w:szCs w:val="24"/>
                <w:highlight w:val="none"/>
                <w:lang w:val="en-US" w:eastAsia="zh-CN" w:bidi="ar-SA"/>
              </w:rPr>
              <w:t>人，负责人具有本科及以上学历得1分，不符合要求不得分，具备数据库相关工程师资格的得1分，不符合要求不得分。</w:t>
            </w:r>
            <w:r>
              <w:rPr>
                <w:rFonts w:hint="eastAsia" w:ascii="宋体" w:hAnsi="宋体" w:eastAsia="宋体" w:cs="仿宋_GB2312"/>
                <w:b/>
                <w:bCs/>
                <w:color w:val="auto"/>
                <w:kern w:val="2"/>
                <w:sz w:val="24"/>
                <w:szCs w:val="24"/>
                <w:highlight w:val="none"/>
                <w:lang w:val="en-US" w:eastAsia="zh-CN" w:bidi="ar-SA"/>
              </w:rPr>
              <w:t xml:space="preserve">（证明材料：投标文件中须提供以上相关人员的有效证书扫描件和近3个月的社保缴纳证明并加盖投标人公章，否则不得分） </w:t>
            </w:r>
            <w:r>
              <w:rPr>
                <w:rFonts w:hint="eastAsia" w:ascii="宋体" w:hAnsi="宋体" w:eastAsia="宋体" w:cs="仿宋_GB2312"/>
                <w:color w:val="auto"/>
                <w:kern w:val="2"/>
                <w:sz w:val="24"/>
                <w:szCs w:val="24"/>
                <w:highlight w:val="none"/>
                <w:lang w:val="en-US" w:eastAsia="zh-CN" w:bidi="ar-SA"/>
              </w:rPr>
              <w:t xml:space="preserve">                              </w:t>
            </w:r>
          </w:p>
        </w:tc>
        <w:tc>
          <w:tcPr>
            <w:tcW w:w="10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w:t>
            </w:r>
          </w:p>
        </w:tc>
        <w:tc>
          <w:tcPr>
            <w:tcW w:w="1268" w:type="dxa"/>
            <w:tcBorders>
              <w:left w:val="single" w:color="auto" w:sz="4" w:space="0"/>
            </w:tcBorders>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5</w:t>
            </w:r>
          </w:p>
        </w:tc>
        <w:tc>
          <w:tcPr>
            <w:tcW w:w="6369" w:type="dxa"/>
            <w:vAlign w:val="center"/>
          </w:tcPr>
          <w:p>
            <w:pPr>
              <w:snapToGrid w:val="0"/>
              <w:spacing w:line="360" w:lineRule="auto"/>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团队成员能力评价：</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除项目负责人外，其他成员中有1人具有本科学历的得0.5分，最多得1分，不符合要求不得分。</w:t>
            </w:r>
            <w:r>
              <w:rPr>
                <w:rFonts w:hint="eastAsia" w:ascii="宋体" w:hAnsi="宋体" w:eastAsia="宋体" w:cs="仿宋_GB2312"/>
                <w:b/>
                <w:bCs/>
                <w:color w:val="auto"/>
                <w:kern w:val="2"/>
                <w:sz w:val="24"/>
                <w:szCs w:val="24"/>
                <w:highlight w:val="none"/>
                <w:lang w:val="en-US" w:eastAsia="zh-CN" w:bidi="ar-SA"/>
              </w:rPr>
              <w:t>（证明材料：投标文件中须提供以上相关人员的有效证书扫描件和近3个月的社保缴纳证明并加盖投标人公章，否则不得分）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团队成员能力评价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6</w:t>
            </w:r>
          </w:p>
        </w:tc>
        <w:tc>
          <w:tcPr>
            <w:tcW w:w="6369" w:type="dxa"/>
            <w:vAlign w:val="center"/>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项目团队情况</w:t>
            </w:r>
            <w:r>
              <w:rPr>
                <w:rFonts w:hint="eastAsia" w:ascii="宋体" w:hAnsi="宋体" w:eastAsia="宋体" w:cs="仿宋_GB2312"/>
                <w:color w:val="auto"/>
                <w:kern w:val="2"/>
                <w:sz w:val="24"/>
                <w:szCs w:val="24"/>
                <w:highlight w:val="none"/>
                <w:lang w:val="en-US" w:eastAsia="zh-CN" w:bidi="ar-SA"/>
              </w:rPr>
              <w:t>：</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人员配备合理，对项目的人员配置情况符合采购需求；安排参与项目的专业人员素质、技术能力、专业分布、经验情况合理可行得3分；</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人员配备较为合理，对项目的人员配置情况基本符合采购需求；安排参与项目的专业人员素质、技术能力、专业分布、经验情况较为合理可行得2分；</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人员配备一般，对项目的人员配置情况与采购需求符合性一般；安排参与项目的专业人员素质、技术能力、专业分布、经验情况一般得1分；</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方案不合理或未提供方案不得分。</w:t>
            </w:r>
            <w:r>
              <w:rPr>
                <w:rFonts w:hint="eastAsia" w:ascii="宋体" w:hAnsi="宋体" w:eastAsia="宋体" w:cs="仿宋_GB2312"/>
                <w:b/>
                <w:bCs/>
                <w:color w:val="auto"/>
                <w:kern w:val="2"/>
                <w:sz w:val="24"/>
                <w:szCs w:val="24"/>
                <w:highlight w:val="none"/>
                <w:lang w:val="en-US" w:eastAsia="zh-CN" w:bidi="ar-SA"/>
              </w:rPr>
              <w:t>（</w:t>
            </w:r>
            <w:r>
              <w:rPr>
                <w:rFonts w:hint="eastAsia" w:ascii="宋体" w:hAnsi="宋体" w:cs="仿宋_GB2312"/>
                <w:b/>
                <w:bCs/>
                <w:color w:val="auto"/>
                <w:kern w:val="2"/>
                <w:sz w:val="24"/>
                <w:szCs w:val="24"/>
                <w:highlight w:val="none"/>
                <w:lang w:val="en-US" w:eastAsia="zh-CN" w:bidi="ar-SA"/>
              </w:rPr>
              <w:t>辅助</w:t>
            </w:r>
            <w:r>
              <w:rPr>
                <w:rFonts w:hint="eastAsia" w:ascii="宋体" w:hAnsi="宋体" w:eastAsia="宋体" w:cs="仿宋_GB2312"/>
                <w:b/>
                <w:bCs/>
                <w:color w:val="auto"/>
                <w:kern w:val="2"/>
                <w:sz w:val="24"/>
                <w:szCs w:val="24"/>
                <w:highlight w:val="none"/>
                <w:lang w:val="en-US" w:eastAsia="zh-CN" w:bidi="ar-SA"/>
              </w:rPr>
              <w:t>证明材料：投标文件中须提供以上相关人员的有效证书扫描件和近3个月的社保缴纳证明并加盖投标人公章，否则不得分）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3</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7</w:t>
            </w:r>
          </w:p>
        </w:tc>
        <w:tc>
          <w:tcPr>
            <w:tcW w:w="6369" w:type="dxa"/>
            <w:vAlign w:val="center"/>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本项目系统软件须与省高院办案办公平台对接，实现一键登录，投标人需提供对接承诺函，提供得4分，不提供不得分。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4</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产品衔接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8</w:t>
            </w:r>
          </w:p>
        </w:tc>
        <w:tc>
          <w:tcPr>
            <w:tcW w:w="6369" w:type="dxa"/>
            <w:vAlign w:val="top"/>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投标人提供的</w:t>
            </w:r>
            <w:r>
              <w:rPr>
                <w:rFonts w:hint="eastAsia" w:ascii="宋体" w:hAnsi="宋体" w:cs="仿宋_GB2312"/>
                <w:color w:val="auto"/>
                <w:kern w:val="2"/>
                <w:sz w:val="24"/>
                <w:szCs w:val="24"/>
                <w:highlight w:val="none"/>
                <w:lang w:val="en-US" w:eastAsia="zh-CN" w:bidi="ar-SA"/>
              </w:rPr>
              <w:t>维护</w:t>
            </w:r>
            <w:r>
              <w:rPr>
                <w:rFonts w:hint="eastAsia" w:ascii="宋体" w:hAnsi="宋体" w:eastAsia="宋体" w:cs="仿宋_GB2312"/>
                <w:color w:val="auto"/>
                <w:kern w:val="2"/>
                <w:sz w:val="24"/>
                <w:szCs w:val="24"/>
                <w:highlight w:val="none"/>
                <w:lang w:val="en-US" w:eastAsia="zh-CN" w:bidi="ar-SA"/>
              </w:rPr>
              <w:t>服务方案，包括①日常巡检、②平台维护、③运行环境维护、④特殊时期巡检等，每项内容完整、可行得1分；每项内容稍有欠缺需进一步完善得0.5分；本项最多得4分；方案内容不符合或未提供方案的不得分。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4</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主观分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维护</w:t>
            </w:r>
            <w:r>
              <w:rPr>
                <w:rFonts w:hint="eastAsia" w:ascii="宋体" w:hAnsi="宋体" w:eastAsia="宋体" w:cs="仿宋_GB2312"/>
                <w:color w:val="auto"/>
                <w:kern w:val="2"/>
                <w:sz w:val="24"/>
                <w:szCs w:val="24"/>
                <w:highlight w:val="none"/>
                <w:lang w:val="en-US" w:eastAsia="zh-CN" w:bidi="ar-SA"/>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9"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9</w:t>
            </w:r>
          </w:p>
        </w:tc>
        <w:tc>
          <w:tcPr>
            <w:tcW w:w="6369" w:type="dxa"/>
            <w:vAlign w:val="top"/>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建立完善的应急响应方案，故障分级标准、故障处理流程、应急响应预案的启动及后期处理；应急预案合理可行的得5分，投标人建立完善的应急响应方案，故障分级标准、故障处理流程、应急响应预案的启动及后期处理；应急预案较全面、合理可行的得3分；投标人建立完善的应急响应方案，故障分级标准、故障处理流程、应急响应预案的启动及后期处理；应急原内容有所欠缺需进一步完善得1分；方案不合理或未提供方案的得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5</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主观分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89"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10</w:t>
            </w:r>
          </w:p>
        </w:tc>
        <w:tc>
          <w:tcPr>
            <w:tcW w:w="6369" w:type="dxa"/>
            <w:vAlign w:val="top"/>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针对本项目人员的培训计划，包括培训方式、地点、人数、时间等内容全面、合理、可行的，得5分；投标人针对本项目人员的培训计划，包括培训方式、地点、人数、时间等内容相对完整、具有一定操作性的，得3分；投标人针对本项目人员的培训计划，包括培训方式、地点、人数、时间等内容相对欠缺较多、层次模糊、操作性差的，得1分，方案内容不符合或未提供方案的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5</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主观分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89"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11</w:t>
            </w:r>
          </w:p>
        </w:tc>
        <w:tc>
          <w:tcPr>
            <w:tcW w:w="6369" w:type="dxa"/>
            <w:vAlign w:val="top"/>
          </w:tcPr>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投标人提供的</w:t>
            </w:r>
            <w:r>
              <w:rPr>
                <w:rFonts w:hint="eastAsia" w:ascii="宋体" w:hAnsi="宋体" w:cs="仿宋_GB2312"/>
                <w:color w:val="auto"/>
                <w:kern w:val="2"/>
                <w:sz w:val="24"/>
                <w:szCs w:val="24"/>
                <w:highlight w:val="none"/>
                <w:lang w:val="en-US" w:eastAsia="zh-CN" w:bidi="ar-SA"/>
              </w:rPr>
              <w:t>售后服务方案</w:t>
            </w:r>
            <w:r>
              <w:rPr>
                <w:rFonts w:hint="eastAsia" w:ascii="宋体" w:hAnsi="宋体" w:eastAsia="宋体" w:cs="仿宋_GB2312"/>
                <w:color w:val="auto"/>
                <w:kern w:val="2"/>
                <w:sz w:val="24"/>
                <w:szCs w:val="24"/>
                <w:highlight w:val="none"/>
                <w:lang w:val="en-US" w:eastAsia="zh-CN" w:bidi="ar-SA"/>
              </w:rPr>
              <w:t>针对本项目的售后维护机构组织、人员、车辆配置等情况，内容完整，能提供快速的售后服务的得6分；内容较为完整，能提供较为快速的售后服务的得3分；内容有所欠缺需进一步完善的得1分；方案内容不符合或未提供方案的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6</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主观分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89"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12</w:t>
            </w:r>
          </w:p>
        </w:tc>
        <w:tc>
          <w:tcPr>
            <w:tcW w:w="6369" w:type="dxa"/>
            <w:vAlign w:val="top"/>
          </w:tcPr>
          <w:p>
            <w:pPr>
              <w:widowControl/>
              <w:numPr>
                <w:ilvl w:val="0"/>
                <w:numId w:val="1"/>
              </w:numPr>
              <w:spacing w:line="360" w:lineRule="auto"/>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投标人具有 ISO9001 系列质量管理体系认证证书；  </w:t>
            </w:r>
          </w:p>
          <w:p>
            <w:pPr>
              <w:widowControl/>
              <w:numPr>
                <w:ilvl w:val="0"/>
                <w:numId w:val="1"/>
              </w:numPr>
              <w:spacing w:line="360" w:lineRule="auto"/>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2、投标人具有 ISO14001 系列环境管理体系认证证书；    </w:t>
            </w:r>
          </w:p>
          <w:p>
            <w:pPr>
              <w:widowControl/>
              <w:numPr>
                <w:ilvl w:val="0"/>
                <w:numId w:val="1"/>
              </w:numPr>
              <w:spacing w:line="360" w:lineRule="auto"/>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3、投标人具有 ISO20000 信息技术服务管理体系认证</w:t>
            </w:r>
            <w:r>
              <w:rPr>
                <w:rFonts w:hint="eastAsia" w:ascii="宋体" w:hAnsi="宋体" w:cs="宋体"/>
                <w:color w:val="auto"/>
                <w:kern w:val="0"/>
                <w:sz w:val="24"/>
                <w:szCs w:val="24"/>
                <w:highlight w:val="none"/>
                <w:lang w:eastAsia="zh-CN"/>
              </w:rPr>
              <w:t>证书</w:t>
            </w:r>
            <w:r>
              <w:rPr>
                <w:rFonts w:hint="eastAsia" w:ascii="宋体" w:hAnsi="宋体" w:cs="宋体"/>
                <w:color w:val="auto"/>
                <w:kern w:val="0"/>
                <w:sz w:val="24"/>
                <w:szCs w:val="24"/>
                <w:highlight w:val="none"/>
              </w:rPr>
              <w:t xml:space="preserve">；       </w:t>
            </w:r>
          </w:p>
          <w:p>
            <w:pPr>
              <w:widowControl/>
              <w:numPr>
                <w:ilvl w:val="0"/>
                <w:numId w:val="1"/>
              </w:numPr>
              <w:spacing w:line="360" w:lineRule="auto"/>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4、投标人具有 ISO27001 信息安全管理体系</w:t>
            </w:r>
            <w:r>
              <w:rPr>
                <w:rFonts w:hint="eastAsia" w:ascii="宋体" w:hAnsi="宋体" w:cs="宋体"/>
                <w:color w:val="auto"/>
                <w:kern w:val="0"/>
                <w:sz w:val="24"/>
                <w:szCs w:val="24"/>
                <w:highlight w:val="none"/>
                <w:lang w:eastAsia="zh-CN"/>
              </w:rPr>
              <w:t>认证证书</w:t>
            </w:r>
            <w:r>
              <w:rPr>
                <w:rFonts w:hint="eastAsia" w:ascii="宋体" w:hAnsi="宋体" w:cs="宋体"/>
                <w:color w:val="auto"/>
                <w:kern w:val="0"/>
                <w:sz w:val="24"/>
                <w:szCs w:val="24"/>
                <w:highlight w:val="none"/>
              </w:rPr>
              <w:t>；</w:t>
            </w:r>
          </w:p>
          <w:p>
            <w:pPr>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投标人具有</w:t>
            </w:r>
            <w:r>
              <w:rPr>
                <w:rFonts w:hint="eastAsia" w:ascii="宋体" w:hAnsi="宋体" w:cs="宋体"/>
                <w:color w:val="auto"/>
                <w:sz w:val="24"/>
                <w:highlight w:val="none"/>
                <w:lang w:eastAsia="zh-CN"/>
              </w:rPr>
              <w:t>职业健康安全管理体系认证证书；</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kern w:val="0"/>
                <w:sz w:val="24"/>
                <w:szCs w:val="24"/>
                <w:highlight w:val="none"/>
              </w:rPr>
              <w:t xml:space="preserve">每项得 1分，共 </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p>
            <w:pPr>
              <w:snapToGrid w:val="0"/>
              <w:spacing w:line="36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
                <w:bCs/>
                <w:color w:val="auto"/>
                <w:kern w:val="2"/>
                <w:sz w:val="24"/>
                <w:szCs w:val="24"/>
                <w:highlight w:val="none"/>
                <w:lang w:val="en-US" w:eastAsia="zh-CN" w:bidi="ar-SA"/>
              </w:rPr>
              <w:t>（证明材料：投标文件中提供相应证书扫描件并加盖公章，证书须在有效期内，未按要求提供证明材料的不得分）</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5</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kern w:val="0"/>
                <w:sz w:val="24"/>
                <w:szCs w:val="24"/>
                <w:highlight w:val="none"/>
              </w:rPr>
              <w:t>企业认证证书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89"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13</w:t>
            </w:r>
          </w:p>
        </w:tc>
        <w:tc>
          <w:tcPr>
            <w:tcW w:w="6369" w:type="dxa"/>
            <w:vAlign w:val="top"/>
          </w:tcPr>
          <w:p>
            <w:pPr>
              <w:snapToGrid/>
              <w:spacing w:line="240" w:lineRule="auto"/>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kern w:val="0"/>
                <w:sz w:val="24"/>
                <w:szCs w:val="24"/>
                <w:highlight w:val="none"/>
              </w:rPr>
              <w:t>投标人2020年1月1日以来具有同类业绩，每提供一个业绩及其证明材料，得1分，最高得3分。</w:t>
            </w:r>
            <w:r>
              <w:rPr>
                <w:rFonts w:hint="eastAsia" w:ascii="宋体" w:hAnsi="宋体" w:cs="宋体"/>
                <w:b/>
                <w:bCs/>
                <w:color w:val="auto"/>
                <w:kern w:val="0"/>
                <w:sz w:val="24"/>
                <w:szCs w:val="24"/>
                <w:highlight w:val="none"/>
              </w:rPr>
              <w:t>（提供合同复印件或扫描件加盖公章；合同内容能体现与评审因素有关的项目信息）</w:t>
            </w:r>
          </w:p>
        </w:tc>
        <w:tc>
          <w:tcPr>
            <w:tcW w:w="1062"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3</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客观分</w:t>
            </w:r>
          </w:p>
        </w:tc>
        <w:tc>
          <w:tcPr>
            <w:tcW w:w="1268"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kern w:val="0"/>
                <w:sz w:val="24"/>
                <w:szCs w:val="24"/>
                <w:highlight w:val="none"/>
              </w:rPr>
              <w:t>同类业绩</w:t>
            </w:r>
          </w:p>
        </w:tc>
      </w:tr>
    </w:tbl>
    <w:p>
      <w:pPr>
        <w:rPr>
          <w:rFonts w:hint="eastAsia" w:ascii="宋体" w:hAnsi="宋体" w:eastAsia="宋体" w:cs="宋体"/>
        </w:rPr>
      </w:pPr>
    </w:p>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88"/>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88"/>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pPr>
        <w:rPr>
          <w:rFonts w:hint="eastAsia"/>
        </w:rPr>
      </w:pPr>
    </w:p>
    <w:bookmarkEnd w:id="26"/>
    <w:p>
      <w:pPr>
        <w:rPr>
          <w:rFonts w:hint="eastAsia"/>
        </w:rPr>
      </w:pPr>
      <w:bookmarkStart w:id="404" w:name="第五部分"/>
      <w:bookmarkStart w:id="405" w:name="_Toc86217003"/>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spacing w:line="240" w:lineRule="auto"/>
        <w:ind w:left="0" w:leftChars="0" w:firstLine="0" w:firstLineChars="0"/>
        <w:outlineLvl w:val="9"/>
        <w:rPr>
          <w:rFonts w:hint="eastAsia" w:ascii="宋体" w:hAnsi="宋体" w:eastAsia="宋体" w:cs="宋体"/>
          <w:b/>
          <w:sz w:val="36"/>
          <w:szCs w:val="36"/>
        </w:rPr>
      </w:pPr>
      <w:r>
        <w:rPr>
          <w:rFonts w:hint="eastAsia" w:ascii="宋体" w:hAnsi="宋体" w:eastAsia="宋体" w:cs="宋体"/>
          <w:b/>
          <w:sz w:val="36"/>
          <w:szCs w:val="36"/>
        </w:rPr>
        <w:br w:type="page"/>
      </w: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spacing w:line="480" w:lineRule="auto"/>
        <w:jc w:val="center"/>
        <w:rPr>
          <w:rFonts w:hint="eastAsia" w:ascii="宋体" w:hAnsi="宋体" w:eastAsia="宋体" w:cs="宋体"/>
          <w:b/>
          <w:sz w:val="28"/>
          <w:szCs w:val="28"/>
        </w:rPr>
      </w:pPr>
    </w:p>
    <w:p>
      <w:pPr>
        <w:spacing w:line="360" w:lineRule="auto"/>
        <w:jc w:val="center"/>
        <w:outlineLvl w:val="0"/>
        <w:rPr>
          <w:rFonts w:hint="eastAsia" w:ascii="仿宋" w:hAnsi="仿宋" w:eastAsia="仿宋" w:cs="仿宋"/>
          <w:b/>
          <w:color w:val="000000"/>
          <w:sz w:val="32"/>
          <w:szCs w:val="32"/>
          <w:highlight w:val="none"/>
        </w:rPr>
      </w:pPr>
      <w:r>
        <w:rPr>
          <w:rFonts w:hint="eastAsia" w:ascii="仿宋" w:hAnsi="仿宋" w:eastAsia="仿宋" w:cs="仿宋"/>
          <w:b/>
          <w:sz w:val="36"/>
          <w:szCs w:val="36"/>
          <w:highlight w:val="none"/>
        </w:rPr>
        <w:t>合同文本</w:t>
      </w:r>
    </w:p>
    <w:p>
      <w:pPr>
        <w:autoSpaceDE w:val="0"/>
        <w:autoSpaceDN w:val="0"/>
        <w:snapToGrid w:val="0"/>
        <w:spacing w:line="360" w:lineRule="auto"/>
        <w:ind w:firstLine="436" w:firstLineChars="182"/>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项目名称： </w:t>
      </w:r>
    </w:p>
    <w:p>
      <w:pPr>
        <w:pStyle w:val="35"/>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招标编号：</w:t>
      </w:r>
    </w:p>
    <w:p>
      <w:pPr>
        <w:pStyle w:val="35"/>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4"/>
          <w:szCs w:val="24"/>
          <w:highlight w:val="none"/>
          <w:lang w:eastAsia="zh-CN"/>
        </w:rPr>
        <w:t>甲、乙双方根据临平法院无纸化数字审委会应用系统（招标编号：</w:t>
      </w:r>
      <w:r>
        <w:rPr>
          <w:rFonts w:hint="eastAsia" w:ascii="仿宋" w:hAnsi="仿宋" w:eastAsia="仿宋" w:cs="仿宋"/>
          <w:color w:val="000000"/>
          <w:sz w:val="24"/>
          <w:highlight w:val="none"/>
          <w:lang w:eastAsia="zh-CN"/>
        </w:rPr>
        <w:t>）政府采购</w:t>
      </w:r>
      <w:r>
        <w:rPr>
          <w:rFonts w:hint="eastAsia" w:ascii="仿宋" w:hAnsi="仿宋" w:eastAsia="仿宋" w:cs="仿宋"/>
          <w:color w:val="000000"/>
          <w:sz w:val="24"/>
          <w:szCs w:val="24"/>
          <w:highlight w:val="none"/>
          <w:lang w:eastAsia="zh-CN"/>
        </w:rPr>
        <w:t>公开招标的结果，签署本合同。</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一、服务内容</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具体内容和相关要求详见招标文件“</w:t>
      </w:r>
      <w:r>
        <w:rPr>
          <w:rFonts w:hint="eastAsia" w:ascii="仿宋" w:hAnsi="仿宋" w:eastAsia="仿宋" w:cs="仿宋"/>
          <w:kern w:val="0"/>
          <w:sz w:val="24"/>
          <w:highlight w:val="none"/>
        </w:rPr>
        <w:t>第三部分——</w:t>
      </w:r>
      <w:r>
        <w:rPr>
          <w:rFonts w:hint="eastAsia" w:ascii="仿宋" w:hAnsi="仿宋" w:eastAsia="仿宋" w:cs="仿宋"/>
          <w:kern w:val="0"/>
          <w:sz w:val="24"/>
          <w:highlight w:val="none"/>
          <w:lang w:eastAsia="zh-CN"/>
        </w:rPr>
        <w:t>采购需求</w:t>
      </w:r>
      <w:r>
        <w:rPr>
          <w:rFonts w:hint="eastAsia" w:ascii="仿宋" w:hAnsi="仿宋" w:eastAsia="仿宋" w:cs="仿宋"/>
          <w:kern w:val="0"/>
          <w:sz w:val="24"/>
          <w:highlight w:val="none"/>
        </w:rPr>
        <w:t>”</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二、</w:t>
      </w:r>
      <w:r>
        <w:rPr>
          <w:rFonts w:hint="eastAsia" w:ascii="仿宋" w:hAnsi="仿宋" w:eastAsia="仿宋" w:cs="仿宋"/>
          <w:b/>
          <w:bCs/>
          <w:sz w:val="24"/>
          <w:highlight w:val="none"/>
          <w:lang w:eastAsia="zh-CN" w:bidi="en-US"/>
        </w:rPr>
        <w:t>服务时间要求</w:t>
      </w:r>
    </w:p>
    <w:p>
      <w:pPr>
        <w:pStyle w:val="628"/>
        <w:snapToGrid w:val="0"/>
        <w:spacing w:line="360" w:lineRule="auto"/>
        <w:ind w:firstLine="480"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按招标文件约定。</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三、合同金额</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合同金额为（大写）</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lang w:eastAsia="zh-CN"/>
        </w:rPr>
        <w:t>元（￥</w:t>
      </w:r>
      <w:r>
        <w:rPr>
          <w:rFonts w:hint="eastAsia" w:ascii="仿宋" w:hAnsi="仿宋" w:eastAsia="仿宋" w:cs="仿宋"/>
          <w:color w:val="000000"/>
          <w:sz w:val="24"/>
          <w:szCs w:val="24"/>
          <w:highlight w:val="none"/>
          <w:u w:val="single"/>
          <w:lang w:eastAsia="zh-CN"/>
        </w:rPr>
        <w:t xml:space="preserve">        </w:t>
      </w:r>
      <w:r>
        <w:rPr>
          <w:rFonts w:hint="eastAsia" w:ascii="仿宋" w:hAnsi="仿宋" w:eastAsia="仿宋" w:cs="仿宋"/>
          <w:color w:val="000000"/>
          <w:sz w:val="24"/>
          <w:szCs w:val="24"/>
          <w:highlight w:val="none"/>
          <w:lang w:eastAsia="zh-CN"/>
        </w:rPr>
        <w:t>元）人民币。</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四、技术资料</w:t>
      </w:r>
    </w:p>
    <w:p>
      <w:pPr>
        <w:pStyle w:val="628"/>
        <w:wordWrap/>
        <w:adjustRightInd/>
        <w:snapToGrid w:val="0"/>
        <w:spacing w:line="360" w:lineRule="auto"/>
        <w:ind w:right="0"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1.乙方应按招标文件规定的时间向甲方提供有关技术资料。</w:t>
      </w:r>
    </w:p>
    <w:p>
      <w:pPr>
        <w:pStyle w:val="628"/>
        <w:wordWrap/>
        <w:adjustRightInd/>
        <w:snapToGrid w:val="0"/>
        <w:spacing w:line="360" w:lineRule="auto"/>
        <w:ind w:right="0"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没有甲方事先书面同意，乙方不得将由甲方提供的有关合同或任何合同条文、规格、计划、图纸、样品或资料等信息提供给与履行本合同无关的任何其他人。即使向履行本合同有关的人员提供，也应注意保密并限于履行合同的必需范围。</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五、知识产权</w:t>
      </w:r>
    </w:p>
    <w:p>
      <w:pPr>
        <w:adjustRightInd/>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乙方应保证提供服务过程中不会侵犯任何第三方的</w:t>
      </w:r>
      <w:r>
        <w:rPr>
          <w:rFonts w:hint="eastAsia" w:ascii="仿宋" w:hAnsi="仿宋" w:eastAsia="仿宋" w:cs="仿宋"/>
          <w:sz w:val="24"/>
          <w:highlight w:val="none"/>
        </w:rPr>
        <w:t>商标权、专利权、肖像权、著作权</w:t>
      </w:r>
      <w:r>
        <w:rPr>
          <w:rFonts w:hint="eastAsia" w:ascii="仿宋" w:hAnsi="仿宋" w:eastAsia="仿宋" w:cs="仿宋"/>
          <w:sz w:val="24"/>
          <w:highlight w:val="none"/>
          <w:lang w:val="en-US" w:eastAsia="zh-CN"/>
        </w:rPr>
        <w:t>等权利</w:t>
      </w:r>
      <w:r>
        <w:rPr>
          <w:rFonts w:hint="eastAsia" w:ascii="仿宋" w:hAnsi="仿宋" w:eastAsia="仿宋" w:cs="仿宋"/>
          <w:color w:val="000000"/>
          <w:sz w:val="24"/>
          <w:szCs w:val="24"/>
          <w:highlight w:val="none"/>
          <w:lang w:eastAsia="zh-CN"/>
        </w:rPr>
        <w:t>，否则甲方有权单方解除或者终止合同，由此造成的一切损失、</w:t>
      </w:r>
      <w:r>
        <w:rPr>
          <w:rFonts w:hint="eastAsia" w:ascii="仿宋" w:hAnsi="仿宋" w:eastAsia="仿宋" w:cs="仿宋"/>
          <w:color w:val="000000"/>
          <w:sz w:val="24"/>
          <w:szCs w:val="24"/>
          <w:highlight w:val="none"/>
          <w:lang w:val="en-US" w:eastAsia="zh-CN"/>
        </w:rPr>
        <w:t>法律后果及责任</w:t>
      </w:r>
      <w:r>
        <w:rPr>
          <w:rFonts w:hint="eastAsia" w:ascii="仿宋" w:hAnsi="仿宋" w:eastAsia="仿宋" w:cs="仿宋"/>
          <w:color w:val="000000"/>
          <w:sz w:val="24"/>
          <w:szCs w:val="24"/>
          <w:highlight w:val="none"/>
          <w:lang w:eastAsia="zh-CN"/>
        </w:rPr>
        <w:t>由乙方承担。</w:t>
      </w:r>
      <w:r>
        <w:rPr>
          <w:rFonts w:hint="eastAsia" w:ascii="仿宋" w:hAnsi="仿宋" w:eastAsia="仿宋" w:cs="仿宋"/>
          <w:color w:val="000000"/>
          <w:sz w:val="24"/>
          <w:highlight w:val="none"/>
        </w:rPr>
        <w:t>如因任何原因致使甲方承担的，甲方有权向乙方追偿。</w:t>
      </w:r>
    </w:p>
    <w:p>
      <w:pPr>
        <w:adjustRightInd/>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sz w:val="24"/>
          <w:highlight w:val="none"/>
          <w:lang w:val="en-US" w:eastAsia="zh-CN"/>
        </w:rPr>
        <w:t>2.乙方承诺提供服务过程中</w:t>
      </w:r>
      <w:r>
        <w:rPr>
          <w:rFonts w:hint="eastAsia" w:ascii="仿宋" w:hAnsi="仿宋" w:eastAsia="仿宋" w:cs="仿宋"/>
          <w:sz w:val="24"/>
          <w:highlight w:val="none"/>
        </w:rPr>
        <w:t>所产生的照片、视频、音频等一切相关资料的</w:t>
      </w:r>
      <w:r>
        <w:rPr>
          <w:rFonts w:hint="eastAsia" w:ascii="仿宋" w:hAnsi="仿宋" w:eastAsia="仿宋" w:cs="仿宋"/>
          <w:sz w:val="24"/>
          <w:highlight w:val="none"/>
          <w:lang w:val="en-US" w:eastAsia="zh-CN"/>
        </w:rPr>
        <w:t>著作权、商标权、专利权等知识产权</w:t>
      </w:r>
      <w:r>
        <w:rPr>
          <w:rFonts w:hint="eastAsia" w:ascii="仿宋" w:hAnsi="仿宋" w:eastAsia="仿宋" w:cs="仿宋"/>
          <w:sz w:val="24"/>
          <w:highlight w:val="none"/>
        </w:rPr>
        <w:t>与使用权归属</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未经</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授权使用所产生的法律责任由</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承担。</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六、转包或分包</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本合同范围的服务，应由乙方直接供应，不得转让他人供应；</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除非得到甲方的书面同意，乙方不得将本合同范围的服务全部或部分分包给他人供应；</w:t>
      </w:r>
    </w:p>
    <w:p>
      <w:pPr>
        <w:pStyle w:val="628"/>
        <w:wordWrap/>
        <w:adjustRightInd/>
        <w:snapToGrid w:val="0"/>
        <w:spacing w:line="360" w:lineRule="auto"/>
        <w:ind w:right="0"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lang w:eastAsia="zh-CN"/>
        </w:rPr>
        <w:t>如有转让和未经甲方同意的分包行为，甲方有权</w:t>
      </w:r>
      <w:r>
        <w:rPr>
          <w:rFonts w:hint="eastAsia" w:ascii="仿宋" w:hAnsi="仿宋" w:eastAsia="仿宋" w:cs="仿宋"/>
          <w:color w:val="000000"/>
          <w:sz w:val="24"/>
          <w:szCs w:val="24"/>
          <w:highlight w:val="none"/>
          <w:lang w:val="en-US" w:eastAsia="zh-CN"/>
        </w:rPr>
        <w:t>单方</w:t>
      </w:r>
      <w:r>
        <w:rPr>
          <w:rFonts w:hint="eastAsia" w:ascii="仿宋" w:hAnsi="仿宋" w:eastAsia="仿宋" w:cs="仿宋"/>
          <w:color w:val="000000"/>
          <w:sz w:val="24"/>
          <w:szCs w:val="24"/>
          <w:highlight w:val="none"/>
          <w:lang w:eastAsia="zh-CN"/>
        </w:rPr>
        <w:t>解除合同</w:t>
      </w:r>
      <w:r>
        <w:rPr>
          <w:rFonts w:hint="eastAsia" w:ascii="仿宋" w:hAnsi="仿宋" w:eastAsia="仿宋" w:cs="仿宋"/>
          <w:color w:val="000000"/>
          <w:sz w:val="24"/>
          <w:szCs w:val="24"/>
          <w:highlight w:val="none"/>
          <w:lang w:val="en-US" w:eastAsia="zh-CN"/>
        </w:rPr>
        <w:t>或者终止合同</w:t>
      </w:r>
      <w:r>
        <w:rPr>
          <w:rFonts w:hint="eastAsia" w:ascii="仿宋" w:hAnsi="仿宋" w:eastAsia="仿宋" w:cs="仿宋"/>
          <w:color w:val="000000"/>
          <w:sz w:val="24"/>
          <w:szCs w:val="24"/>
          <w:highlight w:val="none"/>
          <w:lang w:eastAsia="zh-CN"/>
        </w:rPr>
        <w:t>，并追究乙方的违约责任，由此造成的一切损失由乙方承担。</w:t>
      </w:r>
    </w:p>
    <w:p>
      <w:pPr>
        <w:pStyle w:val="628"/>
        <w:snapToGrid w:val="0"/>
        <w:spacing w:line="360" w:lineRule="auto"/>
        <w:ind w:firstLine="482" w:firstLineChars="200"/>
        <w:rPr>
          <w:rFonts w:hint="eastAsia" w:ascii="仿宋" w:hAnsi="仿宋" w:eastAsia="仿宋" w:cs="仿宋"/>
          <w:color w:val="000000"/>
          <w:sz w:val="24"/>
          <w:szCs w:val="24"/>
          <w:highlight w:val="none"/>
          <w:lang w:eastAsia="zh-CN"/>
        </w:rPr>
      </w:pPr>
      <w:r>
        <w:rPr>
          <w:rFonts w:hint="eastAsia" w:ascii="仿宋" w:hAnsi="仿宋" w:eastAsia="仿宋" w:cs="仿宋"/>
          <w:b/>
          <w:color w:val="000000"/>
          <w:sz w:val="24"/>
          <w:szCs w:val="24"/>
          <w:highlight w:val="none"/>
          <w:lang w:eastAsia="zh-CN"/>
        </w:rPr>
        <w:t>八、合同履行时间、履行方式及履行地点</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履行时间：</w:t>
      </w:r>
      <w:r>
        <w:rPr>
          <w:rFonts w:hint="eastAsia" w:ascii="仿宋" w:hAnsi="仿宋" w:eastAsia="仿宋" w:cs="仿宋"/>
          <w:color w:val="000000"/>
          <w:sz w:val="24"/>
          <w:szCs w:val="24"/>
          <w:highlight w:val="none"/>
          <w:lang w:val="en-US" w:eastAsia="zh-CN"/>
        </w:rPr>
        <w:t>合同签订之日起一年</w:t>
      </w:r>
      <w:r>
        <w:rPr>
          <w:rFonts w:hint="eastAsia" w:ascii="仿宋" w:hAnsi="仿宋" w:eastAsia="仿宋" w:cs="仿宋"/>
          <w:color w:val="000000"/>
          <w:sz w:val="24"/>
          <w:szCs w:val="24"/>
          <w:highlight w:val="none"/>
          <w:lang w:eastAsia="zh-CN"/>
        </w:rPr>
        <w:t>；</w:t>
      </w:r>
    </w:p>
    <w:p>
      <w:pPr>
        <w:pStyle w:val="628"/>
        <w:snapToGrid w:val="0"/>
        <w:spacing w:line="360" w:lineRule="auto"/>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highlight w:val="none"/>
          <w:lang w:eastAsia="zh-CN"/>
        </w:rPr>
        <w:t>履行地点：</w:t>
      </w:r>
      <w:r>
        <w:rPr>
          <w:rFonts w:hint="eastAsia" w:ascii="仿宋" w:hAnsi="仿宋" w:eastAsia="仿宋" w:cs="仿宋"/>
          <w:color w:val="000000"/>
          <w:sz w:val="24"/>
          <w:highlight w:val="none"/>
          <w:lang w:val="en-US" w:eastAsia="zh-CN"/>
        </w:rPr>
        <w:t>甲方指定地点</w:t>
      </w:r>
      <w:r>
        <w:rPr>
          <w:rFonts w:hint="eastAsia" w:ascii="仿宋" w:hAnsi="仿宋" w:eastAsia="仿宋" w:cs="仿宋"/>
          <w:color w:val="000000"/>
          <w:sz w:val="24"/>
          <w:highlight w:val="none"/>
          <w:lang w:eastAsia="zh-CN"/>
        </w:rPr>
        <w:t>。</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九、款项支付</w:t>
      </w:r>
    </w:p>
    <w:p>
      <w:pPr>
        <w:pStyle w:val="628"/>
        <w:snapToGrid w:val="0"/>
        <w:spacing w:line="360" w:lineRule="auto"/>
        <w:ind w:firstLine="960" w:firstLineChars="400"/>
        <w:rPr>
          <w:rFonts w:hint="eastAsia" w:ascii="仿宋" w:hAnsi="仿宋" w:eastAsia="仿宋" w:cs="仿宋"/>
          <w:bCs/>
          <w:color w:val="000000"/>
          <w:sz w:val="24"/>
          <w:highlight w:val="none"/>
          <w:lang w:eastAsia="zh-CN"/>
        </w:rPr>
      </w:pPr>
      <w:r>
        <w:rPr>
          <w:rFonts w:hint="eastAsia" w:ascii="仿宋" w:hAnsi="仿宋" w:eastAsia="仿宋" w:cs="仿宋"/>
          <w:bCs/>
          <w:color w:val="000000"/>
          <w:sz w:val="24"/>
          <w:szCs w:val="24"/>
          <w:highlight w:val="none"/>
          <w:lang w:eastAsia="zh-CN"/>
        </w:rPr>
        <w:t>按招标文件约定执行</w:t>
      </w:r>
      <w:r>
        <w:rPr>
          <w:rFonts w:hint="eastAsia" w:ascii="仿宋" w:hAnsi="仿宋" w:eastAsia="仿宋" w:cs="仿宋"/>
          <w:bCs/>
          <w:color w:val="000000"/>
          <w:sz w:val="24"/>
          <w:highlight w:val="none"/>
          <w:lang w:eastAsia="zh-CN"/>
        </w:rPr>
        <w:t>。</w:t>
      </w:r>
    </w:p>
    <w:p>
      <w:pPr>
        <w:autoSpaceDE w:val="0"/>
        <w:autoSpaceDN w:val="0"/>
        <w:snapToGrid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十、税费</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本合同执行中相关的一切税费均由乙方负担。</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十一、质量保证及后续服务</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乙方应按招</w:t>
      </w:r>
      <w:r>
        <w:rPr>
          <w:rFonts w:hint="eastAsia" w:ascii="仿宋" w:hAnsi="仿宋" w:eastAsia="仿宋" w:cs="仿宋"/>
          <w:color w:val="000000"/>
          <w:sz w:val="24"/>
          <w:szCs w:val="24"/>
          <w:highlight w:val="none"/>
          <w:lang w:val="en-US" w:eastAsia="zh-CN"/>
        </w:rPr>
        <w:t>投</w:t>
      </w:r>
      <w:r>
        <w:rPr>
          <w:rFonts w:hint="eastAsia" w:ascii="仿宋" w:hAnsi="仿宋" w:eastAsia="仿宋" w:cs="仿宋"/>
          <w:color w:val="000000"/>
          <w:sz w:val="24"/>
          <w:szCs w:val="24"/>
          <w:highlight w:val="none"/>
          <w:lang w:eastAsia="zh-CN"/>
        </w:rPr>
        <w:t>标文件规定向甲方提供服务。</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乙方提供的服务成果在服务质量保证期内发生故障，乙方应负责免费、</w:t>
      </w:r>
      <w:r>
        <w:rPr>
          <w:rFonts w:hint="eastAsia" w:ascii="仿宋" w:hAnsi="仿宋" w:eastAsia="仿宋" w:cs="仿宋"/>
          <w:color w:val="000000"/>
          <w:sz w:val="24"/>
          <w:szCs w:val="24"/>
          <w:highlight w:val="none"/>
          <w:lang w:val="en-US" w:eastAsia="zh-CN"/>
        </w:rPr>
        <w:t>及时</w:t>
      </w:r>
      <w:r>
        <w:rPr>
          <w:rFonts w:hint="eastAsia" w:ascii="仿宋" w:hAnsi="仿宋" w:eastAsia="仿宋" w:cs="仿宋"/>
          <w:color w:val="000000"/>
          <w:sz w:val="24"/>
          <w:szCs w:val="24"/>
          <w:highlight w:val="none"/>
          <w:lang w:eastAsia="zh-CN"/>
        </w:rPr>
        <w:t>提供后续服务。对达不到要求者，根据实际情况，经双方协商，可按以下办法处理：</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（1）重做：由乙方承担所发生的全部费用，重做后仍未通过甲方验收的，甲方有权解除或者终止合同，由此造成的一切损失由乙方承担。</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（2）解除合同。</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在服务质量保证期内，乙方应对出现的质量及安全问题负责</w:t>
      </w:r>
      <w:r>
        <w:rPr>
          <w:rFonts w:hint="eastAsia" w:ascii="仿宋" w:hAnsi="仿宋" w:eastAsia="仿宋" w:cs="仿宋"/>
          <w:color w:val="000000"/>
          <w:sz w:val="24"/>
          <w:szCs w:val="24"/>
          <w:highlight w:val="none"/>
          <w:lang w:val="en-US" w:eastAsia="zh-CN"/>
        </w:rPr>
        <w:t>及时</w:t>
      </w:r>
      <w:r>
        <w:rPr>
          <w:rFonts w:hint="eastAsia" w:ascii="仿宋" w:hAnsi="仿宋" w:eastAsia="仿宋" w:cs="仿宋"/>
          <w:color w:val="000000"/>
          <w:sz w:val="24"/>
          <w:szCs w:val="24"/>
          <w:highlight w:val="none"/>
          <w:lang w:eastAsia="zh-CN"/>
        </w:rPr>
        <w:t>处理解决并承担一切费用。</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十二、违约责任</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甲方无正当理由拒收接受服务的，甲方向乙方偿付合同</w:t>
      </w:r>
      <w:r>
        <w:rPr>
          <w:rFonts w:hint="eastAsia" w:ascii="仿宋" w:hAnsi="仿宋" w:eastAsia="仿宋" w:cs="仿宋"/>
          <w:color w:val="000000"/>
          <w:sz w:val="24"/>
          <w:szCs w:val="24"/>
          <w:highlight w:val="none"/>
          <w:lang w:val="en-US" w:eastAsia="zh-CN"/>
        </w:rPr>
        <w:t>总额</w:t>
      </w:r>
      <w:r>
        <w:rPr>
          <w:rFonts w:hint="eastAsia" w:ascii="仿宋" w:hAnsi="仿宋" w:eastAsia="仿宋" w:cs="仿宋"/>
          <w:color w:val="000000"/>
          <w:sz w:val="24"/>
          <w:szCs w:val="24"/>
          <w:highlight w:val="none"/>
          <w:lang w:eastAsia="zh-CN"/>
        </w:rPr>
        <w:t>百分之五作为违约金。</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甲方无故逾期验收和办理款项支付手续的，甲方应按逾期付款总额每日万分之五向乙方支付违约金，赔付上限为合同总额的百分之五。</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乙方未能如期</w:t>
      </w:r>
      <w:r>
        <w:rPr>
          <w:rFonts w:hint="eastAsia" w:ascii="仿宋" w:hAnsi="仿宋" w:eastAsia="仿宋" w:cs="仿宋"/>
          <w:color w:val="000000"/>
          <w:sz w:val="24"/>
          <w:szCs w:val="24"/>
          <w:highlight w:val="none"/>
          <w:lang w:val="en-US" w:eastAsia="zh-CN"/>
        </w:rPr>
        <w:t>按质量要求</w:t>
      </w:r>
      <w:r>
        <w:rPr>
          <w:rFonts w:hint="eastAsia" w:ascii="仿宋" w:hAnsi="仿宋" w:eastAsia="仿宋" w:cs="仿宋"/>
          <w:color w:val="000000"/>
          <w:sz w:val="24"/>
          <w:szCs w:val="24"/>
          <w:highlight w:val="none"/>
          <w:lang w:eastAsia="zh-CN"/>
        </w:rPr>
        <w:t>提供服务的，每逾期一日</w:t>
      </w:r>
      <w:r>
        <w:rPr>
          <w:rFonts w:hint="eastAsia" w:ascii="仿宋" w:hAnsi="仿宋" w:eastAsia="仿宋" w:cs="仿宋"/>
          <w:color w:val="000000"/>
          <w:sz w:val="24"/>
          <w:szCs w:val="24"/>
          <w:highlight w:val="none"/>
          <w:lang w:val="en-US" w:eastAsia="zh-CN"/>
        </w:rPr>
        <w:t>应</w:t>
      </w:r>
      <w:r>
        <w:rPr>
          <w:rFonts w:hint="eastAsia" w:ascii="仿宋" w:hAnsi="仿宋" w:eastAsia="仿宋" w:cs="仿宋"/>
          <w:color w:val="000000"/>
          <w:sz w:val="24"/>
          <w:szCs w:val="24"/>
          <w:highlight w:val="none"/>
          <w:lang w:eastAsia="zh-CN"/>
        </w:rPr>
        <w:t>向甲方支付合同</w:t>
      </w:r>
      <w:r>
        <w:rPr>
          <w:rFonts w:hint="eastAsia" w:ascii="仿宋" w:hAnsi="仿宋" w:eastAsia="仿宋" w:cs="仿宋"/>
          <w:color w:val="000000"/>
          <w:sz w:val="24"/>
          <w:szCs w:val="24"/>
          <w:highlight w:val="none"/>
          <w:lang w:val="en-US" w:eastAsia="zh-CN"/>
        </w:rPr>
        <w:t>总额</w:t>
      </w:r>
      <w:r>
        <w:rPr>
          <w:rFonts w:hint="eastAsia" w:ascii="仿宋" w:hAnsi="仿宋" w:eastAsia="仿宋" w:cs="仿宋"/>
          <w:color w:val="000000"/>
          <w:sz w:val="24"/>
          <w:szCs w:val="24"/>
          <w:highlight w:val="none"/>
          <w:lang w:eastAsia="zh-CN"/>
        </w:rPr>
        <w:t>的万分之五作为违约金，赔付上限为合同总额的百分之五，逾期超过</w:t>
      </w:r>
      <w:r>
        <w:rPr>
          <w:rFonts w:hint="eastAsia" w:ascii="仿宋" w:hAnsi="仿宋" w:eastAsia="仿宋" w:cs="仿宋"/>
          <w:color w:val="000000"/>
          <w:sz w:val="24"/>
          <w:szCs w:val="24"/>
          <w:highlight w:val="none"/>
          <w:u w:val="single"/>
          <w:lang w:val="en-US" w:eastAsia="zh-CN"/>
        </w:rPr>
        <w:t>15</w:t>
      </w:r>
      <w:r>
        <w:rPr>
          <w:rFonts w:hint="eastAsia" w:ascii="仿宋" w:hAnsi="仿宋" w:eastAsia="仿宋" w:cs="仿宋"/>
          <w:color w:val="000000"/>
          <w:sz w:val="24"/>
          <w:szCs w:val="24"/>
          <w:highlight w:val="none"/>
          <w:lang w:eastAsia="zh-CN"/>
        </w:rPr>
        <w:t>天，甲方有权解除或者终止合同，由此造成的一切损失由乙方承担。</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乙方因未能如期</w:t>
      </w:r>
      <w:r>
        <w:rPr>
          <w:rFonts w:hint="eastAsia" w:ascii="仿宋" w:hAnsi="仿宋" w:eastAsia="仿宋" w:cs="仿宋"/>
          <w:color w:val="000000"/>
          <w:sz w:val="24"/>
          <w:szCs w:val="24"/>
          <w:highlight w:val="none"/>
          <w:lang w:val="en-US" w:eastAsia="zh-CN"/>
        </w:rPr>
        <w:t>按质量要求</w:t>
      </w:r>
      <w:r>
        <w:rPr>
          <w:rFonts w:hint="eastAsia" w:ascii="仿宋" w:hAnsi="仿宋" w:eastAsia="仿宋" w:cs="仿宋"/>
          <w:color w:val="000000"/>
          <w:sz w:val="24"/>
          <w:szCs w:val="24"/>
          <w:highlight w:val="none"/>
          <w:lang w:eastAsia="zh-CN"/>
        </w:rPr>
        <w:t>提供服务或因其他违约行为导致甲方解除合同的，乙方应向甲方支付合同总</w:t>
      </w:r>
      <w:r>
        <w:rPr>
          <w:rFonts w:hint="eastAsia" w:ascii="仿宋" w:hAnsi="仿宋" w:eastAsia="仿宋" w:cs="仿宋"/>
          <w:color w:val="000000"/>
          <w:sz w:val="24"/>
          <w:szCs w:val="24"/>
          <w:highlight w:val="none"/>
          <w:lang w:val="en-US" w:eastAsia="zh-CN"/>
        </w:rPr>
        <w:t>额</w:t>
      </w:r>
      <w:r>
        <w:rPr>
          <w:rFonts w:hint="eastAsia" w:ascii="仿宋" w:hAnsi="仿宋" w:eastAsia="仿宋" w:cs="仿宋"/>
          <w:color w:val="000000"/>
          <w:sz w:val="24"/>
          <w:szCs w:val="24"/>
          <w:highlight w:val="none"/>
          <w:lang w:eastAsia="zh-CN"/>
        </w:rPr>
        <w:t>的百分之五</w:t>
      </w:r>
      <w:r>
        <w:rPr>
          <w:rFonts w:hint="eastAsia" w:ascii="仿宋" w:hAnsi="仿宋" w:eastAsia="仿宋" w:cs="仿宋"/>
          <w:color w:val="000000"/>
          <w:sz w:val="24"/>
          <w:szCs w:val="24"/>
          <w:highlight w:val="none"/>
          <w:lang w:val="en-US" w:eastAsia="zh-CN"/>
        </w:rPr>
        <w:t>作为</w:t>
      </w:r>
      <w:r>
        <w:rPr>
          <w:rFonts w:hint="eastAsia" w:ascii="仿宋" w:hAnsi="仿宋" w:eastAsia="仿宋" w:cs="仿宋"/>
          <w:color w:val="000000"/>
          <w:sz w:val="24"/>
          <w:szCs w:val="24"/>
          <w:highlight w:val="none"/>
          <w:lang w:eastAsia="zh-CN"/>
        </w:rPr>
        <w:t>违约金，由此造成的一切损失（包括但不限于甲方实际损失、可得利益损失、第三方损失、甲方为此维权所支付的一切费用等）由乙方承担。</w:t>
      </w:r>
    </w:p>
    <w:p>
      <w:pPr>
        <w:pStyle w:val="628"/>
        <w:snapToGrid w:val="0"/>
        <w:spacing w:line="360" w:lineRule="auto"/>
        <w:ind w:firstLine="482" w:firstLineChars="200"/>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十三、招标文件货物清单</w:t>
      </w:r>
    </w:p>
    <w:tbl>
      <w:tblPr>
        <w:tblStyle w:val="6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542"/>
        <w:gridCol w:w="1907"/>
        <w:gridCol w:w="1896"/>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r>
              <w:rPr>
                <w:rFonts w:hint="eastAsia" w:ascii="宋体" w:hAnsi="宋体" w:cs="宋体"/>
                <w:b/>
                <w:bCs/>
                <w:color w:val="000000"/>
                <w:kern w:val="0"/>
                <w:sz w:val="18"/>
                <w:szCs w:val="18"/>
                <w:highlight w:val="none"/>
              </w:rPr>
              <w:t>产品名称</w:t>
            </w: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int="eastAsia" w:ascii="宋体" w:hAnsi="宋体" w:eastAsia="宋体" w:cs="宋体"/>
                <w:sz w:val="24"/>
                <w:szCs w:val="24"/>
              </w:rPr>
            </w:pPr>
            <w:r>
              <w:rPr>
                <w:rFonts w:hint="eastAsia" w:ascii="宋体" w:hAnsi="宋体" w:cs="宋体"/>
                <w:b/>
                <w:bCs/>
                <w:color w:val="000000"/>
                <w:kern w:val="0"/>
                <w:sz w:val="18"/>
                <w:szCs w:val="18"/>
                <w:highlight w:val="none"/>
              </w:rPr>
              <w:t>技术参数</w:t>
            </w: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int="eastAsia" w:ascii="宋体" w:hAnsi="宋体" w:eastAsia="宋体" w:cs="宋体"/>
                <w:sz w:val="24"/>
                <w:szCs w:val="24"/>
                <w:lang w:eastAsia="zh-CN"/>
              </w:rPr>
            </w:pPr>
            <w:r>
              <w:rPr>
                <w:rFonts w:hint="eastAsia" w:hAnsi="宋体" w:cs="宋体"/>
                <w:sz w:val="24"/>
                <w:szCs w:val="24"/>
                <w:lang w:eastAsia="zh-CN"/>
              </w:rPr>
              <w:t>数量</w:t>
            </w: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jc w:val="center"/>
              <w:rPr>
                <w:rFonts w:hint="eastAsia" w:hAnsi="宋体" w:cs="宋体"/>
                <w:sz w:val="24"/>
                <w:szCs w:val="24"/>
                <w:lang w:eastAsia="zh-CN"/>
              </w:rPr>
            </w:pPr>
            <w:r>
              <w:rPr>
                <w:rFonts w:hint="eastAsia" w:hAnsi="宋体" w:cs="宋体"/>
                <w:sz w:val="24"/>
                <w:szCs w:val="24"/>
                <w:lang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2542"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pPr>
              <w:pStyle w:val="108"/>
              <w:spacing w:line="560" w:lineRule="exact"/>
              <w:ind w:firstLine="200"/>
              <w:jc w:val="center"/>
              <w:rPr>
                <w:rFonts w:hint="eastAsia" w:ascii="宋体" w:hAnsi="宋体" w:eastAsia="宋体" w:cs="宋体"/>
                <w:sz w:val="24"/>
                <w:szCs w:val="24"/>
              </w:rPr>
            </w:pPr>
          </w:p>
        </w:tc>
      </w:tr>
    </w:tbl>
    <w:p>
      <w:pPr>
        <w:pStyle w:val="628"/>
        <w:snapToGrid w:val="0"/>
        <w:spacing w:line="360" w:lineRule="auto"/>
        <w:ind w:firstLine="482" w:firstLineChars="200"/>
        <w:rPr>
          <w:rFonts w:hint="eastAsia" w:ascii="仿宋" w:hAnsi="仿宋" w:eastAsia="仿宋" w:cs="仿宋"/>
          <w:b/>
          <w:color w:val="000000"/>
          <w:sz w:val="24"/>
          <w:szCs w:val="24"/>
          <w:highlight w:val="none"/>
          <w:lang w:val="en-US" w:eastAsia="zh-CN"/>
        </w:rPr>
      </w:pP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、不可抗力事件处理</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在合同有效期内，任何一方因不可抗力事件导致不能履行合同，则合同履行期可延长，其延长期与不可抗力影响期相同。</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不可抗力事件发生后，应立即通知对方，并寄送有关权威机构出具的证明。</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不可抗力事件延续120天以上，双方应通过友好协商，确定是否继续履行合同。</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lang w:eastAsia="zh-CN"/>
        </w:rPr>
        <w:t>、诉讼</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双方在执行合同中所发生的一切争议，应通过协商解决。如协商不成，可向甲方所在地</w:t>
      </w:r>
      <w:r>
        <w:rPr>
          <w:rFonts w:hint="eastAsia" w:ascii="仿宋" w:hAnsi="仿宋" w:eastAsia="仿宋" w:cs="仿宋"/>
          <w:color w:val="000000"/>
          <w:sz w:val="24"/>
          <w:szCs w:val="24"/>
          <w:highlight w:val="none"/>
          <w:lang w:val="en-US" w:eastAsia="zh-CN"/>
        </w:rPr>
        <w:t>人民</w:t>
      </w:r>
      <w:r>
        <w:rPr>
          <w:rFonts w:hint="eastAsia" w:ascii="仿宋" w:hAnsi="仿宋" w:eastAsia="仿宋" w:cs="仿宋"/>
          <w:color w:val="000000"/>
          <w:sz w:val="24"/>
          <w:szCs w:val="24"/>
          <w:highlight w:val="none"/>
          <w:lang w:eastAsia="zh-CN"/>
        </w:rPr>
        <w:t>法院起诉。</w:t>
      </w:r>
    </w:p>
    <w:p>
      <w:pPr>
        <w:pStyle w:val="628"/>
        <w:snapToGrid w:val="0"/>
        <w:spacing w:line="360" w:lineRule="auto"/>
        <w:ind w:firstLine="482" w:firstLineChars="200"/>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十</w:t>
      </w:r>
      <w:r>
        <w:rPr>
          <w:rFonts w:hint="eastAsia" w:ascii="仿宋" w:hAnsi="仿宋" w:eastAsia="仿宋" w:cs="仿宋"/>
          <w:b/>
          <w:color w:val="000000"/>
          <w:sz w:val="24"/>
          <w:szCs w:val="24"/>
          <w:highlight w:val="none"/>
          <w:lang w:val="en-US" w:eastAsia="zh-CN"/>
        </w:rPr>
        <w:t>六</w:t>
      </w:r>
      <w:r>
        <w:rPr>
          <w:rFonts w:hint="eastAsia" w:ascii="仿宋" w:hAnsi="仿宋" w:eastAsia="仿宋" w:cs="仿宋"/>
          <w:b/>
          <w:color w:val="000000"/>
          <w:sz w:val="24"/>
          <w:szCs w:val="24"/>
          <w:highlight w:val="none"/>
          <w:lang w:eastAsia="zh-CN"/>
        </w:rPr>
        <w:t>、合同生效及其它</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合同经双方法定代表人或授权代表签字或盖章并加盖单位公章后生效。</w:t>
      </w:r>
    </w:p>
    <w:p>
      <w:pPr>
        <w:pStyle w:val="628"/>
        <w:snapToGrid w:val="0"/>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合同执行中涉及采购资金和采购内容修改或补充的，须</w:t>
      </w:r>
      <w:r>
        <w:rPr>
          <w:rFonts w:hint="eastAsia" w:ascii="仿宋" w:hAnsi="仿宋" w:eastAsia="仿宋" w:cs="仿宋"/>
          <w:color w:val="000000"/>
          <w:sz w:val="24"/>
          <w:szCs w:val="24"/>
          <w:highlight w:val="none"/>
          <w:lang w:val="en-US" w:eastAsia="zh-CN"/>
        </w:rPr>
        <w:t>另行</w:t>
      </w:r>
      <w:r>
        <w:rPr>
          <w:rFonts w:hint="eastAsia" w:ascii="仿宋" w:hAnsi="仿宋" w:eastAsia="仿宋" w:cs="仿宋"/>
          <w:color w:val="000000"/>
          <w:sz w:val="24"/>
          <w:szCs w:val="24"/>
          <w:highlight w:val="none"/>
          <w:lang w:eastAsia="zh-CN"/>
        </w:rPr>
        <w:t>签</w:t>
      </w:r>
      <w:r>
        <w:rPr>
          <w:rFonts w:hint="eastAsia" w:ascii="仿宋" w:hAnsi="仿宋" w:eastAsia="仿宋" w:cs="仿宋"/>
          <w:color w:val="000000"/>
          <w:sz w:val="24"/>
          <w:szCs w:val="24"/>
          <w:highlight w:val="none"/>
          <w:lang w:val="en-US" w:eastAsia="zh-CN"/>
        </w:rPr>
        <w:t>订</w:t>
      </w:r>
      <w:r>
        <w:rPr>
          <w:rFonts w:hint="eastAsia" w:ascii="仿宋" w:hAnsi="仿宋" w:eastAsia="仿宋" w:cs="仿宋"/>
          <w:color w:val="000000"/>
          <w:sz w:val="24"/>
          <w:szCs w:val="24"/>
          <w:highlight w:val="none"/>
          <w:lang w:eastAsia="zh-CN"/>
        </w:rPr>
        <w:t>书面补充协议，方可作为主合同不可分割的一部分并备案。</w:t>
      </w:r>
    </w:p>
    <w:p>
      <w:pPr>
        <w:shd w:val="clear" w:color="auto" w:fill="FFFFFF"/>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招标文件、投标文件及评标过程中形成的文字资料、询标纪要均作为本合同的组成部分，具有同等效力。本合同未尽事宜，依据《中华人民共和国民法典》（第三编合同）和《中华人民共和国政府采购法》的有关规定，双方</w:t>
      </w:r>
      <w:r>
        <w:rPr>
          <w:rFonts w:hint="eastAsia" w:ascii="仿宋" w:hAnsi="仿宋" w:eastAsia="仿宋" w:cs="仿宋"/>
          <w:color w:val="000000"/>
          <w:sz w:val="24"/>
          <w:highlight w:val="none"/>
          <w:lang w:val="en-US" w:eastAsia="zh-CN"/>
        </w:rPr>
        <w:t>另行</w:t>
      </w:r>
      <w:r>
        <w:rPr>
          <w:rFonts w:hint="eastAsia" w:ascii="仿宋" w:hAnsi="仿宋" w:eastAsia="仿宋" w:cs="仿宋"/>
          <w:color w:val="000000"/>
          <w:sz w:val="24"/>
          <w:highlight w:val="none"/>
        </w:rPr>
        <w:t>协商。</w:t>
      </w:r>
    </w:p>
    <w:p>
      <w:pPr>
        <w:pStyle w:val="35"/>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本合同一式陆份，具有同等法律效力，甲乙双方各执叁份。</w:t>
      </w:r>
    </w:p>
    <w:p>
      <w:pPr>
        <w:snapToGrid w:val="0"/>
        <w:spacing w:line="360" w:lineRule="auto"/>
        <w:ind w:firstLine="480" w:firstLineChars="200"/>
        <w:rPr>
          <w:rFonts w:hint="eastAsia" w:ascii="仿宋" w:hAnsi="仿宋" w:eastAsia="仿宋" w:cs="仿宋"/>
          <w:color w:val="000000"/>
          <w:sz w:val="24"/>
          <w:highlight w:val="none"/>
        </w:rPr>
      </w:pP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甲方（盖章）：                            乙方（盖章）：        </w:t>
      </w:r>
    </w:p>
    <w:p>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法定代表人：                              法定代表人：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或受委托人（签字或盖章）：                或受委托人（签字或盖章）：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联系人：                                  联系人：</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                                    地址：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                                    电话：</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开户银行：                                开户银行： </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帐号：                                    帐号：</w:t>
      </w: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签订时间：                                签订时间：</w:t>
      </w:r>
    </w:p>
    <w:p/>
    <w:p>
      <w:pPr>
        <w:spacing w:line="360" w:lineRule="auto"/>
        <w:ind w:left="-420" w:leftChars="-200" w:right="-420" w:rightChars="-200"/>
        <w:rPr>
          <w:rFonts w:hint="eastAsia" w:ascii="宋体" w:hAnsi="宋体" w:eastAsia="宋体" w:cs="宋体"/>
          <w:sz w:val="24"/>
        </w:rPr>
      </w:pPr>
      <w:r>
        <w:rPr>
          <w:rFonts w:hint="eastAsia" w:ascii="宋体" w:hAnsi="宋体" w:eastAsia="宋体" w:cs="宋体"/>
          <w:kern w:val="0"/>
        </w:rPr>
        <w:br w:type="page"/>
      </w: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4"/>
      <w:r>
        <w:rPr>
          <w:rFonts w:hint="eastAsia" w:ascii="宋体" w:hAnsi="宋体" w:eastAsia="宋体" w:cs="宋体"/>
          <w:b/>
          <w:sz w:val="36"/>
          <w:szCs w:val="20"/>
        </w:rPr>
        <w:t xml:space="preserve"> </w:t>
      </w:r>
      <w:bookmarkEnd w:id="405"/>
      <w:r>
        <w:rPr>
          <w:rFonts w:hint="eastAsia" w:ascii="宋体" w:hAnsi="宋体" w:eastAsia="宋体" w:cs="宋体"/>
          <w:b/>
          <w:sz w:val="36"/>
          <w:szCs w:val="20"/>
        </w:rPr>
        <w:t>应提交的有关格式范例</w:t>
      </w:r>
    </w:p>
    <w:p>
      <w:pPr>
        <w:pStyle w:val="5"/>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406" w:name="_Toc12947"/>
      <w:r>
        <w:rPr>
          <w:rFonts w:hint="eastAsia"/>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406"/>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07" w:name="_Toc13184"/>
      <w:r>
        <w:rPr>
          <w:rFonts w:hint="eastAsia" w:ascii="宋体" w:hAnsi="宋体" w:eastAsia="宋体" w:cs="宋体"/>
          <w:b/>
          <w:bCs/>
          <w:color w:val="auto"/>
          <w:sz w:val="40"/>
          <w:szCs w:val="48"/>
        </w:rPr>
        <w:t>电子备份投标文件</w:t>
      </w:r>
      <w:bookmarkEnd w:id="407"/>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08" w:name="_Toc18701"/>
      <w:r>
        <w:rPr>
          <w:rFonts w:hint="eastAsia" w:ascii="宋体" w:hAnsi="宋体" w:eastAsia="宋体" w:cs="宋体"/>
          <w:b/>
          <w:bCs/>
          <w:color w:val="auto"/>
          <w:sz w:val="40"/>
          <w:szCs w:val="48"/>
        </w:rPr>
        <w:t>项目名称：</w:t>
      </w:r>
      <w:bookmarkEnd w:id="408"/>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09" w:name="_Toc20693"/>
      <w:r>
        <w:rPr>
          <w:rFonts w:hint="eastAsia" w:ascii="宋体" w:hAnsi="宋体" w:eastAsia="宋体" w:cs="宋体"/>
          <w:b/>
          <w:bCs/>
          <w:color w:val="auto"/>
          <w:sz w:val="40"/>
          <w:szCs w:val="48"/>
        </w:rPr>
        <w:t>项目编号：</w:t>
      </w:r>
      <w:bookmarkEnd w:id="409"/>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10" w:name="_Toc27616"/>
      <w:r>
        <w:rPr>
          <w:rFonts w:hint="eastAsia" w:ascii="宋体" w:hAnsi="宋体" w:eastAsia="宋体" w:cs="宋体"/>
          <w:b/>
          <w:bCs/>
          <w:color w:val="auto"/>
          <w:sz w:val="40"/>
          <w:szCs w:val="48"/>
        </w:rPr>
        <w:t>投标人名称：（盖章）</w:t>
      </w:r>
      <w:bookmarkEnd w:id="410"/>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11" w:name="_Toc8328"/>
      <w:r>
        <w:rPr>
          <w:rFonts w:hint="eastAsia" w:ascii="宋体" w:hAnsi="宋体" w:eastAsia="宋体" w:cs="宋体"/>
          <w:b/>
          <w:bCs/>
          <w:color w:val="auto"/>
          <w:sz w:val="40"/>
          <w:szCs w:val="48"/>
        </w:rPr>
        <w:t>投标人地址：</w:t>
      </w:r>
      <w:bookmarkEnd w:id="411"/>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12"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412"/>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13"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413"/>
    </w:p>
    <w:p>
      <w:pPr>
        <w:pStyle w:val="5"/>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4"/>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4"/>
        <w:snapToGrid w:val="0"/>
        <w:rPr>
          <w:rFonts w:hint="eastAsia" w:ascii="宋体" w:hAnsi="宋体" w:eastAsia="宋体" w:cs="宋体"/>
          <w:color w:val="auto"/>
          <w:sz w:val="32"/>
          <w:szCs w:val="32"/>
        </w:rPr>
        <w:sectPr>
          <w:headerReference r:id="rId8" w:type="default"/>
          <w:footerReference r:id="rId9"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（4）提供未联合体投标情况说明函………………………………………（页码）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widowControl/>
        <w:snapToGrid/>
        <w:spacing w:line="360" w:lineRule="auto"/>
        <w:ind w:firstLine="643" w:firstLineChars="200"/>
        <w:jc w:val="left"/>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t xml:space="preserve">  三、</w:t>
      </w:r>
      <w:r>
        <w:rPr>
          <w:rFonts w:hint="eastAsia" w:ascii="宋体" w:hAnsi="宋体" w:cs="宋体"/>
          <w:b/>
          <w:bCs w:val="0"/>
          <w:color w:val="auto"/>
          <w:kern w:val="0"/>
          <w:sz w:val="32"/>
          <w:szCs w:val="32"/>
          <w:lang w:val="en-US" w:eastAsia="zh-CN"/>
        </w:rPr>
        <w:t>提供</w:t>
      </w:r>
      <w:r>
        <w:rPr>
          <w:rFonts w:hint="eastAsia" w:ascii="宋体" w:hAnsi="宋体" w:cs="宋体"/>
          <w:b/>
          <w:bCs w:val="0"/>
          <w:color w:val="auto"/>
          <w:kern w:val="0"/>
          <w:sz w:val="32"/>
          <w:szCs w:val="32"/>
        </w:rPr>
        <w:t>法人或者其他组织</w:t>
      </w:r>
      <w:r>
        <w:rPr>
          <w:rFonts w:hint="eastAsia" w:ascii="宋体" w:hAnsi="宋体" w:cs="宋体"/>
          <w:b/>
          <w:bCs w:val="0"/>
          <w:color w:val="auto"/>
          <w:kern w:val="0"/>
          <w:sz w:val="32"/>
          <w:szCs w:val="32"/>
          <w:lang w:eastAsia="zh-CN"/>
        </w:rPr>
        <w:t>机构的</w:t>
      </w:r>
      <w:r>
        <w:rPr>
          <w:rFonts w:hint="eastAsia" w:ascii="宋体" w:hAnsi="宋体" w:cs="宋体"/>
          <w:b/>
          <w:bCs w:val="0"/>
          <w:color w:val="auto"/>
          <w:kern w:val="0"/>
          <w:sz w:val="32"/>
          <w:szCs w:val="32"/>
        </w:rPr>
        <w:t>营业执照</w:t>
      </w:r>
      <w:r>
        <w:rPr>
          <w:rFonts w:hint="eastAsia" w:ascii="宋体" w:hAnsi="宋体" w:cs="宋体"/>
          <w:b/>
          <w:bCs w:val="0"/>
          <w:color w:val="auto"/>
          <w:kern w:val="0"/>
          <w:sz w:val="32"/>
          <w:szCs w:val="32"/>
          <w:lang w:eastAsia="zh-CN"/>
        </w:rPr>
        <w:t>（</w:t>
      </w:r>
      <w:r>
        <w:rPr>
          <w:rFonts w:hint="eastAsia" w:ascii="宋体" w:hAnsi="宋体" w:cs="宋体"/>
          <w:b/>
          <w:bCs w:val="0"/>
          <w:color w:val="auto"/>
          <w:kern w:val="0"/>
          <w:sz w:val="32"/>
          <w:szCs w:val="32"/>
          <w:lang w:val="en-US" w:eastAsia="zh-CN"/>
        </w:rPr>
        <w:t>扫</w:t>
      </w:r>
      <w:r>
        <w:rPr>
          <w:rFonts w:hint="eastAsia" w:ascii="宋体" w:hAnsi="宋体" w:cs="宋体"/>
          <w:b/>
          <w:bCs w:val="0"/>
          <w:color w:val="auto"/>
          <w:kern w:val="0"/>
          <w:sz w:val="32"/>
          <w:szCs w:val="32"/>
          <w:lang w:eastAsia="zh-CN"/>
        </w:rPr>
        <w:t>描件或复印件加盖公章）</w:t>
      </w:r>
      <w:r>
        <w:rPr>
          <w:rFonts w:hint="eastAsia" w:ascii="宋体" w:hAnsi="宋体" w:cs="宋体"/>
          <w:b/>
          <w:bCs w:val="0"/>
          <w:color w:val="auto"/>
          <w:kern w:val="0"/>
          <w:sz w:val="32"/>
          <w:szCs w:val="32"/>
        </w:rPr>
        <w:t>或事业法人登记证书或其</w:t>
      </w:r>
      <w:r>
        <w:rPr>
          <w:rFonts w:hint="eastAsia" w:ascii="宋体" w:hAnsi="宋体" w:cs="宋体"/>
          <w:b/>
          <w:bCs w:val="0"/>
          <w:color w:val="auto"/>
          <w:kern w:val="0"/>
          <w:sz w:val="32"/>
          <w:szCs w:val="32"/>
          <w:lang w:eastAsia="zh-CN"/>
        </w:rPr>
        <w:t>他</w:t>
      </w:r>
      <w:r>
        <w:rPr>
          <w:rFonts w:hint="eastAsia" w:ascii="宋体" w:hAnsi="宋体" w:cs="宋体"/>
          <w:b/>
          <w:bCs w:val="0"/>
          <w:color w:val="auto"/>
          <w:kern w:val="0"/>
          <w:sz w:val="32"/>
          <w:szCs w:val="32"/>
        </w:rPr>
        <w:t>工商等登记证明材料；</w:t>
      </w:r>
    </w:p>
    <w:p>
      <w:pPr>
        <w:snapToGrid w:val="0"/>
        <w:spacing w:line="360" w:lineRule="auto"/>
        <w:ind w:right="480"/>
        <w:jc w:val="center"/>
        <w:rPr>
          <w:rFonts w:hint="eastAsia" w:ascii="宋体" w:hAnsi="宋体" w:eastAsia="宋体" w:cs="宋体"/>
          <w:b w:val="0"/>
          <w:bCs/>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eastAsia="宋体" w:cs="宋体"/>
          <w:b/>
          <w:color w:val="auto"/>
          <w:kern w:val="0"/>
          <w:sz w:val="32"/>
          <w:szCs w:val="32"/>
        </w:rPr>
        <w:t>、落实政府采购政策需满足的资格要求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hint="eastAsia" w:ascii="宋体" w:hAnsi="宋体" w:cs="宋体"/>
          <w:b/>
          <w:kern w:val="0"/>
          <w:sz w:val="32"/>
          <w:szCs w:val="32"/>
          <w:lang w:eastAsia="zh-CN"/>
        </w:rPr>
      </w:pPr>
    </w:p>
    <w:p>
      <w:pPr>
        <w:widowControl/>
        <w:spacing w:line="360" w:lineRule="auto"/>
        <w:ind w:left="150"/>
        <w:jc w:val="center"/>
        <w:rPr>
          <w:rFonts w:hint="eastAsia" w:ascii="宋体" w:hAnsi="宋体" w:cs="宋体"/>
          <w:b/>
          <w:kern w:val="0"/>
          <w:sz w:val="32"/>
          <w:szCs w:val="32"/>
          <w:lang w:eastAsia="zh-CN"/>
        </w:rPr>
      </w:pPr>
    </w:p>
    <w:p>
      <w:pPr>
        <w:widowControl/>
        <w:spacing w:line="360" w:lineRule="auto"/>
        <w:ind w:left="150"/>
        <w:jc w:val="center"/>
        <w:rPr>
          <w:rFonts w:hint="eastAsia" w:ascii="宋体" w:hAnsi="宋体" w:eastAsia="宋体" w:cs="宋体"/>
          <w:b/>
          <w:color w:val="auto"/>
          <w:kern w:val="0"/>
          <w:sz w:val="32"/>
          <w:szCs w:val="32"/>
        </w:rPr>
      </w:pPr>
    </w:p>
    <w:p>
      <w:pPr>
        <w:pStyle w:val="2"/>
        <w:rPr>
          <w:rFonts w:hint="eastAsia"/>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eastAsia="宋体" w:cs="宋体"/>
          <w:b/>
          <w:color w:val="auto"/>
          <w:kern w:val="0"/>
          <w:sz w:val="32"/>
          <w:szCs w:val="32"/>
        </w:rPr>
        <w:t>、本项目的特定资格要求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3"/>
        <w:ind w:firstLine="420"/>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bookmarkStart w:id="414"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414"/>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spacing w:line="240" w:lineRule="auto"/>
        <w:ind w:right="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pPr>
        <w:rPr>
          <w:rFonts w:hint="eastAsia" w:ascii="宋体" w:hAnsi="宋体" w:eastAsia="宋体" w:cs="宋体"/>
          <w:b/>
          <w:color w:val="auto"/>
          <w:kern w:val="0"/>
          <w:sz w:val="32"/>
          <w:szCs w:val="32"/>
        </w:rPr>
      </w:pPr>
    </w:p>
    <w:p>
      <w:pPr>
        <w:rPr>
          <w:rFonts w:hint="eastAsia" w:ascii="宋体" w:hAnsi="宋体" w:eastAsia="宋体" w:cs="宋体"/>
          <w:color w:val="auto"/>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15" w:name="_Toc17190"/>
      <w:r>
        <w:rPr>
          <w:rFonts w:hint="eastAsia" w:ascii="宋体" w:hAnsi="宋体" w:eastAsia="宋体" w:cs="宋体"/>
          <w:b/>
          <w:bCs/>
          <w:color w:val="auto"/>
          <w:sz w:val="52"/>
          <w:szCs w:val="52"/>
        </w:rPr>
        <w:t>商 务 技 术 文 件</w:t>
      </w:r>
      <w:bookmarkEnd w:id="415"/>
    </w:p>
    <w:p>
      <w:pPr>
        <w:widowControl/>
        <w:spacing w:line="360" w:lineRule="auto"/>
        <w:ind w:right="-2"/>
        <w:jc w:val="center"/>
        <w:outlineLvl w:val="1"/>
        <w:rPr>
          <w:rFonts w:hint="eastAsia" w:ascii="宋体" w:hAnsi="宋体" w:eastAsia="宋体" w:cs="宋体"/>
          <w:b/>
          <w:color w:val="auto"/>
          <w:sz w:val="36"/>
          <w:szCs w:val="36"/>
        </w:rPr>
      </w:pPr>
      <w:bookmarkStart w:id="416" w:name="_Toc27078"/>
      <w:r>
        <w:rPr>
          <w:rFonts w:hint="eastAsia" w:ascii="宋体" w:hAnsi="宋体" w:eastAsia="宋体" w:cs="宋体"/>
          <w:b/>
          <w:color w:val="auto"/>
          <w:sz w:val="36"/>
          <w:szCs w:val="36"/>
        </w:rPr>
        <w:t>（线上电子招投标）</w:t>
      </w:r>
      <w:bookmarkEnd w:id="416"/>
    </w:p>
    <w:p>
      <w:pPr>
        <w:pStyle w:val="624"/>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17" w:name="_Toc28851"/>
      <w:r>
        <w:rPr>
          <w:rFonts w:hint="eastAsia" w:ascii="宋体" w:hAnsi="宋体" w:eastAsia="宋体" w:cs="宋体"/>
          <w:b/>
          <w:bCs/>
          <w:color w:val="auto"/>
          <w:sz w:val="36"/>
          <w:szCs w:val="36"/>
        </w:rPr>
        <w:t xml:space="preserve">  招标编号：</w:t>
      </w:r>
      <w:bookmarkEnd w:id="417"/>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pStyle w:val="624"/>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4"/>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numberInDash"/>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pPr>
        <w:pStyle w:val="5"/>
        <w:rPr>
          <w:rFonts w:hint="eastAsia" w:ascii="宋体" w:hAnsi="宋体" w:eastAsia="宋体" w:cs="宋体"/>
          <w:color w:val="auto"/>
          <w:lang w:val="en-US" w:eastAsia="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18" w:name="_Hlk101257010"/>
      <w:r>
        <w:rPr>
          <w:rFonts w:hint="eastAsia" w:ascii="宋体" w:hAnsi="宋体" w:eastAsia="宋体" w:cs="宋体"/>
          <w:color w:val="auto"/>
          <w:sz w:val="24"/>
        </w:rPr>
        <w:t>（如果有)</w:t>
      </w:r>
      <w:bookmarkEnd w:id="418"/>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pStyle w:val="5"/>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r>
        <w:rPr>
          <w:rFonts w:hint="eastAsia" w:ascii="宋体" w:hAnsi="宋体" w:eastAsia="宋体" w:cs="宋体"/>
          <w:sz w:val="24"/>
        </w:rPr>
        <w:t>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none"/>
          <w:lang w:val="en-US" w:eastAsia="zh-CN"/>
        </w:rPr>
        <w:t>，所在单位：</w:t>
      </w:r>
      <w:r>
        <w:rPr>
          <w:rFonts w:hint="eastAsia" w:ascii="宋体" w:hAnsi="宋体" w:eastAsia="宋体" w:cs="宋体"/>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90"/>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90"/>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color w:val="auto"/>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投标产品清单（根据采购需求清单明细提供</w:t>
      </w:r>
      <w:r>
        <w:rPr>
          <w:rFonts w:hint="eastAsia" w:ascii="宋体" w:hAnsi="宋体" w:cs="宋体"/>
          <w:b/>
          <w:bCs/>
          <w:sz w:val="24"/>
        </w:rPr>
        <w:t>项目服务</w:t>
      </w:r>
      <w:r>
        <w:rPr>
          <w:rFonts w:hint="eastAsia" w:ascii="宋体" w:hAnsi="宋体" w:cs="宋体"/>
          <w:b/>
          <w:bCs/>
          <w:sz w:val="24"/>
          <w:lang w:eastAsia="zh-CN"/>
        </w:rPr>
        <w:t>建设</w:t>
      </w:r>
      <w:r>
        <w:rPr>
          <w:rFonts w:hint="eastAsia" w:ascii="宋体" w:hAnsi="宋体" w:cs="宋体"/>
          <w:b/>
          <w:bCs/>
          <w:sz w:val="24"/>
        </w:rPr>
        <w:t>清单</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eastAsia="zh-CN"/>
        </w:rPr>
        <w:t>含</w:t>
      </w:r>
      <w:r>
        <w:rPr>
          <w:rFonts w:hint="eastAsia" w:ascii="宋体" w:hAnsi="宋体" w:eastAsia="宋体" w:cs="宋体"/>
          <w:b/>
          <w:bCs/>
          <w:color w:val="auto"/>
          <w:sz w:val="24"/>
          <w:highlight w:val="none"/>
        </w:rPr>
        <w:t>所投产品具体配置表</w:t>
      </w:r>
      <w:r>
        <w:rPr>
          <w:rFonts w:hint="eastAsia" w:ascii="宋体" w:hAnsi="宋体" w:eastAsia="宋体" w:cs="宋体"/>
          <w:color w:val="auto"/>
          <w:sz w:val="24"/>
          <w:highlight w:val="none"/>
        </w:rPr>
        <w:t>：详细列明所投产品设备清单，完整配置方案及技术指标，项目的主要设备必须明确所投产品的品牌、规格型号、材质及具体技术指标，任何含糊不清的表述对评标结果的影响将是投标人的责任；</w:t>
      </w: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5"/>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5"/>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pPr>
        <w:pStyle w:val="625"/>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pPr>
        <w:pStyle w:val="625"/>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pPr>
        <w:pStyle w:val="625"/>
        <w:snapToGrid w:val="0"/>
        <w:spacing w:before="120" w:after="120"/>
        <w:jc w:val="center"/>
        <w:rPr>
          <w:rFonts w:hint="eastAsia" w:ascii="宋体" w:hAnsi="宋体" w:eastAsia="宋体" w:cs="宋体"/>
          <w:b/>
          <w:color w:val="auto"/>
          <w:sz w:val="32"/>
          <w:szCs w:val="32"/>
          <w:highlight w:val="none"/>
        </w:rPr>
      </w:pPr>
    </w:p>
    <w:p>
      <w:pPr>
        <w:pStyle w:val="625"/>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625"/>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5"/>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26"/>
        <w:widowControl/>
        <w:numPr>
          <w:ilvl w:val="0"/>
          <w:numId w:val="2"/>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6"/>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626"/>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626"/>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25"/>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25"/>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25"/>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25"/>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6"/>
        <w:widowControl/>
        <w:numPr>
          <w:ilvl w:val="0"/>
          <w:numId w:val="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626"/>
        <w:widowControl/>
        <w:numPr>
          <w:ilvl w:val="0"/>
          <w:numId w:val="3"/>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625"/>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625"/>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19" w:name="_Toc105"/>
      <w:r>
        <w:rPr>
          <w:rFonts w:hint="eastAsia" w:ascii="宋体" w:hAnsi="宋体" w:eastAsia="宋体" w:cs="宋体"/>
          <w:b/>
          <w:bCs/>
          <w:color w:val="auto"/>
          <w:sz w:val="52"/>
          <w:szCs w:val="52"/>
        </w:rPr>
        <w:t>报 价 文 件</w:t>
      </w:r>
      <w:bookmarkEnd w:id="419"/>
    </w:p>
    <w:p>
      <w:pPr>
        <w:widowControl/>
        <w:spacing w:line="360" w:lineRule="auto"/>
        <w:ind w:right="-2"/>
        <w:jc w:val="center"/>
        <w:outlineLvl w:val="1"/>
        <w:rPr>
          <w:rFonts w:hint="eastAsia" w:ascii="宋体" w:hAnsi="宋体" w:eastAsia="宋体" w:cs="宋体"/>
          <w:b/>
          <w:color w:val="auto"/>
          <w:sz w:val="36"/>
          <w:szCs w:val="36"/>
        </w:rPr>
      </w:pPr>
      <w:bookmarkStart w:id="420" w:name="_Toc22501"/>
      <w:r>
        <w:rPr>
          <w:rFonts w:hint="eastAsia" w:ascii="宋体" w:hAnsi="宋体" w:eastAsia="宋体" w:cs="宋体"/>
          <w:b/>
          <w:color w:val="auto"/>
          <w:sz w:val="36"/>
          <w:szCs w:val="36"/>
        </w:rPr>
        <w:t>（线上电子招投标）</w:t>
      </w:r>
      <w:bookmarkEnd w:id="420"/>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21"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21"/>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numberInDash"/>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5"/>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报价情况说明（如果有）……………………………………………</w:t>
      </w:r>
      <w:r>
        <w:rPr>
          <w:rFonts w:hint="eastAsia" w:ascii="宋体" w:hAnsi="宋体" w:eastAsia="宋体" w:cs="宋体"/>
          <w:color w:val="auto"/>
          <w:sz w:val="24"/>
        </w:rPr>
        <w:t>……</w:t>
      </w:r>
      <w:r>
        <w:rPr>
          <w:rFonts w:hint="eastAsia" w:ascii="宋体" w:hAnsi="宋体" w:cs="宋体"/>
          <w:color w:val="auto"/>
          <w:sz w:val="24"/>
        </w:rPr>
        <w:t>（页码）</w:t>
      </w:r>
    </w:p>
    <w:p>
      <w:pPr>
        <w:numPr>
          <w:ilvl w:val="0"/>
          <w:numId w:val="0"/>
        </w:numPr>
        <w:snapToGrid w:val="0"/>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中小企业声明函（如果有）…………………………………………</w:t>
      </w:r>
      <w:r>
        <w:rPr>
          <w:rFonts w:hint="eastAsia" w:ascii="宋体" w:hAnsi="宋体" w:eastAsia="宋体" w:cs="宋体"/>
          <w:color w:val="auto"/>
          <w:sz w:val="24"/>
        </w:rPr>
        <w:t>……</w:t>
      </w:r>
      <w:r>
        <w:rPr>
          <w:rFonts w:hint="eastAsia" w:ascii="宋体" w:hAnsi="宋体" w:cs="宋体"/>
          <w:color w:val="auto"/>
          <w:sz w:val="24"/>
        </w:rPr>
        <w:t>（页码）</w:t>
      </w:r>
    </w:p>
    <w:p>
      <w:pPr>
        <w:snapToGrid w:val="0"/>
        <w:spacing w:line="360" w:lineRule="auto"/>
        <w:ind w:right="480"/>
        <w:jc w:val="center"/>
        <w:rPr>
          <w:rFonts w:hint="eastAsia" w:ascii="宋体" w:hAnsi="宋体" w:eastAsia="宋体" w:cs="宋体"/>
          <w:b/>
          <w:color w:val="auto"/>
          <w:kern w:val="0"/>
          <w:sz w:val="32"/>
          <w:szCs w:val="32"/>
        </w:r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kern w:val="0"/>
          <w:sz w:val="24"/>
          <w:lang w:val="zh-CN"/>
        </w:rPr>
        <w:t>开标一览表（报价表）(单位均为人民币元)</w:t>
      </w:r>
    </w:p>
    <w:tbl>
      <w:tblPr>
        <w:tblStyle w:val="63"/>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2"/>
        <w:gridCol w:w="1894"/>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452"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89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452" w:type="dxa"/>
            <w:tcBorders>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2"/>
                <w:highlight w:val="none"/>
                <w:u w:val="none"/>
                <w:lang w:eastAsia="zh-CN"/>
              </w:rPr>
            </w:pPr>
          </w:p>
        </w:tc>
        <w:tc>
          <w:tcPr>
            <w:tcW w:w="1894" w:type="dxa"/>
            <w:tcBorders>
              <w:left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pPr>
        <w:pStyle w:val="5"/>
        <w:rPr>
          <w:rFonts w:hint="eastAsia" w:ascii="宋体" w:hAnsi="宋体" w:eastAsia="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left="0" w:firstLine="480" w:firstLineChars="200"/>
        <w:rPr>
          <w:rFonts w:hint="eastAsia"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0" w:firstLineChars="2000"/>
        <w:jc w:val="both"/>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投标人名称（电子签名）：</w:t>
      </w:r>
    </w:p>
    <w:p>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eastAsia="zh-CN"/>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年  月   日</w:t>
      </w:r>
    </w:p>
    <w:p>
      <w:pPr>
        <w:rPr>
          <w:rFonts w:hint="eastAsia" w:ascii="宋体" w:hAnsi="宋体" w:eastAsia="宋体" w:cs="宋体"/>
          <w:b/>
          <w:bCs/>
          <w:color w:val="auto"/>
          <w:kern w:val="0"/>
          <w:sz w:val="24"/>
          <w:highlight w:val="none"/>
          <w:lang w:val="en-US" w:eastAsia="zh-CN"/>
        </w:rPr>
      </w:pPr>
    </w:p>
    <w:p>
      <w:pPr>
        <w:rPr>
          <w:rFonts w:hint="eastAsia" w:ascii="宋体" w:hAnsi="宋体" w:eastAsia="宋体" w:cs="宋体"/>
          <w:b/>
          <w:bCs/>
          <w:color w:val="auto"/>
          <w:kern w:val="0"/>
          <w:sz w:val="24"/>
          <w:highlight w:val="none"/>
          <w:lang w:val="en-US" w:eastAsia="zh-CN"/>
        </w:rPr>
      </w:pPr>
    </w:p>
    <w:p>
      <w:pPr>
        <w:rPr>
          <w:rFonts w:hint="eastAsia" w:ascii="宋体" w:hAnsi="宋体" w:eastAsia="宋体" w:cs="宋体"/>
          <w:b/>
          <w:bCs/>
          <w:color w:val="auto"/>
          <w:kern w:val="0"/>
          <w:sz w:val="24"/>
          <w:highlight w:val="none"/>
          <w:lang w:val="en-US" w:eastAsia="zh-CN"/>
        </w:rPr>
      </w:pPr>
    </w:p>
    <w:p>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pPr>
        <w:pStyle w:val="5"/>
        <w:rPr>
          <w:rFonts w:hint="eastAsia" w:ascii="宋体" w:hAnsi="宋体" w:eastAsia="宋体" w:cs="宋体"/>
          <w:highlight w:val="none"/>
          <w:lang w:val="en-US" w:eastAsia="zh-CN"/>
        </w:rPr>
      </w:pPr>
    </w:p>
    <w:p>
      <w:pPr>
        <w:pStyle w:val="624"/>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3"/>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872"/>
        <w:gridCol w:w="1134"/>
        <w:gridCol w:w="1917"/>
        <w:gridCol w:w="611"/>
        <w:gridCol w:w="959"/>
        <w:gridCol w:w="1221"/>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328"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87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134" w:type="dxa"/>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w:t>
            </w:r>
          </w:p>
        </w:tc>
        <w:tc>
          <w:tcPr>
            <w:tcW w:w="1917"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611"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9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221"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1918"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87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34" w:type="dxa"/>
            <w:vAlign w:val="center"/>
          </w:tcPr>
          <w:p>
            <w:pPr>
              <w:snapToGrid w:val="0"/>
              <w:spacing w:line="360" w:lineRule="auto"/>
              <w:jc w:val="center"/>
              <w:rPr>
                <w:rFonts w:ascii="宋体" w:hAnsi="宋体" w:cs="宋体"/>
                <w:color w:val="0000FF"/>
                <w:sz w:val="24"/>
              </w:rPr>
            </w:pPr>
          </w:p>
        </w:tc>
        <w:tc>
          <w:tcPr>
            <w:tcW w:w="1917" w:type="dxa"/>
            <w:vAlign w:val="center"/>
          </w:tcPr>
          <w:p>
            <w:pPr>
              <w:snapToGrid w:val="0"/>
              <w:spacing w:line="360" w:lineRule="auto"/>
              <w:jc w:val="center"/>
              <w:rPr>
                <w:rFonts w:ascii="宋体" w:hAnsi="宋体" w:cs="宋体"/>
                <w:color w:val="0000FF"/>
                <w:sz w:val="24"/>
              </w:rPr>
            </w:pPr>
          </w:p>
        </w:tc>
        <w:tc>
          <w:tcPr>
            <w:tcW w:w="611" w:type="dxa"/>
            <w:vAlign w:val="center"/>
          </w:tcPr>
          <w:p>
            <w:pPr>
              <w:snapToGrid w:val="0"/>
              <w:spacing w:line="360" w:lineRule="auto"/>
              <w:jc w:val="center"/>
              <w:rPr>
                <w:rFonts w:ascii="宋体" w:hAnsi="宋体" w:cs="宋体"/>
                <w:color w:val="0000FF"/>
                <w:sz w:val="24"/>
              </w:rPr>
            </w:pPr>
          </w:p>
        </w:tc>
        <w:tc>
          <w:tcPr>
            <w:tcW w:w="959" w:type="dxa"/>
            <w:vAlign w:val="center"/>
          </w:tcPr>
          <w:p>
            <w:pPr>
              <w:spacing w:line="360" w:lineRule="auto"/>
              <w:jc w:val="center"/>
              <w:rPr>
                <w:rFonts w:ascii="宋体" w:hAnsi="宋体" w:cs="宋体"/>
                <w:color w:val="0000FF"/>
                <w:sz w:val="24"/>
              </w:rPr>
            </w:pPr>
          </w:p>
        </w:tc>
        <w:tc>
          <w:tcPr>
            <w:tcW w:w="1221" w:type="dxa"/>
            <w:vAlign w:val="center"/>
          </w:tcPr>
          <w:p>
            <w:pPr>
              <w:spacing w:line="360" w:lineRule="auto"/>
              <w:jc w:val="center"/>
              <w:rPr>
                <w:rFonts w:ascii="宋体" w:hAnsi="宋体" w:cs="宋体"/>
                <w:color w:val="0000FF"/>
                <w:sz w:val="24"/>
              </w:rPr>
            </w:pPr>
          </w:p>
        </w:tc>
        <w:tc>
          <w:tcPr>
            <w:tcW w:w="1918"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87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34" w:type="dxa"/>
            <w:vAlign w:val="center"/>
          </w:tcPr>
          <w:p>
            <w:pPr>
              <w:snapToGrid w:val="0"/>
              <w:spacing w:line="360" w:lineRule="auto"/>
              <w:jc w:val="center"/>
              <w:rPr>
                <w:rFonts w:ascii="宋体" w:hAnsi="宋体" w:cs="宋体"/>
                <w:color w:val="0000FF"/>
                <w:sz w:val="24"/>
              </w:rPr>
            </w:pPr>
          </w:p>
        </w:tc>
        <w:tc>
          <w:tcPr>
            <w:tcW w:w="1917" w:type="dxa"/>
            <w:vAlign w:val="center"/>
          </w:tcPr>
          <w:p>
            <w:pPr>
              <w:snapToGrid w:val="0"/>
              <w:spacing w:line="360" w:lineRule="auto"/>
              <w:jc w:val="center"/>
              <w:rPr>
                <w:rFonts w:ascii="宋体" w:hAnsi="宋体" w:cs="宋体"/>
                <w:color w:val="0000FF"/>
                <w:sz w:val="24"/>
              </w:rPr>
            </w:pPr>
          </w:p>
        </w:tc>
        <w:tc>
          <w:tcPr>
            <w:tcW w:w="611" w:type="dxa"/>
            <w:vAlign w:val="center"/>
          </w:tcPr>
          <w:p>
            <w:pPr>
              <w:snapToGrid w:val="0"/>
              <w:spacing w:line="360" w:lineRule="auto"/>
              <w:jc w:val="center"/>
              <w:rPr>
                <w:rFonts w:ascii="宋体" w:hAnsi="宋体" w:cs="宋体"/>
                <w:color w:val="0000FF"/>
                <w:sz w:val="24"/>
              </w:rPr>
            </w:pPr>
          </w:p>
        </w:tc>
        <w:tc>
          <w:tcPr>
            <w:tcW w:w="959" w:type="dxa"/>
            <w:vAlign w:val="center"/>
          </w:tcPr>
          <w:p>
            <w:pPr>
              <w:spacing w:line="360" w:lineRule="auto"/>
              <w:jc w:val="center"/>
              <w:rPr>
                <w:rFonts w:ascii="宋体" w:hAnsi="宋体" w:cs="宋体"/>
                <w:color w:val="0000FF"/>
                <w:sz w:val="24"/>
              </w:rPr>
            </w:pPr>
          </w:p>
        </w:tc>
        <w:tc>
          <w:tcPr>
            <w:tcW w:w="1221" w:type="dxa"/>
            <w:vAlign w:val="center"/>
          </w:tcPr>
          <w:p>
            <w:pPr>
              <w:spacing w:line="360" w:lineRule="auto"/>
              <w:jc w:val="center"/>
              <w:rPr>
                <w:rFonts w:ascii="宋体" w:hAnsi="宋体" w:cs="宋体"/>
                <w:color w:val="0000FF"/>
                <w:sz w:val="24"/>
              </w:rPr>
            </w:pPr>
          </w:p>
        </w:tc>
        <w:tc>
          <w:tcPr>
            <w:tcW w:w="1918"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872" w:type="dxa"/>
            <w:vAlign w:val="center"/>
          </w:tcPr>
          <w:p>
            <w:pPr>
              <w:snapToGrid w:val="0"/>
              <w:spacing w:line="360" w:lineRule="auto"/>
              <w:jc w:val="center"/>
              <w:rPr>
                <w:rFonts w:ascii="宋体" w:hAnsi="宋体" w:cs="宋体"/>
                <w:color w:val="0000FF"/>
                <w:sz w:val="24"/>
              </w:rPr>
            </w:pPr>
          </w:p>
        </w:tc>
        <w:tc>
          <w:tcPr>
            <w:tcW w:w="1134" w:type="dxa"/>
            <w:vAlign w:val="center"/>
          </w:tcPr>
          <w:p>
            <w:pPr>
              <w:snapToGrid w:val="0"/>
              <w:spacing w:line="360" w:lineRule="auto"/>
              <w:jc w:val="center"/>
              <w:rPr>
                <w:rFonts w:ascii="宋体" w:hAnsi="宋体" w:cs="宋体"/>
                <w:color w:val="0000FF"/>
                <w:sz w:val="24"/>
              </w:rPr>
            </w:pPr>
          </w:p>
        </w:tc>
        <w:tc>
          <w:tcPr>
            <w:tcW w:w="1917" w:type="dxa"/>
            <w:vAlign w:val="center"/>
          </w:tcPr>
          <w:p>
            <w:pPr>
              <w:snapToGrid w:val="0"/>
              <w:spacing w:line="360" w:lineRule="auto"/>
              <w:jc w:val="center"/>
              <w:rPr>
                <w:rFonts w:ascii="宋体" w:hAnsi="宋体" w:cs="宋体"/>
                <w:color w:val="0000FF"/>
                <w:sz w:val="24"/>
              </w:rPr>
            </w:pPr>
          </w:p>
        </w:tc>
        <w:tc>
          <w:tcPr>
            <w:tcW w:w="611" w:type="dxa"/>
            <w:vAlign w:val="center"/>
          </w:tcPr>
          <w:p>
            <w:pPr>
              <w:snapToGrid w:val="0"/>
              <w:spacing w:line="360" w:lineRule="auto"/>
              <w:jc w:val="center"/>
              <w:rPr>
                <w:rFonts w:ascii="宋体" w:hAnsi="宋体" w:cs="宋体"/>
                <w:color w:val="0000FF"/>
                <w:sz w:val="24"/>
              </w:rPr>
            </w:pPr>
          </w:p>
        </w:tc>
        <w:tc>
          <w:tcPr>
            <w:tcW w:w="959" w:type="dxa"/>
            <w:vAlign w:val="center"/>
          </w:tcPr>
          <w:p>
            <w:pPr>
              <w:spacing w:line="360" w:lineRule="auto"/>
              <w:jc w:val="center"/>
              <w:rPr>
                <w:rFonts w:ascii="宋体" w:hAnsi="宋体" w:cs="宋体"/>
                <w:color w:val="0000FF"/>
                <w:sz w:val="24"/>
              </w:rPr>
            </w:pPr>
          </w:p>
        </w:tc>
        <w:tc>
          <w:tcPr>
            <w:tcW w:w="1221" w:type="dxa"/>
            <w:vAlign w:val="center"/>
          </w:tcPr>
          <w:p>
            <w:pPr>
              <w:spacing w:line="360" w:lineRule="auto"/>
              <w:jc w:val="center"/>
              <w:rPr>
                <w:rFonts w:ascii="宋体" w:hAnsi="宋体" w:cs="宋体"/>
                <w:color w:val="0000FF"/>
                <w:sz w:val="24"/>
              </w:rPr>
            </w:pPr>
          </w:p>
        </w:tc>
        <w:tc>
          <w:tcPr>
            <w:tcW w:w="1918"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sz w:val="24"/>
              </w:rPr>
            </w:pPr>
          </w:p>
        </w:tc>
        <w:tc>
          <w:tcPr>
            <w:tcW w:w="872" w:type="dxa"/>
            <w:vAlign w:val="center"/>
          </w:tcPr>
          <w:p>
            <w:pPr>
              <w:snapToGrid w:val="0"/>
              <w:spacing w:line="360" w:lineRule="auto"/>
              <w:jc w:val="center"/>
              <w:rPr>
                <w:rFonts w:ascii="宋体" w:hAnsi="宋体" w:cs="宋体"/>
                <w:sz w:val="24"/>
              </w:rPr>
            </w:pPr>
          </w:p>
        </w:tc>
        <w:tc>
          <w:tcPr>
            <w:tcW w:w="1134" w:type="dxa"/>
            <w:vAlign w:val="center"/>
          </w:tcPr>
          <w:p>
            <w:pPr>
              <w:snapToGrid w:val="0"/>
              <w:spacing w:line="360" w:lineRule="auto"/>
              <w:jc w:val="center"/>
              <w:rPr>
                <w:rFonts w:ascii="宋体" w:hAnsi="宋体" w:cs="宋体"/>
                <w:sz w:val="24"/>
              </w:rPr>
            </w:pPr>
          </w:p>
        </w:tc>
        <w:tc>
          <w:tcPr>
            <w:tcW w:w="1917" w:type="dxa"/>
            <w:vAlign w:val="center"/>
          </w:tcPr>
          <w:p>
            <w:pPr>
              <w:snapToGrid w:val="0"/>
              <w:spacing w:line="360" w:lineRule="auto"/>
              <w:jc w:val="center"/>
              <w:rPr>
                <w:rFonts w:ascii="宋体" w:hAnsi="宋体" w:cs="宋体"/>
                <w:sz w:val="24"/>
              </w:rPr>
            </w:pPr>
          </w:p>
        </w:tc>
        <w:tc>
          <w:tcPr>
            <w:tcW w:w="611" w:type="dxa"/>
            <w:vAlign w:val="center"/>
          </w:tcPr>
          <w:p>
            <w:pPr>
              <w:snapToGrid w:val="0"/>
              <w:spacing w:line="360" w:lineRule="auto"/>
              <w:jc w:val="center"/>
              <w:rPr>
                <w:rFonts w:ascii="宋体" w:hAnsi="宋体" w:cs="宋体"/>
                <w:sz w:val="24"/>
              </w:rPr>
            </w:pPr>
          </w:p>
        </w:tc>
        <w:tc>
          <w:tcPr>
            <w:tcW w:w="959" w:type="dxa"/>
            <w:vAlign w:val="center"/>
          </w:tcPr>
          <w:p>
            <w:pPr>
              <w:spacing w:line="360" w:lineRule="auto"/>
              <w:jc w:val="center"/>
              <w:rPr>
                <w:rFonts w:ascii="宋体" w:hAnsi="宋体" w:cs="宋体"/>
                <w:sz w:val="24"/>
              </w:rPr>
            </w:pPr>
          </w:p>
        </w:tc>
        <w:tc>
          <w:tcPr>
            <w:tcW w:w="1221" w:type="dxa"/>
            <w:vAlign w:val="center"/>
          </w:tcPr>
          <w:p>
            <w:pPr>
              <w:spacing w:line="360" w:lineRule="auto"/>
              <w:jc w:val="center"/>
              <w:rPr>
                <w:rFonts w:ascii="宋体" w:hAnsi="宋体" w:cs="宋体"/>
                <w:sz w:val="24"/>
              </w:rPr>
            </w:pPr>
          </w:p>
        </w:tc>
        <w:tc>
          <w:tcPr>
            <w:tcW w:w="191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8" w:type="dxa"/>
            <w:vAlign w:val="center"/>
          </w:tcPr>
          <w:p>
            <w:pPr>
              <w:spacing w:line="360" w:lineRule="auto"/>
              <w:jc w:val="center"/>
              <w:rPr>
                <w:rFonts w:ascii="宋体" w:hAnsi="宋体" w:cs="宋体"/>
                <w:sz w:val="24"/>
              </w:rPr>
            </w:pPr>
          </w:p>
        </w:tc>
        <w:tc>
          <w:tcPr>
            <w:tcW w:w="872" w:type="dxa"/>
            <w:vAlign w:val="center"/>
          </w:tcPr>
          <w:p>
            <w:pPr>
              <w:snapToGrid w:val="0"/>
              <w:spacing w:line="360" w:lineRule="auto"/>
              <w:jc w:val="center"/>
              <w:rPr>
                <w:rFonts w:ascii="宋体" w:hAnsi="宋体" w:cs="宋体"/>
                <w:sz w:val="24"/>
              </w:rPr>
            </w:pPr>
          </w:p>
        </w:tc>
        <w:tc>
          <w:tcPr>
            <w:tcW w:w="1134" w:type="dxa"/>
            <w:vAlign w:val="center"/>
          </w:tcPr>
          <w:p>
            <w:pPr>
              <w:snapToGrid w:val="0"/>
              <w:spacing w:line="360" w:lineRule="auto"/>
              <w:jc w:val="center"/>
              <w:rPr>
                <w:rFonts w:ascii="宋体" w:hAnsi="宋体" w:cs="宋体"/>
                <w:sz w:val="24"/>
              </w:rPr>
            </w:pPr>
          </w:p>
        </w:tc>
        <w:tc>
          <w:tcPr>
            <w:tcW w:w="1917" w:type="dxa"/>
            <w:vAlign w:val="center"/>
          </w:tcPr>
          <w:p>
            <w:pPr>
              <w:snapToGrid w:val="0"/>
              <w:spacing w:line="360" w:lineRule="auto"/>
              <w:jc w:val="center"/>
              <w:rPr>
                <w:rFonts w:ascii="宋体" w:hAnsi="宋体" w:cs="宋体"/>
                <w:sz w:val="24"/>
              </w:rPr>
            </w:pPr>
          </w:p>
        </w:tc>
        <w:tc>
          <w:tcPr>
            <w:tcW w:w="611" w:type="dxa"/>
            <w:vAlign w:val="center"/>
          </w:tcPr>
          <w:p>
            <w:pPr>
              <w:snapToGrid w:val="0"/>
              <w:spacing w:line="360" w:lineRule="auto"/>
              <w:jc w:val="center"/>
              <w:rPr>
                <w:rFonts w:ascii="宋体" w:hAnsi="宋体" w:cs="宋体"/>
                <w:sz w:val="24"/>
              </w:rPr>
            </w:pPr>
          </w:p>
        </w:tc>
        <w:tc>
          <w:tcPr>
            <w:tcW w:w="959" w:type="dxa"/>
            <w:vAlign w:val="center"/>
          </w:tcPr>
          <w:p>
            <w:pPr>
              <w:spacing w:line="360" w:lineRule="auto"/>
              <w:jc w:val="center"/>
              <w:rPr>
                <w:rFonts w:ascii="宋体" w:hAnsi="宋体" w:cs="宋体"/>
                <w:sz w:val="24"/>
              </w:rPr>
            </w:pPr>
          </w:p>
        </w:tc>
        <w:tc>
          <w:tcPr>
            <w:tcW w:w="1221" w:type="dxa"/>
            <w:vAlign w:val="center"/>
          </w:tcPr>
          <w:p>
            <w:pPr>
              <w:spacing w:line="360" w:lineRule="auto"/>
              <w:jc w:val="center"/>
              <w:rPr>
                <w:rFonts w:ascii="宋体" w:hAnsi="宋体" w:cs="宋体"/>
                <w:sz w:val="24"/>
              </w:rPr>
            </w:pPr>
          </w:p>
        </w:tc>
        <w:tc>
          <w:tcPr>
            <w:tcW w:w="191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25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4709"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251"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4709" w:type="dxa"/>
            <w:gridSpan w:val="4"/>
            <w:vAlign w:val="center"/>
          </w:tcPr>
          <w:p>
            <w:pPr>
              <w:spacing w:line="360" w:lineRule="auto"/>
              <w:jc w:val="center"/>
              <w:rPr>
                <w:rFonts w:ascii="宋体" w:hAnsi="宋体" w:cs="宋体"/>
                <w:sz w:val="24"/>
              </w:rPr>
            </w:pPr>
          </w:p>
        </w:tc>
      </w:tr>
    </w:tbl>
    <w:p>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tabs>
          <w:tab w:val="left" w:pos="4860"/>
        </w:tabs>
        <w:spacing w:line="360" w:lineRule="auto"/>
        <w:ind w:right="1560" w:firstLine="480" w:firstLineChars="200"/>
        <w:jc w:val="righ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lang w:val="zh-CN" w:eastAsia="zh-CN"/>
        </w:rPr>
        <w:t xml:space="preserve">                                                                </w:t>
      </w:r>
    </w:p>
    <w:p>
      <w:pPr>
        <w:pStyle w:val="5"/>
        <w:rPr>
          <w:rFonts w:hint="eastAsia" w:ascii="宋体" w:hAnsi="宋体" w:eastAsia="宋体" w:cs="宋体"/>
          <w:color w:val="auto"/>
          <w:kern w:val="0"/>
          <w:sz w:val="24"/>
          <w:szCs w:val="24"/>
          <w:lang w:val="zh-CN" w:eastAsia="zh-CN"/>
        </w:rPr>
      </w:pPr>
    </w:p>
    <w:p>
      <w:pPr>
        <w:rPr>
          <w:rFonts w:hint="eastAsia" w:ascii="宋体" w:hAnsi="宋体" w:eastAsia="宋体" w:cs="宋体"/>
          <w:color w:val="auto"/>
          <w:kern w:val="0"/>
          <w:sz w:val="24"/>
          <w:szCs w:val="24"/>
          <w:lang w:val="zh-CN" w:eastAsia="zh-CN"/>
        </w:rPr>
      </w:pPr>
    </w:p>
    <w:p>
      <w:pPr>
        <w:pStyle w:val="5"/>
        <w:rPr>
          <w:rFonts w:hint="eastAsia" w:ascii="宋体" w:hAnsi="宋体" w:eastAsia="宋体" w:cs="宋体"/>
          <w:color w:val="auto"/>
          <w:kern w:val="0"/>
          <w:sz w:val="24"/>
          <w:szCs w:val="24"/>
          <w:lang w:val="zh-CN" w:eastAsia="zh-CN"/>
        </w:rPr>
      </w:pPr>
    </w:p>
    <w:p>
      <w:pPr>
        <w:jc w:val="center"/>
        <w:rPr>
          <w:rFonts w:hint="eastAsia" w:ascii="宋体" w:hAnsi="宋体" w:eastAsia="宋体" w:cs="宋体"/>
          <w:b/>
          <w:kern w:val="0"/>
          <w:sz w:val="24"/>
          <w:szCs w:val="24"/>
          <w:lang w:val="zh-CN" w:eastAsia="zh-CN"/>
        </w:rPr>
      </w:pPr>
    </w:p>
    <w:p>
      <w:pPr>
        <w:jc w:val="center"/>
        <w:rPr>
          <w:rFonts w:hint="eastAsia" w:ascii="宋体" w:hAnsi="宋体" w:eastAsia="宋体" w:cs="宋体"/>
          <w:b/>
          <w:kern w:val="0"/>
          <w:sz w:val="24"/>
          <w:szCs w:val="24"/>
          <w:lang w:val="zh-CN" w:eastAsia="zh-CN"/>
        </w:rPr>
      </w:pPr>
    </w:p>
    <w:p>
      <w:pPr>
        <w:pStyle w:val="5"/>
        <w:ind w:left="424" w:leftChars="202" w:firstLine="1667" w:firstLineChars="519"/>
        <w:jc w:val="both"/>
        <w:rPr>
          <w:rFonts w:hint="eastAsia"/>
        </w:rPr>
      </w:pPr>
    </w:p>
    <w:p>
      <w:pPr>
        <w:pStyle w:val="5"/>
        <w:ind w:left="424" w:leftChars="202" w:firstLine="1667" w:firstLineChars="519"/>
        <w:jc w:val="both"/>
        <w:rPr>
          <w:rFonts w:hint="eastAsia"/>
        </w:rPr>
      </w:pPr>
    </w:p>
    <w:p>
      <w:pPr>
        <w:pStyle w:val="5"/>
        <w:ind w:left="424" w:leftChars="202" w:firstLine="1667" w:firstLineChars="519"/>
        <w:jc w:val="both"/>
      </w:pPr>
      <w:r>
        <w:rPr>
          <w:rFonts w:hint="eastAsia"/>
        </w:rPr>
        <w:t>二、报价情况说明（如果有）</w:t>
      </w:r>
    </w:p>
    <w:p/>
    <w:p>
      <w:p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注：如供应商报价低于项目预算50%的，应当提交本文档，详细阐述不影响产品质量或者诚信履约的具体原因。</w:t>
      </w:r>
    </w:p>
    <w:p>
      <w:pPr>
        <w:snapToGrid w:val="0"/>
        <w:spacing w:line="360" w:lineRule="auto"/>
        <w:ind w:firstLine="560" w:firstLineChars="200"/>
        <w:jc w:val="left"/>
        <w:rPr>
          <w:rFonts w:hint="eastAsia" w:ascii="宋体" w:hAnsi="宋体" w:cs="宋体"/>
          <w:sz w:val="28"/>
          <w:szCs w:val="28"/>
        </w:rPr>
      </w:pPr>
    </w:p>
    <w:p>
      <w:pPr>
        <w:snapToGrid w:val="0"/>
        <w:spacing w:line="360" w:lineRule="auto"/>
        <w:ind w:firstLine="560" w:firstLineChars="200"/>
        <w:jc w:val="left"/>
        <w:rPr>
          <w:rFonts w:hint="eastAsia" w:ascii="宋体" w:hAnsi="宋体" w:cs="宋体"/>
          <w:sz w:val="28"/>
          <w:szCs w:val="28"/>
        </w:rPr>
      </w:pPr>
    </w:p>
    <w:p>
      <w:pPr>
        <w:snapToGrid w:val="0"/>
        <w:spacing w:line="360" w:lineRule="auto"/>
        <w:ind w:firstLine="560" w:firstLineChars="200"/>
        <w:jc w:val="left"/>
        <w:rPr>
          <w:rFonts w:hint="eastAsia" w:ascii="宋体" w:hAnsi="宋体" w:cs="宋体"/>
          <w:sz w:val="28"/>
          <w:szCs w:val="28"/>
        </w:rPr>
      </w:pPr>
    </w:p>
    <w:p>
      <w:pPr>
        <w:pStyle w:val="5"/>
        <w:ind w:left="424" w:leftChars="202" w:firstLine="1667" w:firstLineChars="519"/>
        <w:jc w:val="both"/>
      </w:pPr>
      <w:r>
        <w:rPr>
          <w:rFonts w:hint="eastAsia"/>
        </w:rPr>
        <w:t>三、中小企业声明函</w:t>
      </w:r>
      <w:bookmarkStart w:id="422" w:name="_Hlk101259491"/>
      <w:r>
        <w:rPr>
          <w:rFonts w:hint="eastAsia"/>
        </w:rPr>
        <w:t>（如果有）</w:t>
      </w:r>
      <w:bookmarkEnd w:id="422"/>
    </w:p>
    <w:p>
      <w:pPr>
        <w:widowControl/>
        <w:snapToGrid w:val="0"/>
        <w:spacing w:line="360" w:lineRule="auto"/>
        <w:ind w:firstLine="560" w:firstLineChars="200"/>
        <w:jc w:val="left"/>
        <w:rPr>
          <w:rFonts w:hint="eastAsia" w:ascii="宋体" w:hAnsi="宋体" w:cs="宋体"/>
          <w:b w:val="0"/>
          <w:color w:val="auto"/>
          <w:sz w:val="28"/>
          <w:szCs w:val="28"/>
        </w:rPr>
      </w:pPr>
      <w:r>
        <w:rPr>
          <w:rFonts w:hint="eastAsia" w:ascii="宋体" w:hAnsi="宋体" w:cs="宋体"/>
          <w:b w:val="0"/>
          <w:color w:val="auto"/>
          <w:sz w:val="28"/>
          <w:szCs w:val="28"/>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jc w:val="left"/>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br w:type="page"/>
      </w:r>
    </w:p>
    <w:p>
      <w:pPr>
        <w:pStyle w:val="2"/>
        <w:rPr>
          <w:rFonts w:hint="eastAsia"/>
          <w:lang w:val="zh-CN" w:eastAsia="zh-CN"/>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5"/>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pPr>
        <w:pStyle w:val="5"/>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4"/>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4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4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附件5：</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pPr>
        <w:widowControl/>
        <w:spacing w:line="312"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0000FF"/>
          <w:sz w:val="24"/>
        </w:rPr>
        <w:t>（项目名称）</w:t>
      </w:r>
      <w:r>
        <w:rPr>
          <w:rFonts w:hint="eastAsia" w:ascii="宋体" w:hAnsi="宋体" w:eastAsia="宋体" w:cs="宋体"/>
          <w:sz w:val="24"/>
        </w:rPr>
        <w:t>【招标编号：</w:t>
      </w:r>
      <w:r>
        <w:rPr>
          <w:rFonts w:hint="eastAsia" w:ascii="宋体" w:hAnsi="宋体" w:eastAsia="宋体" w:cs="宋体"/>
          <w:color w:val="FF0000"/>
          <w:sz w:val="24"/>
        </w:rPr>
        <w:t>（采购编号）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spacing w:line="312" w:lineRule="auto"/>
        <w:jc w:val="center"/>
        <w:rPr>
          <w:rFonts w:hint="eastAsia" w:ascii="宋体" w:hAnsi="宋体" w:eastAsia="宋体" w:cs="宋体"/>
        </w:rPr>
      </w:pPr>
      <w:r>
        <w:rPr>
          <w:rFonts w:hint="eastAsia" w:ascii="宋体" w:hAnsi="宋体" w:eastAsia="宋体" w:cs="宋体"/>
        </w:rPr>
        <w:t>……</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pPr>
        <w:snapToGrid w:val="0"/>
        <w:spacing w:line="312"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pacing w:line="312"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23"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423"/>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12"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12"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12"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12"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12"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12"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 xml:space="preserve">的 </w:t>
      </w:r>
      <w:r>
        <w:rPr>
          <w:rFonts w:hint="eastAsia" w:ascii="宋体" w:hAnsi="宋体" w:eastAsia="宋体" w:cs="宋体"/>
          <w:color w:val="0000FF"/>
          <w:sz w:val="24"/>
          <w:u w:val="single"/>
        </w:rPr>
        <w:t>（项目名称）</w:t>
      </w:r>
      <w:r>
        <w:rPr>
          <w:rFonts w:hint="eastAsia" w:ascii="宋体" w:hAnsi="宋体" w:eastAsia="宋体" w:cs="宋体"/>
          <w:sz w:val="24"/>
        </w:rPr>
        <w:t xml:space="preserve"> 采购活动</w:t>
      </w:r>
      <w:r>
        <w:rPr>
          <w:rFonts w:hint="eastAsia" w:ascii="宋体" w:hAnsi="宋体" w:eastAsia="宋体" w:cs="宋体"/>
          <w:sz w:val="24"/>
          <w:lang w:eastAsia="zh-CN"/>
        </w:rPr>
        <w:t>，</w:t>
      </w:r>
      <w:r>
        <w:rPr>
          <w:rFonts w:hint="eastAsia" w:ascii="宋体" w:hAnsi="宋体" w:eastAsia="宋体" w:cs="宋体"/>
          <w:sz w:val="24"/>
          <w:lang w:val="en-US" w:eastAsia="zh-CN"/>
        </w:rPr>
        <w:t>投标供应商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u w:val="single"/>
          <w:lang w:eastAsia="zh-CN"/>
        </w:rPr>
        <w:t>，</w:t>
      </w:r>
      <w:r>
        <w:rPr>
          <w:rFonts w:hint="eastAsia" w:ascii="宋体" w:hAnsi="宋体" w:eastAsia="宋体" w:cs="宋体"/>
          <w:sz w:val="24"/>
        </w:rPr>
        <w:t xml:space="preserve"> 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u w:val="single"/>
        </w:rPr>
        <w:t xml:space="preserve"> </w:t>
      </w:r>
      <w:r>
        <w:rPr>
          <w:rFonts w:hint="eastAsia" w:ascii="宋体" w:hAnsi="宋体" w:eastAsia="宋体" w:cs="宋体"/>
          <w:sz w:val="24"/>
        </w:rPr>
        <w:t>，属于</w:t>
      </w:r>
      <w:r>
        <w:rPr>
          <w:rFonts w:hint="eastAsia" w:ascii="宋体" w:hAnsi="宋体" w:eastAsia="宋体" w:cs="宋体"/>
          <w:color w:val="0000FF"/>
          <w:sz w:val="24"/>
          <w:u w:val="single"/>
        </w:rPr>
        <w:t xml:space="preserve"> </w:t>
      </w:r>
      <w:r>
        <w:rPr>
          <w:rFonts w:hint="eastAsia" w:ascii="宋体" w:hAnsi="宋体" w:eastAsia="宋体" w:cs="宋体"/>
          <w:color w:val="0000FF"/>
          <w:sz w:val="24"/>
          <w:u w:val="single"/>
          <w:lang w:eastAsia="zh-CN"/>
        </w:rPr>
        <w:t>工业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eastAsia="宋体" w:cs="宋体"/>
          <w:b/>
          <w:bCs/>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 xml:space="preserve"> </w:t>
      </w:r>
      <w:r>
        <w:rPr>
          <w:rFonts w:hint="eastAsia" w:ascii="宋体" w:hAnsi="宋体" w:eastAsia="宋体" w:cs="宋体"/>
          <w:color w:val="0000FF"/>
          <w:sz w:val="24"/>
          <w:u w:val="single"/>
          <w:lang w:eastAsia="zh-CN"/>
        </w:rPr>
        <w:t>工业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eastAsia="宋体" w:cs="宋体"/>
          <w:b/>
          <w:bCs/>
          <w:color w:val="auto"/>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 xml:space="preserve"> </w:t>
      </w:r>
      <w:r>
        <w:rPr>
          <w:rFonts w:hint="eastAsia" w:ascii="宋体" w:hAnsi="宋体" w:eastAsia="宋体" w:cs="宋体"/>
          <w:color w:val="0000FF"/>
          <w:sz w:val="24"/>
          <w:u w:val="single"/>
          <w:lang w:eastAsia="zh-CN"/>
        </w:rPr>
        <w:t>工业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eastAsia="宋体" w:cs="宋体"/>
          <w:b/>
          <w:bCs/>
          <w:color w:val="auto"/>
          <w:sz w:val="24"/>
        </w:rPr>
        <w:t>制造商</w:t>
      </w:r>
      <w:r>
        <w:rPr>
          <w:rFonts w:hint="eastAsia" w:ascii="宋体" w:hAnsi="宋体" w:eastAsia="宋体" w:cs="宋体"/>
          <w:sz w:val="24"/>
        </w:rPr>
        <w:t>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w:t>
      </w:r>
      <w:r>
        <w:rPr>
          <w:rFonts w:hint="eastAsia" w:ascii="宋体" w:hAnsi="宋体" w:cs="宋体"/>
          <w:sz w:val="24"/>
          <w:lang w:eastAsia="zh-CN"/>
        </w:rPr>
        <w:t>部分</w:t>
      </w:r>
      <w:r>
        <w:rPr>
          <w:rFonts w:hint="eastAsia" w:ascii="宋体" w:hAnsi="宋体" w:eastAsia="宋体" w:cs="宋体"/>
          <w:sz w:val="24"/>
        </w:rPr>
        <w:t>属于</w:t>
      </w:r>
      <w:r>
        <w:rPr>
          <w:rFonts w:hint="eastAsia" w:ascii="宋体" w:hAnsi="宋体" w:eastAsia="宋体" w:cs="宋体"/>
          <w:sz w:val="24"/>
          <w:u w:val="single"/>
        </w:rPr>
        <w:t xml:space="preserve"> </w:t>
      </w:r>
      <w:r>
        <w:rPr>
          <w:rFonts w:hint="eastAsia" w:ascii="宋体" w:hAnsi="宋体" w:cs="宋体"/>
          <w:sz w:val="24"/>
          <w:u w:val="single"/>
          <w:lang w:eastAsia="zh-CN"/>
        </w:rPr>
        <w:t>建筑业</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行业 ；</w:t>
      </w:r>
      <w:r>
        <w:rPr>
          <w:rFonts w:hint="eastAsia" w:ascii="宋体" w:hAnsi="宋体" w:cs="宋体"/>
          <w:b/>
          <w:bCs/>
          <w:color w:val="auto"/>
          <w:sz w:val="24"/>
          <w:lang w:eastAsia="zh-CN"/>
        </w:rPr>
        <w:t>承接企业</w:t>
      </w:r>
      <w:r>
        <w:rPr>
          <w:rFonts w:hint="eastAsia" w:ascii="宋体" w:hAnsi="宋体" w:eastAsia="宋体" w:cs="宋体"/>
          <w:sz w:val="24"/>
          <w:u w:val="single"/>
        </w:rPr>
        <w:t>（企业名称）</w:t>
      </w:r>
      <w:r>
        <w:rPr>
          <w:rFonts w:hint="eastAsia" w:ascii="宋体" w:hAnsi="宋体" w:eastAsia="宋体" w:cs="宋体"/>
          <w:sz w:val="24"/>
        </w:rPr>
        <w:t xml:space="preserve"> ，营业收入为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rPr>
      </w:pPr>
    </w:p>
    <w:p>
      <w:pPr>
        <w:spacing w:line="360" w:lineRule="auto"/>
        <w:ind w:right="420" w:firstLine="480" w:firstLineChars="200"/>
        <w:rPr>
          <w:rFonts w:hint="eastAsia" w:ascii="宋体" w:hAnsi="宋体" w:eastAsia="宋体" w:cs="宋体"/>
          <w:sz w:val="24"/>
        </w:rPr>
      </w:pPr>
    </w:p>
    <w:p>
      <w:pPr>
        <w:spacing w:line="360" w:lineRule="auto"/>
        <w:ind w:right="420" w:firstLine="480" w:firstLineChars="200"/>
        <w:rPr>
          <w:rFonts w:hint="eastAsia" w:ascii="宋体" w:hAnsi="宋体" w:eastAsia="宋体" w:cs="宋体"/>
          <w:sz w:val="24"/>
        </w:rPr>
      </w:pPr>
    </w:p>
    <w:p>
      <w:pPr>
        <w:rPr>
          <w:rFonts w:hint="eastAsia"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numberInDash"/>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5"/>
        <w:rPr>
          <w:rFonts w:hint="eastAsia" w:ascii="宋体" w:hAnsi="宋体" w:eastAsia="宋体" w:cs="宋体"/>
          <w:color w:val="auto"/>
          <w:lang w:val="en-US"/>
        </w:rPr>
      </w:pPr>
    </w:p>
    <w:p>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numberInDash"/>
          <w:cols w:space="720" w:num="1"/>
          <w:titlePg/>
          <w:docGrid w:linePitch="312" w:charSpace="0"/>
        </w:sectPr>
      </w:pPr>
    </w:p>
    <w:p>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spacing w:line="360" w:lineRule="auto"/>
        <w:rPr>
          <w:rFonts w:hint="eastAsia" w:ascii="宋体" w:hAnsi="宋体" w:eastAsia="宋体" w:cs="宋体"/>
          <w:bCs/>
          <w:color w:val="auto"/>
          <w:sz w:val="24"/>
        </w:rPr>
      </w:pPr>
    </w:p>
    <w:p>
      <w:pPr>
        <w:spacing w:line="360" w:lineRule="auto"/>
        <w:rPr>
          <w:rFonts w:hint="eastAsia" w:ascii="宋体" w:hAnsi="宋体" w:eastAsia="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9" o:spt="1"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63</w:t>
                </w:r>
                <w:r>
                  <w:fldChar w:fldCharType="end"/>
                </w:r>
              </w:p>
            </w:txbxContent>
          </v:textbox>
        </v:rect>
      </w:pict>
    </w:r>
    <w:r>
      <w:rPr>
        <w:rFonts w:ascii="Times New Roman" w:hAnsi="Times New Roman" w:eastAsia="宋体" w:cs="Times New Roman"/>
        <w:kern w:val="2"/>
        <w:sz w:val="18"/>
        <w:szCs w:val="18"/>
        <w:lang w:val="en-US" w:eastAsia="zh-CN" w:bidi="ar-SA"/>
      </w:rPr>
      <w:pict>
        <v:rect id="文本框 36" o:spid="_x0000_s2060"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left"/>
                </w:pPr>
              </w:p>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6" o:spid="_x0000_s2065" o:spt="1"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37" o:spid="_x0000_s2066"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left"/>
                </w:pPr>
              </w:p>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7" o:spid="_x0000_s2063" o:spt="1"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81</w:t>
                </w:r>
                <w:r>
                  <w:fldChar w:fldCharType="end"/>
                </w:r>
              </w:p>
            </w:txbxContent>
          </v:textbox>
        </v:rect>
      </w:pict>
    </w:r>
    <w:r>
      <w:rPr>
        <w:rFonts w:ascii="Times New Roman" w:hAnsi="Times New Roman" w:eastAsia="宋体" w:cs="Times New Roman"/>
        <w:kern w:val="2"/>
        <w:sz w:val="18"/>
        <w:szCs w:val="18"/>
        <w:lang w:val="en-US" w:eastAsia="zh-CN" w:bidi="ar-SA"/>
      </w:rPr>
      <w:pict>
        <v:rect id="文本框 38" o:spid="_x0000_s2064"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left"/>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w:pict>
        <v:rect id="文本框 17" o:spid="_x0000_s2050"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宋体" w:cs="Times New Roman"/>
        <w:kern w:val="2"/>
        <w:sz w:val="18"/>
        <w:szCs w:val="18"/>
        <w:lang w:val="en-US" w:eastAsia="zh-CN" w:bidi="ar-SA"/>
      </w:rPr>
      <w:pict>
        <v:rect id="文本框 18" o:spid="_x0000_s2049"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rPr>
    </w:pPr>
    <w:r>
      <w:rPr>
        <w:rFonts w:ascii="Times New Roman" w:hAnsi="Times New Roman" w:eastAsia="宋体" w:cs="Times New Roman"/>
        <w:kern w:val="2"/>
        <w:sz w:val="18"/>
        <w:szCs w:val="18"/>
        <w:lang w:val="en-US" w:eastAsia="zh-CN" w:bidi="ar-SA"/>
      </w:rPr>
      <w:pict>
        <v:rect id="文本框 19" o:spid="_x0000_s2051"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23</w:t>
                </w:r>
                <w:r>
                  <w:fldChar w:fldCharType="end"/>
                </w:r>
              </w:p>
            </w:txbxContent>
          </v:textbox>
        </v:rect>
      </w:pict>
    </w:r>
    <w:r>
      <w:rPr>
        <w:rFonts w:ascii="Times New Roman" w:hAnsi="Times New Roman" w:eastAsia="宋体" w:cs="Times New Roman"/>
        <w:kern w:val="2"/>
        <w:sz w:val="18"/>
        <w:szCs w:val="18"/>
        <w:lang w:val="en-US" w:eastAsia="zh-CN" w:bidi="ar-SA"/>
      </w:rPr>
      <w:pict>
        <v:rect id="文本框 32" o:spid="_x0000_s2052"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left"/>
                </w:pP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0" o:spid="_x0000_s2053"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47</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1" o:spid="_x0000_s2056"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53</w:t>
                </w:r>
                <w:r>
                  <w:fldChar w:fldCharType="end"/>
                </w:r>
              </w:p>
            </w:txbxContent>
          </v:textbox>
        </v:rect>
      </w:pict>
    </w:r>
    <w:r>
      <w:rPr>
        <w:rFonts w:ascii="Times New Roman" w:hAnsi="Times New Roman" w:eastAsia="宋体" w:cs="Times New Roman"/>
        <w:kern w:val="2"/>
        <w:sz w:val="18"/>
        <w:szCs w:val="18"/>
        <w:lang w:val="en-US" w:eastAsia="zh-CN" w:bidi="ar-SA"/>
      </w:rPr>
      <w:pict>
        <v:rect id="文本框 33" o:spid="_x0000_s2057"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p>
              <w:p/>
            </w:txbxContent>
          </v:textbox>
        </v:rect>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2" o:spid="_x0000_s2054"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52</w:t>
                </w:r>
                <w:r>
                  <w:fldChar w:fldCharType="end"/>
                </w:r>
              </w:p>
            </w:txbxContent>
          </v:textbox>
        </v:rect>
      </w:pict>
    </w:r>
    <w:r>
      <w:rPr>
        <w:rFonts w:ascii="Times New Roman" w:hAnsi="Times New Roman" w:eastAsia="宋体" w:cs="Times New Roman"/>
        <w:kern w:val="2"/>
        <w:sz w:val="18"/>
        <w:szCs w:val="18"/>
        <w:lang w:val="en-US" w:eastAsia="zh-CN" w:bidi="ar-SA"/>
      </w:rPr>
      <w:pict>
        <v:rect id="文本框 34" o:spid="_x0000_s2055"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center"/>
                </w:pPr>
              </w:p>
              <w:p/>
            </w:txbxContent>
          </v:textbox>
        </v:rect>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文本框 23" o:spid="_x0000_s2058"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4" o:spid="_x0000_s2061" o:spt="1"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fldChar w:fldCharType="begin"/>
                </w:r>
                <w:r>
                  <w:instrText xml:space="preserve"> PAGE  \* MERGEFORMAT </w:instrText>
                </w:r>
                <w:r>
                  <w:fldChar w:fldCharType="separate"/>
                </w:r>
                <w:r>
                  <w:t>64</w:t>
                </w:r>
                <w:r>
                  <w:fldChar w:fldCharType="end"/>
                </w:r>
              </w:p>
            </w:txbxContent>
          </v:textbox>
        </v:rect>
      </w:pict>
    </w:r>
    <w:r>
      <w:rPr>
        <w:rFonts w:ascii="Times New Roman" w:hAnsi="Times New Roman" w:eastAsia="宋体" w:cs="Times New Roman"/>
        <w:kern w:val="2"/>
        <w:sz w:val="18"/>
        <w:szCs w:val="18"/>
        <w:lang w:val="en-US" w:eastAsia="zh-CN" w:bidi="ar-SA"/>
      </w:rPr>
      <w:pict>
        <v:rect id="文本框 35" o:spid="_x0000_s2062"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jc w:val="left"/>
                </w:pP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907A3"/>
    <w:multiLevelType w:val="singleLevel"/>
    <w:tmpl w:val="369907A3"/>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IyMjUxNzkxYzI0NDI0NTQ2Yzg4NGEzMzYzZmQ0M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A09F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EF43C3"/>
    <w:rsid w:val="04F66F48"/>
    <w:rsid w:val="0504074C"/>
    <w:rsid w:val="05092FAB"/>
    <w:rsid w:val="050A0BF9"/>
    <w:rsid w:val="05251E14"/>
    <w:rsid w:val="05A131E3"/>
    <w:rsid w:val="05A16594"/>
    <w:rsid w:val="05A7762D"/>
    <w:rsid w:val="060E5941"/>
    <w:rsid w:val="06110FAF"/>
    <w:rsid w:val="06493CA7"/>
    <w:rsid w:val="065A6178"/>
    <w:rsid w:val="066F1CF3"/>
    <w:rsid w:val="06930BB8"/>
    <w:rsid w:val="07245D42"/>
    <w:rsid w:val="07264C62"/>
    <w:rsid w:val="0779354C"/>
    <w:rsid w:val="07C0356B"/>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E3A7F"/>
    <w:rsid w:val="09A92330"/>
    <w:rsid w:val="09B06B87"/>
    <w:rsid w:val="09C13146"/>
    <w:rsid w:val="09E04166"/>
    <w:rsid w:val="09E93F94"/>
    <w:rsid w:val="0A1C0718"/>
    <w:rsid w:val="0A3E7710"/>
    <w:rsid w:val="0A5B7E63"/>
    <w:rsid w:val="0A60541B"/>
    <w:rsid w:val="0AA374A5"/>
    <w:rsid w:val="0AAB7649"/>
    <w:rsid w:val="0ABC5606"/>
    <w:rsid w:val="0AEA0C4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1B7335"/>
    <w:rsid w:val="0D4A7419"/>
    <w:rsid w:val="0D827401"/>
    <w:rsid w:val="0D84094E"/>
    <w:rsid w:val="0D8A00E9"/>
    <w:rsid w:val="0D8D589E"/>
    <w:rsid w:val="0DA01C73"/>
    <w:rsid w:val="0DD57B5A"/>
    <w:rsid w:val="0DD63300"/>
    <w:rsid w:val="0DF50604"/>
    <w:rsid w:val="0DF702FE"/>
    <w:rsid w:val="0E060E51"/>
    <w:rsid w:val="0E5604B2"/>
    <w:rsid w:val="0E6D5D79"/>
    <w:rsid w:val="0E850DF2"/>
    <w:rsid w:val="0E9D0089"/>
    <w:rsid w:val="0EB126E9"/>
    <w:rsid w:val="0EB803EE"/>
    <w:rsid w:val="0EF94D4B"/>
    <w:rsid w:val="0F4958DC"/>
    <w:rsid w:val="0F515DF7"/>
    <w:rsid w:val="0F596BA8"/>
    <w:rsid w:val="0F6248D2"/>
    <w:rsid w:val="0F693536"/>
    <w:rsid w:val="0F7B0511"/>
    <w:rsid w:val="0F7B76D9"/>
    <w:rsid w:val="0F816ACD"/>
    <w:rsid w:val="0F9832DB"/>
    <w:rsid w:val="0FBF3FD2"/>
    <w:rsid w:val="0FBF7FF3"/>
    <w:rsid w:val="0FC4772D"/>
    <w:rsid w:val="10646583"/>
    <w:rsid w:val="107D4B15"/>
    <w:rsid w:val="108A3C80"/>
    <w:rsid w:val="10AF0EAA"/>
    <w:rsid w:val="10C26171"/>
    <w:rsid w:val="10E30B54"/>
    <w:rsid w:val="10F33360"/>
    <w:rsid w:val="10FC16EA"/>
    <w:rsid w:val="110E15E8"/>
    <w:rsid w:val="110F1D40"/>
    <w:rsid w:val="11266F33"/>
    <w:rsid w:val="117149BF"/>
    <w:rsid w:val="117966F7"/>
    <w:rsid w:val="118963A1"/>
    <w:rsid w:val="11C6522A"/>
    <w:rsid w:val="11E104CC"/>
    <w:rsid w:val="11E20309"/>
    <w:rsid w:val="12255233"/>
    <w:rsid w:val="12530213"/>
    <w:rsid w:val="127723A9"/>
    <w:rsid w:val="12862074"/>
    <w:rsid w:val="12883966"/>
    <w:rsid w:val="129E45B4"/>
    <w:rsid w:val="12B602E0"/>
    <w:rsid w:val="12D81596"/>
    <w:rsid w:val="13072A44"/>
    <w:rsid w:val="13126856"/>
    <w:rsid w:val="13492DC2"/>
    <w:rsid w:val="135F4BE2"/>
    <w:rsid w:val="139B1A0A"/>
    <w:rsid w:val="139D25C7"/>
    <w:rsid w:val="13BF3CE4"/>
    <w:rsid w:val="141008D8"/>
    <w:rsid w:val="14125FE6"/>
    <w:rsid w:val="142851FC"/>
    <w:rsid w:val="144F3DF5"/>
    <w:rsid w:val="146D271E"/>
    <w:rsid w:val="14982588"/>
    <w:rsid w:val="149A5AD9"/>
    <w:rsid w:val="14A7619D"/>
    <w:rsid w:val="14D902A4"/>
    <w:rsid w:val="150536C3"/>
    <w:rsid w:val="150C1963"/>
    <w:rsid w:val="151447A0"/>
    <w:rsid w:val="154A6454"/>
    <w:rsid w:val="15762120"/>
    <w:rsid w:val="157F52EF"/>
    <w:rsid w:val="16A8729C"/>
    <w:rsid w:val="16B33777"/>
    <w:rsid w:val="16BC70A7"/>
    <w:rsid w:val="16C6339E"/>
    <w:rsid w:val="172F2D79"/>
    <w:rsid w:val="17557BEF"/>
    <w:rsid w:val="17D349C1"/>
    <w:rsid w:val="1830729E"/>
    <w:rsid w:val="1870062C"/>
    <w:rsid w:val="18817102"/>
    <w:rsid w:val="18830A15"/>
    <w:rsid w:val="18852B28"/>
    <w:rsid w:val="188B5321"/>
    <w:rsid w:val="18D72D4C"/>
    <w:rsid w:val="19212219"/>
    <w:rsid w:val="19932372"/>
    <w:rsid w:val="19A20DD5"/>
    <w:rsid w:val="19AE03F1"/>
    <w:rsid w:val="1A071A03"/>
    <w:rsid w:val="1A1F16AE"/>
    <w:rsid w:val="1A3B5C77"/>
    <w:rsid w:val="1A984BAD"/>
    <w:rsid w:val="1AB8220E"/>
    <w:rsid w:val="1AE4166C"/>
    <w:rsid w:val="1AED4AA9"/>
    <w:rsid w:val="1AF06CFB"/>
    <w:rsid w:val="1AF11B8D"/>
    <w:rsid w:val="1B11359C"/>
    <w:rsid w:val="1B2A271F"/>
    <w:rsid w:val="1B530544"/>
    <w:rsid w:val="1B713184"/>
    <w:rsid w:val="1BA12596"/>
    <w:rsid w:val="1BA209CF"/>
    <w:rsid w:val="1BB4777D"/>
    <w:rsid w:val="1BD75AB8"/>
    <w:rsid w:val="1C0459C2"/>
    <w:rsid w:val="1C1B3B4A"/>
    <w:rsid w:val="1C88086E"/>
    <w:rsid w:val="1D266CE1"/>
    <w:rsid w:val="1D2C234D"/>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C422E"/>
    <w:rsid w:val="204E48BC"/>
    <w:rsid w:val="208921B3"/>
    <w:rsid w:val="20973DEB"/>
    <w:rsid w:val="20B26522"/>
    <w:rsid w:val="20B44310"/>
    <w:rsid w:val="20E56222"/>
    <w:rsid w:val="211116EB"/>
    <w:rsid w:val="216133FC"/>
    <w:rsid w:val="21690C01"/>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36ACE"/>
    <w:rsid w:val="245375B0"/>
    <w:rsid w:val="24642C0A"/>
    <w:rsid w:val="24B22173"/>
    <w:rsid w:val="24B95AD9"/>
    <w:rsid w:val="24BB79C6"/>
    <w:rsid w:val="24BE24DA"/>
    <w:rsid w:val="24CF5825"/>
    <w:rsid w:val="24D663E6"/>
    <w:rsid w:val="24D77F2B"/>
    <w:rsid w:val="254A0D4A"/>
    <w:rsid w:val="258B00E2"/>
    <w:rsid w:val="25A917A6"/>
    <w:rsid w:val="25BA7C7E"/>
    <w:rsid w:val="25BE27CC"/>
    <w:rsid w:val="25F26033"/>
    <w:rsid w:val="25F74A5C"/>
    <w:rsid w:val="2628662C"/>
    <w:rsid w:val="262D45DE"/>
    <w:rsid w:val="264B61DF"/>
    <w:rsid w:val="265C249C"/>
    <w:rsid w:val="26871DC8"/>
    <w:rsid w:val="26A53EF9"/>
    <w:rsid w:val="26A94201"/>
    <w:rsid w:val="26AC274F"/>
    <w:rsid w:val="26EA27E4"/>
    <w:rsid w:val="27044A29"/>
    <w:rsid w:val="271D34C8"/>
    <w:rsid w:val="276142BF"/>
    <w:rsid w:val="27783712"/>
    <w:rsid w:val="27907362"/>
    <w:rsid w:val="27E83B4C"/>
    <w:rsid w:val="282B3C5B"/>
    <w:rsid w:val="28333E1D"/>
    <w:rsid w:val="28454BD6"/>
    <w:rsid w:val="28455253"/>
    <w:rsid w:val="28551971"/>
    <w:rsid w:val="285B1C53"/>
    <w:rsid w:val="289E3886"/>
    <w:rsid w:val="289F7086"/>
    <w:rsid w:val="28C32028"/>
    <w:rsid w:val="28CC490F"/>
    <w:rsid w:val="28DE40AA"/>
    <w:rsid w:val="29345E77"/>
    <w:rsid w:val="294C65AD"/>
    <w:rsid w:val="295D104C"/>
    <w:rsid w:val="29806583"/>
    <w:rsid w:val="298B3C4C"/>
    <w:rsid w:val="29D5324F"/>
    <w:rsid w:val="29F26D24"/>
    <w:rsid w:val="2A15033F"/>
    <w:rsid w:val="2A1662C1"/>
    <w:rsid w:val="2A1C0F07"/>
    <w:rsid w:val="2A1C7367"/>
    <w:rsid w:val="2A2815FA"/>
    <w:rsid w:val="2A6D6092"/>
    <w:rsid w:val="2A7D76B4"/>
    <w:rsid w:val="2ABE038B"/>
    <w:rsid w:val="2B437463"/>
    <w:rsid w:val="2B7807EE"/>
    <w:rsid w:val="2BA50BF7"/>
    <w:rsid w:val="2BBF00EC"/>
    <w:rsid w:val="2BC37CFD"/>
    <w:rsid w:val="2BD5237F"/>
    <w:rsid w:val="2BE536CE"/>
    <w:rsid w:val="2BE758D9"/>
    <w:rsid w:val="2C09049E"/>
    <w:rsid w:val="2C0A653C"/>
    <w:rsid w:val="2C191F85"/>
    <w:rsid w:val="2CE82D6F"/>
    <w:rsid w:val="2D256324"/>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322BB"/>
    <w:rsid w:val="30733ACD"/>
    <w:rsid w:val="30853038"/>
    <w:rsid w:val="308C3862"/>
    <w:rsid w:val="309379D8"/>
    <w:rsid w:val="30A270F7"/>
    <w:rsid w:val="30DF1478"/>
    <w:rsid w:val="30EC586F"/>
    <w:rsid w:val="314B2DAB"/>
    <w:rsid w:val="3151741F"/>
    <w:rsid w:val="316244E8"/>
    <w:rsid w:val="319C6071"/>
    <w:rsid w:val="31AC537E"/>
    <w:rsid w:val="31C74937"/>
    <w:rsid w:val="31E3679B"/>
    <w:rsid w:val="31E732FD"/>
    <w:rsid w:val="32517576"/>
    <w:rsid w:val="32BE5C2C"/>
    <w:rsid w:val="32FB6478"/>
    <w:rsid w:val="331E3E1C"/>
    <w:rsid w:val="33263B3F"/>
    <w:rsid w:val="336963EB"/>
    <w:rsid w:val="33816EEB"/>
    <w:rsid w:val="3394067D"/>
    <w:rsid w:val="33EB55CD"/>
    <w:rsid w:val="33EC4C02"/>
    <w:rsid w:val="340D2360"/>
    <w:rsid w:val="3410665D"/>
    <w:rsid w:val="34211214"/>
    <w:rsid w:val="342E63AB"/>
    <w:rsid w:val="34645B8C"/>
    <w:rsid w:val="34950E68"/>
    <w:rsid w:val="34986E94"/>
    <w:rsid w:val="34AF62C9"/>
    <w:rsid w:val="34CB4388"/>
    <w:rsid w:val="34FA6E12"/>
    <w:rsid w:val="354D7158"/>
    <w:rsid w:val="358D5588"/>
    <w:rsid w:val="359C114E"/>
    <w:rsid w:val="35C67F79"/>
    <w:rsid w:val="363A3B40"/>
    <w:rsid w:val="365302AE"/>
    <w:rsid w:val="365B4B65"/>
    <w:rsid w:val="36607A0A"/>
    <w:rsid w:val="366E227C"/>
    <w:rsid w:val="366F2E0D"/>
    <w:rsid w:val="367B6A5C"/>
    <w:rsid w:val="36A74ADA"/>
    <w:rsid w:val="36AD60D5"/>
    <w:rsid w:val="36B224F9"/>
    <w:rsid w:val="36EC0CC9"/>
    <w:rsid w:val="373F410B"/>
    <w:rsid w:val="37C8447C"/>
    <w:rsid w:val="37EE7094"/>
    <w:rsid w:val="38296C89"/>
    <w:rsid w:val="383002EB"/>
    <w:rsid w:val="38514471"/>
    <w:rsid w:val="38586797"/>
    <w:rsid w:val="385F3408"/>
    <w:rsid w:val="38BC0149"/>
    <w:rsid w:val="38D87D1C"/>
    <w:rsid w:val="39636459"/>
    <w:rsid w:val="396B7F6C"/>
    <w:rsid w:val="39B417A9"/>
    <w:rsid w:val="39FC5695"/>
    <w:rsid w:val="3A006D8E"/>
    <w:rsid w:val="3A3651E5"/>
    <w:rsid w:val="3A744481"/>
    <w:rsid w:val="3A8C7BEF"/>
    <w:rsid w:val="3A906246"/>
    <w:rsid w:val="3AA94EF5"/>
    <w:rsid w:val="3B2349B7"/>
    <w:rsid w:val="3B616CFF"/>
    <w:rsid w:val="3B6259F6"/>
    <w:rsid w:val="3B6D76D3"/>
    <w:rsid w:val="3B8C5D7F"/>
    <w:rsid w:val="3B976654"/>
    <w:rsid w:val="3BB80846"/>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9D7A39"/>
    <w:rsid w:val="3DA16D89"/>
    <w:rsid w:val="3DA364BE"/>
    <w:rsid w:val="3DE041CB"/>
    <w:rsid w:val="3E0D48F6"/>
    <w:rsid w:val="3E126451"/>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766B5"/>
    <w:rsid w:val="3F6363FE"/>
    <w:rsid w:val="3F756B8F"/>
    <w:rsid w:val="3F95482B"/>
    <w:rsid w:val="4019356B"/>
    <w:rsid w:val="402C30CE"/>
    <w:rsid w:val="40592157"/>
    <w:rsid w:val="406E1CAE"/>
    <w:rsid w:val="40A0133A"/>
    <w:rsid w:val="40C31A53"/>
    <w:rsid w:val="40DD2AF0"/>
    <w:rsid w:val="40FF545D"/>
    <w:rsid w:val="410067C8"/>
    <w:rsid w:val="41786715"/>
    <w:rsid w:val="418F0D2A"/>
    <w:rsid w:val="419378A9"/>
    <w:rsid w:val="41A273E5"/>
    <w:rsid w:val="41D01505"/>
    <w:rsid w:val="420961A9"/>
    <w:rsid w:val="42474939"/>
    <w:rsid w:val="424C3C57"/>
    <w:rsid w:val="42613FF3"/>
    <w:rsid w:val="42660D96"/>
    <w:rsid w:val="428667D2"/>
    <w:rsid w:val="42CD1CE0"/>
    <w:rsid w:val="42E1381E"/>
    <w:rsid w:val="42ED6459"/>
    <w:rsid w:val="42FE58DD"/>
    <w:rsid w:val="43174B3D"/>
    <w:rsid w:val="434B790E"/>
    <w:rsid w:val="4360274F"/>
    <w:rsid w:val="43867715"/>
    <w:rsid w:val="43977AB6"/>
    <w:rsid w:val="43A3342B"/>
    <w:rsid w:val="43C77C27"/>
    <w:rsid w:val="43DE09EE"/>
    <w:rsid w:val="44002FAD"/>
    <w:rsid w:val="4404011B"/>
    <w:rsid w:val="449101DD"/>
    <w:rsid w:val="44B332C5"/>
    <w:rsid w:val="44DE1391"/>
    <w:rsid w:val="4517259F"/>
    <w:rsid w:val="451B225C"/>
    <w:rsid w:val="452410C9"/>
    <w:rsid w:val="45317DFB"/>
    <w:rsid w:val="456D3CE4"/>
    <w:rsid w:val="4579042C"/>
    <w:rsid w:val="457F0571"/>
    <w:rsid w:val="45851176"/>
    <w:rsid w:val="45C63B94"/>
    <w:rsid w:val="460E7DA5"/>
    <w:rsid w:val="46205483"/>
    <w:rsid w:val="46314134"/>
    <w:rsid w:val="463A3D14"/>
    <w:rsid w:val="46422483"/>
    <w:rsid w:val="4659254A"/>
    <w:rsid w:val="465B0637"/>
    <w:rsid w:val="465E3F0D"/>
    <w:rsid w:val="466A16E6"/>
    <w:rsid w:val="46893F2B"/>
    <w:rsid w:val="46C4686E"/>
    <w:rsid w:val="473F1A7D"/>
    <w:rsid w:val="477B778F"/>
    <w:rsid w:val="478203EC"/>
    <w:rsid w:val="478A34FC"/>
    <w:rsid w:val="47B025FA"/>
    <w:rsid w:val="47E25C44"/>
    <w:rsid w:val="4809698F"/>
    <w:rsid w:val="4811697D"/>
    <w:rsid w:val="487A3E25"/>
    <w:rsid w:val="488B5503"/>
    <w:rsid w:val="48937E21"/>
    <w:rsid w:val="489A0361"/>
    <w:rsid w:val="48B94FF3"/>
    <w:rsid w:val="48E37AAB"/>
    <w:rsid w:val="48F50E49"/>
    <w:rsid w:val="48FD4B4C"/>
    <w:rsid w:val="490A68E0"/>
    <w:rsid w:val="491055FE"/>
    <w:rsid w:val="49415E3C"/>
    <w:rsid w:val="495F5B3E"/>
    <w:rsid w:val="496F77D7"/>
    <w:rsid w:val="497654FD"/>
    <w:rsid w:val="49B64211"/>
    <w:rsid w:val="49BA174B"/>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830904"/>
    <w:rsid w:val="4D905305"/>
    <w:rsid w:val="4D964A72"/>
    <w:rsid w:val="4D9C1254"/>
    <w:rsid w:val="4E3F48D8"/>
    <w:rsid w:val="4E793892"/>
    <w:rsid w:val="4E800872"/>
    <w:rsid w:val="4EC569ED"/>
    <w:rsid w:val="4ED50EA1"/>
    <w:rsid w:val="4EEC050C"/>
    <w:rsid w:val="4F104EC3"/>
    <w:rsid w:val="4F47354A"/>
    <w:rsid w:val="4F7A2DDD"/>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D44CE"/>
    <w:rsid w:val="521C11F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65385"/>
    <w:rsid w:val="54487265"/>
    <w:rsid w:val="544D6070"/>
    <w:rsid w:val="54605E1E"/>
    <w:rsid w:val="54B3506A"/>
    <w:rsid w:val="54B8530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A553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52CA9"/>
    <w:rsid w:val="58917D2F"/>
    <w:rsid w:val="5894085C"/>
    <w:rsid w:val="58AE4F0C"/>
    <w:rsid w:val="58B85899"/>
    <w:rsid w:val="58CE507A"/>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25448"/>
    <w:rsid w:val="5AA85BE2"/>
    <w:rsid w:val="5AAD6F28"/>
    <w:rsid w:val="5AD63A24"/>
    <w:rsid w:val="5B2E1A1D"/>
    <w:rsid w:val="5B36417F"/>
    <w:rsid w:val="5B532BE1"/>
    <w:rsid w:val="5B843A1C"/>
    <w:rsid w:val="5B873E3F"/>
    <w:rsid w:val="5C02690E"/>
    <w:rsid w:val="5C196DA7"/>
    <w:rsid w:val="5C2A048C"/>
    <w:rsid w:val="5C593F1E"/>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D73A6"/>
    <w:rsid w:val="5F6062E3"/>
    <w:rsid w:val="5F6277C6"/>
    <w:rsid w:val="5F6D0B1D"/>
    <w:rsid w:val="5F8261BE"/>
    <w:rsid w:val="5F8D0B82"/>
    <w:rsid w:val="5FA771D4"/>
    <w:rsid w:val="5FCC5339"/>
    <w:rsid w:val="5FE34A5B"/>
    <w:rsid w:val="5FFE1E36"/>
    <w:rsid w:val="60232584"/>
    <w:rsid w:val="607330CE"/>
    <w:rsid w:val="60825176"/>
    <w:rsid w:val="608B3A68"/>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23767"/>
    <w:rsid w:val="62F40B65"/>
    <w:rsid w:val="62FC2CFE"/>
    <w:rsid w:val="63024505"/>
    <w:rsid w:val="635600A5"/>
    <w:rsid w:val="635B1DB5"/>
    <w:rsid w:val="63711FED"/>
    <w:rsid w:val="63880DDC"/>
    <w:rsid w:val="638D750D"/>
    <w:rsid w:val="63AC6CC0"/>
    <w:rsid w:val="63B219B9"/>
    <w:rsid w:val="64055776"/>
    <w:rsid w:val="641F304E"/>
    <w:rsid w:val="64240056"/>
    <w:rsid w:val="643E143A"/>
    <w:rsid w:val="64491666"/>
    <w:rsid w:val="648B6EEF"/>
    <w:rsid w:val="64C158BF"/>
    <w:rsid w:val="64CE2EAA"/>
    <w:rsid w:val="64D91F87"/>
    <w:rsid w:val="653C3090"/>
    <w:rsid w:val="65854376"/>
    <w:rsid w:val="658767BE"/>
    <w:rsid w:val="65892531"/>
    <w:rsid w:val="660A758F"/>
    <w:rsid w:val="66195831"/>
    <w:rsid w:val="662E75B1"/>
    <w:rsid w:val="66342C2E"/>
    <w:rsid w:val="663E784C"/>
    <w:rsid w:val="668B6A45"/>
    <w:rsid w:val="66CD6B09"/>
    <w:rsid w:val="672F3F24"/>
    <w:rsid w:val="673E055F"/>
    <w:rsid w:val="67551CE3"/>
    <w:rsid w:val="67642FCA"/>
    <w:rsid w:val="677C22DA"/>
    <w:rsid w:val="67A22552"/>
    <w:rsid w:val="67B22DCC"/>
    <w:rsid w:val="67BE71AA"/>
    <w:rsid w:val="67D87514"/>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551C78"/>
    <w:rsid w:val="69627681"/>
    <w:rsid w:val="6977531D"/>
    <w:rsid w:val="69CC2BFF"/>
    <w:rsid w:val="69FD55B8"/>
    <w:rsid w:val="6A0B1C62"/>
    <w:rsid w:val="6A2406C8"/>
    <w:rsid w:val="6A820B26"/>
    <w:rsid w:val="6ADE0BD1"/>
    <w:rsid w:val="6AE96859"/>
    <w:rsid w:val="6B147746"/>
    <w:rsid w:val="6B24787C"/>
    <w:rsid w:val="6B573233"/>
    <w:rsid w:val="6B5B6274"/>
    <w:rsid w:val="6B876E3C"/>
    <w:rsid w:val="6B8C2AEF"/>
    <w:rsid w:val="6B935D53"/>
    <w:rsid w:val="6B985938"/>
    <w:rsid w:val="6C196F71"/>
    <w:rsid w:val="6C226FCB"/>
    <w:rsid w:val="6C31226F"/>
    <w:rsid w:val="6C552F0B"/>
    <w:rsid w:val="6C8C67B7"/>
    <w:rsid w:val="6C9D744C"/>
    <w:rsid w:val="6CFA15E5"/>
    <w:rsid w:val="6CFC3E2F"/>
    <w:rsid w:val="6D167928"/>
    <w:rsid w:val="6D26299B"/>
    <w:rsid w:val="6D2F6BC4"/>
    <w:rsid w:val="6D4772EC"/>
    <w:rsid w:val="6D9078AF"/>
    <w:rsid w:val="6DAA3FEF"/>
    <w:rsid w:val="6DBB0C66"/>
    <w:rsid w:val="6DC0172B"/>
    <w:rsid w:val="6DCB690C"/>
    <w:rsid w:val="6DD41A5B"/>
    <w:rsid w:val="6DF43C2E"/>
    <w:rsid w:val="6DF51CA3"/>
    <w:rsid w:val="6E531652"/>
    <w:rsid w:val="6E8335BD"/>
    <w:rsid w:val="6E8E12EF"/>
    <w:rsid w:val="6E972936"/>
    <w:rsid w:val="6ED446C5"/>
    <w:rsid w:val="6EE544B7"/>
    <w:rsid w:val="6F2A7D94"/>
    <w:rsid w:val="6F8331F1"/>
    <w:rsid w:val="6FAE1A09"/>
    <w:rsid w:val="6FD75BF8"/>
    <w:rsid w:val="6FFE2617"/>
    <w:rsid w:val="707723D0"/>
    <w:rsid w:val="70DB27EB"/>
    <w:rsid w:val="70F5661B"/>
    <w:rsid w:val="71360107"/>
    <w:rsid w:val="713B688E"/>
    <w:rsid w:val="71490B49"/>
    <w:rsid w:val="71D43752"/>
    <w:rsid w:val="71F1796A"/>
    <w:rsid w:val="72154626"/>
    <w:rsid w:val="72262B5D"/>
    <w:rsid w:val="72283FF7"/>
    <w:rsid w:val="722E7212"/>
    <w:rsid w:val="723A0474"/>
    <w:rsid w:val="725923E4"/>
    <w:rsid w:val="72864BF7"/>
    <w:rsid w:val="729023FC"/>
    <w:rsid w:val="73C03C7E"/>
    <w:rsid w:val="73C0646E"/>
    <w:rsid w:val="742222F5"/>
    <w:rsid w:val="74476126"/>
    <w:rsid w:val="74706664"/>
    <w:rsid w:val="747F3682"/>
    <w:rsid w:val="749C4185"/>
    <w:rsid w:val="74F47C1D"/>
    <w:rsid w:val="75067759"/>
    <w:rsid w:val="751B02E0"/>
    <w:rsid w:val="752E6DCD"/>
    <w:rsid w:val="7551380D"/>
    <w:rsid w:val="75600BE5"/>
    <w:rsid w:val="7564475C"/>
    <w:rsid w:val="7583797F"/>
    <w:rsid w:val="75D20F1D"/>
    <w:rsid w:val="75DA2C18"/>
    <w:rsid w:val="75F54412"/>
    <w:rsid w:val="761D08E0"/>
    <w:rsid w:val="765D347C"/>
    <w:rsid w:val="76676633"/>
    <w:rsid w:val="76826699"/>
    <w:rsid w:val="76C87133"/>
    <w:rsid w:val="76CD08D5"/>
    <w:rsid w:val="76DB4B92"/>
    <w:rsid w:val="77052AA4"/>
    <w:rsid w:val="77136511"/>
    <w:rsid w:val="77340A39"/>
    <w:rsid w:val="77351FD0"/>
    <w:rsid w:val="7746449A"/>
    <w:rsid w:val="77472422"/>
    <w:rsid w:val="777F31F2"/>
    <w:rsid w:val="77D1700D"/>
    <w:rsid w:val="77EC04CC"/>
    <w:rsid w:val="782F13D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74A44"/>
    <w:rsid w:val="7A9F24BA"/>
    <w:rsid w:val="7AAB1D04"/>
    <w:rsid w:val="7ABA4368"/>
    <w:rsid w:val="7AD05746"/>
    <w:rsid w:val="7AD13F8D"/>
    <w:rsid w:val="7B257FFD"/>
    <w:rsid w:val="7B2C4A37"/>
    <w:rsid w:val="7B343476"/>
    <w:rsid w:val="7B5A2978"/>
    <w:rsid w:val="7B5A7E4C"/>
    <w:rsid w:val="7B667AF9"/>
    <w:rsid w:val="7B6E188D"/>
    <w:rsid w:val="7B7468F8"/>
    <w:rsid w:val="7BEE0103"/>
    <w:rsid w:val="7C0A0FE4"/>
    <w:rsid w:val="7C254906"/>
    <w:rsid w:val="7C4A7B9A"/>
    <w:rsid w:val="7C590818"/>
    <w:rsid w:val="7C5A0786"/>
    <w:rsid w:val="7C687527"/>
    <w:rsid w:val="7C7C10F6"/>
    <w:rsid w:val="7C853BEA"/>
    <w:rsid w:val="7C881368"/>
    <w:rsid w:val="7CE27788"/>
    <w:rsid w:val="7D0C32F1"/>
    <w:rsid w:val="7D0F408D"/>
    <w:rsid w:val="7D491C6C"/>
    <w:rsid w:val="7D5429C0"/>
    <w:rsid w:val="7D6E6D43"/>
    <w:rsid w:val="7DB57A34"/>
    <w:rsid w:val="7DE60973"/>
    <w:rsid w:val="7DEF0916"/>
    <w:rsid w:val="7DF861D0"/>
    <w:rsid w:val="7E1E5218"/>
    <w:rsid w:val="7E9A4E1F"/>
    <w:rsid w:val="7EA7723A"/>
    <w:rsid w:val="7EF56FBB"/>
    <w:rsid w:val="7F0768EB"/>
    <w:rsid w:val="7F143BEC"/>
    <w:rsid w:val="7F715AF2"/>
    <w:rsid w:val="7F886E69"/>
    <w:rsid w:val="BB7FA927"/>
    <w:rsid w:val="D7F7AE20"/>
    <w:rsid w:val="DBFEF790"/>
    <w:rsid w:val="F5FFD31F"/>
    <w:rsid w:val="FDFFE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92"/>
    <w:qFormat/>
    <w:uiPriority w:val="0"/>
    <w:pPr>
      <w:spacing w:line="480" w:lineRule="exact"/>
      <w:ind w:firstLine="480" w:firstLineChars="200"/>
    </w:pPr>
    <w:rPr>
      <w:rFonts w:ascii="宋体" w:hAnsi="宋体"/>
      <w:sz w:val="24"/>
    </w:rPr>
  </w:style>
  <w:style w:type="paragraph" w:styleId="3">
    <w:name w:val="Body Text First Indent 2"/>
    <w:basedOn w:val="2"/>
    <w:next w:val="1"/>
    <w:link w:val="664"/>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2"/>
    <w:link w:val="72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6"/>
    <w:qFormat/>
    <w:uiPriority w:val="0"/>
    <w:pPr>
      <w:shd w:val="clear" w:color="auto" w:fill="000080"/>
    </w:pPr>
  </w:style>
  <w:style w:type="paragraph" w:styleId="21">
    <w:name w:val="annotation text"/>
    <w:basedOn w:val="1"/>
    <w:link w:val="864"/>
    <w:qFormat/>
    <w:uiPriority w:val="99"/>
    <w:pPr>
      <w:jc w:val="left"/>
    </w:pPr>
  </w:style>
  <w:style w:type="paragraph" w:styleId="22">
    <w:name w:val="Salutation"/>
    <w:basedOn w:val="1"/>
    <w:next w:val="1"/>
    <w:link w:val="824"/>
    <w:qFormat/>
    <w:uiPriority w:val="0"/>
    <w:rPr>
      <w:rFonts w:ascii="仿宋_GB2312" w:eastAsia="仿宋_GB2312"/>
      <w:sz w:val="28"/>
      <w:szCs w:val="20"/>
    </w:rPr>
  </w:style>
  <w:style w:type="paragraph" w:styleId="23">
    <w:name w:val="Body Text 3"/>
    <w:basedOn w:val="1"/>
    <w:link w:val="85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3"/>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8"/>
    <w:qFormat/>
    <w:uiPriority w:val="0"/>
    <w:pPr>
      <w:ind w:left="100" w:leftChars="2500"/>
    </w:pPr>
    <w:rPr>
      <w:rFonts w:ascii="宋体"/>
      <w:sz w:val="24"/>
      <w:szCs w:val="21"/>
      <w:lang w:val="zh-CN"/>
    </w:rPr>
  </w:style>
  <w:style w:type="paragraph" w:styleId="39">
    <w:name w:val="Body Text Indent 2"/>
    <w:basedOn w:val="1"/>
    <w:link w:val="832"/>
    <w:qFormat/>
    <w:uiPriority w:val="0"/>
    <w:pPr>
      <w:spacing w:line="360" w:lineRule="auto"/>
      <w:ind w:firstLine="601"/>
      <w:textAlignment w:val="baseline"/>
    </w:pPr>
    <w:rPr>
      <w:rFonts w:ascii="宋体"/>
      <w:kern w:val="0"/>
      <w:sz w:val="28"/>
      <w:szCs w:val="20"/>
    </w:rPr>
  </w:style>
  <w:style w:type="paragraph" w:styleId="40">
    <w:name w:val="endnote text"/>
    <w:basedOn w:val="1"/>
    <w:link w:val="949"/>
    <w:qFormat/>
    <w:uiPriority w:val="0"/>
    <w:rPr>
      <w:lang w:val="zh-CN"/>
    </w:rPr>
  </w:style>
  <w:style w:type="paragraph" w:styleId="41">
    <w:name w:val="Balloon Text"/>
    <w:basedOn w:val="1"/>
    <w:link w:val="725"/>
    <w:qFormat/>
    <w:uiPriority w:val="0"/>
    <w:rPr>
      <w:sz w:val="18"/>
      <w:szCs w:val="18"/>
    </w:rPr>
  </w:style>
  <w:style w:type="paragraph" w:styleId="42">
    <w:name w:val="footer"/>
    <w:basedOn w:val="1"/>
    <w:link w:val="900"/>
    <w:qFormat/>
    <w:uiPriority w:val="99"/>
    <w:pPr>
      <w:tabs>
        <w:tab w:val="center" w:pos="4153"/>
        <w:tab w:val="right" w:pos="8306"/>
      </w:tabs>
      <w:snapToGrid w:val="0"/>
      <w:jc w:val="left"/>
    </w:pPr>
    <w:rPr>
      <w:sz w:val="18"/>
      <w:szCs w:val="18"/>
    </w:rPr>
  </w:style>
  <w:style w:type="paragraph" w:styleId="43">
    <w:name w:val="header"/>
    <w:basedOn w:val="1"/>
    <w:next w:val="44"/>
    <w:link w:val="908"/>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834"/>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8"/>
    <w:qFormat/>
    <w:uiPriority w:val="0"/>
    <w:pPr>
      <w:spacing w:after="120" w:line="480" w:lineRule="auto"/>
    </w:pPr>
  </w:style>
  <w:style w:type="paragraph" w:styleId="59">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2"/>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41"/>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UserStyle_0"/>
    <w:qFormat/>
    <w:uiPriority w:val="0"/>
    <w:pPr>
      <w:textAlignment w:val="baseline"/>
    </w:pPr>
    <w:rPr>
      <w:rFonts w:ascii="Arial" w:hAnsi="Arial" w:eastAsia="宋体" w:cs="Times New Roman"/>
      <w:color w:val="000000"/>
      <w:sz w:val="24"/>
      <w:szCs w:val="24"/>
      <w:lang w:val="en-US" w:eastAsia="zh-CN" w:bidi="ar-SA"/>
    </w:rPr>
  </w:style>
  <w:style w:type="paragraph" w:customStyle="1" w:styleId="82">
    <w:name w:val="报告正文"/>
    <w:basedOn w:val="35"/>
    <w:qFormat/>
    <w:uiPriority w:val="0"/>
    <w:pPr>
      <w:snapToGrid w:val="0"/>
      <w:spacing w:line="480" w:lineRule="exact"/>
      <w:ind w:firstLine="200" w:firstLineChars="200"/>
    </w:pPr>
    <w:rPr>
      <w:sz w:val="24"/>
    </w:rPr>
  </w:style>
  <w:style w:type="paragraph" w:customStyle="1" w:styleId="83">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73"/>
    <w:qFormat/>
    <w:uiPriority w:val="0"/>
    <w:pPr>
      <w:spacing w:before="156" w:line="360" w:lineRule="auto"/>
      <w:ind w:firstLine="510" w:firstLineChars="200"/>
    </w:pPr>
    <w:rPr>
      <w:sz w:val="24"/>
      <w:szCs w:val="20"/>
    </w:rPr>
  </w:style>
  <w:style w:type="paragraph" w:customStyle="1" w:styleId="89">
    <w:name w:val="无间隔1"/>
    <w:link w:val="68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9"/>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4"/>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6"/>
    <w:qFormat/>
    <w:uiPriority w:val="0"/>
    <w:pPr>
      <w:adjustRightInd/>
      <w:spacing w:line="360" w:lineRule="auto"/>
      <w:ind w:firstLine="480" w:firstLineChars="200"/>
    </w:pPr>
    <w:rPr>
      <w:kern w:val="0"/>
      <w:sz w:val="24"/>
    </w:rPr>
  </w:style>
  <w:style w:type="paragraph" w:customStyle="1" w:styleId="101">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7"/>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9"/>
    <w:qFormat/>
    <w:uiPriority w:val="0"/>
    <w:pPr>
      <w:tabs>
        <w:tab w:val="left" w:pos="2356"/>
      </w:tabs>
    </w:pPr>
  </w:style>
  <w:style w:type="paragraph" w:customStyle="1" w:styleId="106">
    <w:name w:val="样式 标题 4h4H4Fab-4T5Ref Heading 1rh1Heading sqlsect 1.2.3...."/>
    <w:basedOn w:val="7"/>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42"/>
    <w:qFormat/>
    <w:uiPriority w:val="0"/>
    <w:pPr>
      <w:adjustRightInd/>
    </w:pPr>
    <w:rPr>
      <w:rFonts w:ascii="宋体" w:hAnsi="Courier New"/>
      <w:kern w:val="0"/>
      <w:sz w:val="20"/>
      <w:szCs w:val="20"/>
    </w:rPr>
  </w:style>
  <w:style w:type="paragraph" w:customStyle="1" w:styleId="109">
    <w:name w:val="正文说明"/>
    <w:basedOn w:val="1"/>
    <w:link w:val="854"/>
    <w:qFormat/>
    <w:uiPriority w:val="0"/>
    <w:pPr>
      <w:adjustRightInd/>
      <w:spacing w:line="360" w:lineRule="auto"/>
    </w:pPr>
    <w:rPr>
      <w:kern w:val="0"/>
      <w:sz w:val="24"/>
    </w:rPr>
  </w:style>
  <w:style w:type="paragraph" w:customStyle="1" w:styleId="110">
    <w:name w:val="Table Text"/>
    <w:basedOn w:val="1"/>
    <w:link w:val="860"/>
    <w:qFormat/>
    <w:uiPriority w:val="0"/>
    <w:pPr>
      <w:widowControl/>
      <w:spacing w:before="60" w:after="60"/>
      <w:jc w:val="left"/>
    </w:pPr>
    <w:rPr>
      <w:kern w:val="0"/>
      <w:sz w:val="24"/>
    </w:rPr>
  </w:style>
  <w:style w:type="paragraph" w:customStyle="1" w:styleId="111">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7"/>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50"/>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8"/>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正文空2字"/>
    <w:basedOn w:val="6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3">
    <w:name w:val="左对齐正文"/>
    <w:qFormat/>
    <w:uiPriority w:val="99"/>
    <w:rPr>
      <w:rFonts w:ascii="Calibri" w:hAnsi="Calibri" w:eastAsia="仿宋_GB2312" w:cs="Calibri"/>
      <w:kern w:val="2"/>
      <w:sz w:val="32"/>
      <w:szCs w:val="32"/>
      <w:lang w:val="en-US" w:eastAsia="zh-CN" w:bidi="ar-SA"/>
    </w:rPr>
  </w:style>
  <w:style w:type="paragraph" w:customStyle="1" w:styleId="624">
    <w:name w:val="[Normal]"/>
    <w:qFormat/>
    <w:uiPriority w:val="0"/>
    <w:rPr>
      <w:rFonts w:ascii="宋体" w:hAnsi="宋体" w:eastAsia="宋体" w:cs="Times New Roman"/>
      <w:sz w:val="24"/>
      <w:szCs w:val="22"/>
      <w:lang w:val="zh-CN" w:eastAsia="zh-CN" w:bidi="ar-SA"/>
    </w:rPr>
  </w:style>
  <w:style w:type="paragraph" w:customStyle="1" w:styleId="625">
    <w:name w:val="Plain Text"/>
    <w:basedOn w:val="1"/>
    <w:qFormat/>
    <w:uiPriority w:val="0"/>
    <w:pPr>
      <w:spacing w:before="156" w:beforeLines="50" w:after="156" w:afterLines="50" w:line="400" w:lineRule="exact"/>
    </w:pPr>
    <w:rPr>
      <w:rFonts w:ascii="宋体" w:hAnsi="Courier New"/>
      <w:sz w:val="24"/>
    </w:rPr>
  </w:style>
  <w:style w:type="paragraph" w:customStyle="1" w:styleId="62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正文文本首行缩进 21"/>
    <w:basedOn w:val="2"/>
    <w:qFormat/>
    <w:uiPriority w:val="99"/>
    <w:pPr>
      <w:spacing w:line="200" w:lineRule="atLeast"/>
      <w:ind w:firstLine="420"/>
    </w:pPr>
    <w:rPr>
      <w:rFonts w:ascii="宋体" w:hAnsi="Courier New"/>
      <w:spacing w:val="-4"/>
      <w:sz w:val="18"/>
    </w:rPr>
  </w:style>
  <w:style w:type="paragraph" w:customStyle="1" w:styleId="628">
    <w:name w:val="No Spacing1"/>
    <w:qFormat/>
    <w:uiPriority w:val="0"/>
    <w:rPr>
      <w:rFonts w:ascii="Times New Roman" w:hAnsi="Times New Roman" w:eastAsia="??" w:cs="宋体"/>
      <w:sz w:val="22"/>
      <w:szCs w:val="22"/>
      <w:lang w:val="en-US" w:eastAsia="en-US" w:bidi="ar-SA"/>
    </w:rPr>
  </w:style>
  <w:style w:type="paragraph" w:customStyle="1" w:styleId="629">
    <w:name w:val="正文 仿宋"/>
    <w:basedOn w:val="1"/>
    <w:qFormat/>
    <w:uiPriority w:val="0"/>
    <w:pPr>
      <w:spacing w:line="360" w:lineRule="auto"/>
      <w:ind w:firstLine="200" w:firstLineChars="200"/>
      <w:contextualSpacing/>
    </w:pPr>
    <w:rPr>
      <w:rFonts w:eastAsia="仿宋_GB2312"/>
      <w:sz w:val="28"/>
      <w:szCs w:val="20"/>
    </w:rPr>
  </w:style>
  <w:style w:type="character" w:customStyle="1" w:styleId="630">
    <w:name w:val="表格非标题文字 Char"/>
    <w:link w:val="83"/>
    <w:qFormat/>
    <w:uiPriority w:val="0"/>
    <w:rPr>
      <w:rFonts w:ascii="Futura Bk" w:hAnsi="Futura Bk"/>
      <w:kern w:val="2"/>
      <w:sz w:val="18"/>
      <w:szCs w:val="21"/>
      <w:lang w:val="en-US" w:eastAsia="zh-CN" w:bidi="ar-SA"/>
    </w:rPr>
  </w:style>
  <w:style w:type="character" w:customStyle="1" w:styleId="631">
    <w:name w:val="*正文 Char"/>
    <w:link w:val="84"/>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85"/>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2"/>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86"/>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87"/>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3"/>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0"/>
    <w:qFormat/>
    <w:uiPriority w:val="0"/>
    <w:rPr>
      <w:rFonts w:ascii="Arial" w:hAnsi="Arial" w:eastAsia="黑体" w:cs="Arial"/>
      <w:snapToGrid w:val="0"/>
      <w:kern w:val="0"/>
      <w:szCs w:val="21"/>
    </w:rPr>
  </w:style>
  <w:style w:type="character" w:customStyle="1" w:styleId="66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88"/>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50"/>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89"/>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9"/>
    <w:qFormat/>
    <w:uiPriority w:val="0"/>
    <w:rPr>
      <w:rFonts w:ascii="Arial" w:hAnsi="Arial" w:eastAsia="黑体"/>
      <w:b/>
      <w:bCs/>
      <w:kern w:val="2"/>
      <w:sz w:val="24"/>
      <w:szCs w:val="24"/>
    </w:rPr>
  </w:style>
  <w:style w:type="character" w:customStyle="1" w:styleId="689">
    <w:name w:val="纯文本 Char_0"/>
    <w:link w:val="90"/>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2"/>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3"/>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Char"/>
    <w:link w:val="38"/>
    <w:qFormat/>
    <w:uiPriority w:val="0"/>
    <w:rPr>
      <w:rFonts w:ascii="宋体"/>
      <w:kern w:val="2"/>
      <w:sz w:val="24"/>
      <w:szCs w:val="21"/>
      <w:lang w:val="zh-CN"/>
    </w:rPr>
  </w:style>
  <w:style w:type="character" w:customStyle="1" w:styleId="719">
    <w:name w:val="标题 9 Char"/>
    <w:link w:val="12"/>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Char"/>
    <w:link w:val="41"/>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4"/>
    <w:qFormat/>
    <w:locked/>
    <w:uiPriority w:val="0"/>
    <w:rPr>
      <w:rFonts w:ascii="Tahoma" w:hAnsi="Tahoma"/>
      <w:sz w:val="24"/>
      <w:szCs w:val="24"/>
    </w:rPr>
  </w:style>
  <w:style w:type="character" w:customStyle="1" w:styleId="729">
    <w:name w:val="正文缩进 Char2"/>
    <w:link w:val="17"/>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95"/>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20"/>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70"/>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Char"/>
    <w:link w:val="32"/>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97"/>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98"/>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8"/>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99"/>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0"/>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1"/>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2"/>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Char3"/>
    <w:link w:val="2"/>
    <w:qFormat/>
    <w:uiPriority w:val="0"/>
    <w:rPr>
      <w:rFonts w:ascii="宋体" w:hAnsi="宋体"/>
      <w:kern w:val="2"/>
      <w:sz w:val="24"/>
      <w:szCs w:val="24"/>
    </w:rPr>
  </w:style>
  <w:style w:type="character" w:customStyle="1" w:styleId="793">
    <w:name w:val="font01"/>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4"/>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Char"/>
    <w:link w:val="4"/>
    <w:qFormat/>
    <w:uiPriority w:val="9"/>
    <w:rPr>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Char2"/>
    <w:link w:val="61"/>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Char"/>
    <w:link w:val="8"/>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Char"/>
    <w:link w:val="22"/>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Char"/>
    <w:link w:val="59"/>
    <w:qFormat/>
    <w:uiPriority w:val="0"/>
    <w:rPr>
      <w:rFonts w:ascii="黑体" w:hAnsi="Courier New" w:eastAsia="黑体"/>
    </w:rPr>
  </w:style>
  <w:style w:type="character" w:customStyle="1" w:styleId="828">
    <w:name w:val="正文文本 2 Char1"/>
    <w:link w:val="58"/>
    <w:qFormat/>
    <w:uiPriority w:val="0"/>
    <w:rPr>
      <w:kern w:val="2"/>
      <w:sz w:val="21"/>
      <w:szCs w:val="24"/>
    </w:rPr>
  </w:style>
  <w:style w:type="character" w:customStyle="1" w:styleId="82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Char"/>
    <w:link w:val="10"/>
    <w:qFormat/>
    <w:uiPriority w:val="0"/>
    <w:rPr>
      <w:b/>
      <w:bCs/>
      <w:kern w:val="2"/>
      <w:sz w:val="24"/>
      <w:szCs w:val="24"/>
    </w:rPr>
  </w:style>
  <w:style w:type="character" w:customStyle="1" w:styleId="832">
    <w:name w:val="正文文本缩进 2 Char"/>
    <w:link w:val="39"/>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Char"/>
    <w:link w:val="53"/>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07"/>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08"/>
    <w:qFormat/>
    <w:uiPriority w:val="0"/>
    <w:rPr>
      <w:rFonts w:ascii="宋体" w:hAnsi="Courier New"/>
    </w:rPr>
  </w:style>
  <w:style w:type="character" w:customStyle="1" w:styleId="843">
    <w:name w:val="正文首行缩进 Char"/>
    <w:link w:val="26"/>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Char2"/>
    <w:link w:val="7"/>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Char"/>
    <w:link w:val="23"/>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09"/>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0"/>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Char1"/>
    <w:link w:val="21"/>
    <w:qFormat/>
    <w:uiPriority w:val="99"/>
    <w:rPr>
      <w:kern w:val="2"/>
      <w:sz w:val="21"/>
      <w:szCs w:val="24"/>
    </w:rPr>
  </w:style>
  <w:style w:type="character" w:customStyle="1" w:styleId="865">
    <w:name w:val="签名 Char"/>
    <w:link w:val="45"/>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1"/>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2"/>
    <w:qFormat/>
    <w:uiPriority w:val="0"/>
    <w:rPr>
      <w:rFonts w:ascii="宋体"/>
    </w:rPr>
  </w:style>
  <w:style w:type="character" w:customStyle="1" w:styleId="876">
    <w:name w:val="标题 8 Char"/>
    <w:link w:val="11"/>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Char"/>
    <w:link w:val="55"/>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3"/>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Char2"/>
    <w:link w:val="42"/>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4"/>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Char2"/>
    <w:link w:val="43"/>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15"/>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16"/>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17"/>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18"/>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70"/>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19"/>
    <w:qFormat/>
    <w:uiPriority w:val="0"/>
    <w:rPr>
      <w:rFonts w:cs="宋体"/>
      <w:kern w:val="2"/>
      <w:sz w:val="24"/>
    </w:rPr>
  </w:style>
  <w:style w:type="character" w:customStyle="1" w:styleId="94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42">
    <w:name w:val="gray6"/>
    <w:basedOn w:val="70"/>
    <w:qFormat/>
    <w:uiPriority w:val="0"/>
    <w:rPr>
      <w:rFonts w:ascii="Arial" w:hAnsi="Arial" w:eastAsia="黑体" w:cs="Arial"/>
      <w:snapToGrid w:val="0"/>
      <w:kern w:val="0"/>
      <w:szCs w:val="21"/>
    </w:rPr>
  </w:style>
  <w:style w:type="character" w:customStyle="1" w:styleId="943">
    <w:name w:val="hui"/>
    <w:basedOn w:val="70"/>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Char"/>
    <w:link w:val="40"/>
    <w:qFormat/>
    <w:uiPriority w:val="0"/>
    <w:rPr>
      <w:kern w:val="2"/>
      <w:sz w:val="21"/>
      <w:szCs w:val="24"/>
      <w:lang w:val="zh-CN"/>
    </w:rPr>
  </w:style>
  <w:style w:type="character" w:customStyle="1" w:styleId="950">
    <w:name w:val="无间隔 Char"/>
    <w:link w:val="169"/>
    <w:qFormat/>
    <w:uiPriority w:val="99"/>
    <w:rPr>
      <w:kern w:val="2"/>
      <w:sz w:val="21"/>
      <w:szCs w:val="22"/>
    </w:rPr>
  </w:style>
  <w:style w:type="character" w:customStyle="1" w:styleId="951">
    <w:name w:val="标准文本 Char Char"/>
    <w:link w:val="608"/>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2056"/>
    <customShpInfo spid="_x0000_s2057"/>
    <customShpInfo spid="_x0000_s2054"/>
    <customShpInfo spid="_x0000_s2055"/>
    <customShpInfo spid="_x0000_s2058"/>
    <customShpInfo spid="_x0000_s2061"/>
    <customShpInfo spid="_x0000_s2062"/>
    <customShpInfo spid="_x0000_s2059"/>
    <customShpInfo spid="_x0000_s2060"/>
    <customShpInfo spid="_x0000_s2065"/>
    <customShpInfo spid="_x0000_s2066"/>
    <customShpInfo spid="_x0000_s2063"/>
    <customShpInfo spid="_x0000_s2064"/>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48619</Words>
  <Characters>52227</Characters>
  <Lines>274</Lines>
  <Paragraphs>77</Paragraphs>
  <TotalTime>4</TotalTime>
  <ScaleCrop>false</ScaleCrop>
  <LinksUpToDate>false</LinksUpToDate>
  <CharactersWithSpaces>57917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cp:lastModifiedBy>123</cp:lastModifiedBy>
  <cp:lastPrinted>2021-12-27T19:06:00Z</cp:lastPrinted>
  <dcterms:modified xsi:type="dcterms:W3CDTF">2024-06-28T01:21:08Z</dcterms:modified>
  <dc:title>临平法院无纸化数字审委会应用系统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658C7685D72D4913B01CE06567F9FD60_13</vt:lpwstr>
  </property>
</Properties>
</file>