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 xml:space="preserve"> </w:t>
      </w:r>
    </w:p>
    <w:p>
      <w:pPr>
        <w:adjustRightInd/>
        <w:spacing w:line="360" w:lineRule="auto"/>
        <w:jc w:val="center"/>
        <w:rPr>
          <w:rFonts w:ascii="宋体" w:hAnsi="宋体" w:cs="宋体"/>
          <w:b/>
          <w:color w:val="auto"/>
          <w:sz w:val="44"/>
          <w:szCs w:val="44"/>
        </w:rPr>
      </w:pPr>
    </w:p>
    <w:p>
      <w:pPr>
        <w:adjustRightInd/>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 xml:space="preserve"> 临平区犬只收容管理服务项目</w:t>
      </w:r>
    </w:p>
    <w:p>
      <w:pPr>
        <w:adjustRightInd/>
        <w:spacing w:line="360" w:lineRule="auto"/>
        <w:jc w:val="center"/>
        <w:rPr>
          <w:rFonts w:ascii="宋体" w:hAnsi="宋体" w:cs="宋体"/>
          <w:color w:val="auto"/>
          <w:sz w:val="48"/>
          <w:szCs w:val="48"/>
        </w:rPr>
      </w:pPr>
    </w:p>
    <w:p>
      <w:pPr>
        <w:adjustRightInd/>
        <w:spacing w:line="360" w:lineRule="auto"/>
        <w:jc w:val="center"/>
        <w:rPr>
          <w:rFonts w:hint="eastAsia" w:ascii="宋体" w:hAnsi="宋体" w:cs="宋体"/>
          <w:b/>
          <w:bCs/>
          <w:color w:val="auto"/>
          <w:sz w:val="84"/>
          <w:szCs w:val="84"/>
        </w:rPr>
      </w:pPr>
    </w:p>
    <w:p>
      <w:pPr>
        <w:adjustRightInd/>
        <w:spacing w:line="360" w:lineRule="auto"/>
        <w:jc w:val="center"/>
        <w:rPr>
          <w:rFonts w:ascii="宋体" w:hAnsi="宋体" w:cs="宋体"/>
          <w:b/>
          <w:bCs/>
          <w:color w:val="auto"/>
          <w:sz w:val="84"/>
          <w:szCs w:val="84"/>
        </w:rPr>
      </w:pPr>
      <w:r>
        <w:rPr>
          <w:rFonts w:hint="eastAsia" w:ascii="宋体" w:hAnsi="宋体" w:cs="宋体"/>
          <w:b/>
          <w:bCs/>
          <w:color w:val="auto"/>
          <w:sz w:val="84"/>
          <w:szCs w:val="84"/>
        </w:rPr>
        <w:t xml:space="preserve">招 标 文 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YHZFCG2024-087-1</w:t>
      </w:r>
    </w:p>
    <w:p>
      <w:pPr>
        <w:adjustRightInd/>
        <w:spacing w:line="360" w:lineRule="auto"/>
        <w:rPr>
          <w:rFonts w:ascii="宋体" w:hAnsi="宋体" w:cs="宋体"/>
          <w:color w:val="auto"/>
          <w:sz w:val="28"/>
          <w:szCs w:val="20"/>
        </w:rPr>
      </w:pPr>
    </w:p>
    <w:p>
      <w:pPr>
        <w:spacing w:line="360" w:lineRule="auto"/>
        <w:jc w:val="center"/>
        <w:rPr>
          <w:rFonts w:hint="eastAsia" w:ascii="宋体" w:hAnsi="宋体" w:cs="宋体"/>
          <w:b/>
          <w:color w:val="auto"/>
          <w:sz w:val="44"/>
          <w:szCs w:val="44"/>
        </w:rPr>
      </w:pPr>
    </w:p>
    <w:p>
      <w:pPr>
        <w:spacing w:line="360" w:lineRule="auto"/>
        <w:jc w:val="center"/>
        <w:rPr>
          <w:rFonts w:hint="eastAsia" w:ascii="宋体" w:hAnsi="宋体" w:cs="宋体"/>
          <w:b/>
          <w:color w:val="auto"/>
          <w:sz w:val="44"/>
          <w:szCs w:val="44"/>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 xml:space="preserve">杭州市临平区综合行政执法局 </w:t>
      </w:r>
    </w:p>
    <w:p>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采购代理机构：耀华建设管理有限公司</w:t>
      </w:r>
    </w:p>
    <w:p>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 xml:space="preserve">二〇二四 年 </w:t>
      </w:r>
      <w:r>
        <w:rPr>
          <w:rFonts w:hint="eastAsia" w:ascii="宋体" w:hAnsi="宋体" w:cs="宋体"/>
          <w:color w:val="auto"/>
          <w:sz w:val="36"/>
          <w:szCs w:val="36"/>
          <w:highlight w:val="none"/>
          <w:lang w:val="en-US" w:eastAsia="zh-CN"/>
        </w:rPr>
        <w:t>十一</w:t>
      </w:r>
      <w:r>
        <w:rPr>
          <w:rFonts w:hint="eastAsia" w:ascii="宋体" w:hAnsi="宋体" w:eastAsia="宋体" w:cs="宋体"/>
          <w:color w:val="auto"/>
          <w:sz w:val="36"/>
          <w:szCs w:val="36"/>
          <w:highlight w:val="none"/>
          <w:lang w:val="en-US" w:eastAsia="zh-CN"/>
        </w:rPr>
        <w:t xml:space="preserve"> 月</w:t>
      </w:r>
      <w:r>
        <w:rPr>
          <w:rFonts w:hint="eastAsia" w:ascii="宋体" w:hAnsi="宋体" w:cs="宋体"/>
          <w:color w:val="auto"/>
          <w:sz w:val="36"/>
          <w:szCs w:val="36"/>
          <w:highlight w:val="none"/>
          <w:lang w:val="en-US" w:eastAsia="zh-CN"/>
        </w:rPr>
        <w:t xml:space="preserve"> 一 </w:t>
      </w:r>
      <w:r>
        <w:rPr>
          <w:rFonts w:hint="eastAsia" w:ascii="宋体" w:hAnsi="宋体" w:eastAsia="宋体" w:cs="宋体"/>
          <w:color w:val="auto"/>
          <w:sz w:val="36"/>
          <w:szCs w:val="36"/>
          <w:highlight w:val="none"/>
          <w:lang w:val="en-US" w:eastAsia="zh-CN"/>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pStyle w:val="4"/>
        <w:rPr>
          <w:rFonts w:ascii="宋体" w:hAnsi="宋体" w:cs="宋体"/>
          <w:color w:val="auto"/>
          <w:sz w:val="36"/>
          <w:szCs w:val="20"/>
          <w:highlight w:val="none"/>
        </w:rPr>
      </w:pPr>
      <w:bookmarkStart w:id="3" w:name="第一部分"/>
      <w:r>
        <w:rPr>
          <w:rFonts w:hint="eastAsia" w:ascii="宋体" w:hAnsi="宋体" w:cs="宋体"/>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 临平区犬只收容管理服务项目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79"/>
          <w:rFonts w:hint="eastAsia" w:ascii="宋体" w:hAnsi="宋体" w:eastAsia="宋体" w:cs="宋体"/>
          <w:color w:val="auto"/>
          <w:kern w:val="2"/>
          <w:sz w:val="24"/>
          <w:szCs w:val="24"/>
          <w:highlight w:val="none"/>
          <w:u w:val="single"/>
        </w:rPr>
        <w:t>https://www.zcygov.cn/）获取（下载）招标文件，并于</w:t>
      </w:r>
      <w:r>
        <w:rPr>
          <w:rStyle w:val="79"/>
          <w:rFonts w:hint="eastAsia" w:ascii="宋体" w:hAnsi="宋体" w:eastAsia="宋体" w:cs="宋体"/>
          <w:color w:val="auto"/>
          <w:kern w:val="2"/>
          <w:sz w:val="24"/>
          <w:szCs w:val="24"/>
          <w:highlight w:val="none"/>
          <w:u w:val="single"/>
          <w:lang w:eastAsia="zh-CN"/>
        </w:rPr>
        <w:t>2024年11月22日09点30分</w:t>
      </w:r>
      <w:r>
        <w:rPr>
          <w:rStyle w:val="79"/>
          <w:rFonts w:hint="eastAsia" w:ascii="宋体" w:hAnsi="宋体" w:eastAsia="宋体" w:cs="宋体"/>
          <w:bCs w:val="0"/>
          <w:color w:val="auto"/>
          <w:kern w:val="2"/>
          <w:sz w:val="24"/>
          <w:szCs w:val="24"/>
          <w:highlight w:val="none"/>
          <w:u w:val="single"/>
        </w:rPr>
        <w:t>00</w:t>
      </w:r>
      <w:r>
        <w:rPr>
          <w:rStyle w:val="79"/>
          <w:rFonts w:hint="eastAsia" w:ascii="宋体" w:hAnsi="宋体" w:eastAsia="宋体" w:cs="宋体"/>
          <w:bCs/>
          <w:color w:val="auto"/>
          <w:kern w:val="2"/>
          <w:sz w:val="24"/>
          <w:szCs w:val="24"/>
          <w:highlight w:val="none"/>
          <w:u w:val="single"/>
        </w:rPr>
        <w:t>秒</w:t>
      </w:r>
      <w:r>
        <w:rPr>
          <w:rStyle w:val="79"/>
          <w:rFonts w:hint="eastAsia" w:ascii="宋体" w:hAnsi="宋体" w:eastAsia="宋体" w:cs="宋体"/>
          <w:bCs/>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keepNext w:val="0"/>
        <w:keepLines w:val="0"/>
        <w:pageBreakBefore w:val="0"/>
        <w:kinsoku/>
        <w:wordWrap/>
        <w:overflowPunct/>
        <w:topLinePunct w:val="0"/>
        <w:bidi w:val="0"/>
        <w:adjustRightIn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YHZFCG2024-087-1</w:t>
      </w:r>
    </w:p>
    <w:p>
      <w:pPr>
        <w:keepNext w:val="0"/>
        <w:keepLines w:val="0"/>
        <w:pageBreakBefore w:val="0"/>
        <w:kinsoku/>
        <w:wordWrap/>
        <w:overflowPunct/>
        <w:topLinePunct w:val="0"/>
        <w:bidi w:val="0"/>
        <w:adjustRightIn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 临平区犬只收容管理服务项目</w:t>
      </w:r>
    </w:p>
    <w:p>
      <w:pPr>
        <w:keepNext w:val="0"/>
        <w:keepLines w:val="0"/>
        <w:pageBreakBefore w:val="0"/>
        <w:kinsoku/>
        <w:wordWrap/>
        <w:overflowPunct/>
        <w:topLinePunct w:val="0"/>
        <w:bidi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val="0"/>
          <w:color w:val="auto"/>
          <w:sz w:val="24"/>
          <w:highlight w:val="none"/>
          <w:lang w:val="en-US" w:eastAsia="zh-CN"/>
        </w:rPr>
        <w:t>120</w:t>
      </w:r>
      <w:r>
        <w:rPr>
          <w:rFonts w:hint="eastAsia" w:ascii="宋体" w:hAnsi="宋体" w:cs="宋体"/>
          <w:b/>
          <w:bCs w:val="0"/>
          <w:color w:val="auto"/>
          <w:sz w:val="24"/>
          <w:highlight w:val="none"/>
          <w:lang w:eastAsia="zh-CN"/>
        </w:rPr>
        <w:t>0000.00</w:t>
      </w:r>
    </w:p>
    <w:p>
      <w:pPr>
        <w:keepNext w:val="0"/>
        <w:keepLines w:val="0"/>
        <w:pageBreakBefore w:val="0"/>
        <w:kinsoku/>
        <w:wordWrap/>
        <w:overflowPunct/>
        <w:topLinePunct w:val="0"/>
        <w:bidi w:val="0"/>
        <w:adjustRightInd w:val="0"/>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bCs w:val="0"/>
          <w:color w:val="auto"/>
          <w:sz w:val="24"/>
          <w:highlight w:val="none"/>
          <w:lang w:val="en-US" w:eastAsia="zh-CN"/>
        </w:rPr>
        <w:t>120</w:t>
      </w:r>
      <w:r>
        <w:rPr>
          <w:rFonts w:hint="eastAsia" w:ascii="宋体" w:hAnsi="宋体" w:cs="宋体"/>
          <w:b/>
          <w:bCs w:val="0"/>
          <w:color w:val="auto"/>
          <w:sz w:val="24"/>
          <w:highlight w:val="none"/>
          <w:lang w:eastAsia="zh-CN"/>
        </w:rPr>
        <w:t>0000.00</w:t>
      </w:r>
    </w:p>
    <w:p>
      <w:pPr>
        <w:pStyle w:val="17"/>
        <w:keepNext w:val="0"/>
        <w:keepLines w:val="0"/>
        <w:pageBreakBefore w:val="0"/>
        <w:kinsoku/>
        <w:wordWrap/>
        <w:overflowPunct/>
        <w:topLinePunct w:val="0"/>
        <w:bidi w:val="0"/>
        <w:adjustRightInd w:val="0"/>
        <w:spacing w:line="360" w:lineRule="auto"/>
        <w:ind w:firstLine="480"/>
        <w:rPr>
          <w:rFonts w:hint="eastAsia" w:ascii="宋体" w:hAnsi="宋体" w:eastAsia="宋体" w:cs="宋体"/>
          <w:b/>
          <w:color w:val="auto"/>
          <w:sz w:val="24"/>
          <w:szCs w:val="32"/>
          <w:highlight w:val="none"/>
          <w:lang w:val="en-US" w:eastAsia="zh-CN"/>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临平区犬只收容管理服务项目</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lang w:val="en-US" w:eastAsia="zh-CN"/>
        </w:rPr>
        <w:t>具体内容和相关要求详见招标文件“第三部分 采购需求”</w:t>
      </w:r>
      <w:r>
        <w:rPr>
          <w:rFonts w:hint="eastAsia" w:ascii="宋体" w:hAnsi="宋体" w:eastAsia="宋体"/>
          <w:color w:val="auto"/>
          <w:kern w:val="2"/>
          <w:sz w:val="24"/>
          <w:szCs w:val="24"/>
          <w:highlight w:val="none"/>
        </w:rPr>
        <w:t>，供应商可点击本公告下方“浏览采购文件”查看采购需求。</w:t>
      </w:r>
      <w:bookmarkStart w:id="511" w:name="_GoBack"/>
      <w:bookmarkEnd w:id="511"/>
    </w:p>
    <w:p>
      <w:pPr>
        <w:keepNext w:val="0"/>
        <w:keepLines w:val="0"/>
        <w:pageBreakBefore w:val="0"/>
        <w:kinsoku/>
        <w:wordWrap/>
        <w:overflowPunct/>
        <w:topLinePunct w:val="0"/>
        <w:bidi w:val="0"/>
        <w:adjustRightInd w:val="0"/>
        <w:spacing w:line="360" w:lineRule="auto"/>
        <w:ind w:firstLine="482" w:firstLineChars="200"/>
        <w:rPr>
          <w:rFonts w:hint="eastAsia" w:ascii="宋体" w:hAnsi="宋体" w:cs="宋体"/>
          <w:color w:val="auto"/>
          <w:sz w:val="24"/>
          <w:highlight w:val="none"/>
          <w:lang w:eastAsia="zh-CN"/>
        </w:rPr>
      </w:pPr>
      <w:r>
        <w:rPr>
          <w:rFonts w:hint="eastAsia" w:ascii="宋体" w:hAnsi="宋体" w:cs="宋体"/>
          <w:b/>
          <w:color w:val="auto"/>
          <w:sz w:val="24"/>
          <w:szCs w:val="32"/>
          <w:highlight w:val="none"/>
          <w:lang w:val="en-US" w:eastAsia="zh-CN"/>
        </w:rPr>
        <w:t>标项名称：</w:t>
      </w:r>
      <w:r>
        <w:rPr>
          <w:rFonts w:hint="eastAsia" w:ascii="宋体" w:hAnsi="宋体" w:cs="宋体"/>
          <w:color w:val="auto"/>
          <w:sz w:val="24"/>
          <w:highlight w:val="none"/>
          <w:lang w:eastAsia="zh-CN"/>
        </w:rPr>
        <w:t>临平区犬只收容管理服务项目</w:t>
      </w:r>
    </w:p>
    <w:p>
      <w:pPr>
        <w:keepNext w:val="0"/>
        <w:keepLines w:val="0"/>
        <w:pageBreakBefore w:val="0"/>
        <w:kinsoku/>
        <w:wordWrap/>
        <w:overflowPunct/>
        <w:topLinePunct w:val="0"/>
        <w:bidi w:val="0"/>
        <w:adjustRightInd w:val="0"/>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1200000.00</w:t>
      </w:r>
    </w:p>
    <w:p>
      <w:pPr>
        <w:pStyle w:val="17"/>
        <w:keepNext w:val="0"/>
        <w:keepLines w:val="0"/>
        <w:pageBreakBefore w:val="0"/>
        <w:kinsoku/>
        <w:wordWrap/>
        <w:overflowPunct/>
        <w:topLinePunct w:val="0"/>
        <w:bidi w:val="0"/>
        <w:adjustRightInd w:val="0"/>
        <w:spacing w:line="360" w:lineRule="auto"/>
        <w:ind w:firstLine="480"/>
        <w:rPr>
          <w:rFonts w:hint="eastAsia" w:ascii="宋体" w:hAnsi="宋体" w:eastAsia="宋体"/>
          <w:color w:val="auto"/>
          <w:kern w:val="2"/>
          <w:sz w:val="24"/>
          <w:szCs w:val="24"/>
          <w:highlight w:val="none"/>
        </w:rPr>
      </w:pPr>
      <w:r>
        <w:rPr>
          <w:rFonts w:hint="eastAsia" w:ascii="宋体" w:hAnsi="宋体" w:cs="宋体"/>
          <w:b/>
          <w:color w:val="auto"/>
          <w:sz w:val="24"/>
          <w:szCs w:val="32"/>
          <w:highlight w:val="none"/>
        </w:rPr>
        <w:t>简要规格描述或项目基本概况介绍、用途：</w:t>
      </w:r>
      <w:r>
        <w:rPr>
          <w:rFonts w:hint="eastAsia" w:ascii="宋体" w:hAnsi="宋体" w:eastAsia="宋体" w:cs="宋体"/>
          <w:b w:val="0"/>
          <w:bCs/>
          <w:color w:val="auto"/>
          <w:sz w:val="24"/>
          <w:highlight w:val="none"/>
          <w:lang w:val="en-US" w:eastAsia="zh-CN"/>
        </w:rPr>
        <w:t>具体内容和相关要求详见招标文件“第三部分 采购需求”</w:t>
      </w:r>
      <w:r>
        <w:rPr>
          <w:rFonts w:hint="eastAsia" w:ascii="宋体" w:hAnsi="宋体" w:eastAsia="宋体"/>
          <w:color w:val="auto"/>
          <w:kern w:val="2"/>
          <w:sz w:val="24"/>
          <w:szCs w:val="24"/>
          <w:highlight w:val="none"/>
        </w:rPr>
        <w:t>。</w:t>
      </w:r>
    </w:p>
    <w:p>
      <w:pPr>
        <w:pStyle w:val="17"/>
        <w:keepNext w:val="0"/>
        <w:keepLines w:val="0"/>
        <w:pageBreakBefore w:val="0"/>
        <w:kinsoku/>
        <w:wordWrap/>
        <w:overflowPunct/>
        <w:topLinePunct w:val="0"/>
        <w:bidi w:val="0"/>
        <w:adjustRightInd w:val="0"/>
        <w:spacing w:line="360" w:lineRule="auto"/>
        <w:ind w:firstLine="480"/>
        <w:rPr>
          <w:rFonts w:hint="eastAsia" w:ascii="宋体" w:hAnsi="宋体" w:eastAsia="宋体" w:cs="宋体"/>
          <w:b/>
          <w:color w:val="auto"/>
          <w:sz w:val="24"/>
          <w:szCs w:val="32"/>
          <w:highlight w:val="none"/>
          <w:lang w:val="en-US" w:eastAsia="zh-CN"/>
        </w:rPr>
      </w:pPr>
      <w:r>
        <w:rPr>
          <w:rFonts w:hint="eastAsia" w:hAnsi="宋体"/>
          <w:color w:val="auto"/>
          <w:kern w:val="2"/>
          <w:sz w:val="24"/>
          <w:szCs w:val="24"/>
          <w:highlight w:val="none"/>
          <w:lang w:eastAsia="zh-CN"/>
        </w:rPr>
        <w:t>本项目第一次公开招标有效投标单位少于三家，现进行第二次公开招标。</w:t>
      </w:r>
    </w:p>
    <w:p>
      <w:pPr>
        <w:keepNext w:val="0"/>
        <w:keepLines w:val="0"/>
        <w:pageBreakBefore w:val="0"/>
        <w:widowControl/>
        <w:tabs>
          <w:tab w:val="left" w:pos="540"/>
        </w:tabs>
        <w:kinsoku/>
        <w:wordWrap/>
        <w:overflowPunct/>
        <w:topLinePunct w:val="0"/>
        <w:autoSpaceDE w:val="0"/>
        <w:autoSpaceDN w:val="0"/>
        <w:bidi w:val="0"/>
        <w:adjustRightInd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cs="宋体"/>
          <w:b/>
          <w:color w:val="auto"/>
          <w:sz w:val="24"/>
          <w:szCs w:val="32"/>
          <w:highlight w:val="none"/>
        </w:rPr>
        <w:t>合同履约期限：</w:t>
      </w:r>
      <w:r>
        <w:rPr>
          <w:rFonts w:hint="eastAsia" w:ascii="宋体" w:hAnsi="宋体" w:cs="宋体"/>
          <w:b/>
          <w:color w:val="auto"/>
          <w:sz w:val="24"/>
          <w:szCs w:val="32"/>
          <w:highlight w:val="none"/>
          <w:lang w:eastAsia="zh-CN"/>
        </w:rPr>
        <w:t>二年，即</w:t>
      </w:r>
      <w:r>
        <w:rPr>
          <w:rFonts w:hint="eastAsia" w:ascii="宋体" w:hAnsi="宋体" w:cs="宋体"/>
          <w:b/>
          <w:color w:val="auto"/>
          <w:sz w:val="24"/>
          <w:szCs w:val="32"/>
          <w:highlight w:val="none"/>
          <w:lang w:val="en-US" w:eastAsia="zh-CN"/>
        </w:rPr>
        <w:t>24个月，具体</w:t>
      </w:r>
      <w:r>
        <w:rPr>
          <w:rFonts w:hint="eastAsia" w:ascii="宋体" w:hAnsi="宋体" w:eastAsia="宋体" w:cs="宋体"/>
          <w:b w:val="0"/>
          <w:bCs/>
          <w:color w:val="auto"/>
          <w:sz w:val="24"/>
          <w:highlight w:val="none"/>
          <w:lang w:val="en-US" w:eastAsia="zh-CN"/>
        </w:rPr>
        <w:t>详见招标文件“第三部分 采购需求”</w:t>
      </w:r>
      <w:r>
        <w:rPr>
          <w:rFonts w:hint="eastAsia" w:ascii="宋体" w:hAnsi="宋体" w:eastAsia="宋体" w:cs="宋体"/>
          <w:b/>
          <w:bCs/>
          <w:color w:val="auto"/>
          <w:sz w:val="24"/>
          <w:lang w:val="en-US" w:eastAsia="zh-CN"/>
        </w:rPr>
        <w:t>。</w:t>
      </w:r>
    </w:p>
    <w:p>
      <w:pPr>
        <w:pStyle w:val="17"/>
        <w:keepNext w:val="0"/>
        <w:keepLines w:val="0"/>
        <w:pageBreakBefore w:val="0"/>
        <w:kinsoku/>
        <w:wordWrap/>
        <w:overflowPunct/>
        <w:topLinePunct w:val="0"/>
        <w:bidi w:val="0"/>
        <w:adjustRightInd w:val="0"/>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b/>
          <w:bCs/>
          <w:color w:val="auto"/>
          <w:sz w:val="24"/>
        </w:rPr>
      </w:pPr>
      <w:r>
        <w:rPr>
          <w:rFonts w:hint="eastAsia" w:ascii="MS Gothic" w:hAnsi="MS Gothic" w:eastAsia="MS Gothic" w:cs="宋体"/>
          <w:color w:val="auto"/>
          <w:kern w:val="0"/>
          <w:sz w:val="24"/>
        </w:rPr>
        <w:sym w:font="Wingdings" w:char="00FE"/>
      </w:r>
      <w:r>
        <w:rPr>
          <w:rFonts w:hint="eastAsia" w:ascii="宋体" w:hAnsi="宋体" w:cs="宋体"/>
          <w:b/>
          <w:bCs/>
          <w:color w:val="auto"/>
          <w:kern w:val="0"/>
          <w:sz w:val="24"/>
        </w:rPr>
        <w:t>专</w:t>
      </w:r>
      <w:r>
        <w:rPr>
          <w:rFonts w:hint="eastAsia" w:ascii="宋体" w:hAnsi="宋体" w:cs="宋体"/>
          <w:b/>
          <w:bCs/>
          <w:color w:val="auto"/>
          <w:sz w:val="24"/>
        </w:rPr>
        <w:t>门面向中小企业</w:t>
      </w:r>
    </w:p>
    <w:p>
      <w:pPr>
        <w:spacing w:line="360" w:lineRule="auto"/>
        <w:ind w:firstLine="482" w:firstLineChars="200"/>
        <w:rPr>
          <w:rFonts w:ascii="宋体" w:hAnsi="宋体" w:cs="宋体"/>
          <w:b/>
          <w:bCs/>
          <w:color w:val="auto"/>
          <w:sz w:val="24"/>
        </w:rPr>
      </w:pPr>
      <w:r>
        <w:rPr>
          <w:rFonts w:hint="eastAsia" w:ascii="MS Gothic" w:hAnsi="MS Gothic" w:eastAsia="MS Gothic" w:cs="宋体"/>
          <w:b/>
          <w:bCs/>
          <w:color w:val="auto"/>
          <w:kern w:val="0"/>
          <w:sz w:val="24"/>
        </w:rPr>
        <w:sym w:font="Wingdings" w:char="00FE"/>
      </w:r>
      <w:r>
        <w:rPr>
          <w:rFonts w:hint="eastAsia" w:ascii="宋体" w:hAnsi="宋体" w:cs="宋体"/>
          <w:b/>
          <w:bCs/>
          <w:color w:val="auto"/>
          <w:sz w:val="24"/>
        </w:rPr>
        <w:t>服务全部由符合政策要求的中小企业承接，提供中小企业声明函；</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11月22日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2024年11月22日09点30分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2024年11月22日09点30分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val="en-US" w:eastAsia="zh-CN"/>
        </w:rPr>
        <w:t>登陆</w:t>
      </w:r>
      <w:r>
        <w:rPr>
          <w:rFonts w:hint="eastAsia" w:ascii="宋体" w:hAnsi="宋体" w:eastAsia="宋体" w:cs="宋体"/>
          <w:b w:val="0"/>
          <w:bCs/>
          <w:color w:val="auto"/>
          <w:sz w:val="24"/>
          <w:highlight w:val="none"/>
        </w:rPr>
        <w:t>政</w:t>
      </w:r>
      <w:r>
        <w:rPr>
          <w:rFonts w:hint="eastAsia" w:ascii="宋体" w:hAnsi="宋体" w:eastAsia="宋体" w:cs="宋体"/>
          <w:color w:val="auto"/>
          <w:sz w:val="24"/>
          <w:highlight w:val="none"/>
        </w:rPr>
        <w:t>采云平台（https://www.zcygov.cn/）开标大厅等候</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解密</w:t>
      </w:r>
      <w:r>
        <w:rPr>
          <w:rFonts w:hint="eastAsia" w:ascii="宋体" w:hAnsi="宋体" w:eastAsia="宋体" w:cs="宋体"/>
          <w:color w:val="auto"/>
          <w:sz w:val="24"/>
          <w:highlight w:val="none"/>
          <w:lang w:val="en-US" w:eastAsia="zh-CN"/>
        </w:rPr>
        <w:t>；</w:t>
      </w:r>
    </w:p>
    <w:p>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cs="宋体"/>
          <w:color w:val="000000"/>
          <w:sz w:val="24"/>
        </w:rPr>
      </w:pPr>
      <w:r>
        <w:rPr>
          <w:rFonts w:hint="eastAsia" w:ascii="宋体" w:hAnsi="宋体" w:cs="宋体"/>
          <w:color w:val="000000"/>
          <w:sz w:val="24"/>
        </w:rPr>
        <w:t>名称：杭州市临平区综合行政执法局</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cs="宋体"/>
          <w:color w:val="000000"/>
          <w:sz w:val="24"/>
        </w:rPr>
      </w:pPr>
      <w:r>
        <w:rPr>
          <w:rFonts w:hint="eastAsia" w:ascii="宋体" w:hAnsi="宋体" w:cs="宋体"/>
          <w:color w:val="000000"/>
          <w:sz w:val="24"/>
        </w:rPr>
        <w:t xml:space="preserve">地址：杭州市星桥街道藕花洲大街西段211号。  </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项目联系人（询问）：</w:t>
      </w:r>
      <w:r>
        <w:rPr>
          <w:rFonts w:hint="eastAsia" w:ascii="宋体" w:hAnsi="宋体" w:cs="宋体"/>
          <w:color w:val="000000"/>
          <w:sz w:val="24"/>
          <w:highlight w:val="none"/>
          <w:lang w:eastAsia="zh-CN"/>
        </w:rPr>
        <w:t>翁旭泉</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联系电话：13967132160</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质疑联系人：蔡旭辉</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联系电话：0571-89532830</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称：耀华建设管理有限公司</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址：杭州市</w:t>
      </w:r>
      <w:r>
        <w:rPr>
          <w:rFonts w:hint="eastAsia" w:ascii="宋体" w:hAnsi="宋体" w:eastAsia="宋体" w:cs="宋体"/>
          <w:sz w:val="24"/>
          <w:lang w:eastAsia="zh-CN"/>
        </w:rPr>
        <w:t>杭州市临平区南苑街道华元欢乐城-华元大厦20层</w:t>
      </w:r>
      <w:r>
        <w:rPr>
          <w:rFonts w:hint="eastAsia" w:ascii="宋体" w:hAnsi="宋体" w:cs="宋体"/>
          <w:sz w:val="24"/>
          <w:lang w:eastAsia="zh-CN"/>
        </w:rPr>
        <w:t>（</w:t>
      </w:r>
      <w:r>
        <w:rPr>
          <w:rFonts w:hint="eastAsia" w:ascii="宋体" w:hAnsi="宋体" w:cs="宋体"/>
          <w:sz w:val="24"/>
          <w:lang w:val="en-US" w:eastAsia="zh-CN"/>
        </w:rPr>
        <w:t>整层）</w:t>
      </w:r>
      <w:r>
        <w:rPr>
          <w:rFonts w:hint="eastAsia" w:ascii="宋体" w:hAnsi="宋体" w:eastAsia="宋体" w:cs="宋体"/>
          <w:color w:val="auto"/>
          <w:sz w:val="24"/>
          <w:highlight w:val="none"/>
          <w:lang w:val="en-US" w:eastAsia="zh-CN"/>
        </w:rPr>
        <w:t>。</w:t>
      </w:r>
    </w:p>
    <w:p>
      <w:pPr>
        <w:spacing w:line="360" w:lineRule="auto"/>
        <w:ind w:left="239" w:leftChars="114" w:firstLine="0" w:firstLineChars="0"/>
        <w:rPr>
          <w:rFonts w:hint="eastAsia"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刘瑶</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cs="宋体"/>
          <w:color w:val="000000"/>
          <w:sz w:val="24"/>
        </w:rPr>
        <w:t>电话</w:t>
      </w:r>
      <w:r>
        <w:rPr>
          <w:rFonts w:hint="eastAsia" w:ascii="宋体" w:hAnsi="宋体" w:cs="宋体"/>
          <w:sz w:val="24"/>
        </w:rPr>
        <w:t>：</w:t>
      </w:r>
      <w:r>
        <w:rPr>
          <w:rFonts w:hint="eastAsia" w:ascii="宋体" w:hAnsi="宋体" w:cs="宋体"/>
          <w:sz w:val="24"/>
          <w:lang w:val="en-US" w:eastAsia="zh-CN"/>
        </w:rPr>
        <w:t>0571-86320706</w:t>
      </w:r>
    </w:p>
    <w:p>
      <w:pPr>
        <w:spacing w:line="360" w:lineRule="auto"/>
        <w:ind w:left="239" w:leftChars="114" w:firstLine="0" w:firstLineChars="0"/>
        <w:rPr>
          <w:rFonts w:hint="default" w:ascii="宋体" w:hAnsi="宋体" w:eastAsia="宋体" w:cs="宋体"/>
          <w:color w:val="auto"/>
          <w:sz w:val="24"/>
          <w:highlight w:val="none"/>
          <w:lang w:val="en-US" w:eastAsia="zh-CN"/>
        </w:rPr>
      </w:pPr>
      <w:r>
        <w:rPr>
          <w:rFonts w:hint="eastAsia" w:ascii="宋体" w:hAnsi="宋体" w:cs="宋体"/>
          <w:sz w:val="24"/>
        </w:rPr>
        <w:t xml:space="preserve">质疑联系人：单成燕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cs="宋体"/>
          <w:color w:val="000000"/>
          <w:sz w:val="24"/>
        </w:rPr>
        <w:t>电话</w:t>
      </w:r>
      <w:r>
        <w:rPr>
          <w:rFonts w:hint="eastAsia" w:ascii="宋体" w:hAnsi="宋体" w:cs="宋体"/>
          <w:sz w:val="24"/>
        </w:rPr>
        <w:t>：0571-86320727</w:t>
      </w:r>
      <w:r>
        <w:rPr>
          <w:rFonts w:hint="eastAsia" w:ascii="宋体" w:hAnsi="宋体" w:cs="宋体"/>
          <w:sz w:val="24"/>
          <w:lang w:val="en-US" w:eastAsia="zh-CN"/>
        </w:rPr>
        <w:t>/18072887619</w:t>
      </w:r>
    </w:p>
    <w:p>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3.同级政府采购监督管理部门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名称：</w:t>
      </w:r>
      <w:r>
        <w:rPr>
          <w:rFonts w:hint="eastAsia" w:ascii="宋体" w:hAnsi="宋体" w:cs="宋体"/>
          <w:color w:val="auto"/>
          <w:sz w:val="24"/>
          <w:highlight w:val="none"/>
          <w:lang w:eastAsia="zh-CN"/>
        </w:rPr>
        <w:t>杭州市临平区财政局采监科、浙江省政府采购行政裁决服务中心(杭州)</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地址：</w:t>
      </w:r>
      <w:bookmarkStart w:id="11" w:name="OLE_LINK1"/>
      <w:r>
        <w:rPr>
          <w:rFonts w:hint="eastAsia" w:ascii="宋体" w:hAnsi="宋体" w:eastAsia="宋体" w:cs="宋体"/>
          <w:color w:val="auto"/>
          <w:sz w:val="24"/>
          <w:highlight w:val="none"/>
        </w:rPr>
        <w:t>杭州市上城区清泰街549号城建综合大楼11楼（快递仅限ems或顺丰）</w:t>
      </w:r>
      <w:r>
        <w:rPr>
          <w:rFonts w:hint="eastAsia" w:ascii="宋体" w:hAnsi="宋体" w:cs="宋体"/>
          <w:color w:val="auto"/>
          <w:sz w:val="24"/>
          <w:highlight w:val="none"/>
          <w:lang w:eastAsia="zh-CN"/>
        </w:rPr>
        <w:t>。</w:t>
      </w:r>
      <w:bookmarkEnd w:id="11"/>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联系人：朱女士/王女士</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监督投诉电话：0571-87227671,0571-87800218</w:t>
      </w:r>
      <w:r>
        <w:rPr>
          <w:rFonts w:hint="eastAsia" w:ascii="宋体" w:hAnsi="宋体" w:cs="宋体"/>
          <w:color w:val="auto"/>
          <w:sz w:val="24"/>
          <w:highlight w:val="none"/>
          <w:lang w:eastAsia="zh-CN"/>
        </w:rPr>
        <w:t>；</w:t>
      </w:r>
    </w:p>
    <w:p>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spacing w:line="360" w:lineRule="auto"/>
        <w:ind w:firstLine="723" w:firstLineChars="200"/>
        <w:rPr>
          <w:rFonts w:ascii="宋体" w:hAnsi="宋体" w:cs="宋体"/>
          <w:b/>
          <w:color w:val="auto"/>
          <w:sz w:val="36"/>
          <w:szCs w:val="20"/>
        </w:rPr>
      </w:pPr>
      <w:r>
        <w:rPr>
          <w:rFonts w:ascii="宋体" w:hAnsi="宋体" w:cs="宋体"/>
          <w:b/>
          <w:color w:val="auto"/>
          <w:sz w:val="36"/>
          <w:szCs w:val="20"/>
        </w:rPr>
        <w:br w:type="page"/>
      </w:r>
    </w:p>
    <w:p>
      <w:pPr>
        <w:pStyle w:val="4"/>
        <w:rPr>
          <w:color w:val="auto"/>
        </w:rPr>
      </w:pPr>
      <w:r>
        <w:rPr>
          <w:rFonts w:hint="eastAsia"/>
          <w:color w:val="auto"/>
        </w:rPr>
        <w:t>第二部分</w:t>
      </w:r>
      <w:bookmarkEnd w:id="8"/>
      <w:r>
        <w:rPr>
          <w:rFonts w:hint="eastAsia"/>
          <w:color w:val="auto"/>
        </w:rPr>
        <w:t xml:space="preserve"> 投标人须知</w:t>
      </w:r>
      <w:bookmarkEnd w:id="9"/>
    </w:p>
    <w:p>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5"/>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ind w:firstLine="0" w:firstLineChars="0"/>
              <w:rPr>
                <w:rFonts w:hint="eastAsia" w:ascii="宋体" w:hAnsi="宋体" w:cs="宋体"/>
                <w:color w:val="auto"/>
                <w:kern w:val="0"/>
                <w:sz w:val="24"/>
                <w:highlight w:val="none"/>
                <w:u w:val="singl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临平区犬只收容管理服务项目；</w:t>
            </w:r>
          </w:p>
          <w:p>
            <w:pPr>
              <w:numPr>
                <w:ilvl w:val="0"/>
                <w:numId w:val="0"/>
              </w:numPr>
              <w:snapToGrid w:val="0"/>
              <w:spacing w:line="360" w:lineRule="auto"/>
              <w:rPr>
                <w:rFonts w:hint="eastAsia" w:ascii="宋体" w:hAnsi="宋体" w:eastAsia="宋体" w:cs="宋体"/>
                <w:b/>
                <w:bCs/>
                <w:color w:val="auto"/>
                <w:kern w:val="0"/>
                <w:sz w:val="24"/>
                <w:highlight w:val="none"/>
                <w:u w:val="singl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属于</w:t>
            </w:r>
            <w:r>
              <w:rPr>
                <w:rFonts w:hint="eastAsia" w:ascii="宋体" w:hAnsi="宋体" w:eastAsia="宋体" w:cs="宋体"/>
                <w:b/>
                <w:bCs/>
                <w:color w:val="auto"/>
                <w:kern w:val="0"/>
                <w:sz w:val="24"/>
                <w:highlight w:val="none"/>
                <w:u w:val="single"/>
                <w:lang w:val="en-US" w:eastAsia="zh-CN"/>
              </w:rPr>
              <w:t xml:space="preserve"> 农林牧渔业</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其中</w:t>
            </w:r>
            <w:r>
              <w:rPr>
                <w:rFonts w:hint="eastAsia" w:ascii="宋体" w:hAnsi="宋体" w:eastAsia="宋体" w:cs="宋体"/>
                <w:color w:val="auto"/>
                <w:kern w:val="0"/>
                <w:sz w:val="24"/>
                <w:highlight w:val="none"/>
                <w:lang w:val="en-US" w:eastAsia="zh-CN"/>
              </w:rPr>
              <w:t>营业收入 Y（万元）500万元≤Y＜20000万元</w:t>
            </w:r>
            <w:r>
              <w:rPr>
                <w:rFonts w:hint="eastAsia" w:ascii="宋体" w:hAnsi="宋体" w:cs="宋体"/>
                <w:color w:val="auto"/>
                <w:kern w:val="0"/>
                <w:sz w:val="20"/>
                <w:highlight w:val="none"/>
                <w:lang w:eastAsia="zh-CN"/>
              </w:rPr>
              <w:t>，</w:t>
            </w:r>
            <w:r>
              <w:rPr>
                <w:rFonts w:hint="eastAsia" w:ascii="宋体" w:hAnsi="宋体" w:eastAsia="宋体" w:cs="宋体"/>
                <w:b/>
                <w:bCs/>
                <w:color w:val="auto"/>
                <w:kern w:val="0"/>
                <w:sz w:val="24"/>
                <w:highlight w:val="none"/>
                <w:u w:val="single"/>
                <w:lang w:val="en-US" w:eastAsia="zh-CN"/>
              </w:rPr>
              <w:t>详见附件中小微行业划型标准规定（根据工信部联企业〔2011〕300号制定）</w:t>
            </w:r>
            <w:r>
              <w:rPr>
                <w:rFonts w:hint="eastAsia" w:ascii="宋体" w:hAnsi="宋体" w:cs="宋体"/>
                <w:b/>
                <w:bCs/>
                <w:color w:val="auto"/>
                <w:kern w:val="0"/>
                <w:sz w:val="24"/>
                <w:highlight w:val="none"/>
                <w:u w:val="single"/>
                <w:lang w:val="en-US" w:eastAsia="zh-CN"/>
              </w:rPr>
              <w:t>。</w:t>
            </w:r>
          </w:p>
          <w:p>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szCs w:val="21"/>
                <w:highlight w:val="none"/>
                <w:shd w:val="clear" w:color="auto" w:fill="FFFFFF"/>
                <w:lang w:val="zh-CN" w:bidi="zh-CN"/>
              </w:rPr>
              <w:t xml:space="preserve">说明： </w:t>
            </w:r>
          </w:p>
          <w:p>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1.大型、中型和小型企业须同时满足所列指标的下限，否则下划一档；微型企业只须满足所列指标中的一项即可。 　　</w:t>
            </w:r>
          </w:p>
          <w:p>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2.附表中各行业的范围以《国民经济行业分类》（GB/T4754-2017）为准。</w:t>
            </w:r>
          </w:p>
          <w:p>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3.企业划分指标以现行统计制度为准。</w:t>
            </w:r>
          </w:p>
          <w:p>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1）从业人员，是指期末从业人员数，没有期末从业人员数的，采用全年平均人员数代替。</w:t>
            </w:r>
          </w:p>
          <w:p>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3）资产总额，采用资产总计代替。</w:t>
            </w:r>
          </w:p>
          <w:p>
            <w:pPr>
              <w:pStyle w:val="620"/>
              <w:widowControl w:val="0"/>
              <w:tabs>
                <w:tab w:val="left" w:pos="1070"/>
              </w:tabs>
              <w:wordWrap/>
              <w:snapToGrid/>
              <w:spacing w:line="312" w:lineRule="auto"/>
              <w:ind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eastAsia="zh-CN"/>
              </w:rPr>
              <w:t>）根据《政府采购促进中小企业发展管理办法》（财库﹝2020﹞46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本次采购为专门面向中小企业预留采购份额的采购项目</w:t>
            </w:r>
            <w:r>
              <w:rPr>
                <w:rFonts w:hint="eastAsia" w:ascii="宋体" w:hAnsi="宋体" w:eastAsia="宋体" w:cs="宋体"/>
                <w:color w:val="auto"/>
                <w:sz w:val="21"/>
                <w:szCs w:val="21"/>
                <w:highlight w:val="none"/>
                <w:u w:val="single"/>
                <w:lang w:val="zh-CN" w:eastAsia="zh-CN"/>
              </w:rPr>
              <w:t>。</w:t>
            </w:r>
          </w:p>
          <w:p>
            <w:pPr>
              <w:pStyle w:val="620"/>
              <w:widowControl w:val="0"/>
              <w:tabs>
                <w:tab w:val="left" w:pos="1070"/>
              </w:tabs>
              <w:wordWrap/>
              <w:snapToGrid/>
              <w:spacing w:line="312" w:lineRule="auto"/>
              <w:ind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w:t>
            </w:r>
            <w:r>
              <w:rPr>
                <w:rFonts w:hint="eastAsia" w:ascii="宋体" w:hAnsi="宋体" w:cs="宋体"/>
                <w:color w:val="auto"/>
                <w:spacing w:val="0"/>
                <w:sz w:val="21"/>
                <w:szCs w:val="21"/>
                <w:highlight w:val="none"/>
                <w:u w:val="single"/>
                <w:lang w:val="en-US" w:eastAsia="zh-CN"/>
              </w:rPr>
              <w:t>3</w:t>
            </w:r>
            <w:r>
              <w:rPr>
                <w:rFonts w:hint="eastAsia" w:ascii="宋体" w:hAnsi="宋体" w:eastAsia="宋体" w:cs="宋体"/>
                <w:color w:val="auto"/>
                <w:spacing w:val="0"/>
                <w:sz w:val="21"/>
                <w:szCs w:val="21"/>
                <w:highlight w:val="none"/>
                <w:u w:val="single"/>
                <w:lang w:val="zh-CN" w:eastAsia="zh-CN"/>
              </w:rPr>
              <w:t>)符合小微企业划分标准的个体工商户，视同小微企业。</w:t>
            </w:r>
          </w:p>
          <w:p>
            <w:pPr>
              <w:pStyle w:val="620"/>
              <w:widowControl w:val="0"/>
              <w:tabs>
                <w:tab w:val="left" w:pos="1070"/>
              </w:tabs>
              <w:wordWrap/>
              <w:snapToGrid/>
              <w:spacing w:line="288" w:lineRule="auto"/>
              <w:ind w:right="52" w:firstLine="21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1"/>
                <w:szCs w:val="21"/>
                <w:highlight w:val="none"/>
                <w:u w:val="single"/>
                <w:lang w:val="zh-CN"/>
              </w:rPr>
              <w:t>(</w:t>
            </w:r>
            <w:r>
              <w:rPr>
                <w:rFonts w:hint="eastAsia" w:ascii="宋体" w:hAnsi="宋体" w:cs="宋体"/>
                <w:color w:val="auto"/>
                <w:spacing w:val="0"/>
                <w:kern w:val="0"/>
                <w:sz w:val="21"/>
                <w:szCs w:val="21"/>
                <w:highlight w:val="none"/>
                <w:u w:val="single"/>
                <w:lang w:val="en-US" w:eastAsia="zh-CN"/>
              </w:rPr>
              <w:t>4</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spacing w:line="312"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spacing w:line="312" w:lineRule="auto"/>
              <w:ind w:firstLine="240" w:firstLineChars="100"/>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default" w:ascii="宋体" w:hAnsi="宋体" w:eastAsia="宋体" w:cs="宋体"/>
                <w:b/>
                <w:color w:val="auto"/>
                <w:kern w:val="0"/>
                <w:sz w:val="24"/>
                <w:highlight w:val="none"/>
                <w:lang w:val="en-US"/>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0" w:hRule="atLeast"/>
          <w:tblHeader/>
        </w:trPr>
        <w:tc>
          <w:tcPr>
            <w:tcW w:w="82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bottom"/>
          </w:tcPr>
          <w:p>
            <w:pPr>
              <w:keepNext w:val="0"/>
              <w:keepLines w:val="0"/>
              <w:pageBreakBefore w:val="0"/>
              <w:widowControl w:val="0"/>
              <w:kinsoku/>
              <w:wordWrap/>
              <w:overflowPunct/>
              <w:topLinePunct w:val="0"/>
              <w:autoSpaceDE/>
              <w:autoSpaceDN/>
              <w:bidi w:val="0"/>
              <w:adjustRightInd w:val="0"/>
              <w:snapToGrid/>
              <w:spacing w:line="312" w:lineRule="auto"/>
              <w:ind w:firstLine="240" w:firstLine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82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pPr>
              <w:snapToGrid/>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bottom"/>
          </w:tcPr>
          <w:p>
            <w:pPr>
              <w:keepNext w:val="0"/>
              <w:keepLines w:val="0"/>
              <w:pageBreakBefore w:val="0"/>
              <w:widowControl w:val="0"/>
              <w:kinsoku/>
              <w:wordWrap/>
              <w:overflowPunct/>
              <w:topLinePunct w:val="0"/>
              <w:autoSpaceDE/>
              <w:autoSpaceDN/>
              <w:bidi w:val="0"/>
              <w:adjustRightInd w:val="0"/>
              <w:snapToGrid/>
              <w:spacing w:line="312" w:lineRule="auto"/>
              <w:ind w:firstLine="240" w:firstLine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0"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spacing w:line="312"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pPr>
              <w:snapToGrid/>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ind w:firstLine="480" w:firstLineChars="200"/>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有关本项目实施所需的所有费用（含税费）均计入报价。投标文件</w:t>
            </w:r>
            <w:r>
              <w:rPr>
                <w:rFonts w:hint="eastAsia" w:ascii="宋体" w:hAnsi="宋体" w:cs="宋体"/>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pPr>
              <w:snapToGrid w:val="0"/>
              <w:spacing w:line="288" w:lineRule="auto"/>
              <w:ind w:firstLine="482" w:firstLineChars="200"/>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288" w:lineRule="auto"/>
              <w:ind w:firstLine="482" w:firstLineChars="2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288" w:lineRule="auto"/>
              <w:ind w:left="239" w:leftChars="114" w:firstLine="241" w:firstLineChars="100"/>
              <w:jc w:val="left"/>
              <w:rPr>
                <w:rFonts w:hint="eastAsia" w:ascii="宋体" w:hAnsi="宋体" w:cs="宋体"/>
                <w:b/>
                <w:bCs w:val="0"/>
                <w:color w:val="auto"/>
                <w:kern w:val="0"/>
                <w:sz w:val="24"/>
                <w:lang w:val="zh-CN"/>
              </w:rPr>
            </w:pPr>
            <w:r>
              <w:rPr>
                <w:rFonts w:hint="eastAsia" w:ascii="宋体" w:hAnsi="宋体" w:cs="宋体"/>
                <w:b/>
                <w:bCs w:val="0"/>
                <w:color w:val="auto"/>
                <w:kern w:val="0"/>
                <w:sz w:val="24"/>
                <w:lang w:val="zh-CN"/>
              </w:rPr>
              <w:t>投标报价超过招标文件中规定的预算金额或者最高限价的;投标报价高于该预算的作无效标处理。</w:t>
            </w:r>
          </w:p>
          <w:p>
            <w:pPr>
              <w:snapToGrid w:val="0"/>
              <w:spacing w:line="288" w:lineRule="auto"/>
              <w:ind w:left="239" w:leftChars="114" w:firstLine="241" w:firstLineChars="100"/>
              <w:jc w:val="left"/>
              <w:rPr>
                <w:rFonts w:hint="default" w:ascii="宋体" w:hAnsi="宋体" w:eastAsia="宋体" w:cs="宋体"/>
                <w:b/>
                <w:bCs w:val="0"/>
                <w:color w:val="auto"/>
                <w:kern w:val="0"/>
                <w:sz w:val="24"/>
                <w:lang w:val="en-US" w:eastAsia="zh-CN"/>
              </w:rPr>
            </w:pPr>
            <w:r>
              <w:rPr>
                <w:rFonts w:hint="eastAsia" w:ascii="宋体" w:hAnsi="宋体" w:cs="宋体"/>
                <w:b/>
                <w:bCs w:val="0"/>
                <w:color w:val="auto"/>
                <w:kern w:val="0"/>
                <w:sz w:val="24"/>
                <w:lang w:val="en-US" w:eastAsia="zh-CN"/>
              </w:rPr>
              <w:t>本项目综合单价限价：</w:t>
            </w:r>
            <w:r>
              <w:rPr>
                <w:rFonts w:hint="eastAsia" w:ascii="宋体" w:hAnsi="宋体" w:cs="宋体"/>
                <w:b/>
                <w:bCs/>
                <w:kern w:val="0"/>
                <w:sz w:val="24"/>
                <w:lang w:val="en-US" w:eastAsia="zh-CN"/>
              </w:rPr>
              <w:t>犬只收养45元/只/天；犬只无害化处置140元/只；犬只体检洗澡及疫苗注射95元/只。</w:t>
            </w:r>
          </w:p>
          <w:p>
            <w:pPr>
              <w:spacing w:line="288" w:lineRule="auto"/>
              <w:ind w:firstLine="482" w:firstLineChars="2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288" w:lineRule="auto"/>
              <w:ind w:firstLine="482" w:firstLineChars="200"/>
              <w:rPr>
                <w:rFonts w:hint="eastAsia" w:ascii="宋体" w:hAnsi="宋体" w:eastAsia="宋体" w:cs="宋体"/>
                <w:color w:val="auto"/>
                <w:sz w:val="24"/>
                <w:highlight w:val="none"/>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ind w:firstLine="480" w:firstLineChars="200"/>
              <w:rPr>
                <w:rFonts w:hint="eastAsia" w:ascii="宋体" w:hAnsi="宋体" w:eastAsia="宋体" w:cs="宋体"/>
                <w:color w:val="auto"/>
                <w:kern w:val="28"/>
                <w:sz w:val="24"/>
                <w:highlight w:val="none"/>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密封包装后（建议快递邮寄形式）投标截止时间前递交一份（邮寄地址：</w:t>
            </w:r>
            <w:r>
              <w:rPr>
                <w:rFonts w:hint="eastAsia" w:hAnsi="宋体" w:cs="宋体"/>
                <w:color w:val="auto"/>
                <w:kern w:val="28"/>
                <w:sz w:val="24"/>
                <w:szCs w:val="24"/>
                <w:u w:val="single"/>
                <w:lang w:eastAsia="zh-CN"/>
              </w:rPr>
              <w:t>杭州市临平区南苑街道华元欢乐城-华元大厦20层</w:t>
            </w:r>
            <w:r>
              <w:rPr>
                <w:rFonts w:hint="eastAsia" w:hAnsi="宋体" w:cs="宋体"/>
                <w:color w:val="auto"/>
                <w:kern w:val="28"/>
                <w:sz w:val="24"/>
                <w:szCs w:val="24"/>
                <w:u w:val="single"/>
                <w:lang w:val="en-US" w:eastAsia="zh-CN"/>
              </w:rPr>
              <w:t>2022办公室</w:t>
            </w:r>
            <w:r>
              <w:rPr>
                <w:rFonts w:hint="eastAsia" w:hAnsi="宋体" w:cs="宋体"/>
                <w:color w:val="auto"/>
                <w:kern w:val="28"/>
                <w:sz w:val="24"/>
                <w:szCs w:val="24"/>
              </w:rPr>
              <w:t>；备份投标文件签收人员</w:t>
            </w:r>
            <w:r>
              <w:rPr>
                <w:rFonts w:hint="eastAsia" w:hAnsi="宋体" w:cs="宋体"/>
                <w:color w:val="auto"/>
                <w:kern w:val="28"/>
                <w:sz w:val="24"/>
                <w:szCs w:val="24"/>
                <w:u w:val="single"/>
              </w:rPr>
              <w:t>联系电话：</w:t>
            </w:r>
            <w:r>
              <w:rPr>
                <w:rFonts w:hint="eastAsia" w:hAnsi="宋体" w:cs="宋体"/>
                <w:color w:val="auto"/>
                <w:kern w:val="28"/>
                <w:sz w:val="24"/>
                <w:szCs w:val="24"/>
                <w:u w:val="single"/>
                <w:lang w:val="en-US" w:eastAsia="zh-CN"/>
              </w:rPr>
              <w:t>刘瑶</w:t>
            </w:r>
            <w:r>
              <w:rPr>
                <w:rFonts w:hint="eastAsia" w:ascii="宋体" w:hAnsi="宋体" w:eastAsia="宋体" w:cs="宋体"/>
                <w:color w:val="auto"/>
                <w:sz w:val="24"/>
                <w:highlight w:val="none"/>
                <w:u w:val="single"/>
              </w:rPr>
              <w:t>收，</w:t>
            </w:r>
            <w:r>
              <w:rPr>
                <w:rFonts w:hint="eastAsia" w:hAnsi="宋体" w:cs="宋体"/>
                <w:color w:val="auto"/>
                <w:sz w:val="24"/>
                <w:highlight w:val="none"/>
                <w:u w:val="single"/>
                <w:lang w:val="en-US" w:eastAsia="zh-CN"/>
              </w:rPr>
              <w:t>13857413671</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6"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pPr>
              <w:widowControl w:val="0"/>
              <w:wordWrap/>
              <w:snapToGrid/>
              <w:spacing w:line="360" w:lineRule="auto"/>
              <w:ind w:firstLine="480" w:firstLineChars="20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pPr>
              <w:widowControl w:val="0"/>
              <w:wordWrap/>
              <w:snapToGrid/>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rPr>
              <w:sym w:font="Wingdings" w:char="F0FE"/>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bookmarkStart w:id="12" w:name="第三部分"/>
            <w:bookmarkStart w:id="13" w:name="_Toc164416483"/>
            <w:r>
              <w:rPr>
                <w:rFonts w:hint="eastAsia" w:ascii="宋体" w:hAnsi="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firstLineChars="200"/>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中标后提供承诺书和纸质版投标文件一式三份（正本一份红章版，副本二份，可为正本复印件），承诺书详见附件。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bCs/>
                <w:color w:val="auto"/>
                <w:sz w:val="24"/>
              </w:rPr>
            </w:pPr>
            <w:r>
              <w:rPr>
                <w:rFonts w:hint="eastAsia" w:ascii="宋体" w:hAnsi="宋体" w:eastAsia="宋体" w:cs="宋体"/>
                <w:b/>
                <w:bCs/>
                <w:snapToGrid/>
                <w:color w:val="auto"/>
                <w:kern w:val="0"/>
                <w:sz w:val="24"/>
                <w:szCs w:val="24"/>
                <w:highlight w:val="none"/>
                <w:lang w:val="en-US" w:eastAsia="zh-CN" w:bidi="ar-SA"/>
              </w:rPr>
              <w:t>招标代理费</w:t>
            </w:r>
          </w:p>
        </w:tc>
        <w:tc>
          <w:tcPr>
            <w:tcW w:w="6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招标代理费用由中标单位支付，代理费用付款按《招标代理服务收费管理暂行办法》的通知（计价格[2002]1980号）文件</w:t>
            </w:r>
            <w:r>
              <w:rPr>
                <w:rFonts w:hint="eastAsia" w:ascii="宋体" w:hAnsi="宋体" w:cs="宋体"/>
                <w:b/>
                <w:bCs/>
                <w:color w:val="auto"/>
                <w:sz w:val="24"/>
                <w:szCs w:val="24"/>
                <w:highlight w:val="none"/>
                <w:lang w:val="en-US" w:eastAsia="zh-CN"/>
              </w:rPr>
              <w:t>八折</w:t>
            </w:r>
            <w:r>
              <w:rPr>
                <w:rFonts w:hint="eastAsia" w:ascii="宋体" w:hAnsi="宋体" w:eastAsia="宋体" w:cs="宋体"/>
                <w:b/>
                <w:bCs/>
                <w:color w:val="auto"/>
                <w:sz w:val="24"/>
                <w:szCs w:val="24"/>
                <w:highlight w:val="none"/>
                <w:lang w:val="en-US" w:eastAsia="zh-CN"/>
              </w:rPr>
              <w:t>计取，直接支付给分散采购招标代理单位，投标人在报价时应综合考虑该笔费用，但不单列进投标总价。</w:t>
            </w:r>
          </w:p>
          <w:p>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drawing>
                <wp:anchor distT="0" distB="0" distL="114300" distR="114300" simplePos="0" relativeHeight="251661312" behindDoc="0" locked="0" layoutInCell="1" allowOverlap="1">
                  <wp:simplePos x="0" y="0"/>
                  <wp:positionH relativeFrom="column">
                    <wp:posOffset>434975</wp:posOffset>
                  </wp:positionH>
                  <wp:positionV relativeFrom="paragraph">
                    <wp:posOffset>20320</wp:posOffset>
                  </wp:positionV>
                  <wp:extent cx="3423285" cy="1569720"/>
                  <wp:effectExtent l="0" t="0" r="5715" b="11430"/>
                  <wp:wrapSquare wrapText="bothSides"/>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pic:cNvPicPr>
                        </pic:nvPicPr>
                        <pic:blipFill>
                          <a:blip r:embed="rId25"/>
                          <a:stretch>
                            <a:fillRect/>
                          </a:stretch>
                        </pic:blipFill>
                        <pic:spPr>
                          <a:xfrm>
                            <a:off x="0" y="0"/>
                            <a:ext cx="3423285" cy="1569720"/>
                          </a:xfrm>
                          <a:prstGeom prst="rect">
                            <a:avLst/>
                          </a:prstGeom>
                          <a:noFill/>
                          <a:ln>
                            <a:noFill/>
                          </a:ln>
                        </pic:spPr>
                      </pic:pic>
                    </a:graphicData>
                  </a:graphic>
                </wp:anchor>
              </w:drawing>
            </w:r>
          </w:p>
        </w:tc>
      </w:tr>
      <w:bookmarkEnd w:id="10"/>
    </w:tbl>
    <w:p>
      <w:pPr>
        <w:pStyle w:val="5"/>
        <w:numPr>
          <w:ilvl w:val="0"/>
          <w:numId w:val="0"/>
        </w:numPr>
        <w:ind w:leftChars="0"/>
        <w:jc w:val="both"/>
        <w:rPr>
          <w:rFonts w:hint="eastAsia"/>
          <w:color w:val="auto"/>
        </w:rPr>
      </w:pPr>
    </w:p>
    <w:p>
      <w:pPr>
        <w:rPr>
          <w:rFonts w:hint="eastAsia"/>
          <w:color w:val="auto"/>
        </w:rPr>
      </w:pPr>
    </w:p>
    <w:p>
      <w:pPr>
        <w:pStyle w:val="25"/>
        <w:rPr>
          <w:rFonts w:hint="eastAsia"/>
          <w:color w:val="auto"/>
        </w:rPr>
      </w:pP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5"/>
        <w:adjustRightInd w:val="0"/>
        <w:snapToGrid w:val="0"/>
        <w:ind w:left="0"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6"/>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57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57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57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578"/>
        <w:shd w:val="clear" w:color="auto" w:fill="FFFFFF"/>
        <w:snapToGrid w:val="0"/>
        <w:spacing w:after="240" w:afterAutospacing="0" w:line="360" w:lineRule="auto"/>
        <w:ind w:firstLine="400"/>
        <w:contextualSpacing/>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57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578"/>
        <w:shd w:val="clear" w:color="auto" w:fill="FFFFFF"/>
        <w:snapToGrid w:val="0"/>
        <w:spacing w:after="240" w:afterAutospacing="0" w:line="360" w:lineRule="auto"/>
        <w:ind w:firstLine="400"/>
        <w:contextualSpacing/>
        <w:rPr>
          <w:color w:val="auto"/>
        </w:rPr>
      </w:pPr>
      <w:r>
        <w:rPr>
          <w:rFonts w:hint="eastAsia"/>
          <w:color w:val="auto"/>
        </w:rPr>
        <w:t>4.4.5杭州市</w:t>
      </w:r>
      <w:r>
        <w:rPr>
          <w:rFonts w:hint="eastAsia"/>
          <w:color w:val="auto"/>
          <w:lang w:eastAsia="zh-CN"/>
        </w:rPr>
        <w:t>临平区</w:t>
      </w:r>
      <w:r>
        <w:rPr>
          <w:rFonts w:hint="eastAsia"/>
          <w:color w:val="auto"/>
        </w:rPr>
        <w:t>财政局</w:t>
      </w:r>
      <w:r>
        <w:rPr>
          <w:rFonts w:hint="eastAsia"/>
          <w:color w:val="auto"/>
          <w:lang w:eastAsia="zh-CN"/>
        </w:rPr>
        <w:t>的</w:t>
      </w:r>
      <w:r>
        <w:rPr>
          <w:rFonts w:hint="eastAsia"/>
          <w:color w:val="auto"/>
        </w:rPr>
        <w:t>政府采购项目投诉材料可寄送</w:t>
      </w:r>
      <w:r>
        <w:rPr>
          <w:rFonts w:hint="eastAsia"/>
          <w:color w:val="auto"/>
          <w:lang w:eastAsia="zh-CN"/>
        </w:rPr>
        <w:t>，</w:t>
      </w:r>
      <w:r>
        <w:rPr>
          <w:rFonts w:hint="eastAsia"/>
          <w:color w:val="auto"/>
        </w:rPr>
        <w:t>地址：杭州市上城区清泰街549号城建综合大楼11楼（快递仅限ems或顺丰），收件人：</w:t>
      </w:r>
      <w:r>
        <w:rPr>
          <w:rFonts w:hint="eastAsia" w:ascii="宋体" w:hAnsi="宋体" w:cs="宋体"/>
          <w:color w:val="auto"/>
          <w:sz w:val="24"/>
          <w:highlight w:val="none"/>
          <w:lang w:val="en-US" w:eastAsia="zh-CN"/>
        </w:rPr>
        <w:t>朱女士、王女士</w:t>
      </w:r>
      <w:r>
        <w:rPr>
          <w:rFonts w:hint="eastAsia"/>
          <w:color w:val="auto"/>
        </w:rPr>
        <w:t>，电话：0571-87227671。</w:t>
      </w:r>
    </w:p>
    <w:p>
      <w:pPr>
        <w:pStyle w:val="57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95"/>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6"/>
        <w:spacing w:line="360" w:lineRule="auto"/>
        <w:rPr>
          <w:rFonts w:hAnsi="宋体" w:cs="宋体"/>
          <w:b/>
          <w:color w:val="auto"/>
          <w:sz w:val="24"/>
          <w:szCs w:val="24"/>
        </w:rPr>
      </w:pPr>
      <w:r>
        <w:rPr>
          <w:rFonts w:hint="eastAsia" w:hAnsi="宋体" w:cs="宋体"/>
          <w:b/>
          <w:color w:val="auto"/>
          <w:sz w:val="24"/>
          <w:szCs w:val="24"/>
        </w:rPr>
        <w:t>5．招标文件的构成</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6"/>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95"/>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pPr>
        <w:pStyle w:val="95"/>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6"/>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6"/>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rPr>
      </w:pPr>
      <w:r>
        <w:rPr>
          <w:rFonts w:hint="eastAsia" w:hAnsi="宋体" w:cs="宋体"/>
          <w:b/>
          <w:color w:val="auto"/>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投标文件及投标人与采购有关的来往通知、函件和文件均应使用中文。</w:t>
      </w:r>
    </w:p>
    <w:p>
      <w:pPr>
        <w:pStyle w:val="36"/>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240" w:firstLineChars="100"/>
        <w:rPr>
          <w:rFonts w:ascii="宋体" w:hAnsi="宋体" w:cs="宋体"/>
          <w:b/>
          <w:bCs/>
          <w:color w:val="auto"/>
          <w:sz w:val="24"/>
        </w:rPr>
      </w:pPr>
      <w:r>
        <w:rPr>
          <w:rFonts w:hint="eastAsia" w:ascii="宋体" w:hAnsi="宋体" w:eastAsia="宋体" w:cs="宋体"/>
          <w:color w:val="auto"/>
          <w:sz w:val="24"/>
        </w:rPr>
        <w:t>▲</w:t>
      </w:r>
      <w:r>
        <w:rPr>
          <w:rFonts w:hint="eastAsia" w:ascii="宋体" w:hAnsi="宋体" w:cs="宋体"/>
          <w:b w:val="0"/>
          <w:bCs w:val="0"/>
          <w:color w:val="auto"/>
          <w:sz w:val="24"/>
        </w:rPr>
        <w:t>11.1.1符合参加政府采购活动应当具备的一般条件的承诺函；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b w:val="0"/>
          <w:bCs w:val="0"/>
          <w:sz w:val="24"/>
        </w:rPr>
        <w:t>1</w:t>
      </w:r>
      <w:r>
        <w:rPr>
          <w:rFonts w:ascii="宋体" w:hAnsi="宋体" w:cs="宋体"/>
          <w:b w:val="0"/>
          <w:bCs w:val="0"/>
          <w:sz w:val="24"/>
        </w:rPr>
        <w:t>1.1.</w:t>
      </w:r>
      <w:r>
        <w:rPr>
          <w:rFonts w:hint="eastAsia" w:ascii="宋体" w:hAnsi="宋体" w:cs="宋体"/>
          <w:b w:val="0"/>
          <w:bCs w:val="0"/>
          <w:sz w:val="24"/>
          <w:lang w:val="en-US" w:eastAsia="zh-CN"/>
        </w:rPr>
        <w:t>3</w:t>
      </w:r>
      <w:r>
        <w:rPr>
          <w:rFonts w:hint="eastAsia" w:ascii="宋体" w:hAnsi="宋体" w:cs="宋体"/>
          <w:b w:val="0"/>
          <w:bCs w:val="0"/>
          <w:color w:val="000000"/>
          <w:sz w:val="24"/>
          <w:szCs w:val="21"/>
        </w:rPr>
        <w:t xml:space="preserve">法人或者其他组织机构的营业执照（扫描件或复印件加盖公章）或事业法人登记证书或其他工商等登记证明材料； </w:t>
      </w:r>
    </w:p>
    <w:p>
      <w:pPr>
        <w:snapToGrid w:val="0"/>
        <w:spacing w:line="360" w:lineRule="auto"/>
        <w:ind w:firstLine="240" w:firstLineChars="100"/>
        <w:rPr>
          <w:rFonts w:hint="eastAsia" w:ascii="宋体" w:hAnsi="宋体" w:eastAsia="宋体" w:cs="宋体"/>
          <w:b/>
          <w:bCs/>
          <w:color w:val="auto"/>
          <w:sz w:val="24"/>
          <w:highlight w:val="none"/>
          <w:lang w:eastAsia="zh-CN"/>
        </w:rPr>
      </w:pPr>
      <w:r>
        <w:rPr>
          <w:rFonts w:hint="eastAsia" w:ascii="宋体" w:hAnsi="宋体" w:eastAsia="宋体" w:cs="宋体"/>
          <w:color w:val="auto"/>
          <w:sz w:val="24"/>
        </w:rPr>
        <w:t>▲</w:t>
      </w:r>
      <w:r>
        <w:rPr>
          <w:rFonts w:hint="eastAsia" w:ascii="宋体" w:hAnsi="宋体" w:cs="宋体"/>
          <w:b w:val="0"/>
          <w:bCs w:val="0"/>
          <w:color w:val="auto"/>
          <w:sz w:val="24"/>
        </w:rPr>
        <w:t>11.1.</w:t>
      </w:r>
      <w:r>
        <w:rPr>
          <w:rFonts w:hint="eastAsia" w:ascii="宋体" w:hAnsi="宋体" w:cs="宋体"/>
          <w:b w:val="0"/>
          <w:bCs w:val="0"/>
          <w:color w:val="auto"/>
          <w:sz w:val="24"/>
          <w:lang w:val="en-US" w:eastAsia="zh-CN"/>
        </w:rPr>
        <w:t>4</w:t>
      </w:r>
      <w:r>
        <w:rPr>
          <w:rFonts w:hint="eastAsia" w:ascii="宋体" w:hAnsi="宋体" w:cs="宋体"/>
          <w:b w:val="0"/>
          <w:bCs w:val="0"/>
          <w:color w:val="auto"/>
          <w:sz w:val="24"/>
        </w:rPr>
        <w:t>落实政府采购政策需满足的资格要求</w:t>
      </w:r>
      <w:r>
        <w:rPr>
          <w:rFonts w:hint="eastAsia" w:ascii="宋体" w:hAnsi="宋体" w:cs="宋体"/>
          <w:b w:val="0"/>
          <w:bCs w:val="0"/>
          <w:snapToGrid w:val="0"/>
          <w:color w:val="auto"/>
          <w:kern w:val="28"/>
          <w:sz w:val="24"/>
          <w:szCs w:val="20"/>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w:t>
      </w:r>
      <w:r>
        <w:rPr>
          <w:rFonts w:hint="eastAsia" w:ascii="宋体" w:hAnsi="宋体" w:cs="宋体"/>
          <w:b/>
          <w:bCs/>
          <w:color w:val="auto"/>
          <w:sz w:val="24"/>
          <w:highlight w:val="none"/>
          <w:lang w:eastAsia="zh-CN"/>
        </w:rPr>
        <w:t>小</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ascii="宋体" w:hAnsi="宋体" w:cs="宋体"/>
          <w:b/>
          <w:bCs/>
          <w:color w:val="auto"/>
          <w:sz w:val="24"/>
          <w:lang w:eastAsia="zh-CN"/>
        </w:rPr>
        <w:t>声</w:t>
      </w:r>
      <w:r>
        <w:rPr>
          <w:rFonts w:hint="eastAsia" w:ascii="宋体" w:hAnsi="宋体" w:eastAsia="宋体" w:cs="宋体"/>
          <w:b/>
          <w:bCs/>
          <w:color w:val="auto"/>
          <w:sz w:val="24"/>
          <w:lang w:eastAsia="zh-CN"/>
        </w:rPr>
        <w:t>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color w:val="auto"/>
          <w:sz w:val="24"/>
          <w:lang w:eastAsia="zh-CN"/>
        </w:rPr>
        <w:t>：无</w:t>
      </w:r>
      <w:r>
        <w:rPr>
          <w:rFonts w:hint="eastAsia" w:ascii="宋体" w:hAnsi="宋体" w:cs="宋体"/>
          <w:color w:val="auto"/>
          <w:sz w:val="24"/>
        </w:rPr>
        <w:t>。</w:t>
      </w:r>
    </w:p>
    <w:p>
      <w:pPr>
        <w:snapToGrid w:val="0"/>
        <w:spacing w:line="360" w:lineRule="auto"/>
        <w:ind w:firstLine="482" w:firstLineChars="200"/>
        <w:rPr>
          <w:rFonts w:hint="eastAsia" w:ascii="宋体" w:hAnsi="宋体" w:eastAsia="宋体" w:cs="宋体"/>
          <w:color w:val="auto"/>
          <w:sz w:val="24"/>
          <w:lang w:val="zh-CN" w:eastAsia="zh-CN"/>
        </w:rPr>
      </w:pPr>
      <w:r>
        <w:rPr>
          <w:rFonts w:hint="eastAsia" w:ascii="宋体" w:hAnsi="宋体" w:cs="宋体"/>
          <w:b/>
          <w:bCs/>
          <w:color w:val="auto"/>
          <w:sz w:val="24"/>
        </w:rPr>
        <w:t>注：上述资格条件审查材料未响应提供的，视为资格审查不通过。上述内容部分格式及内容详见“</w:t>
      </w:r>
      <w:r>
        <w:rPr>
          <w:rFonts w:hint="eastAsia" w:ascii="宋体" w:hAnsi="宋体" w:cs="宋体"/>
          <w:color w:val="auto"/>
          <w:sz w:val="24"/>
        </w:rPr>
        <w:t>第六部分  应提交的有关格式范例”。</w:t>
      </w:r>
      <w:r>
        <w:rPr>
          <w:rFonts w:hint="eastAsia" w:ascii="宋体" w:hAnsi="宋体" w:cs="宋体"/>
          <w:b/>
          <w:bCs/>
          <w:color w:val="auto"/>
          <w:sz w:val="24"/>
          <w:lang w:eastAsia="zh-CN"/>
        </w:rPr>
        <w:t>未提供格式的，根据需求及要求自行草拟。</w:t>
      </w:r>
    </w:p>
    <w:p>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ind w:firstLine="480" w:firstLineChars="2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11.2.1投标函；</w:t>
      </w:r>
      <w:r>
        <w:rPr>
          <w:rFonts w:hint="eastAsia" w:ascii="宋体" w:hAnsi="宋体" w:cs="宋体"/>
          <w:b w:val="0"/>
          <w:bCs w:val="0"/>
          <w:color w:val="auto"/>
          <w:sz w:val="24"/>
          <w:lang w:val="zh-CN"/>
        </w:rPr>
        <w:t xml:space="preserve"> </w:t>
      </w:r>
    </w:p>
    <w:p>
      <w:pPr>
        <w:snapToGrid w:val="0"/>
        <w:spacing w:line="360" w:lineRule="auto"/>
        <w:ind w:firstLine="480" w:firstLineChars="2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11.2.2授权委托书或法定代表人（单位负责人、自然人本人）身份证明；</w:t>
      </w:r>
    </w:p>
    <w:p>
      <w:pPr>
        <w:snapToGrid w:val="0"/>
        <w:spacing w:line="360" w:lineRule="auto"/>
        <w:ind w:firstLine="720" w:firstLineChars="3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w:t>
      </w:r>
      <w:r>
        <w:rPr>
          <w:rFonts w:ascii="宋体" w:hAnsi="宋体" w:cs="宋体"/>
          <w:b w:val="0"/>
          <w:bCs w:val="0"/>
          <w:color w:val="auto"/>
          <w:sz w:val="24"/>
        </w:rPr>
        <w:t>4</w:t>
      </w:r>
      <w:r>
        <w:rPr>
          <w:rFonts w:hint="eastAsia" w:ascii="宋体" w:hAnsi="宋体" w:cs="宋体"/>
          <w:b w:val="0"/>
          <w:bCs w:val="0"/>
          <w:color w:val="auto"/>
          <w:sz w:val="24"/>
        </w:rPr>
        <w:t>符合性审查资料；</w:t>
      </w:r>
    </w:p>
    <w:p>
      <w:pPr>
        <w:snapToGrid w:val="0"/>
        <w:spacing w:line="360" w:lineRule="auto"/>
        <w:ind w:firstLine="720" w:firstLineChars="300"/>
        <w:rPr>
          <w:rFonts w:ascii="宋体" w:hAnsi="宋体" w:cs="宋体"/>
          <w:b w:val="0"/>
          <w:bCs w:val="0"/>
          <w:color w:val="auto"/>
          <w:sz w:val="24"/>
          <w:szCs w:val="24"/>
        </w:rPr>
      </w:pPr>
      <w:r>
        <w:rPr>
          <w:rFonts w:hint="eastAsia" w:ascii="宋体" w:hAnsi="宋体" w:cs="宋体"/>
          <w:b w:val="0"/>
          <w:bCs w:val="0"/>
          <w:color w:val="auto"/>
          <w:sz w:val="24"/>
        </w:rPr>
        <w:t>11.2.</w:t>
      </w:r>
      <w:r>
        <w:rPr>
          <w:rFonts w:ascii="宋体" w:hAnsi="宋体" w:cs="宋体"/>
          <w:b w:val="0"/>
          <w:bCs w:val="0"/>
          <w:color w:val="auto"/>
          <w:sz w:val="24"/>
        </w:rPr>
        <w:t>5</w:t>
      </w:r>
      <w:r>
        <w:rPr>
          <w:rFonts w:hint="eastAsia" w:ascii="宋体" w:hAnsi="宋体" w:cs="宋体"/>
          <w:b w:val="0"/>
          <w:bCs w:val="0"/>
          <w:color w:val="auto"/>
          <w:sz w:val="24"/>
        </w:rPr>
        <w:t>评标标准相应的商务技术资料；</w:t>
      </w:r>
      <w:r>
        <w:rPr>
          <w:rFonts w:hint="eastAsia" w:ascii="宋体" w:hAnsi="宋体" w:cs="宋体"/>
          <w:b w:val="0"/>
          <w:bCs w:val="0"/>
          <w:color w:val="auto"/>
          <w:sz w:val="24"/>
          <w:szCs w:val="24"/>
        </w:rPr>
        <w:t>（按招标文件第四部分评标办法前附表中“投标文件中评标标准相应的商务技术资料目录”提供资料）</w:t>
      </w:r>
    </w:p>
    <w:p>
      <w:pPr>
        <w:snapToGrid w:val="0"/>
        <w:spacing w:line="360" w:lineRule="auto"/>
        <w:ind w:firstLine="480" w:firstLineChars="200"/>
        <w:rPr>
          <w:rFonts w:ascii="宋体" w:hAnsi="宋体" w:cs="宋体"/>
          <w:color w:val="auto"/>
          <w:sz w:val="24"/>
        </w:rPr>
      </w:pPr>
      <w:r>
        <w:rPr>
          <w:rFonts w:hint="eastAsia" w:ascii="宋体" w:hAnsi="宋体" w:eastAsia="宋体" w:cs="宋体"/>
          <w:color w:val="auto"/>
          <w:sz w:val="24"/>
        </w:rPr>
        <w:t>▲</w:t>
      </w: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480" w:firstLineChars="200"/>
        <w:rPr>
          <w:rFonts w:ascii="宋体" w:hAnsi="宋体" w:cs="宋体"/>
          <w:color w:val="auto"/>
          <w:sz w:val="24"/>
        </w:rPr>
      </w:pPr>
      <w:r>
        <w:rPr>
          <w:rFonts w:hint="eastAsia" w:ascii="宋体" w:hAnsi="宋体" w:eastAsia="宋体" w:cs="宋体"/>
          <w:color w:val="auto"/>
          <w:sz w:val="24"/>
        </w:rPr>
        <w:t>▲</w:t>
      </w: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480" w:firstLineChars="200"/>
        <w:rPr>
          <w:rFonts w:hint="eastAsia" w:ascii="宋体" w:hAnsi="宋体" w:cs="宋体"/>
          <w:color w:val="auto"/>
          <w:sz w:val="24"/>
          <w:lang w:val="zh-CN"/>
        </w:rPr>
      </w:pPr>
      <w:r>
        <w:rPr>
          <w:rFonts w:hint="eastAsia" w:ascii="宋体" w:hAnsi="宋体" w:eastAsia="宋体" w:cs="宋体"/>
          <w:color w:val="auto"/>
          <w:sz w:val="24"/>
        </w:rPr>
        <w:t>▲</w:t>
      </w:r>
      <w:r>
        <w:rPr>
          <w:rFonts w:hint="eastAsia" w:ascii="宋体" w:hAnsi="宋体" w:cs="宋体"/>
          <w:b w:val="0"/>
          <w:bCs w:val="0"/>
          <w:color w:val="auto"/>
          <w:sz w:val="24"/>
          <w:lang w:val="zh-CN"/>
        </w:rPr>
        <w:t>11.</w:t>
      </w:r>
      <w:r>
        <w:rPr>
          <w:rFonts w:hint="eastAsia" w:ascii="宋体" w:hAnsi="宋体" w:cs="宋体"/>
          <w:b w:val="0"/>
          <w:bCs w:val="0"/>
          <w:color w:val="auto"/>
          <w:sz w:val="24"/>
        </w:rPr>
        <w:t>2</w:t>
      </w:r>
      <w:r>
        <w:rPr>
          <w:rFonts w:hint="eastAsia" w:ascii="宋体" w:hAnsi="宋体" w:cs="宋体"/>
          <w:b w:val="0"/>
          <w:bCs w:val="0"/>
          <w:color w:val="auto"/>
          <w:sz w:val="24"/>
          <w:lang w:val="zh-CN"/>
        </w:rPr>
        <w:t>.</w:t>
      </w:r>
      <w:r>
        <w:rPr>
          <w:rFonts w:ascii="宋体" w:hAnsi="宋体" w:cs="宋体"/>
          <w:b w:val="0"/>
          <w:bCs w:val="0"/>
          <w:color w:val="auto"/>
          <w:sz w:val="24"/>
        </w:rPr>
        <w:t>8</w:t>
      </w:r>
      <w:r>
        <w:rPr>
          <w:rFonts w:hint="eastAsia" w:ascii="宋体" w:hAnsi="宋体" w:cs="宋体"/>
          <w:b w:val="0"/>
          <w:bCs w:val="0"/>
          <w:color w:val="auto"/>
          <w:sz w:val="24"/>
          <w:lang w:val="zh-CN"/>
        </w:rPr>
        <w:t>承诺书；</w:t>
      </w:r>
    </w:p>
    <w:p>
      <w:pPr>
        <w:snapToGrid w:val="0"/>
        <w:spacing w:line="360" w:lineRule="auto"/>
        <w:ind w:firstLine="480" w:firstLineChars="200"/>
        <w:rPr>
          <w:rFonts w:hint="eastAsia" w:ascii="宋体" w:hAnsi="宋体" w:cs="宋体"/>
          <w:color w:val="auto"/>
          <w:sz w:val="24"/>
          <w:lang w:val="zh-CN"/>
        </w:rPr>
      </w:pPr>
      <w:r>
        <w:rPr>
          <w:rFonts w:hint="eastAsia" w:ascii="宋体" w:hAnsi="宋体" w:eastAsia="宋体" w:cs="宋体"/>
          <w:color w:val="auto"/>
          <w:sz w:val="24"/>
        </w:rPr>
        <w:t>▲</w:t>
      </w:r>
      <w:r>
        <w:rPr>
          <w:rFonts w:hint="eastAsia" w:ascii="宋体" w:hAnsi="宋体" w:cs="宋体"/>
          <w:b w:val="0"/>
          <w:bCs w:val="0"/>
          <w:color w:val="auto"/>
          <w:sz w:val="24"/>
          <w:lang w:val="zh-CN"/>
        </w:rPr>
        <w:t>11.</w:t>
      </w:r>
      <w:r>
        <w:rPr>
          <w:rFonts w:hint="eastAsia" w:ascii="宋体" w:hAnsi="宋体" w:cs="宋体"/>
          <w:b w:val="0"/>
          <w:bCs w:val="0"/>
          <w:color w:val="auto"/>
          <w:sz w:val="24"/>
        </w:rPr>
        <w:t>2</w:t>
      </w:r>
      <w:r>
        <w:rPr>
          <w:rFonts w:hint="eastAsia" w:ascii="宋体" w:hAnsi="宋体" w:cs="宋体"/>
          <w:b w:val="0"/>
          <w:bCs w:val="0"/>
          <w:color w:val="auto"/>
          <w:sz w:val="24"/>
          <w:lang w:val="zh-CN"/>
        </w:rPr>
        <w:t>.</w:t>
      </w:r>
      <w:r>
        <w:rPr>
          <w:rFonts w:hint="eastAsia" w:ascii="宋体" w:hAnsi="宋体" w:cs="宋体"/>
          <w:b w:val="0"/>
          <w:bCs w:val="0"/>
          <w:color w:val="auto"/>
          <w:sz w:val="24"/>
          <w:lang w:val="en-US" w:eastAsia="zh-CN"/>
        </w:rPr>
        <w:t>9</w:t>
      </w:r>
      <w:r>
        <w:rPr>
          <w:rFonts w:hint="eastAsia" w:ascii="宋体" w:hAnsi="宋体" w:cs="宋体"/>
          <w:b w:val="0"/>
          <w:bCs w:val="0"/>
          <w:color w:val="auto"/>
          <w:sz w:val="24"/>
          <w:lang w:val="zh-CN"/>
        </w:rPr>
        <w:t>政府采购供应商廉洁自律承诺书；</w:t>
      </w:r>
    </w:p>
    <w:p>
      <w:pPr>
        <w:snapToGrid w:val="0"/>
        <w:spacing w:line="360" w:lineRule="auto"/>
        <w:ind w:firstLine="720" w:firstLineChars="300"/>
        <w:rPr>
          <w:color w:val="auto"/>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10</w:t>
      </w:r>
      <w:r>
        <w:rPr>
          <w:rFonts w:hint="eastAsia" w:ascii="宋体" w:hAnsi="宋体" w:cs="宋体"/>
          <w:b w:val="0"/>
          <w:bCs w:val="0"/>
          <w:color w:val="auto"/>
          <w:sz w:val="24"/>
        </w:rPr>
        <w:t>政府采购活动现场确认声明书</w:t>
      </w:r>
      <w:r>
        <w:rPr>
          <w:rFonts w:hint="eastAsia" w:ascii="宋体" w:hAnsi="宋体" w:cs="宋体"/>
          <w:b w:val="0"/>
          <w:bCs w:val="0"/>
          <w:color w:val="auto"/>
          <w:sz w:val="24"/>
          <w:lang w:eastAsia="zh-CN"/>
        </w:rPr>
        <w:t>。</w:t>
      </w:r>
    </w:p>
    <w:p>
      <w:pPr>
        <w:snapToGrid w:val="0"/>
        <w:spacing w:line="360" w:lineRule="auto"/>
        <w:ind w:firstLine="482" w:firstLineChars="200"/>
        <w:rPr>
          <w:rFonts w:hint="eastAsia" w:ascii="宋体" w:hAnsi="宋体" w:eastAsia="宋体" w:cs="宋体"/>
          <w:color w:val="auto"/>
          <w:sz w:val="24"/>
          <w:lang w:val="zh-CN" w:eastAsia="zh-CN"/>
        </w:rPr>
      </w:pPr>
      <w:r>
        <w:rPr>
          <w:rFonts w:hint="eastAsia" w:ascii="宋体" w:hAnsi="宋体" w:cs="宋体"/>
          <w:b/>
          <w:bCs/>
          <w:color w:val="auto"/>
          <w:sz w:val="24"/>
        </w:rPr>
        <w:t>注：上述内容部分格式及内容详见“第六部分  应提交的有关格式范例”。</w:t>
      </w:r>
      <w:r>
        <w:rPr>
          <w:rFonts w:hint="eastAsia" w:ascii="宋体" w:hAnsi="宋体" w:cs="宋体"/>
          <w:b/>
          <w:bCs/>
          <w:color w:val="auto"/>
          <w:sz w:val="24"/>
          <w:lang w:eastAsia="zh-CN"/>
        </w:rPr>
        <w:t>未提供格式的，根据需求及要求自行草拟。</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w:t>
      </w:r>
      <w:r>
        <w:rPr>
          <w:rFonts w:hint="eastAsia" w:ascii="宋体" w:hAnsi="宋体" w:cs="宋体"/>
          <w:color w:val="auto"/>
          <w:sz w:val="24"/>
        </w:rPr>
        <w:t>11.3.1开标一览表（报价表）；</w:t>
      </w:r>
      <w:r>
        <w:rPr>
          <w:rFonts w:hint="eastAsia" w:ascii="宋体" w:hAnsi="宋体" w:cs="宋体"/>
          <w:color w:val="auto"/>
          <w:sz w:val="24"/>
          <w:lang w:eastAsia="zh-CN"/>
        </w:rPr>
        <w:t>本项目填报综合单价，具体按实结算，报价不得超过最高限价。</w:t>
      </w:r>
    </w:p>
    <w:p>
      <w:pPr>
        <w:pStyle w:val="5"/>
        <w:adjustRightInd w:val="0"/>
        <w:snapToGrid w:val="0"/>
        <w:ind w:left="433" w:leftChars="202" w:hanging="9" w:hangingChars="4"/>
        <w:jc w:val="both"/>
        <w:rPr>
          <w:rFonts w:hint="eastAsia" w:ascii="宋体" w:hAnsi="宋体" w:cs="宋体"/>
          <w:b w:val="0"/>
          <w:bCs w:val="0"/>
          <w:snapToGrid w:val="0"/>
          <w:color w:val="auto"/>
          <w:kern w:val="28"/>
          <w:sz w:val="24"/>
          <w:szCs w:val="20"/>
          <w:lang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cs="宋体"/>
          <w:b w:val="0"/>
          <w:bCs w:val="0"/>
          <w:snapToGrid w:val="0"/>
          <w:color w:val="auto"/>
          <w:kern w:val="28"/>
          <w:sz w:val="24"/>
          <w:szCs w:val="20"/>
        </w:rPr>
        <w:t>（如果有)</w:t>
      </w:r>
      <w:r>
        <w:rPr>
          <w:rFonts w:hint="eastAsia" w:ascii="宋体" w:hAnsi="宋体" w:cs="宋体"/>
          <w:b w:val="0"/>
          <w:bCs w:val="0"/>
          <w:snapToGrid w:val="0"/>
          <w:color w:val="auto"/>
          <w:kern w:val="28"/>
          <w:sz w:val="24"/>
          <w:szCs w:val="20"/>
          <w:lang w:eastAsia="zh-CN"/>
        </w:rPr>
        <w:t>；</w:t>
      </w:r>
    </w:p>
    <w:p>
      <w:pPr>
        <w:pStyle w:val="5"/>
        <w:adjustRightInd w:val="0"/>
        <w:snapToGrid w:val="0"/>
        <w:ind w:left="433" w:leftChars="202" w:hanging="9" w:hangingChars="4"/>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w:t>
      </w:r>
      <w:r>
        <w:rPr>
          <w:rFonts w:hint="eastAsia" w:ascii="宋体" w:hAnsi="宋体" w:eastAsia="宋体" w:cs="宋体"/>
          <w:b/>
          <w:bCs/>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snapToGrid w:val="0"/>
          <w:color w:val="auto"/>
          <w:kern w:val="28"/>
          <w:sz w:val="24"/>
          <w:szCs w:val="20"/>
        </w:rPr>
        <w:t>如果有</w:t>
      </w:r>
      <w:r>
        <w:rPr>
          <w:rFonts w:hint="eastAsia" w:ascii="宋体" w:hAnsi="宋体" w:cs="宋体"/>
          <w:color w:val="auto"/>
          <w:sz w:val="24"/>
          <w:lang w:eastAsia="zh-CN"/>
        </w:rPr>
        <w:t>）</w:t>
      </w:r>
    </w:p>
    <w:p>
      <w:pPr>
        <w:snapToGrid w:val="0"/>
        <w:spacing w:line="360" w:lineRule="auto"/>
        <w:ind w:firstLine="723" w:firstLineChars="300"/>
        <w:rPr>
          <w:rFonts w:hint="eastAsia" w:ascii="宋体" w:hAnsi="宋体" w:cs="宋体"/>
          <w:b/>
          <w:color w:val="auto"/>
          <w:sz w:val="24"/>
        </w:rPr>
      </w:pPr>
      <w:r>
        <w:rPr>
          <w:rFonts w:hint="eastAsia" w:ascii="宋体" w:hAnsi="宋体" w:cs="宋体"/>
          <w:b/>
          <w:color w:val="auto"/>
          <w:sz w:val="24"/>
          <w:lang w:eastAsia="zh-CN"/>
        </w:rPr>
        <w:t>注：</w:t>
      </w:r>
      <w:r>
        <w:rPr>
          <w:rFonts w:hint="eastAsia" w:ascii="宋体" w:hAnsi="宋体" w:cs="宋体"/>
          <w:b/>
          <w:color w:val="auto"/>
          <w:sz w:val="24"/>
        </w:rPr>
        <w:t>投标文件含有采购人不能接受的附加条件的，投标无效；投标人提供虚假材料投标的，投标无效。</w:t>
      </w:r>
    </w:p>
    <w:p>
      <w:pPr>
        <w:snapToGrid w:val="0"/>
        <w:spacing w:line="360" w:lineRule="auto"/>
        <w:ind w:firstLine="723" w:firstLineChars="300"/>
        <w:rPr>
          <w:rFonts w:hint="eastAsia" w:ascii="宋体" w:hAnsi="宋体" w:cs="宋体"/>
          <w:b/>
          <w:bCs/>
          <w:color w:val="auto"/>
          <w:sz w:val="24"/>
          <w:lang w:eastAsia="zh-CN"/>
        </w:rPr>
      </w:pPr>
      <w:r>
        <w:rPr>
          <w:rFonts w:hint="eastAsia" w:ascii="宋体" w:hAnsi="宋体" w:cs="宋体"/>
          <w:b/>
          <w:bCs/>
          <w:color w:val="auto"/>
          <w:sz w:val="24"/>
        </w:rPr>
        <w:t>部分格式及内容详见“第六部分  应提交的有关格式范例”。</w:t>
      </w:r>
      <w:r>
        <w:rPr>
          <w:rFonts w:hint="eastAsia" w:ascii="宋体" w:hAnsi="宋体" w:cs="宋体"/>
          <w:b/>
          <w:bCs/>
          <w:color w:val="auto"/>
          <w:sz w:val="24"/>
          <w:lang w:eastAsia="zh-CN"/>
        </w:rPr>
        <w:t>未提供格式的，根据需求及要求自行草拟。</w:t>
      </w:r>
    </w:p>
    <w:p>
      <w:pPr>
        <w:pStyle w:val="2"/>
        <w:spacing w:line="360" w:lineRule="auto"/>
        <w:ind w:firstLine="480" w:firstLineChars="200"/>
        <w:rPr>
          <w:rFonts w:hint="eastAsia"/>
          <w:color w:val="auto"/>
          <w:lang w:val="zh-CN" w:eastAsia="zh-CN"/>
        </w:rPr>
      </w:pPr>
      <w:r>
        <w:rPr>
          <w:rFonts w:hint="eastAsia" w:ascii="宋体" w:hAnsi="宋体" w:eastAsia="宋体" w:cs="宋体"/>
          <w:color w:val="auto"/>
          <w:sz w:val="24"/>
          <w:szCs w:val="24"/>
          <w:shd w:val="clear" w:color="auto" w:fill="FFFFFF"/>
          <w:lang w:val="en-US" w:eastAsia="zh-CN"/>
        </w:rPr>
        <w:t>投标人应对投标文件中材料的真实性、合法性负责。</w:t>
      </w:r>
    </w:p>
    <w:p>
      <w:pPr>
        <w:pStyle w:val="95"/>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95"/>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95"/>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95"/>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95"/>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95"/>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5"/>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95"/>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Ansi="宋体" w:cs="宋体"/>
          <w:b/>
          <w:color w:val="auto"/>
          <w:sz w:val="24"/>
          <w:szCs w:val="24"/>
        </w:rPr>
      </w:pPr>
      <w:r>
        <w:rPr>
          <w:rFonts w:hint="eastAsia" w:hAnsi="宋体" w:cs="宋体"/>
          <w:b/>
          <w:color w:val="auto"/>
          <w:sz w:val="24"/>
          <w:szCs w:val="24"/>
        </w:rPr>
        <w:t>15.备份投标文件</w:t>
      </w:r>
    </w:p>
    <w:p>
      <w:pPr>
        <w:pStyle w:val="3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pPr>
        <w:pStyle w:val="36"/>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lang w:val="en-US" w:eastAsia="zh-CN"/>
        </w:rPr>
        <w:t>U</w:t>
      </w:r>
      <w:r>
        <w:rPr>
          <w:rFonts w:hint="eastAsia" w:hAnsi="宋体" w:cs="宋体"/>
          <w:color w:val="auto"/>
          <w:sz w:val="24"/>
        </w:rPr>
        <w:t>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95"/>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8"/>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95"/>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95"/>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95"/>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95"/>
        <w:spacing w:before="0"/>
        <w:ind w:firstLine="643"/>
        <w:rPr>
          <w:rFonts w:ascii="宋体" w:hAnsi="宋体" w:cs="宋体"/>
          <w:b/>
          <w:color w:val="auto"/>
          <w:sz w:val="32"/>
        </w:rPr>
      </w:pPr>
    </w:p>
    <w:p>
      <w:pPr>
        <w:pStyle w:val="95"/>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24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24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pPr>
        <w:pStyle w:val="24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numPr>
          <w:ilvl w:val="0"/>
          <w:numId w:val="2"/>
        </w:numPr>
        <w:spacing w:before="100" w:beforeAutospacing="1" w:after="240" w:line="360" w:lineRule="auto"/>
        <w:ind w:left="240" w:leftChars="0" w:firstLine="0" w:firstLineChars="0"/>
        <w:jc w:val="left"/>
        <w:rPr>
          <w:rFonts w:ascii="宋体" w:hAnsi="宋体" w:cs="宋体"/>
          <w:b/>
          <w:color w:val="auto"/>
          <w:sz w:val="24"/>
          <w:szCs w:val="20"/>
        </w:rPr>
      </w:pPr>
      <w:r>
        <w:rPr>
          <w:rFonts w:hint="eastAsia" w:ascii="宋体" w:hAnsi="宋体" w:cs="宋体"/>
          <w:b/>
          <w:color w:val="auto"/>
          <w:sz w:val="24"/>
          <w:szCs w:val="20"/>
        </w:rPr>
        <w:t>资格审查</w:t>
      </w:r>
    </w:p>
    <w:p>
      <w:pPr>
        <w:pStyle w:val="95"/>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采购人或采购机构依据法律法规和招标文件的规定，对投标人的资格进行审查。</w:t>
      </w:r>
    </w:p>
    <w:p>
      <w:pPr>
        <w:pStyle w:val="95"/>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9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pPr>
        <w:pStyle w:val="95"/>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pPr>
        <w:pStyle w:val="95"/>
        <w:adjustRightInd w:val="0"/>
        <w:snapToGrid w:val="0"/>
        <w:spacing w:before="0"/>
        <w:ind w:firstLine="480"/>
        <w:rPr>
          <w:rStyle w:val="81"/>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6</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95"/>
        <w:spacing w:before="0"/>
        <w:ind w:firstLine="480"/>
        <w:rPr>
          <w:rFonts w:hint="eastAsia" w:ascii="宋体" w:hAnsi="宋体" w:cs="宋体"/>
          <w:color w:val="auto"/>
        </w:rPr>
      </w:pPr>
    </w:p>
    <w:p>
      <w:pPr>
        <w:pStyle w:val="95"/>
        <w:numPr>
          <w:ilvl w:val="0"/>
          <w:numId w:val="3"/>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pPr>
        <w:pStyle w:val="9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pPr>
        <w:pStyle w:val="9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95"/>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95"/>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95"/>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8"/>
        <w:spacing w:line="360" w:lineRule="auto"/>
        <w:ind w:left="479" w:hanging="479" w:hangingChars="199"/>
        <w:rPr>
          <w:rFonts w:cs="宋体"/>
          <w:b/>
          <w:color w:val="auto"/>
        </w:rPr>
      </w:pPr>
      <w:r>
        <w:rPr>
          <w:rFonts w:hint="eastAsia" w:cs="宋体"/>
          <w:b/>
          <w:color w:val="auto"/>
        </w:rPr>
        <w:t>22. 确定中标供应商</w:t>
      </w:r>
    </w:p>
    <w:p>
      <w:pPr>
        <w:pStyle w:val="95"/>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rPr>
        <w:t>为提高政府采购效率，一般在收到评审报告当天确定中标或者成交供应商。中标、成交通知书和中标、成交结果公告应当在规定时间内同时发出。</w:t>
      </w:r>
    </w:p>
    <w:p>
      <w:pPr>
        <w:pStyle w:val="95"/>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8"/>
        <w:spacing w:line="360" w:lineRule="auto"/>
        <w:ind w:left="479" w:hanging="479" w:hangingChars="199"/>
        <w:rPr>
          <w:rFonts w:hint="eastAsia" w:cs="宋体"/>
          <w:color w:val="auto"/>
        </w:rPr>
      </w:pPr>
      <w:r>
        <w:rPr>
          <w:rFonts w:hint="eastAsia" w:cs="宋体"/>
          <w:b/>
          <w:color w:val="auto"/>
        </w:rPr>
        <w:t xml:space="preserve">24. </w:t>
      </w:r>
      <w:r>
        <w:rPr>
          <w:rFonts w:hint="eastAsia" w:cs="宋体"/>
          <w:color w:val="auto"/>
        </w:rPr>
        <w:t>合同主要条款详见第五部分拟签订的合同文本。</w:t>
      </w:r>
    </w:p>
    <w:p>
      <w:pPr>
        <w:pStyle w:val="95"/>
        <w:adjustRightInd w:val="0"/>
        <w:snapToGrid w:val="0"/>
        <w:spacing w:before="0"/>
        <w:rPr>
          <w:rStyle w:val="81"/>
          <w:color w:val="auto"/>
        </w:rPr>
      </w:pP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28"/>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5"/>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95"/>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95"/>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8"/>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5"/>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95"/>
        <w:snapToGrid w:val="0"/>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bCs/>
          <w:color w:val="auto"/>
          <w:szCs w:val="24"/>
        </w:rPr>
        <w:t xml:space="preserve">7. </w:t>
      </w:r>
      <w:r>
        <w:rPr>
          <w:rFonts w:hint="eastAsia" w:ascii="宋体" w:hAnsi="宋体" w:cs="宋体"/>
          <w:b/>
          <w:color w:val="auto"/>
          <w:szCs w:val="24"/>
        </w:rPr>
        <w:t>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pPr>
        <w:pStyle w:val="95"/>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pPr>
        <w:pStyle w:val="95"/>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pPr>
        <w:pStyle w:val="95"/>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pPr>
        <w:pStyle w:val="95"/>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pPr>
        <w:pStyle w:val="95"/>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pPr>
        <w:pStyle w:val="95"/>
        <w:snapToGrid w:val="0"/>
        <w:ind w:firstLine="0"/>
        <w:rPr>
          <w:rFonts w:ascii="宋体" w:hAnsi="宋体" w:cs="宋体"/>
          <w:color w:val="auto"/>
          <w:sz w:val="24"/>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8"/>
        <w:spacing w:line="360" w:lineRule="auto"/>
        <w:ind w:firstLine="0" w:firstLineChars="0"/>
        <w:rPr>
          <w:rFonts w:cs="宋体"/>
          <w:b/>
          <w:color w:val="auto"/>
        </w:rPr>
      </w:pPr>
      <w:r>
        <w:rPr>
          <w:rFonts w:hint="eastAsia" w:cs="宋体"/>
          <w:b/>
          <w:color w:val="auto"/>
        </w:rPr>
        <w:t>29.验收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cs="宋体"/>
          <w:color w:val="auto"/>
          <w:kern w:val="0"/>
          <w:sz w:val="24"/>
        </w:rPr>
        <w:t>29.2采购人可以邀请参加本项目的其他投标人或者第三方机构参与验收。参与验收的</w:t>
      </w:r>
      <w:r>
        <w:rPr>
          <w:rFonts w:hint="eastAsia" w:ascii="宋体" w:hAnsi="宋体" w:eastAsia="宋体" w:cs="宋体"/>
          <w:color w:val="auto"/>
          <w:kern w:val="0"/>
          <w:sz w:val="24"/>
          <w:szCs w:val="24"/>
        </w:rPr>
        <w:t>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adjustRightInd w:val="0"/>
        <w:snapToGrid w:val="0"/>
        <w:ind w:left="0" w:firstLine="480" w:firstLineChars="200"/>
        <w:jc w:val="left"/>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5"/>
        <w:rPr>
          <w:rFonts w:hint="eastAsia" w:ascii="宋体" w:hAnsi="宋体" w:eastAsia="宋体" w:cs="宋体"/>
          <w:color w:val="auto"/>
          <w:sz w:val="24"/>
          <w:szCs w:val="24"/>
        </w:rPr>
      </w:pPr>
    </w:p>
    <w:p>
      <w:pPr>
        <w:tabs>
          <w:tab w:val="left" w:pos="0"/>
        </w:tabs>
        <w:spacing w:line="360" w:lineRule="auto"/>
        <w:ind w:firstLine="480"/>
        <w:rPr>
          <w:rFonts w:hint="eastAsia" w:ascii="宋体" w:hAnsi="宋体" w:eastAsia="宋体" w:cs="宋体"/>
          <w:color w:val="auto"/>
          <w:kern w:val="0"/>
          <w:sz w:val="24"/>
          <w:szCs w:val="24"/>
        </w:rPr>
        <w:sectPr>
          <w:headerReference r:id="rId4" w:type="first"/>
          <w:footerReference r:id="rId7" w:type="first"/>
          <w:headerReference r:id="rId3" w:type="default"/>
          <w:footerReference r:id="rId5" w:type="default"/>
          <w:footerReference r:id="rId6" w:type="even"/>
          <w:pgSz w:w="11906" w:h="16838"/>
          <w:pgMar w:top="1247" w:right="1474" w:bottom="1247" w:left="1418" w:header="851" w:footer="992" w:gutter="0"/>
          <w:cols w:space="720" w:num="1"/>
          <w:titlePg/>
          <w:docGrid w:linePitch="312" w:charSpace="0"/>
        </w:sectPr>
      </w:pPr>
    </w:p>
    <w:bookmarkEnd w:id="12"/>
    <w:bookmarkEnd w:id="13"/>
    <w:p>
      <w:pPr>
        <w:spacing w:line="360" w:lineRule="auto"/>
        <w:jc w:val="center"/>
        <w:outlineLvl w:val="0"/>
        <w:rPr>
          <w:rFonts w:hint="eastAsia" w:ascii="宋体" w:hAnsi="宋体" w:eastAsia="宋体" w:cs="宋体"/>
          <w:b/>
          <w:color w:val="auto"/>
          <w:sz w:val="36"/>
          <w:szCs w:val="36"/>
          <w:highlight w:val="none"/>
        </w:rPr>
      </w:pPr>
      <w:bookmarkStart w:id="14" w:name="第四部分"/>
      <w:r>
        <w:rPr>
          <w:rFonts w:hint="eastAsia" w:ascii="宋体" w:hAnsi="宋体" w:eastAsia="宋体" w:cs="宋体"/>
          <w:b/>
          <w:color w:val="auto"/>
          <w:sz w:val="36"/>
          <w:szCs w:val="36"/>
          <w:highlight w:val="none"/>
        </w:rPr>
        <w:t>第三部分   采购需求</w:t>
      </w:r>
    </w:p>
    <w:p>
      <w:pPr>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bCs/>
          <w:i w:val="0"/>
          <w:iCs w:val="0"/>
          <w:caps w:val="0"/>
          <w:color w:val="000000"/>
          <w:spacing w:val="0"/>
          <w:sz w:val="24"/>
          <w:szCs w:val="24"/>
        </w:rPr>
      </w:pPr>
      <w:r>
        <w:rPr>
          <w:rFonts w:hint="eastAsia" w:asciiTheme="majorEastAsia" w:hAnsiTheme="majorEastAsia" w:eastAsiaTheme="majorEastAsia" w:cstheme="majorEastAsia"/>
          <w:b/>
          <w:bCs/>
          <w:i w:val="0"/>
          <w:iCs w:val="0"/>
          <w:caps w:val="0"/>
          <w:color w:val="000000"/>
          <w:spacing w:val="0"/>
          <w:sz w:val="24"/>
          <w:szCs w:val="24"/>
          <w:lang w:val="en-US" w:eastAsia="zh-CN"/>
        </w:rPr>
        <w:t>一、</w:t>
      </w:r>
      <w:r>
        <w:rPr>
          <w:rFonts w:hint="eastAsia" w:asciiTheme="majorEastAsia" w:hAnsiTheme="majorEastAsia" w:eastAsiaTheme="majorEastAsia" w:cstheme="majorEastAsia"/>
          <w:b/>
          <w:bCs/>
          <w:i w:val="0"/>
          <w:iCs w:val="0"/>
          <w:caps w:val="0"/>
          <w:color w:val="000000"/>
          <w:spacing w:val="0"/>
          <w:sz w:val="24"/>
          <w:szCs w:val="24"/>
        </w:rPr>
        <w:t>项目概况</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heme="majorEastAsia" w:hAnsiTheme="majorEastAsia" w:eastAsiaTheme="majorEastAsia" w:cstheme="majorEastAsia"/>
          <w:i w:val="0"/>
          <w:iCs w:val="0"/>
          <w:caps w:val="0"/>
          <w:color w:val="000000"/>
          <w:spacing w:val="0"/>
          <w:sz w:val="24"/>
          <w:szCs w:val="24"/>
          <w:lang w:val="en-US"/>
        </w:rPr>
      </w:pPr>
      <w:r>
        <w:rPr>
          <w:rFonts w:hint="eastAsia" w:asciiTheme="majorEastAsia" w:hAnsiTheme="majorEastAsia" w:eastAsiaTheme="majorEastAsia" w:cstheme="majorEastAsia"/>
          <w:i w:val="0"/>
          <w:iCs w:val="0"/>
          <w:caps w:val="0"/>
          <w:color w:val="000000"/>
          <w:spacing w:val="0"/>
          <w:sz w:val="24"/>
          <w:szCs w:val="24"/>
          <w:lang w:val="en-US" w:eastAsia="zh-CN"/>
        </w:rPr>
        <w:t>1、</w:t>
      </w:r>
      <w:r>
        <w:rPr>
          <w:rFonts w:hint="eastAsia" w:asciiTheme="majorEastAsia" w:hAnsiTheme="majorEastAsia" w:eastAsiaTheme="majorEastAsia" w:cstheme="majorEastAsia"/>
          <w:i w:val="0"/>
          <w:iCs w:val="0"/>
          <w:caps w:val="0"/>
          <w:color w:val="000000"/>
          <w:spacing w:val="0"/>
          <w:sz w:val="24"/>
          <w:szCs w:val="24"/>
        </w:rPr>
        <w:t>临平区犬只收容管理服务项目，服务范围：</w:t>
      </w:r>
      <w:r>
        <w:rPr>
          <w:rFonts w:hint="eastAsia" w:asciiTheme="majorEastAsia" w:hAnsiTheme="majorEastAsia" w:eastAsiaTheme="majorEastAsia" w:cstheme="majorEastAsia"/>
          <w:i w:val="0"/>
          <w:iCs w:val="0"/>
          <w:caps w:val="0"/>
          <w:color w:val="000000"/>
          <w:spacing w:val="0"/>
          <w:sz w:val="24"/>
          <w:szCs w:val="24"/>
          <w:lang w:val="en-US" w:eastAsia="zh-CN"/>
        </w:rPr>
        <w:t>全区范围内，</w:t>
      </w:r>
      <w:r>
        <w:rPr>
          <w:rFonts w:hint="eastAsia" w:asciiTheme="majorEastAsia" w:hAnsiTheme="majorEastAsia" w:eastAsiaTheme="majorEastAsia" w:cstheme="majorEastAsia"/>
          <w:i w:val="0"/>
          <w:iCs w:val="0"/>
          <w:caps w:val="0"/>
          <w:color w:val="000000"/>
          <w:spacing w:val="0"/>
          <w:sz w:val="24"/>
          <w:szCs w:val="24"/>
        </w:rPr>
        <w:t>服务期为2年，每年预算价</w:t>
      </w:r>
      <w:r>
        <w:rPr>
          <w:rFonts w:hint="eastAsia" w:asciiTheme="majorEastAsia" w:hAnsiTheme="majorEastAsia" w:eastAsiaTheme="majorEastAsia" w:cstheme="majorEastAsia"/>
          <w:i w:val="0"/>
          <w:iCs w:val="0"/>
          <w:caps w:val="0"/>
          <w:color w:val="000000"/>
          <w:spacing w:val="0"/>
          <w:sz w:val="24"/>
          <w:szCs w:val="24"/>
          <w:lang w:val="en-US" w:eastAsia="zh-CN"/>
        </w:rPr>
        <w:t>最高限价</w:t>
      </w:r>
      <w:r>
        <w:rPr>
          <w:rFonts w:hint="eastAsia" w:asciiTheme="majorEastAsia" w:hAnsiTheme="majorEastAsia" w:eastAsiaTheme="majorEastAsia" w:cstheme="majorEastAsia"/>
          <w:i w:val="0"/>
          <w:iCs w:val="0"/>
          <w:caps w:val="0"/>
          <w:color w:val="000000"/>
          <w:spacing w:val="0"/>
          <w:sz w:val="24"/>
          <w:szCs w:val="24"/>
        </w:rPr>
        <w:t>为60万元</w:t>
      </w:r>
      <w:r>
        <w:rPr>
          <w:rFonts w:hint="eastAsia" w:asciiTheme="majorEastAsia" w:hAnsiTheme="majorEastAsia" w:eastAsiaTheme="majorEastAsia" w:cstheme="majorEastAsia"/>
          <w:i w:val="0"/>
          <w:iCs w:val="0"/>
          <w:caps w:val="0"/>
          <w:color w:val="000000"/>
          <w:spacing w:val="0"/>
          <w:sz w:val="24"/>
          <w:szCs w:val="24"/>
          <w:lang w:eastAsia="zh-CN"/>
        </w:rPr>
        <w:t>，</w:t>
      </w:r>
      <w:r>
        <w:rPr>
          <w:rFonts w:hint="eastAsia" w:asciiTheme="majorEastAsia" w:hAnsiTheme="majorEastAsia" w:eastAsiaTheme="majorEastAsia" w:cstheme="majorEastAsia"/>
          <w:i w:val="0"/>
          <w:iCs w:val="0"/>
          <w:caps w:val="0"/>
          <w:color w:val="000000"/>
          <w:spacing w:val="0"/>
          <w:sz w:val="24"/>
          <w:szCs w:val="24"/>
          <w:lang w:val="en-US" w:eastAsia="zh-CN"/>
        </w:rPr>
        <w:t>本项目二年预算最高限价为120万元</w:t>
      </w:r>
      <w:r>
        <w:rPr>
          <w:rFonts w:hint="eastAsia" w:asciiTheme="majorEastAsia" w:hAnsiTheme="majorEastAsia" w:eastAsiaTheme="majorEastAsia" w:cstheme="majorEastAsia"/>
          <w:i w:val="0"/>
          <w:iCs w:val="0"/>
          <w:caps w:val="0"/>
          <w:color w:val="000000"/>
          <w:spacing w:val="0"/>
          <w:sz w:val="24"/>
          <w:szCs w:val="24"/>
        </w:rPr>
        <w:t>。</w:t>
      </w:r>
    </w:p>
    <w:p>
      <w:pPr>
        <w:snapToGrid w:val="0"/>
        <w:spacing w:line="360" w:lineRule="auto"/>
        <w:ind w:firstLine="482" w:firstLineChars="200"/>
        <w:jc w:val="left"/>
        <w:rPr>
          <w:rFonts w:hint="default" w:asciiTheme="majorEastAsia" w:hAnsiTheme="majorEastAsia" w:eastAsiaTheme="majorEastAsia" w:cstheme="majorEastAsia"/>
          <w:b/>
          <w:bCs/>
          <w:i w:val="0"/>
          <w:iCs w:val="0"/>
          <w:caps w:val="0"/>
          <w:color w:val="000000"/>
          <w:spacing w:val="0"/>
          <w:sz w:val="24"/>
          <w:szCs w:val="24"/>
          <w:lang w:val="en-US" w:eastAsia="zh-CN"/>
        </w:rPr>
      </w:pPr>
      <w:r>
        <w:rPr>
          <w:rFonts w:hint="eastAsia" w:ascii="宋体" w:hAnsi="宋体" w:eastAsia="宋体" w:cs="宋体"/>
          <w:b/>
          <w:bCs w:val="0"/>
          <w:color w:val="auto"/>
          <w:kern w:val="0"/>
          <w:sz w:val="24"/>
          <w:lang w:val="en-US" w:eastAsia="zh-CN"/>
        </w:rPr>
        <w:t>▲2、</w:t>
      </w:r>
      <w:r>
        <w:rPr>
          <w:rFonts w:hint="eastAsia" w:ascii="宋体" w:hAnsi="宋体" w:cs="宋体"/>
          <w:b/>
          <w:bCs w:val="0"/>
          <w:color w:val="auto"/>
          <w:kern w:val="0"/>
          <w:sz w:val="24"/>
          <w:lang w:val="en-US" w:eastAsia="zh-CN"/>
        </w:rPr>
        <w:t>本项目综合单价限价：</w:t>
      </w:r>
      <w:r>
        <w:rPr>
          <w:rFonts w:hint="eastAsia" w:ascii="宋体" w:hAnsi="宋体" w:cs="宋体"/>
          <w:b/>
          <w:bCs/>
          <w:kern w:val="0"/>
          <w:sz w:val="24"/>
          <w:lang w:val="en-US" w:eastAsia="zh-CN"/>
        </w:rPr>
        <w:t>犬只收养45元/只/天；犬只无害化处置140元/只；犬只体检洗澡及疫苗注射95元/只。</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382" w:leftChars="182" w:firstLine="0" w:firstLineChars="0"/>
        <w:textAlignment w:val="auto"/>
        <w:rPr>
          <w:rFonts w:hint="eastAsia" w:asciiTheme="majorEastAsia" w:hAnsiTheme="majorEastAsia" w:eastAsiaTheme="majorEastAsia" w:cstheme="majorEastAsia"/>
          <w:b/>
          <w:bCs/>
          <w:i w:val="0"/>
          <w:iCs w:val="0"/>
          <w:caps w:val="0"/>
          <w:color w:val="000000"/>
          <w:spacing w:val="0"/>
          <w:sz w:val="24"/>
          <w:szCs w:val="24"/>
          <w:lang w:val="en-US" w:eastAsia="zh-CN"/>
        </w:rPr>
      </w:pPr>
      <w:r>
        <w:rPr>
          <w:rFonts w:hint="eastAsia" w:asciiTheme="majorEastAsia" w:hAnsiTheme="majorEastAsia" w:eastAsiaTheme="majorEastAsia" w:cstheme="majorEastAsia"/>
          <w:b/>
          <w:bCs/>
          <w:i w:val="0"/>
          <w:iCs w:val="0"/>
          <w:caps w:val="0"/>
          <w:color w:val="000000"/>
          <w:spacing w:val="0"/>
          <w:sz w:val="24"/>
          <w:szCs w:val="24"/>
          <w:lang w:val="en-US" w:eastAsia="zh-CN"/>
        </w:rPr>
        <w:t>二、服务</w:t>
      </w:r>
      <w:r>
        <w:rPr>
          <w:rFonts w:hint="eastAsia" w:asciiTheme="majorEastAsia" w:hAnsiTheme="majorEastAsia" w:eastAsiaTheme="majorEastAsia" w:cstheme="majorEastAsia"/>
          <w:b/>
          <w:bCs/>
          <w:i w:val="0"/>
          <w:iCs w:val="0"/>
          <w:caps w:val="0"/>
          <w:color w:val="000000"/>
          <w:spacing w:val="0"/>
          <w:sz w:val="24"/>
          <w:szCs w:val="24"/>
        </w:rPr>
        <w:t>内容要</w:t>
      </w:r>
      <w:r>
        <w:rPr>
          <w:rFonts w:hint="eastAsia" w:asciiTheme="majorEastAsia" w:hAnsiTheme="majorEastAsia" w:eastAsiaTheme="majorEastAsia" w:cstheme="majorEastAsia"/>
          <w:b/>
          <w:bCs/>
          <w:i w:val="0"/>
          <w:iCs w:val="0"/>
          <w:caps w:val="0"/>
          <w:color w:val="000000"/>
          <w:spacing w:val="0"/>
          <w:sz w:val="24"/>
          <w:szCs w:val="24"/>
          <w:lang w:val="en-US" w:eastAsia="zh-CN"/>
        </w:rPr>
        <w:t>求</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i w:val="0"/>
          <w:iCs w:val="0"/>
          <w:caps w:val="0"/>
          <w:color w:val="000000"/>
          <w:spacing w:val="0"/>
          <w:sz w:val="24"/>
          <w:szCs w:val="24"/>
          <w:highlight w:val="none"/>
        </w:rPr>
      </w:pPr>
      <w:r>
        <w:rPr>
          <w:rFonts w:hint="eastAsia" w:ascii="宋体" w:hAnsi="宋体" w:eastAsia="宋体" w:cs="宋体"/>
          <w:b/>
          <w:bCs w:val="0"/>
          <w:color w:val="auto"/>
          <w:kern w:val="0"/>
          <w:sz w:val="24"/>
          <w:highlight w:val="none"/>
          <w:lang w:val="en-US" w:eastAsia="zh-CN"/>
        </w:rPr>
        <w:t>▲</w:t>
      </w:r>
      <w:r>
        <w:rPr>
          <w:rFonts w:hint="eastAsia" w:asciiTheme="majorEastAsia" w:hAnsiTheme="majorEastAsia" w:eastAsiaTheme="majorEastAsia" w:cstheme="majorEastAsia"/>
          <w:i w:val="0"/>
          <w:iCs w:val="0"/>
          <w:caps w:val="0"/>
          <w:color w:val="000000"/>
          <w:spacing w:val="0"/>
          <w:sz w:val="24"/>
          <w:szCs w:val="24"/>
          <w:highlight w:val="none"/>
          <w:lang w:val="en-US" w:eastAsia="zh-CN"/>
        </w:rPr>
        <w:t>1、场地、</w:t>
      </w:r>
      <w:r>
        <w:rPr>
          <w:rFonts w:hint="eastAsia" w:asciiTheme="majorEastAsia" w:hAnsiTheme="majorEastAsia" w:eastAsiaTheme="majorEastAsia" w:cstheme="majorEastAsia"/>
          <w:i w:val="0"/>
          <w:iCs w:val="0"/>
          <w:caps w:val="0"/>
          <w:color w:val="000000"/>
          <w:spacing w:val="0"/>
          <w:sz w:val="24"/>
          <w:szCs w:val="24"/>
          <w:highlight w:val="none"/>
        </w:rPr>
        <w:t>车辆、设备、人员要求：</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lang w:val="en-US" w:eastAsia="zh-CN"/>
        </w:rPr>
        <w:t>1.1</w:t>
      </w:r>
      <w:r>
        <w:rPr>
          <w:rFonts w:hint="eastAsia" w:asciiTheme="majorEastAsia" w:hAnsiTheme="majorEastAsia" w:eastAsiaTheme="majorEastAsia" w:cstheme="majorEastAsia"/>
          <w:i w:val="0"/>
          <w:iCs w:val="0"/>
          <w:caps w:val="0"/>
          <w:color w:val="000000"/>
          <w:spacing w:val="0"/>
          <w:sz w:val="24"/>
          <w:szCs w:val="24"/>
        </w:rPr>
        <w:t>收容场所配备与项目规模相适应的场地、车辆和人员</w:t>
      </w:r>
      <w:r>
        <w:rPr>
          <w:rFonts w:hint="eastAsia" w:asciiTheme="majorEastAsia" w:hAnsiTheme="majorEastAsia" w:eastAsiaTheme="majorEastAsia" w:cstheme="majorEastAsia"/>
          <w:i w:val="0"/>
          <w:iCs w:val="0"/>
          <w:caps w:val="0"/>
          <w:color w:val="000000"/>
          <w:spacing w:val="0"/>
          <w:sz w:val="24"/>
          <w:szCs w:val="24"/>
          <w:lang w:eastAsia="zh-CN"/>
        </w:rPr>
        <w:t>，</w:t>
      </w:r>
      <w:r>
        <w:rPr>
          <w:rFonts w:hint="eastAsia" w:asciiTheme="majorEastAsia" w:hAnsiTheme="majorEastAsia" w:eastAsiaTheme="majorEastAsia" w:cstheme="majorEastAsia"/>
          <w:i w:val="0"/>
          <w:iCs w:val="0"/>
          <w:caps w:val="0"/>
          <w:color w:val="000000"/>
          <w:spacing w:val="0"/>
          <w:sz w:val="24"/>
          <w:szCs w:val="24"/>
        </w:rPr>
        <w:t>投标人配备的收容场所要求远离居民区</w:t>
      </w:r>
      <w:r>
        <w:rPr>
          <w:rFonts w:hint="eastAsia" w:asciiTheme="majorEastAsia" w:hAnsiTheme="majorEastAsia" w:eastAsiaTheme="majorEastAsia" w:cstheme="majorEastAsia"/>
          <w:i w:val="0"/>
          <w:iCs w:val="0"/>
          <w:caps w:val="0"/>
          <w:color w:val="000000"/>
          <w:spacing w:val="0"/>
          <w:sz w:val="24"/>
          <w:szCs w:val="24"/>
          <w:lang w:val="en-US" w:eastAsia="zh-CN"/>
        </w:rPr>
        <w:t>不小于1公里</w:t>
      </w:r>
      <w:r>
        <w:rPr>
          <w:rFonts w:hint="eastAsia" w:asciiTheme="majorEastAsia" w:hAnsiTheme="majorEastAsia" w:eastAsiaTheme="majorEastAsia" w:cstheme="majorEastAsia"/>
          <w:i w:val="0"/>
          <w:iCs w:val="0"/>
          <w:caps w:val="0"/>
          <w:color w:val="000000"/>
          <w:spacing w:val="0"/>
          <w:sz w:val="24"/>
          <w:szCs w:val="24"/>
        </w:rPr>
        <w:t>且不</w:t>
      </w:r>
      <w:r>
        <w:rPr>
          <w:rFonts w:hint="eastAsia" w:asciiTheme="majorEastAsia" w:hAnsiTheme="majorEastAsia" w:eastAsiaTheme="majorEastAsia" w:cstheme="majorEastAsia"/>
          <w:i w:val="0"/>
          <w:iCs w:val="0"/>
          <w:caps w:val="0"/>
          <w:color w:val="000000"/>
          <w:spacing w:val="0"/>
          <w:sz w:val="24"/>
          <w:szCs w:val="24"/>
          <w:lang w:val="en-US" w:eastAsia="zh-CN"/>
        </w:rPr>
        <w:t>少</w:t>
      </w:r>
      <w:r>
        <w:rPr>
          <w:rFonts w:hint="eastAsia" w:asciiTheme="majorEastAsia" w:hAnsiTheme="majorEastAsia" w:eastAsiaTheme="majorEastAsia" w:cstheme="majorEastAsia"/>
          <w:i w:val="0"/>
          <w:iCs w:val="0"/>
          <w:caps w:val="0"/>
          <w:color w:val="000000"/>
          <w:spacing w:val="0"/>
          <w:sz w:val="24"/>
          <w:szCs w:val="24"/>
        </w:rPr>
        <w:t>于300平方米</w:t>
      </w:r>
      <w:r>
        <w:rPr>
          <w:rFonts w:hint="eastAsia" w:asciiTheme="majorEastAsia" w:hAnsiTheme="majorEastAsia" w:eastAsiaTheme="majorEastAsia" w:cstheme="majorEastAsia"/>
          <w:i w:val="0"/>
          <w:iCs w:val="0"/>
          <w:caps w:val="0"/>
          <w:color w:val="000000"/>
          <w:spacing w:val="0"/>
          <w:sz w:val="24"/>
          <w:szCs w:val="24"/>
          <w:lang w:eastAsia="zh-CN"/>
        </w:rPr>
        <w:t>，</w:t>
      </w:r>
      <w:r>
        <w:rPr>
          <w:rFonts w:hint="eastAsia" w:asciiTheme="majorEastAsia" w:hAnsiTheme="majorEastAsia" w:eastAsiaTheme="majorEastAsia" w:cstheme="majorEastAsia"/>
          <w:i w:val="0"/>
          <w:iCs w:val="0"/>
          <w:caps w:val="0"/>
          <w:color w:val="000000"/>
          <w:spacing w:val="0"/>
          <w:sz w:val="24"/>
          <w:szCs w:val="24"/>
        </w:rPr>
        <w:t>具有100-150只收容量，能够提供犬只体检、寄养、领养、无害化处置等服务项目的犬只收容服务。</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lang w:val="en-US" w:eastAsia="zh-CN"/>
        </w:rPr>
        <w:t>1.2</w:t>
      </w:r>
      <w:r>
        <w:rPr>
          <w:rFonts w:hint="eastAsia" w:asciiTheme="majorEastAsia" w:hAnsiTheme="majorEastAsia" w:eastAsiaTheme="majorEastAsia" w:cstheme="majorEastAsia"/>
          <w:i w:val="0"/>
          <w:iCs w:val="0"/>
          <w:caps w:val="0"/>
          <w:color w:val="000000"/>
          <w:spacing w:val="0"/>
          <w:sz w:val="24"/>
          <w:szCs w:val="24"/>
        </w:rPr>
        <w:t>具备犬只收容要求的接驳车辆不少于1辆</w:t>
      </w:r>
      <w:r>
        <w:rPr>
          <w:rFonts w:hint="eastAsia" w:asciiTheme="majorEastAsia" w:hAnsiTheme="majorEastAsia" w:eastAsiaTheme="majorEastAsia" w:cstheme="majorEastAsia"/>
          <w:i w:val="0"/>
          <w:iCs w:val="0"/>
          <w:caps w:val="0"/>
          <w:color w:val="000000"/>
          <w:spacing w:val="0"/>
          <w:sz w:val="24"/>
          <w:szCs w:val="24"/>
          <w:lang w:eastAsia="zh-CN"/>
        </w:rPr>
        <w:t>，</w:t>
      </w:r>
      <w:r>
        <w:rPr>
          <w:rFonts w:hint="eastAsia" w:asciiTheme="majorEastAsia" w:hAnsiTheme="majorEastAsia" w:eastAsiaTheme="majorEastAsia" w:cstheme="majorEastAsia"/>
          <w:i w:val="0"/>
          <w:iCs w:val="0"/>
          <w:caps w:val="0"/>
          <w:color w:val="000000"/>
          <w:spacing w:val="0"/>
          <w:sz w:val="24"/>
          <w:szCs w:val="24"/>
        </w:rPr>
        <w:t>所有车辆应配备符合相应要求的驾驶人员（持有有效驾驶证）。</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color w:val="000000"/>
          <w:spacing w:val="0"/>
          <w:sz w:val="24"/>
          <w:szCs w:val="24"/>
          <w:lang w:val="en-US" w:eastAsia="zh-CN"/>
        </w:rPr>
      </w:pPr>
      <w:r>
        <w:rPr>
          <w:rFonts w:hint="eastAsia" w:asciiTheme="majorEastAsia" w:hAnsiTheme="majorEastAsia" w:eastAsiaTheme="majorEastAsia" w:cstheme="majorEastAsia"/>
          <w:i w:val="0"/>
          <w:iCs w:val="0"/>
          <w:caps w:val="0"/>
          <w:color w:val="000000"/>
          <w:spacing w:val="0"/>
          <w:sz w:val="24"/>
          <w:szCs w:val="24"/>
          <w:lang w:val="en-US" w:eastAsia="zh-CN"/>
        </w:rPr>
        <w:t>1.3处置犬只必须由具有处置兽医资格证的从业人员进行处置（签订合同前明确处置人员并提供其资格证书，如不能提供则取消中标资格）。</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color w:val="000000"/>
          <w:spacing w:val="0"/>
          <w:sz w:val="24"/>
          <w:szCs w:val="24"/>
          <w:highlight w:val="none"/>
          <w:lang w:val="en-US" w:eastAsia="zh-CN"/>
        </w:rPr>
      </w:pPr>
      <w:r>
        <w:rPr>
          <w:rFonts w:hint="eastAsia" w:asciiTheme="majorEastAsia" w:hAnsiTheme="majorEastAsia" w:eastAsiaTheme="majorEastAsia" w:cstheme="majorEastAsia"/>
          <w:i w:val="0"/>
          <w:iCs w:val="0"/>
          <w:caps w:val="0"/>
          <w:color w:val="000000"/>
          <w:spacing w:val="0"/>
          <w:sz w:val="24"/>
          <w:szCs w:val="24"/>
          <w:lang w:val="en-US" w:eastAsia="zh-CN"/>
        </w:rPr>
        <w:t>1.4收容场所实行24小时值班制。需配备饲养犬只管理、犬只医疗管理等</w:t>
      </w:r>
      <w:r>
        <w:rPr>
          <w:rFonts w:hint="eastAsia" w:asciiTheme="majorEastAsia" w:hAnsiTheme="majorEastAsia" w:eastAsiaTheme="majorEastAsia" w:cstheme="majorEastAsia"/>
          <w:i w:val="0"/>
          <w:iCs w:val="0"/>
          <w:caps w:val="0"/>
          <w:color w:val="000000"/>
          <w:spacing w:val="0"/>
          <w:sz w:val="24"/>
          <w:szCs w:val="24"/>
          <w:highlight w:val="none"/>
          <w:lang w:val="en-US" w:eastAsia="zh-CN"/>
        </w:rPr>
        <w:t>管理制度台账。</w:t>
      </w:r>
    </w:p>
    <w:p>
      <w:pPr>
        <w:pStyle w:val="4"/>
        <w:jc w:val="both"/>
        <w:rPr>
          <w:rFonts w:hint="default"/>
          <w:highlight w:val="none"/>
          <w:lang w:val="en-US" w:eastAsia="zh-CN"/>
        </w:rPr>
      </w:pPr>
      <w:r>
        <w:rPr>
          <w:rFonts w:hint="eastAsia" w:asciiTheme="majorEastAsia" w:hAnsiTheme="majorEastAsia" w:eastAsiaTheme="majorEastAsia" w:cstheme="majorEastAsia"/>
          <w:i w:val="0"/>
          <w:iCs w:val="0"/>
          <w:caps w:val="0"/>
          <w:color w:val="000000"/>
          <w:spacing w:val="0"/>
          <w:sz w:val="24"/>
          <w:szCs w:val="24"/>
          <w:highlight w:val="none"/>
          <w:lang w:val="en-US" w:eastAsia="zh-CN"/>
        </w:rPr>
        <w:t xml:space="preserve">     </w:t>
      </w:r>
      <w:r>
        <w:rPr>
          <w:rFonts w:hint="eastAsia" w:ascii="宋体" w:hAnsi="宋体" w:eastAsia="宋体" w:cs="宋体"/>
          <w:b/>
          <w:bCs w:val="0"/>
          <w:color w:val="auto"/>
          <w:kern w:val="0"/>
          <w:sz w:val="24"/>
          <w:highlight w:val="none"/>
          <w:lang w:val="en-US" w:eastAsia="zh-CN"/>
        </w:rPr>
        <w:t>▲</w:t>
      </w:r>
      <w:r>
        <w:rPr>
          <w:rFonts w:hint="eastAsia" w:asciiTheme="majorEastAsia" w:hAnsiTheme="majorEastAsia" w:eastAsiaTheme="majorEastAsia" w:cstheme="majorEastAsia"/>
          <w:i w:val="0"/>
          <w:iCs w:val="0"/>
          <w:caps w:val="0"/>
          <w:color w:val="000000"/>
          <w:spacing w:val="0"/>
          <w:sz w:val="24"/>
          <w:szCs w:val="24"/>
          <w:highlight w:val="none"/>
          <w:lang w:val="en-US" w:eastAsia="zh-CN"/>
        </w:rPr>
        <w:t>投标时提供以上内容承诺书，同时提供场所证明材料，租赁的提供租赁合同，自有的提供自有产权证明材料。</w:t>
      </w:r>
    </w:p>
    <w:p>
      <w:pPr>
        <w:pStyle w:val="25"/>
        <w:keepNext w:val="0"/>
        <w:keepLines w:val="0"/>
        <w:pageBreakBefore w:val="0"/>
        <w:widowControl w:val="0"/>
        <w:kinsoku/>
        <w:wordWrap/>
        <w:overflowPunct/>
        <w:topLinePunct w:val="0"/>
        <w:bidi w:val="0"/>
        <w:adjustRightInd w:val="0"/>
        <w:spacing w:after="0" w:line="360" w:lineRule="auto"/>
        <w:ind w:firstLine="482" w:firstLineChars="200"/>
        <w:textAlignment w:val="auto"/>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2、收容管理工作服务</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2.1服务人员要求：从业人员在岗不少于4人，年龄小于60周岁，管理人员1名,兽医1名,其它管理、饲养人员2名。</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2.2服务内容：</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（1）提供临时流浪犬（无主犬）收容、日常收容场所管理和收容场所犬舍的卫生打扫、清洁、消毒、犬只进出管理等服务。</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（2）负责对临时犬只收容场所收容的犬只在场所时段内的收容、饲养、医治等方面工作。</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（3）对符合规定允许领取的犬只，配合执法局做好核对、领取手续等工作。</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（4）对临时收养的无主领取犬只，由采购方负责、中标方管理人员配合进行处理。中标方非经采购方同意不得</w:t>
      </w:r>
      <w:r>
        <w:rPr>
          <w:rFonts w:hint="eastAsia" w:asciiTheme="majorEastAsia" w:hAnsiTheme="majorEastAsia" w:eastAsiaTheme="majorEastAsia" w:cstheme="majorEastAsia"/>
          <w:sz w:val="24"/>
          <w:szCs w:val="24"/>
          <w:highlight w:val="none"/>
          <w:lang w:val="en-US" w:eastAsia="zh-CN"/>
        </w:rPr>
        <w:t>进行对犬只进</w:t>
      </w:r>
      <w:r>
        <w:rPr>
          <w:rFonts w:hint="eastAsia" w:asciiTheme="majorEastAsia" w:hAnsiTheme="majorEastAsia" w:eastAsiaTheme="majorEastAsia" w:cstheme="majorEastAsia"/>
          <w:sz w:val="24"/>
          <w:szCs w:val="24"/>
          <w:lang w:val="en-US" w:eastAsia="zh-CN"/>
        </w:rPr>
        <w:t>行处置。</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（5）接到采购方指令后，中标方应当立即派员协助采购方做好对无主犬、流浪犬的收容工作。原则上半小时内到达指定地点。</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（6）负责临时犬只收容场所设施的日常维护和管理。</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sz w:val="24"/>
          <w:szCs w:val="24"/>
        </w:rPr>
        <w:t>中标人负责提供狗粮饲养犬只，标准不低于5元/天/只计，提供犬舍消毒物资等费用由中标人承担，每月1号提供当月物资到位。</w:t>
      </w:r>
    </w:p>
    <w:p>
      <w:pPr>
        <w:pStyle w:val="25"/>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（8）为临时收容场所内在栏的犬只注射狂犬疫苗，注射由中标方完成。</w:t>
      </w:r>
    </w:p>
    <w:p>
      <w:pPr>
        <w:pStyle w:val="26"/>
        <w:rPr>
          <w:rFonts w:hint="default"/>
          <w:b/>
          <w:bCs/>
          <w:lang w:val="en-US"/>
        </w:rPr>
      </w:pPr>
      <w:r>
        <w:rPr>
          <w:rFonts w:hint="eastAsia" w:asciiTheme="majorEastAsia" w:hAnsiTheme="majorEastAsia" w:eastAsiaTheme="majorEastAsia" w:cstheme="majorEastAsia"/>
          <w:b/>
          <w:bCs/>
          <w:color w:val="auto"/>
          <w:sz w:val="24"/>
          <w:szCs w:val="24"/>
          <w:lang w:val="en-US" w:eastAsia="zh-CN"/>
        </w:rPr>
        <w:t>三、项目作业要求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）中标人应加强对使用车辆设备的维护、维修、保养，保持车况良好，及时清洗车辆，保持车容整洁。</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）管理人员应对收容场所进行二十四小时不间断管理，每班值班人员不得少于1人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值班人员须服从</w:t>
      </w:r>
      <w:r>
        <w:rPr>
          <w:rFonts w:hint="eastAsia" w:asciiTheme="majorEastAsia" w:hAnsiTheme="majorEastAsia" w:eastAsiaTheme="majorEastAsia" w:cstheme="majorEastAsia"/>
          <w:sz w:val="24"/>
          <w:szCs w:val="24"/>
          <w:lang w:val="en-US" w:eastAsia="zh-CN"/>
        </w:rPr>
        <w:t>采购</w:t>
      </w:r>
      <w:r>
        <w:rPr>
          <w:rFonts w:hint="eastAsia" w:asciiTheme="majorEastAsia" w:hAnsiTheme="majorEastAsia" w:eastAsiaTheme="majorEastAsia" w:cstheme="majorEastAsia"/>
          <w:sz w:val="24"/>
          <w:szCs w:val="24"/>
        </w:rPr>
        <w:t>人管理。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）管理人员应做好收容场所的防疫消毒工作，冲洗犬舍每天不得少于2次，喷洒消毒药水每天不少于1次。同时，应积极</w:t>
      </w:r>
      <w:r>
        <w:rPr>
          <w:rFonts w:hint="eastAsia" w:asciiTheme="majorEastAsia" w:hAnsiTheme="majorEastAsia" w:eastAsiaTheme="majorEastAsia" w:cstheme="majorEastAsia"/>
          <w:sz w:val="24"/>
          <w:szCs w:val="24"/>
          <w:highlight w:val="none"/>
        </w:rPr>
        <w:t>配合农经部门做好</w:t>
      </w:r>
      <w:r>
        <w:rPr>
          <w:rFonts w:hint="eastAsia" w:asciiTheme="majorEastAsia" w:hAnsiTheme="majorEastAsia" w:eastAsiaTheme="majorEastAsia" w:cstheme="majorEastAsia"/>
          <w:sz w:val="24"/>
          <w:szCs w:val="24"/>
        </w:rPr>
        <w:t>防疫工作。</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 xml:space="preserve">   （4</w:t>
      </w:r>
      <w:r>
        <w:rPr>
          <w:rFonts w:hint="eastAsia" w:asciiTheme="majorEastAsia" w:hAnsiTheme="majorEastAsia" w:eastAsiaTheme="majorEastAsia" w:cstheme="majorEastAsia"/>
          <w:sz w:val="24"/>
          <w:szCs w:val="24"/>
        </w:rPr>
        <w:t>）中标人应建立台账，对</w:t>
      </w:r>
      <w:r>
        <w:rPr>
          <w:rFonts w:hint="eastAsia" w:asciiTheme="majorEastAsia" w:hAnsiTheme="majorEastAsia" w:eastAsiaTheme="majorEastAsia" w:cstheme="majorEastAsia"/>
          <w:sz w:val="24"/>
          <w:szCs w:val="24"/>
          <w:lang w:val="en-US" w:eastAsia="zh-CN"/>
        </w:rPr>
        <w:t>犬只</w:t>
      </w:r>
      <w:r>
        <w:rPr>
          <w:rFonts w:hint="eastAsia" w:asciiTheme="majorEastAsia" w:hAnsiTheme="majorEastAsia" w:eastAsiaTheme="majorEastAsia" w:cstheme="majorEastAsia"/>
          <w:sz w:val="24"/>
          <w:szCs w:val="24"/>
        </w:rPr>
        <w:t>的进出、死亡和疫苗注射情况进行登记。同时，应制定相应的安全管理制度和应急处置方案，报采购人备案。如发生任何事故，均由中标人自行承担</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（5）</w:t>
      </w:r>
      <w:r>
        <w:rPr>
          <w:rFonts w:hint="eastAsia" w:asciiTheme="majorEastAsia" w:hAnsiTheme="majorEastAsia" w:eastAsiaTheme="majorEastAsia" w:cstheme="majorEastAsia"/>
          <w:sz w:val="24"/>
          <w:szCs w:val="24"/>
        </w:rPr>
        <w:t>处置要求：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按采购人要求到</w:t>
      </w:r>
      <w:r>
        <w:rPr>
          <w:rFonts w:hint="eastAsia" w:asciiTheme="majorEastAsia" w:hAnsiTheme="majorEastAsia" w:eastAsiaTheme="majorEastAsia" w:cstheme="majorEastAsia"/>
          <w:sz w:val="24"/>
          <w:szCs w:val="24"/>
          <w:lang w:val="en-US" w:eastAsia="zh-CN"/>
        </w:rPr>
        <w:t>犬只</w:t>
      </w:r>
      <w:r>
        <w:rPr>
          <w:rFonts w:hint="eastAsia" w:asciiTheme="majorEastAsia" w:hAnsiTheme="majorEastAsia" w:eastAsiaTheme="majorEastAsia" w:cstheme="majorEastAsia"/>
          <w:sz w:val="24"/>
          <w:szCs w:val="24"/>
        </w:rPr>
        <w:t>收容场所实施作业，整个作业所需工作均由中标人自行完成，采购人指派人员现场监督</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val="en-US" w:eastAsia="zh-CN"/>
        </w:rPr>
        <w:t>其他要求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1、中标人应对收容留检所</w:t>
      </w:r>
      <w:r>
        <w:rPr>
          <w:rFonts w:hint="eastAsia" w:ascii="宋体" w:hAnsi="宋体" w:cs="宋体"/>
          <w:bCs/>
          <w:color w:val="auto"/>
          <w:sz w:val="24"/>
          <w:szCs w:val="24"/>
          <w:highlight w:val="none"/>
          <w:lang w:val="en-US" w:eastAsia="zh-CN"/>
        </w:rPr>
        <w:t>内的</w:t>
      </w:r>
      <w:r>
        <w:rPr>
          <w:rFonts w:hint="eastAsia" w:ascii="宋体" w:hAnsi="宋体" w:eastAsia="宋体" w:cs="宋体"/>
          <w:bCs/>
          <w:color w:val="auto"/>
          <w:sz w:val="24"/>
          <w:szCs w:val="24"/>
          <w:highlight w:val="none"/>
          <w:lang w:val="en-US" w:eastAsia="zh-CN"/>
        </w:rPr>
        <w:t>犬只进行细心饲养和护理，不得虐待、伤害犬类动物。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2、中标人应对患病犬类及时治疗。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、中标人不得对收容犬只进行买卖及屠宰食用等活动，不得对犬只包括死亡犬只私自进行处理。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、中标人按照采购人要求在收容留检场所饲养收容的犬只。</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、采购人不保证犬类日均存栏量，中标人须自行考虑经营风险。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、如犬类与周边居民发生咬伤等事件，治疗费用由中标人承担。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如中标人出现被群众投诉或被采购人检查发现，经指出未按要求整改，出现类似情形三次或以上的，采购人有权终止承包合同，并由中标人承担由此带来的一切损失。中标人出现下列情形之一，采购人有权终止协议，并扣除剩余全部服务费，由此造成的一切损失由中标人全部承担：①中标人不接受采购人考核和检查的；②中标人严重违反协议条款内容，致使协议无法继续履行的；③中标人管理不力造成严重不良社会影响的；④中标人其它违反采购人相关规定，采购人有权终止协议的。</w:t>
      </w:r>
    </w:p>
    <w:p>
      <w:pPr>
        <w:pStyle w:val="26"/>
        <w:keepNext w:val="0"/>
        <w:keepLines w:val="0"/>
        <w:pageBreakBefore w:val="0"/>
        <w:widowControl w:val="0"/>
        <w:kinsoku/>
        <w:wordWrap/>
        <w:overflowPunct/>
        <w:topLinePunct w:val="0"/>
        <w:bidi w:val="0"/>
        <w:adjustRightInd w:val="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中标人需按采购人要求的时间节点进行收容，遇突发状况当天未收容到位的，每次扣除100元。中标人提供的服务不符合采购人要求的，采购人有权责令供应商限期整改；中标人逾期未整改完毕的，采购人有权视情节轻重程度每次扣罚供应商500元--5000元，情节严重的采购人有权单方面提前终止本次服务。</w:t>
      </w:r>
    </w:p>
    <w:p>
      <w:pPr>
        <w:pStyle w:val="26"/>
        <w:keepNext w:val="0"/>
        <w:keepLines w:val="0"/>
        <w:pageBreakBefore w:val="0"/>
        <w:widowControl w:val="0"/>
        <w:kinsoku/>
        <w:wordWrap/>
        <w:overflowPunct/>
        <w:topLinePunct w:val="0"/>
        <w:bidi w:val="0"/>
        <w:adjustRightInd w:val="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中标人应做好犬只收容寄养工作，防止脱逃及发生犬只意外死亡，不得发生犬只去向不明、非正常死亡等情形。中标人在履行本合同过程中发生的各类人员、财产损伤的，均由供应商负责并承担全部费用，造成采购人或第三方损失的，均有中标人承担赔偿责任。</w:t>
      </w:r>
    </w:p>
    <w:p>
      <w:pPr>
        <w:pStyle w:val="26"/>
        <w:keepNext w:val="0"/>
        <w:keepLines w:val="0"/>
        <w:pageBreakBefore w:val="0"/>
        <w:widowControl w:val="0"/>
        <w:kinsoku/>
        <w:wordWrap/>
        <w:overflowPunct/>
        <w:topLinePunct w:val="0"/>
        <w:bidi w:val="0"/>
        <w:adjustRightInd w:val="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10、无害化处置（含安乐死费用）。</w:t>
      </w:r>
    </w:p>
    <w:p>
      <w:pPr>
        <w:pStyle w:val="26"/>
        <w:keepNext w:val="0"/>
        <w:keepLines w:val="0"/>
        <w:pageBreakBefore w:val="0"/>
        <w:widowControl w:val="0"/>
        <w:kinsoku/>
        <w:wordWrap/>
        <w:overflowPunct/>
        <w:topLinePunct w:val="0"/>
        <w:bidi w:val="0"/>
        <w:adjustRightInd w:val="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11、周末和节假日收容不额外增加费用，需正常开展收容工作。</w:t>
      </w:r>
    </w:p>
    <w:p>
      <w:pPr>
        <w:pStyle w:val="26"/>
        <w:keepNext w:val="0"/>
        <w:keepLines w:val="0"/>
        <w:pageBreakBefore w:val="0"/>
        <w:widowControl w:val="0"/>
        <w:kinsoku/>
        <w:wordWrap/>
        <w:overflowPunct/>
        <w:topLinePunct w:val="0"/>
        <w:bidi w:val="0"/>
        <w:adjustRightInd w:val="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12、中标人应做好收容场所的文明养犬宣教工作。</w:t>
      </w:r>
    </w:p>
    <w:p>
      <w:pPr>
        <w:pStyle w:val="26"/>
        <w:keepNext w:val="0"/>
        <w:keepLines w:val="0"/>
        <w:pageBreakBefore w:val="0"/>
        <w:widowControl w:val="0"/>
        <w:kinsoku/>
        <w:wordWrap/>
        <w:overflowPunct/>
        <w:topLinePunct w:val="0"/>
        <w:bidi w:val="0"/>
        <w:adjustRightInd w:val="0"/>
        <w:textAlignment w:val="auto"/>
        <w:rPr>
          <w:rFonts w:hint="eastAsia" w:asciiTheme="minorEastAsia" w:hAnsiTheme="minorEastAsia" w:eastAsiaTheme="minorEastAsia" w:cstheme="minorEastAsia"/>
          <w:sz w:val="24"/>
          <w:szCs w:val="24"/>
          <w:lang w:val="en-US" w:eastAsia="zh-CN"/>
        </w:rPr>
      </w:pPr>
      <w:r>
        <w:rPr>
          <w:rFonts w:hint="eastAsia" w:asciiTheme="majorEastAsia" w:hAnsiTheme="majorEastAsia" w:eastAsiaTheme="majorEastAsia" w:cstheme="majorEastAsia"/>
          <w:sz w:val="24"/>
          <w:szCs w:val="24"/>
          <w:lang w:val="en-US" w:eastAsia="zh-CN"/>
        </w:rPr>
        <w:t>13、中标人收容处置服务不符合合同约定或甲方要求，采购人责令整改后，</w:t>
      </w:r>
      <w:r>
        <w:rPr>
          <w:rFonts w:hint="eastAsia" w:asciiTheme="minorEastAsia" w:hAnsiTheme="minorEastAsia" w:eastAsiaTheme="minorEastAsia" w:cstheme="minorEastAsia"/>
          <w:sz w:val="24"/>
          <w:szCs w:val="24"/>
          <w:lang w:val="en-US" w:eastAsia="zh-CN"/>
        </w:rPr>
        <w:t>供应商拒不整改或连续整改2次后仍不符合本协议约定或甲方要求的，采购人有权单方面终止合同。</w:t>
      </w:r>
    </w:p>
    <w:p>
      <w:pPr>
        <w:pStyle w:val="26"/>
        <w:keepNext w:val="0"/>
        <w:keepLines w:val="0"/>
        <w:pageBreakBefore w:val="0"/>
        <w:widowControl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14、因由中标人收容处置服务不当与个人、社会组织产生纠纷或造成社会不良舆论影响的，采购人有权单方面终止合同。</w:t>
      </w:r>
    </w:p>
    <w:p>
      <w:pPr>
        <w:pStyle w:val="26"/>
        <w:keepNext w:val="0"/>
        <w:keepLines w:val="0"/>
        <w:pageBreakBefore w:val="0"/>
        <w:widowControl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15、不得擅自将服务内容全部或部分转让给第三方的，采购人有权单方面终止合同。</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五、投标报价及结算支付</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1、本项目投标报价时填报综合单价，实际按实结算。</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2、结算支付：</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（1）在合同签订且具备实施条件后的7个工作日内，支付年度合同价款（即预算金额）40%的预付款；</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（2）合同款结合考核内容按季度支付，如有扣费相应季度款项中扣除，中标单位需提供犬只收容明细；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合同签订生效并具备实施条件后7个工作日内支付第一年度合同金额的40%作为预付款，预付款在该年度内每季度结算时扣回，扣完为止；</w:t>
      </w:r>
    </w:p>
    <w:p>
      <w:pPr>
        <w:pStyle w:val="4"/>
        <w:jc w:val="both"/>
        <w:rPr>
          <w:rFonts w:hint="default"/>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第二年支付条件以合同签订内容为准。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注：1）乙方在接到甲方通知后的七个工作日内将增值税发票送达甲方，甲方在收到乙方发票后于一个月内以转账的方式支付给乙方。本项目执行中相关的一切税费均由中标供应商负担；</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2）在签订合同时，乙方明确表示无需预付款或者主动要求降低预付款比例的，采购合同可不适用前述规定。</w:t>
      </w:r>
    </w:p>
    <w:p>
      <w:pPr>
        <w:pStyle w:val="4"/>
        <w:jc w:val="both"/>
        <w:rPr>
          <w:rFonts w:hint="default" w:eastAsiaTheme="minorEastAsia"/>
          <w:lang w:val="en-US" w:eastAsia="zh-CN"/>
        </w:rPr>
      </w:pPr>
      <w:r>
        <w:rPr>
          <w:rFonts w:hint="eastAsia" w:asciiTheme="minorEastAsia" w:hAnsiTheme="minorEastAsia" w:eastAsiaTheme="minorEastAsia" w:cstheme="minorEastAsia"/>
          <w:b/>
          <w:color w:val="auto"/>
          <w:sz w:val="24"/>
          <w:szCs w:val="24"/>
          <w:highlight w:val="none"/>
          <w:lang w:val="en-US" w:eastAsia="zh-CN"/>
        </w:rPr>
        <w:t xml:space="preserve">   具体以签订的合同内容为准。项目甲方为采购人，乙方为中标单位。</w:t>
      </w:r>
    </w:p>
    <w:p>
      <w:pPr>
        <w:pStyle w:val="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4"/>
        <w:rPr>
          <w:rFonts w:hint="eastAsia"/>
        </w:rPr>
      </w:pPr>
    </w:p>
    <w:p>
      <w:pPr>
        <w:rPr>
          <w:rFonts w:hint="eastAsia"/>
        </w:rPr>
      </w:pPr>
    </w:p>
    <w:p>
      <w:pPr>
        <w:pStyle w:val="4"/>
        <w:rPr>
          <w:rFonts w:hint="eastAsia"/>
        </w:rPr>
      </w:pPr>
    </w:p>
    <w:p>
      <w:pPr>
        <w:pageBreakBefore w:val="0"/>
        <w:kinsoku/>
        <w:wordWrap/>
        <w:overflowPunct/>
        <w:topLinePunct w:val="0"/>
        <w:autoSpaceDE/>
        <w:autoSpaceDN/>
        <w:bidi w:val="0"/>
        <w:adjustRightInd w:val="0"/>
        <w:spacing w:line="360" w:lineRule="auto"/>
        <w:ind w:left="0"/>
        <w:jc w:val="center"/>
        <w:textAlignment w:val="auto"/>
        <w:outlineLvl w:val="0"/>
        <w:rPr>
          <w:rFonts w:hint="eastAsia" w:ascii="宋体" w:hAnsi="宋体" w:eastAsia="宋体" w:cs="宋体"/>
          <w:b/>
          <w:color w:val="auto"/>
          <w:sz w:val="36"/>
          <w:szCs w:val="36"/>
          <w:highlight w:val="none"/>
        </w:rPr>
      </w:pPr>
    </w:p>
    <w:p>
      <w:pPr>
        <w:pageBreakBefore w:val="0"/>
        <w:kinsoku/>
        <w:wordWrap/>
        <w:overflowPunct/>
        <w:topLinePunct w:val="0"/>
        <w:autoSpaceDE/>
        <w:autoSpaceDN/>
        <w:bidi w:val="0"/>
        <w:adjustRightInd w:val="0"/>
        <w:spacing w:line="360" w:lineRule="auto"/>
        <w:ind w:left="0"/>
        <w:jc w:val="center"/>
        <w:textAlignment w:val="auto"/>
        <w:outlineLvl w:val="0"/>
        <w:rPr>
          <w:rFonts w:hint="eastAsia" w:ascii="宋体" w:hAnsi="宋体" w:eastAsia="宋体" w:cs="宋体"/>
          <w:b/>
          <w:color w:val="auto"/>
          <w:sz w:val="36"/>
          <w:szCs w:val="36"/>
          <w:highlight w:val="none"/>
        </w:rPr>
      </w:pPr>
    </w:p>
    <w:p>
      <w:pPr>
        <w:pageBreakBefore w:val="0"/>
        <w:kinsoku/>
        <w:wordWrap/>
        <w:overflowPunct/>
        <w:topLinePunct w:val="0"/>
        <w:autoSpaceDE/>
        <w:autoSpaceDN/>
        <w:bidi w:val="0"/>
        <w:adjustRightInd w:val="0"/>
        <w:spacing w:line="360" w:lineRule="auto"/>
        <w:ind w:left="0"/>
        <w:jc w:val="center"/>
        <w:textAlignment w:val="auto"/>
        <w:outlineLvl w:val="0"/>
        <w:rPr>
          <w:rFonts w:hint="eastAsia" w:ascii="宋体" w:hAnsi="宋体" w:eastAsia="宋体" w:cs="宋体"/>
          <w:b/>
          <w:color w:val="auto"/>
          <w:sz w:val="36"/>
          <w:szCs w:val="36"/>
          <w:highlight w:val="none"/>
        </w:rPr>
      </w:pPr>
    </w:p>
    <w:p>
      <w:pPr>
        <w:pageBreakBefore w:val="0"/>
        <w:kinsoku/>
        <w:wordWrap/>
        <w:overflowPunct/>
        <w:topLinePunct w:val="0"/>
        <w:autoSpaceDE/>
        <w:autoSpaceDN/>
        <w:bidi w:val="0"/>
        <w:adjustRightInd w:val="0"/>
        <w:spacing w:line="360" w:lineRule="auto"/>
        <w:ind w:left="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5" w:name="_Toc184310331"/>
      <w:bookmarkEnd w:id="15"/>
      <w:bookmarkStart w:id="16" w:name="_Toc184310335"/>
      <w:bookmarkEnd w:id="16"/>
      <w:bookmarkStart w:id="17" w:name="_Toc184313250"/>
      <w:bookmarkEnd w:id="17"/>
      <w:bookmarkStart w:id="18" w:name="_Toc184313270"/>
      <w:bookmarkEnd w:id="18"/>
      <w:bookmarkStart w:id="19" w:name="_Toc184310334"/>
      <w:bookmarkEnd w:id="19"/>
      <w:bookmarkStart w:id="20" w:name="_Toc184313273"/>
      <w:bookmarkEnd w:id="20"/>
      <w:bookmarkStart w:id="21" w:name="_Toc184314473"/>
      <w:bookmarkEnd w:id="21"/>
      <w:bookmarkStart w:id="22" w:name="_Toc184313266"/>
      <w:bookmarkEnd w:id="22"/>
      <w:bookmarkStart w:id="23" w:name="_Toc184308036"/>
      <w:bookmarkEnd w:id="23"/>
      <w:bookmarkStart w:id="24" w:name="_Toc184310330"/>
      <w:bookmarkEnd w:id="24"/>
      <w:bookmarkStart w:id="25" w:name="_Toc184314428"/>
      <w:bookmarkEnd w:id="25"/>
      <w:bookmarkStart w:id="26" w:name="_Toc184310286"/>
      <w:bookmarkEnd w:id="26"/>
      <w:bookmarkStart w:id="27" w:name="_Toc184314451"/>
      <w:bookmarkEnd w:id="27"/>
      <w:bookmarkStart w:id="28" w:name="_Toc184314477"/>
      <w:bookmarkEnd w:id="28"/>
      <w:bookmarkStart w:id="29" w:name="_Toc184314438"/>
      <w:bookmarkEnd w:id="29"/>
      <w:bookmarkStart w:id="30" w:name="_Toc184314468"/>
      <w:bookmarkEnd w:id="30"/>
      <w:bookmarkStart w:id="31" w:name="_Toc184314456"/>
      <w:bookmarkEnd w:id="31"/>
      <w:bookmarkStart w:id="32" w:name="_Toc184312134"/>
      <w:bookmarkEnd w:id="32"/>
      <w:bookmarkStart w:id="33" w:name="_Toc184314436"/>
      <w:bookmarkEnd w:id="33"/>
      <w:bookmarkStart w:id="34" w:name="_Toc184313287"/>
      <w:bookmarkEnd w:id="34"/>
      <w:bookmarkStart w:id="35" w:name="_Toc184312138"/>
      <w:bookmarkEnd w:id="35"/>
      <w:bookmarkStart w:id="36" w:name="_Toc184313308"/>
      <w:bookmarkEnd w:id="36"/>
      <w:bookmarkStart w:id="37" w:name="_Toc184313295"/>
      <w:bookmarkEnd w:id="37"/>
      <w:bookmarkStart w:id="38" w:name="_Toc184313257"/>
      <w:bookmarkEnd w:id="38"/>
      <w:bookmarkStart w:id="39" w:name="_Toc184308042"/>
      <w:bookmarkEnd w:id="39"/>
      <w:bookmarkStart w:id="40" w:name="_Toc184313258"/>
      <w:bookmarkEnd w:id="40"/>
      <w:bookmarkStart w:id="41" w:name="_Toc184308097"/>
      <w:bookmarkEnd w:id="41"/>
      <w:bookmarkStart w:id="42" w:name="_Toc184314440"/>
      <w:bookmarkEnd w:id="42"/>
      <w:bookmarkStart w:id="43" w:name="_Toc184314465"/>
      <w:bookmarkEnd w:id="43"/>
      <w:bookmarkStart w:id="44" w:name="_Toc184308064"/>
      <w:bookmarkEnd w:id="44"/>
      <w:bookmarkStart w:id="45" w:name="_Toc184312078"/>
      <w:bookmarkEnd w:id="45"/>
      <w:bookmarkStart w:id="46" w:name="_Toc184308055"/>
      <w:bookmarkEnd w:id="46"/>
      <w:bookmarkStart w:id="47" w:name="_Toc184310340"/>
      <w:bookmarkEnd w:id="47"/>
      <w:bookmarkStart w:id="48" w:name="_Toc184310302"/>
      <w:bookmarkEnd w:id="48"/>
      <w:bookmarkStart w:id="49" w:name="_Toc184312128"/>
      <w:bookmarkEnd w:id="49"/>
      <w:bookmarkStart w:id="50" w:name="_Toc184313290"/>
      <w:bookmarkEnd w:id="50"/>
      <w:bookmarkStart w:id="51" w:name="_Toc184312091"/>
      <w:bookmarkEnd w:id="51"/>
      <w:bookmarkStart w:id="52" w:name="_Toc184310296"/>
      <w:bookmarkEnd w:id="52"/>
      <w:bookmarkStart w:id="53" w:name="_Toc184308103"/>
      <w:bookmarkEnd w:id="53"/>
      <w:bookmarkStart w:id="54" w:name="_Toc184308062"/>
      <w:bookmarkEnd w:id="54"/>
      <w:bookmarkStart w:id="55" w:name="_Toc184313271"/>
      <w:bookmarkEnd w:id="55"/>
      <w:bookmarkStart w:id="56" w:name="_Toc184308085"/>
      <w:bookmarkEnd w:id="56"/>
      <w:bookmarkStart w:id="57" w:name="_Toc184310337"/>
      <w:bookmarkEnd w:id="57"/>
      <w:bookmarkStart w:id="58" w:name="_Toc184313292"/>
      <w:bookmarkEnd w:id="58"/>
      <w:bookmarkStart w:id="59" w:name="_Toc184310287"/>
      <w:bookmarkEnd w:id="59"/>
      <w:bookmarkStart w:id="60" w:name="_Toc184312135"/>
      <w:bookmarkEnd w:id="60"/>
      <w:bookmarkStart w:id="61" w:name="_Toc184312071"/>
      <w:bookmarkEnd w:id="61"/>
      <w:bookmarkStart w:id="62" w:name="_Toc184314474"/>
      <w:bookmarkEnd w:id="62"/>
      <w:bookmarkStart w:id="63" w:name="_Toc184313305"/>
      <w:bookmarkEnd w:id="63"/>
      <w:bookmarkStart w:id="64" w:name="_Toc184312101"/>
      <w:bookmarkEnd w:id="64"/>
      <w:bookmarkStart w:id="65" w:name="_Toc184313263"/>
      <w:bookmarkEnd w:id="65"/>
      <w:bookmarkStart w:id="66" w:name="_Toc184310307"/>
      <w:bookmarkEnd w:id="66"/>
      <w:bookmarkStart w:id="67" w:name="_Toc184308082"/>
      <w:bookmarkEnd w:id="67"/>
      <w:bookmarkStart w:id="68" w:name="_Toc184314470"/>
      <w:bookmarkEnd w:id="68"/>
      <w:bookmarkStart w:id="69" w:name="_Toc184313245"/>
      <w:bookmarkEnd w:id="69"/>
      <w:bookmarkStart w:id="70" w:name="_Toc184310281"/>
      <w:bookmarkEnd w:id="70"/>
      <w:bookmarkStart w:id="71" w:name="_Toc184313294"/>
      <w:bookmarkEnd w:id="71"/>
      <w:bookmarkStart w:id="72" w:name="_Toc184313255"/>
      <w:bookmarkEnd w:id="72"/>
      <w:bookmarkStart w:id="73" w:name="_Toc184310338"/>
      <w:bookmarkEnd w:id="73"/>
      <w:bookmarkStart w:id="74" w:name="_Toc184314412"/>
      <w:bookmarkEnd w:id="74"/>
      <w:bookmarkStart w:id="75" w:name="_Toc184312079"/>
      <w:bookmarkEnd w:id="75"/>
      <w:bookmarkStart w:id="76" w:name="_Toc184308090"/>
      <w:bookmarkEnd w:id="76"/>
      <w:bookmarkStart w:id="77" w:name="_Toc184312108"/>
      <w:bookmarkEnd w:id="77"/>
      <w:bookmarkStart w:id="78" w:name="_Toc184308078"/>
      <w:bookmarkEnd w:id="78"/>
      <w:bookmarkStart w:id="79" w:name="_Toc184314458"/>
      <w:bookmarkEnd w:id="79"/>
      <w:bookmarkStart w:id="80" w:name="_Toc184312103"/>
      <w:bookmarkEnd w:id="80"/>
      <w:bookmarkStart w:id="81" w:name="_Toc184308080"/>
      <w:bookmarkEnd w:id="81"/>
      <w:bookmarkStart w:id="82" w:name="_Toc184312080"/>
      <w:bookmarkEnd w:id="82"/>
      <w:bookmarkStart w:id="83" w:name="_Toc184310295"/>
      <w:bookmarkEnd w:id="83"/>
      <w:bookmarkStart w:id="84" w:name="_Toc184314459"/>
      <w:bookmarkEnd w:id="84"/>
      <w:bookmarkStart w:id="85" w:name="_Toc184312106"/>
      <w:bookmarkEnd w:id="85"/>
      <w:bookmarkStart w:id="86" w:name="_Toc184314423"/>
      <w:bookmarkEnd w:id="86"/>
      <w:bookmarkStart w:id="87" w:name="_Toc184313253"/>
      <w:bookmarkEnd w:id="87"/>
      <w:bookmarkStart w:id="88" w:name="_Toc184310283"/>
      <w:bookmarkEnd w:id="88"/>
      <w:bookmarkStart w:id="89" w:name="_Toc184312127"/>
      <w:bookmarkEnd w:id="89"/>
      <w:bookmarkStart w:id="90" w:name="_Toc184314443"/>
      <w:bookmarkEnd w:id="90"/>
      <w:bookmarkStart w:id="91" w:name="_Toc184310325"/>
      <w:bookmarkEnd w:id="91"/>
      <w:bookmarkStart w:id="92" w:name="_Toc184310305"/>
      <w:bookmarkEnd w:id="92"/>
      <w:bookmarkStart w:id="93" w:name="_Toc184313278"/>
      <w:bookmarkEnd w:id="93"/>
      <w:bookmarkStart w:id="94" w:name="_Toc184310292"/>
      <w:bookmarkEnd w:id="94"/>
      <w:bookmarkStart w:id="95" w:name="_Toc184312117"/>
      <w:bookmarkEnd w:id="95"/>
      <w:bookmarkStart w:id="96" w:name="_Toc184314461"/>
      <w:bookmarkEnd w:id="96"/>
      <w:bookmarkStart w:id="97" w:name="_Toc184312129"/>
      <w:bookmarkEnd w:id="97"/>
      <w:bookmarkStart w:id="98" w:name="_Toc184310320"/>
      <w:bookmarkEnd w:id="98"/>
      <w:bookmarkStart w:id="99" w:name="_Toc184312105"/>
      <w:bookmarkEnd w:id="99"/>
      <w:bookmarkStart w:id="100" w:name="_Toc184314472"/>
      <w:bookmarkEnd w:id="100"/>
      <w:bookmarkStart w:id="101" w:name="_Toc184310315"/>
      <w:bookmarkEnd w:id="101"/>
      <w:bookmarkStart w:id="102" w:name="_Toc184310318"/>
      <w:bookmarkEnd w:id="102"/>
      <w:bookmarkStart w:id="103" w:name="_Toc184308037"/>
      <w:bookmarkEnd w:id="103"/>
      <w:bookmarkStart w:id="104" w:name="_Toc184308081"/>
      <w:bookmarkEnd w:id="104"/>
      <w:bookmarkStart w:id="105" w:name="_Toc184314466"/>
      <w:bookmarkEnd w:id="105"/>
      <w:bookmarkStart w:id="106" w:name="_Toc184313284"/>
      <w:bookmarkEnd w:id="106"/>
      <w:bookmarkStart w:id="107" w:name="_Toc184308072"/>
      <w:bookmarkEnd w:id="107"/>
      <w:bookmarkStart w:id="108" w:name="_Toc184310277"/>
      <w:bookmarkEnd w:id="108"/>
      <w:bookmarkStart w:id="109" w:name="_Toc184314415"/>
      <w:bookmarkEnd w:id="109"/>
      <w:bookmarkStart w:id="110" w:name="_Toc184312118"/>
      <w:bookmarkEnd w:id="110"/>
      <w:bookmarkStart w:id="111" w:name="_Toc184312084"/>
      <w:bookmarkEnd w:id="111"/>
      <w:bookmarkStart w:id="112" w:name="_Toc184310314"/>
      <w:bookmarkEnd w:id="112"/>
      <w:bookmarkStart w:id="113" w:name="_Toc184313264"/>
      <w:bookmarkEnd w:id="113"/>
      <w:bookmarkStart w:id="114" w:name="_Toc184308049"/>
      <w:bookmarkEnd w:id="114"/>
      <w:bookmarkStart w:id="115" w:name="_Toc184314419"/>
      <w:bookmarkEnd w:id="115"/>
      <w:bookmarkStart w:id="116" w:name="_Toc184310291"/>
      <w:bookmarkEnd w:id="116"/>
      <w:bookmarkStart w:id="117" w:name="_Toc184312098"/>
      <w:bookmarkEnd w:id="117"/>
      <w:bookmarkStart w:id="118" w:name="_Toc184312076"/>
      <w:bookmarkEnd w:id="118"/>
      <w:bookmarkStart w:id="119" w:name="_Toc184308038"/>
      <w:bookmarkEnd w:id="119"/>
      <w:bookmarkStart w:id="120" w:name="_Toc184308089"/>
      <w:bookmarkEnd w:id="120"/>
      <w:bookmarkStart w:id="121" w:name="_Toc184312125"/>
      <w:bookmarkEnd w:id="121"/>
      <w:bookmarkStart w:id="122" w:name="_Toc184314417"/>
      <w:bookmarkEnd w:id="122"/>
      <w:bookmarkStart w:id="123" w:name="_Toc184313275"/>
      <w:bookmarkEnd w:id="123"/>
      <w:bookmarkStart w:id="124" w:name="_Toc184313267"/>
      <w:bookmarkEnd w:id="124"/>
      <w:bookmarkStart w:id="125" w:name="_Toc184310297"/>
      <w:bookmarkEnd w:id="125"/>
      <w:bookmarkStart w:id="126" w:name="_Toc184308054"/>
      <w:bookmarkEnd w:id="126"/>
      <w:bookmarkStart w:id="127" w:name="_Toc184314424"/>
      <w:bookmarkEnd w:id="127"/>
      <w:bookmarkStart w:id="128" w:name="_Toc184313261"/>
      <w:bookmarkEnd w:id="128"/>
      <w:bookmarkStart w:id="129" w:name="_Toc184314460"/>
      <w:bookmarkEnd w:id="129"/>
      <w:bookmarkStart w:id="130" w:name="_Toc184313301"/>
      <w:bookmarkEnd w:id="130"/>
      <w:bookmarkStart w:id="131" w:name="_Toc184313265"/>
      <w:bookmarkEnd w:id="131"/>
      <w:bookmarkStart w:id="132" w:name="_Toc184314467"/>
      <w:bookmarkEnd w:id="132"/>
      <w:bookmarkStart w:id="133" w:name="_Toc184310319"/>
      <w:bookmarkEnd w:id="133"/>
      <w:bookmarkStart w:id="134" w:name="_Toc184310308"/>
      <w:bookmarkEnd w:id="134"/>
      <w:bookmarkStart w:id="135" w:name="_Toc184310284"/>
      <w:bookmarkEnd w:id="135"/>
      <w:bookmarkStart w:id="136" w:name="_Toc184308076"/>
      <w:bookmarkEnd w:id="136"/>
      <w:bookmarkStart w:id="137" w:name="_Toc184314469"/>
      <w:bookmarkEnd w:id="137"/>
      <w:bookmarkStart w:id="138" w:name="_Toc184308059"/>
      <w:bookmarkEnd w:id="138"/>
      <w:bookmarkStart w:id="139" w:name="_Toc184308067"/>
      <w:bookmarkEnd w:id="139"/>
      <w:bookmarkStart w:id="140" w:name="_Toc184314413"/>
      <w:bookmarkEnd w:id="140"/>
      <w:bookmarkStart w:id="141" w:name="_Toc184314418"/>
      <w:bookmarkEnd w:id="141"/>
      <w:bookmarkStart w:id="142" w:name="_Toc184314464"/>
      <w:bookmarkEnd w:id="142"/>
      <w:bookmarkStart w:id="143" w:name="_Toc184314463"/>
      <w:bookmarkEnd w:id="143"/>
      <w:bookmarkStart w:id="144" w:name="_Toc184312085"/>
      <w:bookmarkEnd w:id="144"/>
      <w:bookmarkStart w:id="145" w:name="_Toc184308101"/>
      <w:bookmarkEnd w:id="145"/>
      <w:bookmarkStart w:id="146" w:name="_Toc184308077"/>
      <w:bookmarkEnd w:id="146"/>
      <w:bookmarkStart w:id="147" w:name="_Toc184308050"/>
      <w:bookmarkEnd w:id="147"/>
      <w:bookmarkStart w:id="148" w:name="_Toc184314422"/>
      <w:bookmarkEnd w:id="148"/>
      <w:bookmarkStart w:id="149" w:name="_Toc184314442"/>
      <w:bookmarkEnd w:id="149"/>
      <w:bookmarkStart w:id="150" w:name="_Toc184313304"/>
      <w:bookmarkEnd w:id="150"/>
      <w:bookmarkStart w:id="151" w:name="_Toc184308070"/>
      <w:bookmarkEnd w:id="151"/>
      <w:bookmarkStart w:id="152" w:name="_Toc184312121"/>
      <w:bookmarkEnd w:id="152"/>
      <w:bookmarkStart w:id="153" w:name="_Toc184308091"/>
      <w:bookmarkEnd w:id="153"/>
      <w:bookmarkStart w:id="154" w:name="_Toc184308071"/>
      <w:bookmarkEnd w:id="154"/>
      <w:bookmarkStart w:id="155" w:name="_Toc184308093"/>
      <w:bookmarkEnd w:id="155"/>
      <w:bookmarkStart w:id="156" w:name="_Toc184310336"/>
      <w:bookmarkEnd w:id="156"/>
      <w:bookmarkStart w:id="157" w:name="_Toc184312132"/>
      <w:bookmarkEnd w:id="157"/>
      <w:bookmarkStart w:id="158" w:name="_Toc184310323"/>
      <w:bookmarkEnd w:id="158"/>
      <w:bookmarkStart w:id="159" w:name="_Toc184312097"/>
      <w:bookmarkEnd w:id="159"/>
      <w:bookmarkStart w:id="160" w:name="_Toc184308092"/>
      <w:bookmarkEnd w:id="160"/>
      <w:bookmarkStart w:id="161" w:name="_Toc184312123"/>
      <w:bookmarkEnd w:id="161"/>
      <w:bookmarkStart w:id="162" w:name="_Toc184312086"/>
      <w:bookmarkEnd w:id="162"/>
      <w:bookmarkStart w:id="163" w:name="_Toc184312067"/>
      <w:bookmarkEnd w:id="163"/>
      <w:bookmarkStart w:id="164" w:name="_Toc184313246"/>
      <w:bookmarkEnd w:id="164"/>
      <w:bookmarkStart w:id="165" w:name="_Toc184313285"/>
      <w:bookmarkEnd w:id="165"/>
      <w:bookmarkStart w:id="166" w:name="_Toc184312109"/>
      <w:bookmarkEnd w:id="166"/>
      <w:bookmarkStart w:id="167" w:name="_Toc184308095"/>
      <w:bookmarkEnd w:id="167"/>
      <w:bookmarkStart w:id="168" w:name="_Toc184310343"/>
      <w:bookmarkEnd w:id="168"/>
      <w:bookmarkStart w:id="169" w:name="_Toc184312072"/>
      <w:bookmarkEnd w:id="169"/>
      <w:bookmarkStart w:id="170" w:name="_Toc184313283"/>
      <w:bookmarkEnd w:id="170"/>
      <w:bookmarkStart w:id="171" w:name="_Toc184310306"/>
      <w:bookmarkEnd w:id="171"/>
      <w:bookmarkStart w:id="172" w:name="_Toc184314448"/>
      <w:bookmarkEnd w:id="172"/>
      <w:bookmarkStart w:id="173" w:name="_Toc184313297"/>
      <w:bookmarkEnd w:id="173"/>
      <w:bookmarkStart w:id="174" w:name="_Toc184314433"/>
      <w:bookmarkEnd w:id="174"/>
      <w:bookmarkStart w:id="175" w:name="_Toc184312075"/>
      <w:bookmarkEnd w:id="175"/>
      <w:bookmarkStart w:id="176" w:name="_Toc184313269"/>
      <w:bookmarkEnd w:id="176"/>
      <w:bookmarkStart w:id="177" w:name="_Toc184313302"/>
      <w:bookmarkEnd w:id="177"/>
      <w:bookmarkStart w:id="178" w:name="_Toc184313309"/>
      <w:bookmarkEnd w:id="178"/>
      <w:bookmarkStart w:id="179" w:name="_Toc184313307"/>
      <w:bookmarkEnd w:id="179"/>
      <w:bookmarkStart w:id="180" w:name="_Toc184312093"/>
      <w:bookmarkEnd w:id="180"/>
      <w:bookmarkStart w:id="181" w:name="_Toc184314445"/>
      <w:bookmarkEnd w:id="181"/>
      <w:bookmarkStart w:id="182" w:name="_Toc184314462"/>
      <w:bookmarkEnd w:id="182"/>
      <w:bookmarkStart w:id="183" w:name="_Toc184314414"/>
      <w:bookmarkEnd w:id="183"/>
      <w:bookmarkStart w:id="184" w:name="_Toc184312088"/>
      <w:bookmarkEnd w:id="184"/>
      <w:bookmarkStart w:id="185" w:name="_Toc184314439"/>
      <w:bookmarkEnd w:id="185"/>
      <w:bookmarkStart w:id="186" w:name="_Toc184310272"/>
      <w:bookmarkEnd w:id="186"/>
      <w:bookmarkStart w:id="187" w:name="_Toc184310293"/>
      <w:bookmarkEnd w:id="187"/>
      <w:bookmarkStart w:id="188" w:name="_Toc184314432"/>
      <w:bookmarkEnd w:id="188"/>
      <w:bookmarkStart w:id="189" w:name="_Toc184312073"/>
      <w:bookmarkEnd w:id="189"/>
      <w:bookmarkStart w:id="190" w:name="_Toc184310341"/>
      <w:bookmarkEnd w:id="190"/>
      <w:bookmarkStart w:id="191" w:name="_Toc184312119"/>
      <w:bookmarkEnd w:id="191"/>
      <w:bookmarkStart w:id="192" w:name="_Toc184308056"/>
      <w:bookmarkEnd w:id="192"/>
      <w:bookmarkStart w:id="193" w:name="_Toc184314421"/>
      <w:bookmarkEnd w:id="193"/>
      <w:bookmarkStart w:id="194" w:name="_Toc184310274"/>
      <w:bookmarkEnd w:id="194"/>
      <w:bookmarkStart w:id="195" w:name="_Toc184312068"/>
      <w:bookmarkEnd w:id="195"/>
      <w:bookmarkStart w:id="196" w:name="_Toc184313280"/>
      <w:bookmarkEnd w:id="196"/>
      <w:bookmarkStart w:id="197" w:name="_Toc184313293"/>
      <w:bookmarkEnd w:id="197"/>
      <w:bookmarkStart w:id="198" w:name="_Toc184310324"/>
      <w:bookmarkEnd w:id="198"/>
      <w:bookmarkStart w:id="199" w:name="_Toc184314481"/>
      <w:bookmarkEnd w:id="199"/>
      <w:bookmarkStart w:id="200" w:name="_Toc184310339"/>
      <w:bookmarkEnd w:id="200"/>
      <w:bookmarkStart w:id="201" w:name="_Toc184308073"/>
      <w:bookmarkEnd w:id="201"/>
      <w:bookmarkStart w:id="202" w:name="_Toc184312131"/>
      <w:bookmarkEnd w:id="202"/>
      <w:bookmarkStart w:id="203" w:name="_Toc184313291"/>
      <w:bookmarkEnd w:id="203"/>
      <w:bookmarkStart w:id="204" w:name="_Toc184314444"/>
      <w:bookmarkEnd w:id="204"/>
      <w:bookmarkStart w:id="205" w:name="_Toc184313268"/>
      <w:bookmarkEnd w:id="205"/>
      <w:bookmarkStart w:id="206" w:name="_Toc184310278"/>
      <w:bookmarkEnd w:id="206"/>
      <w:bookmarkStart w:id="207" w:name="_Toc184308079"/>
      <w:bookmarkEnd w:id="207"/>
      <w:bookmarkStart w:id="208" w:name="_Toc184312124"/>
      <w:bookmarkEnd w:id="208"/>
      <w:bookmarkStart w:id="209" w:name="_Toc184314480"/>
      <w:bookmarkEnd w:id="209"/>
      <w:bookmarkStart w:id="210" w:name="_Toc184308048"/>
      <w:bookmarkEnd w:id="210"/>
      <w:bookmarkStart w:id="211" w:name="_Toc184313300"/>
      <w:bookmarkEnd w:id="211"/>
      <w:bookmarkStart w:id="212" w:name="_Toc184308094"/>
      <w:bookmarkEnd w:id="212"/>
      <w:bookmarkStart w:id="213" w:name="_Toc184308083"/>
      <w:bookmarkEnd w:id="213"/>
      <w:bookmarkStart w:id="214" w:name="_Toc184312112"/>
      <w:bookmarkEnd w:id="214"/>
      <w:bookmarkStart w:id="215" w:name="_Toc184310301"/>
      <w:bookmarkEnd w:id="215"/>
      <w:bookmarkStart w:id="216" w:name="_Toc184312130"/>
      <w:bookmarkEnd w:id="216"/>
      <w:bookmarkStart w:id="217" w:name="_Toc184312139"/>
      <w:bookmarkEnd w:id="217"/>
      <w:bookmarkStart w:id="218" w:name="_Toc184312133"/>
      <w:bookmarkEnd w:id="218"/>
      <w:bookmarkStart w:id="219" w:name="_Toc184308060"/>
      <w:bookmarkEnd w:id="219"/>
      <w:bookmarkStart w:id="220" w:name="_Toc184313241"/>
      <w:bookmarkEnd w:id="220"/>
      <w:bookmarkStart w:id="221" w:name="_Toc184314482"/>
      <w:bookmarkEnd w:id="221"/>
      <w:bookmarkStart w:id="222" w:name="_Toc184314426"/>
      <w:bookmarkEnd w:id="222"/>
      <w:bookmarkStart w:id="223" w:name="_Toc184313272"/>
      <w:bookmarkEnd w:id="223"/>
      <w:bookmarkStart w:id="224" w:name="_Toc184310276"/>
      <w:bookmarkEnd w:id="224"/>
      <w:bookmarkStart w:id="225" w:name="_Toc184308102"/>
      <w:bookmarkEnd w:id="225"/>
      <w:bookmarkStart w:id="226" w:name="_Toc184310317"/>
      <w:bookmarkEnd w:id="226"/>
      <w:bookmarkStart w:id="227" w:name="_Toc184310310"/>
      <w:bookmarkEnd w:id="227"/>
      <w:bookmarkStart w:id="228" w:name="_Toc184314452"/>
      <w:bookmarkEnd w:id="228"/>
      <w:bookmarkStart w:id="229" w:name="_Toc184312083"/>
      <w:bookmarkEnd w:id="229"/>
      <w:bookmarkStart w:id="230" w:name="_Toc184313289"/>
      <w:bookmarkEnd w:id="230"/>
      <w:bookmarkStart w:id="231" w:name="_Toc184313306"/>
      <w:bookmarkEnd w:id="231"/>
      <w:bookmarkStart w:id="232" w:name="_Toc184313277"/>
      <w:bookmarkEnd w:id="232"/>
      <w:bookmarkStart w:id="233" w:name="_Toc184312120"/>
      <w:bookmarkEnd w:id="233"/>
      <w:bookmarkStart w:id="234" w:name="_Toc184308066"/>
      <w:bookmarkEnd w:id="234"/>
      <w:bookmarkStart w:id="235" w:name="_Toc184310342"/>
      <w:bookmarkEnd w:id="235"/>
      <w:bookmarkStart w:id="236" w:name="_Toc184314476"/>
      <w:bookmarkEnd w:id="236"/>
      <w:bookmarkStart w:id="237" w:name="_Toc184308106"/>
      <w:bookmarkEnd w:id="237"/>
      <w:bookmarkStart w:id="238" w:name="_Toc184308108"/>
      <w:bookmarkEnd w:id="238"/>
      <w:bookmarkStart w:id="239" w:name="_Toc184313240"/>
      <w:bookmarkEnd w:id="239"/>
      <w:bookmarkStart w:id="240" w:name="_Toc184310328"/>
      <w:bookmarkEnd w:id="240"/>
      <w:bookmarkStart w:id="241" w:name="_Toc184308039"/>
      <w:bookmarkEnd w:id="241"/>
      <w:bookmarkStart w:id="242" w:name="_Toc184310280"/>
      <w:bookmarkEnd w:id="242"/>
      <w:bookmarkStart w:id="243" w:name="_Toc184312089"/>
      <w:bookmarkEnd w:id="243"/>
      <w:bookmarkStart w:id="244" w:name="_Toc184312137"/>
      <w:bookmarkEnd w:id="244"/>
      <w:bookmarkStart w:id="245" w:name="_Toc184308057"/>
      <w:bookmarkEnd w:id="245"/>
      <w:bookmarkStart w:id="246" w:name="_Toc184312095"/>
      <w:bookmarkEnd w:id="246"/>
      <w:bookmarkStart w:id="247" w:name="_Toc184310273"/>
      <w:bookmarkEnd w:id="247"/>
      <w:bookmarkStart w:id="248" w:name="_Toc184310279"/>
      <w:bookmarkEnd w:id="248"/>
      <w:bookmarkStart w:id="249" w:name="_Toc184310289"/>
      <w:bookmarkEnd w:id="249"/>
      <w:bookmarkStart w:id="250" w:name="_Toc184314430"/>
      <w:bookmarkEnd w:id="250"/>
      <w:bookmarkStart w:id="251" w:name="_Toc184313262"/>
      <w:bookmarkEnd w:id="251"/>
      <w:bookmarkStart w:id="252" w:name="_Toc184314455"/>
      <w:bookmarkEnd w:id="252"/>
      <w:bookmarkStart w:id="253" w:name="_Toc184308046"/>
      <w:bookmarkEnd w:id="253"/>
      <w:bookmarkStart w:id="254" w:name="_Toc184308069"/>
      <w:bookmarkEnd w:id="254"/>
      <w:bookmarkStart w:id="255" w:name="_Toc184314478"/>
      <w:bookmarkEnd w:id="255"/>
      <w:bookmarkStart w:id="256" w:name="_Toc184313238"/>
      <w:bookmarkEnd w:id="256"/>
      <w:bookmarkStart w:id="257" w:name="_Toc184310316"/>
      <w:bookmarkEnd w:id="257"/>
      <w:bookmarkStart w:id="258" w:name="_Toc184312114"/>
      <w:bookmarkEnd w:id="258"/>
      <w:bookmarkStart w:id="259" w:name="_Toc184313251"/>
      <w:bookmarkEnd w:id="259"/>
      <w:bookmarkStart w:id="260" w:name="_Toc184310275"/>
      <w:bookmarkEnd w:id="260"/>
      <w:bookmarkStart w:id="261" w:name="_Toc184308047"/>
      <w:bookmarkEnd w:id="261"/>
      <w:bookmarkStart w:id="262" w:name="_Toc184310290"/>
      <w:bookmarkEnd w:id="262"/>
      <w:bookmarkStart w:id="263" w:name="_Toc184314435"/>
      <w:bookmarkEnd w:id="263"/>
      <w:bookmarkStart w:id="264" w:name="_Toc184312136"/>
      <w:bookmarkEnd w:id="264"/>
      <w:bookmarkStart w:id="265" w:name="_Toc184313260"/>
      <w:bookmarkEnd w:id="265"/>
      <w:bookmarkStart w:id="266" w:name="_Toc184308100"/>
      <w:bookmarkEnd w:id="266"/>
      <w:bookmarkStart w:id="267" w:name="_Toc184313279"/>
      <w:bookmarkEnd w:id="267"/>
      <w:bookmarkStart w:id="268" w:name="_Toc184308063"/>
      <w:bookmarkEnd w:id="268"/>
      <w:bookmarkStart w:id="269" w:name="_Toc184312102"/>
      <w:bookmarkEnd w:id="269"/>
      <w:bookmarkStart w:id="270" w:name="_Toc184313242"/>
      <w:bookmarkEnd w:id="270"/>
      <w:bookmarkStart w:id="271" w:name="_Toc184312077"/>
      <w:bookmarkEnd w:id="271"/>
      <w:bookmarkStart w:id="272" w:name="_Toc184310327"/>
      <w:bookmarkEnd w:id="272"/>
      <w:bookmarkStart w:id="273" w:name="_Toc184314479"/>
      <w:bookmarkEnd w:id="273"/>
      <w:bookmarkStart w:id="274" w:name="_Toc184314447"/>
      <w:bookmarkEnd w:id="274"/>
      <w:bookmarkStart w:id="275" w:name="_Toc184313274"/>
      <w:bookmarkEnd w:id="275"/>
      <w:bookmarkStart w:id="276" w:name="_Toc184313310"/>
      <w:bookmarkEnd w:id="276"/>
      <w:bookmarkStart w:id="277" w:name="_Toc184313259"/>
      <w:bookmarkEnd w:id="277"/>
      <w:bookmarkStart w:id="278" w:name="_Toc184314434"/>
      <w:bookmarkEnd w:id="278"/>
      <w:bookmarkStart w:id="279" w:name="_Toc184308053"/>
      <w:bookmarkEnd w:id="279"/>
      <w:bookmarkStart w:id="280" w:name="_Toc184308058"/>
      <w:bookmarkEnd w:id="280"/>
      <w:bookmarkStart w:id="281" w:name="_Toc184308061"/>
      <w:bookmarkEnd w:id="281"/>
      <w:bookmarkStart w:id="282" w:name="_Toc184310326"/>
      <w:bookmarkEnd w:id="282"/>
      <w:bookmarkStart w:id="283" w:name="_Toc184312081"/>
      <w:bookmarkEnd w:id="283"/>
      <w:bookmarkStart w:id="284" w:name="_Toc184312099"/>
      <w:bookmarkEnd w:id="284"/>
      <w:bookmarkStart w:id="285" w:name="_Toc184310300"/>
      <w:bookmarkEnd w:id="285"/>
      <w:bookmarkStart w:id="286" w:name="_Toc184310322"/>
      <w:bookmarkEnd w:id="286"/>
      <w:bookmarkStart w:id="287" w:name="_Toc184308086"/>
      <w:bookmarkEnd w:id="287"/>
      <w:bookmarkStart w:id="288" w:name="_Toc184312092"/>
      <w:bookmarkEnd w:id="288"/>
      <w:bookmarkStart w:id="289" w:name="_Toc184308107"/>
      <w:bookmarkEnd w:id="289"/>
      <w:bookmarkStart w:id="290" w:name="_Toc184310333"/>
      <w:bookmarkEnd w:id="290"/>
      <w:bookmarkStart w:id="291" w:name="_Toc184312126"/>
      <w:bookmarkEnd w:id="291"/>
      <w:bookmarkStart w:id="292" w:name="_Toc184313239"/>
      <w:bookmarkEnd w:id="292"/>
      <w:bookmarkStart w:id="293" w:name="_Toc184308104"/>
      <w:bookmarkEnd w:id="293"/>
      <w:bookmarkStart w:id="294" w:name="_Toc184312115"/>
      <w:bookmarkEnd w:id="294"/>
      <w:bookmarkStart w:id="295" w:name="_Toc184312113"/>
      <w:bookmarkEnd w:id="295"/>
      <w:bookmarkStart w:id="296" w:name="_Toc184308043"/>
      <w:bookmarkEnd w:id="296"/>
      <w:bookmarkStart w:id="297" w:name="_Toc184310282"/>
      <w:bookmarkEnd w:id="297"/>
      <w:bookmarkStart w:id="298" w:name="_Toc184312074"/>
      <w:bookmarkEnd w:id="298"/>
      <w:bookmarkStart w:id="299" w:name="_Toc184314441"/>
      <w:bookmarkEnd w:id="299"/>
      <w:bookmarkStart w:id="300" w:name="_Toc184313249"/>
      <w:bookmarkEnd w:id="300"/>
      <w:bookmarkStart w:id="301" w:name="_Toc184308084"/>
      <w:bookmarkEnd w:id="301"/>
      <w:bookmarkStart w:id="302" w:name="_Toc184308074"/>
      <w:bookmarkEnd w:id="302"/>
      <w:bookmarkStart w:id="303" w:name="_Toc184313296"/>
      <w:bookmarkEnd w:id="303"/>
      <w:bookmarkStart w:id="304" w:name="_Toc184308065"/>
      <w:bookmarkEnd w:id="304"/>
      <w:bookmarkStart w:id="305" w:name="_Toc184308051"/>
      <w:bookmarkEnd w:id="305"/>
      <w:bookmarkStart w:id="306" w:name="_Toc184310294"/>
      <w:bookmarkEnd w:id="306"/>
      <w:bookmarkStart w:id="307" w:name="_Toc184312122"/>
      <w:bookmarkEnd w:id="307"/>
      <w:bookmarkStart w:id="308" w:name="_Toc184310298"/>
      <w:bookmarkEnd w:id="308"/>
      <w:bookmarkStart w:id="309" w:name="_Toc184313247"/>
      <w:bookmarkEnd w:id="309"/>
      <w:bookmarkStart w:id="310" w:name="_Toc184314427"/>
      <w:bookmarkEnd w:id="310"/>
      <w:bookmarkStart w:id="311" w:name="_Toc184312116"/>
      <w:bookmarkEnd w:id="311"/>
      <w:bookmarkStart w:id="312" w:name="_Toc184308105"/>
      <w:bookmarkEnd w:id="312"/>
      <w:bookmarkStart w:id="313" w:name="_Toc184308052"/>
      <w:bookmarkEnd w:id="313"/>
      <w:bookmarkStart w:id="314" w:name="_Toc184313288"/>
      <w:bookmarkEnd w:id="314"/>
      <w:bookmarkStart w:id="315" w:name="_Toc184313276"/>
      <w:bookmarkEnd w:id="315"/>
      <w:bookmarkStart w:id="316" w:name="_Toc184310285"/>
      <w:bookmarkEnd w:id="316"/>
      <w:bookmarkStart w:id="317" w:name="_Toc184314416"/>
      <w:bookmarkEnd w:id="317"/>
      <w:bookmarkStart w:id="318" w:name="_Toc184312107"/>
      <w:bookmarkEnd w:id="318"/>
      <w:bookmarkStart w:id="319" w:name="_Toc184310309"/>
      <w:bookmarkEnd w:id="319"/>
      <w:bookmarkStart w:id="320" w:name="_Toc184314437"/>
      <w:bookmarkEnd w:id="320"/>
      <w:bookmarkStart w:id="321" w:name="_Toc184314411"/>
      <w:bookmarkEnd w:id="321"/>
      <w:bookmarkStart w:id="322" w:name="_Toc184314471"/>
      <w:bookmarkEnd w:id="322"/>
      <w:bookmarkStart w:id="323" w:name="_Toc184314453"/>
      <w:bookmarkEnd w:id="323"/>
      <w:bookmarkStart w:id="324" w:name="_Toc184313298"/>
      <w:bookmarkEnd w:id="324"/>
      <w:bookmarkStart w:id="325" w:name="_Toc184308044"/>
      <w:bookmarkEnd w:id="325"/>
      <w:bookmarkStart w:id="326" w:name="_Toc184308041"/>
      <w:bookmarkEnd w:id="326"/>
      <w:bookmarkStart w:id="327" w:name="_Toc184313282"/>
      <w:bookmarkEnd w:id="327"/>
      <w:bookmarkStart w:id="328" w:name="_Toc184313252"/>
      <w:bookmarkEnd w:id="328"/>
      <w:bookmarkStart w:id="329" w:name="_Toc184308096"/>
      <w:bookmarkEnd w:id="329"/>
      <w:bookmarkStart w:id="330" w:name="_Toc184312090"/>
      <w:bookmarkEnd w:id="330"/>
      <w:bookmarkStart w:id="331" w:name="_Toc184314449"/>
      <w:bookmarkEnd w:id="331"/>
      <w:bookmarkStart w:id="332" w:name="_Toc184312070"/>
      <w:bookmarkEnd w:id="332"/>
      <w:bookmarkStart w:id="333" w:name="_Toc184313281"/>
      <w:bookmarkEnd w:id="333"/>
      <w:bookmarkStart w:id="334" w:name="_Toc184312104"/>
      <w:bookmarkEnd w:id="334"/>
      <w:bookmarkStart w:id="335" w:name="_Toc184314420"/>
      <w:bookmarkEnd w:id="335"/>
      <w:bookmarkStart w:id="336" w:name="_Toc184313256"/>
      <w:bookmarkEnd w:id="336"/>
      <w:bookmarkStart w:id="337" w:name="_Toc184314450"/>
      <w:bookmarkEnd w:id="337"/>
      <w:bookmarkStart w:id="338" w:name="_Toc184312087"/>
      <w:bookmarkEnd w:id="338"/>
      <w:bookmarkStart w:id="339" w:name="_Toc184308040"/>
      <w:bookmarkEnd w:id="339"/>
      <w:bookmarkStart w:id="340" w:name="_Toc184310344"/>
      <w:bookmarkEnd w:id="340"/>
      <w:bookmarkStart w:id="341" w:name="_Toc184313248"/>
      <w:bookmarkEnd w:id="341"/>
      <w:bookmarkStart w:id="342" w:name="_Toc184310311"/>
      <w:bookmarkEnd w:id="342"/>
      <w:bookmarkStart w:id="343" w:name="_Toc184314446"/>
      <w:bookmarkEnd w:id="343"/>
      <w:bookmarkStart w:id="344" w:name="_Toc184308098"/>
      <w:bookmarkEnd w:id="344"/>
      <w:bookmarkStart w:id="345" w:name="_Toc184312094"/>
      <w:bookmarkEnd w:id="345"/>
      <w:bookmarkStart w:id="346" w:name="_Toc184308099"/>
      <w:bookmarkEnd w:id="346"/>
      <w:bookmarkStart w:id="347" w:name="_Toc184314475"/>
      <w:bookmarkEnd w:id="347"/>
      <w:bookmarkStart w:id="348" w:name="_Toc184312110"/>
      <w:bookmarkEnd w:id="348"/>
      <w:bookmarkStart w:id="349" w:name="_Toc184308088"/>
      <w:bookmarkEnd w:id="349"/>
      <w:bookmarkStart w:id="350" w:name="_Toc184310303"/>
      <w:bookmarkEnd w:id="350"/>
      <w:bookmarkStart w:id="351" w:name="_Toc184314410"/>
      <w:bookmarkEnd w:id="351"/>
      <w:bookmarkStart w:id="352" w:name="_Toc184310304"/>
      <w:bookmarkEnd w:id="352"/>
      <w:bookmarkStart w:id="353" w:name="_Toc184314457"/>
      <w:bookmarkEnd w:id="353"/>
      <w:bookmarkStart w:id="354" w:name="_Toc184310313"/>
      <w:bookmarkEnd w:id="354"/>
      <w:bookmarkStart w:id="355" w:name="_Toc184313303"/>
      <w:bookmarkEnd w:id="355"/>
      <w:bookmarkStart w:id="356" w:name="_Toc184314454"/>
      <w:bookmarkEnd w:id="356"/>
      <w:bookmarkStart w:id="357" w:name="_Toc184310332"/>
      <w:bookmarkEnd w:id="357"/>
      <w:bookmarkStart w:id="358" w:name="_Toc184312096"/>
      <w:bookmarkEnd w:id="358"/>
      <w:bookmarkStart w:id="359" w:name="_Toc184310288"/>
      <w:bookmarkEnd w:id="359"/>
      <w:bookmarkStart w:id="360" w:name="_Toc184314431"/>
      <w:bookmarkEnd w:id="360"/>
      <w:bookmarkStart w:id="361" w:name="_Toc184312082"/>
      <w:bookmarkEnd w:id="361"/>
      <w:bookmarkStart w:id="362" w:name="_Toc184310312"/>
      <w:bookmarkEnd w:id="362"/>
      <w:bookmarkStart w:id="363" w:name="_Toc184313244"/>
      <w:bookmarkEnd w:id="363"/>
      <w:bookmarkStart w:id="364" w:name="_Toc184314429"/>
      <w:bookmarkEnd w:id="364"/>
      <w:bookmarkStart w:id="365" w:name="_Toc184310329"/>
      <w:bookmarkEnd w:id="365"/>
      <w:bookmarkStart w:id="366" w:name="_Toc184313299"/>
      <w:bookmarkEnd w:id="366"/>
      <w:bookmarkStart w:id="367" w:name="_Toc184313254"/>
      <w:bookmarkEnd w:id="367"/>
      <w:bookmarkStart w:id="368" w:name="_Toc184312069"/>
      <w:bookmarkEnd w:id="368"/>
      <w:bookmarkStart w:id="369" w:name="_Toc184312100"/>
      <w:bookmarkEnd w:id="369"/>
      <w:bookmarkStart w:id="370" w:name="_Toc184313243"/>
      <w:bookmarkEnd w:id="370"/>
      <w:bookmarkStart w:id="371" w:name="_Toc184308087"/>
      <w:bookmarkEnd w:id="371"/>
      <w:bookmarkStart w:id="372" w:name="_Toc184308068"/>
      <w:bookmarkEnd w:id="372"/>
      <w:bookmarkStart w:id="373" w:name="_Toc184314425"/>
      <w:bookmarkEnd w:id="373"/>
      <w:bookmarkStart w:id="374" w:name="_Toc184312111"/>
      <w:bookmarkEnd w:id="374"/>
      <w:bookmarkStart w:id="375" w:name="_Toc184310321"/>
      <w:bookmarkEnd w:id="375"/>
      <w:bookmarkStart w:id="376" w:name="_Toc184308045"/>
      <w:bookmarkEnd w:id="376"/>
      <w:bookmarkStart w:id="377" w:name="_Toc184308075"/>
      <w:bookmarkEnd w:id="377"/>
      <w:bookmarkStart w:id="378" w:name="_Toc184313286"/>
      <w:bookmarkEnd w:id="378"/>
      <w:bookmarkStart w:id="379" w:name="_Toc184310299"/>
      <w:bookmarkEnd w:id="379"/>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numPr>
          <w:ilvl w:val="0"/>
          <w:numId w:val="4"/>
        </w:num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w:t>
      </w:r>
    </w:p>
    <w:p>
      <w:pPr>
        <w:pStyle w:val="95"/>
        <w:spacing w:before="0"/>
        <w:ind w:firstLine="602" w:firstLineChars="25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本次评标采用综合评分法，总分为100分。</w:t>
      </w:r>
      <w:r>
        <w:rPr>
          <w:rFonts w:hint="eastAsia" w:ascii="宋体" w:hAnsi="宋体" w:eastAsia="宋体" w:cs="宋体"/>
          <w:color w:val="auto"/>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numPr>
          <w:ilvl w:val="0"/>
          <w:numId w:val="0"/>
        </w:numPr>
        <w:snapToGrid w:val="0"/>
        <w:spacing w:line="360" w:lineRule="auto"/>
        <w:ind w:firstLine="482" w:firstLineChars="200"/>
        <w:rPr>
          <w:rFonts w:hint="eastAsia" w:ascii="宋体" w:hAnsi="宋体" w:eastAsia="宋体" w:cs="宋体"/>
          <w:color w:val="auto"/>
          <w:highlight w:val="none"/>
          <w:lang w:val="en-US"/>
        </w:rPr>
      </w:pPr>
      <w:r>
        <w:rPr>
          <w:rFonts w:hint="eastAsia" w:ascii="宋体" w:hAnsi="宋体" w:eastAsia="宋体" w:cs="宋体"/>
          <w:b/>
          <w:bCs/>
          <w:color w:val="auto"/>
          <w:sz w:val="24"/>
          <w:highlight w:val="none"/>
          <w:lang w:val="en-US" w:eastAsia="zh-CN"/>
        </w:rPr>
        <w:t>评标标准（技术、商务分90分）</w:t>
      </w:r>
      <w:r>
        <w:rPr>
          <w:rFonts w:hint="eastAsia" w:ascii="宋体" w:hAnsi="宋体" w:cs="宋体"/>
          <w:b/>
          <w:bCs/>
          <w:color w:val="auto"/>
          <w:sz w:val="24"/>
          <w:highlight w:val="none"/>
          <w:lang w:val="en-US" w:eastAsia="zh-CN"/>
        </w:rPr>
        <w:t>：</w:t>
      </w:r>
    </w:p>
    <w:p>
      <w:pPr>
        <w:pStyle w:val="109"/>
        <w:snapToGrid w:val="0"/>
        <w:spacing w:line="360" w:lineRule="auto"/>
        <w:ind w:left="842"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评标办法前附表</w:t>
      </w:r>
    </w:p>
    <w:bookmarkEnd w:id="14"/>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333"/>
        <w:gridCol w:w="674"/>
        <w:gridCol w:w="1043"/>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lang w:val="en-US" w:eastAsia="zh-CN"/>
              </w:rPr>
              <w:t>序号</w:t>
            </w:r>
          </w:p>
        </w:tc>
        <w:tc>
          <w:tcPr>
            <w:tcW w:w="4333" w:type="dxa"/>
            <w:vAlign w:val="center"/>
          </w:tcPr>
          <w:p>
            <w:pPr>
              <w:snapToGrid w:val="0"/>
              <w:spacing w:before="0" w:beforeAutospacing="0" w:after="0" w:afterAutospacing="0" w:line="360" w:lineRule="auto"/>
              <w:ind w:left="0" w:right="0"/>
              <w:jc w:val="center"/>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lang w:val="en-US" w:eastAsia="zh-CN"/>
              </w:rPr>
              <w:t>评标标准</w:t>
            </w:r>
          </w:p>
        </w:tc>
        <w:tc>
          <w:tcPr>
            <w:tcW w:w="674" w:type="dxa"/>
            <w:vAlign w:val="center"/>
          </w:tcPr>
          <w:p>
            <w:pPr>
              <w:snapToGrid w:val="0"/>
              <w:spacing w:before="0" w:beforeAutospacing="0" w:after="0" w:afterAutospacing="0" w:line="360" w:lineRule="auto"/>
              <w:ind w:left="0" w:right="0"/>
              <w:jc w:val="center"/>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lang w:val="en-US" w:eastAsia="zh-CN"/>
              </w:rPr>
              <w:t>权重</w:t>
            </w:r>
          </w:p>
        </w:tc>
        <w:tc>
          <w:tcPr>
            <w:tcW w:w="1043" w:type="dxa"/>
            <w:vAlign w:val="center"/>
          </w:tcPr>
          <w:p>
            <w:pPr>
              <w:snapToGrid w:val="0"/>
              <w:spacing w:before="0" w:beforeAutospacing="0" w:after="0" w:afterAutospacing="0" w:line="360" w:lineRule="auto"/>
              <w:ind w:left="0" w:right="0"/>
              <w:jc w:val="center"/>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lang w:val="en-US" w:eastAsia="zh-CN"/>
              </w:rPr>
              <w:t>主观分/客观分属性</w:t>
            </w:r>
          </w:p>
        </w:tc>
        <w:tc>
          <w:tcPr>
            <w:tcW w:w="1556" w:type="dxa"/>
            <w:vAlign w:val="center"/>
          </w:tcPr>
          <w:p>
            <w:pPr>
              <w:snapToGrid w:val="0"/>
              <w:spacing w:before="0" w:beforeAutospacing="0" w:after="0" w:afterAutospacing="0" w:line="360" w:lineRule="auto"/>
              <w:ind w:left="0" w:right="0"/>
              <w:jc w:val="center"/>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lang w:val="en-US" w:eastAsia="zh-CN"/>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4333" w:type="dxa"/>
            <w:vAlign w:val="center"/>
          </w:tcPr>
          <w:p>
            <w:pPr>
              <w:snapToGrid w:val="0"/>
              <w:spacing w:before="0" w:beforeAutospacing="0" w:after="0" w:afterAutospacing="0" w:line="240" w:lineRule="auto"/>
              <w:ind w:left="0" w:right="0"/>
              <w:jc w:val="left"/>
              <w:rPr>
                <w:rFonts w:hint="eastAsia" w:ascii="宋体" w:hAnsi="宋体" w:eastAsia="宋体" w:cs="Times New Roman"/>
                <w:bCs/>
                <w:color w:val="auto"/>
                <w:sz w:val="24"/>
                <w:lang w:val="en-US" w:eastAsia="zh-CN"/>
              </w:rPr>
            </w:pPr>
            <w:r>
              <w:rPr>
                <w:rFonts w:hint="eastAsia" w:ascii="仿宋" w:hAnsi="仿宋" w:eastAsia="仿宋" w:cs="仿宋"/>
                <w:bCs/>
                <w:color w:val="auto"/>
                <w:sz w:val="24"/>
                <w:lang w:val="en-US" w:eastAsia="zh-CN"/>
              </w:rPr>
              <w:t>投标人自有收容场地1000㎡且具有室内收容房的得10分，600㎡且具有室内收容房的得5分，300㎡且具有室内收容房的得3分。</w:t>
            </w:r>
            <w:r>
              <w:rPr>
                <w:rFonts w:hint="eastAsia" w:ascii="仿宋" w:hAnsi="仿宋" w:eastAsia="仿宋" w:cs="仿宋_GB2312"/>
                <w:b/>
                <w:bCs/>
                <w:color w:val="auto"/>
                <w:sz w:val="24"/>
                <w:szCs w:val="24"/>
                <w:highlight w:val="none"/>
                <w:lang w:val="en-US" w:eastAsia="zh-CN"/>
              </w:rPr>
              <w:t>注：提供房产证或土地证或房屋租赁合同或土地租赁合同复印件并加盖公章，不提供不得分。</w:t>
            </w:r>
          </w:p>
        </w:tc>
        <w:tc>
          <w:tcPr>
            <w:tcW w:w="674"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10</w:t>
            </w:r>
          </w:p>
        </w:tc>
        <w:tc>
          <w:tcPr>
            <w:tcW w:w="1043" w:type="dxa"/>
            <w:vAlign w:val="center"/>
          </w:tcPr>
          <w:p>
            <w:pPr>
              <w:snapToGrid w:val="0"/>
              <w:spacing w:before="0" w:beforeAutospacing="0" w:after="0" w:afterAutospacing="0" w:line="360" w:lineRule="auto"/>
              <w:ind w:left="0" w:right="0"/>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客观分</w:t>
            </w:r>
          </w:p>
        </w:tc>
        <w:tc>
          <w:tcPr>
            <w:tcW w:w="1556"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拟项目实施场地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4333" w:type="dxa"/>
            <w:vAlign w:val="center"/>
          </w:tcPr>
          <w:p>
            <w:pPr>
              <w:snapToGrid w:val="0"/>
              <w:spacing w:before="0" w:beforeAutospacing="0" w:after="0" w:afterAutospacing="0" w:line="240" w:lineRule="auto"/>
              <w:ind w:left="0" w:right="0"/>
              <w:jc w:val="left"/>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投标人具有两个或以上的服务网点得5分；拥有合作宠物医院的得5分。</w:t>
            </w:r>
            <w:r>
              <w:rPr>
                <w:rFonts w:hint="eastAsia" w:ascii="仿宋" w:hAnsi="仿宋" w:eastAsia="仿宋" w:cs="仿宋_GB2312"/>
                <w:b/>
                <w:bCs/>
                <w:color w:val="auto"/>
                <w:sz w:val="24"/>
                <w:szCs w:val="24"/>
                <w:highlight w:val="none"/>
                <w:lang w:val="en-US" w:eastAsia="zh-CN"/>
              </w:rPr>
              <w:t>提供房屋租赁合同和合作单位合作合同复印件并加盖公章，不提供不得分。</w:t>
            </w:r>
          </w:p>
        </w:tc>
        <w:tc>
          <w:tcPr>
            <w:tcW w:w="674"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10</w:t>
            </w:r>
          </w:p>
        </w:tc>
        <w:tc>
          <w:tcPr>
            <w:tcW w:w="1043"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客观分</w:t>
            </w:r>
          </w:p>
        </w:tc>
        <w:tc>
          <w:tcPr>
            <w:tcW w:w="1556"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拟投入项目实施条件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4333" w:type="dxa"/>
            <w:vAlign w:val="center"/>
          </w:tcPr>
          <w:p>
            <w:pPr>
              <w:snapToGrid w:val="0"/>
              <w:spacing w:before="0" w:beforeAutospacing="0" w:after="0" w:afterAutospacing="0" w:line="240" w:lineRule="auto"/>
              <w:ind w:left="0" w:right="0"/>
              <w:jc w:val="left"/>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拟投入项目负责人具有执业兽医资格证得5分。</w:t>
            </w:r>
            <w:r>
              <w:rPr>
                <w:rFonts w:hint="eastAsia" w:ascii="仿宋" w:hAnsi="仿宋" w:eastAsia="仿宋" w:cs="仿宋_GB2312"/>
                <w:b/>
                <w:bCs/>
                <w:color w:val="auto"/>
                <w:sz w:val="24"/>
                <w:szCs w:val="24"/>
                <w:highlight w:val="none"/>
                <w:lang w:val="en-US" w:eastAsia="zh-CN"/>
              </w:rPr>
              <w:t>提供证书复印件并加盖公章，不提供不得分。</w:t>
            </w:r>
          </w:p>
        </w:tc>
        <w:tc>
          <w:tcPr>
            <w:tcW w:w="674"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5</w:t>
            </w:r>
          </w:p>
        </w:tc>
        <w:tc>
          <w:tcPr>
            <w:tcW w:w="1043"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客观分</w:t>
            </w:r>
          </w:p>
        </w:tc>
        <w:tc>
          <w:tcPr>
            <w:tcW w:w="1556"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拟项目负责人证书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4333" w:type="dxa"/>
            <w:vAlign w:val="center"/>
          </w:tcPr>
          <w:p>
            <w:pPr>
              <w:snapToGrid w:val="0"/>
              <w:spacing w:before="0" w:beforeAutospacing="0" w:after="0" w:afterAutospacing="0" w:line="240" w:lineRule="auto"/>
              <w:ind w:left="0" w:right="0"/>
              <w:jc w:val="left"/>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拟投入技术负责人具有执业兽医资格证得5分。</w:t>
            </w:r>
            <w:r>
              <w:rPr>
                <w:rFonts w:hint="eastAsia" w:ascii="仿宋" w:hAnsi="仿宋" w:eastAsia="仿宋" w:cs="仿宋_GB2312"/>
                <w:b/>
                <w:bCs/>
                <w:color w:val="auto"/>
                <w:sz w:val="24"/>
                <w:szCs w:val="24"/>
                <w:highlight w:val="none"/>
                <w:lang w:val="en-US" w:eastAsia="zh-CN"/>
              </w:rPr>
              <w:t>提供证书复印件并加盖公章，不提供不得分。</w:t>
            </w:r>
          </w:p>
        </w:tc>
        <w:tc>
          <w:tcPr>
            <w:tcW w:w="674"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5</w:t>
            </w:r>
          </w:p>
        </w:tc>
        <w:tc>
          <w:tcPr>
            <w:tcW w:w="1043" w:type="dxa"/>
            <w:vAlign w:val="center"/>
          </w:tcPr>
          <w:p>
            <w:pPr>
              <w:snapToGrid w:val="0"/>
              <w:spacing w:before="0" w:beforeAutospacing="0" w:after="0" w:afterAutospacing="0" w:line="360" w:lineRule="auto"/>
              <w:ind w:left="0" w:right="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lang w:val="en-US" w:eastAsia="zh-CN"/>
              </w:rPr>
              <w:t>客观分</w:t>
            </w:r>
          </w:p>
        </w:tc>
        <w:tc>
          <w:tcPr>
            <w:tcW w:w="1556" w:type="dxa"/>
            <w:vAlign w:val="center"/>
          </w:tcPr>
          <w:p>
            <w:pPr>
              <w:snapToGrid w:val="0"/>
              <w:spacing w:before="0" w:beforeAutospacing="0" w:after="0" w:afterAutospacing="0" w:line="360" w:lineRule="auto"/>
              <w:ind w:left="0" w:right="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lang w:val="en-US" w:eastAsia="zh-CN"/>
              </w:rPr>
              <w:t>拟技术负责人证书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4333" w:type="dxa"/>
            <w:vAlign w:val="center"/>
          </w:tcPr>
          <w:p>
            <w:pPr>
              <w:snapToGrid w:val="0"/>
              <w:spacing w:before="0" w:beforeAutospacing="0" w:after="0" w:afterAutospacing="0" w:line="240" w:lineRule="auto"/>
              <w:ind w:left="0" w:right="0"/>
              <w:jc w:val="left"/>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拟投入人员具有动物疫病防治员证书，每提供一个得1分，最高得3分；具有乡村兽医资格证书，每提供一个得1分，最高得3分。</w:t>
            </w:r>
            <w:r>
              <w:rPr>
                <w:rFonts w:hint="eastAsia" w:ascii="仿宋" w:hAnsi="仿宋" w:eastAsia="仿宋" w:cs="仿宋_GB2312"/>
                <w:b/>
                <w:bCs/>
                <w:color w:val="auto"/>
                <w:sz w:val="24"/>
                <w:szCs w:val="24"/>
                <w:highlight w:val="none"/>
                <w:lang w:val="en-US" w:eastAsia="zh-CN"/>
              </w:rPr>
              <w:t>提供证书复印件并加盖公章，不提供不得分。</w:t>
            </w:r>
          </w:p>
        </w:tc>
        <w:tc>
          <w:tcPr>
            <w:tcW w:w="674"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6</w:t>
            </w:r>
          </w:p>
        </w:tc>
        <w:tc>
          <w:tcPr>
            <w:tcW w:w="1043"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客观分</w:t>
            </w:r>
          </w:p>
        </w:tc>
        <w:tc>
          <w:tcPr>
            <w:tcW w:w="1556" w:type="dxa"/>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拟投入人员证书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89" w:type="dxa"/>
            <w:vMerge w:val="restart"/>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p>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6</w:t>
            </w:r>
          </w:p>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p>
        </w:tc>
        <w:tc>
          <w:tcPr>
            <w:tcW w:w="4333" w:type="dxa"/>
            <w:vAlign w:val="center"/>
          </w:tcPr>
          <w:p>
            <w:pPr>
              <w:snapToGrid w:val="0"/>
              <w:spacing w:before="0" w:beforeAutospacing="0" w:after="0" w:afterAutospacing="0" w:line="240" w:lineRule="auto"/>
              <w:ind w:left="0" w:right="0"/>
              <w:jc w:val="left"/>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投标人具有机动车用于犬只接驳，每辆得2分，最高得2分。</w:t>
            </w:r>
            <w:r>
              <w:rPr>
                <w:rFonts w:hint="eastAsia" w:ascii="仿宋" w:hAnsi="仿宋" w:eastAsia="仿宋" w:cs="仿宋_GB2312"/>
                <w:b/>
                <w:bCs/>
                <w:color w:val="auto"/>
                <w:sz w:val="24"/>
                <w:szCs w:val="24"/>
                <w:highlight w:val="none"/>
                <w:lang w:val="en-US" w:eastAsia="zh-CN"/>
              </w:rPr>
              <w:t>提供车辆行驶证或车辆租赁合同件并加盖公章，不提供不得分。</w:t>
            </w:r>
          </w:p>
        </w:tc>
        <w:tc>
          <w:tcPr>
            <w:tcW w:w="674" w:type="dxa"/>
            <w:vMerge w:val="restart"/>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4</w:t>
            </w:r>
          </w:p>
        </w:tc>
        <w:tc>
          <w:tcPr>
            <w:tcW w:w="1043" w:type="dxa"/>
            <w:vMerge w:val="restart"/>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客观分</w:t>
            </w:r>
          </w:p>
        </w:tc>
        <w:tc>
          <w:tcPr>
            <w:tcW w:w="1556" w:type="dxa"/>
            <w:vMerge w:val="restart"/>
            <w:vAlign w:val="center"/>
          </w:tcPr>
          <w:p>
            <w:pPr>
              <w:snapToGrid w:val="0"/>
              <w:spacing w:before="0" w:beforeAutospacing="0" w:after="0" w:afterAutospacing="0" w:line="360" w:lineRule="auto"/>
              <w:ind w:left="0" w:right="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拟投入设备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89" w:type="dxa"/>
            <w:vMerge w:val="continue"/>
            <w:vAlign w:val="center"/>
          </w:tcPr>
          <w:p>
            <w:pPr>
              <w:snapToGrid w:val="0"/>
              <w:spacing w:before="0" w:beforeAutospacing="0" w:after="0" w:afterAutospacing="0" w:line="240" w:lineRule="auto"/>
              <w:ind w:left="0" w:right="0"/>
              <w:jc w:val="center"/>
              <w:rPr>
                <w:rFonts w:hint="eastAsia" w:ascii="宋体" w:hAnsi="宋体" w:eastAsia="宋体" w:cs="宋体"/>
                <w:b w:val="0"/>
                <w:bCs/>
                <w:sz w:val="24"/>
                <w:szCs w:val="24"/>
              </w:rPr>
            </w:pPr>
          </w:p>
        </w:tc>
        <w:tc>
          <w:tcPr>
            <w:tcW w:w="4333" w:type="dxa"/>
            <w:vAlign w:val="center"/>
          </w:tcPr>
          <w:p>
            <w:pPr>
              <w:snapToGrid w:val="0"/>
              <w:spacing w:before="0" w:beforeAutospacing="0" w:after="0" w:afterAutospacing="0" w:line="240" w:lineRule="auto"/>
              <w:ind w:left="0" w:right="0"/>
              <w:jc w:val="left"/>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投标人具有新能源货车犬只接驳，每辆得2分，最高得2分。</w:t>
            </w:r>
            <w:r>
              <w:rPr>
                <w:rFonts w:hint="eastAsia" w:ascii="仿宋" w:hAnsi="仿宋" w:eastAsia="仿宋" w:cs="仿宋_GB2312"/>
                <w:b/>
                <w:bCs/>
                <w:color w:val="auto"/>
                <w:sz w:val="24"/>
                <w:szCs w:val="24"/>
                <w:highlight w:val="none"/>
                <w:lang w:val="en-US" w:eastAsia="zh-CN"/>
              </w:rPr>
              <w:t>提供车辆行驶证或车辆租赁合同件并加盖公章，不提供不得分。</w:t>
            </w:r>
          </w:p>
        </w:tc>
        <w:tc>
          <w:tcPr>
            <w:tcW w:w="674" w:type="dxa"/>
            <w:vMerge w:val="continue"/>
            <w:vAlign w:val="center"/>
          </w:tcPr>
          <w:p>
            <w:pPr>
              <w:snapToGrid w:val="0"/>
              <w:spacing w:before="0" w:beforeAutospacing="0" w:after="0" w:afterAutospacing="0" w:line="240" w:lineRule="auto"/>
              <w:ind w:left="0" w:right="0"/>
              <w:jc w:val="center"/>
              <w:rPr>
                <w:rFonts w:hint="eastAsia" w:ascii="仿宋" w:hAnsi="仿宋" w:eastAsia="仿宋" w:cs="仿宋"/>
                <w:bCs/>
                <w:color w:val="auto"/>
                <w:sz w:val="24"/>
                <w:lang w:val="en-US" w:eastAsia="zh-CN"/>
              </w:rPr>
            </w:pPr>
          </w:p>
        </w:tc>
        <w:tc>
          <w:tcPr>
            <w:tcW w:w="1043" w:type="dxa"/>
            <w:vMerge w:val="continue"/>
            <w:vAlign w:val="center"/>
          </w:tcPr>
          <w:p>
            <w:pPr>
              <w:snapToGrid w:val="0"/>
              <w:spacing w:before="0" w:beforeAutospacing="0" w:after="0" w:afterAutospacing="0" w:line="240" w:lineRule="auto"/>
              <w:ind w:left="0" w:right="0"/>
              <w:jc w:val="center"/>
              <w:rPr>
                <w:rFonts w:hint="eastAsia" w:ascii="仿宋" w:hAnsi="仿宋" w:eastAsia="仿宋" w:cs="仿宋"/>
                <w:bCs/>
                <w:color w:val="auto"/>
                <w:sz w:val="24"/>
                <w:lang w:val="en-US" w:eastAsia="zh-CN"/>
              </w:rPr>
            </w:pPr>
          </w:p>
        </w:tc>
        <w:tc>
          <w:tcPr>
            <w:tcW w:w="1556" w:type="dxa"/>
            <w:vMerge w:val="continue"/>
            <w:vAlign w:val="center"/>
          </w:tcPr>
          <w:p>
            <w:pPr>
              <w:snapToGrid w:val="0"/>
              <w:spacing w:before="0" w:beforeAutospacing="0" w:after="0" w:afterAutospacing="0" w:line="240" w:lineRule="auto"/>
              <w:ind w:left="0" w:right="0"/>
              <w:jc w:val="center"/>
              <w:rPr>
                <w:rFonts w:hint="eastAsia" w:ascii="仿宋" w:hAnsi="仿宋" w:eastAsia="仿宋" w:cs="仿宋"/>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7</w:t>
            </w:r>
          </w:p>
        </w:tc>
        <w:tc>
          <w:tcPr>
            <w:tcW w:w="4333" w:type="dxa"/>
            <w:vAlign w:val="center"/>
          </w:tcPr>
          <w:p>
            <w:pPr>
              <w:pStyle w:val="17"/>
              <w:spacing w:before="0" w:beforeAutospacing="0" w:after="0" w:afterAutospacing="0" w:line="240" w:lineRule="auto"/>
              <w:ind w:left="0" w:leftChars="0" w:right="0" w:firstLine="0" w:firstLineChars="0"/>
              <w:jc w:val="left"/>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投标人承诺接到采购人通知后半小时内到达指定地点的得5分。</w:t>
            </w:r>
            <w:r>
              <w:rPr>
                <w:rFonts w:hint="eastAsia" w:ascii="仿宋" w:hAnsi="仿宋" w:eastAsia="仿宋" w:cs="仿宋_GB2312"/>
                <w:b/>
                <w:bCs/>
                <w:color w:val="auto"/>
                <w:sz w:val="24"/>
                <w:szCs w:val="24"/>
                <w:highlight w:val="none"/>
                <w:lang w:val="en-US" w:eastAsia="zh-CN"/>
              </w:rPr>
              <w:t>提供明天在30分钟内到达临平区指定地点的承诺书并加盖公章，不提供不得分。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5</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客观分</w:t>
            </w:r>
          </w:p>
        </w:tc>
        <w:tc>
          <w:tcPr>
            <w:tcW w:w="1556"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8</w:t>
            </w:r>
          </w:p>
        </w:tc>
        <w:tc>
          <w:tcPr>
            <w:tcW w:w="4333" w:type="dxa"/>
            <w:vAlign w:val="center"/>
          </w:tcPr>
          <w:p>
            <w:pPr>
              <w:pStyle w:val="17"/>
              <w:spacing w:before="0" w:beforeAutospacing="0" w:after="0" w:afterAutospacing="0" w:line="240" w:lineRule="auto"/>
              <w:ind w:left="0" w:leftChars="0" w:right="0" w:firstLine="0" w:firstLineChars="0"/>
              <w:jc w:val="left"/>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投标人承诺对收容场所进行二十四小时不间断管理，每班值班人员不得少于1人的得3分。</w:t>
            </w:r>
            <w:r>
              <w:rPr>
                <w:rFonts w:hint="eastAsia" w:ascii="仿宋" w:hAnsi="仿宋" w:eastAsia="仿宋" w:cs="仿宋_GB2312"/>
                <w:b/>
                <w:bCs/>
                <w:color w:val="auto"/>
                <w:sz w:val="24"/>
                <w:szCs w:val="24"/>
                <w:highlight w:val="none"/>
                <w:lang w:val="en-US" w:eastAsia="zh-CN"/>
              </w:rPr>
              <w:t>提供承诺书并加盖公章，不提供不得分。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3</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客观分</w:t>
            </w:r>
          </w:p>
        </w:tc>
        <w:tc>
          <w:tcPr>
            <w:tcW w:w="1556"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9</w:t>
            </w:r>
          </w:p>
        </w:tc>
        <w:tc>
          <w:tcPr>
            <w:tcW w:w="4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投标人的组织机构、组织计划方案情况。根据提供的方案内容进行评分，①方案内容完整、②措施有效，符合采购需求的每一项满足的得2分，部分满足的得1分，基本满足得0.5分，未提供或方案不可行的不得分，最高得4分。</w:t>
            </w:r>
          </w:p>
          <w:p>
            <w:pPr>
              <w:pStyle w:val="17"/>
              <w:spacing w:before="0" w:beforeAutospacing="0" w:after="0" w:afterAutospacing="0" w:line="240" w:lineRule="auto"/>
              <w:ind w:left="0" w:leftChars="0" w:right="0" w:firstLine="0" w:firstLineChars="0"/>
              <w:jc w:val="left"/>
              <w:rPr>
                <w:rFonts w:hint="default" w:ascii="仿宋" w:hAnsi="仿宋" w:eastAsia="仿宋" w:cs="仿宋"/>
                <w:bCs/>
                <w:snapToGrid/>
                <w:color w:val="auto"/>
                <w:kern w:val="2"/>
                <w:sz w:val="24"/>
                <w:szCs w:val="24"/>
                <w:lang w:val="en-US" w:eastAsia="zh-CN" w:bidi="ar-SA"/>
              </w:rPr>
            </w:pPr>
            <w:r>
              <w:rPr>
                <w:rFonts w:hint="eastAsia" w:ascii="宋体" w:hAnsi="宋体" w:eastAsia="宋体" w:cs="宋体"/>
                <w:kern w:val="2"/>
                <w:sz w:val="21"/>
                <w:szCs w:val="21"/>
                <w:highlight w:val="none"/>
                <w:lang w:val="en-US" w:eastAsia="zh-CN"/>
              </w:rPr>
              <w:t>注：</w:t>
            </w:r>
            <w:r>
              <w:rPr>
                <w:rFonts w:hint="eastAsia" w:ascii="宋体" w:hAnsi="宋体" w:eastAsia="宋体" w:cs="宋体"/>
                <w:bCs/>
                <w:color w:val="auto"/>
                <w:sz w:val="21"/>
                <w:szCs w:val="21"/>
                <w:highlight w:val="none"/>
                <w:lang w:val="en-US" w:eastAsia="zh-CN"/>
              </w:rPr>
              <w:t>在投标文件中提供犬只收容留检所犬舍、仓库等管理用房的设计布局图、场景照片或效果图，未提供不得分。</w:t>
            </w:r>
            <w:r>
              <w:rPr>
                <w:rFonts w:hint="eastAsia" w:hAnsi="宋体" w:cs="宋体"/>
                <w:bCs/>
                <w:color w:val="auto"/>
                <w:sz w:val="21"/>
                <w:szCs w:val="21"/>
                <w:highlight w:val="none"/>
                <w:lang w:val="en-US" w:eastAsia="zh-CN"/>
              </w:rPr>
              <w:t>场所不符合招标需求的不得分。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4</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主观分</w:t>
            </w:r>
          </w:p>
        </w:tc>
        <w:tc>
          <w:tcPr>
            <w:tcW w:w="1556" w:type="dxa"/>
            <w:vAlign w:val="center"/>
          </w:tcPr>
          <w:p>
            <w:pPr>
              <w:pStyle w:val="17"/>
              <w:spacing w:before="0" w:beforeAutospacing="0" w:after="0" w:afterAutospacing="0"/>
              <w:ind w:left="0" w:leftChars="0" w:right="0" w:firstLine="0" w:firstLineChars="0"/>
              <w:jc w:val="center"/>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计划服务组织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10</w:t>
            </w:r>
          </w:p>
        </w:tc>
        <w:tc>
          <w:tcPr>
            <w:tcW w:w="4333" w:type="dxa"/>
            <w:vAlign w:val="center"/>
          </w:tcPr>
          <w:p>
            <w:pPr>
              <w:pStyle w:val="17"/>
              <w:spacing w:before="0" w:beforeAutospacing="0" w:after="0" w:afterAutospacing="0" w:line="240" w:lineRule="auto"/>
              <w:ind w:left="0" w:leftChars="0" w:right="0" w:firstLine="0" w:firstLineChars="0"/>
              <w:jc w:val="left"/>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投标人的规范和管理、考核制度情况。根据提供的方案内容进行评分，①方案内容完整、②措施有效符合采购需求的，每一项满足的得2分，部分满足的得1分，基本满足得0.5分，未提供或方案不可行的不得分，最高得4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4</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主观分</w:t>
            </w:r>
          </w:p>
        </w:tc>
        <w:tc>
          <w:tcPr>
            <w:tcW w:w="1556" w:type="dxa"/>
            <w:vAlign w:val="center"/>
          </w:tcPr>
          <w:p>
            <w:pPr>
              <w:pStyle w:val="17"/>
              <w:spacing w:before="0" w:beforeAutospacing="0" w:after="0" w:afterAutospacing="0"/>
              <w:ind w:left="0" w:leftChars="0" w:right="0" w:firstLine="0" w:firstLineChars="0"/>
              <w:jc w:val="center"/>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规范和管理制度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11</w:t>
            </w:r>
          </w:p>
        </w:tc>
        <w:tc>
          <w:tcPr>
            <w:tcW w:w="4333" w:type="dxa"/>
            <w:vAlign w:val="center"/>
          </w:tcPr>
          <w:p>
            <w:pPr>
              <w:widowControl/>
              <w:numPr>
                <w:ilvl w:val="0"/>
                <w:numId w:val="0"/>
              </w:numPr>
              <w:spacing w:before="0" w:beforeAutospacing="0" w:after="0" w:afterAutospacing="0" w:line="240" w:lineRule="auto"/>
              <w:ind w:left="0" w:right="0"/>
              <w:jc w:val="left"/>
              <w:textAlignment w:val="center"/>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根据投标人收容留检场所的管理方案（包括但不限于场舍清洁、消毒等工作安排）进行评议，日常管理方案情况；方案齐全、详细、完整且科学、实用、合理、可行得满分5分；方案齐全、内容较详细且合理、可行性较大的得3分；方案齐全但可行性欠缺的得1分；不提供或方案缺少的不得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5</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主观分</w:t>
            </w:r>
          </w:p>
        </w:tc>
        <w:tc>
          <w:tcPr>
            <w:tcW w:w="1556"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日常管理方案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12</w:t>
            </w:r>
          </w:p>
        </w:tc>
        <w:tc>
          <w:tcPr>
            <w:tcW w:w="4333" w:type="dxa"/>
            <w:vAlign w:val="center"/>
          </w:tcPr>
          <w:p>
            <w:pPr>
              <w:widowControl/>
              <w:numPr>
                <w:ilvl w:val="0"/>
                <w:numId w:val="0"/>
              </w:numPr>
              <w:spacing w:before="0" w:beforeAutospacing="0" w:after="0" w:afterAutospacing="0" w:line="240" w:lineRule="auto"/>
              <w:ind w:left="0" w:right="0"/>
              <w:jc w:val="left"/>
              <w:textAlignment w:val="center"/>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投标人服务方案中的领养跟踪服务、管理方案情况；方案齐全、详细、完整且科学、实用、合理、可行得满分4分；方案齐全、内容较详细且合理、可行性较大的得2分；方案齐全但可行性欠缺的得1分；不提供或方案缺少的不得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4</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主观分</w:t>
            </w:r>
          </w:p>
        </w:tc>
        <w:tc>
          <w:tcPr>
            <w:tcW w:w="1556"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日常管理方案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13</w:t>
            </w:r>
          </w:p>
        </w:tc>
        <w:tc>
          <w:tcPr>
            <w:tcW w:w="4333" w:type="dxa"/>
            <w:vAlign w:val="center"/>
          </w:tcPr>
          <w:p>
            <w:pPr>
              <w:pStyle w:val="17"/>
              <w:spacing w:before="0" w:beforeAutospacing="0" w:after="0" w:afterAutospacing="0" w:line="240" w:lineRule="auto"/>
              <w:ind w:left="0" w:leftChars="0" w:right="0" w:firstLine="0" w:firstLineChars="0"/>
              <w:jc w:val="left"/>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根据收容留检场所的设施设备配置情况进行评议，环保设施、排污设施、监控设施等是否齐全。</w:t>
            </w:r>
          </w:p>
          <w:p>
            <w:pPr>
              <w:pStyle w:val="17"/>
              <w:spacing w:before="0" w:beforeAutospacing="0" w:after="0" w:afterAutospacing="0" w:line="240" w:lineRule="auto"/>
              <w:ind w:left="0" w:leftChars="0" w:right="0" w:firstLine="0" w:firstLineChars="0"/>
              <w:jc w:val="left"/>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注：供应商须在投标文件中提供相关设施场景照片或设计图纸，未提供不得分。</w:t>
            </w:r>
          </w:p>
          <w:p>
            <w:pPr>
              <w:pStyle w:val="17"/>
              <w:spacing w:before="0" w:beforeAutospacing="0" w:after="0" w:afterAutospacing="0" w:line="240" w:lineRule="auto"/>
              <w:ind w:left="0" w:leftChars="0" w:right="0" w:firstLine="0" w:firstLineChars="0"/>
              <w:jc w:val="left"/>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符合采购人实际视为合理、完善、可行，符合要求的得4分，部分合理得2分，欠缺的得1分；不合理得0分。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4</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主观分</w:t>
            </w:r>
          </w:p>
        </w:tc>
        <w:tc>
          <w:tcPr>
            <w:tcW w:w="1556"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14</w:t>
            </w:r>
          </w:p>
        </w:tc>
        <w:tc>
          <w:tcPr>
            <w:tcW w:w="4333" w:type="dxa"/>
            <w:vAlign w:val="center"/>
          </w:tcPr>
          <w:p>
            <w:pPr>
              <w:widowControl/>
              <w:numPr>
                <w:ilvl w:val="0"/>
                <w:numId w:val="0"/>
              </w:numPr>
              <w:spacing w:before="0" w:beforeAutospacing="0" w:after="0" w:afterAutospacing="0" w:line="240" w:lineRule="auto"/>
              <w:ind w:left="0" w:leftChars="0" w:right="0"/>
              <w:jc w:val="left"/>
              <w:textAlignment w:val="center"/>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突发性事件应急处理及其应对措施等情况；符合采购人实际视为合理、完善、可行，符合要求的得5分，部分合理得3分，欠缺的得1分；不合理得0分。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5</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主观分</w:t>
            </w:r>
          </w:p>
        </w:tc>
        <w:tc>
          <w:tcPr>
            <w:tcW w:w="1556" w:type="dxa"/>
            <w:vAlign w:val="center"/>
          </w:tcPr>
          <w:p>
            <w:pPr>
              <w:pStyle w:val="17"/>
              <w:spacing w:before="0" w:beforeAutospacing="0" w:after="0" w:afterAutospacing="0"/>
              <w:ind w:left="0" w:leftChars="0" w:right="0" w:firstLine="0" w:firstLineChars="0"/>
              <w:jc w:val="center"/>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应急处理预案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15</w:t>
            </w:r>
          </w:p>
        </w:tc>
        <w:tc>
          <w:tcPr>
            <w:tcW w:w="4333" w:type="dxa"/>
            <w:vAlign w:val="center"/>
          </w:tcPr>
          <w:p>
            <w:pPr>
              <w:pStyle w:val="17"/>
              <w:spacing w:before="0" w:beforeAutospacing="0" w:after="0" w:afterAutospacing="0" w:line="240" w:lineRule="auto"/>
              <w:ind w:left="0" w:leftChars="0" w:right="0" w:firstLine="0" w:firstLineChars="0"/>
              <w:jc w:val="left"/>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根据投标人提供的其他承诺和优惠条件方案，切合本项目采购需求，针对性、操作性、可行性强的得5分；根据投标人提供的其他承诺和优惠条件方案，切合本项目采购需求，针对性、操作性、可行性较强的得3分；根据投标人提供的其他承诺和优惠条件方案，切合本项目采购需求，针对性、操作性、可行性一般的得1分；方案不合理或未提供方案不得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5</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主观分</w:t>
            </w:r>
          </w:p>
        </w:tc>
        <w:tc>
          <w:tcPr>
            <w:tcW w:w="1556" w:type="dxa"/>
            <w:vAlign w:val="center"/>
          </w:tcPr>
          <w:p>
            <w:pPr>
              <w:pStyle w:val="17"/>
              <w:spacing w:before="0" w:beforeAutospacing="0" w:after="0" w:afterAutospacing="0"/>
              <w:ind w:left="0" w:leftChars="0" w:right="0" w:firstLine="0" w:firstLineChars="0"/>
              <w:jc w:val="center"/>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16</w:t>
            </w:r>
          </w:p>
        </w:tc>
        <w:tc>
          <w:tcPr>
            <w:tcW w:w="4333" w:type="dxa"/>
            <w:vAlign w:val="center"/>
          </w:tcPr>
          <w:p>
            <w:pPr>
              <w:pStyle w:val="17"/>
              <w:spacing w:before="0" w:beforeAutospacing="0" w:after="0" w:afterAutospacing="0" w:line="240" w:lineRule="auto"/>
              <w:ind w:left="0" w:leftChars="0" w:right="0" w:firstLine="0" w:firstLineChars="0"/>
              <w:jc w:val="left"/>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根据投标人提供的人员管理制度及管理方案，</w:t>
            </w:r>
            <w:r>
              <w:rPr>
                <w:rFonts w:hint="eastAsia" w:ascii="仿宋" w:hAnsi="仿宋" w:eastAsia="仿宋" w:cs="仿宋"/>
                <w:color w:val="auto"/>
                <w:sz w:val="24"/>
                <w:szCs w:val="24"/>
                <w:highlight w:val="none"/>
              </w:rPr>
              <w:t>切合本项目采购需求，针对性、操作性强，计划安排科学合理，制定工作方案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val="en-US" w:eastAsia="zh-CN"/>
              </w:rPr>
              <w:t>根据投标人提供的人员管理制度及管理方案，等</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根据投标人提供的人员管理制度及管理方案，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w:t>
            </w:r>
            <w:r>
              <w:rPr>
                <w:rFonts w:hint="eastAsia" w:ascii="仿宋" w:hAnsi="仿宋" w:eastAsia="仿宋" w:cs="仿宋"/>
                <w:color w:val="auto"/>
                <w:sz w:val="24"/>
                <w:szCs w:val="24"/>
                <w:highlight w:val="none"/>
              </w:rPr>
              <w:t>，制定工作方案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5</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主观分</w:t>
            </w:r>
          </w:p>
        </w:tc>
        <w:tc>
          <w:tcPr>
            <w:tcW w:w="1556" w:type="dxa"/>
            <w:vAlign w:val="center"/>
          </w:tcPr>
          <w:p>
            <w:pPr>
              <w:pStyle w:val="17"/>
              <w:spacing w:before="0" w:beforeAutospacing="0" w:after="0" w:afterAutospacing="0"/>
              <w:ind w:left="0" w:leftChars="0" w:right="0" w:firstLine="0" w:firstLineChars="0"/>
              <w:jc w:val="center"/>
              <w:rPr>
                <w:rFonts w:hint="eastAsia" w:ascii="仿宋" w:hAnsi="仿宋" w:eastAsia="仿宋" w:cs="仿宋"/>
                <w:bCs/>
                <w:snapToGrid/>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rPr>
              <w:t>管理制度及管理方案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17</w:t>
            </w:r>
          </w:p>
        </w:tc>
        <w:tc>
          <w:tcPr>
            <w:tcW w:w="4333" w:type="dxa"/>
            <w:vAlign w:val="center"/>
          </w:tcPr>
          <w:p>
            <w:pPr>
              <w:pStyle w:val="17"/>
              <w:spacing w:before="0" w:beforeAutospacing="0" w:after="0" w:afterAutospacing="0" w:line="240" w:lineRule="auto"/>
              <w:ind w:left="0" w:leftChars="0" w:right="0" w:firstLine="0" w:firstLineChars="0"/>
              <w:jc w:val="left"/>
              <w:rPr>
                <w:rFonts w:hint="eastAsia" w:ascii="仿宋" w:hAnsi="仿宋" w:eastAsia="仿宋" w:cs="仿宋"/>
                <w:bCs/>
                <w:snapToGrid/>
                <w:color w:val="auto"/>
                <w:kern w:val="2"/>
                <w:sz w:val="24"/>
                <w:szCs w:val="24"/>
                <w:lang w:val="en-US" w:eastAsia="zh-CN" w:bidi="ar-SA"/>
              </w:rPr>
            </w:pPr>
            <w:r>
              <w:rPr>
                <w:rFonts w:hint="default" w:ascii="仿宋" w:hAnsi="仿宋" w:eastAsia="仿宋" w:cs="仿宋_GB2312"/>
                <w:color w:val="auto"/>
                <w:sz w:val="24"/>
                <w:szCs w:val="24"/>
                <w:highlight w:val="none"/>
              </w:rPr>
              <w:t>投标人提供的</w:t>
            </w:r>
            <w:r>
              <w:rPr>
                <w:rFonts w:hint="eastAsia" w:ascii="仿宋" w:hAnsi="仿宋" w:eastAsia="仿宋" w:cs="仿宋_GB2312"/>
                <w:color w:val="auto"/>
                <w:sz w:val="24"/>
                <w:szCs w:val="24"/>
                <w:highlight w:val="none"/>
                <w:lang w:val="en-US" w:eastAsia="zh-CN"/>
              </w:rPr>
              <w:t>工作进度</w:t>
            </w:r>
            <w:r>
              <w:rPr>
                <w:rFonts w:hint="eastAsia" w:ascii="仿宋" w:hAnsi="仿宋" w:eastAsia="仿宋" w:cs="仿宋_GB2312"/>
                <w:color w:val="auto"/>
                <w:sz w:val="24"/>
                <w:szCs w:val="24"/>
                <w:highlight w:val="none"/>
                <w:lang w:val="en-US"/>
              </w:rPr>
              <w:t>服务安排</w:t>
            </w:r>
            <w:r>
              <w:rPr>
                <w:rFonts w:hint="default" w:ascii="仿宋" w:hAnsi="仿宋" w:eastAsia="仿宋" w:cs="仿宋_GB2312"/>
                <w:color w:val="auto"/>
                <w:sz w:val="24"/>
                <w:szCs w:val="24"/>
                <w:highlight w:val="none"/>
              </w:rPr>
              <w:t>措施全面、科学、合理可行，得5分；投标人提供的</w:t>
            </w:r>
            <w:r>
              <w:rPr>
                <w:rFonts w:hint="eastAsia" w:ascii="仿宋" w:hAnsi="仿宋" w:eastAsia="仿宋" w:cs="仿宋_GB2312"/>
                <w:color w:val="auto"/>
                <w:sz w:val="24"/>
                <w:szCs w:val="24"/>
                <w:highlight w:val="none"/>
                <w:lang w:val="en-US" w:eastAsia="zh-CN"/>
              </w:rPr>
              <w:t>工作进度</w:t>
            </w:r>
            <w:r>
              <w:rPr>
                <w:rFonts w:hint="eastAsia" w:ascii="仿宋" w:hAnsi="仿宋" w:eastAsia="仿宋" w:cs="仿宋_GB2312"/>
                <w:color w:val="auto"/>
                <w:sz w:val="24"/>
                <w:szCs w:val="24"/>
                <w:highlight w:val="none"/>
                <w:lang w:val="en-US"/>
              </w:rPr>
              <w:t>服务安排</w:t>
            </w:r>
            <w:r>
              <w:rPr>
                <w:rFonts w:hint="default" w:ascii="仿宋" w:hAnsi="仿宋" w:eastAsia="仿宋" w:cs="仿宋_GB2312"/>
                <w:color w:val="auto"/>
                <w:sz w:val="24"/>
                <w:szCs w:val="24"/>
                <w:highlight w:val="none"/>
              </w:rPr>
              <w:t>措施比较全面、科学、合理可行，得3分；投标人提供的</w:t>
            </w:r>
            <w:r>
              <w:rPr>
                <w:rFonts w:hint="eastAsia" w:ascii="仿宋" w:hAnsi="仿宋" w:eastAsia="仿宋" w:cs="仿宋_GB2312"/>
                <w:color w:val="auto"/>
                <w:sz w:val="24"/>
                <w:szCs w:val="24"/>
                <w:highlight w:val="none"/>
                <w:lang w:val="en-US" w:eastAsia="zh-CN"/>
              </w:rPr>
              <w:t>工作进度</w:t>
            </w:r>
            <w:r>
              <w:rPr>
                <w:rFonts w:hint="eastAsia" w:ascii="仿宋" w:hAnsi="仿宋" w:eastAsia="仿宋" w:cs="仿宋_GB2312"/>
                <w:color w:val="auto"/>
                <w:sz w:val="24"/>
                <w:szCs w:val="24"/>
                <w:highlight w:val="none"/>
                <w:lang w:val="en-US"/>
              </w:rPr>
              <w:t>服务安排</w:t>
            </w:r>
            <w:r>
              <w:rPr>
                <w:rFonts w:hint="default" w:ascii="仿宋" w:hAnsi="仿宋" w:eastAsia="仿宋" w:cs="仿宋_GB2312"/>
                <w:color w:val="auto"/>
                <w:sz w:val="24"/>
                <w:szCs w:val="24"/>
                <w:highlight w:val="none"/>
              </w:rPr>
              <w:t>措施不够全面、科学、合理可行，得1分；不提供相关内容的不得分。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5</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主观分</w:t>
            </w:r>
          </w:p>
        </w:tc>
        <w:tc>
          <w:tcPr>
            <w:tcW w:w="1556" w:type="dxa"/>
            <w:vAlign w:val="center"/>
          </w:tcPr>
          <w:p>
            <w:pPr>
              <w:pStyle w:val="17"/>
              <w:spacing w:before="0" w:beforeAutospacing="0" w:after="0" w:afterAutospacing="0"/>
              <w:ind w:left="0" w:leftChars="0" w:right="0" w:firstLine="0" w:firstLineChars="0"/>
              <w:jc w:val="center"/>
              <w:rPr>
                <w:rFonts w:hint="eastAsia" w:ascii="仿宋" w:hAnsi="仿宋" w:eastAsia="仿宋" w:cs="仿宋"/>
                <w:bCs/>
                <w:snapToGrid/>
                <w:color w:val="auto"/>
                <w:kern w:val="2"/>
                <w:sz w:val="24"/>
                <w:szCs w:val="24"/>
                <w:lang w:val="en-US" w:eastAsia="zh-CN" w:bidi="ar-SA"/>
              </w:rPr>
            </w:pPr>
            <w:r>
              <w:rPr>
                <w:rFonts w:hint="eastAsia" w:ascii="仿宋" w:hAnsi="仿宋" w:eastAsia="仿宋" w:cs="仿宋_GB2312"/>
                <w:color w:val="auto"/>
                <w:sz w:val="24"/>
                <w:szCs w:val="24"/>
                <w:highlight w:val="none"/>
                <w:lang w:val="en-US" w:eastAsia="zh-CN"/>
              </w:rPr>
              <w:t>工作进度</w:t>
            </w:r>
            <w:r>
              <w:rPr>
                <w:rFonts w:hint="eastAsia" w:ascii="仿宋" w:hAnsi="仿宋" w:eastAsia="仿宋" w:cs="仿宋_GB2312"/>
                <w:color w:val="auto"/>
                <w:sz w:val="24"/>
                <w:szCs w:val="24"/>
                <w:highlight w:val="none"/>
                <w:lang w:val="en-US"/>
              </w:rPr>
              <w:t>服务安排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pStyle w:val="17"/>
              <w:spacing w:before="0" w:beforeAutospacing="0" w:after="0" w:afterAutospacing="0"/>
              <w:ind w:left="0" w:leftChars="0" w:right="0" w:firstLine="0" w:firstLineChars="0"/>
              <w:jc w:val="center"/>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t>18</w:t>
            </w:r>
          </w:p>
        </w:tc>
        <w:tc>
          <w:tcPr>
            <w:tcW w:w="4333" w:type="dxa"/>
            <w:vAlign w:val="center"/>
          </w:tcPr>
          <w:p>
            <w:pPr>
              <w:pStyle w:val="17"/>
              <w:spacing w:before="0" w:beforeAutospacing="0" w:after="0" w:afterAutospacing="0" w:line="240" w:lineRule="auto"/>
              <w:ind w:left="0" w:leftChars="0" w:right="0" w:firstLine="0" w:firstLineChars="0"/>
              <w:jc w:val="left"/>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投标人类似业绩：</w:t>
            </w:r>
          </w:p>
          <w:p>
            <w:pPr>
              <w:pStyle w:val="17"/>
              <w:spacing w:before="0" w:beforeAutospacing="0" w:after="0" w:afterAutospacing="0" w:line="240" w:lineRule="auto"/>
              <w:ind w:left="0" w:leftChars="0" w:right="0" w:firstLine="0" w:firstLineChars="0"/>
              <w:jc w:val="left"/>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投标人自2021年1月1日以来（时间以合同签订时间为准）承担过类似业绩的，每个业绩得1分，本项最高得1分；</w:t>
            </w:r>
          </w:p>
          <w:p>
            <w:pPr>
              <w:pStyle w:val="17"/>
              <w:spacing w:before="0" w:beforeAutospacing="0" w:after="0" w:afterAutospacing="0" w:line="240" w:lineRule="auto"/>
              <w:ind w:left="0" w:leftChars="0" w:right="0" w:firstLine="0" w:firstLineChars="0"/>
              <w:jc w:val="left"/>
              <w:rPr>
                <w:rFonts w:hint="default"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lang w:val="en-US" w:eastAsia="zh-CN"/>
              </w:rPr>
              <w:t>注：投标文件中提供合同复印件和中标通知书加盖公章或扫描件加盖公章，否则不得分。</w:t>
            </w:r>
          </w:p>
        </w:tc>
        <w:tc>
          <w:tcPr>
            <w:tcW w:w="674"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1</w:t>
            </w:r>
          </w:p>
        </w:tc>
        <w:tc>
          <w:tcPr>
            <w:tcW w:w="1043" w:type="dxa"/>
            <w:vAlign w:val="center"/>
          </w:tcPr>
          <w:p>
            <w:pPr>
              <w:pStyle w:val="17"/>
              <w:spacing w:before="0" w:beforeAutospacing="0" w:after="0" w:afterAutospacing="0"/>
              <w:ind w:left="0" w:leftChars="0" w:right="0" w:firstLine="0" w:firstLineChars="0"/>
              <w:jc w:val="center"/>
              <w:rPr>
                <w:rFonts w:hint="default" w:ascii="仿宋" w:hAnsi="仿宋" w:eastAsia="仿宋" w:cs="仿宋"/>
                <w:bCs/>
                <w:snapToGrid/>
                <w:color w:val="auto"/>
                <w:kern w:val="2"/>
                <w:sz w:val="24"/>
                <w:szCs w:val="24"/>
                <w:lang w:val="en-US" w:eastAsia="zh-CN" w:bidi="ar-SA"/>
              </w:rPr>
            </w:pPr>
            <w:r>
              <w:rPr>
                <w:rFonts w:hint="eastAsia" w:ascii="仿宋" w:hAnsi="仿宋" w:eastAsia="仿宋" w:cs="仿宋"/>
                <w:bCs/>
                <w:snapToGrid/>
                <w:color w:val="auto"/>
                <w:kern w:val="2"/>
                <w:sz w:val="24"/>
                <w:szCs w:val="24"/>
                <w:lang w:val="en-US" w:eastAsia="zh-CN" w:bidi="ar-SA"/>
              </w:rPr>
              <w:t>客观分</w:t>
            </w:r>
          </w:p>
        </w:tc>
        <w:tc>
          <w:tcPr>
            <w:tcW w:w="1556" w:type="dxa"/>
            <w:vAlign w:val="center"/>
          </w:tcPr>
          <w:p>
            <w:pPr>
              <w:pStyle w:val="17"/>
              <w:spacing w:before="0" w:beforeAutospacing="0" w:after="0" w:afterAutospacing="0"/>
              <w:ind w:left="0" w:leftChars="0" w:right="0" w:firstLine="0" w:firstLineChars="0"/>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19</w:t>
            </w:r>
          </w:p>
        </w:tc>
        <w:tc>
          <w:tcPr>
            <w:tcW w:w="4333" w:type="dxa"/>
            <w:vAlign w:val="center"/>
          </w:tcPr>
          <w:p>
            <w:pPr>
              <w:spacing w:before="0" w:beforeAutospacing="0" w:after="0" w:afterAutospacing="0" w:line="240" w:lineRule="auto"/>
              <w:ind w:left="0" w:right="0"/>
              <w:jc w:val="left"/>
              <w:rPr>
                <w:rFonts w:hint="default" w:ascii="仿宋" w:hAnsi="仿宋" w:eastAsia="仿宋" w:cs="仿宋_GB2312"/>
                <w:snapToGrid w:val="0"/>
                <w:color w:val="auto"/>
                <w:kern w:val="28"/>
                <w:sz w:val="24"/>
                <w:szCs w:val="24"/>
                <w:highlight w:val="none"/>
                <w:lang w:val="en-US" w:eastAsia="zh-CN" w:bidi="ar-SA"/>
              </w:rPr>
            </w:pPr>
            <w:r>
              <w:rPr>
                <w:rFonts w:hint="eastAsia" w:ascii="仿宋" w:hAnsi="仿宋" w:eastAsia="仿宋" w:cs="仿宋_GB2312"/>
                <w:snapToGrid w:val="0"/>
                <w:color w:val="auto"/>
                <w:kern w:val="28"/>
                <w:sz w:val="24"/>
                <w:szCs w:val="24"/>
                <w:highlight w:val="none"/>
                <w:lang w:val="en-US" w:eastAsia="zh-CN" w:bidi="ar-SA"/>
              </w:rPr>
              <w:t>有效投标报价的最低价综合单价小计作为评标基准价，其最低报价为满分；按［投标报价得分</w:t>
            </w:r>
            <w:r>
              <w:rPr>
                <w:rFonts w:hint="default" w:ascii="仿宋" w:hAnsi="仿宋" w:eastAsia="仿宋" w:cs="仿宋_GB2312"/>
                <w:snapToGrid w:val="0"/>
                <w:color w:val="auto"/>
                <w:kern w:val="28"/>
                <w:sz w:val="24"/>
                <w:szCs w:val="24"/>
                <w:highlight w:val="none"/>
                <w:lang w:val="en-US" w:eastAsia="zh-CN" w:bidi="ar-SA"/>
              </w:rPr>
              <w:t>=（评标基准价/投标报价）*</w:t>
            </w:r>
            <w:r>
              <w:rPr>
                <w:rFonts w:hint="eastAsia" w:ascii="仿宋" w:hAnsi="仿宋" w:eastAsia="仿宋" w:cs="仿宋_GB2312"/>
                <w:snapToGrid w:val="0"/>
                <w:color w:val="auto"/>
                <w:kern w:val="28"/>
                <w:sz w:val="24"/>
                <w:szCs w:val="24"/>
                <w:highlight w:val="none"/>
                <w:lang w:val="en-US" w:eastAsia="zh-CN" w:bidi="ar-SA"/>
              </w:rPr>
              <w:t>权重10%*100</w:t>
            </w:r>
            <w:r>
              <w:rPr>
                <w:rFonts w:hint="default" w:ascii="仿宋" w:hAnsi="仿宋" w:eastAsia="仿宋" w:cs="仿宋_GB2312"/>
                <w:snapToGrid w:val="0"/>
                <w:color w:val="auto"/>
                <w:kern w:val="28"/>
                <w:sz w:val="24"/>
                <w:szCs w:val="24"/>
                <w:highlight w:val="none"/>
                <w:lang w:val="en-US" w:eastAsia="zh-CN" w:bidi="ar-SA"/>
              </w:rPr>
              <w:t>］的计算公式计算</w:t>
            </w:r>
            <w:r>
              <w:rPr>
                <w:rFonts w:hint="eastAsia" w:ascii="仿宋" w:hAnsi="仿宋" w:eastAsia="仿宋" w:cs="仿宋_GB2312"/>
                <w:snapToGrid w:val="0"/>
                <w:color w:val="auto"/>
                <w:kern w:val="28"/>
                <w:sz w:val="24"/>
                <w:szCs w:val="24"/>
                <w:highlight w:val="none"/>
                <w:lang w:val="en-US" w:eastAsia="zh-CN" w:bidi="ar-SA"/>
              </w:rPr>
              <w:t>（报价得分保留两位小数，后一位四舍五入）</w:t>
            </w:r>
            <w:r>
              <w:rPr>
                <w:rFonts w:hint="default" w:ascii="仿宋" w:hAnsi="仿宋" w:eastAsia="仿宋" w:cs="仿宋_GB2312"/>
                <w:snapToGrid w:val="0"/>
                <w:color w:val="auto"/>
                <w:kern w:val="28"/>
                <w:sz w:val="24"/>
                <w:szCs w:val="24"/>
                <w:highlight w:val="none"/>
                <w:lang w:val="en-US" w:eastAsia="zh-CN" w:bidi="ar-SA"/>
              </w:rPr>
              <w:t>。</w:t>
            </w:r>
          </w:p>
        </w:tc>
        <w:tc>
          <w:tcPr>
            <w:tcW w:w="674" w:type="dxa"/>
            <w:vAlign w:val="center"/>
          </w:tcPr>
          <w:p>
            <w:pPr>
              <w:spacing w:before="0" w:beforeAutospacing="0" w:after="0" w:afterAutospacing="0" w:line="240" w:lineRule="auto"/>
              <w:ind w:left="0" w:right="0"/>
              <w:jc w:val="center"/>
              <w:rPr>
                <w:rFonts w:hint="default" w:ascii="仿宋" w:hAnsi="仿宋" w:eastAsia="仿宋" w:cs="仿宋_GB2312"/>
                <w:snapToGrid w:val="0"/>
                <w:color w:val="auto"/>
                <w:kern w:val="28"/>
                <w:sz w:val="24"/>
                <w:szCs w:val="24"/>
                <w:highlight w:val="none"/>
                <w:lang w:val="en-US" w:eastAsia="zh-CN" w:bidi="ar-SA"/>
              </w:rPr>
            </w:pPr>
            <w:r>
              <w:rPr>
                <w:rFonts w:hint="eastAsia" w:ascii="仿宋" w:hAnsi="仿宋" w:eastAsia="仿宋" w:cs="仿宋_GB2312"/>
                <w:snapToGrid w:val="0"/>
                <w:color w:val="auto"/>
                <w:kern w:val="28"/>
                <w:sz w:val="24"/>
                <w:szCs w:val="24"/>
                <w:highlight w:val="none"/>
                <w:lang w:val="en-US" w:eastAsia="zh-CN" w:bidi="ar-SA"/>
              </w:rPr>
              <w:t>10</w:t>
            </w:r>
          </w:p>
        </w:tc>
        <w:tc>
          <w:tcPr>
            <w:tcW w:w="1043" w:type="dxa"/>
            <w:vAlign w:val="center"/>
          </w:tcPr>
          <w:p>
            <w:pPr>
              <w:spacing w:before="0" w:beforeAutospacing="0" w:after="0" w:afterAutospacing="0" w:line="240" w:lineRule="auto"/>
              <w:ind w:left="0" w:right="0"/>
              <w:jc w:val="center"/>
              <w:rPr>
                <w:rFonts w:hint="default" w:ascii="仿宋" w:hAnsi="仿宋" w:eastAsia="仿宋" w:cs="仿宋_GB2312"/>
                <w:snapToGrid w:val="0"/>
                <w:color w:val="auto"/>
                <w:kern w:val="28"/>
                <w:sz w:val="24"/>
                <w:szCs w:val="24"/>
                <w:highlight w:val="none"/>
                <w:lang w:val="en-US" w:eastAsia="zh-CN" w:bidi="ar-SA"/>
              </w:rPr>
            </w:pPr>
            <w:r>
              <w:rPr>
                <w:rFonts w:hint="eastAsia" w:ascii="仿宋" w:hAnsi="仿宋" w:eastAsia="仿宋" w:cs="仿宋_GB2312"/>
                <w:snapToGrid w:val="0"/>
                <w:color w:val="auto"/>
                <w:kern w:val="28"/>
                <w:sz w:val="24"/>
                <w:szCs w:val="24"/>
                <w:highlight w:val="none"/>
                <w:lang w:val="en-US" w:eastAsia="zh-CN" w:bidi="ar-SA"/>
              </w:rPr>
              <w:t>价格分</w:t>
            </w:r>
          </w:p>
        </w:tc>
        <w:tc>
          <w:tcPr>
            <w:tcW w:w="1556" w:type="dxa"/>
            <w:vAlign w:val="center"/>
          </w:tcPr>
          <w:p>
            <w:pPr>
              <w:spacing w:before="0" w:beforeAutospacing="0" w:after="0" w:afterAutospacing="0" w:line="240" w:lineRule="auto"/>
              <w:ind w:left="0" w:right="0"/>
              <w:jc w:val="center"/>
              <w:rPr>
                <w:rFonts w:hint="default" w:ascii="仿宋" w:hAnsi="仿宋" w:eastAsia="仿宋" w:cs="仿宋_GB2312"/>
                <w:snapToGrid w:val="0"/>
                <w:color w:val="auto"/>
                <w:kern w:val="28"/>
                <w:sz w:val="24"/>
                <w:szCs w:val="24"/>
                <w:highlight w:val="none"/>
                <w:lang w:val="en-US" w:eastAsia="zh-CN" w:bidi="ar-SA"/>
              </w:rPr>
            </w:pPr>
            <w:r>
              <w:rPr>
                <w:rFonts w:hint="default" w:ascii="仿宋" w:hAnsi="仿宋" w:eastAsia="仿宋" w:cs="仿宋_GB2312"/>
                <w:snapToGrid w:val="0"/>
                <w:color w:val="auto"/>
                <w:kern w:val="28"/>
                <w:sz w:val="24"/>
                <w:szCs w:val="24"/>
                <w:highlight w:val="none"/>
                <w:lang w:val="en-US" w:eastAsia="zh-CN" w:bidi="ar-SA"/>
              </w:rPr>
              <w:t>/</w:t>
            </w:r>
          </w:p>
        </w:tc>
      </w:tr>
    </w:tbl>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w:t>
      </w:r>
      <w:r>
        <w:rPr>
          <w:rFonts w:hint="eastAsia" w:ascii="宋体" w:hAnsi="宋体" w:cs="宋体"/>
          <w:color w:val="auto"/>
          <w:sz w:val="24"/>
          <w:highlight w:val="none"/>
          <w:lang w:val="en-US" w:eastAsia="zh-CN"/>
        </w:rPr>
        <w:t>综合单价</w:t>
      </w:r>
      <w:r>
        <w:rPr>
          <w:rFonts w:hint="eastAsia" w:ascii="宋体" w:hAnsi="宋体" w:eastAsia="宋体" w:cs="宋体"/>
          <w:color w:val="auto"/>
          <w:sz w:val="24"/>
          <w:highlight w:val="none"/>
        </w:rPr>
        <w:t>价格最低的投标报价为评标基准价，其他投标人的价格分按照下列公式计算：</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shd w:val="clear" w:color="auto" w:fill="auto"/>
          <w:lang w:val="en-US" w:eastAsia="zh-CN"/>
        </w:rPr>
        <w:t xml:space="preserve">   </w:t>
      </w:r>
      <w:r>
        <w:rPr>
          <w:rFonts w:hint="eastAsia" w:ascii="宋体" w:hAnsi="宋体" w:eastAsia="宋体" w:cs="宋体"/>
          <w:b/>
          <w:bCs/>
          <w:color w:val="auto"/>
          <w:sz w:val="24"/>
          <w:highlight w:val="none"/>
        </w:rPr>
        <w:t>价格分=（评标基准价/投标报价）×</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、投标人评标综合得分=商务分+技术分+价格分（精确到小数点后二位）；</w:t>
      </w:r>
    </w:p>
    <w:p>
      <w:pPr>
        <w:spacing w:line="360" w:lineRule="auto"/>
        <w:ind w:firstLine="472" w:firstLineChars="196"/>
        <w:rPr>
          <w:rFonts w:hint="eastAsia" w:ascii="宋体" w:hAnsi="宋体" w:eastAsia="宋体" w:cs="宋体"/>
          <w:b/>
          <w:color w:val="auto"/>
          <w:sz w:val="32"/>
          <w:highlight w:val="none"/>
        </w:rPr>
      </w:pPr>
      <w:r>
        <w:rPr>
          <w:rFonts w:hint="eastAsia" w:ascii="宋体" w:hAnsi="宋体" w:eastAsia="宋体" w:cs="宋体"/>
          <w:b/>
          <w:color w:val="auto"/>
          <w:sz w:val="24"/>
          <w:highlight w:val="none"/>
        </w:rPr>
        <w:t>报价是中标的一个重要因素，但最低报价不是中标的唯一依据。</w:t>
      </w:r>
    </w:p>
    <w:p>
      <w:pPr>
        <w:snapToGrid w:val="0"/>
        <w:spacing w:line="360" w:lineRule="auto"/>
        <w:rPr>
          <w:rFonts w:hint="eastAsia" w:ascii="宋体" w:hAnsi="宋体" w:cs="宋体"/>
          <w:b/>
          <w:color w:val="auto"/>
          <w:sz w:val="32"/>
        </w:rPr>
      </w:pPr>
    </w:p>
    <w:p>
      <w:pPr>
        <w:pStyle w:val="2"/>
        <w:rPr>
          <w:rFonts w:hint="eastAsia" w:ascii="宋体" w:hAnsi="宋体" w:cs="宋体"/>
          <w:b/>
          <w:color w:val="auto"/>
          <w:sz w:val="32"/>
        </w:rPr>
      </w:pPr>
    </w:p>
    <w:p>
      <w:pPr>
        <w:pStyle w:val="2"/>
        <w:rPr>
          <w:rFonts w:hint="eastAsia" w:ascii="宋体" w:hAnsi="宋体" w:cs="宋体"/>
          <w:b/>
          <w:color w:val="auto"/>
          <w:sz w:val="32"/>
        </w:rPr>
      </w:pPr>
    </w:p>
    <w:p>
      <w:pPr>
        <w:pStyle w:val="2"/>
        <w:rPr>
          <w:rFonts w:hint="eastAsia" w:ascii="宋体" w:hAnsi="宋体" w:cs="宋体"/>
          <w:b/>
          <w:color w:val="auto"/>
          <w:sz w:val="32"/>
        </w:rPr>
      </w:pPr>
    </w:p>
    <w:p>
      <w:pPr>
        <w:pStyle w:val="2"/>
        <w:rPr>
          <w:rFonts w:hint="eastAsia" w:ascii="宋体" w:hAnsi="宋体" w:cs="宋体"/>
          <w:b/>
          <w:color w:val="auto"/>
          <w:sz w:val="32"/>
        </w:rPr>
      </w:pPr>
    </w:p>
    <w:p>
      <w:pPr>
        <w:pStyle w:val="2"/>
        <w:rPr>
          <w:rFonts w:hint="eastAsia" w:ascii="宋体" w:hAnsi="宋体" w:cs="宋体"/>
          <w:b/>
          <w:color w:val="auto"/>
          <w:sz w:val="32"/>
        </w:rPr>
      </w:pPr>
    </w:p>
    <w:p>
      <w:pPr>
        <w:pStyle w:val="2"/>
        <w:rPr>
          <w:rFonts w:hint="eastAsia" w:ascii="宋体" w:hAnsi="宋体" w:cs="宋体"/>
          <w:b/>
          <w:color w:val="auto"/>
          <w:sz w:val="32"/>
        </w:rPr>
      </w:pP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adjustRightInd/>
        <w:spacing w:line="360" w:lineRule="auto"/>
        <w:rPr>
          <w:rFonts w:hint="eastAsia" w:ascii="宋体" w:hAnsi="宋体" w:eastAsia="宋体" w:cs="宋体"/>
          <w:b/>
          <w:color w:val="auto"/>
          <w:sz w:val="32"/>
        </w:rPr>
      </w:pPr>
      <w:r>
        <w:rPr>
          <w:rFonts w:hint="eastAsia" w:ascii="宋体" w:hAnsi="宋体" w:eastAsia="宋体" w:cs="宋体"/>
          <w:b/>
          <w:color w:val="auto"/>
          <w:sz w:val="32"/>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95"/>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95"/>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95"/>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95"/>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95"/>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95"/>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95"/>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5"/>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95"/>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5"/>
        <w:ind w:left="861" w:leftChars="205"/>
        <w:jc w:val="both"/>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8"/>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8"/>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8"/>
        <w:snapToGrid w:val="0"/>
        <w:spacing w:line="360" w:lineRule="auto"/>
        <w:rPr>
          <w:rFonts w:cs="宋体"/>
          <w:color w:val="auto"/>
        </w:rPr>
      </w:pPr>
      <w:r>
        <w:rPr>
          <w:rFonts w:hint="eastAsia" w:cs="宋体"/>
          <w:color w:val="auto"/>
        </w:rPr>
        <w:t>5.2出现影响采购公正的违法、违规行为的；</w:t>
      </w:r>
    </w:p>
    <w:p>
      <w:pPr>
        <w:pStyle w:val="28"/>
        <w:snapToGrid w:val="0"/>
        <w:spacing w:line="360" w:lineRule="auto"/>
        <w:rPr>
          <w:rFonts w:cs="宋体"/>
          <w:color w:val="auto"/>
        </w:rPr>
      </w:pPr>
      <w:r>
        <w:rPr>
          <w:rFonts w:hint="eastAsia" w:cs="宋体"/>
          <w:color w:val="auto"/>
        </w:rPr>
        <w:t>5.3投标人的报价均超过了采购预算，采购人不能支付的；</w:t>
      </w:r>
    </w:p>
    <w:p>
      <w:pPr>
        <w:pStyle w:val="28"/>
        <w:snapToGrid w:val="0"/>
        <w:spacing w:line="360" w:lineRule="auto"/>
        <w:rPr>
          <w:rFonts w:cs="宋体"/>
          <w:color w:val="auto"/>
        </w:rPr>
      </w:pPr>
      <w:r>
        <w:rPr>
          <w:rFonts w:hint="eastAsia" w:cs="宋体"/>
          <w:color w:val="auto"/>
        </w:rPr>
        <w:t>5.4因重大变故，采购任务取消的。</w:t>
      </w:r>
    </w:p>
    <w:p>
      <w:pPr>
        <w:pStyle w:val="28"/>
        <w:snapToGrid w:val="0"/>
        <w:spacing w:line="360" w:lineRule="auto"/>
        <w:rPr>
          <w:rFonts w:cs="宋体"/>
          <w:color w:val="auto"/>
        </w:rPr>
      </w:pPr>
      <w:r>
        <w:rPr>
          <w:rFonts w:hint="eastAsia" w:cs="宋体"/>
          <w:color w:val="auto"/>
        </w:rPr>
        <w:t>废标后，采购机构应当将废标理由通知所有投标人。</w:t>
      </w:r>
    </w:p>
    <w:p>
      <w:pPr>
        <w:pStyle w:val="28"/>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8"/>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8"/>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8"/>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720" w:leftChars="343" w:firstLine="1084" w:firstLineChars="300"/>
        <w:outlineLvl w:val="0"/>
        <w:rPr>
          <w:rFonts w:hint="eastAsia" w:ascii="宋体" w:hAnsi="宋体" w:cs="宋体"/>
          <w:b/>
          <w:color w:val="auto"/>
          <w:sz w:val="36"/>
          <w:szCs w:val="36"/>
        </w:rPr>
      </w:pPr>
      <w:bookmarkStart w:id="380" w:name="第五部分"/>
      <w:bookmarkStart w:id="381" w:name="_Toc86217003"/>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hint="eastAsia"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86"/>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pPr>
        <w:spacing w:before="120" w:line="22" w:lineRule="atLeast"/>
        <w:rPr>
          <w:rFonts w:ascii="宋体" w:hAnsi="宋体" w:cs="宋体"/>
          <w:color w:val="auto"/>
          <w:sz w:val="24"/>
        </w:rPr>
      </w:pPr>
    </w:p>
    <w:p>
      <w:pPr>
        <w:pStyle w:val="5"/>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290"/>
        <w:spacing w:before="120" w:line="22" w:lineRule="atLeast"/>
        <w:rPr>
          <w:rFonts w:ascii="宋体" w:hAnsi="宋体" w:eastAsia="宋体" w:cs="宋体"/>
          <w:color w:val="auto"/>
          <w:szCs w:val="24"/>
        </w:rPr>
      </w:pPr>
    </w:p>
    <w:p>
      <w:pPr>
        <w:pStyle w:val="290"/>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eastAsia="宋体"/>
          <w:color w:val="auto"/>
          <w:sz w:val="24"/>
        </w:rPr>
      </w:pPr>
      <w:r>
        <w:rPr>
          <w:rFonts w:ascii="宋体" w:hAnsi="宋体" w:eastAsia="宋体"/>
          <w:color w:val="auto"/>
          <w:sz w:val="24"/>
          <w:u w:val="single"/>
          <w:lang w:val="zh-CN"/>
        </w:rPr>
        <w:t xml:space="preserve">        </w:t>
      </w:r>
      <w:r>
        <w:rPr>
          <w:rFonts w:hint="eastAsia" w:ascii="宋体" w:hAnsi="宋体" w:eastAsia="宋体"/>
          <w:color w:val="auto"/>
          <w:sz w:val="24"/>
          <w:lang w:val="zh-CN"/>
        </w:rPr>
        <w:t>年</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color w:val="auto"/>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(以下简称：乙方)协商一致，约定以下合同</w:t>
      </w:r>
      <w:r>
        <w:rPr>
          <w:rFonts w:hint="eastAsia" w:ascii="宋体" w:hAnsi="宋体" w:eastAsia="宋体"/>
          <w:color w:val="auto"/>
          <w:sz w:val="24"/>
        </w:rPr>
        <w:t>条款，以兹共同遵守、全面履行。</w:t>
      </w:r>
    </w:p>
    <w:p>
      <w:pPr>
        <w:spacing w:line="560" w:lineRule="exact"/>
        <w:ind w:firstLine="482" w:firstLineChars="200"/>
        <w:outlineLvl w:val="0"/>
        <w:rPr>
          <w:rFonts w:ascii="宋体" w:hAnsi="宋体" w:eastAsia="宋体"/>
          <w:color w:val="auto"/>
          <w:sz w:val="24"/>
        </w:rPr>
      </w:pPr>
      <w:bookmarkStart w:id="382" w:name="_Toc19273"/>
      <w:bookmarkStart w:id="383" w:name="_Toc28855"/>
      <w:bookmarkStart w:id="384" w:name="_Toc15367"/>
      <w:bookmarkStart w:id="385" w:name="_Toc22967"/>
      <w:bookmarkStart w:id="386" w:name="_Toc20421"/>
      <w:r>
        <w:rPr>
          <w:rFonts w:ascii="宋体" w:hAnsi="宋体" w:eastAsia="宋体"/>
          <w:b/>
          <w:color w:val="auto"/>
          <w:sz w:val="24"/>
        </w:rPr>
        <w:t xml:space="preserve">1.1 </w:t>
      </w:r>
      <w:r>
        <w:rPr>
          <w:rFonts w:hint="eastAsia" w:ascii="宋体" w:hAnsi="宋体" w:eastAsia="宋体"/>
          <w:b/>
          <w:color w:val="auto"/>
          <w:sz w:val="24"/>
        </w:rPr>
        <w:t>合同组成部分</w:t>
      </w:r>
      <w:bookmarkEnd w:id="382"/>
      <w:bookmarkEnd w:id="383"/>
      <w:bookmarkEnd w:id="384"/>
      <w:bookmarkEnd w:id="385"/>
      <w:bookmarkEnd w:id="386"/>
    </w:p>
    <w:p>
      <w:pPr>
        <w:spacing w:line="560" w:lineRule="exact"/>
        <w:ind w:firstLine="480" w:firstLineChars="200"/>
        <w:rPr>
          <w:rFonts w:ascii="宋体" w:hAnsi="宋体" w:eastAsia="宋体"/>
          <w:color w:val="auto"/>
          <w:sz w:val="24"/>
        </w:rPr>
      </w:pPr>
      <w:r>
        <w:rPr>
          <w:rFonts w:hint="eastAsia" w:ascii="宋体" w:hAnsi="宋体" w:eastAsia="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1.1.1 </w:t>
      </w:r>
      <w:r>
        <w:rPr>
          <w:rFonts w:hint="eastAsia" w:ascii="宋体" w:hAnsi="宋体" w:eastAsia="宋体"/>
          <w:color w:val="auto"/>
          <w:sz w:val="24"/>
        </w:rPr>
        <w:t>本合同及其补充合同、变更协议；</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1.1.2 </w:t>
      </w:r>
      <w:r>
        <w:rPr>
          <w:rFonts w:hint="eastAsia" w:ascii="宋体" w:hAnsi="宋体" w:eastAsia="宋体"/>
          <w:color w:val="auto"/>
          <w:sz w:val="24"/>
        </w:rPr>
        <w:t>中标通知书；</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1.1.3 </w:t>
      </w:r>
      <w:r>
        <w:rPr>
          <w:rFonts w:hint="eastAsia" w:ascii="宋体" w:hAnsi="宋体" w:eastAsia="宋体"/>
          <w:color w:val="auto"/>
          <w:sz w:val="24"/>
        </w:rPr>
        <w:t>投标文件（含澄清或者说明文件）；</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1.1.4 </w:t>
      </w:r>
      <w:r>
        <w:rPr>
          <w:rFonts w:hint="eastAsia" w:ascii="宋体" w:hAnsi="宋体" w:eastAsia="宋体"/>
          <w:color w:val="auto"/>
          <w:sz w:val="24"/>
        </w:rPr>
        <w:t>招标文件（含澄清或者修改文件）；</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1.1.5 </w:t>
      </w:r>
      <w:r>
        <w:rPr>
          <w:rFonts w:hint="eastAsia" w:ascii="宋体" w:hAnsi="宋体" w:eastAsia="宋体"/>
          <w:color w:val="auto"/>
          <w:sz w:val="24"/>
        </w:rPr>
        <w:t>其他相关采购文件。</w:t>
      </w:r>
    </w:p>
    <w:p>
      <w:pPr>
        <w:spacing w:line="560" w:lineRule="exact"/>
        <w:ind w:firstLine="482" w:firstLineChars="200"/>
        <w:outlineLvl w:val="0"/>
        <w:rPr>
          <w:rFonts w:ascii="宋体" w:hAnsi="宋体" w:eastAsia="宋体"/>
          <w:b/>
          <w:color w:val="auto"/>
          <w:sz w:val="24"/>
        </w:rPr>
      </w:pPr>
      <w:bookmarkStart w:id="387" w:name="_Toc22185"/>
      <w:bookmarkStart w:id="388" w:name="_Toc6773"/>
      <w:bookmarkStart w:id="389" w:name="_Toc6311"/>
      <w:bookmarkStart w:id="390" w:name="_Toc2918"/>
      <w:bookmarkStart w:id="391" w:name="_Toc18585"/>
      <w:r>
        <w:rPr>
          <w:rFonts w:ascii="宋体" w:hAnsi="宋体" w:eastAsia="宋体"/>
          <w:b/>
          <w:color w:val="auto"/>
          <w:sz w:val="24"/>
        </w:rPr>
        <w:t xml:space="preserve">1.2 </w:t>
      </w:r>
      <w:r>
        <w:rPr>
          <w:rFonts w:hint="eastAsia" w:ascii="宋体" w:hAnsi="宋体" w:eastAsia="宋体"/>
          <w:b/>
          <w:color w:val="auto"/>
          <w:sz w:val="24"/>
        </w:rPr>
        <w:t>标的</w:t>
      </w:r>
      <w:bookmarkEnd w:id="387"/>
      <w:bookmarkEnd w:id="388"/>
      <w:bookmarkEnd w:id="389"/>
      <w:bookmarkEnd w:id="390"/>
      <w:bookmarkEnd w:id="391"/>
    </w:p>
    <w:p>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1.2.1 </w:t>
      </w:r>
      <w:r>
        <w:rPr>
          <w:rFonts w:hint="eastAsia" w:ascii="宋体" w:hAnsi="宋体" w:eastAsia="宋体"/>
          <w:color w:val="auto"/>
          <w:sz w:val="24"/>
        </w:rPr>
        <w:t>标的</w:t>
      </w:r>
      <w:r>
        <w:rPr>
          <w:rFonts w:ascii="宋体" w:hAnsi="宋体" w:eastAsia="宋体"/>
          <w:color w:val="auto"/>
          <w:sz w:val="24"/>
        </w:rPr>
        <w:t>名称：</w:t>
      </w:r>
      <w:r>
        <w:rPr>
          <w:rFonts w:ascii="宋体" w:hAnsi="宋体" w:eastAsia="宋体"/>
          <w:color w:val="auto"/>
          <w:sz w:val="24"/>
          <w:u w:val="single"/>
        </w:rPr>
        <w:t xml:space="preserve">                                                </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1.2.2 </w:t>
      </w:r>
      <w:r>
        <w:rPr>
          <w:rFonts w:hint="eastAsia" w:ascii="宋体" w:hAnsi="宋体" w:eastAsia="宋体"/>
          <w:color w:val="auto"/>
          <w:sz w:val="24"/>
        </w:rPr>
        <w:t>标的</w:t>
      </w:r>
      <w:r>
        <w:rPr>
          <w:rFonts w:ascii="宋体" w:hAnsi="宋体" w:eastAsia="宋体"/>
          <w:color w:val="auto"/>
          <w:sz w:val="24"/>
        </w:rPr>
        <w:t>数量：</w:t>
      </w:r>
      <w:r>
        <w:rPr>
          <w:rFonts w:ascii="宋体" w:hAnsi="宋体" w:eastAsia="宋体"/>
          <w:color w:val="auto"/>
          <w:sz w:val="24"/>
          <w:u w:val="single"/>
        </w:rPr>
        <w:t xml:space="preserve">                                                </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1.2.3 </w:t>
      </w:r>
      <w:r>
        <w:rPr>
          <w:rFonts w:hint="eastAsia" w:ascii="宋体" w:hAnsi="宋体" w:eastAsia="宋体"/>
          <w:color w:val="auto"/>
          <w:sz w:val="24"/>
        </w:rPr>
        <w:t>标的质量：</w:t>
      </w:r>
      <w:r>
        <w:rPr>
          <w:rFonts w:ascii="宋体" w:hAnsi="宋体" w:eastAsia="宋体"/>
          <w:color w:val="auto"/>
          <w:sz w:val="24"/>
          <w:u w:val="single"/>
        </w:rPr>
        <w:t xml:space="preserve">　　　　　　　　　                      　      </w:t>
      </w:r>
      <w:r>
        <w:rPr>
          <w:rFonts w:hint="eastAsia" w:ascii="宋体" w:hAnsi="宋体" w:eastAsia="宋体"/>
          <w:color w:val="auto"/>
          <w:sz w:val="24"/>
        </w:rPr>
        <w:t>。</w:t>
      </w:r>
    </w:p>
    <w:p>
      <w:pPr>
        <w:spacing w:line="560" w:lineRule="exact"/>
        <w:ind w:firstLine="482" w:firstLineChars="200"/>
        <w:outlineLvl w:val="0"/>
        <w:rPr>
          <w:rFonts w:ascii="宋体" w:hAnsi="宋体" w:eastAsia="宋体"/>
          <w:b/>
          <w:color w:val="auto"/>
          <w:sz w:val="24"/>
        </w:rPr>
      </w:pPr>
      <w:bookmarkStart w:id="392" w:name="_Toc13918"/>
      <w:bookmarkStart w:id="393" w:name="_Toc4929"/>
      <w:bookmarkStart w:id="394" w:name="_Toc5635"/>
      <w:bookmarkStart w:id="395" w:name="_Toc1386"/>
      <w:bookmarkStart w:id="396" w:name="_Toc21124"/>
      <w:r>
        <w:rPr>
          <w:rFonts w:ascii="宋体" w:hAnsi="宋体" w:eastAsia="宋体"/>
          <w:b/>
          <w:color w:val="auto"/>
          <w:sz w:val="24"/>
        </w:rPr>
        <w:t>1.3 价款</w:t>
      </w:r>
      <w:bookmarkEnd w:id="392"/>
      <w:bookmarkEnd w:id="393"/>
      <w:bookmarkEnd w:id="394"/>
      <w:bookmarkEnd w:id="395"/>
      <w:bookmarkEnd w:id="396"/>
    </w:p>
    <w:p>
      <w:pPr>
        <w:spacing w:line="560" w:lineRule="exact"/>
        <w:ind w:firstLine="960" w:firstLineChars="400"/>
        <w:rPr>
          <w:rFonts w:ascii="宋体" w:hAnsi="宋体" w:eastAsia="宋体"/>
          <w:color w:val="auto"/>
          <w:sz w:val="24"/>
        </w:rPr>
      </w:pPr>
      <w:r>
        <w:rPr>
          <w:rFonts w:ascii="宋体" w:hAnsi="宋体" w:eastAsia="宋体"/>
          <w:color w:val="auto"/>
          <w:sz w:val="24"/>
        </w:rPr>
        <w:t>本</w:t>
      </w:r>
      <w:r>
        <w:rPr>
          <w:rFonts w:hint="eastAsia" w:ascii="宋体" w:hAnsi="宋体"/>
          <w:color w:val="auto"/>
          <w:sz w:val="24"/>
          <w:lang w:eastAsia="zh-CN"/>
        </w:rPr>
        <w:t>二年</w:t>
      </w:r>
      <w:r>
        <w:rPr>
          <w:rFonts w:ascii="宋体" w:hAnsi="宋体" w:eastAsia="宋体"/>
          <w:color w:val="auto"/>
          <w:sz w:val="24"/>
        </w:rPr>
        <w:t>合同总价为</w:t>
      </w:r>
      <w:r>
        <w:rPr>
          <w:rFonts w:hint="eastAsia" w:ascii="宋体" w:hAnsi="宋体" w:eastAsia="宋体"/>
          <w:color w:val="auto"/>
          <w:sz w:val="24"/>
        </w:rPr>
        <w:t>：￥</w:t>
      </w:r>
      <w:r>
        <w:rPr>
          <w:rFonts w:ascii="宋体" w:hAnsi="宋体" w:eastAsia="宋体"/>
          <w:color w:val="auto"/>
          <w:sz w:val="24"/>
          <w:u w:val="single"/>
        </w:rPr>
        <w:t xml:space="preserve">           </w:t>
      </w:r>
      <w:r>
        <w:rPr>
          <w:rFonts w:ascii="宋体" w:hAnsi="宋体" w:eastAsia="宋体"/>
          <w:color w:val="auto"/>
          <w:sz w:val="24"/>
        </w:rPr>
        <w:t>元</w:t>
      </w:r>
      <w:r>
        <w:rPr>
          <w:rFonts w:hint="eastAsia" w:ascii="宋体" w:hAnsi="宋体" w:eastAsia="宋体"/>
          <w:color w:val="auto"/>
          <w:sz w:val="24"/>
        </w:rPr>
        <w:t>（大写：</w:t>
      </w:r>
      <w:r>
        <w:rPr>
          <w:rFonts w:ascii="宋体" w:hAnsi="宋体" w:eastAsia="宋体"/>
          <w:color w:val="auto"/>
          <w:sz w:val="24"/>
          <w:u w:val="single"/>
        </w:rPr>
        <w:t xml:space="preserve">                 </w:t>
      </w:r>
      <w:r>
        <w:rPr>
          <w:rFonts w:hint="eastAsia" w:ascii="宋体" w:hAnsi="宋体" w:eastAsia="宋体"/>
          <w:color w:val="auto"/>
          <w:sz w:val="24"/>
        </w:rPr>
        <w:t>元人民币）</w:t>
      </w:r>
      <w:r>
        <w:rPr>
          <w:rFonts w:ascii="宋体" w:hAnsi="宋体" w:eastAsia="宋体"/>
          <w:color w:val="auto"/>
          <w:sz w:val="24"/>
        </w:rPr>
        <w:t>。</w:t>
      </w:r>
    </w:p>
    <w:p>
      <w:pPr>
        <w:spacing w:line="560" w:lineRule="exact"/>
        <w:ind w:firstLine="960" w:firstLineChars="400"/>
        <w:rPr>
          <w:rFonts w:ascii="宋体" w:hAnsi="宋体" w:eastAsia="宋体"/>
          <w:color w:val="auto"/>
          <w:sz w:val="24"/>
          <w:u w:val="single"/>
        </w:rPr>
      </w:pPr>
      <w:r>
        <w:rPr>
          <w:rFonts w:ascii="宋体" w:hAnsi="宋体" w:eastAsia="宋体"/>
          <w:color w:val="auto"/>
          <w:sz w:val="24"/>
        </w:rPr>
        <w:t>分项</w:t>
      </w:r>
      <w:r>
        <w:rPr>
          <w:rFonts w:hint="eastAsia" w:ascii="宋体" w:hAnsi="宋体"/>
          <w:color w:val="auto"/>
          <w:sz w:val="24"/>
          <w:lang w:eastAsia="zh-CN"/>
        </w:rPr>
        <w:t>综合单价报价清单</w:t>
      </w:r>
      <w:r>
        <w:rPr>
          <w:rFonts w:ascii="宋体" w:hAnsi="宋体" w:eastAsia="宋体"/>
          <w:color w:val="auto"/>
          <w:sz w:val="24"/>
        </w:rPr>
        <w:t>：</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jc w:val="center"/>
              <w:rPr>
                <w:rFonts w:ascii="宋体" w:hAnsi="宋体" w:eastAsia="宋体"/>
                <w:color w:val="auto"/>
                <w:sz w:val="24"/>
                <w:szCs w:val="24"/>
              </w:rPr>
            </w:pPr>
            <w:r>
              <w:rPr>
                <w:rFonts w:ascii="宋体" w:hAnsi="宋体" w:eastAsia="宋体"/>
                <w:color w:val="auto"/>
                <w:sz w:val="24"/>
                <w:szCs w:val="24"/>
              </w:rPr>
              <w:t>序号</w:t>
            </w:r>
          </w:p>
        </w:tc>
        <w:tc>
          <w:tcPr>
            <w:tcW w:w="3402" w:type="dxa"/>
            <w:vAlign w:val="center"/>
          </w:tcPr>
          <w:p>
            <w:pPr>
              <w:pStyle w:val="114"/>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分项名称</w:t>
            </w:r>
          </w:p>
        </w:tc>
        <w:tc>
          <w:tcPr>
            <w:tcW w:w="2552" w:type="dxa"/>
            <w:vAlign w:val="center"/>
          </w:tcPr>
          <w:p>
            <w:pPr>
              <w:pStyle w:val="114"/>
              <w:spacing w:line="560" w:lineRule="exact"/>
              <w:jc w:val="center"/>
              <w:rPr>
                <w:rFonts w:ascii="宋体" w:hAnsi="宋体" w:eastAsia="宋体"/>
                <w:color w:val="auto"/>
                <w:sz w:val="24"/>
                <w:szCs w:val="24"/>
              </w:rPr>
            </w:pPr>
            <w:r>
              <w:rPr>
                <w:rFonts w:ascii="宋体" w:hAnsi="宋体" w:eastAsia="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ind w:firstLine="200"/>
              <w:jc w:val="center"/>
              <w:rPr>
                <w:rFonts w:hint="eastAsia" w:ascii="宋体" w:hAnsi="宋体" w:eastAsia="宋体"/>
                <w:color w:val="auto"/>
                <w:sz w:val="24"/>
                <w:szCs w:val="24"/>
                <w:lang w:val="en-US" w:eastAsia="zh-CN"/>
              </w:rPr>
            </w:pPr>
            <w:r>
              <w:rPr>
                <w:rFonts w:hint="eastAsia" w:hAnsi="宋体"/>
                <w:color w:val="auto"/>
                <w:sz w:val="24"/>
                <w:szCs w:val="24"/>
                <w:lang w:val="en-US" w:eastAsia="zh-CN"/>
              </w:rPr>
              <w:t>1</w:t>
            </w:r>
          </w:p>
        </w:tc>
        <w:tc>
          <w:tcPr>
            <w:tcW w:w="3402" w:type="dxa"/>
            <w:vAlign w:val="center"/>
          </w:tcPr>
          <w:p>
            <w:pPr>
              <w:pStyle w:val="114"/>
              <w:spacing w:line="560" w:lineRule="exact"/>
              <w:ind w:firstLine="200"/>
              <w:jc w:val="center"/>
              <w:rPr>
                <w:rFonts w:ascii="宋体" w:hAnsi="宋体" w:eastAsia="宋体"/>
                <w:color w:val="auto"/>
                <w:sz w:val="24"/>
                <w:szCs w:val="24"/>
              </w:rPr>
            </w:pPr>
            <w:r>
              <w:rPr>
                <w:rFonts w:hint="eastAsia" w:ascii="宋体" w:hAnsi="宋体" w:cs="宋体"/>
                <w:b/>
                <w:bCs/>
                <w:kern w:val="0"/>
                <w:sz w:val="24"/>
                <w:lang w:val="en-US" w:eastAsia="zh-CN"/>
              </w:rPr>
              <w:t>犬只收养；</w:t>
            </w:r>
          </w:p>
        </w:tc>
        <w:tc>
          <w:tcPr>
            <w:tcW w:w="2552" w:type="dxa"/>
            <w:vAlign w:val="center"/>
          </w:tcPr>
          <w:p>
            <w:pPr>
              <w:pStyle w:val="114"/>
              <w:spacing w:line="560" w:lineRule="exact"/>
              <w:ind w:firstLine="200"/>
              <w:jc w:val="center"/>
              <w:rPr>
                <w:rFonts w:ascii="宋体" w:hAnsi="宋体" w:eastAsia="宋体"/>
                <w:color w:val="auto"/>
                <w:sz w:val="24"/>
                <w:szCs w:val="24"/>
              </w:rPr>
            </w:pPr>
            <w:r>
              <w:rPr>
                <w:rFonts w:hint="eastAsia" w:ascii="宋体" w:hAnsi="宋体" w:cs="宋体"/>
                <w:b/>
                <w:bCs/>
                <w:kern w:val="0"/>
                <w:sz w:val="24"/>
                <w:lang w:val="en-US" w:eastAsia="zh-CN"/>
              </w:rPr>
              <w:t>元/只/天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ind w:firstLine="200"/>
              <w:jc w:val="center"/>
              <w:rPr>
                <w:rFonts w:hint="eastAsia" w:ascii="宋体" w:hAnsi="宋体" w:eastAsia="宋体"/>
                <w:color w:val="auto"/>
                <w:sz w:val="24"/>
                <w:szCs w:val="24"/>
                <w:lang w:val="en-US" w:eastAsia="zh-CN"/>
              </w:rPr>
            </w:pPr>
            <w:r>
              <w:rPr>
                <w:rFonts w:hint="eastAsia" w:hAnsi="宋体"/>
                <w:color w:val="auto"/>
                <w:sz w:val="24"/>
                <w:szCs w:val="24"/>
                <w:lang w:val="en-US" w:eastAsia="zh-CN"/>
              </w:rPr>
              <w:t>2</w:t>
            </w:r>
          </w:p>
        </w:tc>
        <w:tc>
          <w:tcPr>
            <w:tcW w:w="3402" w:type="dxa"/>
            <w:vAlign w:val="center"/>
          </w:tcPr>
          <w:p>
            <w:pPr>
              <w:pStyle w:val="114"/>
              <w:spacing w:line="560" w:lineRule="exact"/>
              <w:ind w:firstLine="200"/>
              <w:jc w:val="center"/>
              <w:rPr>
                <w:rFonts w:ascii="宋体" w:hAnsi="宋体" w:eastAsia="宋体"/>
                <w:color w:val="auto"/>
                <w:sz w:val="24"/>
                <w:szCs w:val="24"/>
              </w:rPr>
            </w:pPr>
            <w:r>
              <w:rPr>
                <w:rFonts w:hint="eastAsia" w:ascii="宋体" w:hAnsi="宋体" w:cs="宋体"/>
                <w:b/>
                <w:bCs/>
                <w:kern w:val="0"/>
                <w:sz w:val="24"/>
                <w:lang w:val="en-US" w:eastAsia="zh-CN"/>
              </w:rPr>
              <w:t>犬只无害化处置；</w:t>
            </w:r>
          </w:p>
        </w:tc>
        <w:tc>
          <w:tcPr>
            <w:tcW w:w="2552" w:type="dxa"/>
            <w:vAlign w:val="center"/>
          </w:tcPr>
          <w:p>
            <w:pPr>
              <w:pStyle w:val="114"/>
              <w:spacing w:line="560" w:lineRule="exact"/>
              <w:ind w:firstLine="200"/>
              <w:jc w:val="center"/>
              <w:rPr>
                <w:rFonts w:ascii="宋体" w:hAnsi="宋体" w:eastAsia="宋体"/>
                <w:color w:val="auto"/>
                <w:sz w:val="24"/>
                <w:szCs w:val="24"/>
              </w:rPr>
            </w:pPr>
            <w:r>
              <w:rPr>
                <w:rFonts w:hint="eastAsia" w:ascii="宋体" w:hAnsi="宋体" w:cs="宋体"/>
                <w:b/>
                <w:bCs/>
                <w:kern w:val="0"/>
                <w:sz w:val="24"/>
                <w:lang w:val="en-US" w:eastAsia="zh-CN"/>
              </w:rPr>
              <w:t>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ind w:firstLine="200"/>
              <w:jc w:val="center"/>
              <w:rPr>
                <w:rFonts w:hint="eastAsia" w:ascii="宋体" w:hAnsi="宋体" w:eastAsia="宋体"/>
                <w:color w:val="auto"/>
                <w:sz w:val="24"/>
                <w:szCs w:val="24"/>
                <w:lang w:val="en-US" w:eastAsia="zh-CN"/>
              </w:rPr>
            </w:pPr>
            <w:r>
              <w:rPr>
                <w:rFonts w:hint="eastAsia" w:hAnsi="宋体"/>
                <w:color w:val="auto"/>
                <w:sz w:val="24"/>
                <w:szCs w:val="24"/>
                <w:lang w:val="en-US" w:eastAsia="zh-CN"/>
              </w:rPr>
              <w:t>3</w:t>
            </w:r>
          </w:p>
        </w:tc>
        <w:tc>
          <w:tcPr>
            <w:tcW w:w="3402" w:type="dxa"/>
            <w:vAlign w:val="center"/>
          </w:tcPr>
          <w:p>
            <w:pPr>
              <w:pStyle w:val="114"/>
              <w:spacing w:line="560" w:lineRule="exact"/>
              <w:ind w:firstLine="200"/>
              <w:jc w:val="center"/>
              <w:rPr>
                <w:rFonts w:hint="default" w:ascii="宋体" w:hAnsi="宋体" w:eastAsia="宋体"/>
                <w:color w:val="auto"/>
                <w:sz w:val="24"/>
                <w:szCs w:val="24"/>
                <w:lang w:val="en-US"/>
              </w:rPr>
            </w:pPr>
            <w:r>
              <w:rPr>
                <w:rFonts w:hint="eastAsia" w:ascii="宋体" w:hAnsi="宋体" w:cs="宋体"/>
                <w:b/>
                <w:bCs/>
                <w:kern w:val="0"/>
                <w:sz w:val="24"/>
                <w:lang w:val="en-US" w:eastAsia="zh-CN"/>
              </w:rPr>
              <w:t>犬只体检洗澡及疫苗注射；</w:t>
            </w:r>
          </w:p>
        </w:tc>
        <w:tc>
          <w:tcPr>
            <w:tcW w:w="2552" w:type="dxa"/>
            <w:vAlign w:val="center"/>
          </w:tcPr>
          <w:p>
            <w:pPr>
              <w:pStyle w:val="114"/>
              <w:spacing w:line="560" w:lineRule="exact"/>
              <w:ind w:firstLine="200"/>
              <w:jc w:val="center"/>
              <w:rPr>
                <w:rFonts w:ascii="宋体" w:hAnsi="宋体" w:eastAsia="宋体"/>
                <w:color w:val="auto"/>
                <w:sz w:val="24"/>
                <w:szCs w:val="24"/>
              </w:rPr>
            </w:pPr>
            <w:r>
              <w:rPr>
                <w:rFonts w:hint="eastAsia" w:ascii="宋体" w:hAnsi="宋体" w:cs="宋体"/>
                <w:b/>
                <w:bCs/>
                <w:kern w:val="0"/>
                <w:sz w:val="24"/>
                <w:lang w:val="en-US" w:eastAsia="zh-CN"/>
              </w:rPr>
              <w:t>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4"/>
              <w:spacing w:line="560" w:lineRule="exact"/>
              <w:ind w:firstLine="200"/>
              <w:jc w:val="center"/>
              <w:rPr>
                <w:rFonts w:ascii="宋体" w:hAnsi="宋体" w:eastAsia="宋体"/>
                <w:color w:val="auto"/>
                <w:sz w:val="24"/>
                <w:szCs w:val="24"/>
              </w:rPr>
            </w:pPr>
          </w:p>
        </w:tc>
        <w:tc>
          <w:tcPr>
            <w:tcW w:w="3402" w:type="dxa"/>
            <w:vAlign w:val="center"/>
          </w:tcPr>
          <w:p>
            <w:pPr>
              <w:pStyle w:val="114"/>
              <w:spacing w:line="560" w:lineRule="exact"/>
              <w:ind w:firstLine="200"/>
              <w:jc w:val="center"/>
              <w:rPr>
                <w:rFonts w:ascii="宋体" w:hAnsi="宋体" w:eastAsia="宋体"/>
                <w:color w:val="auto"/>
                <w:sz w:val="24"/>
                <w:szCs w:val="24"/>
              </w:rPr>
            </w:pPr>
          </w:p>
        </w:tc>
        <w:tc>
          <w:tcPr>
            <w:tcW w:w="2552" w:type="dxa"/>
            <w:vAlign w:val="center"/>
          </w:tcPr>
          <w:p>
            <w:pPr>
              <w:pStyle w:val="114"/>
              <w:spacing w:line="560" w:lineRule="exact"/>
              <w:ind w:firstLine="200"/>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4"/>
              <w:spacing w:line="560" w:lineRule="exact"/>
              <w:ind w:firstLine="200"/>
              <w:jc w:val="center"/>
              <w:rPr>
                <w:rFonts w:hint="eastAsia" w:ascii="宋体" w:hAnsi="宋体" w:eastAsia="宋体"/>
                <w:color w:val="auto"/>
                <w:sz w:val="24"/>
                <w:szCs w:val="24"/>
                <w:lang w:eastAsia="zh-CN"/>
              </w:rPr>
            </w:pPr>
            <w:r>
              <w:rPr>
                <w:rFonts w:hint="eastAsia" w:hAnsi="宋体"/>
                <w:color w:val="auto"/>
                <w:sz w:val="24"/>
                <w:szCs w:val="24"/>
                <w:lang w:eastAsia="zh-CN"/>
              </w:rPr>
              <w:t>综合单价</w:t>
            </w:r>
          </w:p>
        </w:tc>
        <w:tc>
          <w:tcPr>
            <w:tcW w:w="2552" w:type="dxa"/>
            <w:vAlign w:val="center"/>
          </w:tcPr>
          <w:p>
            <w:pPr>
              <w:pStyle w:val="114"/>
              <w:spacing w:line="560" w:lineRule="exact"/>
              <w:ind w:firstLine="200"/>
              <w:jc w:val="center"/>
              <w:rPr>
                <w:rFonts w:ascii="宋体" w:hAnsi="宋体" w:eastAsia="宋体"/>
                <w:color w:val="auto"/>
                <w:sz w:val="24"/>
                <w:szCs w:val="24"/>
              </w:rPr>
            </w:pPr>
          </w:p>
        </w:tc>
      </w:tr>
    </w:tbl>
    <w:p>
      <w:pPr>
        <w:spacing w:line="560" w:lineRule="exact"/>
        <w:ind w:firstLine="482" w:firstLineChars="200"/>
        <w:outlineLvl w:val="0"/>
        <w:rPr>
          <w:rFonts w:ascii="宋体" w:hAnsi="宋体" w:eastAsia="宋体"/>
          <w:b/>
          <w:color w:val="auto"/>
          <w:sz w:val="24"/>
        </w:rPr>
      </w:pPr>
      <w:bookmarkStart w:id="397" w:name="_Toc30506"/>
      <w:bookmarkStart w:id="398" w:name="_Toc3654"/>
      <w:bookmarkStart w:id="399" w:name="_Toc14993"/>
      <w:bookmarkStart w:id="400" w:name="_Toc26916"/>
      <w:bookmarkStart w:id="401" w:name="_Toc30158"/>
      <w:r>
        <w:rPr>
          <w:rFonts w:ascii="宋体" w:hAnsi="宋体" w:eastAsia="宋体"/>
          <w:b/>
          <w:color w:val="auto"/>
          <w:sz w:val="24"/>
        </w:rPr>
        <w:t>1.4 付款方式和发票开具方式</w:t>
      </w:r>
      <w:bookmarkEnd w:id="397"/>
      <w:bookmarkEnd w:id="398"/>
      <w:bookmarkEnd w:id="399"/>
      <w:bookmarkEnd w:id="400"/>
      <w:bookmarkEnd w:id="401"/>
    </w:p>
    <w:p>
      <w:pPr>
        <w:pStyle w:val="623"/>
        <w:spacing w:before="0" w:beforeAutospacing="0" w:after="0" w:afterAutospacing="0" w:line="360" w:lineRule="auto"/>
        <w:ind w:firstLine="480"/>
        <w:rPr>
          <w:rFonts w:ascii="宋体" w:hAnsi="宋体" w:eastAsia="宋体" w:cs="Times New Roman"/>
          <w:color w:val="auto"/>
        </w:rPr>
      </w:pPr>
      <w:r>
        <w:rPr>
          <w:rFonts w:ascii="宋体" w:hAnsi="宋体" w:eastAsia="宋体" w:cs="Times New Roman"/>
          <w:color w:val="auto"/>
        </w:rPr>
        <w:t>1.4.1</w:t>
      </w:r>
      <w:r>
        <w:rPr>
          <w:rFonts w:hint="eastAsia" w:ascii="宋体" w:hAnsi="宋体" w:eastAsia="宋体" w:cs="Times New Roman"/>
          <w:color w:val="auto"/>
        </w:rPr>
        <w:t>甲方应严格履行合同，及时组织验收，验收合格后及时将合同款支付完毕。对于满足合同约定支付条件的，甲方自收到发票后</w:t>
      </w:r>
      <w:r>
        <w:rPr>
          <w:rFonts w:ascii="宋体" w:hAnsi="宋体" w:eastAsia="宋体" w:cs="Times New Roman"/>
          <w:color w:val="auto"/>
        </w:rPr>
        <w:t>5个工作日内将资金支付到合同约定的乙方账户，有条件的甲方可以即时支付。甲方不得以机构变动、人员更替、政策调整、单位放假等为由延迟付款。</w:t>
      </w:r>
    </w:p>
    <w:p>
      <w:pPr>
        <w:pStyle w:val="623"/>
        <w:spacing w:before="0" w:beforeAutospacing="0" w:after="0" w:afterAutospacing="0" w:line="360" w:lineRule="auto"/>
        <w:ind w:firstLine="480"/>
        <w:rPr>
          <w:rFonts w:ascii="宋体" w:hAnsi="宋体" w:eastAsia="宋体"/>
          <w:color w:val="auto"/>
          <w:sz w:val="24"/>
        </w:rPr>
      </w:pPr>
      <w:r>
        <w:rPr>
          <w:rFonts w:ascii="宋体" w:hAnsi="宋体" w:eastAsia="宋体"/>
          <w:color w:val="auto"/>
          <w:sz w:val="24"/>
        </w:rPr>
        <w:t xml:space="preserve">1.4.2 </w:t>
      </w:r>
      <w:r>
        <w:rPr>
          <w:rFonts w:hint="eastAsia" w:ascii="宋体" w:hAnsi="宋体" w:eastAsia="宋体"/>
          <w:color w:val="auto"/>
          <w:sz w:val="24"/>
        </w:rPr>
        <w:t>合同预付款比例为合同金额的</w:t>
      </w:r>
      <w:r>
        <w:rPr>
          <w:rFonts w:hint="eastAsia"/>
          <w:color w:val="auto"/>
          <w:sz w:val="24"/>
          <w:lang w:val="en-US" w:eastAsia="zh-CN"/>
        </w:rPr>
        <w:t>4</w:t>
      </w:r>
      <w:r>
        <w:rPr>
          <w:rFonts w:ascii="宋体" w:hAnsi="宋体" w:eastAsia="宋体"/>
          <w:color w:val="auto"/>
          <w:sz w:val="24"/>
        </w:rPr>
        <w:t>0％；项目分年安排预算的，每年预付款比例为项目年度计划支付资金额的</w:t>
      </w:r>
      <w:r>
        <w:rPr>
          <w:rFonts w:hint="eastAsia"/>
          <w:color w:val="auto"/>
          <w:sz w:val="24"/>
          <w:lang w:val="en-US" w:eastAsia="zh-CN"/>
        </w:rPr>
        <w:t>4</w:t>
      </w:r>
      <w:r>
        <w:rPr>
          <w:rFonts w:ascii="宋体" w:hAnsi="宋体" w:eastAsia="宋体"/>
          <w:color w:val="auto"/>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rPr>
        <w:t>5</w:t>
      </w:r>
      <w:r>
        <w:rPr>
          <w:rFonts w:ascii="宋体" w:hAnsi="宋体" w:eastAsia="宋体"/>
          <w:color w:val="auto"/>
          <w:sz w:val="24"/>
        </w:rPr>
        <w:t>个工作日内支付。</w:t>
      </w:r>
      <w:r>
        <w:rPr>
          <w:rFonts w:hint="eastAsia" w:ascii="宋体" w:hAnsi="宋体" w:eastAsia="宋体"/>
          <w:color w:val="auto"/>
          <w:sz w:val="24"/>
        </w:rPr>
        <w:t>政府采购工程以及与工程建设有关的货物、服务，采用招标方式采购的，预付款从其相关规定。乙方可登录政采云前台大厅选择金融服务</w:t>
      </w:r>
      <w:r>
        <w:rPr>
          <w:rFonts w:ascii="宋体" w:hAnsi="宋体" w:eastAsia="宋体"/>
          <w:color w:val="auto"/>
          <w:sz w:val="24"/>
        </w:rPr>
        <w:t xml:space="preserve"> - </w:t>
      </w:r>
      <w:r>
        <w:rPr>
          <w:rFonts w:hint="eastAsia" w:ascii="宋体" w:hAnsi="宋体" w:eastAsia="宋体"/>
          <w:color w:val="auto"/>
          <w:sz w:val="24"/>
        </w:rPr>
        <w:t>【保函保险服务】出具预付款保函，具体步骤：选择产品—填写供应商信息—选择中标项目—确认信息—等待保险</w:t>
      </w:r>
      <w:r>
        <w:rPr>
          <w:rFonts w:ascii="宋体" w:hAnsi="宋体" w:eastAsia="宋体"/>
          <w:color w:val="auto"/>
          <w:sz w:val="24"/>
        </w:rPr>
        <w:t>/保函受理—确认保单—支付保费—成功出单。政</w:t>
      </w:r>
      <w:r>
        <w:rPr>
          <w:rFonts w:hint="eastAsia" w:ascii="宋体" w:hAnsi="宋体" w:eastAsia="宋体"/>
          <w:color w:val="auto"/>
          <w:sz w:val="24"/>
        </w:rPr>
        <w:t>采云金融专线</w:t>
      </w:r>
      <w:r>
        <w:rPr>
          <w:rFonts w:ascii="宋体" w:hAnsi="宋体" w:eastAsia="宋体"/>
          <w:color w:val="auto"/>
          <w:sz w:val="24"/>
        </w:rPr>
        <w:t>400-903-9583。</w:t>
      </w:r>
    </w:p>
    <w:p>
      <w:pPr>
        <w:pStyle w:val="623"/>
        <w:spacing w:before="0" w:beforeAutospacing="0" w:after="0" w:afterAutospacing="0" w:line="360" w:lineRule="auto"/>
        <w:ind w:firstLine="480"/>
        <w:rPr>
          <w:rFonts w:ascii="宋体" w:hAnsi="宋体" w:eastAsia="宋体"/>
          <w:color w:val="auto"/>
          <w:sz w:val="24"/>
        </w:rPr>
      </w:pPr>
      <w:r>
        <w:rPr>
          <w:rFonts w:ascii="宋体" w:hAnsi="宋体" w:eastAsia="宋体"/>
          <w:color w:val="auto"/>
          <w:sz w:val="24"/>
        </w:rPr>
        <w:t>1.4.3</w:t>
      </w:r>
      <w:r>
        <w:rPr>
          <w:rFonts w:hint="eastAsia" w:ascii="宋体" w:hAnsi="宋体" w:eastAsia="宋体"/>
          <w:color w:val="auto"/>
          <w:sz w:val="24"/>
        </w:rPr>
        <w:t>甲方迟延支付乙方款项的，向乙方支付逾期利息。双方可以在合同专用条款中约定逾期利率，约定利率不得低于合同订立时</w:t>
      </w:r>
      <w:r>
        <w:rPr>
          <w:rFonts w:ascii="宋体" w:hAnsi="宋体" w:eastAsia="宋体"/>
          <w:color w:val="auto"/>
          <w:sz w:val="24"/>
        </w:rPr>
        <w:t>1年</w:t>
      </w:r>
      <w:r>
        <w:rPr>
          <w:rFonts w:hint="eastAsia" w:ascii="宋体" w:hAnsi="宋体" w:eastAsia="宋体"/>
          <w:color w:val="auto"/>
          <w:sz w:val="24"/>
        </w:rPr>
        <w:t>期贷款市场报价利率；未作约定的，按照每日利率万分之五支付逾期利息。</w:t>
      </w:r>
    </w:p>
    <w:p>
      <w:pPr>
        <w:spacing w:line="560" w:lineRule="exact"/>
        <w:ind w:firstLine="480" w:firstLineChars="200"/>
        <w:outlineLvl w:val="0"/>
        <w:rPr>
          <w:rFonts w:ascii="宋体" w:hAnsi="宋体" w:eastAsia="宋体"/>
          <w:color w:val="auto"/>
          <w:sz w:val="24"/>
        </w:rPr>
      </w:pPr>
      <w:r>
        <w:rPr>
          <w:rFonts w:ascii="宋体" w:hAnsi="宋体" w:eastAsia="宋体"/>
          <w:color w:val="auto"/>
          <w:sz w:val="24"/>
        </w:rPr>
        <w:t>1.4.4资金支付的方式、时间和条件详见</w:t>
      </w:r>
      <w:r>
        <w:rPr>
          <w:rFonts w:hint="eastAsia" w:ascii="宋体" w:hAnsi="宋体" w:eastAsia="宋体"/>
          <w:b/>
          <w:i/>
          <w:color w:val="auto"/>
          <w:sz w:val="24"/>
          <w:u w:val="single"/>
        </w:rPr>
        <w:t>合同专用条款</w:t>
      </w:r>
      <w:r>
        <w:rPr>
          <w:rFonts w:hint="eastAsia" w:ascii="宋体" w:hAnsi="宋体" w:eastAsia="宋体"/>
          <w:color w:val="auto"/>
          <w:sz w:val="24"/>
        </w:rPr>
        <w:t>。</w:t>
      </w:r>
    </w:p>
    <w:p>
      <w:pPr>
        <w:spacing w:line="560" w:lineRule="exact"/>
        <w:ind w:firstLine="482" w:firstLineChars="200"/>
        <w:outlineLvl w:val="0"/>
        <w:rPr>
          <w:rFonts w:ascii="宋体" w:hAnsi="宋体" w:eastAsia="宋体"/>
          <w:b/>
          <w:color w:val="auto"/>
          <w:sz w:val="24"/>
        </w:rPr>
      </w:pPr>
      <w:bookmarkStart w:id="402" w:name="_Toc8772"/>
      <w:bookmarkStart w:id="403" w:name="_Toc31421"/>
      <w:bookmarkStart w:id="404" w:name="_Toc11108"/>
      <w:bookmarkStart w:id="405" w:name="_Toc3625"/>
      <w:bookmarkStart w:id="406" w:name="_Toc4760"/>
      <w:r>
        <w:rPr>
          <w:rFonts w:ascii="宋体" w:hAnsi="宋体" w:eastAsia="宋体"/>
          <w:b/>
          <w:color w:val="auto"/>
          <w:sz w:val="24"/>
        </w:rPr>
        <w:t>1.5 履行期限</w:t>
      </w:r>
      <w:r>
        <w:rPr>
          <w:rFonts w:hint="eastAsia" w:ascii="宋体" w:hAnsi="宋体" w:eastAsia="宋体"/>
          <w:b/>
          <w:color w:val="auto"/>
          <w:sz w:val="24"/>
        </w:rPr>
        <w:t>、地点和方式</w:t>
      </w:r>
      <w:bookmarkEnd w:id="402"/>
      <w:bookmarkEnd w:id="403"/>
      <w:bookmarkEnd w:id="404"/>
      <w:bookmarkEnd w:id="405"/>
      <w:bookmarkEnd w:id="406"/>
    </w:p>
    <w:p>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1.5.1 </w:t>
      </w:r>
      <w:r>
        <w:rPr>
          <w:rFonts w:hint="eastAsia" w:ascii="宋体" w:hAnsi="宋体" w:eastAsia="宋体"/>
          <w:color w:val="auto"/>
          <w:sz w:val="24"/>
        </w:rPr>
        <w:t>履行期限</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1.5.2 </w:t>
      </w:r>
      <w:r>
        <w:rPr>
          <w:rFonts w:hint="eastAsia" w:ascii="宋体" w:hAnsi="宋体" w:eastAsia="宋体"/>
          <w:color w:val="auto"/>
          <w:sz w:val="24"/>
        </w:rPr>
        <w:t>履行地点</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1.5.3 </w:t>
      </w:r>
      <w:r>
        <w:rPr>
          <w:rFonts w:hint="eastAsia" w:ascii="宋体" w:hAnsi="宋体" w:eastAsia="宋体"/>
          <w:color w:val="auto"/>
          <w:sz w:val="24"/>
        </w:rPr>
        <w:t>履行方式：</w:t>
      </w:r>
      <w:r>
        <w:rPr>
          <w:rFonts w:hint="eastAsia" w:ascii="宋体" w:hAnsi="宋体" w:eastAsia="宋体"/>
          <w:b/>
          <w:i/>
          <w:color w:val="auto"/>
          <w:sz w:val="24"/>
          <w:u w:val="single"/>
        </w:rPr>
        <w:t>合同专用条款</w:t>
      </w:r>
      <w:r>
        <w:rPr>
          <w:rFonts w:hint="eastAsia" w:ascii="宋体" w:hAnsi="宋体" w:eastAsia="宋体"/>
          <w:color w:val="auto"/>
          <w:sz w:val="24"/>
        </w:rPr>
        <w:t>。</w:t>
      </w:r>
    </w:p>
    <w:p>
      <w:pPr>
        <w:spacing w:line="560" w:lineRule="exact"/>
        <w:ind w:firstLine="482" w:firstLineChars="200"/>
        <w:outlineLvl w:val="0"/>
        <w:rPr>
          <w:rFonts w:ascii="宋体" w:hAnsi="宋体" w:eastAsia="宋体"/>
          <w:color w:val="auto"/>
          <w:sz w:val="24"/>
          <w:u w:val="single"/>
        </w:rPr>
      </w:pPr>
      <w:bookmarkStart w:id="407" w:name="_Toc2375"/>
      <w:bookmarkStart w:id="408" w:name="_Toc8586"/>
      <w:bookmarkStart w:id="409" w:name="_Toc24662"/>
      <w:bookmarkStart w:id="410" w:name="_Toc3079"/>
      <w:bookmarkStart w:id="411" w:name="_Toc5698"/>
      <w:r>
        <w:rPr>
          <w:rFonts w:ascii="宋体" w:hAnsi="宋体" w:eastAsia="宋体"/>
          <w:b/>
          <w:color w:val="auto"/>
          <w:sz w:val="24"/>
        </w:rPr>
        <w:t xml:space="preserve">1.6 </w:t>
      </w:r>
      <w:r>
        <w:rPr>
          <w:rFonts w:hint="eastAsia" w:ascii="宋体" w:hAnsi="宋体" w:eastAsia="宋体"/>
          <w:b/>
          <w:color w:val="auto"/>
          <w:sz w:val="24"/>
        </w:rPr>
        <w:t>违约责任</w:t>
      </w:r>
      <w:bookmarkEnd w:id="407"/>
      <w:bookmarkEnd w:id="408"/>
      <w:bookmarkEnd w:id="409"/>
      <w:bookmarkEnd w:id="410"/>
      <w:bookmarkEnd w:id="411"/>
    </w:p>
    <w:p>
      <w:pPr>
        <w:spacing w:line="560" w:lineRule="exact"/>
        <w:ind w:firstLine="480" w:firstLineChars="200"/>
        <w:rPr>
          <w:rFonts w:ascii="宋体" w:hAnsi="宋体" w:eastAsia="宋体"/>
          <w:color w:val="auto"/>
          <w:sz w:val="24"/>
        </w:rPr>
      </w:pPr>
      <w:r>
        <w:rPr>
          <w:rFonts w:ascii="宋体" w:hAnsi="宋体" w:eastAsia="宋体"/>
          <w:color w:val="auto"/>
          <w:sz w:val="24"/>
        </w:rPr>
        <w:t>1.6.1 除不可抗力外，如果乙方没有按照本合同约定的期限</w:t>
      </w:r>
      <w:r>
        <w:rPr>
          <w:rFonts w:hint="eastAsia" w:ascii="宋体" w:hAnsi="宋体" w:eastAsia="宋体"/>
          <w:color w:val="auto"/>
          <w:sz w:val="24"/>
        </w:rPr>
        <w:t>、</w:t>
      </w:r>
      <w:r>
        <w:rPr>
          <w:rFonts w:ascii="宋体" w:hAnsi="宋体" w:eastAsia="宋体"/>
          <w:color w:val="auto"/>
          <w:sz w:val="24"/>
        </w:rPr>
        <w:t>地点和方式</w:t>
      </w:r>
      <w:r>
        <w:rPr>
          <w:rFonts w:hint="eastAsia" w:ascii="宋体" w:hAnsi="宋体" w:eastAsia="宋体"/>
          <w:color w:val="auto"/>
          <w:sz w:val="24"/>
        </w:rPr>
        <w:t>履行</w:t>
      </w:r>
      <w:r>
        <w:rPr>
          <w:rFonts w:ascii="宋体" w:hAnsi="宋体" w:eastAsia="宋体"/>
          <w:color w:val="auto"/>
          <w:sz w:val="24"/>
        </w:rPr>
        <w:t>，那么甲方可要求乙方支付违约金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履行</w:t>
      </w:r>
      <w:r>
        <w:rPr>
          <w:rFonts w:ascii="宋体" w:hAnsi="宋体" w:eastAsia="宋体"/>
          <w:color w:val="auto"/>
          <w:sz w:val="24"/>
        </w:rPr>
        <w:t>一日的应提供而未</w:t>
      </w:r>
      <w:r>
        <w:rPr>
          <w:rFonts w:hint="eastAsia" w:ascii="宋体" w:hAnsi="宋体" w:eastAsia="宋体"/>
          <w:color w:val="auto"/>
          <w:sz w:val="24"/>
        </w:rPr>
        <w:t>提供</w:t>
      </w:r>
      <w:r>
        <w:rPr>
          <w:rFonts w:ascii="宋体" w:hAnsi="宋体" w:eastAsia="宋体"/>
          <w:color w:val="auto"/>
          <w:sz w:val="24"/>
        </w:rPr>
        <w:t>服务价格的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履行</w:t>
      </w:r>
      <w:r>
        <w:rPr>
          <w:rFonts w:ascii="宋体" w:hAnsi="宋体" w:eastAsia="宋体"/>
          <w:color w:val="auto"/>
          <w:sz w:val="24"/>
        </w:rPr>
        <w:t>的违约金计算数额达到前述最高限额之日起</w:t>
      </w:r>
      <w:r>
        <w:rPr>
          <w:rFonts w:hint="eastAsia" w:ascii="宋体" w:hAnsi="宋体" w:eastAsia="宋体"/>
          <w:color w:val="auto"/>
          <w:sz w:val="24"/>
        </w:rPr>
        <w:t>，</w:t>
      </w:r>
      <w:r>
        <w:rPr>
          <w:rFonts w:ascii="宋体" w:hAnsi="宋体" w:eastAsia="宋体"/>
          <w:color w:val="auto"/>
          <w:sz w:val="24"/>
        </w:rPr>
        <w:t>甲方有权在要求乙方支付违约金的同时</w:t>
      </w:r>
      <w:r>
        <w:rPr>
          <w:rFonts w:hint="eastAsia" w:ascii="宋体" w:hAnsi="宋体" w:eastAsia="宋体"/>
          <w:color w:val="auto"/>
          <w:sz w:val="24"/>
        </w:rPr>
        <w:t>，书面通知乙方</w:t>
      </w:r>
      <w:r>
        <w:rPr>
          <w:rFonts w:ascii="宋体" w:hAnsi="宋体" w:eastAsia="宋体"/>
          <w:color w:val="auto"/>
          <w:sz w:val="24"/>
        </w:rPr>
        <w:t>解除本合同</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rPr>
      </w:pPr>
      <w:r>
        <w:rPr>
          <w:rFonts w:ascii="宋体" w:hAnsi="宋体" w:eastAsia="宋体"/>
          <w:color w:val="auto"/>
          <w:sz w:val="24"/>
        </w:rPr>
        <w:t>1.6.2 除不可抗力外，如果甲方没有按照本合同约定的付款方式付款，那么乙方可要求甲方支付违约金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付款</w:t>
      </w:r>
      <w:r>
        <w:rPr>
          <w:rFonts w:ascii="宋体" w:hAnsi="宋体" w:eastAsia="宋体"/>
          <w:color w:val="auto"/>
          <w:sz w:val="24"/>
        </w:rPr>
        <w:t>一日的应付而未付款的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付款</w:t>
      </w:r>
      <w:r>
        <w:rPr>
          <w:rFonts w:ascii="宋体" w:hAnsi="宋体" w:eastAsia="宋体"/>
          <w:color w:val="auto"/>
          <w:sz w:val="24"/>
        </w:rPr>
        <w:t>的违约金计算数额达到前述最高限额之日起</w:t>
      </w:r>
      <w:r>
        <w:rPr>
          <w:rFonts w:hint="eastAsia" w:ascii="宋体" w:hAnsi="宋体" w:eastAsia="宋体"/>
          <w:color w:val="auto"/>
          <w:sz w:val="24"/>
        </w:rPr>
        <w:t>，乙</w:t>
      </w:r>
      <w:r>
        <w:rPr>
          <w:rFonts w:ascii="宋体" w:hAnsi="宋体" w:eastAsia="宋体"/>
          <w:color w:val="auto"/>
          <w:sz w:val="24"/>
        </w:rPr>
        <w:t>方有权在要求甲方支付违约金的同时</w:t>
      </w:r>
      <w:r>
        <w:rPr>
          <w:rFonts w:hint="eastAsia" w:ascii="宋体" w:hAnsi="宋体" w:eastAsia="宋体"/>
          <w:color w:val="auto"/>
          <w:sz w:val="24"/>
        </w:rPr>
        <w:t>，书面通知甲方</w:t>
      </w:r>
      <w:r>
        <w:rPr>
          <w:rFonts w:ascii="宋体" w:hAnsi="宋体" w:eastAsia="宋体"/>
          <w:color w:val="auto"/>
          <w:sz w:val="24"/>
        </w:rPr>
        <w:t>解除本合同</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1.6.3 </w:t>
      </w:r>
      <w:r>
        <w:rPr>
          <w:rFonts w:hint="eastAsia" w:ascii="宋体" w:hAnsi="宋体" w:eastAsia="宋体"/>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1.6.4 </w:t>
      </w:r>
      <w:r>
        <w:rPr>
          <w:rFonts w:hint="eastAsia" w:ascii="宋体" w:hAnsi="宋体" w:eastAsia="宋体"/>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1.6.5 </w:t>
      </w:r>
      <w:r>
        <w:rPr>
          <w:rFonts w:hint="eastAsia" w:ascii="宋体" w:hAnsi="宋体" w:eastAsia="宋体"/>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1.6.6 </w:t>
      </w:r>
      <w:r>
        <w:rPr>
          <w:rFonts w:hint="eastAsia" w:ascii="宋体" w:hAnsi="宋体" w:eastAsia="宋体"/>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default" w:ascii="宋体" w:hAnsi="宋体" w:eastAsia="宋体"/>
          <w:color w:val="auto"/>
          <w:lang w:val="en-US" w:eastAsia="zh-CN"/>
        </w:rPr>
      </w:pPr>
      <w:r>
        <w:rPr>
          <w:rFonts w:ascii="宋体" w:hAnsi="宋体" w:eastAsia="宋体"/>
          <w:color w:val="auto"/>
          <w:sz w:val="24"/>
        </w:rPr>
        <w:t>1.6.7违约责任</w:t>
      </w:r>
      <w:r>
        <w:rPr>
          <w:rFonts w:hint="eastAsia" w:ascii="宋体" w:hAnsi="宋体" w:eastAsia="宋体"/>
          <w:b/>
          <w:i/>
          <w:color w:val="auto"/>
          <w:sz w:val="24"/>
          <w:u w:val="single"/>
        </w:rPr>
        <w:t>合同专用条款</w:t>
      </w:r>
      <w:r>
        <w:rPr>
          <w:rFonts w:hint="eastAsia" w:ascii="宋体" w:hAnsi="宋体" w:eastAsia="宋体"/>
          <w:color w:val="auto"/>
          <w:sz w:val="24"/>
        </w:rPr>
        <w:t>另有约定的，从其约定。</w:t>
      </w:r>
    </w:p>
    <w:p>
      <w:pPr>
        <w:spacing w:line="560" w:lineRule="exact"/>
        <w:ind w:firstLine="482" w:firstLineChars="200"/>
        <w:outlineLvl w:val="0"/>
        <w:rPr>
          <w:rFonts w:ascii="宋体" w:hAnsi="宋体" w:eastAsia="宋体"/>
          <w:b/>
          <w:color w:val="auto"/>
          <w:sz w:val="24"/>
        </w:rPr>
      </w:pPr>
      <w:bookmarkStart w:id="412" w:name="_Toc32454"/>
      <w:bookmarkStart w:id="413" w:name="_Toc18683"/>
      <w:bookmarkStart w:id="414" w:name="_Toc30329"/>
      <w:bookmarkStart w:id="415" w:name="_Toc26807"/>
      <w:bookmarkStart w:id="416" w:name="_Toc9497"/>
      <w:r>
        <w:rPr>
          <w:rFonts w:ascii="宋体" w:hAnsi="宋体" w:eastAsia="宋体"/>
          <w:b/>
          <w:color w:val="auto"/>
          <w:sz w:val="24"/>
        </w:rPr>
        <w:t xml:space="preserve">1.7 </w:t>
      </w:r>
      <w:r>
        <w:rPr>
          <w:rFonts w:hint="eastAsia" w:ascii="宋体" w:hAnsi="宋体" w:eastAsia="宋体"/>
          <w:b/>
          <w:color w:val="auto"/>
          <w:sz w:val="24"/>
        </w:rPr>
        <w:t>合同</w:t>
      </w:r>
      <w:r>
        <w:rPr>
          <w:rFonts w:ascii="宋体" w:hAnsi="宋体" w:eastAsia="宋体"/>
          <w:b/>
          <w:color w:val="auto"/>
          <w:sz w:val="24"/>
        </w:rPr>
        <w:t>争议的解决</w:t>
      </w:r>
      <w:bookmarkEnd w:id="412"/>
      <w:bookmarkEnd w:id="413"/>
      <w:bookmarkEnd w:id="414"/>
      <w:bookmarkEnd w:id="415"/>
      <w:bookmarkEnd w:id="416"/>
    </w:p>
    <w:p>
      <w:pPr>
        <w:spacing w:line="560" w:lineRule="exact"/>
        <w:ind w:left="-61" w:leftChars="-29" w:right="-420" w:rightChars="-200" w:firstLine="240" w:firstLineChars="100"/>
        <w:rPr>
          <w:rFonts w:ascii="宋体" w:hAnsi="宋体" w:eastAsia="宋体"/>
          <w:color w:val="auto"/>
          <w:sz w:val="24"/>
        </w:rPr>
      </w:pPr>
      <w:r>
        <w:rPr>
          <w:rFonts w:hint="eastAsia" w:ascii="宋体" w:hAnsi="宋体" w:eastAsia="宋体"/>
          <w:color w:val="auto"/>
          <w:sz w:val="24"/>
        </w:rPr>
        <w:t>本合同履行过程中发生的任何争议，双方当事人均可通过和解或者调解解决；不愿和解、调解或者和解、调解不成的，可以选择以下第</w:t>
      </w:r>
      <w:r>
        <w:rPr>
          <w:rFonts w:ascii="宋体" w:hAnsi="宋体" w:eastAsia="宋体"/>
          <w:b/>
          <w:i/>
          <w:color w:val="auto"/>
          <w:sz w:val="24"/>
          <w:u w:val="single"/>
        </w:rPr>
        <w:t xml:space="preserve"> 合同专用条款  </w:t>
      </w:r>
      <w:r>
        <w:rPr>
          <w:rFonts w:hint="eastAsia" w:ascii="宋体" w:hAnsi="宋体" w:eastAsia="宋体"/>
          <w:color w:val="auto"/>
          <w:sz w:val="24"/>
        </w:rPr>
        <w:t>条款规定的方式解决：</w:t>
      </w:r>
    </w:p>
    <w:p>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1.7.1 </w:t>
      </w:r>
      <w:r>
        <w:rPr>
          <w:rFonts w:hint="eastAsia" w:ascii="宋体" w:hAnsi="宋体" w:eastAsia="宋体"/>
          <w:color w:val="auto"/>
          <w:sz w:val="24"/>
        </w:rPr>
        <w:t>将争议提交</w:t>
      </w:r>
      <w:r>
        <w:rPr>
          <w:rFonts w:hint="eastAsia" w:ascii="宋体" w:hAnsi="宋体" w:eastAsia="宋体"/>
          <w:b/>
          <w:i/>
          <w:color w:val="auto"/>
          <w:sz w:val="24"/>
          <w:u w:val="single"/>
        </w:rPr>
        <w:t>合同专用条款</w:t>
      </w:r>
      <w:r>
        <w:rPr>
          <w:rFonts w:hint="eastAsia" w:ascii="宋体" w:hAnsi="宋体" w:eastAsia="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1.7.2 </w:t>
      </w:r>
      <w:r>
        <w:rPr>
          <w:rFonts w:hint="eastAsia" w:ascii="宋体" w:hAnsi="宋体" w:eastAsia="宋体"/>
          <w:color w:val="auto"/>
          <w:sz w:val="24"/>
        </w:rPr>
        <w:t>向</w:t>
      </w:r>
      <w:r>
        <w:rPr>
          <w:rFonts w:hint="eastAsia" w:ascii="宋体" w:hAnsi="宋体" w:eastAsia="宋体"/>
          <w:b/>
          <w:i/>
          <w:color w:val="auto"/>
          <w:sz w:val="24"/>
          <w:u w:val="single"/>
        </w:rPr>
        <w:t>合同专用条款</w:t>
      </w:r>
      <w:r>
        <w:rPr>
          <w:rFonts w:hint="eastAsia" w:ascii="宋体" w:hAnsi="宋体" w:eastAsia="宋体"/>
          <w:color w:val="auto"/>
          <w:sz w:val="24"/>
        </w:rPr>
        <w:t>人民法院起诉。</w:t>
      </w:r>
    </w:p>
    <w:p>
      <w:pPr>
        <w:spacing w:line="560" w:lineRule="exact"/>
        <w:ind w:firstLine="241" w:firstLineChars="100"/>
        <w:outlineLvl w:val="0"/>
        <w:rPr>
          <w:rFonts w:ascii="宋体" w:hAnsi="宋体" w:eastAsia="宋体"/>
          <w:b/>
          <w:color w:val="auto"/>
          <w:sz w:val="24"/>
        </w:rPr>
      </w:pPr>
      <w:bookmarkStart w:id="417" w:name="_Toc15827"/>
      <w:bookmarkStart w:id="418" w:name="_Toc16417"/>
      <w:bookmarkStart w:id="419" w:name="_Toc23784"/>
      <w:bookmarkStart w:id="420" w:name="_Toc12273"/>
      <w:bookmarkStart w:id="421" w:name="_Toc26227"/>
      <w:r>
        <w:rPr>
          <w:rFonts w:ascii="宋体" w:hAnsi="宋体" w:eastAsia="宋体"/>
          <w:b/>
          <w:color w:val="auto"/>
          <w:sz w:val="24"/>
        </w:rPr>
        <w:t>1.8 合同生效</w:t>
      </w:r>
      <w:bookmarkEnd w:id="417"/>
      <w:bookmarkEnd w:id="418"/>
      <w:bookmarkEnd w:id="419"/>
      <w:bookmarkEnd w:id="420"/>
      <w:bookmarkEnd w:id="421"/>
    </w:p>
    <w:p>
      <w:pPr>
        <w:spacing w:line="560" w:lineRule="exact"/>
        <w:ind w:firstLine="480" w:firstLineChars="200"/>
        <w:rPr>
          <w:rFonts w:ascii="宋体" w:hAnsi="宋体" w:eastAsia="宋体"/>
          <w:b/>
          <w:color w:val="auto"/>
          <w:sz w:val="24"/>
        </w:rPr>
      </w:pPr>
      <w:r>
        <w:rPr>
          <w:rFonts w:ascii="宋体" w:hAnsi="宋体" w:eastAsia="宋体"/>
          <w:color w:val="auto"/>
          <w:sz w:val="24"/>
        </w:rPr>
        <w:t>本合同自</w:t>
      </w:r>
      <w:r>
        <w:rPr>
          <w:rFonts w:hint="eastAsia" w:ascii="宋体" w:hAnsi="宋体" w:eastAsia="宋体"/>
          <w:color w:val="auto"/>
          <w:sz w:val="24"/>
        </w:rPr>
        <w:t>双方当事人盖章或者签字时</w:t>
      </w:r>
      <w:r>
        <w:rPr>
          <w:rFonts w:ascii="宋体" w:hAnsi="宋体" w:eastAsia="宋体"/>
          <w:color w:val="auto"/>
          <w:sz w:val="24"/>
        </w:rPr>
        <w:t>生效。</w:t>
      </w:r>
    </w:p>
    <w:p>
      <w:pPr>
        <w:autoSpaceDE w:val="0"/>
        <w:autoSpaceDN w:val="0"/>
        <w:spacing w:line="560" w:lineRule="exact"/>
        <w:rPr>
          <w:rFonts w:ascii="宋体" w:hAnsi="宋体" w:eastAsia="宋体"/>
          <w:color w:val="auto"/>
          <w:sz w:val="24"/>
          <w:lang w:val="zh-CN"/>
        </w:rPr>
      </w:pPr>
    </w:p>
    <w:p>
      <w:pPr>
        <w:autoSpaceDE w:val="0"/>
        <w:autoSpaceDN w:val="0"/>
        <w:spacing w:line="560" w:lineRule="exact"/>
        <w:rPr>
          <w:rFonts w:ascii="宋体" w:hAnsi="宋体" w:eastAsia="宋体"/>
          <w:color w:val="auto"/>
          <w:sz w:val="24"/>
          <w:lang w:val="zh-CN"/>
        </w:rPr>
      </w:pPr>
      <w:r>
        <w:rPr>
          <w:rFonts w:hint="eastAsia" w:ascii="宋体" w:hAnsi="宋体" w:eastAsia="宋体"/>
          <w:b/>
          <w:color w:val="auto"/>
          <w:sz w:val="24"/>
          <w:lang w:val="zh-CN"/>
        </w:rPr>
        <w:t>甲方</w:t>
      </w:r>
      <w:r>
        <w:rPr>
          <w:rFonts w:hint="eastAsia" w:ascii="宋体" w:hAnsi="宋体" w:eastAsia="宋体"/>
          <w:color w:val="auto"/>
          <w:sz w:val="24"/>
          <w:lang w:val="zh-CN"/>
        </w:rPr>
        <w:t>：</w:t>
      </w:r>
      <w:r>
        <w:rPr>
          <w:rFonts w:ascii="宋体" w:hAnsi="宋体" w:eastAsia="宋体"/>
          <w:color w:val="auto"/>
          <w:sz w:val="24"/>
          <w:lang w:val="zh-CN"/>
        </w:rPr>
        <w:t xml:space="preserve">                             </w:t>
      </w:r>
      <w:r>
        <w:rPr>
          <w:rFonts w:ascii="宋体" w:hAnsi="宋体" w:eastAsia="宋体"/>
          <w:b/>
          <w:color w:val="auto"/>
          <w:sz w:val="24"/>
          <w:lang w:val="zh-CN"/>
        </w:rPr>
        <w:t xml:space="preserve">      乙方</w:t>
      </w:r>
      <w:r>
        <w:rPr>
          <w:rFonts w:hint="eastAsia" w:ascii="宋体" w:hAnsi="宋体" w:eastAsia="宋体"/>
          <w:color w:val="auto"/>
          <w:sz w:val="24"/>
          <w:lang w:val="zh-CN"/>
        </w:rPr>
        <w:t>：</w:t>
      </w:r>
    </w:p>
    <w:p>
      <w:pPr>
        <w:autoSpaceDE w:val="0"/>
        <w:autoSpaceDN w:val="0"/>
        <w:spacing w:line="560" w:lineRule="exact"/>
        <w:rPr>
          <w:rFonts w:ascii="宋体" w:hAnsi="宋体" w:eastAsia="宋体"/>
          <w:color w:val="auto"/>
          <w:sz w:val="24"/>
          <w:lang w:val="zh-CN"/>
        </w:rPr>
      </w:pPr>
      <w:r>
        <w:rPr>
          <w:rFonts w:hint="eastAsia" w:ascii="宋体" w:hAnsi="宋体" w:eastAsia="宋体"/>
          <w:color w:val="auto"/>
          <w:sz w:val="24"/>
          <w:lang w:val="zh-CN"/>
        </w:rPr>
        <w:t>统一社会信用代码：</w:t>
      </w:r>
      <w:r>
        <w:rPr>
          <w:rFonts w:ascii="宋体" w:hAnsi="宋体" w:eastAsia="宋体"/>
          <w:color w:val="auto"/>
          <w:sz w:val="24"/>
          <w:lang w:val="zh-CN"/>
        </w:rPr>
        <w:t xml:space="preserve">                        </w:t>
      </w:r>
      <w:r>
        <w:rPr>
          <w:rFonts w:hint="eastAsia" w:ascii="宋体" w:hAnsi="宋体" w:eastAsia="宋体"/>
          <w:color w:val="auto"/>
          <w:sz w:val="24"/>
          <w:lang w:val="zh-CN"/>
        </w:rPr>
        <w:t>统一社会信用代码或身份证号码：</w:t>
      </w:r>
    </w:p>
    <w:p>
      <w:pPr>
        <w:autoSpaceDE w:val="0"/>
        <w:autoSpaceDN w:val="0"/>
        <w:spacing w:line="560" w:lineRule="exact"/>
        <w:rPr>
          <w:rFonts w:ascii="宋体" w:hAnsi="宋体" w:eastAsia="宋体"/>
          <w:color w:val="auto"/>
          <w:sz w:val="24"/>
          <w:lang w:val="zh-CN"/>
        </w:rPr>
      </w:pPr>
    </w:p>
    <w:p>
      <w:pPr>
        <w:autoSpaceDE w:val="0"/>
        <w:autoSpaceDN w:val="0"/>
        <w:spacing w:line="560" w:lineRule="exact"/>
        <w:rPr>
          <w:rFonts w:ascii="宋体" w:hAnsi="宋体" w:eastAsia="宋体"/>
          <w:color w:val="auto"/>
          <w:sz w:val="24"/>
          <w:lang w:val="zh-CN"/>
        </w:rPr>
      </w:pPr>
      <w:r>
        <w:rPr>
          <w:rFonts w:hint="eastAsia" w:ascii="宋体" w:hAnsi="宋体" w:eastAsia="宋体"/>
          <w:color w:val="auto"/>
          <w:sz w:val="24"/>
          <w:lang w:val="zh-CN"/>
        </w:rPr>
        <w:t>住所：</w:t>
      </w:r>
      <w:r>
        <w:rPr>
          <w:rFonts w:ascii="宋体" w:hAnsi="宋体" w:eastAsia="宋体"/>
          <w:color w:val="auto"/>
          <w:sz w:val="24"/>
          <w:lang w:val="zh-CN"/>
        </w:rPr>
        <w:t xml:space="preserve">                                   </w:t>
      </w:r>
      <w:r>
        <w:rPr>
          <w:rFonts w:hint="eastAsia" w:ascii="宋体" w:hAnsi="宋体" w:eastAsia="宋体"/>
          <w:color w:val="auto"/>
          <w:sz w:val="24"/>
          <w:lang w:val="zh-CN"/>
        </w:rPr>
        <w:t>住所：</w:t>
      </w:r>
    </w:p>
    <w:p>
      <w:pPr>
        <w:autoSpaceDE w:val="0"/>
        <w:autoSpaceDN w:val="0"/>
        <w:spacing w:line="560" w:lineRule="exact"/>
        <w:rPr>
          <w:rFonts w:ascii="宋体" w:hAnsi="宋体" w:eastAsia="宋体"/>
          <w:color w:val="auto"/>
          <w:sz w:val="24"/>
          <w:lang w:val="zh-CN"/>
        </w:rPr>
      </w:pPr>
      <w:r>
        <w:rPr>
          <w:rFonts w:hint="eastAsia" w:ascii="宋体" w:hAnsi="宋体" w:eastAsia="宋体"/>
          <w:color w:val="auto"/>
          <w:sz w:val="24"/>
          <w:lang w:val="zh-CN"/>
        </w:rPr>
        <w:t>法定代表人或</w:t>
      </w:r>
      <w:r>
        <w:rPr>
          <w:rFonts w:ascii="宋体" w:hAnsi="宋体" w:eastAsia="宋体"/>
          <w:color w:val="auto"/>
          <w:sz w:val="24"/>
          <w:lang w:val="zh-CN"/>
        </w:rPr>
        <w:t xml:space="preserve">                             </w:t>
      </w:r>
      <w:r>
        <w:rPr>
          <w:rFonts w:hint="eastAsia" w:ascii="宋体" w:hAnsi="宋体" w:eastAsia="宋体"/>
          <w:color w:val="auto"/>
          <w:sz w:val="24"/>
          <w:lang w:val="zh-CN"/>
        </w:rPr>
        <w:t>法定代表人或</w:t>
      </w:r>
    </w:p>
    <w:p>
      <w:pPr>
        <w:autoSpaceDE w:val="0"/>
        <w:autoSpaceDN w:val="0"/>
        <w:spacing w:line="560" w:lineRule="exact"/>
        <w:rPr>
          <w:rFonts w:ascii="宋体" w:hAnsi="宋体" w:eastAsia="宋体"/>
          <w:color w:val="auto"/>
          <w:sz w:val="24"/>
          <w:lang w:val="zh-CN"/>
        </w:rPr>
      </w:pPr>
      <w:r>
        <w:rPr>
          <w:rFonts w:hint="eastAsia" w:ascii="宋体" w:hAnsi="宋体" w:eastAsia="宋体"/>
          <w:color w:val="auto"/>
          <w:sz w:val="24"/>
          <w:lang w:val="zh-CN"/>
        </w:rPr>
        <w:t>授权代表（签字）：</w:t>
      </w:r>
      <w:r>
        <w:rPr>
          <w:rFonts w:ascii="宋体" w:hAnsi="宋体" w:eastAsia="宋体"/>
          <w:color w:val="auto"/>
          <w:sz w:val="24"/>
          <w:lang w:val="zh-CN"/>
        </w:rPr>
        <w:t xml:space="preserve">                       授权代表（签字）: </w:t>
      </w:r>
    </w:p>
    <w:p>
      <w:pPr>
        <w:autoSpaceDE w:val="0"/>
        <w:autoSpaceDN w:val="0"/>
        <w:spacing w:line="560" w:lineRule="exact"/>
        <w:rPr>
          <w:rFonts w:ascii="宋体" w:hAnsi="宋体" w:eastAsia="宋体"/>
          <w:color w:val="auto"/>
          <w:sz w:val="24"/>
          <w:lang w:val="zh-CN"/>
        </w:rPr>
      </w:pPr>
      <w:r>
        <w:rPr>
          <w:rFonts w:hint="eastAsia" w:ascii="宋体" w:hAnsi="宋体" w:eastAsia="宋体"/>
          <w:color w:val="auto"/>
          <w:sz w:val="24"/>
          <w:lang w:val="zh-CN"/>
        </w:rPr>
        <w:t>联系人：</w:t>
      </w:r>
      <w:r>
        <w:rPr>
          <w:rFonts w:ascii="宋体" w:hAnsi="宋体" w:eastAsia="宋体"/>
          <w:color w:val="auto"/>
          <w:sz w:val="24"/>
          <w:lang w:val="zh-CN"/>
        </w:rPr>
        <w:t xml:space="preserve">                                 </w:t>
      </w:r>
      <w:r>
        <w:rPr>
          <w:rFonts w:hint="eastAsia" w:ascii="宋体" w:hAnsi="宋体" w:eastAsia="宋体"/>
          <w:color w:val="auto"/>
          <w:sz w:val="24"/>
          <w:lang w:val="zh-CN"/>
        </w:rPr>
        <w:t>联系人：</w:t>
      </w:r>
    </w:p>
    <w:p>
      <w:pPr>
        <w:autoSpaceDE w:val="0"/>
        <w:autoSpaceDN w:val="0"/>
        <w:spacing w:line="560" w:lineRule="exact"/>
        <w:rPr>
          <w:rFonts w:ascii="宋体" w:hAnsi="宋体" w:eastAsia="宋体"/>
          <w:color w:val="auto"/>
          <w:sz w:val="24"/>
          <w:lang w:val="zh-CN"/>
        </w:rPr>
      </w:pPr>
      <w:r>
        <w:rPr>
          <w:rFonts w:hint="eastAsia" w:ascii="宋体" w:hAnsi="宋体" w:eastAsia="宋体"/>
          <w:color w:val="auto"/>
          <w:sz w:val="24"/>
          <w:lang w:val="zh-CN"/>
        </w:rPr>
        <w:t>约定送达地址：</w:t>
      </w:r>
      <w:r>
        <w:rPr>
          <w:rFonts w:ascii="宋体" w:hAnsi="宋体" w:eastAsia="宋体"/>
          <w:color w:val="auto"/>
          <w:sz w:val="24"/>
          <w:lang w:val="zh-CN"/>
        </w:rPr>
        <w:t xml:space="preserve">                           </w:t>
      </w:r>
      <w:r>
        <w:rPr>
          <w:rFonts w:hint="eastAsia" w:ascii="宋体" w:hAnsi="宋体" w:eastAsia="宋体"/>
          <w:color w:val="auto"/>
          <w:sz w:val="24"/>
          <w:lang w:val="zh-CN"/>
        </w:rPr>
        <w:t>约定送达地址：</w:t>
      </w:r>
    </w:p>
    <w:p>
      <w:pPr>
        <w:autoSpaceDE w:val="0"/>
        <w:autoSpaceDN w:val="0"/>
        <w:spacing w:line="560" w:lineRule="exact"/>
        <w:rPr>
          <w:rFonts w:ascii="宋体" w:hAnsi="宋体" w:eastAsia="宋体"/>
          <w:color w:val="auto"/>
          <w:sz w:val="24"/>
          <w:lang w:val="zh-CN"/>
        </w:rPr>
      </w:pPr>
      <w:r>
        <w:rPr>
          <w:rFonts w:hint="eastAsia" w:ascii="宋体" w:hAnsi="宋体" w:eastAsia="宋体"/>
          <w:color w:val="auto"/>
          <w:sz w:val="24"/>
          <w:lang w:val="zh-CN"/>
        </w:rPr>
        <w:t>邮政编码：</w:t>
      </w:r>
      <w:r>
        <w:rPr>
          <w:rFonts w:ascii="宋体" w:hAnsi="宋体" w:eastAsia="宋体"/>
          <w:color w:val="auto"/>
          <w:sz w:val="24"/>
          <w:lang w:val="zh-CN"/>
        </w:rPr>
        <w:t xml:space="preserve">                               </w:t>
      </w:r>
      <w:r>
        <w:rPr>
          <w:rFonts w:hint="eastAsia" w:ascii="宋体" w:hAnsi="宋体" w:eastAsia="宋体"/>
          <w:color w:val="auto"/>
          <w:sz w:val="24"/>
          <w:lang w:val="zh-CN"/>
        </w:rPr>
        <w:t>邮政编码：</w:t>
      </w:r>
    </w:p>
    <w:p>
      <w:pPr>
        <w:autoSpaceDE w:val="0"/>
        <w:autoSpaceDN w:val="0"/>
        <w:spacing w:line="560" w:lineRule="exact"/>
        <w:rPr>
          <w:rFonts w:ascii="宋体" w:hAnsi="宋体" w:eastAsia="宋体"/>
          <w:color w:val="auto"/>
          <w:sz w:val="24"/>
          <w:lang w:val="zh-CN"/>
        </w:rPr>
      </w:pPr>
      <w:r>
        <w:rPr>
          <w:rFonts w:hint="eastAsia" w:ascii="宋体" w:hAnsi="宋体" w:eastAsia="宋体"/>
          <w:color w:val="auto"/>
          <w:sz w:val="24"/>
          <w:lang w:val="zh-CN"/>
        </w:rPr>
        <w:t>电话</w:t>
      </w:r>
      <w:r>
        <w:rPr>
          <w:rFonts w:ascii="宋体" w:hAnsi="宋体" w:eastAsia="宋体"/>
          <w:color w:val="auto"/>
          <w:sz w:val="24"/>
          <w:lang w:val="zh-CN"/>
        </w:rPr>
        <w:t xml:space="preserve">:                                    电话: </w:t>
      </w:r>
    </w:p>
    <w:p>
      <w:pPr>
        <w:autoSpaceDE w:val="0"/>
        <w:autoSpaceDN w:val="0"/>
        <w:spacing w:line="560" w:lineRule="exact"/>
        <w:rPr>
          <w:rFonts w:ascii="宋体" w:hAnsi="宋体" w:eastAsia="宋体"/>
          <w:color w:val="auto"/>
          <w:sz w:val="24"/>
          <w:lang w:val="zh-CN"/>
        </w:rPr>
      </w:pPr>
      <w:r>
        <w:rPr>
          <w:rFonts w:hint="eastAsia" w:ascii="宋体" w:hAnsi="宋体" w:eastAsia="宋体"/>
          <w:color w:val="auto"/>
          <w:sz w:val="24"/>
          <w:lang w:val="zh-CN"/>
        </w:rPr>
        <w:t>传真</w:t>
      </w:r>
      <w:r>
        <w:rPr>
          <w:rFonts w:ascii="宋体" w:hAnsi="宋体" w:eastAsia="宋体"/>
          <w:color w:val="auto"/>
          <w:sz w:val="24"/>
          <w:lang w:val="zh-CN"/>
        </w:rPr>
        <w:t xml:space="preserve">:                                    </w:t>
      </w:r>
      <w:r>
        <w:rPr>
          <w:rFonts w:hint="eastAsia" w:ascii="宋体" w:hAnsi="宋体" w:eastAsia="宋体"/>
          <w:color w:val="auto"/>
          <w:sz w:val="24"/>
          <w:lang w:val="zh-CN"/>
        </w:rPr>
        <w:t>传真</w:t>
      </w:r>
      <w:r>
        <w:rPr>
          <w:rFonts w:ascii="宋体" w:hAnsi="宋体" w:eastAsia="宋体"/>
          <w:color w:val="auto"/>
          <w:sz w:val="24"/>
          <w:lang w:val="zh-CN"/>
        </w:rPr>
        <w:t>:</w:t>
      </w:r>
    </w:p>
    <w:p>
      <w:pPr>
        <w:autoSpaceDE w:val="0"/>
        <w:autoSpaceDN w:val="0"/>
        <w:spacing w:line="560" w:lineRule="exact"/>
        <w:rPr>
          <w:rFonts w:ascii="宋体" w:hAnsi="宋体" w:eastAsia="宋体"/>
          <w:color w:val="auto"/>
          <w:sz w:val="24"/>
        </w:rPr>
      </w:pPr>
      <w:r>
        <w:rPr>
          <w:rFonts w:hint="eastAsia" w:ascii="宋体" w:hAnsi="宋体" w:eastAsia="宋体"/>
          <w:color w:val="auto"/>
          <w:sz w:val="24"/>
          <w:lang w:val="zh-CN"/>
        </w:rPr>
        <w:t>电子邮箱：</w:t>
      </w:r>
      <w:r>
        <w:rPr>
          <w:rFonts w:ascii="宋体" w:hAnsi="宋体" w:eastAsia="宋体"/>
          <w:color w:val="auto"/>
          <w:sz w:val="24"/>
          <w:lang w:val="zh-CN"/>
        </w:rPr>
        <w:t xml:space="preserve">                               </w:t>
      </w:r>
      <w:r>
        <w:rPr>
          <w:rFonts w:hint="eastAsia" w:ascii="宋体" w:hAnsi="宋体" w:eastAsia="宋体"/>
          <w:color w:val="auto"/>
          <w:sz w:val="24"/>
          <w:lang w:val="zh-CN"/>
        </w:rPr>
        <w:t>电子邮箱：</w:t>
      </w:r>
    </w:p>
    <w:p>
      <w:pPr>
        <w:autoSpaceDE w:val="0"/>
        <w:autoSpaceDN w:val="0"/>
        <w:spacing w:line="560" w:lineRule="exact"/>
        <w:rPr>
          <w:rFonts w:ascii="宋体" w:hAnsi="宋体" w:eastAsia="宋体"/>
          <w:color w:val="auto"/>
          <w:sz w:val="24"/>
        </w:rPr>
      </w:pPr>
      <w:r>
        <w:rPr>
          <w:rFonts w:hint="eastAsia" w:ascii="宋体" w:hAnsi="宋体" w:eastAsia="宋体"/>
          <w:color w:val="auto"/>
          <w:sz w:val="24"/>
        </w:rPr>
        <w:t>开户银行：</w:t>
      </w:r>
      <w:r>
        <w:rPr>
          <w:rFonts w:ascii="宋体" w:hAnsi="宋体" w:eastAsia="宋体"/>
          <w:color w:val="auto"/>
          <w:sz w:val="24"/>
        </w:rPr>
        <w:t xml:space="preserve">                               开户银行： </w:t>
      </w:r>
    </w:p>
    <w:p>
      <w:pPr>
        <w:autoSpaceDE w:val="0"/>
        <w:autoSpaceDN w:val="0"/>
        <w:spacing w:line="560" w:lineRule="exact"/>
        <w:rPr>
          <w:rFonts w:ascii="宋体" w:hAnsi="宋体" w:eastAsia="宋体"/>
          <w:color w:val="auto"/>
          <w:sz w:val="24"/>
        </w:rPr>
      </w:pPr>
      <w:r>
        <w:rPr>
          <w:rFonts w:hint="eastAsia" w:ascii="宋体" w:hAnsi="宋体" w:eastAsia="宋体"/>
          <w:color w:val="auto"/>
          <w:sz w:val="24"/>
        </w:rPr>
        <w:t>开户名称：</w:t>
      </w:r>
      <w:r>
        <w:rPr>
          <w:rFonts w:ascii="宋体" w:hAnsi="宋体" w:eastAsia="宋体"/>
          <w:color w:val="auto"/>
          <w:sz w:val="24"/>
        </w:rPr>
        <w:t xml:space="preserve">                               开户名称： </w:t>
      </w:r>
    </w:p>
    <w:p>
      <w:pPr>
        <w:autoSpaceDE w:val="0"/>
        <w:autoSpaceDN w:val="0"/>
        <w:spacing w:line="560" w:lineRule="exact"/>
        <w:rPr>
          <w:rFonts w:ascii="宋体" w:hAnsi="宋体" w:eastAsia="宋体"/>
          <w:color w:val="auto"/>
          <w:sz w:val="24"/>
        </w:rPr>
      </w:pPr>
      <w:r>
        <w:rPr>
          <w:rFonts w:hint="eastAsia" w:ascii="宋体" w:hAnsi="宋体" w:eastAsia="宋体"/>
          <w:color w:val="auto"/>
          <w:sz w:val="24"/>
        </w:rPr>
        <w:t>开户账号：</w:t>
      </w:r>
      <w:r>
        <w:rPr>
          <w:rFonts w:ascii="宋体" w:hAnsi="宋体" w:eastAsia="宋体"/>
          <w:color w:val="auto"/>
          <w:sz w:val="24"/>
          <w:lang w:val="zh-CN"/>
        </w:rPr>
        <w:t xml:space="preserve">                               </w:t>
      </w:r>
      <w:r>
        <w:rPr>
          <w:rFonts w:hint="eastAsia" w:ascii="宋体" w:hAnsi="宋体" w:eastAsia="宋体"/>
          <w:color w:val="auto"/>
          <w:sz w:val="24"/>
        </w:rPr>
        <w:t>开户账号：</w:t>
      </w:r>
    </w:p>
    <w:p>
      <w:pPr>
        <w:widowControl/>
        <w:spacing w:line="560" w:lineRule="exact"/>
        <w:jc w:val="left"/>
        <w:rPr>
          <w:rFonts w:ascii="宋体" w:hAnsi="宋体" w:eastAsia="宋体"/>
          <w:b/>
          <w:color w:val="auto"/>
          <w:sz w:val="24"/>
        </w:rPr>
      </w:pPr>
    </w:p>
    <w:p>
      <w:pPr>
        <w:widowControl/>
        <w:adjustRightInd/>
        <w:jc w:val="left"/>
        <w:rPr>
          <w:rFonts w:ascii="宋体" w:hAnsi="宋体" w:eastAsia="宋体"/>
          <w:b/>
          <w:color w:val="auto"/>
          <w:sz w:val="24"/>
        </w:rPr>
      </w:pPr>
      <w:r>
        <w:rPr>
          <w:rFonts w:ascii="宋体" w:hAnsi="宋体" w:eastAsia="宋体"/>
          <w:b/>
          <w:color w:val="auto"/>
        </w:rPr>
        <w:br w:type="page"/>
      </w:r>
    </w:p>
    <w:p>
      <w:pPr>
        <w:pStyle w:val="86"/>
        <w:spacing w:line="560" w:lineRule="exact"/>
        <w:ind w:firstLine="482"/>
        <w:jc w:val="center"/>
        <w:rPr>
          <w:rFonts w:ascii="宋体" w:hAnsi="宋体" w:eastAsia="宋体"/>
          <w:b/>
          <w:color w:val="auto"/>
          <w:szCs w:val="24"/>
        </w:rPr>
      </w:pPr>
      <w:r>
        <w:rPr>
          <w:rFonts w:hint="eastAsia" w:ascii="宋体" w:hAnsi="宋体" w:eastAsia="宋体"/>
          <w:b/>
          <w:color w:val="auto"/>
          <w:szCs w:val="24"/>
        </w:rPr>
        <w:t>第二部分</w:t>
      </w:r>
      <w:r>
        <w:rPr>
          <w:rFonts w:ascii="宋体" w:hAnsi="宋体" w:eastAsia="宋体"/>
          <w:b/>
          <w:color w:val="auto"/>
          <w:szCs w:val="24"/>
        </w:rPr>
        <w:t xml:space="preserve"> </w:t>
      </w:r>
      <w:r>
        <w:rPr>
          <w:rFonts w:hint="eastAsia" w:ascii="宋体" w:hAnsi="宋体" w:eastAsia="宋体"/>
          <w:b/>
          <w:color w:val="auto"/>
          <w:szCs w:val="24"/>
        </w:rPr>
        <w:t>合同一般条款</w:t>
      </w:r>
    </w:p>
    <w:p>
      <w:pPr>
        <w:spacing w:line="560" w:lineRule="exact"/>
        <w:ind w:firstLine="482" w:firstLineChars="200"/>
        <w:outlineLvl w:val="0"/>
        <w:rPr>
          <w:rFonts w:ascii="宋体" w:hAnsi="宋体" w:eastAsia="宋体"/>
          <w:b/>
          <w:color w:val="auto"/>
          <w:sz w:val="24"/>
        </w:rPr>
      </w:pPr>
      <w:bookmarkStart w:id="422" w:name="_Toc25079"/>
      <w:bookmarkStart w:id="423" w:name="_Toc31297"/>
      <w:bookmarkStart w:id="424" w:name="_Toc14021"/>
      <w:bookmarkStart w:id="425" w:name="_Toc5228"/>
      <w:bookmarkStart w:id="426" w:name="_Toc19680"/>
      <w:r>
        <w:rPr>
          <w:rFonts w:ascii="宋体" w:hAnsi="宋体" w:eastAsia="宋体"/>
          <w:b/>
          <w:color w:val="auto"/>
          <w:sz w:val="24"/>
        </w:rPr>
        <w:t>2.1 定义</w:t>
      </w:r>
      <w:bookmarkEnd w:id="422"/>
      <w:bookmarkEnd w:id="423"/>
      <w:bookmarkEnd w:id="424"/>
      <w:bookmarkEnd w:id="425"/>
      <w:bookmarkEnd w:id="426"/>
    </w:p>
    <w:p>
      <w:pPr>
        <w:spacing w:line="560" w:lineRule="exact"/>
        <w:ind w:firstLine="480" w:firstLineChars="200"/>
        <w:rPr>
          <w:rFonts w:ascii="宋体" w:hAnsi="宋体" w:eastAsia="宋体"/>
          <w:color w:val="auto"/>
          <w:sz w:val="24"/>
        </w:rPr>
      </w:pPr>
      <w:r>
        <w:rPr>
          <w:rFonts w:ascii="宋体" w:hAnsi="宋体" w:eastAsia="宋体"/>
          <w:color w:val="auto"/>
          <w:sz w:val="24"/>
        </w:rPr>
        <w:t>本合同中的下列</w:t>
      </w:r>
      <w:r>
        <w:rPr>
          <w:rFonts w:hint="eastAsia" w:ascii="宋体" w:hAnsi="宋体" w:eastAsia="宋体"/>
          <w:color w:val="auto"/>
          <w:sz w:val="24"/>
        </w:rPr>
        <w:t>词</w:t>
      </w:r>
      <w:r>
        <w:rPr>
          <w:rFonts w:ascii="宋体" w:hAnsi="宋体" w:eastAsia="宋体"/>
          <w:color w:val="auto"/>
          <w:sz w:val="24"/>
        </w:rPr>
        <w:t>语应</w:t>
      </w:r>
      <w:r>
        <w:rPr>
          <w:rFonts w:hint="eastAsia" w:ascii="宋体" w:hAnsi="宋体" w:eastAsia="宋体"/>
          <w:color w:val="auto"/>
          <w:sz w:val="24"/>
        </w:rPr>
        <w:t>按以下内容进行</w:t>
      </w:r>
      <w:r>
        <w:rPr>
          <w:rFonts w:ascii="宋体" w:hAnsi="宋体" w:eastAsia="宋体"/>
          <w:color w:val="auto"/>
          <w:sz w:val="24"/>
        </w:rPr>
        <w:t>解释：</w:t>
      </w:r>
    </w:p>
    <w:p>
      <w:pPr>
        <w:spacing w:line="560" w:lineRule="exact"/>
        <w:ind w:firstLine="480" w:firstLineChars="200"/>
        <w:rPr>
          <w:rFonts w:ascii="宋体" w:hAnsi="宋体" w:eastAsia="宋体"/>
          <w:color w:val="auto"/>
          <w:sz w:val="24"/>
        </w:rPr>
      </w:pPr>
      <w:r>
        <w:rPr>
          <w:rFonts w:ascii="宋体" w:hAnsi="宋体" w:eastAsia="宋体"/>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color w:val="auto"/>
          <w:sz w:val="24"/>
        </w:rPr>
      </w:pPr>
      <w:r>
        <w:rPr>
          <w:rFonts w:ascii="宋体" w:hAnsi="宋体" w:eastAsia="宋体"/>
          <w:color w:val="auto"/>
          <w:sz w:val="24"/>
        </w:rPr>
        <w:t>2.1.2 “合同价”系指根据合同约定，中标供应商在完全履行合同义务后</w:t>
      </w:r>
      <w:r>
        <w:rPr>
          <w:rFonts w:hint="eastAsia" w:ascii="宋体" w:hAnsi="宋体" w:eastAsia="宋体"/>
          <w:color w:val="auto"/>
          <w:sz w:val="24"/>
        </w:rPr>
        <w:t>，</w:t>
      </w:r>
      <w:r>
        <w:rPr>
          <w:rFonts w:ascii="宋体" w:hAnsi="宋体" w:eastAsia="宋体"/>
          <w:color w:val="auto"/>
          <w:sz w:val="24"/>
        </w:rPr>
        <w:t>采购人应支付给中标供应商的价格。</w:t>
      </w:r>
    </w:p>
    <w:p>
      <w:pPr>
        <w:spacing w:line="560" w:lineRule="exact"/>
        <w:ind w:firstLine="480" w:firstLineChars="200"/>
        <w:rPr>
          <w:rFonts w:ascii="宋体" w:hAnsi="宋体" w:eastAsia="宋体"/>
          <w:color w:val="auto"/>
          <w:sz w:val="24"/>
        </w:rPr>
      </w:pPr>
      <w:r>
        <w:rPr>
          <w:rFonts w:ascii="宋体" w:hAnsi="宋体" w:eastAsia="宋体"/>
          <w:color w:val="auto"/>
          <w:sz w:val="24"/>
        </w:rPr>
        <w:t>2.1.3 “</w:t>
      </w:r>
      <w:r>
        <w:rPr>
          <w:rFonts w:hint="eastAsia" w:ascii="宋体" w:hAnsi="宋体" w:eastAsia="宋体"/>
          <w:color w:val="auto"/>
          <w:sz w:val="24"/>
        </w:rPr>
        <w:t>服务</w:t>
      </w:r>
      <w:r>
        <w:rPr>
          <w:rFonts w:ascii="宋体" w:hAnsi="宋体" w:eastAsia="宋体"/>
          <w:color w:val="auto"/>
          <w:sz w:val="24"/>
        </w:rPr>
        <w:t>”系指</w:t>
      </w:r>
      <w:r>
        <w:rPr>
          <w:rFonts w:hint="eastAsia" w:ascii="宋体" w:hAnsi="宋体" w:eastAsia="宋体"/>
          <w:color w:val="auto"/>
          <w:sz w:val="24"/>
        </w:rPr>
        <w:t>中标供应商</w:t>
      </w:r>
      <w:r>
        <w:rPr>
          <w:rFonts w:ascii="宋体" w:hAnsi="宋体" w:eastAsia="宋体"/>
          <w:color w:val="auto"/>
          <w:sz w:val="24"/>
        </w:rPr>
        <w:t>根据合同约定应向采购人</w:t>
      </w:r>
      <w:r>
        <w:rPr>
          <w:rFonts w:hint="eastAsia" w:ascii="宋体" w:hAnsi="宋体" w:eastAsia="宋体"/>
          <w:color w:val="auto"/>
          <w:sz w:val="24"/>
        </w:rPr>
        <w:t>履行</w:t>
      </w:r>
      <w:r>
        <w:rPr>
          <w:rFonts w:ascii="宋体" w:hAnsi="宋体" w:eastAsia="宋体"/>
          <w:color w:val="auto"/>
          <w:sz w:val="24"/>
        </w:rPr>
        <w:t>的</w:t>
      </w:r>
      <w:r>
        <w:rPr>
          <w:rFonts w:hint="eastAsia" w:ascii="宋体" w:hAnsi="宋体" w:eastAsia="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eastAsia="宋体"/>
          <w:color w:val="auto"/>
          <w:sz w:val="24"/>
        </w:rPr>
      </w:pPr>
      <w:r>
        <w:rPr>
          <w:rFonts w:ascii="宋体" w:hAnsi="宋体" w:eastAsia="宋体"/>
          <w:color w:val="auto"/>
          <w:sz w:val="24"/>
        </w:rPr>
        <w:t>2.1.4 “</w:t>
      </w:r>
      <w:r>
        <w:rPr>
          <w:rFonts w:hint="eastAsia" w:ascii="宋体" w:hAnsi="宋体" w:eastAsia="宋体"/>
          <w:color w:val="auto"/>
          <w:sz w:val="24"/>
        </w:rPr>
        <w:t>甲方</w:t>
      </w:r>
      <w:r>
        <w:rPr>
          <w:rFonts w:ascii="宋体" w:hAnsi="宋体" w:eastAsia="宋体"/>
          <w:color w:val="auto"/>
          <w:sz w:val="24"/>
        </w:rPr>
        <w:t>”系指与</w:t>
      </w:r>
      <w:r>
        <w:rPr>
          <w:rFonts w:hint="eastAsia" w:ascii="宋体" w:hAnsi="宋体" w:eastAsia="宋体"/>
          <w:color w:val="auto"/>
          <w:sz w:val="24"/>
        </w:rPr>
        <w:t>中标供应商</w:t>
      </w:r>
      <w:r>
        <w:rPr>
          <w:rFonts w:ascii="宋体" w:hAnsi="宋体" w:eastAsia="宋体"/>
          <w:color w:val="auto"/>
          <w:sz w:val="24"/>
        </w:rPr>
        <w:t>签署合同的采购人</w:t>
      </w:r>
      <w:r>
        <w:rPr>
          <w:rFonts w:hint="eastAsia" w:ascii="宋体" w:hAnsi="宋体" w:eastAsia="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eastAsia="宋体"/>
          <w:color w:val="auto"/>
          <w:sz w:val="24"/>
        </w:rPr>
      </w:pPr>
      <w:r>
        <w:rPr>
          <w:rFonts w:ascii="宋体" w:hAnsi="宋体" w:eastAsia="宋体"/>
          <w:color w:val="auto"/>
          <w:sz w:val="24"/>
        </w:rPr>
        <w:t>2.1.5 “乙方”系指根据合同约定提供服务的中标供应商</w:t>
      </w:r>
      <w:r>
        <w:rPr>
          <w:rFonts w:hint="eastAsia" w:ascii="宋体" w:hAnsi="宋体" w:eastAsia="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color w:val="auto"/>
          <w:sz w:val="24"/>
        </w:rPr>
      </w:pPr>
      <w:r>
        <w:rPr>
          <w:rFonts w:ascii="宋体" w:hAnsi="宋体" w:eastAsia="宋体"/>
          <w:color w:val="auto"/>
          <w:sz w:val="24"/>
        </w:rPr>
        <w:t>2.1.6 “现场”系指合同约定提供服务的地点。</w:t>
      </w:r>
    </w:p>
    <w:p>
      <w:pPr>
        <w:spacing w:line="560" w:lineRule="exact"/>
        <w:ind w:firstLine="482" w:firstLineChars="200"/>
        <w:outlineLvl w:val="0"/>
        <w:rPr>
          <w:rFonts w:ascii="宋体" w:hAnsi="宋体" w:eastAsia="宋体"/>
          <w:b/>
          <w:color w:val="auto"/>
          <w:sz w:val="24"/>
        </w:rPr>
      </w:pPr>
      <w:bookmarkStart w:id="427" w:name="_Toc3769"/>
      <w:bookmarkStart w:id="428" w:name="_Toc31402"/>
      <w:bookmarkStart w:id="429" w:name="_Toc19539"/>
      <w:bookmarkStart w:id="430" w:name="_Toc16752"/>
      <w:bookmarkStart w:id="431" w:name="_Toc23289"/>
      <w:r>
        <w:rPr>
          <w:rFonts w:ascii="宋体" w:hAnsi="宋体" w:eastAsia="宋体"/>
          <w:b/>
          <w:color w:val="auto"/>
          <w:sz w:val="24"/>
        </w:rPr>
        <w:t>2.2 技术规范</w:t>
      </w:r>
      <w:bookmarkEnd w:id="427"/>
      <w:bookmarkEnd w:id="428"/>
      <w:bookmarkEnd w:id="429"/>
      <w:bookmarkEnd w:id="430"/>
      <w:bookmarkEnd w:id="431"/>
    </w:p>
    <w:p>
      <w:pPr>
        <w:spacing w:line="560" w:lineRule="exact"/>
        <w:ind w:firstLine="480" w:firstLineChars="200"/>
        <w:rPr>
          <w:rFonts w:ascii="宋体" w:hAnsi="宋体" w:eastAsia="宋体"/>
          <w:color w:val="auto"/>
          <w:sz w:val="24"/>
        </w:rPr>
      </w:pPr>
      <w:r>
        <w:rPr>
          <w:rFonts w:hint="eastAsia" w:ascii="宋体" w:hAnsi="宋体" w:eastAsia="宋体"/>
          <w:color w:val="auto"/>
          <w:sz w:val="24"/>
        </w:rPr>
        <w:t>服务</w:t>
      </w:r>
      <w:r>
        <w:rPr>
          <w:rFonts w:ascii="宋体" w:hAnsi="宋体" w:eastAsia="宋体"/>
          <w:color w:val="auto"/>
          <w:sz w:val="24"/>
        </w:rPr>
        <w:t>所应遵守的技术规范应与采购文件规定的技术规范和技术规范附件(如果有的话)及其技术规范偏差表(如果被甲方接受的话)相一致</w:t>
      </w:r>
      <w:r>
        <w:rPr>
          <w:rFonts w:hint="eastAsia" w:ascii="宋体" w:hAnsi="宋体" w:eastAsia="宋体"/>
          <w:color w:val="auto"/>
          <w:sz w:val="24"/>
        </w:rPr>
        <w:t>；</w:t>
      </w:r>
      <w:r>
        <w:rPr>
          <w:rFonts w:ascii="宋体" w:hAnsi="宋体" w:eastAsia="宋体"/>
          <w:color w:val="auto"/>
          <w:sz w:val="24"/>
        </w:rPr>
        <w:t>如果采购文件中没有技术规范的相应说明，那么应以国家有关部门最新颁布的相应标准</w:t>
      </w:r>
      <w:r>
        <w:rPr>
          <w:rFonts w:hint="eastAsia" w:ascii="宋体" w:hAnsi="宋体" w:eastAsia="宋体"/>
          <w:color w:val="auto"/>
          <w:sz w:val="24"/>
        </w:rPr>
        <w:t>和</w:t>
      </w:r>
      <w:r>
        <w:rPr>
          <w:rFonts w:ascii="宋体" w:hAnsi="宋体" w:eastAsia="宋体"/>
          <w:color w:val="auto"/>
          <w:sz w:val="24"/>
        </w:rPr>
        <w:t>规范为准。</w:t>
      </w:r>
    </w:p>
    <w:p>
      <w:pPr>
        <w:spacing w:line="560" w:lineRule="exact"/>
        <w:ind w:firstLine="482" w:firstLineChars="200"/>
        <w:outlineLvl w:val="0"/>
        <w:rPr>
          <w:rFonts w:ascii="宋体" w:hAnsi="宋体" w:eastAsia="宋体"/>
          <w:b/>
          <w:color w:val="auto"/>
          <w:sz w:val="24"/>
        </w:rPr>
      </w:pPr>
      <w:bookmarkStart w:id="432" w:name="_Toc4133"/>
      <w:bookmarkStart w:id="433" w:name="_Toc13673"/>
      <w:bookmarkStart w:id="434" w:name="_Toc9161"/>
      <w:bookmarkStart w:id="435" w:name="_Toc27945"/>
      <w:bookmarkStart w:id="436" w:name="_Toc12412"/>
      <w:r>
        <w:rPr>
          <w:rFonts w:ascii="宋体" w:hAnsi="宋体" w:eastAsia="宋体"/>
          <w:b/>
          <w:color w:val="auto"/>
          <w:sz w:val="24"/>
        </w:rPr>
        <w:t>2.3 知识产权</w:t>
      </w:r>
      <w:bookmarkEnd w:id="432"/>
      <w:bookmarkEnd w:id="433"/>
      <w:bookmarkEnd w:id="434"/>
      <w:bookmarkEnd w:id="435"/>
      <w:bookmarkEnd w:id="436"/>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2.3.1 </w:t>
      </w:r>
      <w:r>
        <w:rPr>
          <w:rFonts w:hint="eastAsia" w:ascii="宋体" w:hAnsi="宋体" w:eastAsia="宋体"/>
          <w:color w:val="auto"/>
          <w:sz w:val="24"/>
        </w:rPr>
        <w:t>乙</w:t>
      </w:r>
      <w:r>
        <w:rPr>
          <w:rFonts w:ascii="宋体" w:hAnsi="宋体" w:eastAsia="宋体"/>
          <w:color w:val="auto"/>
          <w:sz w:val="24"/>
        </w:rPr>
        <w:t>方应保证</w:t>
      </w:r>
      <w:r>
        <w:rPr>
          <w:rFonts w:hint="eastAsia" w:ascii="宋体" w:hAnsi="宋体" w:eastAsia="宋体"/>
          <w:color w:val="auto"/>
          <w:sz w:val="24"/>
        </w:rPr>
        <w:t>其提供的服务</w:t>
      </w:r>
      <w:r>
        <w:rPr>
          <w:rFonts w:ascii="宋体" w:hAnsi="宋体" w:eastAsia="宋体"/>
          <w:color w:val="auto"/>
          <w:sz w:val="24"/>
        </w:rPr>
        <w:t>不受任何第三方提出的侵犯其著作权、商标权、专利权等知识产权方面的起诉</w:t>
      </w:r>
      <w:r>
        <w:rPr>
          <w:rFonts w:hint="eastAsia" w:ascii="宋体" w:hAnsi="宋体" w:eastAsia="宋体"/>
          <w:color w:val="auto"/>
          <w:sz w:val="24"/>
        </w:rPr>
        <w:t>；</w:t>
      </w:r>
      <w:r>
        <w:rPr>
          <w:rFonts w:ascii="宋体" w:hAnsi="宋体" w:eastAsia="宋体"/>
          <w:color w:val="auto"/>
          <w:sz w:val="24"/>
        </w:rPr>
        <w:t>如果任何第三方提出侵权</w:t>
      </w:r>
      <w:r>
        <w:rPr>
          <w:rFonts w:hint="eastAsia" w:ascii="宋体" w:hAnsi="宋体" w:eastAsia="宋体"/>
          <w:color w:val="auto"/>
          <w:sz w:val="24"/>
        </w:rPr>
        <w:t>指控</w:t>
      </w:r>
      <w:r>
        <w:rPr>
          <w:rFonts w:ascii="宋体" w:hAnsi="宋体" w:eastAsia="宋体"/>
          <w:color w:val="auto"/>
          <w:sz w:val="24"/>
        </w:rPr>
        <w:t>，那么乙方须与该第三方交涉并承担由此发生的一切责任、费用和赔偿</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2.3.2 </w:t>
      </w:r>
      <w:r>
        <w:rPr>
          <w:rFonts w:hint="eastAsia" w:ascii="宋体" w:hAnsi="宋体" w:eastAsia="宋体"/>
          <w:color w:val="auto"/>
          <w:sz w:val="24"/>
        </w:rPr>
        <w:t>合同涉及技术成果的归属和收益的分成办法的，</w:t>
      </w: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pPr>
        <w:spacing w:line="560" w:lineRule="exact"/>
        <w:ind w:firstLine="482" w:firstLineChars="200"/>
        <w:rPr>
          <w:rFonts w:ascii="宋体" w:hAnsi="宋体" w:eastAsia="宋体"/>
          <w:b/>
          <w:color w:val="auto"/>
          <w:sz w:val="24"/>
        </w:rPr>
      </w:pPr>
      <w:r>
        <w:rPr>
          <w:rFonts w:ascii="宋体" w:hAnsi="宋体" w:eastAsia="宋体"/>
          <w:b/>
          <w:color w:val="auto"/>
          <w:sz w:val="24"/>
        </w:rPr>
        <w:t xml:space="preserve">2.4 </w:t>
      </w:r>
      <w:r>
        <w:rPr>
          <w:rFonts w:hint="eastAsia" w:ascii="宋体" w:hAnsi="宋体" w:eastAsia="宋体"/>
          <w:b/>
          <w:color w:val="auto"/>
          <w:sz w:val="24"/>
        </w:rPr>
        <w:t>履约检查和问题反馈</w:t>
      </w:r>
    </w:p>
    <w:p>
      <w:pPr>
        <w:spacing w:line="560" w:lineRule="exact"/>
        <w:ind w:firstLine="480" w:firstLineChars="200"/>
        <w:rPr>
          <w:rFonts w:ascii="宋体" w:hAnsi="宋体" w:eastAsia="宋体"/>
          <w:color w:val="auto"/>
          <w:sz w:val="24"/>
        </w:rPr>
      </w:pPr>
      <w:r>
        <w:rPr>
          <w:rFonts w:ascii="宋体" w:hAnsi="宋体" w:eastAsia="宋体"/>
          <w:color w:val="auto"/>
          <w:sz w:val="24"/>
        </w:rPr>
        <w:t>2.4.1甲方</w:t>
      </w:r>
      <w:r>
        <w:rPr>
          <w:rFonts w:hint="eastAsia" w:ascii="宋体" w:hAnsi="宋体" w:eastAsia="宋体"/>
          <w:color w:val="auto"/>
          <w:sz w:val="24"/>
        </w:rPr>
        <w:t>有权</w:t>
      </w:r>
      <w:r>
        <w:rPr>
          <w:rFonts w:ascii="宋体" w:hAnsi="宋体" w:eastAsia="宋体"/>
          <w:color w:val="auto"/>
          <w:sz w:val="24"/>
        </w:rPr>
        <w:t>在其认为必要时</w:t>
      </w:r>
      <w:r>
        <w:rPr>
          <w:rFonts w:hint="eastAsia" w:ascii="宋体" w:hAnsi="宋体" w:eastAsia="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2.4.2 </w:t>
      </w:r>
      <w:r>
        <w:rPr>
          <w:rFonts w:hint="eastAsia" w:ascii="宋体" w:hAnsi="宋体" w:eastAsia="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eastAsia="宋体"/>
          <w:b/>
          <w:color w:val="auto"/>
          <w:sz w:val="24"/>
        </w:rPr>
      </w:pPr>
      <w:bookmarkStart w:id="437" w:name="_Toc15447"/>
      <w:bookmarkStart w:id="438" w:name="_Toc32670"/>
      <w:bookmarkStart w:id="439" w:name="_Toc26555"/>
      <w:bookmarkStart w:id="440" w:name="_Toc22011"/>
      <w:bookmarkStart w:id="441" w:name="_Toc31233"/>
      <w:r>
        <w:rPr>
          <w:rFonts w:ascii="宋体" w:hAnsi="宋体" w:eastAsia="宋体"/>
          <w:b/>
          <w:color w:val="auto"/>
          <w:sz w:val="24"/>
        </w:rPr>
        <w:t>2.5 结算方式和付款条件</w:t>
      </w:r>
      <w:bookmarkEnd w:id="437"/>
      <w:bookmarkEnd w:id="438"/>
      <w:bookmarkEnd w:id="439"/>
      <w:bookmarkEnd w:id="440"/>
      <w:bookmarkEnd w:id="441"/>
    </w:p>
    <w:p>
      <w:pPr>
        <w:spacing w:line="560" w:lineRule="exact"/>
        <w:ind w:firstLine="480" w:firstLineChars="200"/>
        <w:rPr>
          <w:rFonts w:ascii="宋体" w:hAnsi="宋体" w:eastAsia="宋体"/>
          <w:color w:val="auto"/>
          <w:sz w:val="24"/>
        </w:rPr>
      </w:pP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pPr>
        <w:spacing w:line="560" w:lineRule="exact"/>
        <w:ind w:firstLine="482" w:firstLineChars="200"/>
        <w:outlineLvl w:val="0"/>
        <w:rPr>
          <w:rFonts w:ascii="宋体" w:hAnsi="宋体" w:eastAsia="宋体"/>
          <w:b/>
          <w:color w:val="auto"/>
          <w:sz w:val="24"/>
        </w:rPr>
      </w:pPr>
      <w:bookmarkStart w:id="442" w:name="_Toc13467"/>
      <w:bookmarkStart w:id="443" w:name="_Toc30507"/>
      <w:bookmarkStart w:id="444" w:name="_Toc13154"/>
      <w:bookmarkStart w:id="445" w:name="_Toc16163"/>
      <w:bookmarkStart w:id="446" w:name="_Toc18990"/>
      <w:r>
        <w:rPr>
          <w:rFonts w:ascii="宋体" w:hAnsi="宋体" w:eastAsia="宋体"/>
          <w:b/>
          <w:color w:val="auto"/>
          <w:sz w:val="24"/>
        </w:rPr>
        <w:t>2.6 技术资料和保密义务</w:t>
      </w:r>
      <w:bookmarkEnd w:id="442"/>
      <w:bookmarkEnd w:id="443"/>
      <w:bookmarkEnd w:id="444"/>
      <w:bookmarkEnd w:id="445"/>
      <w:bookmarkEnd w:id="446"/>
    </w:p>
    <w:p>
      <w:pPr>
        <w:spacing w:line="560" w:lineRule="exact"/>
        <w:ind w:firstLine="480" w:firstLineChars="200"/>
        <w:rPr>
          <w:rFonts w:ascii="宋体" w:hAnsi="宋体" w:eastAsia="宋体"/>
          <w:color w:val="auto"/>
          <w:sz w:val="24"/>
        </w:rPr>
      </w:pPr>
      <w:r>
        <w:rPr>
          <w:rFonts w:ascii="宋体" w:hAnsi="宋体" w:eastAsia="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2.6.2 </w:t>
      </w:r>
      <w:r>
        <w:rPr>
          <w:rFonts w:hint="eastAsia" w:ascii="宋体" w:hAnsi="宋体" w:eastAsia="宋体"/>
          <w:color w:val="auto"/>
          <w:sz w:val="24"/>
        </w:rPr>
        <w:t>乙方有义务妥善保管和保护由甲方提供的前款信息和资料等；</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2.6.3 </w:t>
      </w:r>
      <w:r>
        <w:rPr>
          <w:rFonts w:hint="eastAsia" w:ascii="宋体" w:hAnsi="宋体" w:eastAsia="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rPr>
        <w:t>技术情报</w:t>
      </w:r>
      <w:r>
        <w:rPr>
          <w:rFonts w:hint="eastAsia" w:ascii="宋体" w:hAnsi="宋体" w:eastAsia="宋体"/>
          <w:color w:val="auto"/>
          <w:sz w:val="24"/>
        </w:rPr>
        <w:t>、</w:t>
      </w:r>
      <w:r>
        <w:rPr>
          <w:rFonts w:ascii="宋体" w:hAnsi="宋体" w:eastAsia="宋体"/>
          <w:color w:val="auto"/>
          <w:sz w:val="24"/>
        </w:rPr>
        <w:t>技术资料</w:t>
      </w:r>
      <w:r>
        <w:rPr>
          <w:rFonts w:hint="eastAsia" w:ascii="宋体" w:hAnsi="宋体" w:eastAsia="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b/>
          <w:color w:val="auto"/>
          <w:sz w:val="24"/>
        </w:rPr>
      </w:pPr>
      <w:bookmarkStart w:id="447" w:name="_Toc19069"/>
      <w:r>
        <w:rPr>
          <w:rFonts w:ascii="宋体" w:hAnsi="宋体" w:eastAsia="宋体"/>
          <w:b/>
          <w:color w:val="auto"/>
          <w:sz w:val="24"/>
        </w:rPr>
        <w:t xml:space="preserve">2.7 </w:t>
      </w:r>
      <w:r>
        <w:rPr>
          <w:rFonts w:hint="eastAsia" w:ascii="宋体" w:hAnsi="宋体" w:eastAsia="宋体"/>
          <w:b/>
          <w:color w:val="auto"/>
          <w:sz w:val="24"/>
        </w:rPr>
        <w:t>质量保证</w:t>
      </w:r>
      <w:bookmarkEnd w:id="447"/>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2.7.1 </w:t>
      </w:r>
      <w:r>
        <w:rPr>
          <w:rFonts w:hint="eastAsia" w:ascii="宋体" w:hAnsi="宋体" w:eastAsia="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2.7.2 </w:t>
      </w:r>
      <w:r>
        <w:rPr>
          <w:rFonts w:hint="eastAsia" w:ascii="宋体" w:hAnsi="宋体" w:eastAsia="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b/>
          <w:color w:val="auto"/>
          <w:sz w:val="24"/>
        </w:rPr>
      </w:pPr>
      <w:bookmarkStart w:id="448" w:name="_Toc22267"/>
      <w:r>
        <w:rPr>
          <w:rFonts w:ascii="宋体" w:hAnsi="宋体" w:eastAsia="宋体"/>
          <w:b/>
          <w:color w:val="auto"/>
          <w:sz w:val="24"/>
        </w:rPr>
        <w:t xml:space="preserve">2.8 </w:t>
      </w:r>
      <w:r>
        <w:rPr>
          <w:rFonts w:hint="eastAsia" w:ascii="宋体" w:hAnsi="宋体" w:eastAsia="宋体"/>
          <w:b/>
          <w:color w:val="auto"/>
          <w:sz w:val="24"/>
        </w:rPr>
        <w:t>延迟履行</w:t>
      </w:r>
      <w:bookmarkEnd w:id="448"/>
    </w:p>
    <w:p>
      <w:pPr>
        <w:spacing w:line="560" w:lineRule="exact"/>
        <w:ind w:firstLine="480" w:firstLineChars="200"/>
        <w:rPr>
          <w:rFonts w:ascii="宋体" w:hAnsi="宋体" w:eastAsia="宋体"/>
          <w:color w:val="auto"/>
          <w:sz w:val="24"/>
        </w:rPr>
      </w:pPr>
      <w:r>
        <w:rPr>
          <w:rFonts w:ascii="宋体" w:hAnsi="宋体" w:eastAsia="宋体"/>
          <w:color w:val="auto"/>
          <w:sz w:val="24"/>
        </w:rPr>
        <w:t>在合同履行过程中，如果乙方遇到不能按时</w:t>
      </w:r>
      <w:r>
        <w:rPr>
          <w:rFonts w:hint="eastAsia" w:ascii="宋体" w:hAnsi="宋体" w:eastAsia="宋体"/>
          <w:color w:val="auto"/>
          <w:sz w:val="24"/>
        </w:rPr>
        <w:t>提供服务</w:t>
      </w:r>
      <w:r>
        <w:rPr>
          <w:rFonts w:ascii="宋体" w:hAnsi="宋体" w:eastAsia="宋体"/>
          <w:color w:val="auto"/>
          <w:sz w:val="24"/>
        </w:rPr>
        <w:t>的情况，应及时以书面形式将不能按时</w:t>
      </w:r>
      <w:r>
        <w:rPr>
          <w:rFonts w:hint="eastAsia" w:ascii="宋体" w:hAnsi="宋体" w:eastAsia="宋体"/>
          <w:color w:val="auto"/>
          <w:sz w:val="24"/>
        </w:rPr>
        <w:t>提供服务</w:t>
      </w:r>
      <w:r>
        <w:rPr>
          <w:rFonts w:ascii="宋体" w:hAnsi="宋体" w:eastAsia="宋体"/>
          <w:color w:val="auto"/>
          <w:sz w:val="24"/>
        </w:rPr>
        <w:t>的理由、预期延误时间通知甲方</w:t>
      </w:r>
      <w:r>
        <w:rPr>
          <w:rFonts w:hint="eastAsia" w:ascii="宋体" w:hAnsi="宋体" w:eastAsia="宋体"/>
          <w:color w:val="auto"/>
          <w:sz w:val="24"/>
        </w:rPr>
        <w:t>；甲</w:t>
      </w:r>
      <w:r>
        <w:rPr>
          <w:rFonts w:ascii="宋体" w:hAnsi="宋体" w:eastAsia="宋体"/>
          <w:color w:val="auto"/>
          <w:sz w:val="24"/>
        </w:rPr>
        <w:t>方收到乙方通知后，认为其理由正当的，可以书面形式酌情同意乙方可以延长</w:t>
      </w:r>
      <w:r>
        <w:rPr>
          <w:rFonts w:hint="eastAsia" w:ascii="宋体" w:hAnsi="宋体" w:eastAsia="宋体"/>
          <w:color w:val="auto"/>
          <w:sz w:val="24"/>
        </w:rPr>
        <w:t>履行</w:t>
      </w:r>
      <w:r>
        <w:rPr>
          <w:rFonts w:ascii="宋体" w:hAnsi="宋体" w:eastAsia="宋体"/>
          <w:color w:val="auto"/>
          <w:sz w:val="24"/>
        </w:rPr>
        <w:t>的具体时间。</w:t>
      </w:r>
    </w:p>
    <w:p>
      <w:pPr>
        <w:spacing w:line="560" w:lineRule="exact"/>
        <w:ind w:firstLine="482" w:firstLineChars="200"/>
        <w:outlineLvl w:val="0"/>
        <w:rPr>
          <w:rFonts w:ascii="宋体" w:hAnsi="宋体" w:eastAsia="宋体"/>
          <w:b/>
          <w:color w:val="auto"/>
          <w:sz w:val="24"/>
        </w:rPr>
      </w:pPr>
      <w:bookmarkStart w:id="449" w:name="_Toc10611"/>
      <w:r>
        <w:rPr>
          <w:rFonts w:ascii="宋体" w:hAnsi="宋体" w:eastAsia="宋体"/>
          <w:b/>
          <w:color w:val="auto"/>
          <w:sz w:val="24"/>
        </w:rPr>
        <w:t xml:space="preserve">2.9 </w:t>
      </w:r>
      <w:r>
        <w:rPr>
          <w:rFonts w:hint="eastAsia" w:ascii="宋体" w:hAnsi="宋体" w:eastAsia="宋体"/>
          <w:b/>
          <w:color w:val="auto"/>
          <w:sz w:val="24"/>
        </w:rPr>
        <w:t>合同变更</w:t>
      </w:r>
      <w:bookmarkEnd w:id="449"/>
    </w:p>
    <w:p>
      <w:pPr>
        <w:spacing w:line="560" w:lineRule="exact"/>
        <w:ind w:firstLine="480" w:firstLineChars="200"/>
        <w:rPr>
          <w:rFonts w:ascii="宋体" w:hAnsi="宋体" w:eastAsia="宋体"/>
          <w:color w:val="auto"/>
          <w:sz w:val="24"/>
        </w:rPr>
      </w:pPr>
      <w:r>
        <w:rPr>
          <w:rFonts w:hint="eastAsia" w:ascii="宋体" w:hAnsi="宋体" w:eastAsia="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rPr>
      </w:pPr>
      <w:bookmarkStart w:id="450" w:name="_Toc42"/>
      <w:bookmarkStart w:id="451" w:name="_Toc21830"/>
      <w:bookmarkStart w:id="452" w:name="_Toc23368"/>
      <w:bookmarkStart w:id="453" w:name="_Toc26689"/>
      <w:bookmarkStart w:id="454" w:name="_Toc10663"/>
      <w:r>
        <w:rPr>
          <w:rFonts w:ascii="宋体" w:hAnsi="宋体" w:eastAsia="宋体"/>
          <w:b/>
          <w:color w:val="auto"/>
          <w:sz w:val="24"/>
        </w:rPr>
        <w:t>2.10 合同转让和分包</w:t>
      </w:r>
      <w:bookmarkEnd w:id="450"/>
      <w:bookmarkEnd w:id="451"/>
      <w:bookmarkEnd w:id="452"/>
      <w:bookmarkEnd w:id="453"/>
      <w:bookmarkEnd w:id="454"/>
    </w:p>
    <w:p>
      <w:pPr>
        <w:spacing w:line="560" w:lineRule="exact"/>
        <w:ind w:firstLine="480" w:firstLineChars="200"/>
        <w:rPr>
          <w:rFonts w:ascii="宋体" w:hAnsi="宋体" w:eastAsia="宋体"/>
          <w:color w:val="auto"/>
          <w:sz w:val="24"/>
        </w:rPr>
      </w:pPr>
      <w:r>
        <w:rPr>
          <w:rFonts w:ascii="宋体" w:hAnsi="宋体" w:eastAsia="宋体"/>
          <w:color w:val="auto"/>
          <w:sz w:val="24"/>
        </w:rPr>
        <w:t>合同的权利义务依法不</w:t>
      </w:r>
      <w:r>
        <w:rPr>
          <w:rFonts w:hint="eastAsia" w:ascii="宋体" w:hAnsi="宋体" w:eastAsia="宋体"/>
          <w:color w:val="auto"/>
          <w:sz w:val="24"/>
        </w:rPr>
        <w:t>得</w:t>
      </w:r>
      <w:r>
        <w:rPr>
          <w:rFonts w:ascii="宋体" w:hAnsi="宋体" w:eastAsia="宋体"/>
          <w:color w:val="auto"/>
          <w:sz w:val="24"/>
        </w:rPr>
        <w:t>转让</w:t>
      </w:r>
      <w:r>
        <w:rPr>
          <w:rFonts w:hint="eastAsia" w:ascii="宋体" w:hAnsi="宋体" w:eastAsia="宋体"/>
          <w:color w:val="auto"/>
          <w:sz w:val="24"/>
        </w:rPr>
        <w:t>，</w:t>
      </w:r>
      <w:r>
        <w:rPr>
          <w:rFonts w:ascii="宋体" w:hAnsi="宋体" w:eastAsia="宋体"/>
          <w:color w:val="auto"/>
          <w:sz w:val="24"/>
        </w:rPr>
        <w:t>但经甲方</w:t>
      </w:r>
      <w:r>
        <w:rPr>
          <w:rFonts w:hint="eastAsia" w:ascii="宋体" w:hAnsi="宋体" w:eastAsia="宋体"/>
          <w:color w:val="auto"/>
          <w:sz w:val="24"/>
        </w:rPr>
        <w:t>同意，乙方可以依法采取分包方式履行合同，即：依法可以</w:t>
      </w:r>
      <w:r>
        <w:rPr>
          <w:rFonts w:ascii="宋体" w:hAnsi="宋体" w:eastAsia="宋体"/>
          <w:color w:val="auto"/>
          <w:sz w:val="24"/>
        </w:rPr>
        <w:t>将合同项下的部分非主体、非关键性工作分包给他人完成</w:t>
      </w:r>
      <w:r>
        <w:rPr>
          <w:rFonts w:hint="eastAsia" w:ascii="宋体" w:hAnsi="宋体" w:eastAsia="宋体"/>
          <w:color w:val="auto"/>
          <w:sz w:val="24"/>
        </w:rPr>
        <w:t>，</w:t>
      </w:r>
      <w:r>
        <w:rPr>
          <w:rFonts w:ascii="宋体" w:hAnsi="宋体" w:eastAsia="宋体"/>
          <w:color w:val="auto"/>
          <w:sz w:val="24"/>
        </w:rPr>
        <w:t>接受分包的人应当具备相应的资格条件，并不得再次分包</w:t>
      </w:r>
      <w:r>
        <w:rPr>
          <w:rFonts w:hint="eastAsia" w:ascii="宋体" w:hAnsi="宋体" w:eastAsia="宋体"/>
          <w:color w:val="auto"/>
          <w:sz w:val="24"/>
        </w:rPr>
        <w:t>，</w:t>
      </w:r>
      <w:r>
        <w:rPr>
          <w:rFonts w:ascii="宋体" w:hAnsi="宋体" w:eastAsia="宋体"/>
          <w:color w:val="auto"/>
          <w:sz w:val="24"/>
        </w:rPr>
        <w:t>且乙方应就分包项目向甲方负责</w:t>
      </w:r>
      <w:r>
        <w:rPr>
          <w:rFonts w:hint="eastAsia" w:ascii="宋体" w:hAnsi="宋体" w:eastAsia="宋体"/>
          <w:color w:val="auto"/>
          <w:sz w:val="24"/>
        </w:rPr>
        <w:t>，</w:t>
      </w:r>
      <w:r>
        <w:rPr>
          <w:rFonts w:ascii="宋体" w:hAnsi="宋体" w:eastAsia="宋体"/>
          <w:color w:val="auto"/>
          <w:sz w:val="24"/>
        </w:rPr>
        <w:t>并</w:t>
      </w:r>
      <w:r>
        <w:rPr>
          <w:rFonts w:hint="eastAsia" w:ascii="宋体" w:hAnsi="宋体" w:eastAsia="宋体"/>
          <w:color w:val="auto"/>
          <w:sz w:val="24"/>
        </w:rPr>
        <w:t>与分包供应商就分包项目向甲方承担连带责任。</w:t>
      </w:r>
    </w:p>
    <w:p>
      <w:pPr>
        <w:spacing w:line="560" w:lineRule="exact"/>
        <w:ind w:firstLine="482" w:firstLineChars="200"/>
        <w:outlineLvl w:val="0"/>
        <w:rPr>
          <w:rFonts w:ascii="宋体" w:hAnsi="宋体" w:eastAsia="宋体"/>
          <w:b/>
          <w:color w:val="auto"/>
          <w:sz w:val="24"/>
        </w:rPr>
      </w:pPr>
      <w:bookmarkStart w:id="455" w:name="_Toc26633"/>
      <w:bookmarkStart w:id="456" w:name="_Toc32494"/>
      <w:bookmarkStart w:id="457" w:name="_Toc25571"/>
      <w:bookmarkStart w:id="458" w:name="_Toc14371"/>
      <w:bookmarkStart w:id="459" w:name="_Toc4720"/>
      <w:r>
        <w:rPr>
          <w:rFonts w:ascii="宋体" w:hAnsi="宋体" w:eastAsia="宋体"/>
          <w:b/>
          <w:color w:val="auto"/>
          <w:sz w:val="24"/>
        </w:rPr>
        <w:t>2.11 不可抗力</w:t>
      </w:r>
      <w:bookmarkEnd w:id="455"/>
      <w:bookmarkEnd w:id="456"/>
      <w:bookmarkEnd w:id="457"/>
      <w:bookmarkEnd w:id="458"/>
      <w:bookmarkEnd w:id="459"/>
    </w:p>
    <w:p>
      <w:pPr>
        <w:spacing w:line="560" w:lineRule="exact"/>
        <w:ind w:firstLine="480" w:firstLineChars="200"/>
        <w:rPr>
          <w:rFonts w:ascii="宋体" w:hAnsi="宋体" w:eastAsia="宋体"/>
          <w:color w:val="auto"/>
          <w:sz w:val="24"/>
        </w:rPr>
      </w:pPr>
      <w:r>
        <w:rPr>
          <w:rFonts w:ascii="宋体" w:hAnsi="宋体" w:eastAsia="宋体"/>
          <w:color w:val="auto"/>
          <w:sz w:val="24"/>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2.11.2 </w:t>
      </w:r>
      <w:r>
        <w:rPr>
          <w:rFonts w:hint="eastAsia" w:ascii="宋体" w:hAnsi="宋体" w:eastAsia="宋体"/>
          <w:color w:val="auto"/>
          <w:sz w:val="24"/>
        </w:rPr>
        <w:t>因不可抗力致使不能实现合同目的的，当事人可以解除合同；</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2.11.3 </w:t>
      </w:r>
      <w:r>
        <w:rPr>
          <w:rFonts w:hint="eastAsia" w:ascii="宋体" w:hAnsi="宋体" w:eastAsia="宋体"/>
          <w:color w:val="auto"/>
          <w:sz w:val="24"/>
        </w:rPr>
        <w:t>因</w:t>
      </w:r>
      <w:r>
        <w:rPr>
          <w:rFonts w:ascii="宋体" w:hAnsi="宋体" w:eastAsia="宋体"/>
          <w:color w:val="auto"/>
          <w:sz w:val="24"/>
        </w:rPr>
        <w:t>不可抗力致使合同有变更必要的，双方当事人应在</w:t>
      </w:r>
      <w:r>
        <w:rPr>
          <w:rFonts w:ascii="宋体" w:hAnsi="宋体" w:eastAsia="宋体"/>
          <w:b/>
          <w:i/>
          <w:color w:val="auto"/>
          <w:sz w:val="24"/>
          <w:u w:val="single"/>
        </w:rPr>
        <w:t>合同专用条款</w:t>
      </w:r>
      <w:r>
        <w:rPr>
          <w:rFonts w:ascii="宋体" w:hAnsi="宋体" w:eastAsia="宋体"/>
          <w:color w:val="auto"/>
          <w:sz w:val="24"/>
        </w:rPr>
        <w:t>约定时间内以书面形式变更合同</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rPr>
      </w:pPr>
      <w:r>
        <w:rPr>
          <w:rFonts w:ascii="宋体" w:hAnsi="宋体" w:eastAsia="宋体"/>
          <w:color w:val="auto"/>
          <w:sz w:val="24"/>
        </w:rPr>
        <w:t>2.11.4受</w:t>
      </w:r>
      <w:r>
        <w:rPr>
          <w:rFonts w:hint="eastAsia" w:ascii="宋体" w:hAnsi="宋体" w:eastAsia="宋体"/>
          <w:color w:val="auto"/>
          <w:sz w:val="24"/>
        </w:rPr>
        <w:t>不可抗力</w:t>
      </w:r>
      <w:r>
        <w:rPr>
          <w:rFonts w:ascii="宋体" w:hAnsi="宋体" w:eastAsia="宋体"/>
          <w:color w:val="auto"/>
          <w:sz w:val="24"/>
        </w:rPr>
        <w:t>影响的一方在不可抗力发生后</w:t>
      </w:r>
      <w:r>
        <w:rPr>
          <w:rFonts w:hint="eastAsia" w:ascii="宋体" w:hAnsi="宋体" w:eastAsia="宋体"/>
          <w:color w:val="auto"/>
          <w:sz w:val="24"/>
        </w:rPr>
        <w:t>，</w:t>
      </w:r>
      <w:r>
        <w:rPr>
          <w:rFonts w:ascii="宋体" w:hAnsi="宋体" w:eastAsia="宋体"/>
          <w:color w:val="auto"/>
          <w:sz w:val="24"/>
        </w:rPr>
        <w:t>应在</w:t>
      </w:r>
      <w:r>
        <w:rPr>
          <w:rFonts w:ascii="宋体" w:hAnsi="宋体" w:eastAsia="宋体"/>
          <w:b/>
          <w:i/>
          <w:color w:val="auto"/>
          <w:sz w:val="24"/>
          <w:u w:val="single"/>
        </w:rPr>
        <w:t>合同专用条款</w:t>
      </w:r>
      <w:r>
        <w:rPr>
          <w:rFonts w:ascii="宋体" w:hAnsi="宋体" w:eastAsia="宋体"/>
          <w:color w:val="auto"/>
          <w:sz w:val="24"/>
        </w:rPr>
        <w:t>约定时间内以书面形式通知</w:t>
      </w:r>
      <w:r>
        <w:rPr>
          <w:rFonts w:hint="eastAsia" w:ascii="宋体" w:hAnsi="宋体" w:eastAsia="宋体"/>
          <w:color w:val="auto"/>
          <w:sz w:val="24"/>
        </w:rPr>
        <w:t>对</w:t>
      </w:r>
      <w:r>
        <w:rPr>
          <w:rFonts w:ascii="宋体" w:hAnsi="宋体" w:eastAsia="宋体"/>
          <w:color w:val="auto"/>
          <w:sz w:val="24"/>
        </w:rPr>
        <w:t>方当事人，并在</w:t>
      </w:r>
      <w:r>
        <w:rPr>
          <w:rFonts w:ascii="宋体" w:hAnsi="宋体" w:eastAsia="宋体"/>
          <w:b/>
          <w:i/>
          <w:color w:val="auto"/>
          <w:sz w:val="24"/>
          <w:u w:val="single"/>
        </w:rPr>
        <w:t>合同专用条款</w:t>
      </w:r>
      <w:r>
        <w:rPr>
          <w:rFonts w:ascii="宋体" w:hAnsi="宋体" w:eastAsia="宋体"/>
          <w:color w:val="auto"/>
          <w:sz w:val="24"/>
        </w:rPr>
        <w:t>约定时间内，将有关部门出具的证明文件送达</w:t>
      </w:r>
      <w:r>
        <w:rPr>
          <w:rFonts w:hint="eastAsia" w:ascii="宋体" w:hAnsi="宋体" w:eastAsia="宋体"/>
          <w:color w:val="auto"/>
          <w:sz w:val="24"/>
        </w:rPr>
        <w:t>对方当事人</w:t>
      </w:r>
      <w:r>
        <w:rPr>
          <w:rFonts w:ascii="宋体" w:hAnsi="宋体" w:eastAsia="宋体"/>
          <w:color w:val="auto"/>
          <w:sz w:val="24"/>
        </w:rPr>
        <w:t>。</w:t>
      </w:r>
    </w:p>
    <w:p>
      <w:pPr>
        <w:spacing w:line="560" w:lineRule="exact"/>
        <w:ind w:firstLine="482" w:firstLineChars="200"/>
        <w:outlineLvl w:val="0"/>
        <w:rPr>
          <w:rFonts w:ascii="宋体" w:hAnsi="宋体" w:eastAsia="宋体"/>
          <w:b/>
          <w:color w:val="auto"/>
          <w:sz w:val="24"/>
        </w:rPr>
      </w:pPr>
      <w:bookmarkStart w:id="460" w:name="_Toc14115"/>
      <w:bookmarkStart w:id="461" w:name="_Toc24465"/>
      <w:bookmarkStart w:id="462" w:name="_Toc25783"/>
      <w:bookmarkStart w:id="463" w:name="_Toc23854"/>
      <w:bookmarkStart w:id="464" w:name="_Toc3638"/>
      <w:r>
        <w:rPr>
          <w:rFonts w:ascii="宋体" w:hAnsi="宋体" w:eastAsia="宋体"/>
          <w:b/>
          <w:color w:val="auto"/>
          <w:sz w:val="24"/>
        </w:rPr>
        <w:t>2.12 税费</w:t>
      </w:r>
      <w:bookmarkEnd w:id="460"/>
      <w:bookmarkEnd w:id="461"/>
      <w:bookmarkEnd w:id="462"/>
      <w:bookmarkEnd w:id="463"/>
      <w:bookmarkEnd w:id="464"/>
    </w:p>
    <w:p>
      <w:pPr>
        <w:spacing w:line="560" w:lineRule="exact"/>
        <w:ind w:firstLine="480" w:firstLineChars="200"/>
        <w:rPr>
          <w:rFonts w:ascii="宋体" w:hAnsi="宋体" w:eastAsia="宋体"/>
          <w:color w:val="auto"/>
          <w:sz w:val="24"/>
        </w:rPr>
      </w:pPr>
      <w:r>
        <w:rPr>
          <w:rFonts w:ascii="宋体" w:hAnsi="宋体" w:eastAsia="宋体"/>
          <w:color w:val="auto"/>
          <w:sz w:val="24"/>
        </w:rPr>
        <w:t>与合同有关的一切税费</w:t>
      </w:r>
      <w:r>
        <w:rPr>
          <w:rFonts w:hint="eastAsia" w:ascii="宋体" w:hAnsi="宋体" w:eastAsia="宋体"/>
          <w:color w:val="auto"/>
          <w:sz w:val="24"/>
        </w:rPr>
        <w:t>，</w:t>
      </w:r>
      <w:r>
        <w:rPr>
          <w:rFonts w:ascii="宋体" w:hAnsi="宋体" w:eastAsia="宋体"/>
          <w:color w:val="auto"/>
          <w:sz w:val="24"/>
        </w:rPr>
        <w:t>均按照中华人民共和国法律的相关规定缴纳。</w:t>
      </w:r>
    </w:p>
    <w:p>
      <w:pPr>
        <w:spacing w:line="560" w:lineRule="exact"/>
        <w:ind w:firstLine="482" w:firstLineChars="200"/>
        <w:outlineLvl w:val="0"/>
        <w:rPr>
          <w:rFonts w:ascii="宋体" w:hAnsi="宋体" w:eastAsia="宋体"/>
          <w:b/>
          <w:color w:val="auto"/>
          <w:sz w:val="24"/>
        </w:rPr>
      </w:pPr>
      <w:bookmarkStart w:id="465" w:name="_Toc14814"/>
      <w:bookmarkStart w:id="466" w:name="_Toc26883"/>
      <w:bookmarkStart w:id="467" w:name="_Toc25525"/>
      <w:bookmarkStart w:id="468" w:name="_Toc7315"/>
      <w:bookmarkStart w:id="469" w:name="_Toc30105"/>
      <w:r>
        <w:rPr>
          <w:rFonts w:ascii="宋体" w:hAnsi="宋体" w:eastAsia="宋体"/>
          <w:b/>
          <w:color w:val="auto"/>
          <w:sz w:val="24"/>
        </w:rPr>
        <w:t>2.13 乙方破产</w:t>
      </w:r>
      <w:bookmarkEnd w:id="465"/>
      <w:bookmarkEnd w:id="466"/>
      <w:bookmarkEnd w:id="467"/>
      <w:bookmarkEnd w:id="468"/>
      <w:bookmarkEnd w:id="469"/>
    </w:p>
    <w:p>
      <w:pPr>
        <w:spacing w:line="560" w:lineRule="exact"/>
        <w:ind w:firstLine="480" w:firstLineChars="200"/>
        <w:rPr>
          <w:rFonts w:ascii="宋体" w:hAnsi="宋体" w:eastAsia="宋体"/>
          <w:color w:val="auto"/>
          <w:sz w:val="24"/>
        </w:rPr>
      </w:pPr>
      <w:r>
        <w:rPr>
          <w:rFonts w:ascii="宋体" w:hAnsi="宋体" w:eastAsia="宋体"/>
          <w:color w:val="auto"/>
          <w:sz w:val="24"/>
        </w:rPr>
        <w:t>如果乙方破产导致合同无法履行时，甲方可以书面形式通知乙方终止合同且不给予乙方任何补偿和赔偿</w:t>
      </w:r>
      <w:r>
        <w:rPr>
          <w:rFonts w:hint="eastAsia" w:ascii="宋体" w:hAnsi="宋体" w:eastAsia="宋体"/>
          <w:color w:val="auto"/>
          <w:sz w:val="24"/>
        </w:rPr>
        <w:t>，但合同的</w:t>
      </w:r>
      <w:r>
        <w:rPr>
          <w:rFonts w:ascii="宋体" w:hAnsi="宋体" w:eastAsia="宋体"/>
          <w:color w:val="auto"/>
          <w:sz w:val="24"/>
        </w:rPr>
        <w:t>终止不损害或不影响甲方已经采取或将要采取的任何要求乙方支付违约金</w:t>
      </w:r>
      <w:r>
        <w:rPr>
          <w:rFonts w:hint="eastAsia" w:ascii="宋体" w:hAnsi="宋体" w:eastAsia="宋体"/>
          <w:color w:val="auto"/>
          <w:sz w:val="24"/>
        </w:rPr>
        <w:t>、</w:t>
      </w:r>
      <w:r>
        <w:rPr>
          <w:rFonts w:ascii="宋体" w:hAnsi="宋体" w:eastAsia="宋体"/>
          <w:color w:val="auto"/>
          <w:sz w:val="24"/>
        </w:rPr>
        <w:t>赔偿损失等的行动或补救措施的权利</w:t>
      </w:r>
      <w:r>
        <w:rPr>
          <w:rFonts w:hint="eastAsia" w:ascii="宋体" w:hAnsi="宋体" w:eastAsia="宋体"/>
          <w:color w:val="auto"/>
          <w:sz w:val="24"/>
        </w:rPr>
        <w:t>。</w:t>
      </w:r>
    </w:p>
    <w:p>
      <w:pPr>
        <w:spacing w:line="560" w:lineRule="exact"/>
        <w:ind w:firstLine="482" w:firstLineChars="200"/>
        <w:outlineLvl w:val="0"/>
        <w:rPr>
          <w:rFonts w:ascii="宋体" w:hAnsi="宋体" w:eastAsia="宋体"/>
          <w:b/>
          <w:color w:val="auto"/>
          <w:sz w:val="24"/>
        </w:rPr>
      </w:pPr>
      <w:bookmarkStart w:id="470" w:name="_Toc1123"/>
      <w:bookmarkStart w:id="471" w:name="_Toc23323"/>
      <w:bookmarkStart w:id="472" w:name="_Toc2016"/>
      <w:r>
        <w:rPr>
          <w:rFonts w:ascii="宋体" w:hAnsi="宋体" w:eastAsia="宋体"/>
          <w:b/>
          <w:color w:val="auto"/>
          <w:sz w:val="24"/>
        </w:rPr>
        <w:t>2.14 合同中止、终止</w:t>
      </w:r>
      <w:bookmarkEnd w:id="470"/>
      <w:bookmarkEnd w:id="471"/>
      <w:bookmarkEnd w:id="472"/>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2.14.1 </w:t>
      </w:r>
      <w:r>
        <w:rPr>
          <w:rFonts w:hint="eastAsia" w:ascii="宋体" w:hAnsi="宋体" w:eastAsia="宋体"/>
          <w:color w:val="auto"/>
          <w:sz w:val="24"/>
        </w:rPr>
        <w:t>双方当事人不得擅自中止或者终止合同；</w:t>
      </w:r>
    </w:p>
    <w:p>
      <w:pPr>
        <w:spacing w:line="560" w:lineRule="exact"/>
        <w:ind w:firstLine="480" w:firstLineChars="200"/>
        <w:rPr>
          <w:rFonts w:ascii="宋体" w:hAnsi="宋体" w:eastAsia="宋体"/>
          <w:color w:val="auto"/>
          <w:sz w:val="24"/>
        </w:rPr>
      </w:pPr>
      <w:r>
        <w:rPr>
          <w:rFonts w:ascii="宋体" w:hAnsi="宋体" w:eastAsia="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rPr>
      </w:pPr>
      <w:bookmarkStart w:id="473" w:name="_Toc1969"/>
      <w:bookmarkStart w:id="474" w:name="_Toc14525"/>
      <w:bookmarkStart w:id="475" w:name="_Toc17363"/>
      <w:r>
        <w:rPr>
          <w:rFonts w:ascii="宋体" w:hAnsi="宋体" w:eastAsia="宋体"/>
          <w:b/>
          <w:color w:val="auto"/>
          <w:sz w:val="24"/>
        </w:rPr>
        <w:t>2.15 检验和验收</w:t>
      </w:r>
      <w:bookmarkEnd w:id="473"/>
      <w:bookmarkEnd w:id="474"/>
      <w:bookmarkEnd w:id="475"/>
    </w:p>
    <w:p>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2.15.1 </w:t>
      </w:r>
      <w:r>
        <w:rPr>
          <w:rFonts w:hint="eastAsia" w:ascii="宋体" w:hAnsi="宋体" w:eastAsia="宋体"/>
          <w:color w:val="auto"/>
          <w:sz w:val="24"/>
        </w:rPr>
        <w:t>乙方按照</w:t>
      </w:r>
      <w:r>
        <w:rPr>
          <w:rFonts w:ascii="宋体" w:hAnsi="宋体" w:eastAsia="宋体"/>
          <w:b/>
          <w:i/>
          <w:color w:val="auto"/>
          <w:sz w:val="24"/>
          <w:u w:val="single"/>
        </w:rPr>
        <w:t>合同专用条款</w:t>
      </w:r>
      <w:r>
        <w:rPr>
          <w:rFonts w:ascii="宋体" w:hAnsi="宋体" w:eastAsia="宋体"/>
          <w:color w:val="auto"/>
          <w:sz w:val="24"/>
        </w:rPr>
        <w:t>的约定</w:t>
      </w:r>
      <w:r>
        <w:rPr>
          <w:rFonts w:hint="eastAsia" w:ascii="宋体" w:hAnsi="宋体" w:eastAsia="宋体"/>
          <w:color w:val="auto"/>
          <w:sz w:val="24"/>
        </w:rPr>
        <w:t>，</w:t>
      </w:r>
      <w:r>
        <w:rPr>
          <w:rFonts w:ascii="宋体" w:hAnsi="宋体" w:eastAsia="宋体"/>
          <w:color w:val="auto"/>
          <w:sz w:val="24"/>
        </w:rPr>
        <w:t>定期提交服务报告</w:t>
      </w:r>
      <w:r>
        <w:rPr>
          <w:rFonts w:hint="eastAsia" w:ascii="宋体" w:hAnsi="宋体" w:eastAsia="宋体"/>
          <w:color w:val="auto"/>
          <w:sz w:val="24"/>
        </w:rPr>
        <w:t>，甲方按照</w:t>
      </w:r>
      <w:r>
        <w:rPr>
          <w:rFonts w:ascii="宋体" w:hAnsi="宋体" w:eastAsia="宋体"/>
          <w:b/>
          <w:i/>
          <w:color w:val="auto"/>
          <w:sz w:val="24"/>
          <w:u w:val="single"/>
        </w:rPr>
        <w:t>合同专用条款</w:t>
      </w:r>
      <w:r>
        <w:rPr>
          <w:rFonts w:ascii="宋体" w:hAnsi="宋体" w:eastAsia="宋体"/>
          <w:color w:val="auto"/>
          <w:sz w:val="24"/>
        </w:rPr>
        <w:t>的约定进行定期验收</w:t>
      </w:r>
      <w:r>
        <w:rPr>
          <w:rFonts w:hint="eastAsia" w:ascii="宋体" w:hAnsi="宋体" w:eastAsia="宋体"/>
          <w:color w:val="auto"/>
          <w:sz w:val="24"/>
        </w:rPr>
        <w:t>；</w:t>
      </w:r>
    </w:p>
    <w:p>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2.15.2 </w:t>
      </w:r>
      <w:r>
        <w:rPr>
          <w:rFonts w:hint="eastAsia" w:ascii="宋体" w:hAnsi="宋体" w:eastAsia="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2.15.3 </w:t>
      </w:r>
      <w:r>
        <w:rPr>
          <w:rFonts w:hint="eastAsia" w:ascii="宋体" w:hAnsi="宋体" w:eastAsia="宋体"/>
          <w:color w:val="auto"/>
          <w:sz w:val="24"/>
        </w:rPr>
        <w:t>检验和验收标准、程序等具体内容以及前述验收书的效力详见</w:t>
      </w:r>
      <w:r>
        <w:rPr>
          <w:rFonts w:ascii="宋体" w:hAnsi="宋体" w:eastAsia="宋体"/>
          <w:b/>
          <w:i/>
          <w:color w:val="auto"/>
          <w:sz w:val="24"/>
          <w:u w:val="single"/>
        </w:rPr>
        <w:t>合同专用条款</w:t>
      </w:r>
      <w:r>
        <w:rPr>
          <w:rFonts w:hint="eastAsia" w:ascii="宋体" w:hAnsi="宋体" w:eastAsia="宋体"/>
          <w:i/>
          <w:color w:val="auto"/>
          <w:sz w:val="24"/>
        </w:rPr>
        <w:t>。</w:t>
      </w:r>
    </w:p>
    <w:p>
      <w:pPr>
        <w:spacing w:line="560" w:lineRule="exact"/>
        <w:ind w:firstLine="482" w:firstLineChars="200"/>
        <w:outlineLvl w:val="0"/>
        <w:rPr>
          <w:rFonts w:ascii="宋体" w:hAnsi="宋体" w:eastAsia="宋体"/>
          <w:b/>
          <w:color w:val="auto"/>
          <w:sz w:val="24"/>
        </w:rPr>
      </w:pPr>
      <w:bookmarkStart w:id="476" w:name="_Toc2308"/>
      <w:bookmarkStart w:id="477" w:name="_Toc12666"/>
      <w:bookmarkStart w:id="478" w:name="_Toc9808"/>
      <w:bookmarkStart w:id="479" w:name="_Toc25198"/>
      <w:bookmarkStart w:id="480" w:name="_Toc31892"/>
      <w:r>
        <w:rPr>
          <w:rFonts w:ascii="宋体" w:hAnsi="宋体" w:eastAsia="宋体"/>
          <w:b/>
          <w:color w:val="auto"/>
          <w:sz w:val="24"/>
        </w:rPr>
        <w:t>2.16 通知和送达</w:t>
      </w:r>
      <w:bookmarkEnd w:id="476"/>
      <w:bookmarkEnd w:id="477"/>
      <w:bookmarkEnd w:id="478"/>
      <w:bookmarkEnd w:id="479"/>
      <w:bookmarkEnd w:id="480"/>
    </w:p>
    <w:p>
      <w:pPr>
        <w:spacing w:line="560" w:lineRule="exact"/>
        <w:ind w:firstLine="480" w:firstLineChars="200"/>
        <w:rPr>
          <w:rFonts w:ascii="宋体" w:hAnsi="宋体" w:eastAsia="宋体"/>
          <w:color w:val="auto"/>
          <w:sz w:val="24"/>
        </w:rPr>
      </w:pPr>
      <w:bookmarkStart w:id="481" w:name="_Toc18401"/>
      <w:bookmarkStart w:id="482" w:name="_Toc27674"/>
      <w:r>
        <w:rPr>
          <w:rFonts w:ascii="宋体" w:hAnsi="宋体" w:eastAsia="宋体"/>
          <w:color w:val="auto"/>
          <w:sz w:val="24"/>
        </w:rPr>
        <w:t>2.17.1</w:t>
      </w:r>
      <w:r>
        <w:rPr>
          <w:rFonts w:hint="eastAsia" w:ascii="宋体" w:hAnsi="宋体" w:eastAsia="宋体"/>
          <w:color w:val="auto"/>
          <w:sz w:val="24"/>
        </w:rPr>
        <w:t>任何一方因履行合同而以合同第一部分尾部所列明的传真或电子邮件</w:t>
      </w:r>
      <w:r>
        <w:rPr>
          <w:rFonts w:ascii="宋体" w:hAnsi="宋体" w:eastAsia="宋体"/>
          <w:color w:val="auto"/>
          <w:sz w:val="24"/>
        </w:rPr>
        <w:t xml:space="preserve"> </w:t>
      </w:r>
      <w:r>
        <w:rPr>
          <w:rFonts w:ascii="宋体" w:hAnsi="宋体" w:eastAsia="宋体"/>
          <w:color w:val="auto"/>
          <w:sz w:val="24"/>
          <w:u w:val="single"/>
        </w:rPr>
        <w:t xml:space="preserve">       </w:t>
      </w:r>
      <w:r>
        <w:rPr>
          <w:rFonts w:hint="eastAsia" w:ascii="宋体" w:hAnsi="宋体" w:eastAsia="宋体"/>
          <w:color w:val="auto"/>
          <w:sz w:val="24"/>
        </w:rPr>
        <w:t>发出的所有通知、文件、材料，均视为已向对方当事人送达；任何一方变更上述送达方式或者地址的，应于</w:t>
      </w:r>
      <w:r>
        <w:rPr>
          <w:rFonts w:ascii="宋体" w:hAnsi="宋体" w:eastAsia="宋体"/>
          <w:color w:val="auto"/>
          <w:sz w:val="24"/>
          <w:u w:val="single"/>
        </w:rPr>
        <w:t>3</w:t>
      </w:r>
      <w:r>
        <w:rPr>
          <w:rFonts w:hint="eastAsia" w:ascii="宋体" w:hAnsi="宋体" w:eastAsia="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color w:val="auto"/>
          <w:sz w:val="24"/>
        </w:rPr>
      </w:pPr>
      <w:r>
        <w:rPr>
          <w:rFonts w:ascii="宋体" w:hAnsi="宋体" w:eastAsia="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rPr>
        <w:t>的，邮件挂号寄出或者交邮之日之次日视为送达。</w:t>
      </w:r>
      <w:bookmarkEnd w:id="481"/>
      <w:bookmarkEnd w:id="482"/>
    </w:p>
    <w:p>
      <w:pPr>
        <w:spacing w:line="560" w:lineRule="exact"/>
        <w:ind w:firstLine="482" w:firstLineChars="200"/>
        <w:outlineLvl w:val="0"/>
        <w:rPr>
          <w:rFonts w:ascii="宋体" w:hAnsi="宋体" w:eastAsia="宋体"/>
          <w:b/>
          <w:color w:val="auto"/>
          <w:sz w:val="24"/>
        </w:rPr>
      </w:pPr>
      <w:bookmarkStart w:id="483" w:name="_Toc27644"/>
      <w:bookmarkStart w:id="484" w:name="_Toc20808"/>
      <w:bookmarkStart w:id="485" w:name="_Toc12254"/>
      <w:bookmarkStart w:id="486" w:name="_Toc5063"/>
      <w:bookmarkStart w:id="487" w:name="_Toc28906"/>
      <w:r>
        <w:rPr>
          <w:rFonts w:ascii="宋体" w:hAnsi="宋体" w:eastAsia="宋体"/>
          <w:b/>
          <w:color w:val="auto"/>
          <w:sz w:val="24"/>
        </w:rPr>
        <w:t xml:space="preserve">2.17 </w:t>
      </w:r>
      <w:r>
        <w:rPr>
          <w:rFonts w:hint="eastAsia" w:ascii="宋体" w:hAnsi="宋体" w:eastAsia="宋体"/>
          <w:b/>
          <w:color w:val="auto"/>
          <w:sz w:val="24"/>
        </w:rPr>
        <w:t>合同使用的文字和</w:t>
      </w:r>
      <w:r>
        <w:rPr>
          <w:rFonts w:ascii="宋体" w:hAnsi="宋体" w:eastAsia="宋体"/>
          <w:b/>
          <w:color w:val="auto"/>
          <w:sz w:val="24"/>
        </w:rPr>
        <w:t>适用的法律</w:t>
      </w:r>
      <w:bookmarkEnd w:id="483"/>
      <w:bookmarkEnd w:id="484"/>
      <w:bookmarkEnd w:id="485"/>
      <w:bookmarkEnd w:id="486"/>
      <w:bookmarkEnd w:id="487"/>
    </w:p>
    <w:p>
      <w:pPr>
        <w:spacing w:line="560" w:lineRule="exact"/>
        <w:ind w:firstLine="480" w:firstLineChars="200"/>
        <w:rPr>
          <w:rFonts w:ascii="宋体" w:hAnsi="宋体" w:eastAsia="宋体"/>
          <w:color w:val="auto"/>
          <w:sz w:val="24"/>
        </w:rPr>
      </w:pPr>
      <w:r>
        <w:rPr>
          <w:rFonts w:ascii="宋体" w:hAnsi="宋体" w:eastAsia="宋体"/>
          <w:color w:val="auto"/>
          <w:sz w:val="24"/>
        </w:rPr>
        <w:t>2.17.1 合同使用汉语书就</w:t>
      </w:r>
      <w:r>
        <w:rPr>
          <w:rFonts w:hint="eastAsia" w:ascii="宋体" w:hAnsi="宋体" w:eastAsia="宋体"/>
          <w:color w:val="auto"/>
          <w:sz w:val="24"/>
        </w:rPr>
        <w:t>、</w:t>
      </w:r>
      <w:r>
        <w:rPr>
          <w:rFonts w:ascii="宋体" w:hAnsi="宋体" w:eastAsia="宋体"/>
          <w:color w:val="auto"/>
          <w:sz w:val="24"/>
        </w:rPr>
        <w:t>变更和解释</w:t>
      </w:r>
      <w:r>
        <w:rPr>
          <w:rFonts w:hint="eastAsia" w:ascii="宋体" w:hAnsi="宋体" w:eastAsia="宋体"/>
          <w:color w:val="auto"/>
          <w:sz w:val="24"/>
        </w:rPr>
        <w:t>；</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2.17.2 </w:t>
      </w:r>
      <w:r>
        <w:rPr>
          <w:rFonts w:hint="eastAsia" w:ascii="宋体" w:hAnsi="宋体" w:eastAsia="宋体"/>
          <w:color w:val="auto"/>
          <w:sz w:val="24"/>
        </w:rPr>
        <w:t>合同适用</w:t>
      </w:r>
      <w:r>
        <w:rPr>
          <w:rFonts w:ascii="宋体" w:hAnsi="宋体" w:eastAsia="宋体"/>
          <w:color w:val="auto"/>
          <w:sz w:val="24"/>
        </w:rPr>
        <w:t>中华人民共和国法律。</w:t>
      </w:r>
    </w:p>
    <w:p>
      <w:pPr>
        <w:spacing w:line="560" w:lineRule="exact"/>
        <w:ind w:firstLine="482" w:firstLineChars="200"/>
        <w:outlineLvl w:val="0"/>
        <w:rPr>
          <w:rFonts w:ascii="宋体" w:hAnsi="宋体" w:eastAsia="宋体"/>
          <w:b/>
          <w:color w:val="auto"/>
          <w:sz w:val="24"/>
        </w:rPr>
      </w:pPr>
      <w:bookmarkStart w:id="488" w:name="_Toc27403"/>
      <w:bookmarkStart w:id="489" w:name="_Toc1492"/>
      <w:bookmarkStart w:id="490" w:name="_Toc22266"/>
      <w:bookmarkStart w:id="491" w:name="_Toc27127"/>
      <w:bookmarkStart w:id="492" w:name="_Toc30096"/>
      <w:r>
        <w:rPr>
          <w:rFonts w:ascii="宋体" w:hAnsi="宋体" w:eastAsia="宋体"/>
          <w:b/>
          <w:color w:val="auto"/>
          <w:sz w:val="24"/>
        </w:rPr>
        <w:t>2.18 履约保证金</w:t>
      </w:r>
      <w:bookmarkEnd w:id="488"/>
      <w:bookmarkEnd w:id="489"/>
      <w:bookmarkEnd w:id="490"/>
      <w:bookmarkEnd w:id="491"/>
      <w:bookmarkEnd w:id="492"/>
    </w:p>
    <w:p>
      <w:pPr>
        <w:pStyle w:val="623"/>
        <w:spacing w:before="0" w:beforeAutospacing="0" w:after="0" w:afterAutospacing="0" w:line="360" w:lineRule="auto"/>
        <w:ind w:firstLine="420"/>
        <w:rPr>
          <w:rFonts w:ascii="宋体" w:hAnsi="宋体" w:eastAsia="宋体"/>
          <w:color w:val="auto"/>
        </w:rPr>
      </w:pPr>
      <w:r>
        <w:rPr>
          <w:rFonts w:ascii="宋体" w:hAnsi="宋体" w:eastAsia="宋体"/>
          <w:color w:val="auto"/>
        </w:rPr>
        <w:t xml:space="preserve">2.18.1 </w:t>
      </w:r>
      <w:r>
        <w:rPr>
          <w:rFonts w:hint="eastAsia" w:ascii="宋体" w:hAnsi="宋体" w:eastAsia="宋体"/>
          <w:color w:val="auto"/>
        </w:rPr>
        <w:t>采购文件要求乙方提交履约保证金的，乙方应按</w:t>
      </w:r>
      <w:r>
        <w:rPr>
          <w:rFonts w:hint="eastAsia" w:ascii="宋体" w:hAnsi="宋体" w:eastAsia="宋体"/>
          <w:b/>
          <w:i/>
          <w:color w:val="auto"/>
          <w:u w:val="single"/>
        </w:rPr>
        <w:t>合同专用条款</w:t>
      </w:r>
      <w:r>
        <w:rPr>
          <w:rFonts w:hint="eastAsia" w:ascii="宋体" w:hAnsi="宋体" w:eastAsia="宋体"/>
          <w:color w:val="auto"/>
        </w:rPr>
        <w:t>约定的方式，以支票、汇票、本票或者金融机构、担保机构出具的保函等非现金形式，提交不超过合同金额</w:t>
      </w:r>
      <w:r>
        <w:rPr>
          <w:rFonts w:ascii="宋体" w:hAnsi="宋体" w:eastAsia="宋体"/>
          <w:color w:val="auto"/>
        </w:rPr>
        <w:t>1%的履约保证金；鼓励和支持乙方以银行、保险公司出具的保函形式提供履约保证</w:t>
      </w:r>
      <w:r>
        <w:rPr>
          <w:rFonts w:hint="eastAsia" w:ascii="宋体" w:hAnsi="宋体" w:eastAsia="宋体"/>
          <w:color w:val="auto"/>
        </w:rPr>
        <w:t>，乙方以银行、保险公司出具保函形式提交履约保证金的，甲方不得拒收。</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2.18.2  </w:t>
      </w:r>
      <w:r>
        <w:rPr>
          <w:rFonts w:hint="eastAsia" w:ascii="宋体" w:hAnsi="宋体" w:eastAsia="宋体"/>
          <w:color w:val="auto"/>
          <w:sz w:val="24"/>
        </w:rPr>
        <w:t>甲方在项目验收结束后及时退还履约保证金。</w:t>
      </w:r>
      <w:r>
        <w:rPr>
          <w:rFonts w:hint="eastAsia" w:ascii="宋体" w:hAnsi="宋体" w:cs="宋体"/>
          <w:color w:val="auto"/>
          <w:sz w:val="24"/>
        </w:rPr>
        <w:t>甲方在项目通过验收之日起</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个工作日内将履约保证金退还乙方，逾期退还的，</w:t>
      </w:r>
      <w:r>
        <w:rPr>
          <w:rFonts w:hint="eastAsia" w:ascii="宋体" w:hAnsi="宋体" w:eastAsia="宋体"/>
          <w:color w:val="auto"/>
          <w:sz w:val="24"/>
        </w:rPr>
        <w:t>乙方可要求甲方支付违约金，违约金按每迟延退还一日的应退还而未退还金额的</w:t>
      </w:r>
      <w:r>
        <w:rPr>
          <w:rFonts w:ascii="宋体" w:hAnsi="宋体" w:eastAsia="宋体"/>
          <w:color w:val="auto"/>
          <w:sz w:val="24"/>
          <w:u w:val="single"/>
        </w:rPr>
        <w:t xml:space="preserve">  0.05  </w:t>
      </w:r>
      <w:r>
        <w:rPr>
          <w:rFonts w:ascii="宋体" w:hAnsi="宋体" w:eastAsia="宋体"/>
          <w:color w:val="auto"/>
          <w:sz w:val="24"/>
        </w:rPr>
        <w:t>%计算，最高限额为本合同履约保证金的</w:t>
      </w:r>
      <w:r>
        <w:rPr>
          <w:rFonts w:ascii="宋体" w:hAnsi="宋体" w:eastAsia="宋体"/>
          <w:color w:val="auto"/>
          <w:sz w:val="24"/>
          <w:u w:val="single"/>
        </w:rPr>
        <w:t xml:space="preserve">  20   </w:t>
      </w:r>
      <w:r>
        <w:rPr>
          <w:rFonts w:ascii="宋体" w:hAnsi="宋体" w:eastAsia="宋体"/>
          <w:color w:val="auto"/>
          <w:sz w:val="24"/>
        </w:rPr>
        <w:t xml:space="preserve">%； </w:t>
      </w:r>
    </w:p>
    <w:p>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2.18.3 </w:t>
      </w:r>
      <w:r>
        <w:rPr>
          <w:rFonts w:hint="eastAsia" w:ascii="宋体" w:hAnsi="宋体" w:eastAsia="宋体"/>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eastAsia="宋体"/>
          <w:color w:val="auto"/>
        </w:rPr>
      </w:pPr>
      <w:r>
        <w:rPr>
          <w:rFonts w:ascii="宋体" w:hAnsi="宋体" w:eastAsia="宋体"/>
          <w:color w:val="auto"/>
          <w:sz w:val="24"/>
        </w:rPr>
        <w:t>2.18.4</w:t>
      </w:r>
      <w:r>
        <w:rPr>
          <w:rFonts w:hint="eastAsia" w:ascii="宋体" w:hAnsi="宋体" w:eastAsia="宋体"/>
          <w:color w:val="auto"/>
          <w:sz w:val="24"/>
        </w:rPr>
        <w:t> 甲方</w:t>
      </w:r>
      <w:r>
        <w:rPr>
          <w:rFonts w:ascii="宋体" w:hAnsi="宋体" w:eastAsia="宋体"/>
          <w:color w:val="auto"/>
          <w:sz w:val="24"/>
        </w:rPr>
        <w:t>在</w:t>
      </w:r>
      <w:r>
        <w:rPr>
          <w:rFonts w:hint="eastAsia" w:ascii="宋体" w:hAnsi="宋体" w:eastAsia="宋体"/>
          <w:color w:val="auto"/>
          <w:sz w:val="24"/>
        </w:rPr>
        <w:t>乙方</w:t>
      </w:r>
      <w:r>
        <w:rPr>
          <w:rFonts w:ascii="宋体" w:hAnsi="宋体" w:eastAsia="宋体"/>
          <w:color w:val="auto"/>
          <w:sz w:val="24"/>
        </w:rPr>
        <w:t>履行完合同约定义务事项后及时退还，延迟退还的，应当按照合同约定和法律规定承担相应的赔偿责任。</w:t>
      </w:r>
    </w:p>
    <w:p>
      <w:pPr>
        <w:spacing w:line="560" w:lineRule="exact"/>
        <w:ind w:firstLine="482" w:firstLineChars="200"/>
        <w:rPr>
          <w:rFonts w:ascii="宋体" w:hAnsi="宋体" w:eastAsia="宋体"/>
          <w:color w:val="auto"/>
          <w:sz w:val="24"/>
        </w:rPr>
      </w:pPr>
      <w:r>
        <w:rPr>
          <w:rFonts w:ascii="宋体" w:hAnsi="宋体" w:eastAsia="宋体"/>
          <w:b/>
          <w:bCs/>
          <w:color w:val="auto"/>
          <w:sz w:val="24"/>
        </w:rPr>
        <w:t>2.19</w:t>
      </w:r>
      <w:r>
        <w:rPr>
          <w:rFonts w:ascii="宋体" w:hAnsi="宋体" w:eastAsia="宋体"/>
          <w:color w:val="auto"/>
          <w:sz w:val="24"/>
        </w:rPr>
        <w:t>对于因甲方原因导致变更、中止或者终止政府采购合同的，甲方应当依照合同约定对供应商受到的损失予以赔偿或者补偿</w:t>
      </w:r>
      <w:r>
        <w:rPr>
          <w:rFonts w:hint="eastAsia" w:ascii="宋体" w:hAnsi="宋体" w:eastAsia="宋体"/>
          <w:color w:val="auto"/>
          <w:sz w:val="24"/>
        </w:rPr>
        <w:t>。</w:t>
      </w:r>
    </w:p>
    <w:p>
      <w:pPr>
        <w:spacing w:line="560" w:lineRule="exact"/>
        <w:ind w:firstLine="482" w:firstLineChars="200"/>
        <w:rPr>
          <w:rFonts w:ascii="宋体" w:hAnsi="宋体" w:eastAsia="宋体"/>
          <w:b/>
          <w:color w:val="auto"/>
          <w:sz w:val="24"/>
        </w:rPr>
      </w:pPr>
      <w:r>
        <w:rPr>
          <w:rFonts w:ascii="宋体" w:hAnsi="宋体" w:eastAsia="宋体"/>
          <w:b/>
          <w:color w:val="auto"/>
          <w:sz w:val="24"/>
        </w:rPr>
        <w:t>2.20合同份数</w:t>
      </w:r>
    </w:p>
    <w:p>
      <w:pPr>
        <w:spacing w:line="560" w:lineRule="exact"/>
        <w:ind w:firstLine="480" w:firstLineChars="200"/>
        <w:rPr>
          <w:rFonts w:ascii="宋体" w:hAnsi="宋体" w:eastAsia="宋体"/>
          <w:color w:val="auto"/>
          <w:sz w:val="24"/>
        </w:rPr>
      </w:pPr>
      <w:r>
        <w:rPr>
          <w:rFonts w:ascii="宋体" w:hAnsi="宋体" w:eastAsia="宋体"/>
          <w:color w:val="auto"/>
          <w:sz w:val="24"/>
        </w:rPr>
        <w:t>合同份数按</w:t>
      </w:r>
      <w:r>
        <w:rPr>
          <w:rFonts w:ascii="宋体" w:hAnsi="宋体" w:eastAsia="宋体"/>
          <w:b/>
          <w:i/>
          <w:color w:val="auto"/>
          <w:sz w:val="24"/>
          <w:u w:val="single"/>
        </w:rPr>
        <w:t>合同专用条款</w:t>
      </w:r>
      <w:r>
        <w:rPr>
          <w:rFonts w:ascii="宋体" w:hAnsi="宋体" w:eastAsia="宋体"/>
          <w:color w:val="auto"/>
          <w:sz w:val="24"/>
        </w:rPr>
        <w:t>规定</w:t>
      </w:r>
      <w:r>
        <w:rPr>
          <w:rFonts w:hint="eastAsia" w:ascii="宋体" w:hAnsi="宋体" w:eastAsia="宋体"/>
          <w:color w:val="auto"/>
          <w:sz w:val="24"/>
        </w:rPr>
        <w:t>，</w:t>
      </w:r>
      <w:r>
        <w:rPr>
          <w:rFonts w:ascii="宋体" w:hAnsi="宋体" w:eastAsia="宋体"/>
          <w:color w:val="auto"/>
          <w:sz w:val="24"/>
        </w:rPr>
        <w:t>每份均具有同等法律效力</w:t>
      </w:r>
      <w:r>
        <w:rPr>
          <w:rFonts w:hint="eastAsia" w:ascii="宋体" w:hAnsi="宋体" w:eastAsia="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493" w:name="_Toc331685784"/>
      <w:r>
        <w:rPr>
          <w:rFonts w:hint="eastAsia" w:ascii="宋体" w:hAnsi="宋体" w:cs="宋体"/>
          <w:b/>
          <w:color w:val="auto"/>
          <w:sz w:val="24"/>
        </w:rPr>
        <w:t xml:space="preserve"> </w:t>
      </w:r>
      <w:bookmarkEnd w:id="493"/>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27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1.4.4</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1.6.7</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8275"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275"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275" w:type="dxa"/>
            <w:vAlign w:val="top"/>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.1</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w:t>
            </w:r>
            <w:r>
              <w:rPr>
                <w:rFonts w:ascii="宋体" w:hAnsi="宋体" w:cs="宋体"/>
                <w:color w:val="auto"/>
                <w:sz w:val="24"/>
              </w:rPr>
              <w:t>2</w:t>
            </w:r>
          </w:p>
        </w:tc>
        <w:tc>
          <w:tcPr>
            <w:tcW w:w="8275"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宋体" w:hAnsi="宋体" w:cs="宋体"/>
                <w:color w:val="auto"/>
                <w:sz w:val="24"/>
              </w:rPr>
            </w:pPr>
            <w:r>
              <w:rPr>
                <w:rFonts w:hint="eastAsia" w:ascii="宋体" w:hAnsi="宋体" w:cs="宋体"/>
                <w:color w:val="auto"/>
                <w:sz w:val="24"/>
              </w:rPr>
              <w:t>2.20</w:t>
            </w:r>
          </w:p>
        </w:tc>
        <w:tc>
          <w:tcPr>
            <w:tcW w:w="8275" w:type="dxa"/>
            <w:vAlign w:val="top"/>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注：中标后根据双方需求结合招标文件及投标文件签订。</w:t>
      </w:r>
    </w:p>
    <w:p>
      <w:pPr>
        <w:spacing w:line="360" w:lineRule="auto"/>
        <w:ind w:left="-420" w:leftChars="-200" w:right="-420" w:rightChars="-200"/>
        <w:rPr>
          <w:rFonts w:ascii="宋体" w:hAnsi="宋体" w:cs="宋体"/>
          <w:color w:val="auto"/>
          <w:sz w:val="24"/>
        </w:rPr>
      </w:pPr>
    </w:p>
    <w:p>
      <w:pPr>
        <w:spacing w:line="240" w:lineRule="auto"/>
        <w:ind w:left="0" w:leftChars="0" w:right="0" w:rightChars="0" w:firstLine="0" w:firstLineChars="0"/>
        <w:jc w:val="left"/>
        <w:outlineLvl w:val="9"/>
      </w:pPr>
    </w:p>
    <w:p>
      <w:pPr>
        <w:spacing w:line="240" w:lineRule="auto"/>
        <w:ind w:left="0" w:leftChars="0" w:right="0" w:rightChars="0" w:firstLine="0" w:firstLineChars="0"/>
        <w:jc w:val="left"/>
        <w:outlineLvl w:val="9"/>
      </w:pP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spacing w:line="360" w:lineRule="auto"/>
        <w:jc w:val="center"/>
        <w:outlineLvl w:val="0"/>
        <w:rPr>
          <w:rFonts w:hint="eastAsia" w:ascii="宋体" w:hAnsi="宋体" w:cs="宋体"/>
          <w:b/>
          <w:color w:val="auto"/>
          <w:sz w:val="36"/>
          <w:szCs w:val="20"/>
        </w:rPr>
      </w:pPr>
    </w:p>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80"/>
      <w:r>
        <w:rPr>
          <w:rFonts w:hint="eastAsia" w:ascii="宋体" w:hAnsi="宋体" w:cs="宋体"/>
          <w:b/>
          <w:color w:val="auto"/>
          <w:sz w:val="36"/>
          <w:szCs w:val="20"/>
        </w:rPr>
        <w:t xml:space="preserve"> </w:t>
      </w:r>
      <w:bookmarkEnd w:id="381"/>
      <w:r>
        <w:rPr>
          <w:rFonts w:hint="eastAsia" w:ascii="宋体" w:hAnsi="宋体" w:cs="宋体"/>
          <w:b/>
          <w:color w:val="auto"/>
          <w:sz w:val="36"/>
          <w:szCs w:val="20"/>
        </w:rPr>
        <w:t>应提交的有关格式范例</w:t>
      </w:r>
    </w:p>
    <w:p>
      <w:pPr>
        <w:spacing w:line="240" w:lineRule="auto"/>
        <w:jc w:val="left"/>
        <w:outlineLvl w:val="9"/>
      </w:pPr>
    </w:p>
    <w:p>
      <w:pPr>
        <w:spacing w:line="240" w:lineRule="auto"/>
        <w:jc w:val="center"/>
        <w:rPr>
          <w:rFonts w:hint="eastAsia"/>
          <w:sz w:val="36"/>
          <w:szCs w:val="36"/>
          <w:highlight w:val="none"/>
        </w:rPr>
      </w:pPr>
    </w:p>
    <w:p>
      <w:pPr>
        <w:spacing w:line="240" w:lineRule="auto"/>
        <w:jc w:val="center"/>
        <w:rPr>
          <w:rFonts w:hint="eastAsia"/>
          <w:sz w:val="36"/>
          <w:szCs w:val="36"/>
          <w:highlight w:val="none"/>
        </w:rPr>
      </w:pPr>
    </w:p>
    <w:p>
      <w:pPr>
        <w:spacing w:line="240" w:lineRule="auto"/>
        <w:jc w:val="center"/>
        <w:rPr>
          <w:sz w:val="36"/>
          <w:szCs w:val="36"/>
          <w:highlight w:val="none"/>
        </w:rPr>
      </w:pPr>
      <w:r>
        <w:rPr>
          <w:rFonts w:hint="eastAsia"/>
          <w:sz w:val="36"/>
          <w:szCs w:val="36"/>
          <w:highlight w:val="none"/>
        </w:rPr>
        <w:t>电子备份投标文件的外包装封面格式</w:t>
      </w:r>
    </w:p>
    <w:p>
      <w:pPr>
        <w:spacing w:line="240" w:lineRule="auto"/>
        <w:jc w:val="both"/>
        <w:rPr>
          <w:sz w:val="36"/>
          <w:szCs w:val="36"/>
          <w:highlight w:val="none"/>
        </w:rPr>
      </w:pPr>
    </w:p>
    <w:p>
      <w:pPr>
        <w:spacing w:line="240" w:lineRule="auto"/>
        <w:jc w:val="center"/>
        <w:rPr>
          <w:sz w:val="36"/>
          <w:szCs w:val="36"/>
          <w:highlight w:val="none"/>
        </w:rPr>
      </w:pPr>
      <w:bookmarkStart w:id="494" w:name="_Toc13184"/>
      <w:r>
        <w:rPr>
          <w:rFonts w:hint="eastAsia"/>
          <w:sz w:val="36"/>
          <w:szCs w:val="36"/>
          <w:highlight w:val="none"/>
        </w:rPr>
        <w:t>电子备份投标文件</w:t>
      </w:r>
      <w:bookmarkEnd w:id="494"/>
    </w:p>
    <w:p>
      <w:pPr>
        <w:spacing w:line="240" w:lineRule="auto"/>
        <w:jc w:val="center"/>
        <w:rPr>
          <w:sz w:val="36"/>
          <w:szCs w:val="36"/>
          <w:highlight w:val="none"/>
        </w:rPr>
      </w:pPr>
    </w:p>
    <w:p>
      <w:pPr>
        <w:spacing w:line="240" w:lineRule="auto"/>
        <w:jc w:val="center"/>
        <w:rPr>
          <w:sz w:val="36"/>
          <w:szCs w:val="36"/>
          <w:highlight w:val="none"/>
        </w:rPr>
      </w:pPr>
      <w:bookmarkStart w:id="495" w:name="_Toc18701"/>
      <w:r>
        <w:rPr>
          <w:rFonts w:hint="eastAsia"/>
          <w:sz w:val="36"/>
          <w:szCs w:val="36"/>
          <w:highlight w:val="none"/>
        </w:rPr>
        <w:t>项目名称：</w:t>
      </w:r>
      <w:bookmarkEnd w:id="495"/>
    </w:p>
    <w:p>
      <w:pPr>
        <w:spacing w:line="240" w:lineRule="auto"/>
        <w:jc w:val="center"/>
        <w:rPr>
          <w:sz w:val="36"/>
          <w:szCs w:val="36"/>
          <w:highlight w:val="none"/>
        </w:rPr>
      </w:pPr>
    </w:p>
    <w:p>
      <w:pPr>
        <w:spacing w:line="240" w:lineRule="auto"/>
        <w:jc w:val="center"/>
        <w:rPr>
          <w:sz w:val="36"/>
          <w:szCs w:val="36"/>
          <w:highlight w:val="none"/>
        </w:rPr>
      </w:pPr>
      <w:bookmarkStart w:id="496" w:name="_Toc20693"/>
      <w:r>
        <w:rPr>
          <w:rFonts w:hint="eastAsia"/>
          <w:sz w:val="36"/>
          <w:szCs w:val="36"/>
          <w:highlight w:val="none"/>
        </w:rPr>
        <w:t>项目编号：</w:t>
      </w:r>
      <w:bookmarkEnd w:id="496"/>
    </w:p>
    <w:p>
      <w:pPr>
        <w:spacing w:line="240" w:lineRule="auto"/>
        <w:jc w:val="both"/>
        <w:rPr>
          <w:sz w:val="36"/>
          <w:szCs w:val="36"/>
          <w:highlight w:val="none"/>
        </w:rPr>
      </w:pPr>
    </w:p>
    <w:p>
      <w:pPr>
        <w:spacing w:line="240" w:lineRule="auto"/>
        <w:jc w:val="center"/>
        <w:rPr>
          <w:sz w:val="36"/>
          <w:szCs w:val="36"/>
          <w:highlight w:val="none"/>
        </w:rPr>
      </w:pPr>
    </w:p>
    <w:p>
      <w:pPr>
        <w:spacing w:line="240" w:lineRule="auto"/>
        <w:jc w:val="center"/>
        <w:rPr>
          <w:sz w:val="36"/>
          <w:szCs w:val="36"/>
          <w:highlight w:val="none"/>
        </w:rPr>
      </w:pPr>
      <w:bookmarkStart w:id="497" w:name="_Toc27616"/>
      <w:r>
        <w:rPr>
          <w:rFonts w:hint="eastAsia"/>
          <w:sz w:val="36"/>
          <w:szCs w:val="36"/>
          <w:highlight w:val="none"/>
        </w:rPr>
        <w:t>投标人名称：（盖章）</w:t>
      </w:r>
      <w:bookmarkEnd w:id="497"/>
    </w:p>
    <w:p>
      <w:pPr>
        <w:spacing w:line="240" w:lineRule="auto"/>
        <w:jc w:val="center"/>
        <w:rPr>
          <w:sz w:val="36"/>
          <w:szCs w:val="36"/>
          <w:highlight w:val="none"/>
        </w:rPr>
      </w:pPr>
    </w:p>
    <w:p>
      <w:pPr>
        <w:spacing w:line="240" w:lineRule="auto"/>
        <w:jc w:val="center"/>
        <w:rPr>
          <w:sz w:val="36"/>
          <w:szCs w:val="36"/>
          <w:highlight w:val="none"/>
        </w:rPr>
      </w:pPr>
      <w:bookmarkStart w:id="498" w:name="_Toc8328"/>
      <w:r>
        <w:rPr>
          <w:rFonts w:hint="eastAsia"/>
          <w:sz w:val="36"/>
          <w:szCs w:val="36"/>
          <w:highlight w:val="none"/>
        </w:rPr>
        <w:t>投标人地址：</w:t>
      </w:r>
      <w:bookmarkEnd w:id="498"/>
    </w:p>
    <w:p>
      <w:pPr>
        <w:spacing w:line="240" w:lineRule="auto"/>
        <w:jc w:val="center"/>
        <w:rPr>
          <w:sz w:val="36"/>
          <w:szCs w:val="36"/>
          <w:highlight w:val="none"/>
        </w:rPr>
      </w:pPr>
    </w:p>
    <w:p>
      <w:pPr>
        <w:spacing w:line="240" w:lineRule="auto"/>
        <w:jc w:val="center"/>
        <w:rPr>
          <w:sz w:val="36"/>
          <w:szCs w:val="36"/>
          <w:highlight w:val="none"/>
        </w:rPr>
      </w:pPr>
      <w:bookmarkStart w:id="499"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499"/>
    </w:p>
    <w:p>
      <w:pPr>
        <w:spacing w:line="240" w:lineRule="auto"/>
        <w:jc w:val="center"/>
        <w:rPr>
          <w:sz w:val="36"/>
          <w:szCs w:val="36"/>
          <w:highlight w:val="none"/>
        </w:rPr>
      </w:pPr>
    </w:p>
    <w:p>
      <w:pPr>
        <w:spacing w:line="240" w:lineRule="auto"/>
        <w:jc w:val="center"/>
        <w:rPr>
          <w:rFonts w:ascii="仿宋" w:hAnsi="仿宋" w:eastAsia="仿宋" w:cs="仿宋"/>
          <w:b/>
          <w:bCs/>
          <w:color w:val="auto"/>
          <w:szCs w:val="48"/>
          <w:highlight w:val="none"/>
        </w:rPr>
      </w:pPr>
      <w:bookmarkStart w:id="500"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500"/>
    </w:p>
    <w:p>
      <w:pPr>
        <w:jc w:val="left"/>
        <w:rPr>
          <w:highlight w:val="none"/>
        </w:rPr>
      </w:pPr>
    </w:p>
    <w:p>
      <w:pPr>
        <w:spacing w:line="360" w:lineRule="auto"/>
        <w:jc w:val="center"/>
        <w:outlineLvl w:val="9"/>
        <w:rPr>
          <w:rFonts w:hint="eastAsia" w:ascii="宋体" w:hAnsi="宋体" w:eastAsia="宋体" w:cs="宋体"/>
          <w:b/>
          <w:color w:val="auto"/>
          <w:kern w:val="0"/>
          <w:sz w:val="44"/>
          <w:szCs w:val="44"/>
          <w:highlight w:val="none"/>
        </w:rPr>
      </w:pPr>
    </w:p>
    <w:p>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pPr>
        <w:spacing w:line="360" w:lineRule="auto"/>
        <w:jc w:val="left"/>
        <w:outlineLvl w:val="9"/>
        <w:rPr>
          <w:highlight w:val="none"/>
        </w:rPr>
      </w:pPr>
    </w:p>
    <w:p>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pPr>
        <w:shd w:val="clear" w:color="000000" w:fill="auto"/>
        <w:snapToGrid/>
        <w:spacing w:line="360" w:lineRule="auto"/>
        <w:jc w:val="left"/>
        <w:outlineLvl w:val="9"/>
        <w:rPr>
          <w:rFonts w:hint="eastAsia" w:ascii="宋体" w:hAnsi="宋体" w:eastAsia="宋体" w:cs="宋体"/>
          <w:highlight w:val="none"/>
        </w:rPr>
      </w:pPr>
    </w:p>
    <w:p>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pPr>
        <w:spacing w:line="360" w:lineRule="auto"/>
        <w:jc w:val="center"/>
        <w:rPr>
          <w:rFonts w:hint="eastAsia" w:ascii="宋体" w:hAnsi="宋体" w:eastAsia="宋体" w:cs="宋体"/>
          <w:b/>
          <w:bCs/>
          <w:sz w:val="32"/>
          <w:szCs w:val="32"/>
          <w:highlight w:val="none"/>
        </w:rPr>
      </w:pPr>
    </w:p>
    <w:p>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napToGrid w:val="0"/>
        <w:spacing w:line="360" w:lineRule="auto"/>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pacing w:line="360" w:lineRule="auto"/>
        <w:jc w:val="center"/>
        <w:outlineLvl w:val="0"/>
        <w:rPr>
          <w:rFonts w:hint="eastAsia" w:ascii="宋体" w:hAnsi="宋体" w:cs="宋体"/>
          <w:b/>
          <w:color w:val="auto"/>
          <w:kern w:val="0"/>
          <w:sz w:val="36"/>
          <w:szCs w:val="36"/>
        </w:rPr>
      </w:pPr>
      <w:r>
        <w:rPr>
          <w:rFonts w:hint="eastAsia" w:ascii="宋体" w:hAnsi="宋体" w:eastAsia="宋体" w:cs="宋体"/>
          <w:color w:val="auto"/>
          <w:sz w:val="32"/>
          <w:szCs w:val="32"/>
          <w:highlight w:val="none"/>
        </w:rPr>
        <w:t>年   月   日</w:t>
      </w:r>
    </w:p>
    <w:p>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2"/>
        <w:rPr>
          <w:rFonts w:ascii="宋体" w:hAnsi="宋体" w:cs="宋体"/>
          <w:b/>
          <w:color w:val="auto"/>
          <w:kern w:val="0"/>
          <w:sz w:val="32"/>
          <w:szCs w:val="32"/>
        </w:rPr>
      </w:pPr>
    </w:p>
    <w:p>
      <w:pPr>
        <w:pStyle w:val="2"/>
        <w:rPr>
          <w:rFonts w:ascii="宋体" w:hAnsi="宋体" w:cs="宋体"/>
          <w:b/>
          <w:color w:val="auto"/>
          <w:kern w:val="0"/>
          <w:sz w:val="32"/>
          <w:szCs w:val="32"/>
        </w:rPr>
      </w:pPr>
    </w:p>
    <w:p>
      <w:pPr>
        <w:pStyle w:val="2"/>
        <w:rPr>
          <w:rFonts w:ascii="宋体" w:hAnsi="宋体" w:cs="宋体"/>
          <w:b/>
          <w:color w:val="auto"/>
          <w:kern w:val="0"/>
          <w:sz w:val="32"/>
          <w:szCs w:val="32"/>
        </w:rPr>
      </w:pPr>
    </w:p>
    <w:p>
      <w:pPr>
        <w:pStyle w:val="2"/>
        <w:rPr>
          <w:rFonts w:ascii="宋体" w:hAnsi="宋体" w:cs="宋体"/>
          <w:b/>
          <w:color w:val="auto"/>
          <w:kern w:val="0"/>
          <w:sz w:val="32"/>
          <w:szCs w:val="32"/>
        </w:rPr>
      </w:pPr>
    </w:p>
    <w:p>
      <w:pPr>
        <w:widowControl/>
        <w:spacing w:beforeLines="-2147483648" w:afterLines="-2147483648"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pPr>
        <w:snapToGrid w:val="0"/>
        <w:spacing w:line="360" w:lineRule="auto"/>
        <w:ind w:right="480"/>
        <w:jc w:val="center"/>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pStyle w:val="84"/>
        <w:rPr>
          <w:rFonts w:ascii="宋体" w:hAnsi="宋体" w:cs="宋体"/>
          <w:b/>
          <w:kern w:val="0"/>
          <w:sz w:val="32"/>
          <w:szCs w:val="32"/>
        </w:rPr>
      </w:pPr>
    </w:p>
    <w:p>
      <w:pPr>
        <w:snapToGrid/>
        <w:spacing w:line="240" w:lineRule="auto"/>
        <w:ind w:righ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72" w:firstLineChars="196"/>
        <w:jc w:val="left"/>
        <w:rPr>
          <w:rFonts w:hint="eastAsia" w:ascii="宋体" w:hAnsi="宋体" w:cs="宋体"/>
          <w:b/>
          <w:color w:val="FF0000"/>
          <w:sz w:val="24"/>
        </w:rPr>
      </w:pPr>
      <w:r>
        <w:rPr>
          <w:rFonts w:hint="eastAsia" w:ascii="宋体" w:hAnsi="宋体" w:eastAsia="宋体" w:cs="宋体"/>
          <w:b/>
          <w:bCs/>
          <w:color w:val="FF0000"/>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FF0000"/>
          <w:sz w:val="24"/>
          <w:highlight w:val="none"/>
        </w:rPr>
        <w:t>；</w:t>
      </w:r>
      <w:r>
        <w:rPr>
          <w:rFonts w:hint="eastAsia" w:ascii="宋体" w:hAnsi="宋体" w:eastAsia="宋体" w:cs="宋体"/>
          <w:b/>
          <w:bCs/>
          <w:color w:val="FF0000"/>
          <w:sz w:val="24"/>
          <w:highlight w:val="none"/>
          <w:lang w:eastAsia="zh-CN"/>
        </w:rPr>
        <w:t>投标时提供中小企业</w:t>
      </w:r>
      <w:r>
        <w:rPr>
          <w:rFonts w:hint="eastAsia" w:ascii="宋体" w:hAnsi="宋体" w:cs="宋体"/>
          <w:b/>
          <w:bCs/>
          <w:color w:val="FF0000"/>
          <w:sz w:val="24"/>
          <w:highlight w:val="none"/>
          <w:lang w:eastAsia="zh-CN"/>
        </w:rPr>
        <w:t>声</w:t>
      </w:r>
      <w:r>
        <w:rPr>
          <w:rFonts w:hint="eastAsia" w:ascii="宋体" w:hAnsi="宋体" w:eastAsia="宋体" w:cs="宋体"/>
          <w:b/>
          <w:bCs/>
          <w:color w:val="FF0000"/>
          <w:sz w:val="24"/>
          <w:highlight w:val="none"/>
          <w:lang w:eastAsia="zh-CN"/>
        </w:rPr>
        <w:t>明函（格式后附），否则其投标文件作无效投标处理</w:t>
      </w:r>
      <w:r>
        <w:rPr>
          <w:rFonts w:hint="eastAsia" w:ascii="宋体" w:hAnsi="宋体" w:cs="宋体"/>
          <w:snapToGrid w:val="0"/>
          <w:color w:val="FF0000"/>
          <w:kern w:val="28"/>
          <w:sz w:val="24"/>
          <w:szCs w:val="20"/>
          <w:highlight w:val="none"/>
          <w:lang w:eastAsia="zh-CN"/>
        </w:rPr>
        <w:t>；</w:t>
      </w:r>
    </w:p>
    <w:p>
      <w:pPr>
        <w:pStyle w:val="84"/>
        <w:rPr>
          <w:rFonts w:ascii="宋体" w:hAnsi="宋体" w:cs="宋体"/>
          <w:b/>
          <w:bCs/>
          <w:color w:val="FF0000"/>
          <w:sz w:val="24"/>
        </w:rPr>
      </w:pPr>
    </w:p>
    <w:p>
      <w:pPr>
        <w:pStyle w:val="84"/>
        <w:rPr>
          <w:rFonts w:ascii="宋体" w:hAnsi="宋体" w:cs="宋体"/>
          <w:b/>
          <w:bCs/>
          <w:color w:val="FF0000"/>
          <w:sz w:val="24"/>
        </w:rPr>
      </w:pPr>
    </w:p>
    <w:p>
      <w:pPr>
        <w:widowControl/>
        <w:snapToGrid/>
        <w:spacing w:before="0" w:after="0" w:line="360" w:lineRule="auto"/>
        <w:ind w:firstLine="472" w:firstLineChars="196"/>
        <w:jc w:val="left"/>
        <w:rPr>
          <w:rFonts w:hint="eastAsia" w:ascii="宋体" w:hAnsi="宋体" w:cs="宋体"/>
          <w:b/>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b/>
          <w:sz w:val="24"/>
        </w:rPr>
      </w:pP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spacing w:line="360" w:lineRule="auto"/>
        <w:ind w:right="420" w:firstLine="720" w:firstLineChars="300"/>
        <w:rPr>
          <w:rFonts w:ascii="宋体" w:hAnsi="宋体" w:cs="宋体"/>
          <w:sz w:val="24"/>
        </w:rPr>
      </w:pPr>
    </w:p>
    <w:p/>
    <w:p>
      <w:pPr>
        <w:spacing w:line="240" w:lineRule="auto"/>
        <w:jc w:val="left"/>
        <w:rPr>
          <w:rFonts w:hint="eastAsia" w:ascii="宋体" w:hAnsi="宋体" w:cs="宋体"/>
          <w:b/>
          <w:color w:val="auto"/>
          <w:sz w:val="32"/>
          <w:szCs w:val="32"/>
        </w:rPr>
      </w:pPr>
      <w:r>
        <w:rPr>
          <w:rFonts w:hint="eastAsia" w:ascii="宋体" w:hAnsi="宋体" w:cs="宋体"/>
          <w:b/>
          <w:color w:val="auto"/>
          <w:sz w:val="32"/>
          <w:szCs w:val="32"/>
        </w:rPr>
        <w:br w:type="page"/>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临平区犬只收容管理服务项目</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租赁和商务服务业</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ascii="宋体" w:hAnsi="宋体" w:cs="宋体"/>
          <w:b/>
          <w:kern w:val="0"/>
          <w:sz w:val="32"/>
          <w:szCs w:val="32"/>
        </w:rPr>
      </w:pPr>
    </w:p>
    <w:p/>
    <w:p>
      <w:pPr>
        <w:rPr>
          <w:rFonts w:ascii="宋体" w:hAnsi="宋体" w:cs="宋体"/>
          <w:b/>
          <w:kern w:val="0"/>
          <w:sz w:val="32"/>
          <w:szCs w:val="32"/>
        </w:rPr>
      </w:pPr>
    </w:p>
    <w:p/>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pPr>
        <w:spacing w:line="360" w:lineRule="auto"/>
        <w:ind w:firstLine="480" w:firstLineChars="200"/>
        <w:rPr>
          <w:rFonts w:ascii="宋体" w:hAnsi="宋体" w:cs="宋体"/>
          <w:color w:val="auto"/>
          <w:sz w:val="24"/>
        </w:rPr>
      </w:pPr>
      <w:r>
        <w:rPr>
          <w:rFonts w:hint="eastAsia" w:ascii="宋体" w:hAnsi="宋体" w:cs="宋体"/>
          <w:sz w:val="24"/>
        </w:rPr>
        <w:t>（根据招标公告本项目的特定资格要求提供相应的材料；未要求的，无需提供）</w:t>
      </w:r>
    </w:p>
    <w:p>
      <w:pPr>
        <w:jc w:val="center"/>
        <w:rPr>
          <w:rFonts w:hint="default" w:ascii="宋体" w:hAnsi="宋体" w:eastAsia="宋体" w:cs="宋体"/>
          <w:b/>
          <w:color w:val="auto"/>
          <w:kern w:val="0"/>
          <w:sz w:val="32"/>
          <w:szCs w:val="32"/>
          <w:lang w:val="en-US" w:eastAsia="zh-CN"/>
        </w:rPr>
      </w:pPr>
      <w:r>
        <w:rPr>
          <w:rFonts w:hint="eastAsia" w:ascii="宋体" w:hAnsi="宋体" w:cs="宋体"/>
          <w:b/>
          <w:color w:val="auto"/>
          <w:kern w:val="0"/>
          <w:sz w:val="32"/>
          <w:szCs w:val="32"/>
          <w:lang w:val="en-US" w:eastAsia="zh-CN"/>
        </w:rPr>
        <w:t>本项目无特定资格要求，无需提供。</w:t>
      </w:r>
    </w:p>
    <w:p>
      <w:pPr>
        <w:spacing w:line="240" w:lineRule="auto"/>
        <w:jc w:val="left"/>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pPr>
        <w:spacing w:line="360" w:lineRule="auto"/>
        <w:jc w:val="left"/>
        <w:outlineLvl w:val="9"/>
        <w:rPr>
          <w:highlight w:val="none"/>
        </w:rPr>
      </w:pPr>
    </w:p>
    <w:p>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pPr>
        <w:shd w:val="clear" w:color="000000" w:fill="auto"/>
        <w:snapToGrid/>
        <w:spacing w:line="360" w:lineRule="auto"/>
        <w:jc w:val="left"/>
        <w:outlineLvl w:val="9"/>
        <w:rPr>
          <w:rFonts w:hint="eastAsia" w:ascii="宋体" w:hAnsi="宋体" w:eastAsia="宋体" w:cs="宋体"/>
          <w:highlight w:val="none"/>
        </w:rPr>
      </w:pPr>
    </w:p>
    <w:p>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pPr>
        <w:spacing w:line="360" w:lineRule="auto"/>
        <w:jc w:val="center"/>
        <w:rPr>
          <w:rFonts w:hint="eastAsia" w:ascii="宋体" w:hAnsi="宋体" w:eastAsia="宋体" w:cs="宋体"/>
          <w:b/>
          <w:bCs/>
          <w:sz w:val="32"/>
          <w:szCs w:val="32"/>
          <w:highlight w:val="none"/>
        </w:rPr>
      </w:pPr>
    </w:p>
    <w:p>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napToGrid w:val="0"/>
        <w:spacing w:line="360" w:lineRule="auto"/>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ascii="宋体" w:hAnsi="宋体" w:cs="宋体"/>
          <w:color w:val="auto"/>
        </w:rPr>
      </w:pPr>
      <w:r>
        <w:rPr>
          <w:rFonts w:hint="eastAsia" w:ascii="宋体" w:hAnsi="宋体" w:eastAsia="宋体" w:cs="宋体"/>
          <w:color w:val="auto"/>
          <w:sz w:val="32"/>
          <w:szCs w:val="32"/>
          <w:highlight w:val="none"/>
        </w:rPr>
        <w:t>年   月   日</w:t>
      </w: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pStyle w:val="4"/>
        <w:spacing w:line="360" w:lineRule="auto"/>
        <w:ind w:right="420" w:firstLine="0" w:firstLineChars="0"/>
        <w:jc w:val="center"/>
      </w:pPr>
      <w:r>
        <w:rPr>
          <w:rFonts w:hint="eastAsia"/>
        </w:rPr>
        <w:t>商务技术文件部分</w:t>
      </w:r>
    </w:p>
    <w:p>
      <w:pPr>
        <w:spacing w:line="240" w:lineRule="auto"/>
        <w:jc w:val="left"/>
        <w:outlineLvl w:val="9"/>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w:t>
      </w:r>
      <w:r>
        <w:rPr>
          <w:rFonts w:hint="eastAsia" w:ascii="宋体" w:hAnsi="宋体" w:cs="宋体"/>
          <w:color w:val="auto"/>
          <w:sz w:val="24"/>
          <w:highlight w:val="none"/>
        </w:rPr>
        <w:t>的</w:t>
      </w:r>
      <w:r>
        <w:rPr>
          <w:rFonts w:hint="eastAsia" w:ascii="宋体" w:hAnsi="宋体" w:cs="宋体"/>
          <w:b/>
          <w:bCs/>
          <w:color w:val="auto"/>
          <w:sz w:val="24"/>
          <w:highlight w:val="none"/>
          <w:u w:val="single"/>
        </w:rPr>
        <w:t>（项目名称）【招标编号：（采购编号）】</w:t>
      </w:r>
      <w:r>
        <w:rPr>
          <w:rFonts w:hint="eastAsia" w:ascii="宋体" w:hAnsi="宋体" w:cs="宋体"/>
          <w:color w:val="auto"/>
          <w:sz w:val="24"/>
          <w:highlight w:val="none"/>
        </w:rPr>
        <w:t>招标</w:t>
      </w:r>
      <w:r>
        <w:rPr>
          <w:rFonts w:hint="eastAsia" w:ascii="宋体" w:hAnsi="宋体" w:cs="宋体"/>
          <w:color w:val="auto"/>
          <w:sz w:val="24"/>
        </w:rPr>
        <w:t>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1" w:name="_Hlk101257010"/>
      <w:r>
        <w:rPr>
          <w:rFonts w:hint="eastAsia" w:ascii="宋体" w:hAnsi="宋体" w:cs="宋体"/>
          <w:color w:val="auto"/>
          <w:sz w:val="24"/>
        </w:rPr>
        <w:t>（如果有)</w:t>
      </w:r>
      <w:bookmarkEnd w:id="501"/>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hint="eastAsia" w:ascii="宋体" w:hAnsi="宋体" w:cs="宋体"/>
          <w:color w:val="auto"/>
          <w:sz w:val="24"/>
        </w:rPr>
      </w:pPr>
    </w:p>
    <w:p>
      <w:pPr>
        <w:spacing w:line="360" w:lineRule="auto"/>
        <w:ind w:firstLine="3600" w:firstLineChars="1500"/>
        <w:rPr>
          <w:rFonts w:hint="eastAsia" w:ascii="宋体" w:hAnsi="宋体" w:cs="宋体"/>
          <w:color w:val="auto"/>
          <w:sz w:val="24"/>
        </w:rPr>
      </w:pPr>
    </w:p>
    <w:p>
      <w:pPr>
        <w:spacing w:line="360" w:lineRule="auto"/>
        <w:ind w:firstLine="3600" w:firstLineChars="1500"/>
        <w:rPr>
          <w:rFonts w:hint="eastAsia" w:ascii="宋体" w:hAnsi="宋体" w:cs="宋体"/>
          <w:color w:val="auto"/>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97"/>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7"/>
              <w:adjustRightInd w:val="0"/>
              <w:spacing w:line="360" w:lineRule="auto"/>
              <w:rPr>
                <w:rFonts w:hAnsi="宋体" w:cs="宋体"/>
                <w:bCs/>
                <w:color w:val="auto"/>
                <w:sz w:val="24"/>
              </w:rPr>
            </w:pPr>
            <w:r>
              <w:rPr>
                <w:rFonts w:hint="eastAsia" w:hAnsi="宋体" w:cs="宋体"/>
                <w:bCs/>
                <w:color w:val="auto"/>
                <w:sz w:val="24"/>
              </w:rPr>
              <w:t>正面：                                 反面：</w:t>
            </w:r>
          </w:p>
          <w:p>
            <w:pPr>
              <w:pStyle w:val="97"/>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vAlign w:val="top"/>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vAlign w:val="top"/>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vAlign w:val="top"/>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jc w:val="center"/>
        <w:rPr>
          <w:rFonts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bl>
    <w:p>
      <w:pPr>
        <w:jc w:val="left"/>
        <w:rPr>
          <w:rFonts w:hint="eastAsia" w:ascii="宋体" w:hAnsi="宋体" w:cs="宋体"/>
          <w:color w:val="auto"/>
          <w:kern w:val="0"/>
          <w:sz w:val="24"/>
        </w:rPr>
      </w:pPr>
      <w:r>
        <w:rPr>
          <w:rFonts w:hint="eastAsia" w:ascii="宋体" w:hAnsi="宋体" w:cs="宋体"/>
          <w:color w:val="auto"/>
          <w:kern w:val="0"/>
          <w:sz w:val="24"/>
        </w:rPr>
        <w:t>投标人保证：我方承诺除商务技术偏离表列出的偏离外，我方响应招标文件的全部要求。对投标文件中材料的真实性、合法性负责。</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pStyle w:val="4"/>
        <w:rPr>
          <w:rFonts w:ascii="宋体" w:hAnsi="宋体" w:cs="宋体"/>
          <w:b/>
          <w:bCs/>
          <w:color w:val="auto"/>
          <w:sz w:val="32"/>
          <w:szCs w:val="32"/>
        </w:rPr>
      </w:pPr>
    </w:p>
    <w:p>
      <w:pPr>
        <w:numPr>
          <w:ilvl w:val="0"/>
          <w:numId w:val="5"/>
        </w:numPr>
        <w:jc w:val="cente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承诺书</w:t>
      </w:r>
    </w:p>
    <w:p>
      <w:pPr>
        <w:pStyle w:val="4"/>
        <w:keepNext/>
        <w:keepLines/>
        <w:widowControl w:val="0"/>
        <w:numPr>
          <w:ilvl w:val="0"/>
          <w:numId w:val="0"/>
        </w:numPr>
        <w:adjustRightInd w:val="0"/>
        <w:spacing w:line="360" w:lineRule="auto"/>
        <w:jc w:val="center"/>
        <w:outlineLvl w:val="0"/>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2" w:firstLineChars="200"/>
        <w:textAlignment w:val="auto"/>
        <w:rPr>
          <w:rFonts w:hint="eastAsia" w:ascii="宋体" w:hAnsi="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w:t>
      </w:r>
      <w:r>
        <w:rPr>
          <w:rFonts w:hint="eastAsia" w:ascii="宋体" w:hAnsi="宋体" w:cs="宋体"/>
          <w:b/>
          <w:bCs w:val="0"/>
          <w:color w:val="auto"/>
          <w:kern w:val="0"/>
          <w:sz w:val="24"/>
          <w:highlight w:val="none"/>
          <w:lang w:val="en-US" w:eastAsia="zh-CN"/>
        </w:rPr>
        <w:t>我单位承诺：</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color w:val="000000"/>
          <w:spacing w:val="0"/>
          <w:sz w:val="24"/>
          <w:szCs w:val="24"/>
          <w:highlight w:val="none"/>
        </w:rPr>
      </w:pPr>
      <w:r>
        <w:rPr>
          <w:rFonts w:hint="eastAsia" w:asciiTheme="majorEastAsia" w:hAnsiTheme="majorEastAsia" w:eastAsiaTheme="majorEastAsia" w:cstheme="majorEastAsia"/>
          <w:i w:val="0"/>
          <w:iCs w:val="0"/>
          <w:caps w:val="0"/>
          <w:color w:val="000000"/>
          <w:spacing w:val="0"/>
          <w:sz w:val="24"/>
          <w:szCs w:val="24"/>
          <w:highlight w:val="none"/>
          <w:lang w:val="en-US" w:eastAsia="zh-CN"/>
        </w:rPr>
        <w:t>场地、</w:t>
      </w:r>
      <w:r>
        <w:rPr>
          <w:rFonts w:hint="eastAsia" w:asciiTheme="majorEastAsia" w:hAnsiTheme="majorEastAsia" w:eastAsiaTheme="majorEastAsia" w:cstheme="majorEastAsia"/>
          <w:i w:val="0"/>
          <w:iCs w:val="0"/>
          <w:caps w:val="0"/>
          <w:color w:val="000000"/>
          <w:spacing w:val="0"/>
          <w:sz w:val="24"/>
          <w:szCs w:val="24"/>
          <w:highlight w:val="none"/>
        </w:rPr>
        <w:t>车辆、设备、人员要求：</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highlight w:val="none"/>
          <w:lang w:val="en-US" w:eastAsia="zh-CN"/>
        </w:rPr>
        <w:t>1.</w:t>
      </w:r>
      <w:r>
        <w:rPr>
          <w:rFonts w:hint="eastAsia" w:asciiTheme="majorEastAsia" w:hAnsiTheme="majorEastAsia" w:eastAsiaTheme="majorEastAsia" w:cstheme="majorEastAsia"/>
          <w:i w:val="0"/>
          <w:iCs w:val="0"/>
          <w:caps w:val="0"/>
          <w:color w:val="000000"/>
          <w:spacing w:val="0"/>
          <w:sz w:val="24"/>
          <w:szCs w:val="24"/>
          <w:highlight w:val="none"/>
        </w:rPr>
        <w:t>收容场所配备与项目规模相适应的场地、车辆和人员</w:t>
      </w:r>
      <w:r>
        <w:rPr>
          <w:rFonts w:hint="eastAsia" w:asciiTheme="majorEastAsia" w:hAnsiTheme="majorEastAsia" w:eastAsiaTheme="majorEastAsia" w:cstheme="majorEastAsia"/>
          <w:i w:val="0"/>
          <w:iCs w:val="0"/>
          <w:caps w:val="0"/>
          <w:color w:val="000000"/>
          <w:spacing w:val="0"/>
          <w:sz w:val="24"/>
          <w:szCs w:val="24"/>
          <w:highlight w:val="none"/>
          <w:lang w:eastAsia="zh-CN"/>
        </w:rPr>
        <w:t>，</w:t>
      </w:r>
      <w:r>
        <w:rPr>
          <w:rFonts w:hint="eastAsia" w:asciiTheme="majorEastAsia" w:hAnsiTheme="majorEastAsia" w:eastAsiaTheme="majorEastAsia" w:cstheme="majorEastAsia"/>
          <w:i w:val="0"/>
          <w:iCs w:val="0"/>
          <w:caps w:val="0"/>
          <w:color w:val="000000"/>
          <w:spacing w:val="0"/>
          <w:sz w:val="24"/>
          <w:szCs w:val="24"/>
          <w:highlight w:val="none"/>
        </w:rPr>
        <w:t>投标人配备的收容场所要</w:t>
      </w:r>
      <w:r>
        <w:rPr>
          <w:rFonts w:hint="eastAsia" w:asciiTheme="majorEastAsia" w:hAnsiTheme="majorEastAsia" w:eastAsiaTheme="majorEastAsia" w:cstheme="majorEastAsia"/>
          <w:i w:val="0"/>
          <w:iCs w:val="0"/>
          <w:caps w:val="0"/>
          <w:color w:val="000000"/>
          <w:spacing w:val="0"/>
          <w:sz w:val="24"/>
          <w:szCs w:val="24"/>
        </w:rPr>
        <w:t>求远离居民区</w:t>
      </w:r>
      <w:r>
        <w:rPr>
          <w:rFonts w:hint="eastAsia" w:asciiTheme="majorEastAsia" w:hAnsiTheme="majorEastAsia" w:eastAsiaTheme="majorEastAsia" w:cstheme="majorEastAsia"/>
          <w:i w:val="0"/>
          <w:iCs w:val="0"/>
          <w:caps w:val="0"/>
          <w:color w:val="000000"/>
          <w:spacing w:val="0"/>
          <w:sz w:val="24"/>
          <w:szCs w:val="24"/>
          <w:lang w:val="en-US" w:eastAsia="zh-CN"/>
        </w:rPr>
        <w:t>不小于1公里</w:t>
      </w:r>
      <w:r>
        <w:rPr>
          <w:rFonts w:hint="eastAsia" w:asciiTheme="majorEastAsia" w:hAnsiTheme="majorEastAsia" w:eastAsiaTheme="majorEastAsia" w:cstheme="majorEastAsia"/>
          <w:i w:val="0"/>
          <w:iCs w:val="0"/>
          <w:caps w:val="0"/>
          <w:color w:val="000000"/>
          <w:spacing w:val="0"/>
          <w:sz w:val="24"/>
          <w:szCs w:val="24"/>
        </w:rPr>
        <w:t>且不</w:t>
      </w:r>
      <w:r>
        <w:rPr>
          <w:rFonts w:hint="eastAsia" w:asciiTheme="majorEastAsia" w:hAnsiTheme="majorEastAsia" w:eastAsiaTheme="majorEastAsia" w:cstheme="majorEastAsia"/>
          <w:i w:val="0"/>
          <w:iCs w:val="0"/>
          <w:caps w:val="0"/>
          <w:color w:val="000000"/>
          <w:spacing w:val="0"/>
          <w:sz w:val="24"/>
          <w:szCs w:val="24"/>
          <w:lang w:val="en-US" w:eastAsia="zh-CN"/>
        </w:rPr>
        <w:t>少</w:t>
      </w:r>
      <w:r>
        <w:rPr>
          <w:rFonts w:hint="eastAsia" w:asciiTheme="majorEastAsia" w:hAnsiTheme="majorEastAsia" w:eastAsiaTheme="majorEastAsia" w:cstheme="majorEastAsia"/>
          <w:i w:val="0"/>
          <w:iCs w:val="0"/>
          <w:caps w:val="0"/>
          <w:color w:val="000000"/>
          <w:spacing w:val="0"/>
          <w:sz w:val="24"/>
          <w:szCs w:val="24"/>
        </w:rPr>
        <w:t>于300平方米</w:t>
      </w:r>
      <w:r>
        <w:rPr>
          <w:rFonts w:hint="eastAsia" w:asciiTheme="majorEastAsia" w:hAnsiTheme="majorEastAsia" w:eastAsiaTheme="majorEastAsia" w:cstheme="majorEastAsia"/>
          <w:i w:val="0"/>
          <w:iCs w:val="0"/>
          <w:caps w:val="0"/>
          <w:color w:val="000000"/>
          <w:spacing w:val="0"/>
          <w:sz w:val="24"/>
          <w:szCs w:val="24"/>
          <w:lang w:eastAsia="zh-CN"/>
        </w:rPr>
        <w:t>，</w:t>
      </w:r>
      <w:r>
        <w:rPr>
          <w:rFonts w:hint="eastAsia" w:asciiTheme="majorEastAsia" w:hAnsiTheme="majorEastAsia" w:eastAsiaTheme="majorEastAsia" w:cstheme="majorEastAsia"/>
          <w:i w:val="0"/>
          <w:iCs w:val="0"/>
          <w:caps w:val="0"/>
          <w:color w:val="000000"/>
          <w:spacing w:val="0"/>
          <w:sz w:val="24"/>
          <w:szCs w:val="24"/>
        </w:rPr>
        <w:t>具有100-150只收容量，能够提供犬只体检、寄养、领养、无害化处置等服务项目的犬只收容服务。</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000000"/>
          <w:spacing w:val="0"/>
          <w:sz w:val="24"/>
          <w:szCs w:val="24"/>
          <w:lang w:val="en-US" w:eastAsia="zh-CN"/>
        </w:rPr>
        <w:t>2.</w:t>
      </w:r>
      <w:r>
        <w:rPr>
          <w:rFonts w:hint="eastAsia" w:asciiTheme="majorEastAsia" w:hAnsiTheme="majorEastAsia" w:eastAsiaTheme="majorEastAsia" w:cstheme="majorEastAsia"/>
          <w:i w:val="0"/>
          <w:iCs w:val="0"/>
          <w:caps w:val="0"/>
          <w:color w:val="000000"/>
          <w:spacing w:val="0"/>
          <w:sz w:val="24"/>
          <w:szCs w:val="24"/>
        </w:rPr>
        <w:t>具备犬只收容要求的接驳车辆不少于1辆</w:t>
      </w:r>
      <w:r>
        <w:rPr>
          <w:rFonts w:hint="eastAsia" w:asciiTheme="majorEastAsia" w:hAnsiTheme="majorEastAsia" w:eastAsiaTheme="majorEastAsia" w:cstheme="majorEastAsia"/>
          <w:i w:val="0"/>
          <w:iCs w:val="0"/>
          <w:caps w:val="0"/>
          <w:color w:val="000000"/>
          <w:spacing w:val="0"/>
          <w:sz w:val="24"/>
          <w:szCs w:val="24"/>
          <w:lang w:eastAsia="zh-CN"/>
        </w:rPr>
        <w:t>，</w:t>
      </w:r>
      <w:r>
        <w:rPr>
          <w:rFonts w:hint="eastAsia" w:asciiTheme="majorEastAsia" w:hAnsiTheme="majorEastAsia" w:eastAsiaTheme="majorEastAsia" w:cstheme="majorEastAsia"/>
          <w:i w:val="0"/>
          <w:iCs w:val="0"/>
          <w:caps w:val="0"/>
          <w:color w:val="000000"/>
          <w:spacing w:val="0"/>
          <w:sz w:val="24"/>
          <w:szCs w:val="24"/>
        </w:rPr>
        <w:t>所有车辆应配备符合相应要求的驾驶人员（持有有效驾驶证）。</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color w:val="000000"/>
          <w:spacing w:val="0"/>
          <w:sz w:val="24"/>
          <w:szCs w:val="24"/>
          <w:lang w:val="en-US" w:eastAsia="zh-CN"/>
        </w:rPr>
      </w:pPr>
      <w:r>
        <w:rPr>
          <w:rFonts w:hint="eastAsia" w:asciiTheme="majorEastAsia" w:hAnsiTheme="majorEastAsia" w:eastAsiaTheme="majorEastAsia" w:cstheme="majorEastAsia"/>
          <w:i w:val="0"/>
          <w:iCs w:val="0"/>
          <w:caps w:val="0"/>
          <w:color w:val="000000"/>
          <w:spacing w:val="0"/>
          <w:sz w:val="24"/>
          <w:szCs w:val="24"/>
          <w:lang w:val="en-US" w:eastAsia="zh-CN"/>
        </w:rPr>
        <w:t>3.处置犬只必须由具有处置兽医资格证的从业人员进行处置（签订合同前明确处置人员并提供其资格证书，如不能提供则取消中标资格）。</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color w:val="000000"/>
          <w:spacing w:val="0"/>
          <w:sz w:val="24"/>
          <w:szCs w:val="24"/>
          <w:lang w:val="en-US" w:eastAsia="zh-CN"/>
        </w:rPr>
      </w:pPr>
      <w:r>
        <w:rPr>
          <w:rFonts w:hint="eastAsia" w:asciiTheme="majorEastAsia" w:hAnsiTheme="majorEastAsia" w:eastAsiaTheme="majorEastAsia" w:cstheme="majorEastAsia"/>
          <w:i w:val="0"/>
          <w:iCs w:val="0"/>
          <w:caps w:val="0"/>
          <w:color w:val="000000"/>
          <w:spacing w:val="0"/>
          <w:sz w:val="24"/>
          <w:szCs w:val="24"/>
          <w:lang w:val="en-US" w:eastAsia="zh-CN"/>
        </w:rPr>
        <w:t>4.收容场所实行24小时值班制。需配备饲养犬只管理、犬只医疗管理等管理制度台账。</w:t>
      </w:r>
    </w:p>
    <w:p>
      <w:pPr>
        <w:pStyle w:val="4"/>
        <w:jc w:val="both"/>
        <w:rPr>
          <w:rFonts w:hint="default"/>
          <w:highlight w:val="none"/>
          <w:lang w:val="en-US" w:eastAsia="zh-CN"/>
        </w:rPr>
      </w:pPr>
      <w:r>
        <w:rPr>
          <w:rFonts w:hint="eastAsia" w:asciiTheme="majorEastAsia" w:hAnsiTheme="majorEastAsia" w:eastAsiaTheme="majorEastAsia" w:cstheme="majorEastAsia"/>
          <w:i w:val="0"/>
          <w:iCs w:val="0"/>
          <w:caps w:val="0"/>
          <w:color w:val="000000"/>
          <w:spacing w:val="0"/>
          <w:sz w:val="24"/>
          <w:szCs w:val="24"/>
          <w:highlight w:val="none"/>
          <w:lang w:val="en-US" w:eastAsia="zh-CN"/>
        </w:rPr>
        <w:t xml:space="preserve">     </w:t>
      </w:r>
      <w:r>
        <w:rPr>
          <w:rFonts w:hint="eastAsia" w:ascii="宋体" w:hAnsi="宋体" w:eastAsia="宋体" w:cs="宋体"/>
          <w:b/>
          <w:bCs w:val="0"/>
          <w:color w:val="auto"/>
          <w:kern w:val="0"/>
          <w:sz w:val="24"/>
          <w:highlight w:val="none"/>
          <w:lang w:val="en-US" w:eastAsia="zh-CN"/>
        </w:rPr>
        <w:t>▲</w:t>
      </w:r>
      <w:r>
        <w:rPr>
          <w:rFonts w:hint="eastAsia" w:asciiTheme="majorEastAsia" w:hAnsiTheme="majorEastAsia" w:eastAsiaTheme="majorEastAsia" w:cstheme="majorEastAsia"/>
          <w:i w:val="0"/>
          <w:iCs w:val="0"/>
          <w:caps w:val="0"/>
          <w:color w:val="000000"/>
          <w:spacing w:val="0"/>
          <w:sz w:val="24"/>
          <w:szCs w:val="24"/>
          <w:highlight w:val="none"/>
          <w:lang w:val="en-US" w:eastAsia="zh-CN"/>
        </w:rPr>
        <w:t>场所证明材料，租赁的提供租赁合同，自有的提供自有产权证明材料。</w:t>
      </w:r>
    </w:p>
    <w:p>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eastAsia"/>
          <w:sz w:val="28"/>
          <w:szCs w:val="28"/>
          <w:highlight w:val="yellow"/>
          <w:lang w:val="en-US" w:eastAsia="zh-CN"/>
        </w:rPr>
      </w:pPr>
      <w:r>
        <w:rPr>
          <w:rFonts w:hint="eastAsia"/>
          <w:sz w:val="28"/>
          <w:szCs w:val="28"/>
          <w:highlight w:val="yellow"/>
          <w:lang w:val="en-US" w:eastAsia="zh-CN"/>
        </w:rPr>
        <w:t xml:space="preserve">   附：场地证明材料；</w:t>
      </w:r>
    </w:p>
    <w:p>
      <w:pPr>
        <w:pStyle w:val="4"/>
        <w:rPr>
          <w:rFonts w:hint="default"/>
          <w:sz w:val="28"/>
          <w:szCs w:val="28"/>
          <w:highlight w:val="yellow"/>
          <w:lang w:val="en-US" w:eastAsia="zh-CN"/>
        </w:rPr>
      </w:pPr>
    </w:p>
    <w:p>
      <w:pPr>
        <w:pStyle w:val="4"/>
        <w:jc w:val="both"/>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lang w:val="en-US" w:eastAsia="zh-CN"/>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240" w:lineRule="auto"/>
        <w:jc w:val="left"/>
        <w:rPr>
          <w:rFonts w:ascii="宋体" w:hAnsi="宋体" w:cs="宋体"/>
          <w:b/>
          <w:bCs/>
          <w:color w:val="auto"/>
          <w:sz w:val="24"/>
        </w:rPr>
      </w:pPr>
      <w:r>
        <w:rPr>
          <w:rFonts w:ascii="宋体" w:hAnsi="宋体" w:cs="宋体"/>
          <w:b/>
          <w:bCs/>
          <w:color w:val="auto"/>
          <w:sz w:val="24"/>
        </w:rPr>
        <w:br w:type="page"/>
      </w:r>
    </w:p>
    <w:p>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pPr>
        <w:spacing w:line="360" w:lineRule="auto"/>
        <w:jc w:val="left"/>
        <w:outlineLvl w:val="9"/>
        <w:rPr>
          <w:highlight w:val="none"/>
        </w:rPr>
      </w:pPr>
    </w:p>
    <w:p>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pPr>
        <w:shd w:val="clear" w:color="000000" w:fill="auto"/>
        <w:snapToGrid/>
        <w:spacing w:line="360" w:lineRule="auto"/>
        <w:jc w:val="left"/>
        <w:outlineLvl w:val="9"/>
        <w:rPr>
          <w:rFonts w:hint="eastAsia" w:ascii="宋体" w:hAnsi="宋体" w:eastAsia="宋体" w:cs="宋体"/>
          <w:highlight w:val="none"/>
        </w:rPr>
      </w:pPr>
    </w:p>
    <w:p>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pPr>
        <w:spacing w:line="360" w:lineRule="auto"/>
        <w:jc w:val="center"/>
        <w:rPr>
          <w:rFonts w:hint="eastAsia" w:ascii="宋体" w:hAnsi="宋体" w:eastAsia="宋体" w:cs="宋体"/>
          <w:b/>
          <w:bCs/>
          <w:sz w:val="32"/>
          <w:szCs w:val="32"/>
          <w:highlight w:val="none"/>
        </w:rPr>
      </w:pPr>
    </w:p>
    <w:p>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napToGrid w:val="0"/>
        <w:spacing w:line="360" w:lineRule="auto"/>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pStyle w:val="2"/>
        <w:jc w:val="cente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rPr>
        <w:t>年   月   日</w:t>
      </w:r>
    </w:p>
    <w:p>
      <w:pPr>
        <w:spacing w:line="240" w:lineRule="auto"/>
        <w:jc w:val="left"/>
        <w:outlineLvl w:val="9"/>
        <w:rPr>
          <w:rFonts w:hint="eastAsia"/>
        </w:rPr>
      </w:pPr>
    </w:p>
    <w:p>
      <w:pPr>
        <w:pStyle w:val="4"/>
        <w:spacing w:line="360" w:lineRule="auto"/>
        <w:jc w:val="center"/>
        <w:outlineLvl w:val="0"/>
      </w:pPr>
      <w:r>
        <w:rPr>
          <w:rFonts w:hint="eastAsia"/>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录</w:t>
      </w:r>
    </w:p>
    <w:p>
      <w:pPr>
        <w:spacing w:line="240" w:lineRule="auto"/>
        <w:jc w:val="left"/>
        <w:outlineLvl w:val="9"/>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）中小企业声明函</w:t>
      </w:r>
      <w:r>
        <w:rPr>
          <w:rFonts w:hint="eastAsia" w:ascii="宋体" w:hAnsi="宋体" w:cs="宋体"/>
          <w:color w:val="auto"/>
          <w:sz w:val="24"/>
          <w:lang w:eastAsia="zh-CN"/>
        </w:rPr>
        <w:t>（如需）</w:t>
      </w:r>
      <w:r>
        <w:rPr>
          <w:rFonts w:hint="eastAsia" w:ascii="宋体" w:hAnsi="宋体" w:cs="宋体"/>
          <w:color w:val="auto"/>
          <w:sz w:val="24"/>
        </w:rPr>
        <w:t>……………………………………………………（页码）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384"/>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临平区犬只收容管理服务项目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YHZFCG2024-087-1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84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56"/>
        <w:gridCol w:w="3744"/>
        <w:gridCol w:w="18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tblHeader/>
          <w:jc w:val="center"/>
        </w:trPr>
        <w:tc>
          <w:tcPr>
            <w:tcW w:w="2856" w:type="dxa"/>
            <w:tcBorders>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w:t>
            </w:r>
            <w:r>
              <w:rPr>
                <w:rFonts w:hint="eastAsia" w:ascii="宋体" w:hAnsi="宋体" w:cs="宋体"/>
                <w:b/>
                <w:bCs/>
                <w:color w:val="auto"/>
                <w:sz w:val="24"/>
                <w:szCs w:val="22"/>
                <w:highlight w:val="none"/>
                <w:lang w:val="en-US" w:eastAsia="zh-CN"/>
              </w:rPr>
              <w:t>分项</w:t>
            </w:r>
            <w:r>
              <w:rPr>
                <w:rFonts w:hint="eastAsia" w:ascii="宋体" w:hAnsi="宋体" w:eastAsia="宋体" w:cs="宋体"/>
                <w:b/>
                <w:bCs/>
                <w:color w:val="auto"/>
                <w:sz w:val="24"/>
                <w:szCs w:val="22"/>
                <w:highlight w:val="none"/>
                <w:lang w:eastAsia="zh-CN"/>
              </w:rPr>
              <w:t>内容</w:t>
            </w:r>
          </w:p>
        </w:tc>
        <w:tc>
          <w:tcPr>
            <w:tcW w:w="3744"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cs="宋体"/>
                <w:b/>
                <w:bCs/>
                <w:color w:val="auto"/>
                <w:sz w:val="24"/>
                <w:szCs w:val="22"/>
                <w:highlight w:val="none"/>
                <w:lang w:val="en-US" w:eastAsia="zh-CN"/>
              </w:rPr>
              <w:t>综合单价</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879"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53" w:hRule="atLeast"/>
          <w:jc w:val="center"/>
        </w:trPr>
        <w:tc>
          <w:tcPr>
            <w:tcW w:w="2856" w:type="dxa"/>
            <w:tcBorders>
              <w:right w:val="single" w:color="auto" w:sz="4" w:space="0"/>
            </w:tcBorders>
            <w:vAlign w:val="center"/>
          </w:tcPr>
          <w:p>
            <w:pPr>
              <w:spacing w:line="360" w:lineRule="auto"/>
              <w:jc w:val="center"/>
              <w:rPr>
                <w:rFonts w:hint="eastAsia" w:ascii="宋体" w:hAnsi="宋体" w:eastAsia="宋体" w:cs="宋体"/>
                <w:color w:val="auto"/>
                <w:sz w:val="24"/>
                <w:szCs w:val="22"/>
                <w:highlight w:val="none"/>
                <w:u w:val="none"/>
              </w:rPr>
            </w:pPr>
            <w:r>
              <w:rPr>
                <w:rFonts w:hint="eastAsia" w:ascii="宋体" w:hAnsi="宋体" w:cs="宋体"/>
                <w:b/>
                <w:bCs/>
                <w:kern w:val="0"/>
                <w:sz w:val="24"/>
                <w:lang w:val="en-US" w:eastAsia="zh-CN"/>
              </w:rPr>
              <w:t>①犬只收养</w:t>
            </w:r>
          </w:p>
        </w:tc>
        <w:tc>
          <w:tcPr>
            <w:tcW w:w="3744"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cs="宋体"/>
                <w:b/>
                <w:bCs/>
                <w:kern w:val="0"/>
                <w:sz w:val="24"/>
                <w:lang w:val="en-US" w:eastAsia="zh-CN"/>
              </w:rPr>
              <w:t>元/只/天</w:t>
            </w:r>
            <w:r>
              <w:rPr>
                <w:rFonts w:hint="eastAsia" w:ascii="宋体" w:hAnsi="宋体" w:eastAsia="宋体" w:cs="宋体"/>
                <w:color w:val="auto"/>
                <w:sz w:val="24"/>
                <w:szCs w:val="22"/>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cs="宋体"/>
                <w:b/>
                <w:bCs/>
                <w:kern w:val="0"/>
                <w:sz w:val="24"/>
                <w:lang w:val="en-US" w:eastAsia="zh-CN"/>
              </w:rPr>
              <w:t>元/只/天</w:t>
            </w:r>
            <w:r>
              <w:rPr>
                <w:rFonts w:hint="eastAsia" w:ascii="宋体" w:hAnsi="宋体" w:eastAsia="宋体" w:cs="宋体"/>
                <w:color w:val="auto"/>
                <w:sz w:val="24"/>
                <w:szCs w:val="22"/>
                <w:highlight w:val="none"/>
              </w:rPr>
              <w:t>；</w:t>
            </w:r>
          </w:p>
        </w:tc>
        <w:tc>
          <w:tcPr>
            <w:tcW w:w="1879" w:type="dxa"/>
            <w:tcBorders>
              <w:left w:val="single" w:color="auto" w:sz="4" w:space="0"/>
              <w:right w:val="single" w:color="auto" w:sz="4" w:space="0"/>
            </w:tcBorders>
            <w:vAlign w:val="center"/>
          </w:tcPr>
          <w:p>
            <w:pPr>
              <w:spacing w:line="360" w:lineRule="auto"/>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按实结算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2856" w:type="dxa"/>
            <w:tcBorders>
              <w:right w:val="single" w:color="auto" w:sz="4" w:space="0"/>
            </w:tcBorders>
            <w:vAlign w:val="center"/>
          </w:tcPr>
          <w:p>
            <w:pPr>
              <w:spacing w:line="360" w:lineRule="auto"/>
              <w:jc w:val="center"/>
              <w:rPr>
                <w:rFonts w:hint="eastAsia" w:ascii="宋体" w:hAnsi="宋体" w:cs="宋体"/>
                <w:color w:val="auto"/>
                <w:sz w:val="24"/>
                <w:highlight w:val="none"/>
                <w:lang w:eastAsia="zh-CN"/>
              </w:rPr>
            </w:pPr>
            <w:r>
              <w:rPr>
                <w:rFonts w:hint="eastAsia" w:ascii="宋体" w:hAnsi="宋体" w:cs="宋体"/>
                <w:b/>
                <w:bCs/>
                <w:kern w:val="0"/>
                <w:sz w:val="24"/>
                <w:lang w:val="en-US" w:eastAsia="zh-CN"/>
              </w:rPr>
              <w:t>②犬只无害化处置</w:t>
            </w:r>
          </w:p>
        </w:tc>
        <w:tc>
          <w:tcPr>
            <w:tcW w:w="3744"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cs="宋体"/>
                <w:b/>
                <w:bCs/>
                <w:kern w:val="0"/>
                <w:sz w:val="24"/>
                <w:lang w:val="en-US" w:eastAsia="zh-CN"/>
              </w:rPr>
              <w:t>元/只/天</w:t>
            </w:r>
            <w:r>
              <w:rPr>
                <w:rFonts w:hint="eastAsia" w:ascii="宋体" w:hAnsi="宋体" w:eastAsia="宋体" w:cs="宋体"/>
                <w:color w:val="auto"/>
                <w:sz w:val="24"/>
                <w:szCs w:val="22"/>
                <w:highlight w:val="none"/>
              </w:rPr>
              <w:t>；</w:t>
            </w:r>
          </w:p>
          <w:p>
            <w:pP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cs="宋体"/>
                <w:b/>
                <w:bCs/>
                <w:kern w:val="0"/>
                <w:sz w:val="24"/>
                <w:lang w:val="en-US" w:eastAsia="zh-CN"/>
              </w:rPr>
              <w:t>元/只/天</w:t>
            </w:r>
            <w:r>
              <w:rPr>
                <w:rFonts w:hint="eastAsia" w:ascii="宋体" w:hAnsi="宋体" w:eastAsia="宋体" w:cs="宋体"/>
                <w:color w:val="auto"/>
                <w:sz w:val="24"/>
                <w:szCs w:val="22"/>
                <w:highlight w:val="none"/>
              </w:rPr>
              <w:t>；</w:t>
            </w:r>
          </w:p>
        </w:tc>
        <w:tc>
          <w:tcPr>
            <w:tcW w:w="1879"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按实结算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8" w:hRule="atLeast"/>
          <w:jc w:val="center"/>
        </w:trPr>
        <w:tc>
          <w:tcPr>
            <w:tcW w:w="2856" w:type="dxa"/>
            <w:tcBorders>
              <w:right w:val="single" w:color="auto" w:sz="4" w:space="0"/>
            </w:tcBorders>
            <w:vAlign w:val="center"/>
          </w:tcPr>
          <w:p>
            <w:pPr>
              <w:spacing w:line="360" w:lineRule="auto"/>
              <w:jc w:val="center"/>
              <w:rPr>
                <w:rFonts w:hint="eastAsia" w:ascii="宋体" w:hAnsi="宋体" w:cs="宋体"/>
                <w:color w:val="auto"/>
                <w:sz w:val="24"/>
                <w:highlight w:val="none"/>
                <w:lang w:eastAsia="zh-CN"/>
              </w:rPr>
            </w:pPr>
            <w:r>
              <w:rPr>
                <w:rFonts w:hint="eastAsia" w:ascii="宋体" w:hAnsi="宋体" w:cs="宋体"/>
                <w:b/>
                <w:bCs/>
                <w:kern w:val="0"/>
                <w:sz w:val="24"/>
                <w:lang w:val="en-US" w:eastAsia="zh-CN"/>
              </w:rPr>
              <w:t>③犬只体检洗澡及疫苗注射</w:t>
            </w:r>
          </w:p>
        </w:tc>
        <w:tc>
          <w:tcPr>
            <w:tcW w:w="3744"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cs="宋体"/>
                <w:b/>
                <w:bCs/>
                <w:kern w:val="0"/>
                <w:sz w:val="24"/>
                <w:lang w:val="en-US" w:eastAsia="zh-CN"/>
              </w:rPr>
              <w:t>元/只/天</w:t>
            </w:r>
            <w:r>
              <w:rPr>
                <w:rFonts w:hint="eastAsia" w:ascii="宋体" w:hAnsi="宋体" w:eastAsia="宋体" w:cs="宋体"/>
                <w:color w:val="auto"/>
                <w:sz w:val="24"/>
                <w:szCs w:val="22"/>
                <w:highlight w:val="none"/>
              </w:rPr>
              <w:t>；</w:t>
            </w:r>
          </w:p>
          <w:p>
            <w:pP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cs="宋体"/>
                <w:b/>
                <w:bCs/>
                <w:kern w:val="0"/>
                <w:sz w:val="24"/>
                <w:lang w:val="en-US" w:eastAsia="zh-CN"/>
              </w:rPr>
              <w:t>元/只/天</w:t>
            </w:r>
            <w:r>
              <w:rPr>
                <w:rFonts w:hint="eastAsia" w:ascii="宋体" w:hAnsi="宋体" w:eastAsia="宋体" w:cs="宋体"/>
                <w:color w:val="auto"/>
                <w:sz w:val="24"/>
                <w:szCs w:val="22"/>
                <w:highlight w:val="none"/>
              </w:rPr>
              <w:t>；</w:t>
            </w:r>
          </w:p>
        </w:tc>
        <w:tc>
          <w:tcPr>
            <w:tcW w:w="1879"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按实结算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3" w:hRule="atLeast"/>
          <w:jc w:val="center"/>
        </w:trPr>
        <w:tc>
          <w:tcPr>
            <w:tcW w:w="2856" w:type="dxa"/>
            <w:tcBorders>
              <w:right w:val="single" w:color="auto" w:sz="4" w:space="0"/>
            </w:tcBorders>
            <w:vAlign w:val="center"/>
          </w:tcPr>
          <w:p>
            <w:pPr>
              <w:spacing w:line="360" w:lineRule="auto"/>
              <w:jc w:val="both"/>
              <w:rPr>
                <w:rFonts w:hint="default" w:ascii="宋体" w:hAnsi="宋体" w:cs="宋体"/>
                <w:b/>
                <w:bCs/>
                <w:kern w:val="0"/>
                <w:sz w:val="24"/>
                <w:lang w:val="en-US" w:eastAsia="zh-CN"/>
              </w:rPr>
            </w:pPr>
            <w:r>
              <w:rPr>
                <w:rFonts w:hint="eastAsia" w:ascii="宋体" w:hAnsi="宋体" w:cs="宋体"/>
                <w:b/>
                <w:bCs/>
                <w:kern w:val="0"/>
                <w:sz w:val="24"/>
                <w:lang w:val="en-US" w:eastAsia="zh-CN"/>
              </w:rPr>
              <w:t>①+②+③</w:t>
            </w:r>
            <w:r>
              <w:rPr>
                <w:rFonts w:hint="eastAsia" w:ascii="宋体" w:hAnsi="宋体" w:cs="宋体"/>
                <w:b/>
                <w:bCs/>
                <w:color w:val="auto"/>
                <w:sz w:val="24"/>
                <w:szCs w:val="22"/>
                <w:highlight w:val="none"/>
                <w:lang w:val="en-US" w:eastAsia="zh-CN"/>
              </w:rPr>
              <w:t>综合单价汇总</w:t>
            </w:r>
            <w:r>
              <w:rPr>
                <w:rFonts w:hint="eastAsia" w:ascii="宋体" w:hAnsi="宋体" w:cs="宋体"/>
                <w:b/>
                <w:bCs/>
                <w:kern w:val="0"/>
                <w:sz w:val="24"/>
                <w:lang w:val="en-US" w:eastAsia="zh-CN"/>
              </w:rPr>
              <w:t>：</w:t>
            </w:r>
          </w:p>
        </w:tc>
        <w:tc>
          <w:tcPr>
            <w:tcW w:w="3744" w:type="dxa"/>
            <w:tcBorders>
              <w:left w:val="single" w:color="auto" w:sz="4" w:space="0"/>
              <w:right w:val="single" w:color="auto" w:sz="4" w:space="0"/>
            </w:tcBorders>
            <w:vAlign w:val="center"/>
          </w:tcPr>
          <w:p>
            <w:pPr>
              <w:spacing w:line="360" w:lineRule="auto"/>
              <w:rPr>
                <w:rFonts w:hint="default" w:ascii="宋体" w:hAnsi="宋体" w:eastAsia="宋体" w:cs="宋体"/>
                <w:color w:val="auto"/>
                <w:sz w:val="24"/>
                <w:szCs w:val="22"/>
                <w:highlight w:val="none"/>
                <w:u w:val="single"/>
                <w:lang w:val="en-US" w:eastAsia="zh-CN"/>
              </w:rPr>
            </w:pPr>
            <w:r>
              <w:rPr>
                <w:rFonts w:hint="eastAsia" w:ascii="宋体" w:hAnsi="宋体" w:eastAsia="宋体" w:cs="宋体"/>
                <w:color w:val="auto"/>
                <w:sz w:val="24"/>
                <w:szCs w:val="22"/>
                <w:highlight w:val="none"/>
                <w:lang w:val="en-US" w:eastAsia="zh-CN"/>
              </w:rPr>
              <w:t>小写：</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none"/>
                <w:lang w:val="en-US" w:eastAsia="zh-CN"/>
              </w:rPr>
              <w:t>元</w:t>
            </w:r>
          </w:p>
          <w:p>
            <w:pPr>
              <w:pStyle w:val="4"/>
              <w:jc w:val="both"/>
              <w:rPr>
                <w:rFonts w:hint="default" w:eastAsia="宋体"/>
                <w:lang w:val="en-US" w:eastAsia="zh-CN"/>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 xml:space="preserve"> </w:t>
            </w:r>
            <w:r>
              <w:rPr>
                <w:rFonts w:hint="eastAsia" w:ascii="宋体" w:hAnsi="宋体" w:cs="宋体"/>
                <w:color w:val="auto"/>
                <w:sz w:val="24"/>
                <w:szCs w:val="22"/>
                <w:highlight w:val="none"/>
                <w:u w:val="none"/>
                <w:lang w:val="en-US" w:eastAsia="zh-CN"/>
              </w:rPr>
              <w:t>元</w:t>
            </w:r>
          </w:p>
        </w:tc>
        <w:tc>
          <w:tcPr>
            <w:tcW w:w="1879" w:type="dxa"/>
            <w:tcBorders>
              <w:left w:val="single" w:color="auto" w:sz="4" w:space="0"/>
              <w:right w:val="single" w:color="auto" w:sz="4" w:space="0"/>
            </w:tcBorders>
            <w:vAlign w:val="center"/>
          </w:tcPr>
          <w:p>
            <w:pPr>
              <w:spacing w:line="360" w:lineRule="auto"/>
              <w:rPr>
                <w:rFonts w:hint="eastAsia" w:ascii="宋体" w:hAnsi="宋体" w:cs="宋体"/>
                <w:color w:val="auto"/>
                <w:sz w:val="24"/>
                <w:szCs w:val="22"/>
                <w:highlight w:val="none"/>
                <w:lang w:val="en-US" w:eastAsia="zh-CN"/>
              </w:rPr>
            </w:pPr>
          </w:p>
        </w:tc>
      </w:tr>
    </w:tbl>
    <w:p>
      <w:pPr>
        <w:pStyle w:val="84"/>
        <w:rPr>
          <w:rFonts w:hint="eastAsia" w:ascii="宋体" w:hAnsi="宋体" w:eastAsia="宋体" w:cs="宋体"/>
          <w:color w:val="auto"/>
          <w:highlight w:val="none"/>
          <w:lang w:val="zh-CN"/>
        </w:rPr>
      </w:pPr>
    </w:p>
    <w:p>
      <w:pPr>
        <w:pStyle w:val="5"/>
        <w:ind w:left="438" w:leftChars="88" w:hanging="253" w:hangingChars="105"/>
        <w:jc w:val="both"/>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、特别提示：采购机构将对项目名称和项目编号，中标供应商名称、地址和中标金额，主要中标标的的名称、数量、单价、服务要求等予以公示。</w:t>
      </w:r>
    </w:p>
    <w:p>
      <w:pPr>
        <w:pStyle w:val="5"/>
        <w:numPr>
          <w:ilvl w:val="0"/>
          <w:numId w:val="0"/>
        </w:numPr>
        <w:ind w:left="0" w:leftChars="0" w:firstLine="482" w:firstLineChars="200"/>
        <w:rPr>
          <w:rFonts w:hint="eastAsia" w:ascii="宋体" w:hAnsi="宋体" w:eastAsia="宋体" w:cs="宋体"/>
          <w:color w:val="auto"/>
          <w:kern w:val="0"/>
          <w:sz w:val="24"/>
          <w:highlight w:val="none"/>
          <w:lang w:val="zh-CN"/>
        </w:rPr>
      </w:pPr>
    </w:p>
    <w:p>
      <w:pPr>
        <w:pStyle w:val="5"/>
        <w:numPr>
          <w:ilvl w:val="0"/>
          <w:numId w:val="0"/>
        </w:numPr>
        <w:ind w:left="0" w:leftChars="0"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pPr>
        <w:rPr>
          <w:rFonts w:hint="eastAsia" w:ascii="宋体" w:hAnsi="宋体" w:eastAsia="宋体" w:cs="宋体"/>
          <w:b/>
          <w:bCs/>
          <w:color w:val="auto"/>
          <w:kern w:val="0"/>
          <w:sz w:val="24"/>
          <w:highlight w:val="none"/>
          <w:lang w:val="zh-CN"/>
        </w:rPr>
      </w:pPr>
    </w:p>
    <w:p>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autoSpaceDE w:val="0"/>
        <w:autoSpaceDN w:val="0"/>
        <w:spacing w:line="360" w:lineRule="auto"/>
        <w:ind w:left="0" w:leftChars="0" w:right="1120"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firstLine="720" w:firstLineChars="3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38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pStyle w:val="384"/>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4"/>
        <w:pageBreakBefore/>
        <w:widowControl/>
        <w:spacing w:before="100" w:beforeAutospacing="1" w:after="100" w:afterAutospacing="1" w:line="360" w:lineRule="auto"/>
        <w:ind w:left="1290" w:firstLine="3092" w:firstLineChars="700"/>
        <w:jc w:val="both"/>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02" w:name="OLE_LINK13"/>
      <w:bookmarkStart w:id="503" w:name="OLE_LINK14"/>
      <w:r>
        <w:rPr>
          <w:rFonts w:hint="eastAsia" w:ascii="宋体" w:hAnsi="宋体" w:cs="宋体"/>
          <w:b/>
          <w:color w:val="auto"/>
          <w:spacing w:val="6"/>
          <w:sz w:val="32"/>
          <w:szCs w:val="32"/>
        </w:rPr>
        <w:t>残疾人福利性单位声明函</w:t>
      </w:r>
    </w:p>
    <w:bookmarkEnd w:id="502"/>
    <w:bookmarkEnd w:id="503"/>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HP+MHYAAAACgEAAA8A&#10;AAAAAAAAAQAgAAAAIgAAAGRycy9kb3ducmV2LnhtbFBLAQIUABQAAAAIAIdO4kCxDOvy3gEAAOAD&#10;AAAOAAAAAAAAAAEAIAAAACcBAABkcnMvZTJvRG9jLnhtbFBLBQYAAAAABgAGAFkBAAB3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3TsFjYAAAACgEAAA8A&#10;AAAAAAAAAQAgAAAAIgAAAGRycy9kb3ducmV2LnhtbFBLAQIUABQAAAAIAIdO4kDy6KBJ3gEAAOAD&#10;AAAOAAAAAAAAAAEAIAAAACcBAABkcnMvZTJvRG9jLnhtbFBLBQYAAAAABgAGAFkBAAB3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04"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04"/>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05"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05"/>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6"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06"/>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临平区犬只收容管理服务项目</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租赁和商务服务业</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Cs/>
          <w:color w:val="auto"/>
          <w:sz w:val="24"/>
        </w:rPr>
      </w:pPr>
    </w:p>
    <w:p>
      <w:pPr>
        <w:rPr>
          <w:color w:val="auto"/>
        </w:rPr>
      </w:pPr>
    </w:p>
    <w:p>
      <w:pPr>
        <w:pStyle w:val="5"/>
        <w:rPr>
          <w:color w:val="auto"/>
        </w:rPr>
      </w:pPr>
    </w:p>
    <w:p>
      <w:pPr>
        <w:rPr>
          <w:color w:val="auto"/>
        </w:rPr>
      </w:pPr>
    </w:p>
    <w:p>
      <w:pPr>
        <w:rPr>
          <w:color w:val="auto"/>
        </w:rPr>
      </w:pPr>
    </w:p>
    <w:p>
      <w:pPr>
        <w:rPr>
          <w:color w:val="auto"/>
        </w:rPr>
      </w:pPr>
    </w:p>
    <w:p>
      <w:pPr>
        <w:rPr>
          <w:color w:val="auto"/>
        </w:rPr>
      </w:pPr>
    </w:p>
    <w:p>
      <w:pPr>
        <w:rPr>
          <w:color w:val="auto"/>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tbl>
      <w:tblPr>
        <w:tblStyle w:val="65"/>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hd w:val="clear"/>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hd w:val="clear"/>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hd w:val="clea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64"/>
        <w:sectPr>
          <w:pgSz w:w="16838" w:h="11906" w:orient="landscape"/>
          <w:pgMar w:top="1418" w:right="1276" w:bottom="1418" w:left="1247" w:header="851" w:footer="992" w:gutter="0"/>
          <w:cols w:space="720" w:num="1"/>
          <w:titlePg/>
          <w:docGrid w:linePitch="312" w:charSpace="0"/>
        </w:sectPr>
      </w:pPr>
    </w:p>
    <w:p>
      <w:pPr>
        <w:shd w:val="clear"/>
        <w:rPr>
          <w:b/>
          <w:sz w:val="48"/>
          <w:szCs w:val="48"/>
        </w:rPr>
      </w:pPr>
      <w:r>
        <w:rPr>
          <w:rFonts w:hint="eastAsia"/>
          <w:sz w:val="30"/>
          <w:szCs w:val="30"/>
        </w:rPr>
        <w:t>附件8（中标后提供）：</w:t>
      </w:r>
    </w:p>
    <w:p>
      <w:pPr>
        <w:shd w:val="clear"/>
        <w:jc w:val="center"/>
        <w:rPr>
          <w:b/>
          <w:sz w:val="48"/>
          <w:szCs w:val="48"/>
        </w:rPr>
      </w:pPr>
    </w:p>
    <w:p>
      <w:pPr>
        <w:shd w:val="clear"/>
        <w:jc w:val="center"/>
        <w:rPr>
          <w:b/>
          <w:sz w:val="48"/>
          <w:szCs w:val="48"/>
        </w:rPr>
      </w:pPr>
      <w:r>
        <w:rPr>
          <w:rFonts w:hint="eastAsia"/>
          <w:b/>
          <w:sz w:val="48"/>
          <w:szCs w:val="48"/>
        </w:rPr>
        <w:t>承 诺 书</w:t>
      </w:r>
    </w:p>
    <w:p>
      <w:pPr>
        <w:shd w:val="clear"/>
        <w:rPr>
          <w:sz w:val="30"/>
          <w:szCs w:val="30"/>
        </w:rPr>
      </w:pPr>
    </w:p>
    <w:p>
      <w:pPr>
        <w:shd w:val="clear"/>
        <w:rPr>
          <w:sz w:val="30"/>
          <w:szCs w:val="30"/>
        </w:rPr>
      </w:pPr>
      <w:r>
        <w:rPr>
          <w:rFonts w:hint="eastAsia"/>
          <w:sz w:val="30"/>
          <w:szCs w:val="30"/>
          <w:u w:val="single"/>
        </w:rPr>
        <w:t xml:space="preserve">耀华建设管理有限公司 </w:t>
      </w:r>
      <w:r>
        <w:rPr>
          <w:rFonts w:hint="eastAsia"/>
          <w:sz w:val="30"/>
          <w:szCs w:val="30"/>
        </w:rPr>
        <w:t>：</w:t>
      </w:r>
    </w:p>
    <w:p>
      <w:pPr>
        <w:shd w:val="clea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hd w:val="clea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pPr>
        <w:shd w:val="clear"/>
        <w:spacing w:line="780" w:lineRule="exact"/>
        <w:ind w:firstLine="450" w:firstLineChars="150"/>
        <w:rPr>
          <w:sz w:val="30"/>
          <w:szCs w:val="30"/>
        </w:rPr>
      </w:pPr>
    </w:p>
    <w:p>
      <w:pPr>
        <w:shd w:val="clear"/>
        <w:spacing w:line="780" w:lineRule="exact"/>
        <w:rPr>
          <w:sz w:val="30"/>
          <w:szCs w:val="30"/>
        </w:rPr>
      </w:pPr>
    </w:p>
    <w:p>
      <w:pPr>
        <w:shd w:val="clear"/>
        <w:spacing w:line="780" w:lineRule="exact"/>
        <w:rPr>
          <w:sz w:val="30"/>
          <w:szCs w:val="30"/>
        </w:rPr>
      </w:pPr>
    </w:p>
    <w:p>
      <w:pPr>
        <w:shd w:val="clear"/>
        <w:spacing w:line="780" w:lineRule="exact"/>
        <w:jc w:val="right"/>
        <w:rPr>
          <w:sz w:val="30"/>
          <w:szCs w:val="30"/>
        </w:rPr>
      </w:pPr>
      <w:r>
        <w:rPr>
          <w:rFonts w:hint="eastAsia"/>
          <w:sz w:val="30"/>
          <w:szCs w:val="30"/>
        </w:rPr>
        <w:t>投标人名称（盖公章）：</w:t>
      </w:r>
    </w:p>
    <w:p>
      <w:pPr>
        <w:shd w:val="clear"/>
        <w:spacing w:line="780" w:lineRule="exact"/>
        <w:ind w:firstLine="5850" w:firstLineChars="1950"/>
        <w:rPr>
          <w:sz w:val="30"/>
          <w:szCs w:val="30"/>
        </w:rPr>
      </w:pPr>
      <w:r>
        <w:rPr>
          <w:rFonts w:hint="eastAsia"/>
          <w:sz w:val="30"/>
          <w:szCs w:val="30"/>
        </w:rPr>
        <w:t>202</w:t>
      </w:r>
      <w:r>
        <w:rPr>
          <w:rFonts w:hint="eastAsia"/>
          <w:sz w:val="30"/>
          <w:szCs w:val="30"/>
          <w:lang w:val="en-US" w:eastAsia="zh-CN"/>
        </w:rPr>
        <w:t>4</w:t>
      </w:r>
      <w:r>
        <w:rPr>
          <w:rFonts w:hint="eastAsia"/>
          <w:sz w:val="30"/>
          <w:szCs w:val="30"/>
        </w:rPr>
        <w:t>年   月   日</w:t>
      </w:r>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07" w:name="_Toc91899912"/>
    <w:bookmarkStart w:id="508" w:name="_Toc36110187"/>
    <w:bookmarkStart w:id="509" w:name="_Toc164085800"/>
    <w:bookmarkStart w:id="510" w:name="_Toc131845147"/>
    <w:r>
      <w:rPr>
        <w:rFonts w:hint="eastAsia" w:ascii="仿宋_GB2312" w:eastAsia="仿宋_GB2312"/>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45D6E"/>
    <w:multiLevelType w:val="singleLevel"/>
    <w:tmpl w:val="CE545D6E"/>
    <w:lvl w:ilvl="0" w:tentative="0">
      <w:start w:val="20"/>
      <w:numFmt w:val="decimal"/>
      <w:suff w:val="space"/>
      <w:lvlText w:val="%1."/>
      <w:lvlJc w:val="left"/>
    </w:lvl>
  </w:abstractNum>
  <w:abstractNum w:abstractNumId="1">
    <w:nsid w:val="DFCF56D0"/>
    <w:multiLevelType w:val="singleLevel"/>
    <w:tmpl w:val="DFCF56D0"/>
    <w:lvl w:ilvl="0" w:tentative="0">
      <w:start w:val="8"/>
      <w:numFmt w:val="chineseCounting"/>
      <w:suff w:val="nothing"/>
      <w:lvlText w:val="%1、"/>
      <w:lvlJc w:val="left"/>
      <w:rPr>
        <w:rFonts w:hint="eastAsia"/>
      </w:rPr>
    </w:lvl>
  </w:abstractNum>
  <w:abstractNum w:abstractNumId="2">
    <w:nsid w:val="EA87AA04"/>
    <w:multiLevelType w:val="singleLevel"/>
    <w:tmpl w:val="EA87AA04"/>
    <w:lvl w:ilvl="0" w:tentative="0">
      <w:start w:val="1"/>
      <w:numFmt w:val="decimal"/>
      <w:suff w:val="nothing"/>
      <w:lvlText w:val="%1、"/>
      <w:lvlJc w:val="left"/>
    </w:lvl>
  </w:abstractNum>
  <w:abstractNum w:abstractNumId="3">
    <w:nsid w:val="18F32546"/>
    <w:multiLevelType w:val="singleLevel"/>
    <w:tmpl w:val="18F32546"/>
    <w:lvl w:ilvl="0" w:tentative="0">
      <w:start w:val="19"/>
      <w:numFmt w:val="decimal"/>
      <w:suff w:val="space"/>
      <w:lvlText w:val="%1."/>
      <w:lvlJc w:val="left"/>
      <w:pPr>
        <w:ind w:left="240" w:leftChars="0" w:firstLine="0" w:firstLineChars="0"/>
      </w:pPr>
    </w:lvl>
  </w:abstractNum>
  <w:abstractNum w:abstractNumId="4">
    <w:nsid w:val="305E9941"/>
    <w:multiLevelType w:val="multilevel"/>
    <w:tmpl w:val="305E9941"/>
    <w:lvl w:ilvl="0" w:tentative="0">
      <w:start w:val="1"/>
      <w:numFmt w:val="decimal"/>
      <w:pStyle w:val="976"/>
      <w:suff w:val="space"/>
      <w:lvlText w:val="第%1章"/>
      <w:lvlJc w:val="left"/>
      <w:pPr>
        <w:ind w:left="432" w:hanging="432"/>
      </w:pPr>
      <w:rPr>
        <w:rFonts w:hint="default" w:ascii="宋体" w:hAnsi="宋体" w:eastAsia="宋体" w:cs="宋体"/>
        <w:b/>
      </w:rPr>
    </w:lvl>
    <w:lvl w:ilvl="1" w:tentative="0">
      <w:start w:val="1"/>
      <w:numFmt w:val="decimal"/>
      <w:pStyle w:val="975"/>
      <w:isLgl/>
      <w:suff w:val="space"/>
      <w:lvlText w:val="%1.%2"/>
      <w:lvlJc w:val="left"/>
      <w:pPr>
        <w:ind w:left="576" w:hanging="576"/>
      </w:pPr>
      <w:rPr>
        <w:rFonts w:hint="default" w:ascii="宋体" w:hAnsi="宋体" w:eastAsia="宋体" w:cs="宋体"/>
      </w:rPr>
    </w:lvl>
    <w:lvl w:ilvl="2" w:tentative="0">
      <w:start w:val="1"/>
      <w:numFmt w:val="decimal"/>
      <w:pStyle w:val="974"/>
      <w:isLgl/>
      <w:suff w:val="space"/>
      <w:lvlText w:val="%1.%2.%3"/>
      <w:lvlJc w:val="left"/>
      <w:pPr>
        <w:ind w:left="720" w:hanging="720"/>
      </w:pPr>
    </w:lvl>
    <w:lvl w:ilvl="3" w:tentative="0">
      <w:start w:val="1"/>
      <w:numFmt w:val="decimal"/>
      <w:pStyle w:val="978"/>
      <w:isLgl/>
      <w:suff w:val="space"/>
      <w:lvlText w:val="%1.%2.%3.%4"/>
      <w:lvlJc w:val="left"/>
      <w:pPr>
        <w:ind w:left="864" w:hanging="864"/>
      </w:pPr>
      <w:rPr>
        <w:rFonts w:hint="default" w:ascii="宋体" w:hAnsi="宋体" w:eastAsia="宋体" w:cs="宋体"/>
      </w:rPr>
    </w:lvl>
    <w:lvl w:ilvl="4" w:tentative="0">
      <w:start w:val="1"/>
      <w:numFmt w:val="decimal"/>
      <w:pStyle w:val="979"/>
      <w:isLgl/>
      <w:suff w:val="space"/>
      <w:lvlText w:val="%1.%2.%3.%4.%5"/>
      <w:lvlJc w:val="left"/>
      <w:pPr>
        <w:ind w:left="1433" w:hanging="1433"/>
      </w:pPr>
      <w:rPr>
        <w:rFonts w:hint="default" w:ascii="宋体" w:hAnsi="宋体" w:eastAsia="宋体" w:cs="宋体"/>
      </w:rPr>
    </w:lvl>
    <w:lvl w:ilvl="5" w:tentative="0">
      <w:start w:val="1"/>
      <w:numFmt w:val="decimal"/>
      <w:isLgl/>
      <w:lvlText w:val="%1.%2.%3.%4.%5.%6"/>
      <w:lvlJc w:val="left"/>
      <w:pPr>
        <w:tabs>
          <w:tab w:val="left" w:pos="420"/>
        </w:tabs>
        <w:ind w:left="1152" w:hanging="1039"/>
      </w:pPr>
      <w:rPr>
        <w:rFonts w:hint="default" w:ascii="宋体" w:hAnsi="宋体" w:eastAsia="宋体" w:cs="宋体"/>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g0YjY3NmUwMzVmMzFiNGQ1MDE0N2MwODYxO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C160DB"/>
    <w:rsid w:val="01D55165"/>
    <w:rsid w:val="01DF6BF8"/>
    <w:rsid w:val="01EC2C57"/>
    <w:rsid w:val="023F5ED6"/>
    <w:rsid w:val="025F0711"/>
    <w:rsid w:val="026B2E25"/>
    <w:rsid w:val="02824D4D"/>
    <w:rsid w:val="02C10E79"/>
    <w:rsid w:val="02DC4B10"/>
    <w:rsid w:val="02DD76CE"/>
    <w:rsid w:val="02F36323"/>
    <w:rsid w:val="02F5619C"/>
    <w:rsid w:val="0326446A"/>
    <w:rsid w:val="032D5555"/>
    <w:rsid w:val="036634D2"/>
    <w:rsid w:val="037026DD"/>
    <w:rsid w:val="03C9242A"/>
    <w:rsid w:val="03DD35E4"/>
    <w:rsid w:val="04076900"/>
    <w:rsid w:val="041A5A3B"/>
    <w:rsid w:val="042311BA"/>
    <w:rsid w:val="042B157A"/>
    <w:rsid w:val="04622326"/>
    <w:rsid w:val="048F763B"/>
    <w:rsid w:val="049F330E"/>
    <w:rsid w:val="04A57139"/>
    <w:rsid w:val="04AA775C"/>
    <w:rsid w:val="04AF1889"/>
    <w:rsid w:val="04F66F48"/>
    <w:rsid w:val="05251E14"/>
    <w:rsid w:val="055F2BCB"/>
    <w:rsid w:val="05A16594"/>
    <w:rsid w:val="05A7762D"/>
    <w:rsid w:val="06085FEE"/>
    <w:rsid w:val="060E5941"/>
    <w:rsid w:val="06110FAF"/>
    <w:rsid w:val="062516F3"/>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320D22"/>
    <w:rsid w:val="09335624"/>
    <w:rsid w:val="0944690F"/>
    <w:rsid w:val="094B1DE4"/>
    <w:rsid w:val="09535675"/>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3E7710"/>
    <w:rsid w:val="0A51553C"/>
    <w:rsid w:val="0A5B7E63"/>
    <w:rsid w:val="0A96708F"/>
    <w:rsid w:val="0AA374A5"/>
    <w:rsid w:val="0AAB7649"/>
    <w:rsid w:val="0ABC5606"/>
    <w:rsid w:val="0ADB3FC3"/>
    <w:rsid w:val="0B0B1239"/>
    <w:rsid w:val="0B30404E"/>
    <w:rsid w:val="0B3B3792"/>
    <w:rsid w:val="0B4C6C14"/>
    <w:rsid w:val="0B546DBE"/>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D5D79"/>
    <w:rsid w:val="0E997C3A"/>
    <w:rsid w:val="0E9D0089"/>
    <w:rsid w:val="0EB803EE"/>
    <w:rsid w:val="0EF94D4B"/>
    <w:rsid w:val="0F4958DC"/>
    <w:rsid w:val="0F515DF7"/>
    <w:rsid w:val="0F596BA8"/>
    <w:rsid w:val="0F6248D2"/>
    <w:rsid w:val="0F6717EC"/>
    <w:rsid w:val="0F693536"/>
    <w:rsid w:val="0F6B0677"/>
    <w:rsid w:val="0F7B0511"/>
    <w:rsid w:val="0F7B76D9"/>
    <w:rsid w:val="0F816ACD"/>
    <w:rsid w:val="0F9832DB"/>
    <w:rsid w:val="0FAE09D7"/>
    <w:rsid w:val="0FBF3FD2"/>
    <w:rsid w:val="0FBF7FF3"/>
    <w:rsid w:val="102A15E4"/>
    <w:rsid w:val="104650B3"/>
    <w:rsid w:val="10547CDE"/>
    <w:rsid w:val="10646583"/>
    <w:rsid w:val="107D4B15"/>
    <w:rsid w:val="108A3C80"/>
    <w:rsid w:val="10981FB7"/>
    <w:rsid w:val="10C26171"/>
    <w:rsid w:val="10CA5CE4"/>
    <w:rsid w:val="10F33360"/>
    <w:rsid w:val="10FC16EA"/>
    <w:rsid w:val="110F1D40"/>
    <w:rsid w:val="11266F33"/>
    <w:rsid w:val="118963A1"/>
    <w:rsid w:val="11A74FAC"/>
    <w:rsid w:val="11C6522A"/>
    <w:rsid w:val="11E104CC"/>
    <w:rsid w:val="11E20309"/>
    <w:rsid w:val="12136A6E"/>
    <w:rsid w:val="12255233"/>
    <w:rsid w:val="12530213"/>
    <w:rsid w:val="12603EFE"/>
    <w:rsid w:val="127723A9"/>
    <w:rsid w:val="12862074"/>
    <w:rsid w:val="12883966"/>
    <w:rsid w:val="129E45B4"/>
    <w:rsid w:val="12B90911"/>
    <w:rsid w:val="12D81596"/>
    <w:rsid w:val="13013529"/>
    <w:rsid w:val="1304492D"/>
    <w:rsid w:val="13072A44"/>
    <w:rsid w:val="132626FA"/>
    <w:rsid w:val="1331084D"/>
    <w:rsid w:val="135F4BE2"/>
    <w:rsid w:val="137A458D"/>
    <w:rsid w:val="139B1A0A"/>
    <w:rsid w:val="139D25C7"/>
    <w:rsid w:val="13BF3CE4"/>
    <w:rsid w:val="13CC58CF"/>
    <w:rsid w:val="140B6E02"/>
    <w:rsid w:val="140E6128"/>
    <w:rsid w:val="141008D8"/>
    <w:rsid w:val="14125FE6"/>
    <w:rsid w:val="14164D9C"/>
    <w:rsid w:val="143F1B34"/>
    <w:rsid w:val="146D271E"/>
    <w:rsid w:val="14707915"/>
    <w:rsid w:val="14877324"/>
    <w:rsid w:val="14982588"/>
    <w:rsid w:val="14983C21"/>
    <w:rsid w:val="149A5AD9"/>
    <w:rsid w:val="14A7619D"/>
    <w:rsid w:val="150536C3"/>
    <w:rsid w:val="150B7405"/>
    <w:rsid w:val="150C1963"/>
    <w:rsid w:val="151447A0"/>
    <w:rsid w:val="1525798D"/>
    <w:rsid w:val="152D3848"/>
    <w:rsid w:val="154A6454"/>
    <w:rsid w:val="15762120"/>
    <w:rsid w:val="162D296C"/>
    <w:rsid w:val="16670280"/>
    <w:rsid w:val="16A8729C"/>
    <w:rsid w:val="16AB5C70"/>
    <w:rsid w:val="16AC531C"/>
    <w:rsid w:val="16B33777"/>
    <w:rsid w:val="16BC70A7"/>
    <w:rsid w:val="16C6339E"/>
    <w:rsid w:val="172F2D79"/>
    <w:rsid w:val="17407E5A"/>
    <w:rsid w:val="17557BEF"/>
    <w:rsid w:val="17745B06"/>
    <w:rsid w:val="17864C20"/>
    <w:rsid w:val="17D349C1"/>
    <w:rsid w:val="18037B45"/>
    <w:rsid w:val="1830729E"/>
    <w:rsid w:val="1870062C"/>
    <w:rsid w:val="18817102"/>
    <w:rsid w:val="18830A15"/>
    <w:rsid w:val="18852B28"/>
    <w:rsid w:val="188B5321"/>
    <w:rsid w:val="19362169"/>
    <w:rsid w:val="196906FB"/>
    <w:rsid w:val="19891496"/>
    <w:rsid w:val="19932372"/>
    <w:rsid w:val="19A20DD5"/>
    <w:rsid w:val="19AE03F1"/>
    <w:rsid w:val="19CE1EDF"/>
    <w:rsid w:val="1A071A03"/>
    <w:rsid w:val="1A1F16AE"/>
    <w:rsid w:val="1A3B5C77"/>
    <w:rsid w:val="1A7A4074"/>
    <w:rsid w:val="1A984BAD"/>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56DBA"/>
    <w:rsid w:val="1C1B3B4A"/>
    <w:rsid w:val="1C264715"/>
    <w:rsid w:val="1C3C5AEF"/>
    <w:rsid w:val="1C88086E"/>
    <w:rsid w:val="1CA7512B"/>
    <w:rsid w:val="1CBA665D"/>
    <w:rsid w:val="1D266CE1"/>
    <w:rsid w:val="1D3963AF"/>
    <w:rsid w:val="1D3A5476"/>
    <w:rsid w:val="1D61177E"/>
    <w:rsid w:val="1D6A673C"/>
    <w:rsid w:val="1D8348E7"/>
    <w:rsid w:val="1D9247AE"/>
    <w:rsid w:val="1DB567EC"/>
    <w:rsid w:val="1DF51A98"/>
    <w:rsid w:val="1E3D060F"/>
    <w:rsid w:val="1E3F7D2E"/>
    <w:rsid w:val="1E4134E4"/>
    <w:rsid w:val="1E5062B3"/>
    <w:rsid w:val="1E523514"/>
    <w:rsid w:val="1E714A66"/>
    <w:rsid w:val="1E7159F1"/>
    <w:rsid w:val="1E802593"/>
    <w:rsid w:val="1E842BFA"/>
    <w:rsid w:val="1E8B6156"/>
    <w:rsid w:val="1EA62C31"/>
    <w:rsid w:val="1EA703CC"/>
    <w:rsid w:val="1EB7330C"/>
    <w:rsid w:val="1EE13A31"/>
    <w:rsid w:val="1F0A0FF3"/>
    <w:rsid w:val="1F3128D8"/>
    <w:rsid w:val="1F5771FF"/>
    <w:rsid w:val="1F5F3A9B"/>
    <w:rsid w:val="1FE868A9"/>
    <w:rsid w:val="20034907"/>
    <w:rsid w:val="20115295"/>
    <w:rsid w:val="20173E4B"/>
    <w:rsid w:val="204E48BC"/>
    <w:rsid w:val="208921B3"/>
    <w:rsid w:val="20973DEB"/>
    <w:rsid w:val="20B26522"/>
    <w:rsid w:val="20B44310"/>
    <w:rsid w:val="20CF6B56"/>
    <w:rsid w:val="211116EB"/>
    <w:rsid w:val="212821DE"/>
    <w:rsid w:val="216133FC"/>
    <w:rsid w:val="21D56769"/>
    <w:rsid w:val="21E52EF3"/>
    <w:rsid w:val="21FB5D7B"/>
    <w:rsid w:val="22015E94"/>
    <w:rsid w:val="220B1C3D"/>
    <w:rsid w:val="221D1D20"/>
    <w:rsid w:val="22334A87"/>
    <w:rsid w:val="224D407F"/>
    <w:rsid w:val="227E6340"/>
    <w:rsid w:val="22BE6801"/>
    <w:rsid w:val="22C472AA"/>
    <w:rsid w:val="22F244EA"/>
    <w:rsid w:val="233500BF"/>
    <w:rsid w:val="23377FF7"/>
    <w:rsid w:val="236B425F"/>
    <w:rsid w:val="237E0751"/>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D761E"/>
    <w:rsid w:val="25534FE0"/>
    <w:rsid w:val="255523B2"/>
    <w:rsid w:val="255F445D"/>
    <w:rsid w:val="2565768A"/>
    <w:rsid w:val="258B00E2"/>
    <w:rsid w:val="25A917A6"/>
    <w:rsid w:val="25B032A3"/>
    <w:rsid w:val="25B33655"/>
    <w:rsid w:val="25BE27CC"/>
    <w:rsid w:val="25D54D55"/>
    <w:rsid w:val="25F74A5C"/>
    <w:rsid w:val="2628662C"/>
    <w:rsid w:val="262D45DE"/>
    <w:rsid w:val="26661A50"/>
    <w:rsid w:val="26871DC8"/>
    <w:rsid w:val="269D5617"/>
    <w:rsid w:val="26A53EF9"/>
    <w:rsid w:val="26A94201"/>
    <w:rsid w:val="26AC274F"/>
    <w:rsid w:val="26E50D2A"/>
    <w:rsid w:val="26FE1DEC"/>
    <w:rsid w:val="27044A29"/>
    <w:rsid w:val="27076EF2"/>
    <w:rsid w:val="271D34C8"/>
    <w:rsid w:val="272216EE"/>
    <w:rsid w:val="276142BF"/>
    <w:rsid w:val="27783712"/>
    <w:rsid w:val="27907362"/>
    <w:rsid w:val="27BD57EF"/>
    <w:rsid w:val="27FF2E79"/>
    <w:rsid w:val="28333E1D"/>
    <w:rsid w:val="283755B5"/>
    <w:rsid w:val="28454BD6"/>
    <w:rsid w:val="28455253"/>
    <w:rsid w:val="28551971"/>
    <w:rsid w:val="285B1C53"/>
    <w:rsid w:val="288546FB"/>
    <w:rsid w:val="289F7086"/>
    <w:rsid w:val="28C32028"/>
    <w:rsid w:val="28CC490F"/>
    <w:rsid w:val="28DE40AA"/>
    <w:rsid w:val="28EC53E4"/>
    <w:rsid w:val="29081394"/>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159B5"/>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2B2C11"/>
    <w:rsid w:val="2F946CCB"/>
    <w:rsid w:val="2FA23C5C"/>
    <w:rsid w:val="2FD25781"/>
    <w:rsid w:val="2FDC745C"/>
    <w:rsid w:val="2FFD7934"/>
    <w:rsid w:val="3069477A"/>
    <w:rsid w:val="30733ACD"/>
    <w:rsid w:val="30772A60"/>
    <w:rsid w:val="308C3862"/>
    <w:rsid w:val="309379D8"/>
    <w:rsid w:val="30A270F7"/>
    <w:rsid w:val="30DF1478"/>
    <w:rsid w:val="30EC586F"/>
    <w:rsid w:val="31081D30"/>
    <w:rsid w:val="318A0E4C"/>
    <w:rsid w:val="319C6071"/>
    <w:rsid w:val="31AC537E"/>
    <w:rsid w:val="31E3679B"/>
    <w:rsid w:val="31E732FD"/>
    <w:rsid w:val="31FF3746"/>
    <w:rsid w:val="32093856"/>
    <w:rsid w:val="323C0882"/>
    <w:rsid w:val="32517576"/>
    <w:rsid w:val="32981347"/>
    <w:rsid w:val="32BE5C2C"/>
    <w:rsid w:val="32FB6478"/>
    <w:rsid w:val="33263B3F"/>
    <w:rsid w:val="336963EB"/>
    <w:rsid w:val="33741EE0"/>
    <w:rsid w:val="33816EEB"/>
    <w:rsid w:val="33971769"/>
    <w:rsid w:val="33A32A72"/>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1D0929"/>
    <w:rsid w:val="373F410B"/>
    <w:rsid w:val="375C3CF3"/>
    <w:rsid w:val="37BD09EA"/>
    <w:rsid w:val="37EE7094"/>
    <w:rsid w:val="37F7749F"/>
    <w:rsid w:val="38296C89"/>
    <w:rsid w:val="383002EB"/>
    <w:rsid w:val="38415FDC"/>
    <w:rsid w:val="38586797"/>
    <w:rsid w:val="38B467AE"/>
    <w:rsid w:val="38BC0149"/>
    <w:rsid w:val="38D87D1C"/>
    <w:rsid w:val="393A59E8"/>
    <w:rsid w:val="394E2FB0"/>
    <w:rsid w:val="39636459"/>
    <w:rsid w:val="396B7F6C"/>
    <w:rsid w:val="398C1096"/>
    <w:rsid w:val="39B417A9"/>
    <w:rsid w:val="39E8099F"/>
    <w:rsid w:val="39FC5695"/>
    <w:rsid w:val="3A006D8E"/>
    <w:rsid w:val="3A3651E5"/>
    <w:rsid w:val="3A744481"/>
    <w:rsid w:val="3A8C7BEF"/>
    <w:rsid w:val="3A906246"/>
    <w:rsid w:val="3ADA31FC"/>
    <w:rsid w:val="3B2349B7"/>
    <w:rsid w:val="3B616CFF"/>
    <w:rsid w:val="3B6259F6"/>
    <w:rsid w:val="3B976654"/>
    <w:rsid w:val="3BC01EFC"/>
    <w:rsid w:val="3BCA786A"/>
    <w:rsid w:val="3BD31E2F"/>
    <w:rsid w:val="3BF15831"/>
    <w:rsid w:val="3C025A83"/>
    <w:rsid w:val="3C105946"/>
    <w:rsid w:val="3C1B7305"/>
    <w:rsid w:val="3C471448"/>
    <w:rsid w:val="3C5F759A"/>
    <w:rsid w:val="3C6C525A"/>
    <w:rsid w:val="3CCE23CB"/>
    <w:rsid w:val="3CD17D17"/>
    <w:rsid w:val="3CD93366"/>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1BA6"/>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C537A"/>
    <w:rsid w:val="3F6363FE"/>
    <w:rsid w:val="3F756B8F"/>
    <w:rsid w:val="3F95482B"/>
    <w:rsid w:val="3FCD7C57"/>
    <w:rsid w:val="3FDA2F9E"/>
    <w:rsid w:val="4019356B"/>
    <w:rsid w:val="40592157"/>
    <w:rsid w:val="406E1CAE"/>
    <w:rsid w:val="4078130A"/>
    <w:rsid w:val="407C48D7"/>
    <w:rsid w:val="40A0133A"/>
    <w:rsid w:val="40C31A53"/>
    <w:rsid w:val="40DC2D46"/>
    <w:rsid w:val="40E51BFB"/>
    <w:rsid w:val="40FA6A62"/>
    <w:rsid w:val="40FF545D"/>
    <w:rsid w:val="410067C8"/>
    <w:rsid w:val="41435D1B"/>
    <w:rsid w:val="414B2F2C"/>
    <w:rsid w:val="418F0D2A"/>
    <w:rsid w:val="41967399"/>
    <w:rsid w:val="41B8418E"/>
    <w:rsid w:val="41D01505"/>
    <w:rsid w:val="41DB1250"/>
    <w:rsid w:val="42474939"/>
    <w:rsid w:val="424C3C57"/>
    <w:rsid w:val="42594DFB"/>
    <w:rsid w:val="42613FF3"/>
    <w:rsid w:val="42660D96"/>
    <w:rsid w:val="42674891"/>
    <w:rsid w:val="42823479"/>
    <w:rsid w:val="428667D2"/>
    <w:rsid w:val="429D6490"/>
    <w:rsid w:val="42C77F91"/>
    <w:rsid w:val="42CD1CE0"/>
    <w:rsid w:val="42E1381E"/>
    <w:rsid w:val="42ED6459"/>
    <w:rsid w:val="42F56341"/>
    <w:rsid w:val="42FE58DD"/>
    <w:rsid w:val="430A2F0B"/>
    <w:rsid w:val="43174B3D"/>
    <w:rsid w:val="43346E69"/>
    <w:rsid w:val="434B790E"/>
    <w:rsid w:val="43526A49"/>
    <w:rsid w:val="4360274F"/>
    <w:rsid w:val="43977AB6"/>
    <w:rsid w:val="43A3342B"/>
    <w:rsid w:val="43C507B3"/>
    <w:rsid w:val="43C77C27"/>
    <w:rsid w:val="43D546B9"/>
    <w:rsid w:val="43DE09EE"/>
    <w:rsid w:val="44002FAD"/>
    <w:rsid w:val="449101DD"/>
    <w:rsid w:val="44A43B7B"/>
    <w:rsid w:val="44DE1391"/>
    <w:rsid w:val="451B225C"/>
    <w:rsid w:val="452410C9"/>
    <w:rsid w:val="45317DFB"/>
    <w:rsid w:val="45435142"/>
    <w:rsid w:val="456D3CE4"/>
    <w:rsid w:val="4579042C"/>
    <w:rsid w:val="457F0571"/>
    <w:rsid w:val="45851176"/>
    <w:rsid w:val="4589035D"/>
    <w:rsid w:val="45900360"/>
    <w:rsid w:val="45C63B94"/>
    <w:rsid w:val="45CE5353"/>
    <w:rsid w:val="460E7DA5"/>
    <w:rsid w:val="46273D6B"/>
    <w:rsid w:val="46422483"/>
    <w:rsid w:val="464B2261"/>
    <w:rsid w:val="4659254A"/>
    <w:rsid w:val="465B0637"/>
    <w:rsid w:val="465E3F0D"/>
    <w:rsid w:val="466A16E6"/>
    <w:rsid w:val="466B0DF4"/>
    <w:rsid w:val="4688119A"/>
    <w:rsid w:val="46893F2B"/>
    <w:rsid w:val="4696523F"/>
    <w:rsid w:val="46C4686E"/>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AA1C33"/>
    <w:rsid w:val="49B64211"/>
    <w:rsid w:val="49F6167F"/>
    <w:rsid w:val="4A064FA0"/>
    <w:rsid w:val="4A1004CD"/>
    <w:rsid w:val="4A16615C"/>
    <w:rsid w:val="4A4424D7"/>
    <w:rsid w:val="4A4C4A99"/>
    <w:rsid w:val="4A921678"/>
    <w:rsid w:val="4AB82D0F"/>
    <w:rsid w:val="4AE80D2E"/>
    <w:rsid w:val="4AEB7664"/>
    <w:rsid w:val="4AFD7C19"/>
    <w:rsid w:val="4B0233A9"/>
    <w:rsid w:val="4B0567D1"/>
    <w:rsid w:val="4B08477A"/>
    <w:rsid w:val="4B084944"/>
    <w:rsid w:val="4B0D06CC"/>
    <w:rsid w:val="4B236AAE"/>
    <w:rsid w:val="4B707271"/>
    <w:rsid w:val="4B7122DD"/>
    <w:rsid w:val="4B8A3462"/>
    <w:rsid w:val="4B9739F7"/>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9E25F9"/>
    <w:rsid w:val="4FAE58AE"/>
    <w:rsid w:val="4FD76458"/>
    <w:rsid w:val="4FE625E0"/>
    <w:rsid w:val="4FF260E2"/>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8832C8"/>
    <w:rsid w:val="519D3C50"/>
    <w:rsid w:val="51A0432A"/>
    <w:rsid w:val="51A86090"/>
    <w:rsid w:val="51B7396D"/>
    <w:rsid w:val="51FE3C62"/>
    <w:rsid w:val="522E4CC3"/>
    <w:rsid w:val="5244713B"/>
    <w:rsid w:val="52615633"/>
    <w:rsid w:val="526F4DE4"/>
    <w:rsid w:val="52977FD4"/>
    <w:rsid w:val="52A25790"/>
    <w:rsid w:val="52A42F98"/>
    <w:rsid w:val="52A96B6F"/>
    <w:rsid w:val="52B45975"/>
    <w:rsid w:val="52D94AA4"/>
    <w:rsid w:val="52EA3A62"/>
    <w:rsid w:val="52F50BB8"/>
    <w:rsid w:val="53097272"/>
    <w:rsid w:val="533B56AA"/>
    <w:rsid w:val="53544462"/>
    <w:rsid w:val="5397158E"/>
    <w:rsid w:val="53C668E9"/>
    <w:rsid w:val="53DB3CE3"/>
    <w:rsid w:val="54013861"/>
    <w:rsid w:val="54487265"/>
    <w:rsid w:val="544D6070"/>
    <w:rsid w:val="54605E1E"/>
    <w:rsid w:val="54693767"/>
    <w:rsid w:val="548E42CB"/>
    <w:rsid w:val="54B3506A"/>
    <w:rsid w:val="54CA0D16"/>
    <w:rsid w:val="54DC110F"/>
    <w:rsid w:val="54DD4057"/>
    <w:rsid w:val="54E7490F"/>
    <w:rsid w:val="550764A4"/>
    <w:rsid w:val="550B2BF6"/>
    <w:rsid w:val="55214EB5"/>
    <w:rsid w:val="55364EFD"/>
    <w:rsid w:val="55381ED8"/>
    <w:rsid w:val="5552317F"/>
    <w:rsid w:val="555D4828"/>
    <w:rsid w:val="557A4C8B"/>
    <w:rsid w:val="558931E1"/>
    <w:rsid w:val="55923347"/>
    <w:rsid w:val="55925180"/>
    <w:rsid w:val="55983B1B"/>
    <w:rsid w:val="55A8376B"/>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4758B5"/>
    <w:rsid w:val="5A5D3B6E"/>
    <w:rsid w:val="5A637A76"/>
    <w:rsid w:val="5A6D33BA"/>
    <w:rsid w:val="5A792B1F"/>
    <w:rsid w:val="5A874767"/>
    <w:rsid w:val="5A89319F"/>
    <w:rsid w:val="5A9F4D7D"/>
    <w:rsid w:val="5AA85BE2"/>
    <w:rsid w:val="5AAD6F28"/>
    <w:rsid w:val="5AD63A24"/>
    <w:rsid w:val="5AD73FEF"/>
    <w:rsid w:val="5AFC7FD4"/>
    <w:rsid w:val="5B184523"/>
    <w:rsid w:val="5B2E1A1D"/>
    <w:rsid w:val="5B3630D3"/>
    <w:rsid w:val="5B843A1C"/>
    <w:rsid w:val="5B873E3F"/>
    <w:rsid w:val="5B8C47A1"/>
    <w:rsid w:val="5BBE4B75"/>
    <w:rsid w:val="5C02690E"/>
    <w:rsid w:val="5C196DA7"/>
    <w:rsid w:val="5C2A048C"/>
    <w:rsid w:val="5C74709B"/>
    <w:rsid w:val="5C80234E"/>
    <w:rsid w:val="5C864AB7"/>
    <w:rsid w:val="5C8A680C"/>
    <w:rsid w:val="5D0C4701"/>
    <w:rsid w:val="5D0F0395"/>
    <w:rsid w:val="5D221076"/>
    <w:rsid w:val="5D397964"/>
    <w:rsid w:val="5D5A391C"/>
    <w:rsid w:val="5D5F10C0"/>
    <w:rsid w:val="5D6E26A0"/>
    <w:rsid w:val="5D704AEA"/>
    <w:rsid w:val="5D7F0FA8"/>
    <w:rsid w:val="5D891B7B"/>
    <w:rsid w:val="5D8C5745"/>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5733B"/>
    <w:rsid w:val="5F6277C6"/>
    <w:rsid w:val="5F6D0B1D"/>
    <w:rsid w:val="5F8D0B82"/>
    <w:rsid w:val="5FA16E4C"/>
    <w:rsid w:val="5FBA2B92"/>
    <w:rsid w:val="5FCC5339"/>
    <w:rsid w:val="5FE34A5B"/>
    <w:rsid w:val="5FFA2A34"/>
    <w:rsid w:val="5FFD572F"/>
    <w:rsid w:val="5FFE1E36"/>
    <w:rsid w:val="60003F04"/>
    <w:rsid w:val="60232584"/>
    <w:rsid w:val="60445344"/>
    <w:rsid w:val="607330CE"/>
    <w:rsid w:val="60825176"/>
    <w:rsid w:val="609F2AC4"/>
    <w:rsid w:val="60FA2EE8"/>
    <w:rsid w:val="61054A27"/>
    <w:rsid w:val="610A52BC"/>
    <w:rsid w:val="61135DC9"/>
    <w:rsid w:val="611D2366"/>
    <w:rsid w:val="61421856"/>
    <w:rsid w:val="615227C4"/>
    <w:rsid w:val="61654E3F"/>
    <w:rsid w:val="6182292A"/>
    <w:rsid w:val="619C6A8B"/>
    <w:rsid w:val="619F7F92"/>
    <w:rsid w:val="61F94C26"/>
    <w:rsid w:val="62000E56"/>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491666"/>
    <w:rsid w:val="648B6EEF"/>
    <w:rsid w:val="64BC23C3"/>
    <w:rsid w:val="64C158BF"/>
    <w:rsid w:val="64CE2EAA"/>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D03326"/>
    <w:rsid w:val="672F3F24"/>
    <w:rsid w:val="673152EA"/>
    <w:rsid w:val="673E055F"/>
    <w:rsid w:val="67551CE3"/>
    <w:rsid w:val="67843CEC"/>
    <w:rsid w:val="67A22552"/>
    <w:rsid w:val="67AE3F28"/>
    <w:rsid w:val="67B0620F"/>
    <w:rsid w:val="67B22DCC"/>
    <w:rsid w:val="67BE71AA"/>
    <w:rsid w:val="67D90273"/>
    <w:rsid w:val="67DE5875"/>
    <w:rsid w:val="67E25112"/>
    <w:rsid w:val="67E55852"/>
    <w:rsid w:val="67E63587"/>
    <w:rsid w:val="67EB1AB4"/>
    <w:rsid w:val="67FA1285"/>
    <w:rsid w:val="683055A2"/>
    <w:rsid w:val="684A3B69"/>
    <w:rsid w:val="68551F4F"/>
    <w:rsid w:val="68576688"/>
    <w:rsid w:val="686C480D"/>
    <w:rsid w:val="687C10C9"/>
    <w:rsid w:val="68840C16"/>
    <w:rsid w:val="68876EFB"/>
    <w:rsid w:val="68884654"/>
    <w:rsid w:val="689F444F"/>
    <w:rsid w:val="68B96DBB"/>
    <w:rsid w:val="68BC6E36"/>
    <w:rsid w:val="68CA2805"/>
    <w:rsid w:val="68D423D1"/>
    <w:rsid w:val="68E937A3"/>
    <w:rsid w:val="6925288E"/>
    <w:rsid w:val="693E15D3"/>
    <w:rsid w:val="69627681"/>
    <w:rsid w:val="6977531D"/>
    <w:rsid w:val="69A02AF2"/>
    <w:rsid w:val="69A7748B"/>
    <w:rsid w:val="69CC2BFF"/>
    <w:rsid w:val="69FD55B8"/>
    <w:rsid w:val="6A0B1C62"/>
    <w:rsid w:val="6A153972"/>
    <w:rsid w:val="6A2406C8"/>
    <w:rsid w:val="6A3A40AC"/>
    <w:rsid w:val="6A4A5576"/>
    <w:rsid w:val="6ADE0BD1"/>
    <w:rsid w:val="6AE96859"/>
    <w:rsid w:val="6B147746"/>
    <w:rsid w:val="6B24787C"/>
    <w:rsid w:val="6B573233"/>
    <w:rsid w:val="6B5B6274"/>
    <w:rsid w:val="6B935D53"/>
    <w:rsid w:val="6BB1386F"/>
    <w:rsid w:val="6BD66460"/>
    <w:rsid w:val="6C1516ED"/>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F2A7D94"/>
    <w:rsid w:val="6F424881"/>
    <w:rsid w:val="6F5B73A8"/>
    <w:rsid w:val="6F8331F1"/>
    <w:rsid w:val="6F984CD2"/>
    <w:rsid w:val="6FA90254"/>
    <w:rsid w:val="6FAE1A09"/>
    <w:rsid w:val="6FD75BF8"/>
    <w:rsid w:val="6FED3D79"/>
    <w:rsid w:val="6FF10D68"/>
    <w:rsid w:val="6FF17959"/>
    <w:rsid w:val="707723D0"/>
    <w:rsid w:val="70C102F1"/>
    <w:rsid w:val="70D80585"/>
    <w:rsid w:val="70F5661B"/>
    <w:rsid w:val="71360107"/>
    <w:rsid w:val="713B688E"/>
    <w:rsid w:val="71576C22"/>
    <w:rsid w:val="71672F90"/>
    <w:rsid w:val="716D5047"/>
    <w:rsid w:val="717E737E"/>
    <w:rsid w:val="71D43752"/>
    <w:rsid w:val="71F1796A"/>
    <w:rsid w:val="72154626"/>
    <w:rsid w:val="72241A11"/>
    <w:rsid w:val="72262B5D"/>
    <w:rsid w:val="72283FF7"/>
    <w:rsid w:val="722E7212"/>
    <w:rsid w:val="723A0474"/>
    <w:rsid w:val="725923E4"/>
    <w:rsid w:val="72864BF7"/>
    <w:rsid w:val="729023FC"/>
    <w:rsid w:val="72DC366F"/>
    <w:rsid w:val="72EE6F2C"/>
    <w:rsid w:val="72EE7F87"/>
    <w:rsid w:val="73A429A0"/>
    <w:rsid w:val="73C0646E"/>
    <w:rsid w:val="73E7011E"/>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5D347C"/>
    <w:rsid w:val="76826699"/>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F3C24"/>
    <w:rsid w:val="780470C8"/>
    <w:rsid w:val="78177451"/>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35E22"/>
    <w:rsid w:val="7C686C61"/>
    <w:rsid w:val="7C725D31"/>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4D213E"/>
    <w:rsid w:val="7F715AF2"/>
    <w:rsid w:val="7F886E69"/>
    <w:rsid w:val="7FA74181"/>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9"/>
    <w:qFormat/>
    <w:uiPriority w:val="9"/>
    <w:pPr>
      <w:keepNext/>
      <w:keepLines/>
      <w:tabs>
        <w:tab w:val="left" w:pos="432"/>
      </w:tabs>
      <w:spacing w:line="360" w:lineRule="auto"/>
      <w:jc w:val="center"/>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6"/>
    <w:qFormat/>
    <w:uiPriority w:val="0"/>
    <w:pPr>
      <w:shd w:val="clear" w:color="auto" w:fill="000080"/>
    </w:pPr>
  </w:style>
  <w:style w:type="paragraph" w:styleId="21">
    <w:name w:val="annotation text"/>
    <w:basedOn w:val="1"/>
    <w:link w:val="864"/>
    <w:qFormat/>
    <w:uiPriority w:val="99"/>
    <w:pPr>
      <w:jc w:val="left"/>
    </w:pPr>
  </w:style>
  <w:style w:type="paragraph" w:styleId="22">
    <w:name w:val="Salutation"/>
    <w:basedOn w:val="1"/>
    <w:next w:val="1"/>
    <w:link w:val="824"/>
    <w:qFormat/>
    <w:uiPriority w:val="0"/>
    <w:rPr>
      <w:rFonts w:ascii="仿宋_GB2312" w:eastAsia="仿宋_GB2312"/>
      <w:sz w:val="28"/>
      <w:szCs w:val="20"/>
    </w:rPr>
  </w:style>
  <w:style w:type="paragraph" w:styleId="23">
    <w:name w:val="Body Text 3"/>
    <w:basedOn w:val="1"/>
    <w:link w:val="85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3"/>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1"/>
    <w:link w:val="792"/>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25"/>
    <w:link w:val="66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8"/>
    <w:qFormat/>
    <w:uiPriority w:val="0"/>
    <w:pPr>
      <w:ind w:left="100" w:leftChars="2500"/>
    </w:pPr>
    <w:rPr>
      <w:rFonts w:ascii="宋体"/>
      <w:sz w:val="24"/>
      <w:szCs w:val="21"/>
      <w:lang w:val="zh-CN"/>
    </w:rPr>
  </w:style>
  <w:style w:type="paragraph" w:styleId="40">
    <w:name w:val="Body Text Indent 2"/>
    <w:basedOn w:val="1"/>
    <w:link w:val="832"/>
    <w:qFormat/>
    <w:uiPriority w:val="0"/>
    <w:pPr>
      <w:spacing w:line="360" w:lineRule="auto"/>
      <w:ind w:firstLine="601"/>
      <w:textAlignment w:val="baseline"/>
    </w:pPr>
    <w:rPr>
      <w:rFonts w:ascii="宋体"/>
      <w:kern w:val="0"/>
      <w:sz w:val="28"/>
      <w:szCs w:val="20"/>
    </w:rPr>
  </w:style>
  <w:style w:type="paragraph" w:styleId="41">
    <w:name w:val="endnote text"/>
    <w:basedOn w:val="1"/>
    <w:link w:val="949"/>
    <w:qFormat/>
    <w:uiPriority w:val="0"/>
    <w:rPr>
      <w:lang w:val="zh-CN"/>
    </w:rPr>
  </w:style>
  <w:style w:type="paragraph" w:styleId="42">
    <w:name w:val="Balloon Text"/>
    <w:basedOn w:val="1"/>
    <w:link w:val="725"/>
    <w:qFormat/>
    <w:uiPriority w:val="0"/>
    <w:rPr>
      <w:sz w:val="18"/>
      <w:szCs w:val="18"/>
    </w:rPr>
  </w:style>
  <w:style w:type="paragraph" w:styleId="43">
    <w:name w:val="footer"/>
    <w:basedOn w:val="1"/>
    <w:link w:val="900"/>
    <w:qFormat/>
    <w:uiPriority w:val="99"/>
    <w:pPr>
      <w:tabs>
        <w:tab w:val="center" w:pos="4153"/>
        <w:tab w:val="right" w:pos="8306"/>
      </w:tabs>
      <w:snapToGrid w:val="0"/>
      <w:jc w:val="left"/>
    </w:pPr>
    <w:rPr>
      <w:sz w:val="18"/>
      <w:szCs w:val="18"/>
    </w:rPr>
  </w:style>
  <w:style w:type="paragraph" w:styleId="44">
    <w:name w:val="header"/>
    <w:basedOn w:val="1"/>
    <w:next w:val="45"/>
    <w:link w:val="908"/>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qFormat/>
    <w:uiPriority w:val="99"/>
    <w:pPr>
      <w:widowControl/>
      <w:wordWrap w:val="0"/>
      <w:spacing w:before="200" w:after="160"/>
      <w:ind w:left="864" w:right="864"/>
      <w:jc w:val="center"/>
    </w:pPr>
    <w:rPr>
      <w:rFonts w:ascii="宋体"/>
      <w:i/>
      <w:color w:val="404040"/>
    </w:rPr>
  </w:style>
  <w:style w:type="paragraph" w:styleId="46">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7"/>
    <w:link w:val="834"/>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8"/>
    <w:qFormat/>
    <w:uiPriority w:val="0"/>
    <w:pPr>
      <w:spacing w:after="120" w:line="480" w:lineRule="auto"/>
    </w:pPr>
  </w:style>
  <w:style w:type="paragraph" w:styleId="60">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12"/>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1"/>
    <w:next w:val="21"/>
    <w:link w:val="641"/>
    <w:qFormat/>
    <w:uiPriority w:val="0"/>
    <w:rPr>
      <w:b/>
      <w:bCs/>
    </w:rPr>
  </w:style>
  <w:style w:type="paragraph" w:styleId="64">
    <w:name w:val="Body Text First Indent 2"/>
    <w:basedOn w:val="28"/>
    <w:next w:val="1"/>
    <w:link w:val="66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Sample"/>
    <w:basedOn w:val="72"/>
    <w:qFormat/>
    <w:uiPriority w:val="0"/>
    <w:rPr>
      <w:rFonts w:ascii="Courier New" w:hAnsi="Courier New"/>
    </w:rPr>
  </w:style>
  <w:style w:type="paragraph" w:customStyle="1" w:styleId="83">
    <w:name w:val="表格文字"/>
    <w:basedOn w:val="36"/>
    <w:next w:val="25"/>
    <w:qFormat/>
    <w:uiPriority w:val="0"/>
    <w:pPr>
      <w:adjustRightInd/>
      <w:ind w:firstLine="200" w:firstLineChars="200"/>
    </w:pPr>
    <w:rPr>
      <w:rFonts w:ascii="Arial" w:hAnsi="Arial"/>
      <w:spacing w:val="-5"/>
      <w:kern w:val="0"/>
      <w:sz w:val="24"/>
      <w:szCs w:val="20"/>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正文文本首行缩进 2"/>
    <w:basedOn w:val="86"/>
    <w:qFormat/>
    <w:uiPriority w:val="99"/>
    <w:pPr>
      <w:tabs>
        <w:tab w:val="right" w:leader="dot" w:pos="8268"/>
      </w:tabs>
      <w:spacing w:line="200" w:lineRule="atLeast"/>
      <w:ind w:firstLine="420"/>
    </w:pPr>
    <w:rPr>
      <w:rFonts w:ascii="宋体" w:hAnsi="Courier New"/>
      <w:spacing w:val="-4"/>
      <w:sz w:val="18"/>
    </w:rPr>
  </w:style>
  <w:style w:type="paragraph" w:customStyle="1" w:styleId="86">
    <w:name w:val="正文缩进1"/>
    <w:basedOn w:val="87"/>
    <w:next w:val="28"/>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7">
    <w:name w:val="正文1"/>
    <w:basedOn w:val="35"/>
    <w:next w:val="88"/>
    <w:qFormat/>
    <w:uiPriority w:val="0"/>
    <w:pPr>
      <w:ind w:left="0" w:leftChars="0" w:firstLine="480" w:firstLineChars="200"/>
    </w:pPr>
    <w:rPr>
      <w:rFonts w:ascii="仿宋_GB2312" w:hAnsi="Courier New" w:eastAsia="仿宋_GB2312"/>
      <w:kern w:val="28"/>
      <w:sz w:val="24"/>
    </w:rPr>
  </w:style>
  <w:style w:type="paragraph" w:customStyle="1" w:styleId="88">
    <w:name w:val="标题 21"/>
    <w:basedOn w:val="87"/>
    <w:next w:val="87"/>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9">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next w:val="47"/>
    <w:link w:val="673"/>
    <w:qFormat/>
    <w:uiPriority w:val="0"/>
    <w:pPr>
      <w:spacing w:before="156" w:line="360" w:lineRule="auto"/>
      <w:ind w:firstLine="510" w:firstLineChars="200"/>
    </w:pPr>
    <w:rPr>
      <w:sz w:val="24"/>
      <w:szCs w:val="20"/>
    </w:rPr>
  </w:style>
  <w:style w:type="paragraph" w:customStyle="1" w:styleId="96">
    <w:name w:val="无间隔1"/>
    <w:link w:val="681"/>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89"/>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5"/>
    <w:link w:val="708"/>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4"/>
    <w:qFormat/>
    <w:uiPriority w:val="0"/>
    <w:pPr>
      <w:ind w:left="0" w:right="466" w:firstLine="288"/>
    </w:pPr>
    <w:rPr>
      <w:rFonts w:hAnsi="宋体"/>
    </w:rPr>
  </w:style>
  <w:style w:type="paragraph" w:customStyle="1" w:styleId="10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7"/>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76"/>
    <w:qFormat/>
    <w:uiPriority w:val="0"/>
    <w:pPr>
      <w:adjustRightInd/>
      <w:spacing w:line="360" w:lineRule="auto"/>
      <w:ind w:firstLine="480" w:firstLineChars="200"/>
    </w:pPr>
    <w:rPr>
      <w:kern w:val="0"/>
      <w:sz w:val="24"/>
    </w:rPr>
  </w:style>
  <w:style w:type="paragraph" w:customStyle="1" w:styleId="107">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7"/>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9"/>
    <w:qFormat/>
    <w:uiPriority w:val="0"/>
    <w:pPr>
      <w:tabs>
        <w:tab w:val="left" w:pos="2356"/>
      </w:tabs>
    </w:pPr>
  </w:style>
  <w:style w:type="paragraph" w:customStyle="1" w:styleId="112">
    <w:name w:val="样式 标题 4h4H4Fab-4T5Ref Heading 1rh1Heading sqlsect 1.2.3...."/>
    <w:basedOn w:val="7"/>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2"/>
    <w:qFormat/>
    <w:uiPriority w:val="0"/>
    <w:pPr>
      <w:adjustRightInd/>
    </w:pPr>
    <w:rPr>
      <w:rFonts w:ascii="宋体" w:hAnsi="Courier New"/>
      <w:kern w:val="0"/>
      <w:sz w:val="20"/>
      <w:szCs w:val="20"/>
    </w:rPr>
  </w:style>
  <w:style w:type="paragraph" w:customStyle="1" w:styleId="115">
    <w:name w:val="正文说明"/>
    <w:basedOn w:val="1"/>
    <w:link w:val="854"/>
    <w:qFormat/>
    <w:uiPriority w:val="0"/>
    <w:pPr>
      <w:adjustRightInd/>
      <w:spacing w:line="360" w:lineRule="auto"/>
    </w:pPr>
    <w:rPr>
      <w:kern w:val="0"/>
      <w:sz w:val="24"/>
    </w:rPr>
  </w:style>
  <w:style w:type="paragraph" w:customStyle="1" w:styleId="116">
    <w:name w:val="Table Text"/>
    <w:basedOn w:val="1"/>
    <w:link w:val="860"/>
    <w:qFormat/>
    <w:uiPriority w:val="0"/>
    <w:pPr>
      <w:widowControl/>
      <w:spacing w:before="60" w:after="60"/>
      <w:jc w:val="left"/>
    </w:pPr>
    <w:rPr>
      <w:kern w:val="0"/>
      <w:sz w:val="24"/>
    </w:rPr>
  </w:style>
  <w:style w:type="paragraph" w:customStyle="1" w:styleId="117">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2"/>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7"/>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7"/>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5"/>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0"/>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5"/>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6"/>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8"/>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6"/>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7"/>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89"/>
    <w:next w:val="89"/>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89"/>
    <w:next w:val="89"/>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9"/>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4"/>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5"/>
    <w:qFormat/>
    <w:uiPriority w:val="0"/>
    <w:pPr>
      <w:spacing w:before="260" w:after="260" w:line="415" w:lineRule="auto"/>
      <w:ind w:left="420" w:hanging="420"/>
    </w:pPr>
    <w:rPr>
      <w:rFonts w:ascii="Arial" w:hAnsi="Arial" w:eastAsia="微软雅黑"/>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5"/>
    <w:next w:val="1"/>
    <w:qFormat/>
    <w:uiPriority w:val="0"/>
    <w:pPr>
      <w:tabs>
        <w:tab w:val="left" w:pos="480"/>
        <w:tab w:val="clear" w:pos="432"/>
      </w:tabs>
      <w:ind w:left="480" w:hanging="480"/>
    </w:pPr>
    <w:rPr>
      <w:rFonts w:ascii="Times New Roman"/>
      <w:i/>
      <w:sz w:val="36"/>
      <w:szCs w:val="36"/>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4"/>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4"/>
    <w:qFormat/>
    <w:uiPriority w:val="0"/>
    <w:pPr>
      <w:autoSpaceDE w:val="0"/>
      <w:autoSpaceDN w:val="0"/>
      <w:spacing w:line="240" w:lineRule="auto"/>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7"/>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5"/>
    <w:qFormat/>
    <w:uiPriority w:val="0"/>
    <w:pPr>
      <w:spacing w:before="120" w:after="120"/>
      <w:ind w:left="0" w:firstLine="0"/>
      <w:jc w:val="both"/>
    </w:pPr>
    <w:rPr>
      <w:rFonts w:ascii="宋体" w:hAnsi="Arial"/>
      <w:sz w:val="28"/>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40"/>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6"/>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5"/>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1"/>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5"/>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0"/>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9"/>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8"/>
    <w:next w:val="1"/>
    <w:qFormat/>
    <w:uiPriority w:val="0"/>
    <w:pPr>
      <w:tabs>
        <w:tab w:val="left" w:pos="1080"/>
        <w:tab w:val="clear" w:pos="1008"/>
      </w:tabs>
      <w:ind w:left="1080" w:hanging="1080"/>
    </w:pPr>
  </w:style>
  <w:style w:type="paragraph" w:customStyle="1" w:styleId="586">
    <w:name w:val="数字标题1"/>
    <w:basedOn w:val="4"/>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5"/>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2">
    <w:name w:val="_Style 947"/>
    <w:basedOn w:val="1"/>
    <w:next w:val="109"/>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5"/>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纯文本3"/>
    <w:basedOn w:val="1"/>
    <w:qFormat/>
    <w:uiPriority w:val="0"/>
    <w:pPr>
      <w:spacing w:beforeLines="50" w:afterLines="50" w:line="400" w:lineRule="exact"/>
    </w:pPr>
    <w:rPr>
      <w:rFonts w:ascii="宋体" w:hAnsi="Courier New"/>
      <w:sz w:val="24"/>
    </w:rPr>
  </w:style>
  <w:style w:type="paragraph" w:customStyle="1" w:styleId="62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7">
    <w:name w:val="正文文本首行缩进 21"/>
    <w:basedOn w:val="28"/>
    <w:qFormat/>
    <w:uiPriority w:val="99"/>
    <w:pPr>
      <w:tabs>
        <w:tab w:val="right" w:leader="dot" w:pos="8268"/>
      </w:tabs>
      <w:spacing w:line="200" w:lineRule="atLeast"/>
      <w:ind w:firstLine="420"/>
    </w:pPr>
    <w:rPr>
      <w:rFonts w:ascii="宋体"/>
      <w:spacing w:val="-4"/>
      <w:sz w:val="18"/>
    </w:rPr>
  </w:style>
  <w:style w:type="paragraph" w:customStyle="1" w:styleId="628">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qFormat/>
    <w:uiPriority w:val="0"/>
    <w:rPr>
      <w:rFonts w:ascii="Times New Roman" w:hAnsi="Times New Roman" w:eastAsia="??" w:cs="宋体"/>
      <w:sz w:val="22"/>
      <w:szCs w:val="22"/>
      <w:lang w:val="en-US" w:eastAsia="en-US" w:bidi="ar-SA"/>
    </w:rPr>
  </w:style>
  <w:style w:type="character" w:customStyle="1" w:styleId="630">
    <w:name w:val="表格非标题文字 Char"/>
    <w:link w:val="90"/>
    <w:qFormat/>
    <w:uiPriority w:val="0"/>
    <w:rPr>
      <w:rFonts w:ascii="Futura Bk" w:hAnsi="Futura Bk"/>
      <w:kern w:val="2"/>
      <w:sz w:val="18"/>
      <w:szCs w:val="21"/>
      <w:lang w:val="en-US" w:eastAsia="zh-CN" w:bidi="ar-SA"/>
    </w:rPr>
  </w:style>
  <w:style w:type="character" w:customStyle="1" w:styleId="631">
    <w:name w:val="*正文 Char"/>
    <w:link w:val="91"/>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2"/>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字符"/>
    <w:link w:val="63"/>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3"/>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4"/>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字符"/>
    <w:link w:val="64"/>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72"/>
    <w:qFormat/>
    <w:uiPriority w:val="0"/>
    <w:rPr>
      <w:rFonts w:ascii="Arial" w:hAnsi="Arial" w:eastAsia="黑体" w:cs="Arial"/>
      <w:snapToGrid w:val="0"/>
      <w:kern w:val="0"/>
      <w:szCs w:val="21"/>
    </w:rPr>
  </w:style>
  <w:style w:type="character" w:customStyle="1" w:styleId="668">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5"/>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字符"/>
    <w:link w:val="51"/>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6"/>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字符"/>
    <w:link w:val="9"/>
    <w:qFormat/>
    <w:uiPriority w:val="0"/>
    <w:rPr>
      <w:rFonts w:ascii="Arial" w:hAnsi="Arial" w:eastAsia="黑体"/>
      <w:b/>
      <w:bCs/>
      <w:kern w:val="2"/>
      <w:sz w:val="24"/>
      <w:szCs w:val="24"/>
    </w:rPr>
  </w:style>
  <w:style w:type="character" w:customStyle="1" w:styleId="689">
    <w:name w:val="纯文本 Char_0"/>
    <w:link w:val="97"/>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9"/>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100"/>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字符"/>
    <w:link w:val="39"/>
    <w:qFormat/>
    <w:uiPriority w:val="0"/>
    <w:rPr>
      <w:rFonts w:ascii="宋体"/>
      <w:kern w:val="2"/>
      <w:sz w:val="24"/>
      <w:szCs w:val="21"/>
      <w:lang w:val="zh-CN"/>
    </w:rPr>
  </w:style>
  <w:style w:type="character" w:customStyle="1" w:styleId="719">
    <w:name w:val="标题 9 字符"/>
    <w:link w:val="12"/>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字符1"/>
    <w:link w:val="42"/>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101"/>
    <w:qFormat/>
    <w:locked/>
    <w:uiPriority w:val="0"/>
    <w:rPr>
      <w:rFonts w:ascii="Tahoma" w:hAnsi="Tahoma"/>
      <w:sz w:val="24"/>
      <w:szCs w:val="24"/>
    </w:rPr>
  </w:style>
  <w:style w:type="character" w:customStyle="1" w:styleId="729">
    <w:name w:val="正文缩进 字符2"/>
    <w:link w:val="17"/>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2"/>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字符"/>
    <w:link w:val="20"/>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72"/>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字符"/>
    <w:link w:val="33"/>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4"/>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5"/>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字符"/>
    <w:link w:val="18"/>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89"/>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6"/>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7"/>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8"/>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字符1"/>
    <w:link w:val="28"/>
    <w:qFormat/>
    <w:uiPriority w:val="0"/>
    <w:rPr>
      <w:rFonts w:ascii="宋体" w:hAnsi="宋体"/>
      <w:kern w:val="2"/>
      <w:sz w:val="24"/>
      <w:szCs w:val="24"/>
    </w:rPr>
  </w:style>
  <w:style w:type="character" w:customStyle="1" w:styleId="793">
    <w:name w:val="font01"/>
    <w:basedOn w:val="72"/>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10"/>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字符1"/>
    <w:link w:val="4"/>
    <w:qFormat/>
    <w:uiPriority w:val="9"/>
    <w:rPr>
      <w:rFonts w:eastAsia="宋体"/>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字符"/>
    <w:link w:val="62"/>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字符"/>
    <w:link w:val="8"/>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字符"/>
    <w:link w:val="22"/>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字符"/>
    <w:link w:val="60"/>
    <w:qFormat/>
    <w:uiPriority w:val="0"/>
    <w:rPr>
      <w:rFonts w:ascii="黑体" w:hAnsi="Courier New" w:eastAsia="黑体"/>
    </w:rPr>
  </w:style>
  <w:style w:type="character" w:customStyle="1" w:styleId="828">
    <w:name w:val="正文文本 2 字符1"/>
    <w:link w:val="59"/>
    <w:qFormat/>
    <w:uiPriority w:val="0"/>
    <w:rPr>
      <w:kern w:val="2"/>
      <w:sz w:val="21"/>
      <w:szCs w:val="24"/>
    </w:rPr>
  </w:style>
  <w:style w:type="character" w:customStyle="1" w:styleId="829">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字符"/>
    <w:link w:val="10"/>
    <w:qFormat/>
    <w:uiPriority w:val="0"/>
    <w:rPr>
      <w:b/>
      <w:bCs/>
      <w:kern w:val="2"/>
      <w:sz w:val="24"/>
      <w:szCs w:val="24"/>
    </w:rPr>
  </w:style>
  <w:style w:type="character" w:customStyle="1" w:styleId="832">
    <w:name w:val="正文文本缩进 2 字符"/>
    <w:link w:val="40"/>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字符"/>
    <w:link w:val="54"/>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basedOn w:val="72"/>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3"/>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4"/>
    <w:qFormat/>
    <w:uiPriority w:val="0"/>
    <w:rPr>
      <w:rFonts w:ascii="宋体" w:hAnsi="Courier New"/>
    </w:rPr>
  </w:style>
  <w:style w:type="character" w:customStyle="1" w:styleId="843">
    <w:name w:val="正文首行缩进 字符"/>
    <w:link w:val="26"/>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字符1"/>
    <w:link w:val="7"/>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字符"/>
    <w:link w:val="23"/>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5"/>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6"/>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字符1"/>
    <w:link w:val="21"/>
    <w:qFormat/>
    <w:uiPriority w:val="99"/>
    <w:rPr>
      <w:kern w:val="2"/>
      <w:sz w:val="21"/>
      <w:szCs w:val="24"/>
    </w:rPr>
  </w:style>
  <w:style w:type="character" w:customStyle="1" w:styleId="865">
    <w:name w:val="签名 字符"/>
    <w:link w:val="46"/>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7"/>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8"/>
    <w:qFormat/>
    <w:uiPriority w:val="0"/>
    <w:rPr>
      <w:rFonts w:ascii="宋体"/>
    </w:rPr>
  </w:style>
  <w:style w:type="character" w:customStyle="1" w:styleId="876">
    <w:name w:val="标题 8 字符"/>
    <w:link w:val="11"/>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字符"/>
    <w:link w:val="56"/>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9"/>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字符2"/>
    <w:link w:val="43"/>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20"/>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字符2"/>
    <w:link w:val="44"/>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21"/>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2"/>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3"/>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4"/>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72"/>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5"/>
    <w:qFormat/>
    <w:uiPriority w:val="0"/>
    <w:rPr>
      <w:rFonts w:cs="宋体"/>
      <w:kern w:val="2"/>
      <w:sz w:val="24"/>
    </w:rPr>
  </w:style>
  <w:style w:type="character" w:customStyle="1" w:styleId="94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2">
    <w:name w:val="gray6"/>
    <w:basedOn w:val="72"/>
    <w:qFormat/>
    <w:uiPriority w:val="0"/>
    <w:rPr>
      <w:rFonts w:ascii="Arial" w:hAnsi="Arial" w:eastAsia="黑体" w:cs="Arial"/>
      <w:snapToGrid w:val="0"/>
      <w:kern w:val="0"/>
      <w:szCs w:val="21"/>
    </w:rPr>
  </w:style>
  <w:style w:type="character" w:customStyle="1" w:styleId="943">
    <w:name w:val="hui"/>
    <w:basedOn w:val="72"/>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字符"/>
    <w:link w:val="41"/>
    <w:qFormat/>
    <w:uiPriority w:val="0"/>
    <w:rPr>
      <w:kern w:val="2"/>
      <w:sz w:val="21"/>
      <w:szCs w:val="24"/>
      <w:lang w:val="zh-CN"/>
    </w:rPr>
  </w:style>
  <w:style w:type="character" w:customStyle="1" w:styleId="950">
    <w:name w:val="无间隔 字符"/>
    <w:link w:val="175"/>
    <w:qFormat/>
    <w:uiPriority w:val="99"/>
    <w:rPr>
      <w:kern w:val="2"/>
      <w:sz w:val="21"/>
      <w:szCs w:val="22"/>
    </w:rPr>
  </w:style>
  <w:style w:type="character" w:customStyle="1" w:styleId="951">
    <w:name w:val="标准文本 Char Char"/>
    <w:link w:val="611"/>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ZY-A-正文标题3 x.x.x"/>
    <w:basedOn w:val="975"/>
    <w:next w:val="977"/>
    <w:qFormat/>
    <w:uiPriority w:val="0"/>
    <w:pPr>
      <w:numPr>
        <w:ilvl w:val="2"/>
      </w:numPr>
      <w:tabs>
        <w:tab w:val="left" w:pos="0"/>
        <w:tab w:val="left" w:pos="1009"/>
      </w:tabs>
      <w:outlineLvl w:val="2"/>
    </w:pPr>
    <w:rPr>
      <w:rFonts w:ascii="仿宋_GB2312" w:hAnsi="仿宋_GB2312"/>
      <w:sz w:val="28"/>
    </w:rPr>
  </w:style>
  <w:style w:type="paragraph" w:customStyle="1" w:styleId="975">
    <w:name w:val="ZY-A-正文标题2 x.x"/>
    <w:basedOn w:val="976"/>
    <w:next w:val="1"/>
    <w:qFormat/>
    <w:uiPriority w:val="0"/>
    <w:pPr>
      <w:numPr>
        <w:ilvl w:val="1"/>
      </w:numPr>
      <w:tabs>
        <w:tab w:val="left" w:pos="0"/>
      </w:tabs>
      <w:jc w:val="left"/>
      <w:outlineLvl w:val="1"/>
    </w:pPr>
    <w:rPr>
      <w:sz w:val="32"/>
      <w:szCs w:val="32"/>
    </w:rPr>
  </w:style>
  <w:style w:type="paragraph" w:customStyle="1" w:styleId="976">
    <w:name w:val="ZY-A-正文标题1 x"/>
    <w:basedOn w:val="977"/>
    <w:qFormat/>
    <w:uiPriority w:val="0"/>
    <w:pPr>
      <w:keepNext/>
      <w:keepLines/>
      <w:numPr>
        <w:ilvl w:val="0"/>
        <w:numId w:val="1"/>
      </w:numPr>
      <w:tabs>
        <w:tab w:val="left" w:pos="0"/>
      </w:tabs>
      <w:spacing w:before="50" w:beforeLines="50" w:after="50" w:afterLines="50"/>
      <w:ind w:firstLine="0" w:firstLineChars="0"/>
      <w:jc w:val="center"/>
      <w:outlineLvl w:val="0"/>
    </w:pPr>
    <w:rPr>
      <w:b/>
      <w:bCs/>
      <w:kern w:val="44"/>
      <w:sz w:val="44"/>
      <w:szCs w:val="44"/>
    </w:rPr>
  </w:style>
  <w:style w:type="paragraph" w:customStyle="1" w:styleId="977">
    <w:name w:val="ZY-A-正文内容"/>
    <w:basedOn w:val="1"/>
    <w:qFormat/>
    <w:uiPriority w:val="0"/>
    <w:pPr>
      <w:tabs>
        <w:tab w:val="left" w:pos="0"/>
      </w:tabs>
      <w:ind w:firstLine="560" w:firstLineChars="200"/>
    </w:pPr>
    <w:rPr>
      <w:rFonts w:hint="eastAsia" w:ascii="Times New Roman" w:hAnsi="Times New Roman"/>
      <w:szCs w:val="21"/>
    </w:rPr>
  </w:style>
  <w:style w:type="paragraph" w:customStyle="1" w:styleId="978">
    <w:name w:val="ZY-A-正文标题4 x.x.x.x"/>
    <w:basedOn w:val="974"/>
    <w:next w:val="1"/>
    <w:qFormat/>
    <w:uiPriority w:val="0"/>
    <w:pPr>
      <w:numPr>
        <w:ilvl w:val="3"/>
      </w:numPr>
      <w:outlineLvl w:val="3"/>
    </w:pPr>
    <w:rPr>
      <w:rFonts w:hint="default"/>
    </w:rPr>
  </w:style>
  <w:style w:type="paragraph" w:customStyle="1" w:styleId="979">
    <w:name w:val="ZY-A-正文标题5 x.x.x.x.x"/>
    <w:basedOn w:val="978"/>
    <w:next w:val="977"/>
    <w:qFormat/>
    <w:uiPriority w:val="0"/>
    <w:pPr>
      <w:numPr>
        <w:ilvl w:val="4"/>
      </w:numPr>
      <w:tabs>
        <w:tab w:val="left" w:pos="1434"/>
        <w:tab w:val="clear" w:pos="1009"/>
      </w:tabs>
      <w:outlineLvl w:val="4"/>
    </w:pPr>
    <w:rPr>
      <w:rFonts w:cs="Times New Roman"/>
    </w:rPr>
  </w:style>
  <w:style w:type="paragraph" w:customStyle="1" w:styleId="980">
    <w:name w:val="Plain Text"/>
    <w:basedOn w:val="1"/>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12158</Words>
  <Characters>13181</Characters>
  <Lines>313</Lines>
  <Paragraphs>88</Paragraphs>
  <TotalTime>0</TotalTime>
  <ScaleCrop>false</ScaleCrop>
  <LinksUpToDate>false</LinksUpToDate>
  <CharactersWithSpaces>13553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耀华代理招标文件</dc:description>
  <cp:lastModifiedBy>成燕</cp:lastModifiedBy>
  <cp:lastPrinted>2024-09-30T10:30:00Z</cp:lastPrinted>
  <dcterms:modified xsi:type="dcterms:W3CDTF">2024-11-01T10:19:06Z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F31AF3CA2E654BDD98F760CCCA9CC918_13</vt:lpwstr>
  </property>
</Properties>
</file>